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2B7A1" w14:textId="5568D444" w:rsidR="00263F19" w:rsidRDefault="00263F19" w:rsidP="00857A53">
      <w:pPr>
        <w:rPr>
          <w:rFonts w:ascii="Arial" w:hAnsi="Arial" w:cs="Arial"/>
          <w:b/>
          <w:bCs/>
          <w:sz w:val="32"/>
          <w:szCs w:val="32"/>
          <w:u w:val="single"/>
          <w:lang w:val="en-IN"/>
        </w:rPr>
      </w:pPr>
      <w:r w:rsidRPr="00263F19">
        <w:rPr>
          <w:rFonts w:ascii="Arial" w:hAnsi="Arial" w:cs="Arial"/>
          <w:b/>
          <w:bCs/>
          <w:sz w:val="32"/>
          <w:szCs w:val="32"/>
          <w:u w:val="single"/>
          <w:lang w:val="en-IN"/>
        </w:rPr>
        <w:t>Original Research Article</w:t>
      </w:r>
    </w:p>
    <w:p w14:paraId="680FEC9D" w14:textId="77777777" w:rsidR="00263F19" w:rsidRPr="00263F19" w:rsidRDefault="00263F19" w:rsidP="00857A53">
      <w:pPr>
        <w:rPr>
          <w:rFonts w:ascii="Arial" w:hAnsi="Arial" w:cs="Arial"/>
          <w:b/>
          <w:bCs/>
          <w:sz w:val="32"/>
          <w:szCs w:val="32"/>
          <w:u w:val="single"/>
          <w:lang w:val="en-IN"/>
        </w:rPr>
      </w:pPr>
    </w:p>
    <w:p w14:paraId="4A44614E" w14:textId="449E4D92" w:rsidR="00FB2FCD" w:rsidRDefault="009E5101" w:rsidP="00857A53">
      <w:pPr>
        <w:rPr>
          <w:rFonts w:ascii="Arial" w:hAnsi="Arial" w:cs="Arial"/>
          <w:b/>
          <w:bCs/>
          <w:sz w:val="36"/>
          <w:szCs w:val="36"/>
          <w:lang w:val="en-IN"/>
        </w:rPr>
      </w:pPr>
      <w:r w:rsidRPr="009E5101">
        <w:rPr>
          <w:rFonts w:ascii="Arial" w:hAnsi="Arial" w:cs="Arial"/>
          <w:b/>
          <w:bCs/>
          <w:sz w:val="36"/>
          <w:szCs w:val="36"/>
          <w:lang w:val="en-IN"/>
        </w:rPr>
        <w:t>Multivariate Selection of High-Performing Green Gram Accessions Based on Yield and Component Traits</w:t>
      </w:r>
    </w:p>
    <w:p w14:paraId="264CF66E" w14:textId="77777777" w:rsidR="00857906" w:rsidRDefault="00857906" w:rsidP="00FB2FCD">
      <w:pPr>
        <w:jc w:val="both"/>
        <w:rPr>
          <w:rFonts w:ascii="Arial" w:hAnsi="Arial" w:cs="Arial"/>
          <w:b/>
          <w:bCs/>
          <w:sz w:val="24"/>
          <w:szCs w:val="24"/>
        </w:rPr>
      </w:pPr>
    </w:p>
    <w:p w14:paraId="1AE2EC78" w14:textId="77777777" w:rsidR="002C57D2" w:rsidRPr="00FB3A86" w:rsidRDefault="002C57D2" w:rsidP="00441B6F">
      <w:pPr>
        <w:pStyle w:val="Affiliation"/>
        <w:spacing w:after="0" w:line="240" w:lineRule="auto"/>
        <w:jc w:val="both"/>
        <w:rPr>
          <w:rFonts w:ascii="Arial" w:hAnsi="Arial" w:cs="Arial"/>
        </w:rPr>
      </w:pPr>
    </w:p>
    <w:p w14:paraId="0E9664C7" w14:textId="76D5E16E" w:rsidR="00B01FCD" w:rsidRPr="00FB3A86" w:rsidRDefault="00687A4B" w:rsidP="00441B6F">
      <w:pPr>
        <w:pStyle w:val="Copyright"/>
        <w:spacing w:after="0" w:line="240" w:lineRule="auto"/>
        <w:jc w:val="both"/>
        <w:rPr>
          <w:rFonts w:ascii="Arial" w:hAnsi="Arial" w:cs="Arial"/>
        </w:rPr>
        <w:sectPr w:rsidR="00B01FCD" w:rsidRPr="00FB3A86" w:rsidSect="00ED64E7">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0A03FD" wp14:editId="6B3F4F66">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6C18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AA4EE13" w14:textId="58005AF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4E29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07DD9BF" w14:textId="77777777" w:rsidTr="001E44FE">
        <w:tc>
          <w:tcPr>
            <w:tcW w:w="9576" w:type="dxa"/>
            <w:shd w:val="clear" w:color="auto" w:fill="F2F2F2"/>
          </w:tcPr>
          <w:p w14:paraId="6D72BE5C" w14:textId="77777777" w:rsidR="00480ADF" w:rsidRDefault="00480ADF" w:rsidP="00480ADF">
            <w:pPr>
              <w:jc w:val="both"/>
              <w:rPr>
                <w:rFonts w:ascii="Arial" w:hAnsi="Arial" w:cs="Arial"/>
              </w:rPr>
            </w:pPr>
          </w:p>
          <w:p w14:paraId="0A6D6D70" w14:textId="73609226" w:rsidR="004D7CC9" w:rsidRPr="004D7CC9" w:rsidRDefault="004D7CC9" w:rsidP="004D7CC9">
            <w:pPr>
              <w:jc w:val="both"/>
              <w:rPr>
                <w:rFonts w:ascii="Arial" w:hAnsi="Arial" w:cs="Arial"/>
                <w:lang w:val="en-IN"/>
              </w:rPr>
            </w:pPr>
            <w:r w:rsidRPr="004D7CC9">
              <w:rPr>
                <w:rFonts w:ascii="Arial" w:hAnsi="Arial" w:cs="Arial"/>
                <w:lang w:val="en-IN"/>
              </w:rPr>
              <w:t>Th</w:t>
            </w:r>
            <w:r w:rsidR="004B7935">
              <w:rPr>
                <w:rFonts w:ascii="Arial" w:hAnsi="Arial" w:cs="Arial"/>
                <w:lang w:val="en-IN"/>
              </w:rPr>
              <w:t>e present</w:t>
            </w:r>
            <w:r w:rsidRPr="004D7CC9">
              <w:rPr>
                <w:rFonts w:ascii="Arial" w:hAnsi="Arial" w:cs="Arial"/>
                <w:lang w:val="en-IN"/>
              </w:rPr>
              <w:t xml:space="preserve"> study </w:t>
            </w:r>
            <w:r w:rsidR="004B7935">
              <w:rPr>
                <w:rFonts w:ascii="Arial" w:hAnsi="Arial" w:cs="Arial"/>
                <w:lang w:val="en-IN"/>
              </w:rPr>
              <w:t>was undertaken to evaluate</w:t>
            </w:r>
            <w:r w:rsidRPr="004D7CC9">
              <w:rPr>
                <w:rFonts w:ascii="Arial" w:hAnsi="Arial" w:cs="Arial"/>
                <w:lang w:val="en-IN"/>
              </w:rPr>
              <w:t xml:space="preserve"> eleven green gram (</w:t>
            </w:r>
            <w:r w:rsidRPr="004D7CC9">
              <w:rPr>
                <w:rFonts w:ascii="Arial" w:hAnsi="Arial" w:cs="Arial"/>
                <w:i/>
                <w:iCs/>
                <w:lang w:val="en-IN"/>
              </w:rPr>
              <w:t xml:space="preserve">Vigna radiata </w:t>
            </w:r>
            <w:r w:rsidRPr="004D7CC9">
              <w:rPr>
                <w:rFonts w:ascii="Arial" w:hAnsi="Arial" w:cs="Arial"/>
              </w:rPr>
              <w:t xml:space="preserve">(L.) </w:t>
            </w:r>
            <w:proofErr w:type="spellStart"/>
            <w:r w:rsidR="009E5101" w:rsidRPr="004D7CC9">
              <w:rPr>
                <w:rFonts w:ascii="Arial" w:hAnsi="Arial" w:cs="Arial"/>
              </w:rPr>
              <w:t>Wilczek</w:t>
            </w:r>
            <w:proofErr w:type="spellEnd"/>
            <w:r w:rsidR="009E5101" w:rsidRPr="004D7CC9">
              <w:rPr>
                <w:rFonts w:ascii="Arial" w:hAnsi="Arial" w:cs="Arial"/>
                <w:lang w:val="en-IN"/>
              </w:rPr>
              <w:t>)</w:t>
            </w:r>
            <w:r w:rsidRPr="004D7CC9">
              <w:rPr>
                <w:rFonts w:ascii="Arial" w:hAnsi="Arial" w:cs="Arial"/>
                <w:lang w:val="en-IN"/>
              </w:rPr>
              <w:t xml:space="preserve"> accessions to identify superior genotypes based on yield and key yield-associated traits. Significant genotypic correlations were observed </w:t>
            </w:r>
            <w:r w:rsidR="009E5101" w:rsidRPr="004D7CC9">
              <w:rPr>
                <w:rFonts w:ascii="Arial" w:hAnsi="Arial" w:cs="Arial"/>
                <w:lang w:val="en-IN"/>
              </w:rPr>
              <w:t>between yield</w:t>
            </w:r>
            <w:r w:rsidRPr="004D7CC9">
              <w:rPr>
                <w:rFonts w:ascii="Arial" w:hAnsi="Arial" w:cs="Arial"/>
                <w:lang w:val="en-IN"/>
              </w:rPr>
              <w:t xml:space="preserve"> per plant and number of pods per plant, number of primary branches, number of clusters per plant, and pod length. Path coefficient analysis revealed that number of pods per plant and pod length exerted strong positive</w:t>
            </w:r>
            <w:r w:rsidR="004B7935">
              <w:rPr>
                <w:rFonts w:ascii="Arial" w:hAnsi="Arial" w:cs="Arial"/>
                <w:lang w:val="en-IN"/>
              </w:rPr>
              <w:t xml:space="preserve"> and</w:t>
            </w:r>
            <w:r w:rsidRPr="004D7CC9">
              <w:rPr>
                <w:rFonts w:ascii="Arial" w:hAnsi="Arial" w:cs="Arial"/>
                <w:lang w:val="en-IN"/>
              </w:rPr>
              <w:t xml:space="preserve"> direct effects on yield indicating their value</w:t>
            </w:r>
            <w:r w:rsidR="004B7935">
              <w:rPr>
                <w:rFonts w:ascii="Arial" w:hAnsi="Arial" w:cs="Arial"/>
                <w:lang w:val="en-IN"/>
              </w:rPr>
              <w:t>s</w:t>
            </w:r>
            <w:r w:rsidRPr="004D7CC9">
              <w:rPr>
                <w:rFonts w:ascii="Arial" w:hAnsi="Arial" w:cs="Arial"/>
                <w:lang w:val="en-IN"/>
              </w:rPr>
              <w:t xml:space="preserve"> as primary selection criteria. Superior accessions were identified by integrating yield performance with favourable trait expression.</w:t>
            </w:r>
            <w:r w:rsidRPr="004D7CC9">
              <w:rPr>
                <w:rFonts w:ascii="Arial" w:hAnsi="Arial" w:cs="Arial"/>
              </w:rPr>
              <w:t xml:space="preserve"> Results obtained from the two approaches were almost comparable.</w:t>
            </w:r>
            <w:r w:rsidRPr="004D7CC9">
              <w:rPr>
                <w:rFonts w:ascii="Arial" w:hAnsi="Arial" w:cs="Arial"/>
                <w:lang w:val="en-IN"/>
              </w:rPr>
              <w:t xml:space="preserve"> Among the different multivariate approaches examined for constructing a selection index, the PCA biplot proved particularly effective for visualizing trait relationships and discriminating high-performing accessions. The findings provide a practical framework for trait-based selection in green gram improvement program</w:t>
            </w:r>
            <w:r w:rsidR="00665EB4">
              <w:rPr>
                <w:rFonts w:ascii="Arial" w:hAnsi="Arial" w:cs="Arial"/>
                <w:lang w:val="en-IN"/>
              </w:rPr>
              <w:t>s</w:t>
            </w:r>
            <w:r w:rsidRPr="004D7CC9">
              <w:rPr>
                <w:rFonts w:ascii="Arial" w:hAnsi="Arial" w:cs="Arial"/>
                <w:lang w:val="en-IN"/>
              </w:rPr>
              <w:t>.</w:t>
            </w:r>
          </w:p>
          <w:p w14:paraId="51B7BA95" w14:textId="4F0427AC" w:rsidR="00480ADF" w:rsidRPr="00480ADF" w:rsidRDefault="00480ADF" w:rsidP="004D7CC9">
            <w:pPr>
              <w:jc w:val="both"/>
              <w:rPr>
                <w:rFonts w:ascii="Arial" w:hAnsi="Arial" w:cs="Arial"/>
              </w:rPr>
            </w:pPr>
          </w:p>
        </w:tc>
      </w:tr>
    </w:tbl>
    <w:p w14:paraId="47173247" w14:textId="77777777" w:rsidR="00636EB2" w:rsidRDefault="00636EB2" w:rsidP="00441B6F">
      <w:pPr>
        <w:pStyle w:val="Body"/>
        <w:spacing w:after="0"/>
        <w:rPr>
          <w:rFonts w:ascii="Arial" w:hAnsi="Arial" w:cs="Arial"/>
          <w:i/>
        </w:rPr>
      </w:pPr>
    </w:p>
    <w:p w14:paraId="5DB528B4" w14:textId="48A606FA" w:rsidR="004D7CC9" w:rsidRPr="004D7CC9" w:rsidRDefault="00A24E7E" w:rsidP="004D7CC9">
      <w:pPr>
        <w:pStyle w:val="Body"/>
        <w:rPr>
          <w:rFonts w:ascii="Arial" w:hAnsi="Arial" w:cs="Arial"/>
          <w:i/>
        </w:rPr>
      </w:pPr>
      <w:r>
        <w:rPr>
          <w:rFonts w:ascii="Arial" w:hAnsi="Arial" w:cs="Arial"/>
          <w:i/>
        </w:rPr>
        <w:t xml:space="preserve">Keywords: </w:t>
      </w:r>
      <w:r w:rsidR="004B7935">
        <w:rPr>
          <w:rFonts w:ascii="Arial" w:hAnsi="Arial" w:cs="Arial"/>
          <w:i/>
        </w:rPr>
        <w:t>P</w:t>
      </w:r>
      <w:r w:rsidR="004D7CC9" w:rsidRPr="004D7CC9">
        <w:rPr>
          <w:rFonts w:ascii="Arial" w:hAnsi="Arial" w:cs="Arial"/>
          <w:i/>
        </w:rPr>
        <w:t>rincipal component analysis, selection index, PCA biplot</w:t>
      </w:r>
      <w:r w:rsidR="004B7935">
        <w:rPr>
          <w:rFonts w:ascii="Arial" w:hAnsi="Arial" w:cs="Arial"/>
          <w:i/>
        </w:rPr>
        <w:t>, high performing accessions</w:t>
      </w:r>
    </w:p>
    <w:p w14:paraId="5FF0A8FB" w14:textId="09E764D3" w:rsidR="00A24E7E" w:rsidRDefault="00A24E7E" w:rsidP="00441B6F">
      <w:pPr>
        <w:pStyle w:val="Body"/>
        <w:spacing w:after="0"/>
        <w:rPr>
          <w:rFonts w:ascii="Arial" w:hAnsi="Arial" w:cs="Arial"/>
          <w:i/>
        </w:rPr>
      </w:pPr>
    </w:p>
    <w:p w14:paraId="2E8F8132" w14:textId="77777777" w:rsidR="00790ADA" w:rsidRDefault="00790ADA" w:rsidP="00441B6F">
      <w:pPr>
        <w:pStyle w:val="Body"/>
        <w:spacing w:after="0"/>
        <w:rPr>
          <w:rFonts w:ascii="Arial" w:hAnsi="Arial" w:cs="Arial"/>
          <w:i/>
        </w:rPr>
      </w:pPr>
    </w:p>
    <w:p w14:paraId="692689D8" w14:textId="77777777" w:rsidR="00505F06" w:rsidRPr="00A24E7E" w:rsidRDefault="00505F06" w:rsidP="00441B6F">
      <w:pPr>
        <w:pStyle w:val="Body"/>
        <w:spacing w:after="0"/>
        <w:rPr>
          <w:rFonts w:ascii="Arial" w:hAnsi="Arial" w:cs="Arial"/>
          <w:i/>
        </w:rPr>
      </w:pPr>
    </w:p>
    <w:p w14:paraId="6DAF09AA" w14:textId="62C2F5A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87A6C8" w14:textId="77777777" w:rsidR="00FB2FCD" w:rsidRPr="00FB3A86" w:rsidRDefault="00FB2FCD" w:rsidP="00441B6F">
      <w:pPr>
        <w:pStyle w:val="AbstHead"/>
        <w:spacing w:after="0"/>
        <w:jc w:val="both"/>
        <w:rPr>
          <w:rFonts w:ascii="Arial" w:hAnsi="Arial" w:cs="Arial"/>
        </w:rPr>
      </w:pPr>
    </w:p>
    <w:p w14:paraId="585ED07F" w14:textId="646362A5" w:rsidR="004D7CC9" w:rsidRPr="004D7CC9" w:rsidRDefault="004D7CC9" w:rsidP="004D7CC9">
      <w:pPr>
        <w:jc w:val="both"/>
        <w:rPr>
          <w:rFonts w:ascii="Arial" w:hAnsi="Arial" w:cs="Arial"/>
          <w:lang w:val="en-IN"/>
        </w:rPr>
      </w:pPr>
      <w:r w:rsidRPr="004D7CC9">
        <w:rPr>
          <w:rFonts w:ascii="Arial" w:hAnsi="Arial" w:cs="Arial"/>
          <w:lang w:val="en-IN"/>
        </w:rPr>
        <w:t>Green gram [</w:t>
      </w:r>
      <w:r w:rsidRPr="004D7CC9">
        <w:rPr>
          <w:rFonts w:ascii="Arial" w:hAnsi="Arial" w:cs="Arial"/>
          <w:i/>
          <w:iCs/>
          <w:lang w:val="en-IN"/>
        </w:rPr>
        <w:t xml:space="preserve">Vigna </w:t>
      </w:r>
      <w:proofErr w:type="gramStart"/>
      <w:r w:rsidRPr="004D7CC9">
        <w:rPr>
          <w:rFonts w:ascii="Arial" w:hAnsi="Arial" w:cs="Arial"/>
          <w:i/>
          <w:iCs/>
          <w:lang w:val="en-IN"/>
        </w:rPr>
        <w:t>radiata</w:t>
      </w:r>
      <w:r w:rsidRPr="004D7CC9">
        <w:rPr>
          <w:rFonts w:ascii="Arial" w:hAnsi="Arial" w:cs="Arial"/>
          <w:lang w:val="en-IN"/>
        </w:rPr>
        <w:t xml:space="preserve">  </w:t>
      </w:r>
      <w:r w:rsidRPr="004D7CC9">
        <w:rPr>
          <w:rFonts w:ascii="Arial" w:hAnsi="Arial" w:cs="Arial"/>
        </w:rPr>
        <w:t>(</w:t>
      </w:r>
      <w:proofErr w:type="gramEnd"/>
      <w:r w:rsidRPr="004D7CC9">
        <w:rPr>
          <w:rFonts w:ascii="Arial" w:hAnsi="Arial" w:cs="Arial"/>
        </w:rPr>
        <w:t xml:space="preserve">L.) </w:t>
      </w:r>
      <w:proofErr w:type="spellStart"/>
      <w:r w:rsidRPr="004D7CC9">
        <w:rPr>
          <w:rFonts w:ascii="Arial" w:hAnsi="Arial" w:cs="Arial"/>
        </w:rPr>
        <w:t>Wilczek</w:t>
      </w:r>
      <w:proofErr w:type="spellEnd"/>
      <w:r w:rsidRPr="004D7CC9">
        <w:rPr>
          <w:rFonts w:ascii="Arial" w:hAnsi="Arial" w:cs="Arial"/>
          <w:lang w:val="en-IN"/>
        </w:rPr>
        <w:t xml:space="preserve">], known as </w:t>
      </w:r>
      <w:proofErr w:type="spellStart"/>
      <w:r w:rsidRPr="004D7CC9">
        <w:rPr>
          <w:rFonts w:ascii="Arial" w:hAnsi="Arial" w:cs="Arial"/>
          <w:lang w:val="en-IN"/>
        </w:rPr>
        <w:t>mungbean</w:t>
      </w:r>
      <w:proofErr w:type="spellEnd"/>
      <w:r w:rsidRPr="004D7CC9">
        <w:rPr>
          <w:rFonts w:ascii="Arial" w:hAnsi="Arial" w:cs="Arial"/>
          <w:lang w:val="en-IN"/>
        </w:rPr>
        <w:t xml:space="preserve">, is believed to have originated in India and Central Asia. The crop is characterized by a short growth cycle, which makes it highly adaptable to diverse </w:t>
      </w:r>
      <w:proofErr w:type="spellStart"/>
      <w:r w:rsidRPr="004D7CC9">
        <w:rPr>
          <w:rFonts w:ascii="Arial" w:hAnsi="Arial" w:cs="Arial"/>
          <w:lang w:val="en-IN"/>
        </w:rPr>
        <w:t>agro</w:t>
      </w:r>
      <w:proofErr w:type="spellEnd"/>
      <w:r w:rsidRPr="004D7CC9">
        <w:rPr>
          <w:rFonts w:ascii="Arial" w:hAnsi="Arial" w:cs="Arial"/>
          <w:lang w:val="en-IN"/>
        </w:rPr>
        <w:t>-ecological conditions and suitable for multiple cropping systems. Nutritionally, green gram is an excellent source of plant-based protein, containing approximately 2</w:t>
      </w:r>
      <w:r w:rsidR="00702C88">
        <w:rPr>
          <w:rFonts w:ascii="Arial" w:hAnsi="Arial" w:cs="Arial"/>
          <w:lang w:val="en-IN"/>
        </w:rPr>
        <w:t>4</w:t>
      </w:r>
      <w:r w:rsidRPr="004D7CC9">
        <w:rPr>
          <w:rFonts w:ascii="Arial" w:hAnsi="Arial" w:cs="Arial"/>
          <w:lang w:val="en-IN"/>
        </w:rPr>
        <w:t>.0%</w:t>
      </w:r>
      <w:r w:rsidR="0008284C">
        <w:rPr>
          <w:rFonts w:ascii="Arial" w:hAnsi="Arial" w:cs="Arial"/>
          <w:lang w:val="en-IN"/>
        </w:rPr>
        <w:t xml:space="preserve"> </w:t>
      </w:r>
      <w:r w:rsidRPr="004D7CC9">
        <w:rPr>
          <w:rFonts w:ascii="Arial" w:hAnsi="Arial" w:cs="Arial"/>
          <w:lang w:val="en-IN"/>
        </w:rPr>
        <w:t>crude protein, 1.</w:t>
      </w:r>
      <w:r w:rsidR="00702C88">
        <w:rPr>
          <w:rFonts w:ascii="Arial" w:hAnsi="Arial" w:cs="Arial"/>
          <w:lang w:val="en-IN"/>
        </w:rPr>
        <w:t>0</w:t>
      </w:r>
      <w:r w:rsidRPr="004D7CC9">
        <w:rPr>
          <w:rFonts w:ascii="Arial" w:hAnsi="Arial" w:cs="Arial"/>
          <w:lang w:val="en-IN"/>
        </w:rPr>
        <w:t xml:space="preserve">% fat, and </w:t>
      </w:r>
      <w:r w:rsidR="00702C88">
        <w:rPr>
          <w:rFonts w:ascii="Arial" w:hAnsi="Arial" w:cs="Arial"/>
          <w:lang w:val="en-IN"/>
        </w:rPr>
        <w:t>62</w:t>
      </w:r>
      <w:r w:rsidRPr="004D7CC9">
        <w:rPr>
          <w:rFonts w:ascii="Arial" w:hAnsi="Arial" w:cs="Arial"/>
          <w:lang w:val="en-IN"/>
        </w:rPr>
        <w:t>% carbohydrates, providing approximately 334 kcal per 100 g. It is also a good source of minerals and vitamins with 140 mg calcium, 8.4 mg iron, 280 mg phosphorus, 0.47 mg thiamine (B1), 0.39 mg riboflavin (B2), and 2.0 mg niacin per 100 g of green gram (</w:t>
      </w:r>
      <w:proofErr w:type="spellStart"/>
      <w:r w:rsidR="00702C88" w:rsidRPr="00702C88">
        <w:rPr>
          <w:rFonts w:ascii="Arial" w:hAnsi="Arial" w:cs="Arial"/>
        </w:rPr>
        <w:t>Chongre</w:t>
      </w:r>
      <w:proofErr w:type="spellEnd"/>
      <w:r w:rsidR="00702C88">
        <w:rPr>
          <w:rFonts w:ascii="Arial" w:hAnsi="Arial" w:cs="Arial"/>
        </w:rPr>
        <w:t xml:space="preserve"> </w:t>
      </w:r>
      <w:r w:rsidR="00702C88" w:rsidRPr="00702C88">
        <w:rPr>
          <w:rFonts w:ascii="Arial" w:hAnsi="Arial" w:cs="Arial"/>
          <w:i/>
          <w:iCs/>
        </w:rPr>
        <w:t>et al</w:t>
      </w:r>
      <w:r w:rsidR="00702C88">
        <w:rPr>
          <w:rFonts w:ascii="Arial" w:hAnsi="Arial" w:cs="Arial"/>
        </w:rPr>
        <w:t>., 2019</w:t>
      </w:r>
      <w:r w:rsidRPr="004D7CC9">
        <w:rPr>
          <w:rFonts w:ascii="Arial" w:hAnsi="Arial" w:cs="Arial"/>
          <w:lang w:val="en-IN"/>
        </w:rPr>
        <w:t xml:space="preserve">). In addition to its nutritional value, green gram contributes significantly to soil health through symbiotic nitrogen fixation with </w:t>
      </w:r>
      <w:r w:rsidRPr="004D7CC9">
        <w:rPr>
          <w:rFonts w:ascii="Arial" w:hAnsi="Arial" w:cs="Arial"/>
          <w:i/>
          <w:iCs/>
          <w:lang w:val="en-IN"/>
        </w:rPr>
        <w:t>Rhizobium</w:t>
      </w:r>
      <w:r w:rsidRPr="004D7CC9">
        <w:rPr>
          <w:rFonts w:ascii="Arial" w:hAnsi="Arial" w:cs="Arial"/>
          <w:lang w:val="en-IN"/>
        </w:rPr>
        <w:t xml:space="preserve"> species. </w:t>
      </w:r>
    </w:p>
    <w:p w14:paraId="48717892" w14:textId="77777777" w:rsidR="004D7CC9" w:rsidRPr="004D7CC9" w:rsidRDefault="004D7CC9" w:rsidP="004D7CC9">
      <w:pPr>
        <w:jc w:val="both"/>
        <w:rPr>
          <w:rFonts w:ascii="Arial" w:hAnsi="Arial" w:cs="Arial"/>
          <w:lang w:val="en-IN"/>
        </w:rPr>
      </w:pPr>
    </w:p>
    <w:p w14:paraId="442B4A1D" w14:textId="6516FB7F" w:rsidR="004D7CC9" w:rsidRPr="004D7CC9" w:rsidRDefault="004D7CC9" w:rsidP="004D7CC9">
      <w:pPr>
        <w:jc w:val="both"/>
        <w:rPr>
          <w:rFonts w:ascii="Arial" w:hAnsi="Arial" w:cs="Arial"/>
          <w:b/>
          <w:bCs/>
          <w:u w:val="single"/>
          <w:lang w:val="en-IN"/>
        </w:rPr>
      </w:pPr>
      <w:r w:rsidRPr="004D7CC9">
        <w:rPr>
          <w:rFonts w:ascii="Arial" w:hAnsi="Arial" w:cs="Arial"/>
          <w:lang w:val="en-IN"/>
        </w:rPr>
        <w:t xml:space="preserve">In India, green gram is the third most important pulse </w:t>
      </w:r>
      <w:proofErr w:type="gramStart"/>
      <w:r w:rsidRPr="004D7CC9">
        <w:rPr>
          <w:rFonts w:ascii="Arial" w:hAnsi="Arial" w:cs="Arial"/>
          <w:lang w:val="en-IN"/>
        </w:rPr>
        <w:t>crop  after</w:t>
      </w:r>
      <w:proofErr w:type="gramEnd"/>
      <w:r w:rsidRPr="004D7CC9">
        <w:rPr>
          <w:rFonts w:ascii="Arial" w:hAnsi="Arial" w:cs="Arial"/>
          <w:lang w:val="en-IN"/>
        </w:rPr>
        <w:t xml:space="preserve"> pigeon pea and chickpea. During 2023-24, 15.93 lakh hectares of land</w:t>
      </w:r>
      <w:r w:rsidR="004B7935">
        <w:rPr>
          <w:rFonts w:ascii="Arial" w:hAnsi="Arial" w:cs="Arial"/>
          <w:lang w:val="en-IN"/>
        </w:rPr>
        <w:t xml:space="preserve"> </w:t>
      </w:r>
      <w:r w:rsidRPr="004D7CC9">
        <w:rPr>
          <w:rFonts w:ascii="Arial" w:hAnsi="Arial" w:cs="Arial"/>
          <w:lang w:val="en-IN"/>
        </w:rPr>
        <w:t>were under green gram cultivation (</w:t>
      </w:r>
      <w:proofErr w:type="spellStart"/>
      <w:r w:rsidRPr="004D7CC9">
        <w:rPr>
          <w:rFonts w:ascii="Arial" w:hAnsi="Arial" w:cs="Arial"/>
          <w:lang w:val="en-IN"/>
        </w:rPr>
        <w:t>Jat</w:t>
      </w:r>
      <w:proofErr w:type="spellEnd"/>
      <w:r w:rsidRPr="004D7CC9">
        <w:rPr>
          <w:rFonts w:ascii="Arial" w:hAnsi="Arial" w:cs="Arial"/>
          <w:lang w:val="en-IN"/>
        </w:rPr>
        <w:t xml:space="preserve"> </w:t>
      </w:r>
      <w:r w:rsidRPr="004D7CC9">
        <w:rPr>
          <w:rFonts w:ascii="Arial" w:hAnsi="Arial" w:cs="Arial"/>
          <w:i/>
          <w:iCs/>
          <w:lang w:val="en-IN"/>
        </w:rPr>
        <w:t>et al</w:t>
      </w:r>
      <w:r w:rsidRPr="004D7CC9">
        <w:rPr>
          <w:rFonts w:ascii="Arial" w:hAnsi="Arial" w:cs="Arial"/>
          <w:lang w:val="en-IN"/>
        </w:rPr>
        <w:t>., 2024). The primary green gram producing states are Rajasthan, Karnataka, Maharashtra, Odisha, Madhya Pradesh and Gujarat (Green gram outlook, 2024).</w:t>
      </w:r>
      <w:r w:rsidR="0079580F">
        <w:rPr>
          <w:rFonts w:ascii="Arial" w:hAnsi="Arial" w:cs="Arial"/>
          <w:lang w:val="en-IN"/>
        </w:rPr>
        <w:t xml:space="preserve"> </w:t>
      </w:r>
      <w:r w:rsidRPr="004D7CC9">
        <w:rPr>
          <w:rFonts w:ascii="Arial" w:hAnsi="Arial" w:cs="Arial"/>
          <w:lang w:val="en-IN"/>
        </w:rPr>
        <w:t>Enhanc</w:t>
      </w:r>
      <w:r w:rsidR="004B7935">
        <w:rPr>
          <w:rFonts w:ascii="Arial" w:hAnsi="Arial" w:cs="Arial"/>
          <w:lang w:val="en-IN"/>
        </w:rPr>
        <w:t xml:space="preserve">ement </w:t>
      </w:r>
      <w:proofErr w:type="gramStart"/>
      <w:r w:rsidR="004B7935">
        <w:rPr>
          <w:rFonts w:ascii="Arial" w:hAnsi="Arial" w:cs="Arial"/>
          <w:lang w:val="en-IN"/>
        </w:rPr>
        <w:t xml:space="preserve">of </w:t>
      </w:r>
      <w:r w:rsidRPr="004D7CC9">
        <w:rPr>
          <w:rFonts w:ascii="Arial" w:hAnsi="Arial" w:cs="Arial"/>
          <w:lang w:val="en-IN"/>
        </w:rPr>
        <w:t xml:space="preserve"> </w:t>
      </w:r>
      <w:r w:rsidRPr="004D7CC9">
        <w:rPr>
          <w:rFonts w:ascii="Arial" w:hAnsi="Arial" w:cs="Arial"/>
          <w:lang w:val="en-IN"/>
        </w:rPr>
        <w:lastRenderedPageBreak/>
        <w:t>productivity</w:t>
      </w:r>
      <w:proofErr w:type="gramEnd"/>
      <w:r w:rsidRPr="004D7CC9">
        <w:rPr>
          <w:rFonts w:ascii="Arial" w:hAnsi="Arial" w:cs="Arial"/>
          <w:lang w:val="en-IN"/>
        </w:rPr>
        <w:t xml:space="preserve"> requires the availability and adoption of high-yielding accessions suited to local production systems.</w:t>
      </w:r>
    </w:p>
    <w:p w14:paraId="4BC7028A" w14:textId="77777777" w:rsidR="004D7CC9" w:rsidRPr="004D7CC9" w:rsidRDefault="004D7CC9" w:rsidP="004D7CC9">
      <w:pPr>
        <w:jc w:val="both"/>
        <w:rPr>
          <w:rFonts w:ascii="Arial" w:hAnsi="Arial" w:cs="Arial"/>
          <w:lang w:val="en-IN"/>
        </w:rPr>
      </w:pPr>
      <w:r w:rsidRPr="004D7CC9">
        <w:rPr>
          <w:rFonts w:ascii="Arial" w:hAnsi="Arial" w:cs="Arial"/>
          <w:lang w:val="en-IN"/>
        </w:rPr>
        <w:t xml:space="preserve">. </w:t>
      </w:r>
    </w:p>
    <w:p w14:paraId="2CB95754" w14:textId="6035B232" w:rsidR="004D7CC9" w:rsidRPr="004D7CC9" w:rsidRDefault="004B7935" w:rsidP="004D7CC9">
      <w:pPr>
        <w:jc w:val="both"/>
        <w:rPr>
          <w:rFonts w:ascii="Arial" w:hAnsi="Arial" w:cs="Arial"/>
          <w:lang w:val="en-IN"/>
        </w:rPr>
      </w:pPr>
      <w:r>
        <w:rPr>
          <w:rFonts w:ascii="Arial" w:hAnsi="Arial" w:cs="Arial"/>
          <w:lang w:val="en-IN"/>
        </w:rPr>
        <w:t xml:space="preserve">As the yield of a crop </w:t>
      </w:r>
      <w:r w:rsidR="004D7CC9" w:rsidRPr="004D7CC9">
        <w:rPr>
          <w:rFonts w:ascii="Arial" w:hAnsi="Arial" w:cs="Arial"/>
          <w:lang w:val="en-IN"/>
        </w:rPr>
        <w:t xml:space="preserve">is a complex quantitative trait, direct selection for yield alone is often inefficient. Yield associated traits with higher heritability and strong direct effects offer a more effective basis for selection. In this context, the present study </w:t>
      </w:r>
      <w:r>
        <w:rPr>
          <w:rFonts w:ascii="Arial" w:hAnsi="Arial" w:cs="Arial"/>
          <w:lang w:val="en-IN"/>
        </w:rPr>
        <w:t xml:space="preserve">was undertaken </w:t>
      </w:r>
      <w:r w:rsidR="004D7CC9" w:rsidRPr="004D7CC9">
        <w:rPr>
          <w:rFonts w:ascii="Arial" w:hAnsi="Arial" w:cs="Arial"/>
          <w:lang w:val="en-IN"/>
        </w:rPr>
        <w:t>to identify superior green gram accessions by integrating yield performance with key yield-contributing traits.</w:t>
      </w:r>
    </w:p>
    <w:p w14:paraId="3C98325F" w14:textId="77777777" w:rsidR="00FB2FCD" w:rsidRPr="00FB2FCD" w:rsidRDefault="00FB2FCD" w:rsidP="00FB2FCD">
      <w:pPr>
        <w:jc w:val="both"/>
        <w:rPr>
          <w:rFonts w:ascii="Arial" w:hAnsi="Arial" w:cs="Arial"/>
        </w:rPr>
      </w:pPr>
    </w:p>
    <w:p w14:paraId="52A1CE45" w14:textId="519D903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17ED5E6" w14:textId="77777777" w:rsidR="00FB2FCD" w:rsidRPr="00FB2FCD" w:rsidRDefault="00FB2FCD" w:rsidP="00FB2FCD">
      <w:pPr>
        <w:jc w:val="both"/>
        <w:rPr>
          <w:rFonts w:ascii="Arial" w:hAnsi="Arial" w:cs="Arial"/>
          <w:b/>
          <w:bCs/>
          <w:sz w:val="22"/>
          <w:szCs w:val="22"/>
        </w:rPr>
      </w:pPr>
    </w:p>
    <w:p w14:paraId="37362A33" w14:textId="54F233DA"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D617C9">
        <w:rPr>
          <w:rFonts w:ascii="Arial" w:hAnsi="Arial" w:cs="Arial"/>
          <w:b/>
          <w:bCs/>
          <w:sz w:val="22"/>
          <w:szCs w:val="22"/>
        </w:rPr>
        <w:t xml:space="preserve">1 </w:t>
      </w:r>
      <w:r w:rsidR="00190AF0">
        <w:rPr>
          <w:rFonts w:ascii="Arial" w:hAnsi="Arial" w:cs="Arial"/>
          <w:b/>
          <w:bCs/>
          <w:sz w:val="22"/>
          <w:szCs w:val="22"/>
        </w:rPr>
        <w:t>Experimental design</w:t>
      </w:r>
      <w:r w:rsidR="00C802D5">
        <w:rPr>
          <w:rFonts w:ascii="Arial" w:hAnsi="Arial" w:cs="Arial"/>
          <w:b/>
          <w:bCs/>
          <w:sz w:val="22"/>
          <w:szCs w:val="22"/>
        </w:rPr>
        <w:t xml:space="preserve"> and treatments</w:t>
      </w:r>
    </w:p>
    <w:p w14:paraId="4E092CF0" w14:textId="77777777" w:rsidR="00FB2FCD" w:rsidRDefault="00FB2FCD" w:rsidP="00FB2FCD">
      <w:pPr>
        <w:jc w:val="both"/>
        <w:rPr>
          <w:rFonts w:ascii="Arial" w:hAnsi="Arial" w:cs="Arial"/>
          <w:sz w:val="24"/>
          <w:szCs w:val="24"/>
        </w:rPr>
      </w:pPr>
    </w:p>
    <w:p w14:paraId="62E184C9" w14:textId="324D50E1" w:rsidR="001E5F06" w:rsidRDefault="004D7CC9" w:rsidP="001E5F06">
      <w:pPr>
        <w:jc w:val="both"/>
        <w:rPr>
          <w:rFonts w:ascii="Arial" w:hAnsi="Arial" w:cs="Arial"/>
        </w:rPr>
      </w:pPr>
      <w:r w:rsidRPr="004D7CC9">
        <w:rPr>
          <w:rFonts w:ascii="Arial" w:hAnsi="Arial" w:cs="Arial"/>
        </w:rPr>
        <w:t xml:space="preserve">The experiment was conducted </w:t>
      </w:r>
      <w:r w:rsidR="004B7935">
        <w:rPr>
          <w:rFonts w:ascii="Arial" w:hAnsi="Arial" w:cs="Arial"/>
        </w:rPr>
        <w:t xml:space="preserve">in the </w:t>
      </w:r>
      <w:r w:rsidRPr="004D7CC9">
        <w:rPr>
          <w:rFonts w:ascii="Arial" w:hAnsi="Arial" w:cs="Arial"/>
        </w:rPr>
        <w:t xml:space="preserve">Experimental Field of Department of Plant Breeding and Genetics, College of Agriculture, </w:t>
      </w:r>
      <w:proofErr w:type="spellStart"/>
      <w:r w:rsidRPr="004D7CC9">
        <w:rPr>
          <w:rFonts w:ascii="Arial" w:hAnsi="Arial" w:cs="Arial"/>
        </w:rPr>
        <w:t>Vellanikkara</w:t>
      </w:r>
      <w:proofErr w:type="spellEnd"/>
      <w:r w:rsidRPr="004D7CC9">
        <w:rPr>
          <w:rFonts w:ascii="Arial" w:hAnsi="Arial" w:cs="Arial"/>
        </w:rPr>
        <w:t>, Kerala Agricultural University, Thrissur, Kerala (</w:t>
      </w:r>
      <w:r w:rsidR="004A2737">
        <w:rPr>
          <w:rFonts w:ascii="Arial" w:hAnsi="Arial" w:cs="Arial"/>
        </w:rPr>
        <w:t>1</w:t>
      </w:r>
      <w:r w:rsidRPr="004D7CC9">
        <w:rPr>
          <w:rFonts w:ascii="Arial" w:hAnsi="Arial" w:cs="Arial"/>
        </w:rPr>
        <w:t xml:space="preserve">0°32’11’’N and 76°16’43’’E and 97m above mean sea level) during June to August, 2024. The experimental material comprised of 11 accessions of green gram viz., IC 394380, IC 394640, IC 392930, IC 247820, IC 224780, </w:t>
      </w:r>
      <w:proofErr w:type="spellStart"/>
      <w:r w:rsidRPr="004D7CC9">
        <w:rPr>
          <w:rFonts w:ascii="Arial" w:hAnsi="Arial" w:cs="Arial"/>
        </w:rPr>
        <w:t>Pusa</w:t>
      </w:r>
      <w:proofErr w:type="spellEnd"/>
      <w:r w:rsidRPr="004D7CC9">
        <w:rPr>
          <w:rFonts w:ascii="Arial" w:hAnsi="Arial" w:cs="Arial"/>
        </w:rPr>
        <w:t xml:space="preserve"> M 2142, CO8, CO6, TM 96, Virat and IC 393910. The experiment was laid out in randomized</w:t>
      </w:r>
      <w:r w:rsidR="001D30F7">
        <w:rPr>
          <w:rFonts w:ascii="Arial" w:hAnsi="Arial" w:cs="Arial"/>
        </w:rPr>
        <w:t xml:space="preserve"> complete</w:t>
      </w:r>
      <w:r w:rsidRPr="004D7CC9">
        <w:rPr>
          <w:rFonts w:ascii="Arial" w:hAnsi="Arial" w:cs="Arial"/>
        </w:rPr>
        <w:t xml:space="preserve"> block design with three replications. Line sowing was adopted within each block with a spacing of 30 x 10 cm and standard agronomic practices were adopted.</w:t>
      </w:r>
    </w:p>
    <w:p w14:paraId="14B56F23" w14:textId="77777777" w:rsidR="00FB2FCD" w:rsidRDefault="00FB2FCD" w:rsidP="00FB2FCD">
      <w:pPr>
        <w:jc w:val="both"/>
        <w:rPr>
          <w:rFonts w:ascii="Arial" w:hAnsi="Arial" w:cs="Arial"/>
          <w:b/>
          <w:bCs/>
          <w:sz w:val="24"/>
          <w:szCs w:val="24"/>
        </w:rPr>
      </w:pPr>
    </w:p>
    <w:p w14:paraId="24C4961F" w14:textId="4A9CB245"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9E5101">
        <w:rPr>
          <w:rFonts w:ascii="Arial" w:hAnsi="Arial" w:cs="Arial"/>
          <w:b/>
          <w:bCs/>
          <w:sz w:val="22"/>
          <w:szCs w:val="22"/>
        </w:rPr>
        <w:t>2</w:t>
      </w:r>
      <w:r w:rsidR="00C802D5">
        <w:rPr>
          <w:rFonts w:ascii="Arial" w:hAnsi="Arial" w:cs="Arial"/>
          <w:b/>
          <w:bCs/>
          <w:sz w:val="22"/>
          <w:szCs w:val="22"/>
        </w:rPr>
        <w:t xml:space="preserve"> Data collection</w:t>
      </w:r>
    </w:p>
    <w:p w14:paraId="3D59302F" w14:textId="77777777" w:rsidR="00FB2FCD" w:rsidRPr="00FB2FCD" w:rsidRDefault="00FB2FCD" w:rsidP="00FB2FCD">
      <w:pPr>
        <w:jc w:val="both"/>
        <w:rPr>
          <w:rFonts w:ascii="Arial" w:hAnsi="Arial" w:cs="Arial"/>
          <w:sz w:val="22"/>
          <w:szCs w:val="22"/>
        </w:rPr>
      </w:pPr>
    </w:p>
    <w:p w14:paraId="297B4164" w14:textId="5C8E4A87" w:rsidR="00FB2FCD" w:rsidRPr="009E5101" w:rsidRDefault="009E5101" w:rsidP="00FB2FCD">
      <w:pPr>
        <w:jc w:val="both"/>
        <w:rPr>
          <w:rFonts w:ascii="Arial" w:hAnsi="Arial" w:cs="Arial"/>
        </w:rPr>
      </w:pPr>
      <w:r w:rsidRPr="009E5101">
        <w:rPr>
          <w:rFonts w:ascii="Arial" w:hAnsi="Arial" w:cs="Arial"/>
        </w:rPr>
        <w:t>Observations were recorded on twelve traits viz., days to 50 per</w:t>
      </w:r>
      <w:r w:rsidR="00E67F6B">
        <w:rPr>
          <w:rFonts w:ascii="Arial" w:hAnsi="Arial" w:cs="Arial"/>
        </w:rPr>
        <w:t xml:space="preserve"> </w:t>
      </w:r>
      <w:r w:rsidRPr="009E5101">
        <w:rPr>
          <w:rFonts w:ascii="Arial" w:hAnsi="Arial" w:cs="Arial"/>
        </w:rPr>
        <w:t>cent flowering, days to maturity, plant height, number of primary branches per plant, number of secondary branches per plant, number of clusters per plant, number of pods per cluster, number of pods per plant, number of seeds per pod, pod length, 100 seed weight and yield per plant.</w:t>
      </w:r>
    </w:p>
    <w:p w14:paraId="564090BE" w14:textId="77777777" w:rsidR="00FB2FCD" w:rsidRDefault="00FB2FCD" w:rsidP="00FB2FCD">
      <w:pPr>
        <w:jc w:val="both"/>
        <w:rPr>
          <w:rFonts w:ascii="Arial" w:hAnsi="Arial" w:cs="Arial"/>
          <w:sz w:val="24"/>
          <w:szCs w:val="24"/>
        </w:rPr>
      </w:pPr>
    </w:p>
    <w:p w14:paraId="05709C34" w14:textId="262DEC30" w:rsidR="00FB2FCD" w:rsidRPr="00FB2FCD" w:rsidRDefault="00FB2FCD" w:rsidP="00FB2FCD">
      <w:pPr>
        <w:jc w:val="both"/>
        <w:rPr>
          <w:rFonts w:ascii="Arial" w:eastAsiaTheme="minorEastAsia" w:hAnsi="Arial" w:cs="Arial"/>
          <w:b/>
          <w:bCs/>
          <w:sz w:val="22"/>
          <w:szCs w:val="22"/>
        </w:rPr>
      </w:pPr>
      <w:r w:rsidRPr="00FB2FCD">
        <w:rPr>
          <w:rFonts w:ascii="Arial" w:eastAsiaTheme="minorEastAsia" w:hAnsi="Arial" w:cs="Arial"/>
          <w:b/>
          <w:bCs/>
          <w:sz w:val="22"/>
          <w:szCs w:val="22"/>
        </w:rPr>
        <w:t>2.</w:t>
      </w:r>
      <w:r w:rsidR="009E5101">
        <w:rPr>
          <w:rFonts w:ascii="Arial" w:eastAsiaTheme="minorEastAsia" w:hAnsi="Arial" w:cs="Arial"/>
          <w:b/>
          <w:bCs/>
          <w:sz w:val="22"/>
          <w:szCs w:val="22"/>
        </w:rPr>
        <w:t>3</w:t>
      </w:r>
      <w:r w:rsidRPr="00FB2FCD">
        <w:rPr>
          <w:rFonts w:ascii="Arial" w:eastAsiaTheme="minorEastAsia" w:hAnsi="Arial" w:cs="Arial"/>
          <w:b/>
          <w:bCs/>
          <w:sz w:val="22"/>
          <w:szCs w:val="22"/>
        </w:rPr>
        <w:t xml:space="preserve"> Statistical analysis</w:t>
      </w:r>
    </w:p>
    <w:p w14:paraId="08CF2C7F" w14:textId="77777777" w:rsidR="00FB2FCD" w:rsidRDefault="00FB2FCD" w:rsidP="00FB2FCD">
      <w:pPr>
        <w:jc w:val="both"/>
        <w:rPr>
          <w:rFonts w:ascii="Arial" w:eastAsiaTheme="minorEastAsia" w:hAnsi="Arial" w:cs="Arial"/>
          <w:sz w:val="24"/>
          <w:szCs w:val="24"/>
        </w:rPr>
      </w:pPr>
    </w:p>
    <w:p w14:paraId="34FCE751" w14:textId="55A74448" w:rsidR="004D7CC9" w:rsidRDefault="004D7CC9" w:rsidP="004D7CC9">
      <w:pPr>
        <w:jc w:val="both"/>
        <w:rPr>
          <w:rFonts w:ascii="Arial" w:hAnsi="Arial" w:cs="Arial"/>
        </w:rPr>
      </w:pPr>
      <w:r w:rsidRPr="004D7CC9">
        <w:rPr>
          <w:rFonts w:ascii="Arial" w:hAnsi="Arial" w:cs="Arial"/>
        </w:rPr>
        <w:t>Genotypic correlations were estimated,</w:t>
      </w:r>
      <w:r w:rsidR="002345EE">
        <w:rPr>
          <w:rFonts w:ascii="Arial" w:hAnsi="Arial" w:cs="Arial"/>
        </w:rPr>
        <w:t xml:space="preserve"> </w:t>
      </w:r>
      <w:r w:rsidRPr="004D7CC9">
        <w:rPr>
          <w:rFonts w:ascii="Arial" w:hAnsi="Arial" w:cs="Arial"/>
        </w:rPr>
        <w:t xml:space="preserve">and traits showing significant correlation with yield were further subjected to path coefficient analysis using variability package in R Studio version 4.2.2. Principal component analysis (PCA) was carried out using yield and traits correlated with yield using KAU GRAPES (Gopinath </w:t>
      </w:r>
      <w:r w:rsidRPr="004D7CC9">
        <w:rPr>
          <w:rFonts w:ascii="Arial" w:hAnsi="Arial" w:cs="Arial"/>
          <w:i/>
          <w:iCs/>
        </w:rPr>
        <w:t>et</w:t>
      </w:r>
      <w:r w:rsidRPr="004D7CC9">
        <w:rPr>
          <w:rFonts w:ascii="Arial" w:hAnsi="Arial" w:cs="Arial"/>
        </w:rPr>
        <w:t xml:space="preserve"> </w:t>
      </w:r>
      <w:r w:rsidRPr="004D7CC9">
        <w:rPr>
          <w:rFonts w:ascii="Arial" w:hAnsi="Arial" w:cs="Arial"/>
          <w:i/>
          <w:iCs/>
        </w:rPr>
        <w:t>al</w:t>
      </w:r>
      <w:r w:rsidRPr="004D7CC9">
        <w:rPr>
          <w:rFonts w:ascii="Arial" w:hAnsi="Arial" w:cs="Arial"/>
        </w:rPr>
        <w:t>., 2021). Superior accessions were selected based on yield and yield-associated traits using the methods of Arunachalam and Bandyopadhyay (1984) and the PCA-based approach.</w:t>
      </w:r>
    </w:p>
    <w:p w14:paraId="137CBE7D" w14:textId="77777777" w:rsidR="009E5101" w:rsidRDefault="009E5101" w:rsidP="004D7CC9">
      <w:pPr>
        <w:jc w:val="both"/>
        <w:rPr>
          <w:rFonts w:ascii="Arial" w:hAnsi="Arial" w:cs="Arial"/>
        </w:rPr>
      </w:pPr>
    </w:p>
    <w:p w14:paraId="2D294B76" w14:textId="00903B9E" w:rsidR="009E5101" w:rsidRDefault="009E5101" w:rsidP="004D7CC9">
      <w:pPr>
        <w:jc w:val="both"/>
        <w:rPr>
          <w:rFonts w:ascii="Arial" w:hAnsi="Arial" w:cs="Arial"/>
          <w:b/>
          <w:bCs/>
          <w:sz w:val="22"/>
          <w:szCs w:val="22"/>
        </w:rPr>
      </w:pPr>
      <w:r w:rsidRPr="009E5101">
        <w:rPr>
          <w:rFonts w:ascii="Arial" w:hAnsi="Arial" w:cs="Arial"/>
          <w:b/>
          <w:bCs/>
          <w:sz w:val="22"/>
          <w:szCs w:val="22"/>
        </w:rPr>
        <w:t>2.3</w:t>
      </w:r>
      <w:r>
        <w:rPr>
          <w:rFonts w:ascii="Arial" w:hAnsi="Arial" w:cs="Arial"/>
          <w:b/>
          <w:bCs/>
          <w:sz w:val="22"/>
          <w:szCs w:val="22"/>
        </w:rPr>
        <w:t>.1</w:t>
      </w:r>
      <w:r w:rsidRPr="009E5101">
        <w:rPr>
          <w:rFonts w:ascii="Arial" w:hAnsi="Arial" w:cs="Arial"/>
          <w:b/>
          <w:bCs/>
          <w:sz w:val="22"/>
          <w:szCs w:val="22"/>
        </w:rPr>
        <w:t xml:space="preserve"> Arunachalam and Bandyopadhyay </w:t>
      </w:r>
      <w:r>
        <w:rPr>
          <w:rFonts w:ascii="Arial" w:hAnsi="Arial" w:cs="Arial"/>
          <w:b/>
          <w:bCs/>
          <w:sz w:val="22"/>
          <w:szCs w:val="22"/>
        </w:rPr>
        <w:t xml:space="preserve">method </w:t>
      </w:r>
      <w:r w:rsidRPr="009E5101">
        <w:rPr>
          <w:rFonts w:ascii="Arial" w:hAnsi="Arial" w:cs="Arial"/>
          <w:b/>
          <w:bCs/>
          <w:sz w:val="22"/>
          <w:szCs w:val="22"/>
        </w:rPr>
        <w:t>(1984)</w:t>
      </w:r>
    </w:p>
    <w:p w14:paraId="457FE015" w14:textId="77777777" w:rsidR="009E5101" w:rsidRDefault="009E5101" w:rsidP="004D7CC9">
      <w:pPr>
        <w:jc w:val="both"/>
        <w:rPr>
          <w:rFonts w:ascii="Arial" w:hAnsi="Arial" w:cs="Arial"/>
          <w:b/>
          <w:bCs/>
          <w:sz w:val="22"/>
          <w:szCs w:val="22"/>
        </w:rPr>
      </w:pPr>
    </w:p>
    <w:p w14:paraId="45487E39" w14:textId="048BF4C8" w:rsidR="004D7CC9" w:rsidRPr="004D7CC9" w:rsidRDefault="009E5101" w:rsidP="00FB2FCD">
      <w:pPr>
        <w:jc w:val="both"/>
        <w:rPr>
          <w:rFonts w:ascii="Arial" w:eastAsiaTheme="minorEastAsia" w:hAnsi="Arial" w:cs="Arial"/>
        </w:rPr>
      </w:pPr>
      <w:r w:rsidRPr="009E5101">
        <w:rPr>
          <w:rFonts w:ascii="Arial" w:eastAsiaTheme="minorEastAsia" w:hAnsi="Arial" w:cs="Arial"/>
        </w:rPr>
        <w:t>In Arunachalam and Bandyopadhyay (1984) method, accessions were grouped post hoc ANOVA into statistically distinct classes. Scores were assigned to each accession such that those in the highest class for a given character received a score of one, those in the next class received a score of two, and those in the lowest class received the highest score for that character. These scores were then standardized by dividing each by the total number of groups for that trait to ensure that the maximum possible standardized score did not exceed 1. The scores across the traits were summed to obtain a total score for each accession. Accessions were then ranked in ascending order, wherein the accession with the lowest score was considered the best performer (</w:t>
      </w:r>
      <w:proofErr w:type="spellStart"/>
      <w:r w:rsidRPr="009E5101">
        <w:rPr>
          <w:rFonts w:ascii="Arial" w:eastAsiaTheme="minorEastAsia" w:hAnsi="Arial" w:cs="Arial"/>
        </w:rPr>
        <w:t>Prabhu</w:t>
      </w:r>
      <w:proofErr w:type="spellEnd"/>
      <w:r w:rsidRPr="009E5101">
        <w:rPr>
          <w:rFonts w:ascii="Arial" w:eastAsiaTheme="minorEastAsia" w:hAnsi="Arial" w:cs="Arial"/>
        </w:rPr>
        <w:t xml:space="preserve"> </w:t>
      </w:r>
      <w:r w:rsidRPr="009E5101">
        <w:rPr>
          <w:rFonts w:ascii="Arial" w:eastAsiaTheme="minorEastAsia" w:hAnsi="Arial" w:cs="Arial"/>
          <w:i/>
          <w:iCs/>
        </w:rPr>
        <w:t>et al</w:t>
      </w:r>
      <w:r w:rsidRPr="009E5101">
        <w:rPr>
          <w:rFonts w:ascii="Arial" w:eastAsiaTheme="minorEastAsia" w:hAnsi="Arial" w:cs="Arial"/>
        </w:rPr>
        <w:t>., 1990).</w:t>
      </w:r>
    </w:p>
    <w:p w14:paraId="1BFF8AFF" w14:textId="77777777" w:rsidR="004D7CC9" w:rsidRDefault="004D7CC9" w:rsidP="00FB2FCD">
      <w:pPr>
        <w:jc w:val="both"/>
        <w:rPr>
          <w:rFonts w:ascii="Arial" w:eastAsiaTheme="minorEastAsia" w:hAnsi="Arial" w:cs="Arial"/>
        </w:rPr>
      </w:pPr>
    </w:p>
    <w:p w14:paraId="2AD0A063" w14:textId="4DE21CB1" w:rsidR="009E5101" w:rsidRDefault="009E5101" w:rsidP="009E5101">
      <w:pPr>
        <w:jc w:val="both"/>
        <w:rPr>
          <w:rFonts w:ascii="Arial" w:eastAsiaTheme="minorEastAsia" w:hAnsi="Arial" w:cs="Arial"/>
          <w:b/>
          <w:bCs/>
          <w:sz w:val="22"/>
          <w:szCs w:val="22"/>
        </w:rPr>
      </w:pPr>
      <w:r w:rsidRPr="009E5101">
        <w:rPr>
          <w:rFonts w:ascii="Arial" w:eastAsiaTheme="minorEastAsia" w:hAnsi="Arial" w:cs="Arial"/>
          <w:b/>
          <w:bCs/>
          <w:sz w:val="22"/>
          <w:szCs w:val="22"/>
        </w:rPr>
        <w:t>2.3.</w:t>
      </w:r>
      <w:r w:rsidR="00293327">
        <w:rPr>
          <w:rFonts w:ascii="Arial" w:eastAsiaTheme="minorEastAsia" w:hAnsi="Arial" w:cs="Arial"/>
          <w:b/>
          <w:bCs/>
          <w:sz w:val="22"/>
          <w:szCs w:val="22"/>
        </w:rPr>
        <w:t>2</w:t>
      </w:r>
      <w:r w:rsidRPr="009E5101">
        <w:rPr>
          <w:rFonts w:ascii="Arial" w:eastAsiaTheme="minorEastAsia" w:hAnsi="Arial" w:cs="Arial"/>
          <w:b/>
          <w:bCs/>
          <w:sz w:val="22"/>
          <w:szCs w:val="22"/>
        </w:rPr>
        <w:t xml:space="preserve"> </w:t>
      </w:r>
      <w:r>
        <w:rPr>
          <w:rFonts w:ascii="Arial" w:eastAsiaTheme="minorEastAsia" w:hAnsi="Arial" w:cs="Arial"/>
          <w:b/>
          <w:bCs/>
          <w:sz w:val="22"/>
          <w:szCs w:val="22"/>
        </w:rPr>
        <w:t>Principal Component Analysis (</w:t>
      </w:r>
      <w:r w:rsidRPr="009E5101">
        <w:rPr>
          <w:rFonts w:ascii="Arial" w:eastAsiaTheme="minorEastAsia" w:hAnsi="Arial" w:cs="Arial"/>
          <w:b/>
          <w:bCs/>
          <w:sz w:val="22"/>
          <w:szCs w:val="22"/>
          <w:lang w:val="en-IN"/>
        </w:rPr>
        <w:t>PCA</w:t>
      </w:r>
      <w:r>
        <w:rPr>
          <w:rFonts w:ascii="Arial" w:eastAsiaTheme="minorEastAsia" w:hAnsi="Arial" w:cs="Arial"/>
          <w:b/>
          <w:bCs/>
          <w:sz w:val="22"/>
          <w:szCs w:val="22"/>
          <w:lang w:val="en-IN"/>
        </w:rPr>
        <w:t>)</w:t>
      </w:r>
      <w:r w:rsidRPr="009E5101">
        <w:rPr>
          <w:rFonts w:ascii="Arial" w:eastAsiaTheme="minorEastAsia" w:hAnsi="Arial" w:cs="Arial"/>
          <w:b/>
          <w:bCs/>
          <w:sz w:val="22"/>
          <w:szCs w:val="22"/>
          <w:lang w:val="en-IN"/>
        </w:rPr>
        <w:t xml:space="preserve"> based method</w:t>
      </w:r>
    </w:p>
    <w:p w14:paraId="744A06A5" w14:textId="77777777" w:rsidR="009E5101" w:rsidRDefault="009E5101" w:rsidP="009E5101">
      <w:pPr>
        <w:jc w:val="both"/>
        <w:rPr>
          <w:rFonts w:ascii="Arial" w:eastAsiaTheme="minorEastAsia" w:hAnsi="Arial" w:cs="Arial"/>
          <w:b/>
          <w:bCs/>
          <w:sz w:val="22"/>
          <w:szCs w:val="22"/>
        </w:rPr>
      </w:pPr>
    </w:p>
    <w:p w14:paraId="0BE63D3B" w14:textId="7CE7C529" w:rsidR="009E5101" w:rsidRPr="009E5101" w:rsidRDefault="009E5101" w:rsidP="009E5101">
      <w:pPr>
        <w:jc w:val="both"/>
        <w:rPr>
          <w:rFonts w:ascii="Arial" w:eastAsiaTheme="minorEastAsia" w:hAnsi="Arial" w:cs="Arial"/>
        </w:rPr>
      </w:pPr>
      <w:r w:rsidRPr="009E5101">
        <w:rPr>
          <w:rFonts w:ascii="Arial" w:eastAsiaTheme="minorEastAsia" w:hAnsi="Arial" w:cs="Arial"/>
        </w:rPr>
        <w:lastRenderedPageBreak/>
        <w:t xml:space="preserve">For PCA based method, only PCs with eigen values greater than 0.5 were considered. Score for each accession for a particular trait was calculated as the sum of the products of phenotypic value of that trait and their respective modified weights from the PCs. Modified weights were obtained as the product of loading value of each character in the concerned PC and its eigenvalue. Total score of each accession was calculated by summing the scores of </w:t>
      </w:r>
      <w:proofErr w:type="gramStart"/>
      <w:r w:rsidRPr="009E5101">
        <w:rPr>
          <w:rFonts w:ascii="Arial" w:eastAsiaTheme="minorEastAsia" w:hAnsi="Arial" w:cs="Arial"/>
        </w:rPr>
        <w:t>yield</w:t>
      </w:r>
      <w:proofErr w:type="gramEnd"/>
      <w:r w:rsidRPr="009E5101">
        <w:rPr>
          <w:rFonts w:ascii="Arial" w:eastAsiaTheme="minorEastAsia" w:hAnsi="Arial" w:cs="Arial"/>
        </w:rPr>
        <w:t xml:space="preserve"> and yield associated traits. Accessions were arranged in descending order based on total score and accession with the highest total score was considered superior.</w:t>
      </w:r>
    </w:p>
    <w:p w14:paraId="4964A52A" w14:textId="77777777" w:rsidR="009E5101" w:rsidRDefault="009E5101" w:rsidP="00FB2FCD">
      <w:pPr>
        <w:jc w:val="both"/>
        <w:rPr>
          <w:rFonts w:ascii="Arial" w:eastAsiaTheme="minorEastAsia" w:hAnsi="Arial" w:cs="Arial"/>
        </w:rPr>
      </w:pPr>
    </w:p>
    <w:p w14:paraId="7FB5D427" w14:textId="77777777" w:rsidR="004D7CC9" w:rsidRPr="00FB2FCD" w:rsidRDefault="004D7CC9" w:rsidP="00FB2FCD">
      <w:pPr>
        <w:jc w:val="both"/>
        <w:rPr>
          <w:rFonts w:ascii="Arial" w:eastAsiaTheme="minorEastAsia" w:hAnsi="Arial" w:cs="Arial"/>
        </w:rPr>
      </w:pPr>
    </w:p>
    <w:p w14:paraId="2C315DAF" w14:textId="77777777" w:rsidR="00790ADA" w:rsidRPr="00FB3A86" w:rsidRDefault="00790ADA" w:rsidP="00441B6F">
      <w:pPr>
        <w:pStyle w:val="Body"/>
        <w:spacing w:after="0"/>
        <w:rPr>
          <w:rFonts w:ascii="Arial" w:hAnsi="Arial" w:cs="Arial"/>
        </w:rPr>
      </w:pPr>
    </w:p>
    <w:p w14:paraId="7CE3BC7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88427B4" w14:textId="77777777" w:rsidR="00C20358" w:rsidRPr="00C20358" w:rsidRDefault="00C20358" w:rsidP="00441B6F">
      <w:pPr>
        <w:pStyle w:val="Head1"/>
        <w:spacing w:after="0"/>
        <w:jc w:val="both"/>
        <w:rPr>
          <w:rFonts w:ascii="Arial" w:hAnsi="Arial" w:cs="Arial"/>
          <w:b w:val="0"/>
          <w:bCs/>
          <w:sz w:val="20"/>
          <w:szCs w:val="18"/>
        </w:rPr>
      </w:pPr>
    </w:p>
    <w:p w14:paraId="576CD245" w14:textId="52430BEC" w:rsidR="006A5179" w:rsidRDefault="006A5179" w:rsidP="00441B6F">
      <w:pPr>
        <w:pStyle w:val="Head1"/>
        <w:spacing w:after="0"/>
        <w:jc w:val="both"/>
        <w:rPr>
          <w:rFonts w:ascii="Arial" w:hAnsi="Arial" w:cs="Arial"/>
          <w:caps w:val="0"/>
        </w:rPr>
      </w:pPr>
      <w:bookmarkStart w:id="0" w:name="_Hlk215578608"/>
      <w:r>
        <w:rPr>
          <w:rFonts w:ascii="Arial" w:hAnsi="Arial" w:cs="Arial"/>
        </w:rPr>
        <w:t xml:space="preserve">3.1 </w:t>
      </w:r>
      <w:r w:rsidR="00056A56">
        <w:rPr>
          <w:rFonts w:ascii="Arial" w:hAnsi="Arial" w:cs="Arial"/>
          <w:caps w:val="0"/>
        </w:rPr>
        <w:t>I</w:t>
      </w:r>
      <w:r w:rsidR="00056A56" w:rsidRPr="00056A56">
        <w:rPr>
          <w:rFonts w:ascii="Arial" w:hAnsi="Arial" w:cs="Arial"/>
          <w:caps w:val="0"/>
        </w:rPr>
        <w:t>dentification of yield contributing traits</w:t>
      </w:r>
    </w:p>
    <w:bookmarkEnd w:id="0"/>
    <w:p w14:paraId="7A148823" w14:textId="77777777" w:rsidR="001E5F06" w:rsidRDefault="001E5F06" w:rsidP="00441B6F">
      <w:pPr>
        <w:pStyle w:val="Head1"/>
        <w:spacing w:after="0"/>
        <w:jc w:val="both"/>
        <w:rPr>
          <w:rFonts w:ascii="Arial" w:hAnsi="Arial" w:cs="Arial"/>
          <w:b w:val="0"/>
          <w:bCs/>
          <w:caps w:val="0"/>
          <w:sz w:val="20"/>
          <w:szCs w:val="18"/>
        </w:rPr>
      </w:pPr>
    </w:p>
    <w:p w14:paraId="70584EE1" w14:textId="6DB9622E" w:rsidR="00056A56" w:rsidRPr="00056A56" w:rsidRDefault="00056A56" w:rsidP="00056A56">
      <w:pPr>
        <w:tabs>
          <w:tab w:val="left" w:pos="1080"/>
        </w:tabs>
        <w:jc w:val="both"/>
        <w:rPr>
          <w:rFonts w:ascii="Arial" w:hAnsi="Arial"/>
          <w:bCs/>
        </w:rPr>
      </w:pPr>
      <w:r w:rsidRPr="00056A56">
        <w:rPr>
          <w:rFonts w:ascii="Arial" w:hAnsi="Arial"/>
          <w:bCs/>
        </w:rPr>
        <w:t xml:space="preserve">Yield per plant exhibited significant </w:t>
      </w:r>
      <w:r w:rsidRPr="00056A56">
        <w:rPr>
          <w:rFonts w:ascii="Arial" w:hAnsi="Arial"/>
          <w:bCs/>
          <w:lang w:val="en-IN"/>
        </w:rPr>
        <w:t xml:space="preserve">genotypic correlation (Fig 1) </w:t>
      </w:r>
      <w:r w:rsidRPr="00056A56">
        <w:rPr>
          <w:rFonts w:ascii="Arial" w:hAnsi="Arial"/>
          <w:bCs/>
        </w:rPr>
        <w:t>with the number of pods per plant, pod length, number of primary branches, and number of clusters per plant. These findings are in agreement with earlier reports</w:t>
      </w:r>
      <w:r w:rsidR="001D30F7">
        <w:rPr>
          <w:rFonts w:ascii="Arial" w:hAnsi="Arial"/>
          <w:bCs/>
        </w:rPr>
        <w:t xml:space="preserve"> of</w:t>
      </w:r>
      <w:r w:rsidRPr="00056A56">
        <w:rPr>
          <w:rFonts w:ascii="Arial" w:hAnsi="Arial"/>
          <w:bCs/>
        </w:rPr>
        <w:t xml:space="preserve"> </w:t>
      </w:r>
      <w:proofErr w:type="spellStart"/>
      <w:r w:rsidRPr="00056A56">
        <w:rPr>
          <w:rFonts w:ascii="Arial" w:hAnsi="Arial"/>
          <w:bCs/>
        </w:rPr>
        <w:t>Sandhiya</w:t>
      </w:r>
      <w:proofErr w:type="spellEnd"/>
      <w:r w:rsidRPr="00056A56">
        <w:rPr>
          <w:rFonts w:ascii="Arial" w:hAnsi="Arial"/>
          <w:bCs/>
        </w:rPr>
        <w:t xml:space="preserve"> and </w:t>
      </w:r>
      <w:r w:rsidR="00F56960" w:rsidRPr="00F56960">
        <w:rPr>
          <w:rFonts w:ascii="Arial" w:hAnsi="Arial"/>
          <w:bCs/>
        </w:rPr>
        <w:t>Saravanan</w:t>
      </w:r>
      <w:r w:rsidR="00F56960">
        <w:rPr>
          <w:rFonts w:ascii="Arial" w:hAnsi="Arial"/>
          <w:bCs/>
        </w:rPr>
        <w:t xml:space="preserve"> </w:t>
      </w:r>
      <w:r w:rsidRPr="00056A56">
        <w:rPr>
          <w:rFonts w:ascii="Arial" w:hAnsi="Arial"/>
          <w:bCs/>
        </w:rPr>
        <w:t>(2018);</w:t>
      </w:r>
      <w:r w:rsidRPr="00056A56">
        <w:rPr>
          <w:rFonts w:ascii="Arial" w:hAnsi="Arial"/>
          <w:bCs/>
          <w:lang w:val="en-IN"/>
        </w:rPr>
        <w:t xml:space="preserve"> </w:t>
      </w:r>
      <w:proofErr w:type="spellStart"/>
      <w:r w:rsidRPr="00056A56">
        <w:rPr>
          <w:rFonts w:ascii="Arial" w:hAnsi="Arial"/>
          <w:bCs/>
          <w:lang w:val="en-IN"/>
        </w:rPr>
        <w:t>Asari</w:t>
      </w:r>
      <w:proofErr w:type="spellEnd"/>
      <w:r w:rsidRPr="00056A56">
        <w:rPr>
          <w:rFonts w:ascii="Arial" w:hAnsi="Arial"/>
          <w:bCs/>
          <w:lang w:val="en-IN"/>
        </w:rPr>
        <w:t xml:space="preserve"> </w:t>
      </w:r>
      <w:r w:rsidRPr="00056A56">
        <w:rPr>
          <w:rFonts w:ascii="Arial" w:hAnsi="Arial"/>
          <w:bCs/>
          <w:i/>
          <w:iCs/>
          <w:lang w:val="en-IN"/>
        </w:rPr>
        <w:t>et al</w:t>
      </w:r>
      <w:r w:rsidRPr="00056A56">
        <w:rPr>
          <w:rFonts w:ascii="Arial" w:hAnsi="Arial"/>
          <w:bCs/>
          <w:lang w:val="en-IN"/>
        </w:rPr>
        <w:t xml:space="preserve">. (2019); </w:t>
      </w:r>
      <w:proofErr w:type="spellStart"/>
      <w:r w:rsidRPr="00056A56">
        <w:rPr>
          <w:rFonts w:ascii="Arial" w:hAnsi="Arial"/>
          <w:bCs/>
          <w:lang w:val="en-IN"/>
        </w:rPr>
        <w:t>Shakeer</w:t>
      </w:r>
      <w:proofErr w:type="spellEnd"/>
      <w:r w:rsidRPr="00056A56">
        <w:rPr>
          <w:rFonts w:ascii="Arial" w:hAnsi="Arial"/>
          <w:bCs/>
          <w:lang w:val="en-IN"/>
        </w:rPr>
        <w:t xml:space="preserve"> </w:t>
      </w:r>
      <w:r w:rsidRPr="00056A56">
        <w:rPr>
          <w:rFonts w:ascii="Arial" w:hAnsi="Arial"/>
          <w:bCs/>
          <w:i/>
          <w:iCs/>
          <w:lang w:val="en-IN"/>
        </w:rPr>
        <w:t>et al</w:t>
      </w:r>
      <w:r w:rsidRPr="00056A56">
        <w:rPr>
          <w:rFonts w:ascii="Arial" w:hAnsi="Arial"/>
          <w:bCs/>
          <w:lang w:val="en-IN"/>
        </w:rPr>
        <w:t>. (2022</w:t>
      </w:r>
      <w:proofErr w:type="gramStart"/>
      <w:r w:rsidRPr="00056A56">
        <w:rPr>
          <w:rFonts w:ascii="Arial" w:hAnsi="Arial"/>
          <w:bCs/>
          <w:lang w:val="en-IN"/>
        </w:rPr>
        <w:t>) ;</w:t>
      </w:r>
      <w:proofErr w:type="gramEnd"/>
      <w:r w:rsidRPr="00056A56">
        <w:rPr>
          <w:rFonts w:ascii="Arial" w:hAnsi="Arial"/>
          <w:bCs/>
          <w:lang w:val="en-IN"/>
        </w:rPr>
        <w:t xml:space="preserve"> </w:t>
      </w:r>
      <w:proofErr w:type="spellStart"/>
      <w:r w:rsidRPr="00056A56">
        <w:rPr>
          <w:rFonts w:ascii="Arial" w:hAnsi="Arial"/>
          <w:bCs/>
          <w:lang w:val="en-IN"/>
        </w:rPr>
        <w:t>Nalajala</w:t>
      </w:r>
      <w:proofErr w:type="spellEnd"/>
      <w:r w:rsidRPr="00056A56">
        <w:rPr>
          <w:rFonts w:ascii="Arial" w:hAnsi="Arial"/>
          <w:bCs/>
          <w:lang w:val="en-IN"/>
        </w:rPr>
        <w:t xml:space="preserve"> </w:t>
      </w:r>
      <w:r w:rsidRPr="00056A56">
        <w:rPr>
          <w:rFonts w:ascii="Arial" w:hAnsi="Arial"/>
          <w:bCs/>
          <w:i/>
          <w:iCs/>
          <w:lang w:val="en-IN"/>
        </w:rPr>
        <w:t>et al</w:t>
      </w:r>
      <w:r w:rsidRPr="00056A56">
        <w:rPr>
          <w:rFonts w:ascii="Arial" w:hAnsi="Arial"/>
          <w:bCs/>
          <w:lang w:val="en-IN"/>
        </w:rPr>
        <w:t>. (202</w:t>
      </w:r>
      <w:r w:rsidR="00D90DF8">
        <w:rPr>
          <w:rFonts w:ascii="Arial" w:hAnsi="Arial"/>
          <w:bCs/>
          <w:lang w:val="en-IN"/>
        </w:rPr>
        <w:t>3</w:t>
      </w:r>
      <w:r w:rsidRPr="00056A56">
        <w:rPr>
          <w:rFonts w:ascii="Arial" w:hAnsi="Arial"/>
          <w:bCs/>
          <w:lang w:val="en-IN"/>
        </w:rPr>
        <w:t>)</w:t>
      </w:r>
      <w:bookmarkStart w:id="1" w:name="_Hlk207899355"/>
      <w:r w:rsidRPr="00056A56">
        <w:rPr>
          <w:rFonts w:ascii="Arial" w:hAnsi="Arial"/>
          <w:bCs/>
          <w:lang w:val="en-IN"/>
        </w:rPr>
        <w:t xml:space="preserve"> and Mohanty </w:t>
      </w:r>
      <w:r w:rsidRPr="00056A56">
        <w:rPr>
          <w:rFonts w:ascii="Arial" w:hAnsi="Arial"/>
          <w:bCs/>
          <w:i/>
          <w:iCs/>
          <w:lang w:val="en-IN"/>
        </w:rPr>
        <w:t>et al</w:t>
      </w:r>
      <w:r w:rsidRPr="00056A56">
        <w:rPr>
          <w:rFonts w:ascii="Arial" w:hAnsi="Arial"/>
          <w:bCs/>
          <w:lang w:val="en-IN"/>
        </w:rPr>
        <w:t>. (202</w:t>
      </w:r>
      <w:r w:rsidR="0009563E">
        <w:rPr>
          <w:rFonts w:ascii="Arial" w:hAnsi="Arial"/>
          <w:bCs/>
          <w:lang w:val="en-IN"/>
        </w:rPr>
        <w:t>4</w:t>
      </w:r>
      <w:r w:rsidRPr="00056A56">
        <w:rPr>
          <w:rFonts w:ascii="Arial" w:hAnsi="Arial"/>
          <w:bCs/>
          <w:lang w:val="en-IN"/>
        </w:rPr>
        <w:t>)</w:t>
      </w:r>
      <w:bookmarkEnd w:id="1"/>
      <w:r w:rsidRPr="00056A56">
        <w:rPr>
          <w:rFonts w:ascii="Arial" w:hAnsi="Arial"/>
          <w:bCs/>
          <w:lang w:val="en-IN"/>
        </w:rPr>
        <w:t>.</w:t>
      </w:r>
      <w:r w:rsidRPr="00056A56">
        <w:rPr>
          <w:rFonts w:ascii="Arial" w:hAnsi="Arial"/>
          <w:bCs/>
        </w:rPr>
        <w:t xml:space="preserve"> Traits which exhibited significant correlation with yield</w:t>
      </w:r>
      <w:r w:rsidR="00FB16D8">
        <w:rPr>
          <w:rFonts w:ascii="Arial" w:hAnsi="Arial"/>
          <w:bCs/>
        </w:rPr>
        <w:t xml:space="preserve"> </w:t>
      </w:r>
      <w:r w:rsidRPr="00056A56">
        <w:rPr>
          <w:rFonts w:ascii="Arial" w:hAnsi="Arial"/>
          <w:bCs/>
        </w:rPr>
        <w:t xml:space="preserve">were further subjected to path analysis (Fig 2) to know the yield contributing traits and effects of individual traits on yield. </w:t>
      </w:r>
    </w:p>
    <w:p w14:paraId="06D7088D" w14:textId="77777777" w:rsidR="00056A56" w:rsidRPr="00056A56" w:rsidRDefault="00056A56" w:rsidP="00056A56">
      <w:pPr>
        <w:tabs>
          <w:tab w:val="left" w:pos="1080"/>
        </w:tabs>
        <w:jc w:val="both"/>
        <w:rPr>
          <w:rFonts w:ascii="Arial" w:hAnsi="Arial"/>
          <w:bCs/>
        </w:rPr>
      </w:pPr>
    </w:p>
    <w:p w14:paraId="026FB19D" w14:textId="619E03CF" w:rsidR="00056A56" w:rsidRPr="00056A56" w:rsidRDefault="00056A56" w:rsidP="00056A56">
      <w:pPr>
        <w:tabs>
          <w:tab w:val="left" w:pos="1080"/>
        </w:tabs>
        <w:jc w:val="both"/>
        <w:rPr>
          <w:rFonts w:ascii="Arial" w:hAnsi="Arial"/>
          <w:bCs/>
          <w:lang w:val="en-IN"/>
        </w:rPr>
      </w:pPr>
      <w:r w:rsidRPr="00056A56">
        <w:rPr>
          <w:rFonts w:ascii="Arial" w:hAnsi="Arial"/>
          <w:bCs/>
          <w:lang w:val="en-IN"/>
        </w:rPr>
        <w:t>Positive</w:t>
      </w:r>
      <w:r w:rsidR="00FB16D8">
        <w:rPr>
          <w:rFonts w:ascii="Arial" w:hAnsi="Arial"/>
          <w:bCs/>
          <w:lang w:val="en-IN"/>
        </w:rPr>
        <w:t xml:space="preserve"> and </w:t>
      </w:r>
      <w:r w:rsidRPr="00056A56">
        <w:rPr>
          <w:rFonts w:ascii="Arial" w:hAnsi="Arial"/>
          <w:bCs/>
          <w:lang w:val="en-IN"/>
        </w:rPr>
        <w:t>direct effect on yield per plant were exerted by number of pods per plant and pod length, whereas positive</w:t>
      </w:r>
      <w:r w:rsidR="00FB16D8">
        <w:rPr>
          <w:rFonts w:ascii="Arial" w:hAnsi="Arial"/>
          <w:bCs/>
          <w:lang w:val="en-IN"/>
        </w:rPr>
        <w:t xml:space="preserve"> and </w:t>
      </w:r>
      <w:r w:rsidRPr="00056A56">
        <w:rPr>
          <w:rFonts w:ascii="Arial" w:hAnsi="Arial"/>
          <w:bCs/>
          <w:lang w:val="en-IN"/>
        </w:rPr>
        <w:t xml:space="preserve">indirect effect was exercised by number of pods per plant, number of clusters per plant, pod length, number of primary branches. Mohanty </w:t>
      </w:r>
      <w:r w:rsidRPr="00056A56">
        <w:rPr>
          <w:rFonts w:ascii="Arial" w:hAnsi="Arial"/>
          <w:bCs/>
          <w:i/>
          <w:iCs/>
          <w:lang w:val="en-IN"/>
        </w:rPr>
        <w:t>et al</w:t>
      </w:r>
      <w:r w:rsidRPr="00056A56">
        <w:rPr>
          <w:rFonts w:ascii="Arial" w:hAnsi="Arial"/>
          <w:bCs/>
          <w:lang w:val="en-IN"/>
        </w:rPr>
        <w:t>. (202</w:t>
      </w:r>
      <w:r w:rsidR="009162E1">
        <w:rPr>
          <w:rFonts w:ascii="Arial" w:hAnsi="Arial"/>
          <w:bCs/>
          <w:lang w:val="en-IN"/>
        </w:rPr>
        <w:t>4</w:t>
      </w:r>
      <w:r w:rsidRPr="00056A56">
        <w:rPr>
          <w:rFonts w:ascii="Arial" w:hAnsi="Arial"/>
          <w:bCs/>
          <w:lang w:val="en-IN"/>
        </w:rPr>
        <w:t xml:space="preserve">); </w:t>
      </w:r>
      <w:proofErr w:type="spellStart"/>
      <w:r w:rsidRPr="00056A56">
        <w:rPr>
          <w:rFonts w:ascii="Arial" w:hAnsi="Arial"/>
          <w:bCs/>
          <w:lang w:val="en-IN"/>
        </w:rPr>
        <w:t>Kamble</w:t>
      </w:r>
      <w:proofErr w:type="spellEnd"/>
      <w:r w:rsidRPr="00056A56">
        <w:rPr>
          <w:rFonts w:ascii="Arial" w:hAnsi="Arial"/>
          <w:bCs/>
          <w:lang w:val="en-IN"/>
        </w:rPr>
        <w:t xml:space="preserve"> </w:t>
      </w:r>
      <w:r w:rsidRPr="00056A56">
        <w:rPr>
          <w:rFonts w:ascii="Arial" w:hAnsi="Arial"/>
          <w:bCs/>
          <w:i/>
          <w:iCs/>
          <w:lang w:val="en-IN"/>
        </w:rPr>
        <w:t>et al</w:t>
      </w:r>
      <w:r w:rsidRPr="00056A56">
        <w:rPr>
          <w:rFonts w:ascii="Arial" w:hAnsi="Arial"/>
          <w:bCs/>
          <w:lang w:val="en-IN"/>
        </w:rPr>
        <w:t xml:space="preserve">. (2023) and Harsh </w:t>
      </w:r>
      <w:r w:rsidRPr="00056A56">
        <w:rPr>
          <w:rFonts w:ascii="Arial" w:hAnsi="Arial"/>
          <w:bCs/>
          <w:i/>
          <w:iCs/>
          <w:lang w:val="en-IN"/>
        </w:rPr>
        <w:t>et al.</w:t>
      </w:r>
      <w:r w:rsidRPr="00056A56">
        <w:rPr>
          <w:rFonts w:ascii="Arial" w:hAnsi="Arial"/>
          <w:bCs/>
          <w:lang w:val="en-IN"/>
        </w:rPr>
        <w:t xml:space="preserve"> (2024) had reported similar results in green gram. Traits that displayed significant correlation with yield were further subjected to path coefficient analysis (Fig. 2) to determine their direct and indirect contributions to yield.</w:t>
      </w:r>
    </w:p>
    <w:p w14:paraId="11FD83D8" w14:textId="77777777" w:rsidR="00056A56" w:rsidRPr="00056A56" w:rsidRDefault="00056A56" w:rsidP="00056A56">
      <w:pPr>
        <w:tabs>
          <w:tab w:val="left" w:pos="1080"/>
        </w:tabs>
        <w:jc w:val="both"/>
        <w:rPr>
          <w:rFonts w:ascii="Arial" w:hAnsi="Arial"/>
          <w:bCs/>
          <w:lang w:val="en-IN"/>
        </w:rPr>
      </w:pPr>
    </w:p>
    <w:p w14:paraId="45B7A49A" w14:textId="55B9EA12" w:rsidR="00056A56" w:rsidRDefault="00056A56" w:rsidP="00056A56">
      <w:pPr>
        <w:tabs>
          <w:tab w:val="left" w:pos="1080"/>
        </w:tabs>
        <w:jc w:val="both"/>
        <w:rPr>
          <w:rFonts w:ascii="Arial" w:hAnsi="Arial"/>
          <w:bCs/>
          <w:lang w:val="en-IN"/>
        </w:rPr>
      </w:pPr>
      <w:r w:rsidRPr="00056A56">
        <w:rPr>
          <w:rFonts w:ascii="Arial" w:hAnsi="Arial"/>
          <w:bCs/>
          <w:lang w:val="en-IN"/>
        </w:rPr>
        <w:t xml:space="preserve">Number of pods per plant and pod length exerted positive direct effects on yield per plant, indicating their importance as primary determinants of yield. Positive indirect effects on yield were contributed by number of pods per plant, number of clusters per plant, pod length, and number of primary branches. Similar observations have been reported in green gram by Mohanty </w:t>
      </w:r>
      <w:r w:rsidRPr="00056A56">
        <w:rPr>
          <w:rFonts w:ascii="Arial" w:hAnsi="Arial"/>
          <w:bCs/>
          <w:i/>
          <w:iCs/>
          <w:lang w:val="en-IN"/>
        </w:rPr>
        <w:t>et al</w:t>
      </w:r>
      <w:r w:rsidRPr="00056A56">
        <w:rPr>
          <w:rFonts w:ascii="Arial" w:hAnsi="Arial"/>
          <w:bCs/>
          <w:lang w:val="en-IN"/>
        </w:rPr>
        <w:t>. (202</w:t>
      </w:r>
      <w:r w:rsidR="009162E1">
        <w:rPr>
          <w:rFonts w:ascii="Arial" w:hAnsi="Arial"/>
          <w:bCs/>
          <w:lang w:val="en-IN"/>
        </w:rPr>
        <w:t>4</w:t>
      </w:r>
      <w:r w:rsidRPr="00056A56">
        <w:rPr>
          <w:rFonts w:ascii="Arial" w:hAnsi="Arial"/>
          <w:bCs/>
          <w:lang w:val="en-IN"/>
        </w:rPr>
        <w:t xml:space="preserve">), </w:t>
      </w:r>
      <w:proofErr w:type="spellStart"/>
      <w:r w:rsidRPr="00056A56">
        <w:rPr>
          <w:rFonts w:ascii="Arial" w:hAnsi="Arial"/>
          <w:bCs/>
          <w:lang w:val="en-IN"/>
        </w:rPr>
        <w:t>Kamble</w:t>
      </w:r>
      <w:proofErr w:type="spellEnd"/>
      <w:r w:rsidRPr="00056A56">
        <w:rPr>
          <w:rFonts w:ascii="Arial" w:hAnsi="Arial"/>
          <w:bCs/>
          <w:lang w:val="en-IN"/>
        </w:rPr>
        <w:t xml:space="preserve"> </w:t>
      </w:r>
      <w:r w:rsidRPr="00056A56">
        <w:rPr>
          <w:rFonts w:ascii="Arial" w:hAnsi="Arial"/>
          <w:bCs/>
          <w:i/>
          <w:iCs/>
          <w:lang w:val="en-IN"/>
        </w:rPr>
        <w:t>et al</w:t>
      </w:r>
      <w:r w:rsidRPr="00056A56">
        <w:rPr>
          <w:rFonts w:ascii="Arial" w:hAnsi="Arial"/>
          <w:bCs/>
          <w:lang w:val="en-IN"/>
        </w:rPr>
        <w:t xml:space="preserve">. (2023), and Harsh </w:t>
      </w:r>
      <w:r w:rsidRPr="00056A56">
        <w:rPr>
          <w:rFonts w:ascii="Arial" w:hAnsi="Arial"/>
          <w:bCs/>
          <w:i/>
          <w:iCs/>
          <w:lang w:val="en-IN"/>
        </w:rPr>
        <w:t>et al</w:t>
      </w:r>
      <w:r w:rsidRPr="00056A56">
        <w:rPr>
          <w:rFonts w:ascii="Arial" w:hAnsi="Arial"/>
          <w:bCs/>
          <w:lang w:val="en-IN"/>
        </w:rPr>
        <w:t>. (2024).</w:t>
      </w:r>
    </w:p>
    <w:p w14:paraId="7776CE19" w14:textId="77777777" w:rsidR="00775ABE" w:rsidRDefault="00775ABE" w:rsidP="00056A56">
      <w:pPr>
        <w:tabs>
          <w:tab w:val="left" w:pos="1080"/>
        </w:tabs>
        <w:jc w:val="both"/>
        <w:rPr>
          <w:rFonts w:ascii="Arial" w:hAnsi="Arial"/>
          <w:bCs/>
          <w:lang w:val="en-IN"/>
        </w:rPr>
      </w:pPr>
    </w:p>
    <w:p w14:paraId="4FA7E631" w14:textId="3EA2FC56" w:rsidR="00775ABE" w:rsidRDefault="00775ABE" w:rsidP="00056A56">
      <w:pPr>
        <w:tabs>
          <w:tab w:val="left" w:pos="1080"/>
        </w:tabs>
        <w:jc w:val="both"/>
        <w:rPr>
          <w:rFonts w:ascii="Arial" w:hAnsi="Arial"/>
          <w:bCs/>
          <w:lang w:val="en-IN"/>
        </w:rPr>
      </w:pPr>
      <w:r w:rsidRPr="00775ABE">
        <w:rPr>
          <w:rFonts w:ascii="Times New Roman" w:eastAsia="Aptos" w:hAnsi="Times New Roman"/>
          <w:noProof/>
          <w:color w:val="000000"/>
          <w:sz w:val="24"/>
          <w:szCs w:val="24"/>
          <w:lang w:val="en-IN"/>
        </w:rPr>
        <w:drawing>
          <wp:inline distT="0" distB="0" distL="0" distR="0" wp14:anchorId="0DB74F74" wp14:editId="4C6FD14F">
            <wp:extent cx="3226669" cy="2724150"/>
            <wp:effectExtent l="0" t="0" r="0" b="0"/>
            <wp:docPr id="1904704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1725" cy="2745304"/>
                    </a:xfrm>
                    <a:prstGeom prst="rect">
                      <a:avLst/>
                    </a:prstGeom>
                    <a:noFill/>
                  </pic:spPr>
                </pic:pic>
              </a:graphicData>
            </a:graphic>
          </wp:inline>
        </w:drawing>
      </w:r>
    </w:p>
    <w:p w14:paraId="77AD9A16" w14:textId="77777777" w:rsidR="00775ABE" w:rsidRDefault="00775ABE" w:rsidP="00056A56">
      <w:pPr>
        <w:tabs>
          <w:tab w:val="left" w:pos="1080"/>
        </w:tabs>
        <w:jc w:val="both"/>
        <w:rPr>
          <w:rFonts w:ascii="Arial" w:hAnsi="Arial"/>
          <w:bCs/>
          <w:lang w:val="en-IN"/>
        </w:rPr>
      </w:pPr>
    </w:p>
    <w:p w14:paraId="4A5472A0" w14:textId="56C607D6" w:rsidR="00775ABE" w:rsidRPr="00B008B9" w:rsidRDefault="00775ABE"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1</w:t>
      </w:r>
      <w:r w:rsidR="00A86092">
        <w:rPr>
          <w:rFonts w:ascii="Arial" w:hAnsi="Arial"/>
          <w:b/>
          <w:lang w:val="en-IN"/>
        </w:rPr>
        <w:t>.</w:t>
      </w:r>
      <w:r w:rsidRPr="00B008B9">
        <w:rPr>
          <w:rFonts w:ascii="Arial" w:hAnsi="Arial"/>
          <w:b/>
          <w:lang w:val="en-IN"/>
        </w:rPr>
        <w:t xml:space="preserve"> Correlogram exhibiting association between yield and agronomic traits in 11 green gram accessions</w:t>
      </w:r>
    </w:p>
    <w:p w14:paraId="73BC4848" w14:textId="77777777" w:rsidR="00775ABE" w:rsidRDefault="00775ABE" w:rsidP="00056A56">
      <w:pPr>
        <w:tabs>
          <w:tab w:val="left" w:pos="1080"/>
        </w:tabs>
        <w:jc w:val="both"/>
        <w:rPr>
          <w:rFonts w:ascii="Arial" w:hAnsi="Arial"/>
          <w:bCs/>
          <w:lang w:val="en-IN"/>
        </w:rPr>
      </w:pPr>
    </w:p>
    <w:p w14:paraId="1BD77DF5" w14:textId="77777777" w:rsidR="00775ABE" w:rsidRDefault="00775ABE" w:rsidP="00056A56">
      <w:pPr>
        <w:tabs>
          <w:tab w:val="left" w:pos="1080"/>
        </w:tabs>
        <w:jc w:val="both"/>
        <w:rPr>
          <w:rFonts w:ascii="Arial" w:hAnsi="Arial"/>
          <w:bCs/>
          <w:lang w:val="en-IN"/>
        </w:rPr>
      </w:pPr>
    </w:p>
    <w:p w14:paraId="28083397" w14:textId="604EA97B" w:rsidR="00775ABE" w:rsidRDefault="00775ABE" w:rsidP="00056A56">
      <w:pPr>
        <w:tabs>
          <w:tab w:val="left" w:pos="1080"/>
        </w:tabs>
        <w:jc w:val="both"/>
        <w:rPr>
          <w:rFonts w:ascii="Arial" w:hAnsi="Arial"/>
          <w:bCs/>
          <w:lang w:val="en-IN"/>
        </w:rPr>
      </w:pPr>
      <w:r w:rsidRPr="001D0BD1">
        <w:rPr>
          <w:rFonts w:ascii="Times New Roman" w:hAnsi="Times New Roman"/>
          <w:noProof/>
          <w:sz w:val="24"/>
          <w:szCs w:val="24"/>
        </w:rPr>
        <w:drawing>
          <wp:inline distT="0" distB="0" distL="0" distR="0" wp14:anchorId="44C8C5F3" wp14:editId="655ED530">
            <wp:extent cx="3626240" cy="3228975"/>
            <wp:effectExtent l="0" t="0" r="0" b="0"/>
            <wp:docPr id="1570779308" name="Content Placeholder 5">
              <a:extLst xmlns:a="http://schemas.openxmlformats.org/drawingml/2006/main">
                <a:ext uri="{FF2B5EF4-FFF2-40B4-BE49-F238E27FC236}">
                  <a16:creationId xmlns:a16="http://schemas.microsoft.com/office/drawing/2014/main" id="{1D74FFE9-EE55-50C0-A32D-F9C038D67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5">
                      <a:extLst>
                        <a:ext uri="{FF2B5EF4-FFF2-40B4-BE49-F238E27FC236}">
                          <a16:creationId xmlns:a16="http://schemas.microsoft.com/office/drawing/2014/main" id="{1D74FFE9-EE55-50C0-A32D-F9C038D67BCD}"/>
                        </a:ext>
                      </a:extLst>
                    </pic:cNvPr>
                    <pic:cNvPicPr>
                      <a:picLocks noChangeAspect="1"/>
                    </pic:cNvPicPr>
                  </pic:nvPicPr>
                  <pic:blipFill>
                    <a:blip r:embed="rId13">
                      <a:extLst>
                        <a:ext uri="{BEBA8EAE-BF5A-486C-A8C5-ECC9F3942E4B}">
                          <a14:imgProps xmlns:a14="http://schemas.microsoft.com/office/drawing/2010/main">
                            <a14:imgLayer r:embed="rId14">
                              <a14:imgEffect>
                                <a14:colorTemperature colorTemp="5900"/>
                              </a14:imgEffect>
                            </a14:imgLayer>
                          </a14:imgProps>
                        </a:ext>
                        <a:ext uri="{28A0092B-C50C-407E-A947-70E740481C1C}">
                          <a14:useLocalDpi xmlns:a14="http://schemas.microsoft.com/office/drawing/2010/main" val="0"/>
                        </a:ext>
                      </a:extLst>
                    </a:blip>
                    <a:srcRect l="26951" r="22785" b="16294"/>
                    <a:stretch>
                      <a:fillRect/>
                    </a:stretch>
                  </pic:blipFill>
                  <pic:spPr>
                    <a:xfrm>
                      <a:off x="0" y="0"/>
                      <a:ext cx="3634498" cy="3236328"/>
                    </a:xfrm>
                    <a:prstGeom prst="rect">
                      <a:avLst/>
                    </a:prstGeom>
                  </pic:spPr>
                </pic:pic>
              </a:graphicData>
            </a:graphic>
          </wp:inline>
        </w:drawing>
      </w:r>
    </w:p>
    <w:p w14:paraId="70D2363F" w14:textId="77C9E969" w:rsidR="00775ABE" w:rsidRPr="00B008B9" w:rsidRDefault="00775ABE"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2</w:t>
      </w:r>
      <w:r w:rsidR="00A86092">
        <w:rPr>
          <w:rFonts w:ascii="Arial" w:hAnsi="Arial"/>
          <w:b/>
          <w:lang w:val="en-IN"/>
        </w:rPr>
        <w:t>.</w:t>
      </w:r>
      <w:r w:rsidRPr="00B008B9">
        <w:rPr>
          <w:rFonts w:ascii="Arial" w:hAnsi="Arial"/>
          <w:b/>
          <w:lang w:val="en-IN"/>
        </w:rPr>
        <w:t xml:space="preserve"> Path diagram representing the direct and indirect effects of four yield correlated traits in 11 green gram accessions</w:t>
      </w:r>
    </w:p>
    <w:p w14:paraId="3C77B824" w14:textId="77777777" w:rsidR="00775ABE" w:rsidRDefault="00775ABE" w:rsidP="00056A56">
      <w:pPr>
        <w:tabs>
          <w:tab w:val="left" w:pos="1080"/>
        </w:tabs>
        <w:jc w:val="both"/>
        <w:rPr>
          <w:rFonts w:ascii="Arial" w:hAnsi="Arial"/>
          <w:bCs/>
          <w:lang w:val="en-IN"/>
        </w:rPr>
      </w:pPr>
    </w:p>
    <w:p w14:paraId="0FBD43CA" w14:textId="2B5C494A" w:rsidR="00775ABE" w:rsidRDefault="00775ABE" w:rsidP="00775ABE">
      <w:pPr>
        <w:pStyle w:val="Head1"/>
        <w:spacing w:after="0"/>
        <w:jc w:val="both"/>
        <w:rPr>
          <w:rFonts w:ascii="Arial" w:hAnsi="Arial" w:cs="Arial"/>
          <w:caps w:val="0"/>
          <w:szCs w:val="22"/>
        </w:rPr>
      </w:pPr>
      <w:r>
        <w:rPr>
          <w:rFonts w:ascii="Arial" w:hAnsi="Arial" w:cs="Arial"/>
        </w:rPr>
        <w:t>3.2</w:t>
      </w:r>
      <w:r w:rsidR="009749A4">
        <w:rPr>
          <w:rFonts w:ascii="Arial" w:hAnsi="Arial" w:cs="Arial"/>
        </w:rPr>
        <w:t xml:space="preserve"> </w:t>
      </w:r>
      <w:r>
        <w:rPr>
          <w:rFonts w:ascii="Arial" w:hAnsi="Arial" w:cs="Arial"/>
          <w:caps w:val="0"/>
          <w:szCs w:val="22"/>
        </w:rPr>
        <w:t>S</w:t>
      </w:r>
      <w:r w:rsidRPr="00775ABE">
        <w:rPr>
          <w:rFonts w:ascii="Arial" w:hAnsi="Arial" w:cs="Arial"/>
          <w:caps w:val="0"/>
          <w:szCs w:val="22"/>
        </w:rPr>
        <w:t>election of superior accessions</w:t>
      </w:r>
      <w:r>
        <w:rPr>
          <w:rFonts w:ascii="Arial" w:hAnsi="Arial" w:cs="Arial"/>
          <w:caps w:val="0"/>
          <w:szCs w:val="22"/>
        </w:rPr>
        <w:t xml:space="preserve"> </w:t>
      </w:r>
      <w:r w:rsidRPr="00775ABE">
        <w:rPr>
          <w:rFonts w:ascii="Arial" w:hAnsi="Arial" w:cs="Arial"/>
          <w:caps w:val="0"/>
          <w:szCs w:val="22"/>
        </w:rPr>
        <w:t xml:space="preserve">using the </w:t>
      </w:r>
      <w:r>
        <w:rPr>
          <w:rFonts w:ascii="Arial" w:hAnsi="Arial" w:cs="Arial"/>
          <w:caps w:val="0"/>
          <w:szCs w:val="22"/>
        </w:rPr>
        <w:t>A</w:t>
      </w:r>
      <w:r w:rsidRPr="00775ABE">
        <w:rPr>
          <w:rFonts w:ascii="Arial" w:hAnsi="Arial" w:cs="Arial"/>
          <w:caps w:val="0"/>
          <w:szCs w:val="22"/>
        </w:rPr>
        <w:t xml:space="preserve">runachalam and </w:t>
      </w:r>
      <w:r>
        <w:rPr>
          <w:rFonts w:ascii="Arial" w:hAnsi="Arial" w:cs="Arial"/>
          <w:caps w:val="0"/>
          <w:szCs w:val="22"/>
        </w:rPr>
        <w:t>B</w:t>
      </w:r>
      <w:r w:rsidRPr="00775ABE">
        <w:rPr>
          <w:rFonts w:ascii="Arial" w:hAnsi="Arial" w:cs="Arial"/>
          <w:caps w:val="0"/>
          <w:szCs w:val="22"/>
        </w:rPr>
        <w:t>andyopadhyay method</w:t>
      </w:r>
    </w:p>
    <w:p w14:paraId="568814D5" w14:textId="77777777" w:rsidR="00775ABE" w:rsidRDefault="00775ABE" w:rsidP="00775ABE">
      <w:pPr>
        <w:pStyle w:val="Head1"/>
        <w:spacing w:after="0"/>
        <w:jc w:val="both"/>
        <w:rPr>
          <w:rFonts w:ascii="Arial" w:hAnsi="Arial" w:cs="Arial"/>
          <w:caps w:val="0"/>
        </w:rPr>
      </w:pPr>
    </w:p>
    <w:p w14:paraId="52A027D4" w14:textId="060511D7" w:rsidR="00775ABE" w:rsidRDefault="00775ABE" w:rsidP="00056A56">
      <w:pPr>
        <w:tabs>
          <w:tab w:val="left" w:pos="1080"/>
        </w:tabs>
        <w:jc w:val="both"/>
        <w:rPr>
          <w:rFonts w:ascii="Arial" w:hAnsi="Arial"/>
          <w:bCs/>
          <w:lang w:val="en-IN"/>
        </w:rPr>
      </w:pPr>
      <w:r w:rsidRPr="00775ABE">
        <w:rPr>
          <w:rFonts w:ascii="Arial" w:hAnsi="Arial"/>
          <w:bCs/>
          <w:lang w:val="en-IN"/>
        </w:rPr>
        <w:t xml:space="preserve">IC394640 ranked as the best among the evaluated accessions with a total score </w:t>
      </w:r>
      <w:proofErr w:type="gramStart"/>
      <w:r w:rsidRPr="00775ABE">
        <w:rPr>
          <w:rFonts w:ascii="Arial" w:hAnsi="Arial"/>
          <w:bCs/>
          <w:lang w:val="en-IN"/>
        </w:rPr>
        <w:t>of  6</w:t>
      </w:r>
      <w:proofErr w:type="gramEnd"/>
      <w:r w:rsidRPr="00775ABE">
        <w:rPr>
          <w:rFonts w:ascii="Arial" w:hAnsi="Arial"/>
          <w:bCs/>
          <w:lang w:val="en-IN"/>
        </w:rPr>
        <w:t>, followed by IC 394380 with a score of 22</w:t>
      </w:r>
      <w:r w:rsidR="00E61C1C">
        <w:rPr>
          <w:rFonts w:ascii="Arial" w:hAnsi="Arial"/>
          <w:bCs/>
          <w:lang w:val="en-IN"/>
        </w:rPr>
        <w:t xml:space="preserve"> as depicted in </w:t>
      </w:r>
      <w:r w:rsidR="0008606F">
        <w:rPr>
          <w:rFonts w:ascii="Arial" w:hAnsi="Arial"/>
          <w:bCs/>
          <w:lang w:val="en-IN"/>
        </w:rPr>
        <w:t>T</w:t>
      </w:r>
      <w:r w:rsidR="00E61C1C">
        <w:rPr>
          <w:rFonts w:ascii="Arial" w:hAnsi="Arial"/>
          <w:bCs/>
          <w:lang w:val="en-IN"/>
        </w:rPr>
        <w:t>able 1</w:t>
      </w:r>
      <w:r w:rsidRPr="00775ABE">
        <w:rPr>
          <w:rFonts w:ascii="Arial" w:hAnsi="Arial"/>
          <w:bCs/>
          <w:lang w:val="en-IN"/>
        </w:rPr>
        <w:t xml:space="preserve">. Accession </w:t>
      </w:r>
      <w:proofErr w:type="spellStart"/>
      <w:r w:rsidRPr="00775ABE">
        <w:rPr>
          <w:rFonts w:ascii="Arial" w:hAnsi="Arial"/>
          <w:bCs/>
          <w:lang w:val="en-IN"/>
        </w:rPr>
        <w:t>Pusa</w:t>
      </w:r>
      <w:proofErr w:type="spellEnd"/>
      <w:r w:rsidRPr="00775ABE">
        <w:rPr>
          <w:rFonts w:ascii="Arial" w:hAnsi="Arial"/>
          <w:bCs/>
          <w:lang w:val="en-IN"/>
        </w:rPr>
        <w:t xml:space="preserve"> M 2142 was the least performing accession with a score of 55. Accession IC394640 recorded the highest value among the evaluated accessions in yield and yield correlated traits, except in pod length. On the other hand, </w:t>
      </w:r>
      <w:proofErr w:type="spellStart"/>
      <w:r w:rsidRPr="00775ABE">
        <w:rPr>
          <w:rFonts w:ascii="Arial" w:hAnsi="Arial"/>
          <w:bCs/>
          <w:lang w:val="en-IN"/>
        </w:rPr>
        <w:t>Pusa</w:t>
      </w:r>
      <w:proofErr w:type="spellEnd"/>
      <w:r w:rsidRPr="00775ABE">
        <w:rPr>
          <w:rFonts w:ascii="Arial" w:hAnsi="Arial"/>
          <w:bCs/>
          <w:lang w:val="en-IN"/>
        </w:rPr>
        <w:t xml:space="preserve"> M 2142 was included in the lowest statistical group in all the above traits. Released varieties Virat and TM96 were in fourth and sixth positions, while CO6 and CO8 were in eighth and ninth positions, respectively</w:t>
      </w:r>
      <w:r>
        <w:rPr>
          <w:rFonts w:ascii="Arial" w:hAnsi="Arial"/>
          <w:bCs/>
          <w:lang w:val="en-IN"/>
        </w:rPr>
        <w:t>.</w:t>
      </w:r>
    </w:p>
    <w:p w14:paraId="39A297FC" w14:textId="77777777" w:rsidR="00775ABE" w:rsidRDefault="00775ABE" w:rsidP="00056A56">
      <w:pPr>
        <w:tabs>
          <w:tab w:val="left" w:pos="1080"/>
        </w:tabs>
        <w:jc w:val="both"/>
        <w:rPr>
          <w:rFonts w:ascii="Arial" w:hAnsi="Arial"/>
          <w:bCs/>
          <w:lang w:val="en-IN"/>
        </w:rPr>
      </w:pPr>
    </w:p>
    <w:p w14:paraId="2D0C7987" w14:textId="00F808CE" w:rsidR="00775ABE" w:rsidRDefault="00F16DDC" w:rsidP="00056A56">
      <w:pPr>
        <w:tabs>
          <w:tab w:val="left" w:pos="1080"/>
        </w:tabs>
        <w:jc w:val="both"/>
        <w:rPr>
          <w:rFonts w:ascii="Arial" w:hAnsi="Arial"/>
          <w:bCs/>
          <w:lang w:val="en-IN"/>
        </w:rPr>
      </w:pPr>
      <w:proofErr w:type="spellStart"/>
      <w:r w:rsidRPr="00F16DDC">
        <w:rPr>
          <w:rFonts w:ascii="Arial" w:hAnsi="Arial"/>
          <w:bCs/>
        </w:rPr>
        <w:t>Shibana</w:t>
      </w:r>
      <w:proofErr w:type="spellEnd"/>
      <w:r>
        <w:rPr>
          <w:rFonts w:ascii="Arial" w:hAnsi="Arial"/>
          <w:bCs/>
        </w:rPr>
        <w:t xml:space="preserve"> </w:t>
      </w:r>
      <w:r w:rsidRPr="00F16DDC">
        <w:rPr>
          <w:rFonts w:ascii="Arial" w:hAnsi="Arial"/>
          <w:bCs/>
        </w:rPr>
        <w:t>and Jalaja</w:t>
      </w:r>
      <w:r>
        <w:rPr>
          <w:rFonts w:ascii="Arial" w:hAnsi="Arial"/>
          <w:bCs/>
        </w:rPr>
        <w:t xml:space="preserve"> </w:t>
      </w:r>
      <w:r w:rsidR="00B15FE7">
        <w:rPr>
          <w:rFonts w:ascii="Arial" w:hAnsi="Arial"/>
          <w:bCs/>
        </w:rPr>
        <w:t>(2019)</w:t>
      </w:r>
      <w:r>
        <w:rPr>
          <w:rFonts w:ascii="Arial" w:hAnsi="Arial"/>
          <w:bCs/>
        </w:rPr>
        <w:t xml:space="preserve"> </w:t>
      </w:r>
      <w:r w:rsidR="00775ABE" w:rsidRPr="00775ABE">
        <w:rPr>
          <w:rFonts w:ascii="Arial" w:hAnsi="Arial"/>
          <w:bCs/>
          <w:lang w:val="en-IN"/>
        </w:rPr>
        <w:t xml:space="preserve">evaluated </w:t>
      </w:r>
      <w:r w:rsidRPr="00F16DDC">
        <w:rPr>
          <w:rFonts w:ascii="Arial" w:hAnsi="Arial"/>
          <w:bCs/>
        </w:rPr>
        <w:t>ten garlic genotypes</w:t>
      </w:r>
      <w:r>
        <w:rPr>
          <w:rFonts w:ascii="Arial" w:hAnsi="Arial"/>
          <w:bCs/>
        </w:rPr>
        <w:t xml:space="preserve"> </w:t>
      </w:r>
      <w:r w:rsidR="00775ABE" w:rsidRPr="00775ABE">
        <w:rPr>
          <w:rFonts w:ascii="Arial" w:hAnsi="Arial"/>
          <w:bCs/>
          <w:lang w:val="en-IN"/>
        </w:rPr>
        <w:t xml:space="preserve">for their yield using the Arunachalam and Bandyopadhyay method. Similarly, </w:t>
      </w:r>
      <w:proofErr w:type="spellStart"/>
      <w:r w:rsidR="00775ABE" w:rsidRPr="00775ABE">
        <w:rPr>
          <w:rFonts w:ascii="Arial" w:hAnsi="Arial"/>
          <w:bCs/>
          <w:lang w:val="en-IN"/>
        </w:rPr>
        <w:t>Sivasankarreddy</w:t>
      </w:r>
      <w:proofErr w:type="spellEnd"/>
      <w:r w:rsidR="00775ABE" w:rsidRPr="00775ABE">
        <w:rPr>
          <w:rFonts w:ascii="Arial" w:hAnsi="Arial"/>
          <w:bCs/>
          <w:lang w:val="en-IN"/>
        </w:rPr>
        <w:t xml:space="preserve"> </w:t>
      </w:r>
      <w:r w:rsidR="00775ABE" w:rsidRPr="00775ABE">
        <w:rPr>
          <w:rFonts w:ascii="Arial" w:hAnsi="Arial"/>
          <w:bCs/>
          <w:i/>
          <w:iCs/>
          <w:lang w:val="en-IN"/>
        </w:rPr>
        <w:t>et al</w:t>
      </w:r>
      <w:r w:rsidR="00775ABE" w:rsidRPr="00775ABE">
        <w:rPr>
          <w:rFonts w:ascii="Arial" w:hAnsi="Arial"/>
          <w:bCs/>
          <w:lang w:val="en-IN"/>
        </w:rPr>
        <w:t xml:space="preserve">. (2024) identified five top-performing lines in brinjal using this approach from a total of twenty genotypes. Shilpa </w:t>
      </w:r>
      <w:r w:rsidR="00775ABE" w:rsidRPr="009749A4">
        <w:rPr>
          <w:rFonts w:ascii="Arial" w:hAnsi="Arial"/>
          <w:bCs/>
          <w:i/>
          <w:iCs/>
          <w:lang w:val="en-IN"/>
        </w:rPr>
        <w:t>et al</w:t>
      </w:r>
      <w:r w:rsidR="00775ABE" w:rsidRPr="00775ABE">
        <w:rPr>
          <w:rFonts w:ascii="Arial" w:hAnsi="Arial"/>
          <w:bCs/>
          <w:lang w:val="en-IN"/>
        </w:rPr>
        <w:t>. (2024) identified six testers and four lines from parental genotypes in marigold based on this scoring.</w:t>
      </w:r>
    </w:p>
    <w:p w14:paraId="5EB2FE00" w14:textId="77777777" w:rsidR="00775ABE" w:rsidRDefault="00775ABE" w:rsidP="00056A56">
      <w:pPr>
        <w:tabs>
          <w:tab w:val="left" w:pos="1080"/>
        </w:tabs>
        <w:jc w:val="both"/>
        <w:rPr>
          <w:rFonts w:ascii="Arial" w:hAnsi="Arial"/>
          <w:bCs/>
          <w:lang w:val="en-IN"/>
        </w:rPr>
      </w:pPr>
    </w:p>
    <w:p w14:paraId="542A1DE3" w14:textId="77777777" w:rsidR="009749A4" w:rsidRDefault="009749A4" w:rsidP="00056A56">
      <w:pPr>
        <w:tabs>
          <w:tab w:val="left" w:pos="1080"/>
        </w:tabs>
        <w:jc w:val="both"/>
        <w:rPr>
          <w:rFonts w:ascii="Arial" w:hAnsi="Arial"/>
          <w:bCs/>
          <w:lang w:val="en-IN"/>
        </w:rPr>
      </w:pPr>
    </w:p>
    <w:p w14:paraId="3AF09190" w14:textId="040EAE6D" w:rsidR="00775ABE" w:rsidRPr="00B008B9" w:rsidRDefault="009749A4" w:rsidP="00056A56">
      <w:pPr>
        <w:tabs>
          <w:tab w:val="left" w:pos="1080"/>
        </w:tabs>
        <w:jc w:val="both"/>
        <w:rPr>
          <w:rFonts w:ascii="Arial" w:hAnsi="Arial"/>
          <w:b/>
          <w:lang w:val="en-IN"/>
        </w:rPr>
      </w:pPr>
      <w:r w:rsidRPr="00B008B9">
        <w:rPr>
          <w:rFonts w:ascii="Arial" w:hAnsi="Arial"/>
          <w:b/>
          <w:lang w:val="en-IN"/>
        </w:rPr>
        <w:t xml:space="preserve">Table 1: Trait scores, total score, and ranking </w:t>
      </w:r>
      <w:proofErr w:type="gramStart"/>
      <w:r w:rsidRPr="00B008B9">
        <w:rPr>
          <w:rFonts w:ascii="Arial" w:hAnsi="Arial"/>
          <w:b/>
          <w:lang w:val="en-IN"/>
        </w:rPr>
        <w:t>of  green</w:t>
      </w:r>
      <w:proofErr w:type="gramEnd"/>
      <w:r w:rsidRPr="00B008B9">
        <w:rPr>
          <w:rFonts w:ascii="Arial" w:hAnsi="Arial"/>
          <w:b/>
          <w:lang w:val="en-IN"/>
        </w:rPr>
        <w:t xml:space="preserve"> gram accessions using the Arunachalam and Bandyopadhyay (1984) method</w:t>
      </w:r>
    </w:p>
    <w:p w14:paraId="46287828" w14:textId="77777777" w:rsidR="009749A4" w:rsidRDefault="009749A4" w:rsidP="00056A56">
      <w:pPr>
        <w:tabs>
          <w:tab w:val="left" w:pos="1080"/>
        </w:tabs>
        <w:jc w:val="both"/>
        <w:rPr>
          <w:rFonts w:ascii="Arial" w:hAnsi="Arial"/>
          <w:bCs/>
          <w:lang w:val="en-IN"/>
        </w:rPr>
      </w:pPr>
    </w:p>
    <w:tbl>
      <w:tblPr>
        <w:tblStyle w:val="TableGrid"/>
        <w:tblpPr w:leftFromText="180" w:rightFromText="180" w:vertAnchor="text" w:horzAnchor="margin" w:tblpY="162"/>
        <w:tblW w:w="0" w:type="auto"/>
        <w:tblLook w:val="04A0" w:firstRow="1" w:lastRow="0" w:firstColumn="1" w:lastColumn="0" w:noHBand="0" w:noVBand="1"/>
      </w:tblPr>
      <w:tblGrid>
        <w:gridCol w:w="777"/>
        <w:gridCol w:w="1217"/>
        <w:gridCol w:w="984"/>
        <w:gridCol w:w="842"/>
        <w:gridCol w:w="1106"/>
        <w:gridCol w:w="993"/>
        <w:gridCol w:w="823"/>
        <w:gridCol w:w="750"/>
        <w:gridCol w:w="706"/>
      </w:tblGrid>
      <w:tr w:rsidR="00293327" w:rsidRPr="009749A4" w14:paraId="74B27F47" w14:textId="77777777" w:rsidTr="00293327">
        <w:trPr>
          <w:trHeight w:val="300"/>
        </w:trPr>
        <w:tc>
          <w:tcPr>
            <w:tcW w:w="846" w:type="dxa"/>
          </w:tcPr>
          <w:p w14:paraId="767AACBB" w14:textId="34ABA80F" w:rsidR="009749A4" w:rsidRPr="009749A4" w:rsidRDefault="009749A4" w:rsidP="009749A4">
            <w:pPr>
              <w:tabs>
                <w:tab w:val="left" w:pos="1080"/>
              </w:tabs>
              <w:jc w:val="both"/>
              <w:rPr>
                <w:rFonts w:ascii="Arial" w:eastAsia="Times New Roman" w:hAnsi="Arial"/>
                <w:b/>
                <w:bCs/>
                <w:sz w:val="20"/>
                <w:szCs w:val="20"/>
                <w:lang w:val="en-IN"/>
              </w:rPr>
            </w:pPr>
            <w:bookmarkStart w:id="2" w:name="_Hlk215304896"/>
            <w:proofErr w:type="spellStart"/>
            <w:r w:rsidRPr="009749A4">
              <w:rPr>
                <w:rFonts w:ascii="Arial" w:eastAsia="Times New Roman" w:hAnsi="Arial"/>
                <w:bCs/>
                <w:sz w:val="20"/>
                <w:szCs w:val="20"/>
                <w:lang w:val="en-IN"/>
              </w:rPr>
              <w:lastRenderedPageBreak/>
              <w:t>S</w:t>
            </w:r>
            <w:r w:rsidR="00293327">
              <w:rPr>
                <w:rFonts w:ascii="Arial" w:eastAsia="Times New Roman" w:hAnsi="Arial"/>
                <w:bCs/>
                <w:sz w:val="20"/>
                <w:szCs w:val="20"/>
                <w:lang w:val="en-IN"/>
              </w:rPr>
              <w:t>l</w:t>
            </w:r>
            <w:r w:rsidRPr="009749A4">
              <w:rPr>
                <w:rFonts w:ascii="Arial" w:eastAsia="Times New Roman" w:hAnsi="Arial"/>
                <w:bCs/>
                <w:sz w:val="20"/>
                <w:szCs w:val="20"/>
                <w:lang w:val="en-IN"/>
              </w:rPr>
              <w:t>.No</w:t>
            </w:r>
            <w:proofErr w:type="spellEnd"/>
            <w:r w:rsidR="00293327">
              <w:rPr>
                <w:rFonts w:ascii="Arial" w:eastAsia="Times New Roman" w:hAnsi="Arial"/>
                <w:bCs/>
                <w:sz w:val="20"/>
                <w:szCs w:val="20"/>
                <w:lang w:val="en-IN"/>
              </w:rPr>
              <w:t>.</w:t>
            </w:r>
          </w:p>
        </w:tc>
        <w:tc>
          <w:tcPr>
            <w:tcW w:w="1214" w:type="dxa"/>
            <w:noWrap/>
            <w:hideMark/>
          </w:tcPr>
          <w:p w14:paraId="5B41734C"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Accession</w:t>
            </w:r>
          </w:p>
        </w:tc>
        <w:tc>
          <w:tcPr>
            <w:tcW w:w="968" w:type="dxa"/>
            <w:noWrap/>
            <w:hideMark/>
          </w:tcPr>
          <w:p w14:paraId="78F12411"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Number of clusters per plant</w:t>
            </w:r>
          </w:p>
        </w:tc>
        <w:tc>
          <w:tcPr>
            <w:tcW w:w="842" w:type="dxa"/>
            <w:noWrap/>
            <w:hideMark/>
          </w:tcPr>
          <w:p w14:paraId="56018ADF"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Pod length</w:t>
            </w:r>
          </w:p>
        </w:tc>
        <w:tc>
          <w:tcPr>
            <w:tcW w:w="1078" w:type="dxa"/>
            <w:noWrap/>
            <w:hideMark/>
          </w:tcPr>
          <w:p w14:paraId="14398008"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 xml:space="preserve">Number of Primary branches </w:t>
            </w:r>
          </w:p>
        </w:tc>
        <w:tc>
          <w:tcPr>
            <w:tcW w:w="993" w:type="dxa"/>
            <w:noWrap/>
            <w:hideMark/>
          </w:tcPr>
          <w:p w14:paraId="7CF15F69"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 xml:space="preserve">Number of pods per plant </w:t>
            </w:r>
          </w:p>
        </w:tc>
        <w:tc>
          <w:tcPr>
            <w:tcW w:w="823" w:type="dxa"/>
            <w:noWrap/>
            <w:hideMark/>
          </w:tcPr>
          <w:p w14:paraId="52E63B4D" w14:textId="23B6DD3D"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Yield</w:t>
            </w:r>
            <w:r w:rsidR="00727995">
              <w:rPr>
                <w:rFonts w:ascii="Arial" w:eastAsia="Times New Roman" w:hAnsi="Arial"/>
                <w:b/>
                <w:bCs/>
                <w:sz w:val="20"/>
                <w:szCs w:val="20"/>
                <w:lang w:val="en-IN"/>
              </w:rPr>
              <w:t xml:space="preserve"> per plant</w:t>
            </w:r>
          </w:p>
        </w:tc>
        <w:tc>
          <w:tcPr>
            <w:tcW w:w="733" w:type="dxa"/>
            <w:noWrap/>
            <w:hideMark/>
          </w:tcPr>
          <w:p w14:paraId="657DD20F"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Total score</w:t>
            </w:r>
          </w:p>
        </w:tc>
        <w:tc>
          <w:tcPr>
            <w:tcW w:w="701" w:type="dxa"/>
            <w:noWrap/>
            <w:hideMark/>
          </w:tcPr>
          <w:p w14:paraId="26F08888"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Rank</w:t>
            </w:r>
          </w:p>
        </w:tc>
      </w:tr>
      <w:tr w:rsidR="00293327" w:rsidRPr="009749A4" w14:paraId="5109803A" w14:textId="77777777" w:rsidTr="00293327">
        <w:trPr>
          <w:trHeight w:val="300"/>
        </w:trPr>
        <w:tc>
          <w:tcPr>
            <w:tcW w:w="846" w:type="dxa"/>
          </w:tcPr>
          <w:p w14:paraId="7EC9B7A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1214" w:type="dxa"/>
            <w:noWrap/>
            <w:hideMark/>
          </w:tcPr>
          <w:p w14:paraId="1B96B0F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CO6</w:t>
            </w:r>
          </w:p>
        </w:tc>
        <w:tc>
          <w:tcPr>
            <w:tcW w:w="968" w:type="dxa"/>
            <w:noWrap/>
            <w:hideMark/>
          </w:tcPr>
          <w:p w14:paraId="7F10025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842" w:type="dxa"/>
            <w:noWrap/>
            <w:hideMark/>
          </w:tcPr>
          <w:p w14:paraId="2435D0A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1078" w:type="dxa"/>
            <w:noWrap/>
            <w:hideMark/>
          </w:tcPr>
          <w:p w14:paraId="3F92F1A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993" w:type="dxa"/>
            <w:noWrap/>
            <w:hideMark/>
          </w:tcPr>
          <w:p w14:paraId="034E9DF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823" w:type="dxa"/>
            <w:noWrap/>
            <w:hideMark/>
          </w:tcPr>
          <w:p w14:paraId="7A0DF87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733" w:type="dxa"/>
            <w:noWrap/>
            <w:hideMark/>
          </w:tcPr>
          <w:p w14:paraId="05011B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36</w:t>
            </w:r>
          </w:p>
        </w:tc>
        <w:tc>
          <w:tcPr>
            <w:tcW w:w="701" w:type="dxa"/>
            <w:noWrap/>
            <w:hideMark/>
          </w:tcPr>
          <w:p w14:paraId="1690EE0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r>
      <w:tr w:rsidR="00293327" w:rsidRPr="009749A4" w14:paraId="65D25A50" w14:textId="77777777" w:rsidTr="00293327">
        <w:trPr>
          <w:trHeight w:val="300"/>
        </w:trPr>
        <w:tc>
          <w:tcPr>
            <w:tcW w:w="846" w:type="dxa"/>
          </w:tcPr>
          <w:p w14:paraId="7489158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1214" w:type="dxa"/>
            <w:noWrap/>
            <w:hideMark/>
          </w:tcPr>
          <w:p w14:paraId="4A0C8BF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CO8</w:t>
            </w:r>
          </w:p>
        </w:tc>
        <w:tc>
          <w:tcPr>
            <w:tcW w:w="968" w:type="dxa"/>
            <w:noWrap/>
            <w:hideMark/>
          </w:tcPr>
          <w:p w14:paraId="5E61DF4A"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842" w:type="dxa"/>
            <w:noWrap/>
            <w:hideMark/>
          </w:tcPr>
          <w:p w14:paraId="6BBFF6F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1078" w:type="dxa"/>
            <w:noWrap/>
            <w:hideMark/>
          </w:tcPr>
          <w:p w14:paraId="3E716C5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993" w:type="dxa"/>
            <w:noWrap/>
            <w:hideMark/>
          </w:tcPr>
          <w:p w14:paraId="2055478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823" w:type="dxa"/>
            <w:noWrap/>
            <w:hideMark/>
          </w:tcPr>
          <w:p w14:paraId="02A4DEC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733" w:type="dxa"/>
            <w:noWrap/>
            <w:hideMark/>
          </w:tcPr>
          <w:p w14:paraId="0A044E7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38</w:t>
            </w:r>
          </w:p>
        </w:tc>
        <w:tc>
          <w:tcPr>
            <w:tcW w:w="701" w:type="dxa"/>
            <w:noWrap/>
            <w:hideMark/>
          </w:tcPr>
          <w:p w14:paraId="6244007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r>
      <w:tr w:rsidR="00293327" w:rsidRPr="009749A4" w14:paraId="3AB81D78" w14:textId="77777777" w:rsidTr="00293327">
        <w:trPr>
          <w:trHeight w:val="300"/>
        </w:trPr>
        <w:tc>
          <w:tcPr>
            <w:tcW w:w="846" w:type="dxa"/>
          </w:tcPr>
          <w:p w14:paraId="51DFAD7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1214" w:type="dxa"/>
            <w:noWrap/>
            <w:hideMark/>
          </w:tcPr>
          <w:p w14:paraId="0D0E987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IC224780</w:t>
            </w:r>
          </w:p>
        </w:tc>
        <w:tc>
          <w:tcPr>
            <w:tcW w:w="968" w:type="dxa"/>
            <w:noWrap/>
            <w:hideMark/>
          </w:tcPr>
          <w:p w14:paraId="03FC6FE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842" w:type="dxa"/>
            <w:noWrap/>
            <w:hideMark/>
          </w:tcPr>
          <w:p w14:paraId="065D431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1078" w:type="dxa"/>
            <w:noWrap/>
            <w:hideMark/>
          </w:tcPr>
          <w:p w14:paraId="42E2905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993" w:type="dxa"/>
            <w:noWrap/>
            <w:hideMark/>
          </w:tcPr>
          <w:p w14:paraId="08C8E13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823" w:type="dxa"/>
            <w:noWrap/>
            <w:hideMark/>
          </w:tcPr>
          <w:p w14:paraId="1D74622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733" w:type="dxa"/>
            <w:noWrap/>
            <w:hideMark/>
          </w:tcPr>
          <w:p w14:paraId="14E753D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32</w:t>
            </w:r>
          </w:p>
        </w:tc>
        <w:tc>
          <w:tcPr>
            <w:tcW w:w="701" w:type="dxa"/>
            <w:noWrap/>
            <w:hideMark/>
          </w:tcPr>
          <w:p w14:paraId="0987D30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r>
      <w:tr w:rsidR="00293327" w:rsidRPr="009749A4" w14:paraId="2405E4D8" w14:textId="77777777" w:rsidTr="00293327">
        <w:trPr>
          <w:trHeight w:val="300"/>
        </w:trPr>
        <w:tc>
          <w:tcPr>
            <w:tcW w:w="846" w:type="dxa"/>
          </w:tcPr>
          <w:p w14:paraId="444F619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1214" w:type="dxa"/>
            <w:noWrap/>
            <w:hideMark/>
          </w:tcPr>
          <w:p w14:paraId="345F549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IC247820</w:t>
            </w:r>
          </w:p>
        </w:tc>
        <w:tc>
          <w:tcPr>
            <w:tcW w:w="968" w:type="dxa"/>
            <w:noWrap/>
            <w:hideMark/>
          </w:tcPr>
          <w:p w14:paraId="483C046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842" w:type="dxa"/>
            <w:noWrap/>
            <w:hideMark/>
          </w:tcPr>
          <w:p w14:paraId="4182F44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1078" w:type="dxa"/>
            <w:noWrap/>
            <w:hideMark/>
          </w:tcPr>
          <w:p w14:paraId="57E265D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993" w:type="dxa"/>
            <w:noWrap/>
            <w:hideMark/>
          </w:tcPr>
          <w:p w14:paraId="2368DFD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823" w:type="dxa"/>
            <w:noWrap/>
            <w:hideMark/>
          </w:tcPr>
          <w:p w14:paraId="095FF79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733" w:type="dxa"/>
            <w:noWrap/>
            <w:hideMark/>
          </w:tcPr>
          <w:p w14:paraId="41A98C4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24</w:t>
            </w:r>
          </w:p>
        </w:tc>
        <w:tc>
          <w:tcPr>
            <w:tcW w:w="701" w:type="dxa"/>
            <w:noWrap/>
            <w:hideMark/>
          </w:tcPr>
          <w:p w14:paraId="207783B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r>
      <w:tr w:rsidR="00293327" w:rsidRPr="009749A4" w14:paraId="4EE97239" w14:textId="77777777" w:rsidTr="00293327">
        <w:trPr>
          <w:trHeight w:val="300"/>
        </w:trPr>
        <w:tc>
          <w:tcPr>
            <w:tcW w:w="846" w:type="dxa"/>
          </w:tcPr>
          <w:p w14:paraId="1128FDA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1214" w:type="dxa"/>
            <w:noWrap/>
            <w:hideMark/>
          </w:tcPr>
          <w:p w14:paraId="6C969D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IC392930</w:t>
            </w:r>
          </w:p>
        </w:tc>
        <w:tc>
          <w:tcPr>
            <w:tcW w:w="968" w:type="dxa"/>
            <w:noWrap/>
            <w:hideMark/>
          </w:tcPr>
          <w:p w14:paraId="692D775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842" w:type="dxa"/>
            <w:noWrap/>
            <w:hideMark/>
          </w:tcPr>
          <w:p w14:paraId="1047C97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1078" w:type="dxa"/>
            <w:noWrap/>
            <w:hideMark/>
          </w:tcPr>
          <w:p w14:paraId="2D091FB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993" w:type="dxa"/>
            <w:noWrap/>
            <w:hideMark/>
          </w:tcPr>
          <w:p w14:paraId="52138E5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823" w:type="dxa"/>
            <w:noWrap/>
            <w:hideMark/>
          </w:tcPr>
          <w:p w14:paraId="53499DE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733" w:type="dxa"/>
            <w:noWrap/>
            <w:hideMark/>
          </w:tcPr>
          <w:p w14:paraId="4A3B035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39</w:t>
            </w:r>
          </w:p>
        </w:tc>
        <w:tc>
          <w:tcPr>
            <w:tcW w:w="701" w:type="dxa"/>
            <w:noWrap/>
            <w:hideMark/>
          </w:tcPr>
          <w:p w14:paraId="54FB7CA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r>
      <w:tr w:rsidR="00293327" w:rsidRPr="009749A4" w14:paraId="0011B537" w14:textId="77777777" w:rsidTr="00293327">
        <w:trPr>
          <w:trHeight w:val="300"/>
        </w:trPr>
        <w:tc>
          <w:tcPr>
            <w:tcW w:w="846" w:type="dxa"/>
          </w:tcPr>
          <w:p w14:paraId="6CCFDB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1214" w:type="dxa"/>
            <w:noWrap/>
            <w:hideMark/>
          </w:tcPr>
          <w:p w14:paraId="7D362B6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IC393910</w:t>
            </w:r>
          </w:p>
        </w:tc>
        <w:tc>
          <w:tcPr>
            <w:tcW w:w="968" w:type="dxa"/>
            <w:noWrap/>
            <w:hideMark/>
          </w:tcPr>
          <w:p w14:paraId="222B1F4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842" w:type="dxa"/>
            <w:noWrap/>
            <w:hideMark/>
          </w:tcPr>
          <w:p w14:paraId="6B5C989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1078" w:type="dxa"/>
            <w:noWrap/>
            <w:hideMark/>
          </w:tcPr>
          <w:p w14:paraId="5A5623C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993" w:type="dxa"/>
            <w:noWrap/>
            <w:hideMark/>
          </w:tcPr>
          <w:p w14:paraId="35A87EF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823" w:type="dxa"/>
            <w:noWrap/>
            <w:hideMark/>
          </w:tcPr>
          <w:p w14:paraId="1C1B772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733" w:type="dxa"/>
            <w:noWrap/>
            <w:hideMark/>
          </w:tcPr>
          <w:p w14:paraId="64B6566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25</w:t>
            </w:r>
          </w:p>
        </w:tc>
        <w:tc>
          <w:tcPr>
            <w:tcW w:w="701" w:type="dxa"/>
            <w:noWrap/>
            <w:hideMark/>
          </w:tcPr>
          <w:p w14:paraId="421D7B5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r>
      <w:tr w:rsidR="00293327" w:rsidRPr="009749A4" w14:paraId="710D24A6" w14:textId="77777777" w:rsidTr="00293327">
        <w:trPr>
          <w:trHeight w:val="300"/>
        </w:trPr>
        <w:tc>
          <w:tcPr>
            <w:tcW w:w="846" w:type="dxa"/>
          </w:tcPr>
          <w:p w14:paraId="4261B51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1214" w:type="dxa"/>
            <w:noWrap/>
            <w:hideMark/>
          </w:tcPr>
          <w:p w14:paraId="396C9FA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IC394380</w:t>
            </w:r>
          </w:p>
        </w:tc>
        <w:tc>
          <w:tcPr>
            <w:tcW w:w="968" w:type="dxa"/>
            <w:noWrap/>
            <w:hideMark/>
          </w:tcPr>
          <w:p w14:paraId="1735938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842" w:type="dxa"/>
            <w:noWrap/>
            <w:hideMark/>
          </w:tcPr>
          <w:p w14:paraId="7D6A3F7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1078" w:type="dxa"/>
            <w:noWrap/>
            <w:hideMark/>
          </w:tcPr>
          <w:p w14:paraId="7010CD3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993" w:type="dxa"/>
            <w:noWrap/>
            <w:hideMark/>
          </w:tcPr>
          <w:p w14:paraId="4F9E41F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823" w:type="dxa"/>
            <w:noWrap/>
            <w:hideMark/>
          </w:tcPr>
          <w:p w14:paraId="0554E85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733" w:type="dxa"/>
            <w:noWrap/>
            <w:hideMark/>
          </w:tcPr>
          <w:p w14:paraId="2561012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22</w:t>
            </w:r>
          </w:p>
        </w:tc>
        <w:tc>
          <w:tcPr>
            <w:tcW w:w="701" w:type="dxa"/>
            <w:noWrap/>
            <w:hideMark/>
          </w:tcPr>
          <w:p w14:paraId="157628E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r>
      <w:tr w:rsidR="00293327" w:rsidRPr="009749A4" w14:paraId="563BA26A" w14:textId="77777777" w:rsidTr="00293327">
        <w:trPr>
          <w:trHeight w:val="300"/>
        </w:trPr>
        <w:tc>
          <w:tcPr>
            <w:tcW w:w="846" w:type="dxa"/>
          </w:tcPr>
          <w:p w14:paraId="2043ED9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1214" w:type="dxa"/>
            <w:noWrap/>
            <w:hideMark/>
          </w:tcPr>
          <w:p w14:paraId="68FF7CD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IC394640</w:t>
            </w:r>
          </w:p>
        </w:tc>
        <w:tc>
          <w:tcPr>
            <w:tcW w:w="968" w:type="dxa"/>
            <w:noWrap/>
            <w:hideMark/>
          </w:tcPr>
          <w:p w14:paraId="2C6652E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842" w:type="dxa"/>
            <w:noWrap/>
            <w:hideMark/>
          </w:tcPr>
          <w:p w14:paraId="6C86295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1078" w:type="dxa"/>
            <w:noWrap/>
            <w:hideMark/>
          </w:tcPr>
          <w:p w14:paraId="71EE251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993" w:type="dxa"/>
            <w:noWrap/>
            <w:hideMark/>
          </w:tcPr>
          <w:p w14:paraId="5811955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823" w:type="dxa"/>
            <w:noWrap/>
            <w:hideMark/>
          </w:tcPr>
          <w:p w14:paraId="359ABD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733" w:type="dxa"/>
            <w:noWrap/>
            <w:hideMark/>
          </w:tcPr>
          <w:p w14:paraId="0C6CD52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701" w:type="dxa"/>
            <w:noWrap/>
            <w:hideMark/>
          </w:tcPr>
          <w:p w14:paraId="463ABB9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r>
      <w:tr w:rsidR="00293327" w:rsidRPr="009749A4" w14:paraId="11746CE7" w14:textId="77777777" w:rsidTr="00293327">
        <w:trPr>
          <w:trHeight w:val="300"/>
        </w:trPr>
        <w:tc>
          <w:tcPr>
            <w:tcW w:w="846" w:type="dxa"/>
          </w:tcPr>
          <w:p w14:paraId="48D2A17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1214" w:type="dxa"/>
            <w:noWrap/>
            <w:hideMark/>
          </w:tcPr>
          <w:p w14:paraId="538812DD" w14:textId="77777777" w:rsidR="009749A4" w:rsidRPr="009749A4" w:rsidRDefault="009749A4" w:rsidP="009749A4">
            <w:pPr>
              <w:tabs>
                <w:tab w:val="left" w:pos="1080"/>
              </w:tabs>
              <w:jc w:val="both"/>
              <w:rPr>
                <w:rFonts w:ascii="Arial" w:eastAsia="Times New Roman" w:hAnsi="Arial"/>
                <w:bCs/>
                <w:sz w:val="20"/>
                <w:szCs w:val="20"/>
                <w:lang w:val="en-IN"/>
              </w:rPr>
            </w:pPr>
            <w:proofErr w:type="spellStart"/>
            <w:r w:rsidRPr="009749A4">
              <w:rPr>
                <w:rFonts w:ascii="Arial" w:eastAsia="Times New Roman" w:hAnsi="Arial"/>
                <w:bCs/>
                <w:sz w:val="20"/>
                <w:szCs w:val="20"/>
                <w:lang w:val="en-IN"/>
              </w:rPr>
              <w:t>Pusa</w:t>
            </w:r>
            <w:proofErr w:type="spellEnd"/>
            <w:r w:rsidRPr="009749A4">
              <w:rPr>
                <w:rFonts w:ascii="Arial" w:eastAsia="Times New Roman" w:hAnsi="Arial"/>
                <w:bCs/>
                <w:sz w:val="20"/>
                <w:szCs w:val="20"/>
                <w:lang w:val="en-IN"/>
              </w:rPr>
              <w:t xml:space="preserve"> M 2142</w:t>
            </w:r>
          </w:p>
        </w:tc>
        <w:tc>
          <w:tcPr>
            <w:tcW w:w="968" w:type="dxa"/>
            <w:noWrap/>
            <w:hideMark/>
          </w:tcPr>
          <w:p w14:paraId="2648859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842" w:type="dxa"/>
            <w:noWrap/>
            <w:hideMark/>
          </w:tcPr>
          <w:p w14:paraId="4739115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1078" w:type="dxa"/>
            <w:noWrap/>
            <w:hideMark/>
          </w:tcPr>
          <w:p w14:paraId="735B5EF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993" w:type="dxa"/>
            <w:noWrap/>
            <w:hideMark/>
          </w:tcPr>
          <w:p w14:paraId="13572F8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823" w:type="dxa"/>
            <w:noWrap/>
            <w:hideMark/>
          </w:tcPr>
          <w:p w14:paraId="12C81DF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733" w:type="dxa"/>
            <w:noWrap/>
            <w:hideMark/>
          </w:tcPr>
          <w:p w14:paraId="2231B21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55</w:t>
            </w:r>
          </w:p>
        </w:tc>
        <w:tc>
          <w:tcPr>
            <w:tcW w:w="701" w:type="dxa"/>
            <w:noWrap/>
            <w:hideMark/>
          </w:tcPr>
          <w:p w14:paraId="6789184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r>
      <w:tr w:rsidR="00293327" w:rsidRPr="009749A4" w14:paraId="3376A0D4" w14:textId="77777777" w:rsidTr="00293327">
        <w:trPr>
          <w:trHeight w:val="300"/>
        </w:trPr>
        <w:tc>
          <w:tcPr>
            <w:tcW w:w="846" w:type="dxa"/>
          </w:tcPr>
          <w:p w14:paraId="3A8293F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1214" w:type="dxa"/>
            <w:noWrap/>
            <w:hideMark/>
          </w:tcPr>
          <w:p w14:paraId="3E7421F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TM96</w:t>
            </w:r>
          </w:p>
        </w:tc>
        <w:tc>
          <w:tcPr>
            <w:tcW w:w="968" w:type="dxa"/>
            <w:noWrap/>
            <w:hideMark/>
          </w:tcPr>
          <w:p w14:paraId="0848888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842" w:type="dxa"/>
            <w:noWrap/>
            <w:hideMark/>
          </w:tcPr>
          <w:p w14:paraId="61AB786A"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1078" w:type="dxa"/>
            <w:noWrap/>
            <w:hideMark/>
          </w:tcPr>
          <w:p w14:paraId="0A3769A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993" w:type="dxa"/>
            <w:noWrap/>
            <w:hideMark/>
          </w:tcPr>
          <w:p w14:paraId="0ADC074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823" w:type="dxa"/>
            <w:noWrap/>
            <w:hideMark/>
          </w:tcPr>
          <w:p w14:paraId="360FF4B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733" w:type="dxa"/>
            <w:noWrap/>
            <w:hideMark/>
          </w:tcPr>
          <w:p w14:paraId="1D2B62E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29</w:t>
            </w:r>
          </w:p>
        </w:tc>
        <w:tc>
          <w:tcPr>
            <w:tcW w:w="701" w:type="dxa"/>
            <w:noWrap/>
            <w:hideMark/>
          </w:tcPr>
          <w:p w14:paraId="247EE72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r>
      <w:tr w:rsidR="00293327" w:rsidRPr="009749A4" w14:paraId="796E0125" w14:textId="77777777" w:rsidTr="00293327">
        <w:trPr>
          <w:trHeight w:val="300"/>
        </w:trPr>
        <w:tc>
          <w:tcPr>
            <w:tcW w:w="846" w:type="dxa"/>
          </w:tcPr>
          <w:p w14:paraId="6904C0C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1214" w:type="dxa"/>
            <w:noWrap/>
            <w:hideMark/>
          </w:tcPr>
          <w:p w14:paraId="766565D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Virat</w:t>
            </w:r>
          </w:p>
        </w:tc>
        <w:tc>
          <w:tcPr>
            <w:tcW w:w="968" w:type="dxa"/>
            <w:noWrap/>
            <w:hideMark/>
          </w:tcPr>
          <w:p w14:paraId="2B01D6F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842" w:type="dxa"/>
            <w:noWrap/>
            <w:hideMark/>
          </w:tcPr>
          <w:p w14:paraId="00A1333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1078" w:type="dxa"/>
            <w:noWrap/>
            <w:hideMark/>
          </w:tcPr>
          <w:p w14:paraId="4336FB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993" w:type="dxa"/>
            <w:noWrap/>
            <w:hideMark/>
          </w:tcPr>
          <w:p w14:paraId="2F6CAF3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823" w:type="dxa"/>
            <w:noWrap/>
            <w:hideMark/>
          </w:tcPr>
          <w:p w14:paraId="778A7B5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733" w:type="dxa"/>
            <w:noWrap/>
            <w:hideMark/>
          </w:tcPr>
          <w:p w14:paraId="16A99D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24</w:t>
            </w:r>
          </w:p>
        </w:tc>
        <w:tc>
          <w:tcPr>
            <w:tcW w:w="701" w:type="dxa"/>
            <w:noWrap/>
            <w:hideMark/>
          </w:tcPr>
          <w:p w14:paraId="041D771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r>
      <w:bookmarkEnd w:id="2"/>
    </w:tbl>
    <w:p w14:paraId="7E5090C1" w14:textId="77777777" w:rsidR="009749A4" w:rsidRDefault="009749A4" w:rsidP="009749A4">
      <w:pPr>
        <w:tabs>
          <w:tab w:val="left" w:pos="1080"/>
        </w:tabs>
        <w:jc w:val="both"/>
        <w:rPr>
          <w:rFonts w:ascii="Arial" w:hAnsi="Arial"/>
          <w:b/>
          <w:bCs/>
          <w:sz w:val="22"/>
          <w:szCs w:val="22"/>
        </w:rPr>
      </w:pPr>
    </w:p>
    <w:p w14:paraId="7C3DAB62" w14:textId="6D4C3D36" w:rsidR="009749A4" w:rsidRDefault="009749A4" w:rsidP="009749A4">
      <w:pPr>
        <w:tabs>
          <w:tab w:val="left" w:pos="1080"/>
        </w:tabs>
        <w:jc w:val="both"/>
        <w:rPr>
          <w:rFonts w:ascii="Arial" w:hAnsi="Arial"/>
          <w:b/>
          <w:bCs/>
          <w:sz w:val="22"/>
          <w:szCs w:val="22"/>
        </w:rPr>
      </w:pPr>
      <w:r>
        <w:rPr>
          <w:rFonts w:ascii="Arial" w:hAnsi="Arial"/>
          <w:b/>
          <w:bCs/>
          <w:sz w:val="22"/>
          <w:szCs w:val="22"/>
        </w:rPr>
        <w:t xml:space="preserve">3.3 </w:t>
      </w:r>
      <w:r w:rsidRPr="009749A4">
        <w:rPr>
          <w:rFonts w:ascii="Arial" w:hAnsi="Arial"/>
          <w:b/>
          <w:bCs/>
          <w:sz w:val="22"/>
          <w:szCs w:val="22"/>
        </w:rPr>
        <w:t>Selection of superior accessions using PCA</w:t>
      </w:r>
    </w:p>
    <w:p w14:paraId="0B8B6B5A" w14:textId="77777777" w:rsidR="009749A4" w:rsidRPr="009749A4" w:rsidRDefault="009749A4" w:rsidP="009749A4">
      <w:pPr>
        <w:tabs>
          <w:tab w:val="left" w:pos="1080"/>
        </w:tabs>
        <w:jc w:val="both"/>
        <w:rPr>
          <w:rFonts w:ascii="Arial" w:hAnsi="Arial"/>
          <w:b/>
          <w:bCs/>
          <w:sz w:val="22"/>
          <w:szCs w:val="22"/>
        </w:rPr>
      </w:pPr>
    </w:p>
    <w:p w14:paraId="2CD1B8C2" w14:textId="2FF3AC50" w:rsidR="009749A4" w:rsidRDefault="009749A4" w:rsidP="00056A56">
      <w:pPr>
        <w:tabs>
          <w:tab w:val="left" w:pos="1080"/>
        </w:tabs>
        <w:jc w:val="both"/>
        <w:rPr>
          <w:rFonts w:ascii="Arial" w:hAnsi="Arial"/>
          <w:bCs/>
          <w:lang w:val="en-IN"/>
        </w:rPr>
      </w:pPr>
      <w:r w:rsidRPr="009749A4">
        <w:rPr>
          <w:rFonts w:ascii="Arial" w:hAnsi="Arial"/>
          <w:bCs/>
          <w:lang w:val="en-IN"/>
        </w:rPr>
        <w:t>In the present study, first three principal components (PCs) recorded eigenvalues greater than 0.5, and together they accounted for 94.67 per cent of the total variation. Following Arunachalam and Bandyopadhyay method, IC 394640 with a total score of 113.66</w:t>
      </w:r>
      <w:r w:rsidR="00EF3294">
        <w:rPr>
          <w:rFonts w:ascii="Arial" w:hAnsi="Arial"/>
          <w:bCs/>
          <w:lang w:val="en-IN"/>
        </w:rPr>
        <w:t xml:space="preserve"> </w:t>
      </w:r>
      <w:r w:rsidRPr="009749A4">
        <w:rPr>
          <w:rFonts w:ascii="Arial" w:hAnsi="Arial"/>
          <w:bCs/>
          <w:lang w:val="en-IN"/>
        </w:rPr>
        <w:t xml:space="preserve">was selected as the best accession. This </w:t>
      </w:r>
      <w:proofErr w:type="gramStart"/>
      <w:r w:rsidRPr="009749A4">
        <w:rPr>
          <w:rFonts w:ascii="Arial" w:hAnsi="Arial"/>
          <w:bCs/>
          <w:lang w:val="en-IN"/>
        </w:rPr>
        <w:t>accession  belonged</w:t>
      </w:r>
      <w:proofErr w:type="gramEnd"/>
      <w:r w:rsidRPr="009749A4">
        <w:rPr>
          <w:rFonts w:ascii="Arial" w:hAnsi="Arial"/>
          <w:bCs/>
          <w:lang w:val="en-IN"/>
        </w:rPr>
        <w:t xml:space="preserve"> to  the statistically highest group for the evaluated characters except for pod length, and consequently,  it registered  the highest score in PCA analysis for all traits except for pod length. Accession IC 247820 and Virat ranked second and third,</w:t>
      </w:r>
      <w:r w:rsidR="003C7C7D">
        <w:rPr>
          <w:rFonts w:ascii="Arial" w:hAnsi="Arial"/>
          <w:bCs/>
          <w:lang w:val="en-IN"/>
        </w:rPr>
        <w:t xml:space="preserve"> </w:t>
      </w:r>
      <w:r w:rsidRPr="009749A4">
        <w:rPr>
          <w:rFonts w:ascii="Arial" w:hAnsi="Arial"/>
          <w:bCs/>
          <w:lang w:val="en-IN"/>
        </w:rPr>
        <w:t xml:space="preserve">with total scores of 101.24 and </w:t>
      </w:r>
      <w:proofErr w:type="gramStart"/>
      <w:r w:rsidRPr="009749A4">
        <w:rPr>
          <w:rFonts w:ascii="Arial" w:hAnsi="Arial"/>
          <w:bCs/>
          <w:lang w:val="en-IN"/>
        </w:rPr>
        <w:t>99.65,respectively</w:t>
      </w:r>
      <w:proofErr w:type="gramEnd"/>
      <w:r w:rsidRPr="009749A4">
        <w:rPr>
          <w:rFonts w:ascii="Arial" w:hAnsi="Arial"/>
          <w:bCs/>
          <w:lang w:val="en-IN"/>
        </w:rPr>
        <w:t xml:space="preserve">. Consistent with the results of Arunachalam and Bandyopadhyay's (1984) method, </w:t>
      </w:r>
      <w:proofErr w:type="spellStart"/>
      <w:r w:rsidRPr="009749A4">
        <w:rPr>
          <w:rFonts w:ascii="Arial" w:hAnsi="Arial"/>
          <w:bCs/>
          <w:lang w:val="en-IN"/>
        </w:rPr>
        <w:t>Pusa</w:t>
      </w:r>
      <w:proofErr w:type="spellEnd"/>
      <w:r w:rsidRPr="009749A4">
        <w:rPr>
          <w:rFonts w:ascii="Arial" w:hAnsi="Arial"/>
          <w:bCs/>
          <w:lang w:val="en-IN"/>
        </w:rPr>
        <w:t xml:space="preserve"> M 2142 with a total score of 48.34 emerged </w:t>
      </w:r>
      <w:proofErr w:type="gramStart"/>
      <w:r w:rsidRPr="009749A4">
        <w:rPr>
          <w:rFonts w:ascii="Arial" w:hAnsi="Arial"/>
          <w:bCs/>
          <w:lang w:val="en-IN"/>
        </w:rPr>
        <w:t>as  the</w:t>
      </w:r>
      <w:proofErr w:type="gramEnd"/>
      <w:r w:rsidRPr="009749A4">
        <w:rPr>
          <w:rFonts w:ascii="Arial" w:hAnsi="Arial"/>
          <w:bCs/>
          <w:lang w:val="en-IN"/>
        </w:rPr>
        <w:t xml:space="preserve"> most undesirable accession in the PCA method too</w:t>
      </w:r>
      <w:r w:rsidR="00FB16D8">
        <w:rPr>
          <w:rFonts w:ascii="Arial" w:hAnsi="Arial"/>
          <w:bCs/>
          <w:lang w:val="en-IN"/>
        </w:rPr>
        <w:t xml:space="preserve"> (Table 2)</w:t>
      </w:r>
      <w:r w:rsidRPr="009749A4">
        <w:rPr>
          <w:rFonts w:ascii="Arial" w:hAnsi="Arial"/>
          <w:bCs/>
          <w:lang w:val="en-IN"/>
        </w:rPr>
        <w:t>.</w:t>
      </w:r>
    </w:p>
    <w:p w14:paraId="44DAC2BF" w14:textId="77777777" w:rsidR="009749A4" w:rsidRDefault="009749A4" w:rsidP="00056A56">
      <w:pPr>
        <w:tabs>
          <w:tab w:val="left" w:pos="1080"/>
        </w:tabs>
        <w:jc w:val="both"/>
        <w:rPr>
          <w:rFonts w:ascii="Arial" w:hAnsi="Arial"/>
          <w:bCs/>
          <w:lang w:val="en-IN"/>
        </w:rPr>
      </w:pPr>
    </w:p>
    <w:p w14:paraId="13F40398" w14:textId="3911AB97" w:rsidR="009749A4" w:rsidRDefault="009749A4" w:rsidP="00056A56">
      <w:pPr>
        <w:tabs>
          <w:tab w:val="left" w:pos="1080"/>
        </w:tabs>
        <w:jc w:val="both"/>
        <w:rPr>
          <w:rFonts w:ascii="Arial" w:hAnsi="Arial"/>
          <w:bCs/>
          <w:lang w:val="en-IN"/>
        </w:rPr>
      </w:pPr>
      <w:r w:rsidRPr="009749A4">
        <w:rPr>
          <w:rFonts w:ascii="Arial" w:hAnsi="Arial"/>
          <w:bCs/>
          <w:lang w:val="en-IN"/>
        </w:rPr>
        <w:t xml:space="preserve">PCA has been effectively used in several crops for genotype selection. Sinha </w:t>
      </w:r>
      <w:r w:rsidRPr="00F70493">
        <w:rPr>
          <w:rFonts w:ascii="Arial" w:hAnsi="Arial"/>
          <w:bCs/>
          <w:i/>
          <w:iCs/>
          <w:lang w:val="en-IN"/>
        </w:rPr>
        <w:t>et al</w:t>
      </w:r>
      <w:r w:rsidRPr="009749A4">
        <w:rPr>
          <w:rFonts w:ascii="Arial" w:hAnsi="Arial"/>
          <w:bCs/>
          <w:lang w:val="en-IN"/>
        </w:rPr>
        <w:t xml:space="preserve">. (2019) applied PCA to identify superior inbred lines in maize. Suma </w:t>
      </w:r>
      <w:r w:rsidRPr="003C7C7D">
        <w:rPr>
          <w:rFonts w:ascii="Arial" w:hAnsi="Arial"/>
          <w:bCs/>
          <w:i/>
          <w:iCs/>
          <w:lang w:val="en-IN"/>
        </w:rPr>
        <w:t>et al</w:t>
      </w:r>
      <w:r w:rsidRPr="009749A4">
        <w:rPr>
          <w:rFonts w:ascii="Arial" w:hAnsi="Arial"/>
          <w:bCs/>
          <w:lang w:val="en-IN"/>
        </w:rPr>
        <w:t xml:space="preserve">. (2025) used PCA approach to identify </w:t>
      </w:r>
      <w:proofErr w:type="gramStart"/>
      <w:r w:rsidRPr="009749A4">
        <w:rPr>
          <w:rFonts w:ascii="Arial" w:hAnsi="Arial"/>
          <w:bCs/>
          <w:lang w:val="en-IN"/>
        </w:rPr>
        <w:t>55  superior</w:t>
      </w:r>
      <w:proofErr w:type="gramEnd"/>
      <w:r w:rsidRPr="009749A4">
        <w:rPr>
          <w:rFonts w:ascii="Arial" w:hAnsi="Arial"/>
          <w:bCs/>
          <w:lang w:val="en-IN"/>
        </w:rPr>
        <w:t xml:space="preserve"> genotypes from a total of  553 okra accessions. </w:t>
      </w:r>
      <w:proofErr w:type="spellStart"/>
      <w:r w:rsidRPr="009749A4">
        <w:rPr>
          <w:rFonts w:ascii="Arial" w:hAnsi="Arial"/>
          <w:bCs/>
          <w:lang w:val="en-IN"/>
        </w:rPr>
        <w:t>Wambi</w:t>
      </w:r>
      <w:proofErr w:type="spellEnd"/>
      <w:r w:rsidRPr="009749A4">
        <w:rPr>
          <w:rFonts w:ascii="Arial" w:hAnsi="Arial"/>
          <w:bCs/>
          <w:lang w:val="en-IN"/>
        </w:rPr>
        <w:t xml:space="preserve"> </w:t>
      </w:r>
      <w:r w:rsidRPr="00F70493">
        <w:rPr>
          <w:rFonts w:ascii="Arial" w:hAnsi="Arial"/>
          <w:bCs/>
          <w:i/>
          <w:iCs/>
          <w:lang w:val="en-IN"/>
        </w:rPr>
        <w:t>et al</w:t>
      </w:r>
      <w:r w:rsidRPr="009749A4">
        <w:rPr>
          <w:rFonts w:ascii="Arial" w:hAnsi="Arial"/>
          <w:bCs/>
          <w:lang w:val="en-IN"/>
        </w:rPr>
        <w:t>. (2025) also used PCA to identify lodging resistant maize genotypes.</w:t>
      </w:r>
    </w:p>
    <w:p w14:paraId="77EEBC08" w14:textId="77777777" w:rsidR="009749A4" w:rsidRDefault="009749A4" w:rsidP="00056A56">
      <w:pPr>
        <w:tabs>
          <w:tab w:val="left" w:pos="1080"/>
        </w:tabs>
        <w:jc w:val="both"/>
        <w:rPr>
          <w:rFonts w:ascii="Arial" w:hAnsi="Arial"/>
          <w:bCs/>
          <w:lang w:val="en-IN"/>
        </w:rPr>
      </w:pPr>
    </w:p>
    <w:p w14:paraId="7CCCF5CD" w14:textId="2CA9E7AC" w:rsidR="009749A4" w:rsidRPr="00B008B9" w:rsidRDefault="009749A4" w:rsidP="00056A56">
      <w:pPr>
        <w:tabs>
          <w:tab w:val="left" w:pos="1080"/>
        </w:tabs>
        <w:jc w:val="both"/>
        <w:rPr>
          <w:rFonts w:ascii="Arial" w:hAnsi="Arial"/>
          <w:b/>
          <w:lang w:val="en-IN"/>
        </w:rPr>
      </w:pPr>
      <w:r w:rsidRPr="00B008B9">
        <w:rPr>
          <w:rFonts w:ascii="Arial" w:hAnsi="Arial"/>
          <w:b/>
          <w:lang w:val="en-IN"/>
        </w:rPr>
        <w:t xml:space="preserve">Table </w:t>
      </w:r>
      <w:proofErr w:type="gramStart"/>
      <w:r w:rsidRPr="00B008B9">
        <w:rPr>
          <w:rFonts w:ascii="Arial" w:hAnsi="Arial"/>
          <w:b/>
          <w:lang w:val="en-IN"/>
        </w:rPr>
        <w:t>2 :</w:t>
      </w:r>
      <w:proofErr w:type="gramEnd"/>
      <w:r w:rsidRPr="00B008B9">
        <w:rPr>
          <w:rFonts w:ascii="Arial" w:hAnsi="Arial"/>
          <w:b/>
          <w:lang w:val="en-IN"/>
        </w:rPr>
        <w:t xml:space="preserve"> Trait scores, total score, and ranking of green gram accessions using PCA</w:t>
      </w:r>
    </w:p>
    <w:tbl>
      <w:tblPr>
        <w:tblStyle w:val="TableGrid"/>
        <w:tblpPr w:leftFromText="180" w:rightFromText="180" w:vertAnchor="text" w:horzAnchor="margin" w:tblpY="311"/>
        <w:tblW w:w="9102" w:type="dxa"/>
        <w:tblLook w:val="04A0" w:firstRow="1" w:lastRow="0" w:firstColumn="1" w:lastColumn="0" w:noHBand="0" w:noVBand="1"/>
      </w:tblPr>
      <w:tblGrid>
        <w:gridCol w:w="761"/>
        <w:gridCol w:w="1276"/>
        <w:gridCol w:w="1051"/>
        <w:gridCol w:w="1038"/>
        <w:gridCol w:w="1082"/>
        <w:gridCol w:w="1177"/>
        <w:gridCol w:w="1006"/>
        <w:gridCol w:w="938"/>
        <w:gridCol w:w="773"/>
      </w:tblGrid>
      <w:tr w:rsidR="009749A4" w:rsidRPr="009749A4" w14:paraId="2836F4F0" w14:textId="77777777" w:rsidTr="009749A4">
        <w:trPr>
          <w:trHeight w:val="538"/>
        </w:trPr>
        <w:tc>
          <w:tcPr>
            <w:tcW w:w="749" w:type="dxa"/>
          </w:tcPr>
          <w:p w14:paraId="77EA4400" w14:textId="3523F224" w:rsidR="009749A4" w:rsidRPr="009749A4" w:rsidRDefault="009749A4" w:rsidP="009749A4">
            <w:pPr>
              <w:tabs>
                <w:tab w:val="left" w:pos="1080"/>
              </w:tabs>
              <w:jc w:val="both"/>
              <w:rPr>
                <w:rFonts w:ascii="Arial" w:hAnsi="Arial"/>
                <w:bCs/>
                <w:sz w:val="20"/>
                <w:lang w:val="en-IN"/>
              </w:rPr>
            </w:pPr>
            <w:bookmarkStart w:id="3" w:name="_Hlk215304912"/>
            <w:proofErr w:type="spellStart"/>
            <w:r w:rsidRPr="009749A4">
              <w:rPr>
                <w:rFonts w:ascii="Arial" w:hAnsi="Arial"/>
                <w:bCs/>
                <w:sz w:val="20"/>
                <w:lang w:val="en-IN"/>
              </w:rPr>
              <w:t>S</w:t>
            </w:r>
            <w:r w:rsidR="00293327">
              <w:rPr>
                <w:rFonts w:ascii="Arial" w:hAnsi="Arial"/>
                <w:bCs/>
                <w:sz w:val="20"/>
                <w:lang w:val="en-IN"/>
              </w:rPr>
              <w:t>l</w:t>
            </w:r>
            <w:r w:rsidRPr="009749A4">
              <w:rPr>
                <w:rFonts w:ascii="Arial" w:hAnsi="Arial"/>
                <w:bCs/>
                <w:sz w:val="20"/>
                <w:lang w:val="en-IN"/>
              </w:rPr>
              <w:t>.No</w:t>
            </w:r>
            <w:proofErr w:type="spellEnd"/>
            <w:r w:rsidR="00293327">
              <w:rPr>
                <w:rFonts w:ascii="Arial" w:hAnsi="Arial"/>
                <w:bCs/>
                <w:sz w:val="20"/>
                <w:lang w:val="en-IN"/>
              </w:rPr>
              <w:t>.</w:t>
            </w:r>
          </w:p>
        </w:tc>
        <w:tc>
          <w:tcPr>
            <w:tcW w:w="1278" w:type="dxa"/>
          </w:tcPr>
          <w:p w14:paraId="713FA8C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Accession</w:t>
            </w:r>
          </w:p>
        </w:tc>
        <w:tc>
          <w:tcPr>
            <w:tcW w:w="1052" w:type="dxa"/>
          </w:tcPr>
          <w:p w14:paraId="323C144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pods per plant</w:t>
            </w:r>
          </w:p>
        </w:tc>
        <w:tc>
          <w:tcPr>
            <w:tcW w:w="1040" w:type="dxa"/>
          </w:tcPr>
          <w:p w14:paraId="45E36E4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Pod length</w:t>
            </w:r>
          </w:p>
        </w:tc>
        <w:tc>
          <w:tcPr>
            <w:tcW w:w="1083" w:type="dxa"/>
          </w:tcPr>
          <w:p w14:paraId="410A0B8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clusters per plant</w:t>
            </w:r>
          </w:p>
        </w:tc>
        <w:tc>
          <w:tcPr>
            <w:tcW w:w="1178" w:type="dxa"/>
          </w:tcPr>
          <w:p w14:paraId="396A332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Primary branches</w:t>
            </w:r>
          </w:p>
        </w:tc>
        <w:tc>
          <w:tcPr>
            <w:tcW w:w="1009" w:type="dxa"/>
          </w:tcPr>
          <w:p w14:paraId="3A3966F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Yield per plant</w:t>
            </w:r>
          </w:p>
        </w:tc>
        <w:tc>
          <w:tcPr>
            <w:tcW w:w="939" w:type="dxa"/>
          </w:tcPr>
          <w:p w14:paraId="472EE41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Total score</w:t>
            </w:r>
          </w:p>
        </w:tc>
        <w:tc>
          <w:tcPr>
            <w:tcW w:w="774" w:type="dxa"/>
          </w:tcPr>
          <w:p w14:paraId="6CF2586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Rank</w:t>
            </w:r>
          </w:p>
        </w:tc>
      </w:tr>
      <w:tr w:rsidR="009749A4" w:rsidRPr="009749A4" w14:paraId="1EDD3E1D" w14:textId="77777777" w:rsidTr="009749A4">
        <w:trPr>
          <w:trHeight w:val="263"/>
        </w:trPr>
        <w:tc>
          <w:tcPr>
            <w:tcW w:w="749" w:type="dxa"/>
          </w:tcPr>
          <w:p w14:paraId="5F5F5C9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w:t>
            </w:r>
          </w:p>
        </w:tc>
        <w:tc>
          <w:tcPr>
            <w:tcW w:w="1278" w:type="dxa"/>
          </w:tcPr>
          <w:p w14:paraId="6870495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IC392930</w:t>
            </w:r>
          </w:p>
        </w:tc>
        <w:tc>
          <w:tcPr>
            <w:tcW w:w="1052" w:type="dxa"/>
          </w:tcPr>
          <w:p w14:paraId="36BBC20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28.22</w:t>
            </w:r>
          </w:p>
        </w:tc>
        <w:tc>
          <w:tcPr>
            <w:tcW w:w="1040" w:type="dxa"/>
          </w:tcPr>
          <w:p w14:paraId="5C0EDAA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13.44</w:t>
            </w:r>
          </w:p>
        </w:tc>
        <w:tc>
          <w:tcPr>
            <w:tcW w:w="1083" w:type="dxa"/>
          </w:tcPr>
          <w:p w14:paraId="40E6681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11.15</w:t>
            </w:r>
          </w:p>
        </w:tc>
        <w:tc>
          <w:tcPr>
            <w:tcW w:w="1178" w:type="dxa"/>
          </w:tcPr>
          <w:p w14:paraId="62353CF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2F71739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8.53</w:t>
            </w:r>
          </w:p>
        </w:tc>
        <w:tc>
          <w:tcPr>
            <w:tcW w:w="939" w:type="dxa"/>
          </w:tcPr>
          <w:p w14:paraId="2E6BBB0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71.39</w:t>
            </w:r>
          </w:p>
        </w:tc>
        <w:tc>
          <w:tcPr>
            <w:tcW w:w="774" w:type="dxa"/>
          </w:tcPr>
          <w:p w14:paraId="75F3A3B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w:t>
            </w:r>
          </w:p>
        </w:tc>
      </w:tr>
      <w:tr w:rsidR="009749A4" w:rsidRPr="009749A4" w14:paraId="55CD1C45" w14:textId="77777777" w:rsidTr="009749A4">
        <w:trPr>
          <w:trHeight w:val="272"/>
        </w:trPr>
        <w:tc>
          <w:tcPr>
            <w:tcW w:w="749" w:type="dxa"/>
          </w:tcPr>
          <w:p w14:paraId="28A497B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w:t>
            </w:r>
          </w:p>
        </w:tc>
        <w:tc>
          <w:tcPr>
            <w:tcW w:w="1278" w:type="dxa"/>
          </w:tcPr>
          <w:p w14:paraId="4D5CC4E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IC394640</w:t>
            </w:r>
          </w:p>
        </w:tc>
        <w:tc>
          <w:tcPr>
            <w:tcW w:w="1052" w:type="dxa"/>
          </w:tcPr>
          <w:p w14:paraId="7AFBD7E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52.04</w:t>
            </w:r>
          </w:p>
        </w:tc>
        <w:tc>
          <w:tcPr>
            <w:tcW w:w="1040" w:type="dxa"/>
          </w:tcPr>
          <w:p w14:paraId="2A973D1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14.74</w:t>
            </w:r>
          </w:p>
        </w:tc>
        <w:tc>
          <w:tcPr>
            <w:tcW w:w="1083" w:type="dxa"/>
          </w:tcPr>
          <w:p w14:paraId="070EA83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17.06</w:t>
            </w:r>
          </w:p>
        </w:tc>
        <w:tc>
          <w:tcPr>
            <w:tcW w:w="1178" w:type="dxa"/>
          </w:tcPr>
          <w:p w14:paraId="585732A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10.96</w:t>
            </w:r>
          </w:p>
        </w:tc>
        <w:tc>
          <w:tcPr>
            <w:tcW w:w="1009" w:type="dxa"/>
          </w:tcPr>
          <w:p w14:paraId="243FC64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18.87</w:t>
            </w:r>
          </w:p>
        </w:tc>
        <w:tc>
          <w:tcPr>
            <w:tcW w:w="939" w:type="dxa"/>
          </w:tcPr>
          <w:p w14:paraId="3DA66AC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113.66</w:t>
            </w:r>
          </w:p>
        </w:tc>
        <w:tc>
          <w:tcPr>
            <w:tcW w:w="774" w:type="dxa"/>
          </w:tcPr>
          <w:p w14:paraId="345C58F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w:t>
            </w:r>
          </w:p>
        </w:tc>
      </w:tr>
      <w:tr w:rsidR="009749A4" w:rsidRPr="009749A4" w14:paraId="6D786945" w14:textId="77777777" w:rsidTr="009749A4">
        <w:trPr>
          <w:trHeight w:val="263"/>
        </w:trPr>
        <w:tc>
          <w:tcPr>
            <w:tcW w:w="749" w:type="dxa"/>
          </w:tcPr>
          <w:p w14:paraId="38C273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w:t>
            </w:r>
          </w:p>
        </w:tc>
        <w:tc>
          <w:tcPr>
            <w:tcW w:w="1278" w:type="dxa"/>
          </w:tcPr>
          <w:p w14:paraId="16D71AE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TM96</w:t>
            </w:r>
          </w:p>
        </w:tc>
        <w:tc>
          <w:tcPr>
            <w:tcW w:w="1052" w:type="dxa"/>
          </w:tcPr>
          <w:p w14:paraId="552FB20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31.48</w:t>
            </w:r>
          </w:p>
        </w:tc>
        <w:tc>
          <w:tcPr>
            <w:tcW w:w="1040" w:type="dxa"/>
          </w:tcPr>
          <w:p w14:paraId="21CCE95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14.60</w:t>
            </w:r>
          </w:p>
        </w:tc>
        <w:tc>
          <w:tcPr>
            <w:tcW w:w="1083" w:type="dxa"/>
          </w:tcPr>
          <w:p w14:paraId="4D21918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12.24</w:t>
            </w:r>
          </w:p>
        </w:tc>
        <w:tc>
          <w:tcPr>
            <w:tcW w:w="1178" w:type="dxa"/>
          </w:tcPr>
          <w:p w14:paraId="1BD945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794D498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9.58</w:t>
            </w:r>
          </w:p>
        </w:tc>
        <w:tc>
          <w:tcPr>
            <w:tcW w:w="939" w:type="dxa"/>
          </w:tcPr>
          <w:p w14:paraId="250B633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77.96</w:t>
            </w:r>
          </w:p>
        </w:tc>
        <w:tc>
          <w:tcPr>
            <w:tcW w:w="774" w:type="dxa"/>
          </w:tcPr>
          <w:p w14:paraId="40EA096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w:t>
            </w:r>
          </w:p>
        </w:tc>
      </w:tr>
      <w:tr w:rsidR="009749A4" w:rsidRPr="009749A4" w14:paraId="138B74A9" w14:textId="77777777" w:rsidTr="009749A4">
        <w:trPr>
          <w:trHeight w:val="263"/>
        </w:trPr>
        <w:tc>
          <w:tcPr>
            <w:tcW w:w="749" w:type="dxa"/>
          </w:tcPr>
          <w:p w14:paraId="3F6B71A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w:t>
            </w:r>
          </w:p>
        </w:tc>
        <w:tc>
          <w:tcPr>
            <w:tcW w:w="1278" w:type="dxa"/>
          </w:tcPr>
          <w:p w14:paraId="17F307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IC224780</w:t>
            </w:r>
          </w:p>
        </w:tc>
        <w:tc>
          <w:tcPr>
            <w:tcW w:w="1052" w:type="dxa"/>
          </w:tcPr>
          <w:p w14:paraId="6167337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38.43</w:t>
            </w:r>
          </w:p>
        </w:tc>
        <w:tc>
          <w:tcPr>
            <w:tcW w:w="1040" w:type="dxa"/>
          </w:tcPr>
          <w:p w14:paraId="4F2D7E0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13.28</w:t>
            </w:r>
          </w:p>
        </w:tc>
        <w:tc>
          <w:tcPr>
            <w:tcW w:w="1083" w:type="dxa"/>
          </w:tcPr>
          <w:p w14:paraId="1F495FD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10.06</w:t>
            </w:r>
          </w:p>
        </w:tc>
        <w:tc>
          <w:tcPr>
            <w:tcW w:w="1178" w:type="dxa"/>
          </w:tcPr>
          <w:p w14:paraId="5CEE67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10.28</w:t>
            </w:r>
          </w:p>
        </w:tc>
        <w:tc>
          <w:tcPr>
            <w:tcW w:w="1009" w:type="dxa"/>
          </w:tcPr>
          <w:p w14:paraId="4106E7F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12.97</w:t>
            </w:r>
          </w:p>
        </w:tc>
        <w:tc>
          <w:tcPr>
            <w:tcW w:w="939" w:type="dxa"/>
          </w:tcPr>
          <w:p w14:paraId="40FD7F2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85.01</w:t>
            </w:r>
          </w:p>
        </w:tc>
        <w:tc>
          <w:tcPr>
            <w:tcW w:w="774" w:type="dxa"/>
          </w:tcPr>
          <w:p w14:paraId="5803597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w:t>
            </w:r>
          </w:p>
        </w:tc>
      </w:tr>
      <w:tr w:rsidR="009749A4" w:rsidRPr="009749A4" w14:paraId="71E016C5" w14:textId="77777777" w:rsidTr="009749A4">
        <w:trPr>
          <w:trHeight w:val="272"/>
        </w:trPr>
        <w:tc>
          <w:tcPr>
            <w:tcW w:w="749" w:type="dxa"/>
          </w:tcPr>
          <w:p w14:paraId="68072FB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w:t>
            </w:r>
          </w:p>
        </w:tc>
        <w:tc>
          <w:tcPr>
            <w:tcW w:w="1278" w:type="dxa"/>
          </w:tcPr>
          <w:p w14:paraId="76BF564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CO8</w:t>
            </w:r>
          </w:p>
        </w:tc>
        <w:tc>
          <w:tcPr>
            <w:tcW w:w="1052" w:type="dxa"/>
          </w:tcPr>
          <w:p w14:paraId="255DBB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21.41</w:t>
            </w:r>
          </w:p>
        </w:tc>
        <w:tc>
          <w:tcPr>
            <w:tcW w:w="1040" w:type="dxa"/>
          </w:tcPr>
          <w:p w14:paraId="17FCA74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13.96</w:t>
            </w:r>
          </w:p>
        </w:tc>
        <w:tc>
          <w:tcPr>
            <w:tcW w:w="1083" w:type="dxa"/>
          </w:tcPr>
          <w:p w14:paraId="52AA767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10.28</w:t>
            </w:r>
          </w:p>
        </w:tc>
        <w:tc>
          <w:tcPr>
            <w:tcW w:w="1178" w:type="dxa"/>
          </w:tcPr>
          <w:p w14:paraId="70903A2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6813D27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6.86</w:t>
            </w:r>
          </w:p>
        </w:tc>
        <w:tc>
          <w:tcPr>
            <w:tcW w:w="939" w:type="dxa"/>
          </w:tcPr>
          <w:p w14:paraId="5B7E197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62.56</w:t>
            </w:r>
          </w:p>
        </w:tc>
        <w:tc>
          <w:tcPr>
            <w:tcW w:w="774" w:type="dxa"/>
          </w:tcPr>
          <w:p w14:paraId="0FA2C15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w:t>
            </w:r>
          </w:p>
        </w:tc>
      </w:tr>
      <w:tr w:rsidR="009749A4" w:rsidRPr="009749A4" w14:paraId="15654B6D" w14:textId="77777777" w:rsidTr="009749A4">
        <w:trPr>
          <w:trHeight w:val="263"/>
        </w:trPr>
        <w:tc>
          <w:tcPr>
            <w:tcW w:w="749" w:type="dxa"/>
          </w:tcPr>
          <w:p w14:paraId="3CD6808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w:t>
            </w:r>
          </w:p>
        </w:tc>
        <w:tc>
          <w:tcPr>
            <w:tcW w:w="1278" w:type="dxa"/>
          </w:tcPr>
          <w:p w14:paraId="0C0E53C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CO6</w:t>
            </w:r>
          </w:p>
        </w:tc>
        <w:tc>
          <w:tcPr>
            <w:tcW w:w="1052" w:type="dxa"/>
          </w:tcPr>
          <w:p w14:paraId="1CB1AA4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24.81</w:t>
            </w:r>
          </w:p>
        </w:tc>
        <w:tc>
          <w:tcPr>
            <w:tcW w:w="1040" w:type="dxa"/>
          </w:tcPr>
          <w:p w14:paraId="66DD3DB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13.78</w:t>
            </w:r>
          </w:p>
        </w:tc>
        <w:tc>
          <w:tcPr>
            <w:tcW w:w="1083" w:type="dxa"/>
          </w:tcPr>
          <w:p w14:paraId="5095F8A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12.90</w:t>
            </w:r>
          </w:p>
        </w:tc>
        <w:tc>
          <w:tcPr>
            <w:tcW w:w="1178" w:type="dxa"/>
          </w:tcPr>
          <w:p w14:paraId="2471616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2CB2AFD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5.29</w:t>
            </w:r>
          </w:p>
        </w:tc>
        <w:tc>
          <w:tcPr>
            <w:tcW w:w="939" w:type="dxa"/>
          </w:tcPr>
          <w:p w14:paraId="5E10BBD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66.83</w:t>
            </w:r>
          </w:p>
        </w:tc>
        <w:tc>
          <w:tcPr>
            <w:tcW w:w="774" w:type="dxa"/>
          </w:tcPr>
          <w:p w14:paraId="4304420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w:t>
            </w:r>
          </w:p>
        </w:tc>
      </w:tr>
      <w:tr w:rsidR="009749A4" w:rsidRPr="009749A4" w14:paraId="34DA28D3" w14:textId="77777777" w:rsidTr="009749A4">
        <w:trPr>
          <w:trHeight w:val="272"/>
        </w:trPr>
        <w:tc>
          <w:tcPr>
            <w:tcW w:w="749" w:type="dxa"/>
          </w:tcPr>
          <w:p w14:paraId="6A0B625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lastRenderedPageBreak/>
              <w:t>7</w:t>
            </w:r>
          </w:p>
        </w:tc>
        <w:tc>
          <w:tcPr>
            <w:tcW w:w="1278" w:type="dxa"/>
          </w:tcPr>
          <w:p w14:paraId="51C9C5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IC247820</w:t>
            </w:r>
          </w:p>
        </w:tc>
        <w:tc>
          <w:tcPr>
            <w:tcW w:w="1052" w:type="dxa"/>
          </w:tcPr>
          <w:p w14:paraId="449E5A6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48.49</w:t>
            </w:r>
          </w:p>
        </w:tc>
        <w:tc>
          <w:tcPr>
            <w:tcW w:w="1040" w:type="dxa"/>
          </w:tcPr>
          <w:p w14:paraId="09FF732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15.28</w:t>
            </w:r>
          </w:p>
        </w:tc>
        <w:tc>
          <w:tcPr>
            <w:tcW w:w="1083" w:type="dxa"/>
          </w:tcPr>
          <w:p w14:paraId="27F115B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10.06</w:t>
            </w:r>
          </w:p>
        </w:tc>
        <w:tc>
          <w:tcPr>
            <w:tcW w:w="1178" w:type="dxa"/>
          </w:tcPr>
          <w:p w14:paraId="66DB5EC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9.82</w:t>
            </w:r>
          </w:p>
        </w:tc>
        <w:tc>
          <w:tcPr>
            <w:tcW w:w="1009" w:type="dxa"/>
          </w:tcPr>
          <w:p w14:paraId="08CEF85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17.59</w:t>
            </w:r>
          </w:p>
        </w:tc>
        <w:tc>
          <w:tcPr>
            <w:tcW w:w="939" w:type="dxa"/>
          </w:tcPr>
          <w:p w14:paraId="07190BF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101.24</w:t>
            </w:r>
          </w:p>
        </w:tc>
        <w:tc>
          <w:tcPr>
            <w:tcW w:w="774" w:type="dxa"/>
          </w:tcPr>
          <w:p w14:paraId="66ED336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w:t>
            </w:r>
          </w:p>
        </w:tc>
      </w:tr>
      <w:tr w:rsidR="009749A4" w:rsidRPr="009749A4" w14:paraId="07F917C3" w14:textId="77777777" w:rsidTr="009749A4">
        <w:trPr>
          <w:trHeight w:val="263"/>
        </w:trPr>
        <w:tc>
          <w:tcPr>
            <w:tcW w:w="749" w:type="dxa"/>
          </w:tcPr>
          <w:p w14:paraId="305CECC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w:t>
            </w:r>
          </w:p>
        </w:tc>
        <w:tc>
          <w:tcPr>
            <w:tcW w:w="1278" w:type="dxa"/>
          </w:tcPr>
          <w:p w14:paraId="77F4B57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IC394380</w:t>
            </w:r>
          </w:p>
        </w:tc>
        <w:tc>
          <w:tcPr>
            <w:tcW w:w="1052" w:type="dxa"/>
          </w:tcPr>
          <w:p w14:paraId="01E22C9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41.83</w:t>
            </w:r>
          </w:p>
        </w:tc>
        <w:tc>
          <w:tcPr>
            <w:tcW w:w="1040" w:type="dxa"/>
          </w:tcPr>
          <w:p w14:paraId="5CD448E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13.14</w:t>
            </w:r>
          </w:p>
        </w:tc>
        <w:tc>
          <w:tcPr>
            <w:tcW w:w="1083" w:type="dxa"/>
          </w:tcPr>
          <w:p w14:paraId="56FCE54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14.87</w:t>
            </w:r>
          </w:p>
        </w:tc>
        <w:tc>
          <w:tcPr>
            <w:tcW w:w="1178" w:type="dxa"/>
          </w:tcPr>
          <w:p w14:paraId="3EF4200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10.96</w:t>
            </w:r>
          </w:p>
        </w:tc>
        <w:tc>
          <w:tcPr>
            <w:tcW w:w="1009" w:type="dxa"/>
          </w:tcPr>
          <w:p w14:paraId="367E24A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14.23</w:t>
            </w:r>
          </w:p>
        </w:tc>
        <w:tc>
          <w:tcPr>
            <w:tcW w:w="939" w:type="dxa"/>
          </w:tcPr>
          <w:p w14:paraId="20501E2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95.03</w:t>
            </w:r>
          </w:p>
        </w:tc>
        <w:tc>
          <w:tcPr>
            <w:tcW w:w="774" w:type="dxa"/>
          </w:tcPr>
          <w:p w14:paraId="3CA102E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w:t>
            </w:r>
          </w:p>
        </w:tc>
      </w:tr>
      <w:tr w:rsidR="009749A4" w:rsidRPr="009749A4" w14:paraId="2B6BCA67" w14:textId="77777777" w:rsidTr="009749A4">
        <w:trPr>
          <w:trHeight w:val="263"/>
        </w:trPr>
        <w:tc>
          <w:tcPr>
            <w:tcW w:w="749" w:type="dxa"/>
          </w:tcPr>
          <w:p w14:paraId="7A113E0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w:t>
            </w:r>
          </w:p>
        </w:tc>
        <w:tc>
          <w:tcPr>
            <w:tcW w:w="1278" w:type="dxa"/>
          </w:tcPr>
          <w:p w14:paraId="0285502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IC393910</w:t>
            </w:r>
          </w:p>
        </w:tc>
        <w:tc>
          <w:tcPr>
            <w:tcW w:w="1052" w:type="dxa"/>
          </w:tcPr>
          <w:p w14:paraId="4F600E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34.46</w:t>
            </w:r>
          </w:p>
        </w:tc>
        <w:tc>
          <w:tcPr>
            <w:tcW w:w="1040" w:type="dxa"/>
          </w:tcPr>
          <w:p w14:paraId="330CCEC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13.81</w:t>
            </w:r>
          </w:p>
        </w:tc>
        <w:tc>
          <w:tcPr>
            <w:tcW w:w="1083" w:type="dxa"/>
          </w:tcPr>
          <w:p w14:paraId="0D65B7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13.12</w:t>
            </w:r>
          </w:p>
        </w:tc>
        <w:tc>
          <w:tcPr>
            <w:tcW w:w="1178" w:type="dxa"/>
          </w:tcPr>
          <w:p w14:paraId="124B274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10.51</w:t>
            </w:r>
          </w:p>
        </w:tc>
        <w:tc>
          <w:tcPr>
            <w:tcW w:w="1009" w:type="dxa"/>
          </w:tcPr>
          <w:p w14:paraId="682F672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11.39</w:t>
            </w:r>
          </w:p>
        </w:tc>
        <w:tc>
          <w:tcPr>
            <w:tcW w:w="939" w:type="dxa"/>
          </w:tcPr>
          <w:p w14:paraId="7D95F7A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83.28</w:t>
            </w:r>
          </w:p>
        </w:tc>
        <w:tc>
          <w:tcPr>
            <w:tcW w:w="774" w:type="dxa"/>
          </w:tcPr>
          <w:p w14:paraId="7D4A6E0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w:t>
            </w:r>
          </w:p>
        </w:tc>
      </w:tr>
      <w:tr w:rsidR="009749A4" w:rsidRPr="009749A4" w14:paraId="59FA1008" w14:textId="77777777" w:rsidTr="009749A4">
        <w:trPr>
          <w:trHeight w:val="272"/>
        </w:trPr>
        <w:tc>
          <w:tcPr>
            <w:tcW w:w="749" w:type="dxa"/>
          </w:tcPr>
          <w:p w14:paraId="61408C6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w:t>
            </w:r>
          </w:p>
        </w:tc>
        <w:tc>
          <w:tcPr>
            <w:tcW w:w="1278" w:type="dxa"/>
          </w:tcPr>
          <w:p w14:paraId="045689E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Virat</w:t>
            </w:r>
          </w:p>
        </w:tc>
        <w:tc>
          <w:tcPr>
            <w:tcW w:w="1052" w:type="dxa"/>
          </w:tcPr>
          <w:p w14:paraId="06F652B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46.22</w:t>
            </w:r>
          </w:p>
        </w:tc>
        <w:tc>
          <w:tcPr>
            <w:tcW w:w="1040" w:type="dxa"/>
          </w:tcPr>
          <w:p w14:paraId="32D1105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13.96</w:t>
            </w:r>
          </w:p>
        </w:tc>
        <w:tc>
          <w:tcPr>
            <w:tcW w:w="1083" w:type="dxa"/>
          </w:tcPr>
          <w:p w14:paraId="196D118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13.99</w:t>
            </w:r>
          </w:p>
        </w:tc>
        <w:tc>
          <w:tcPr>
            <w:tcW w:w="1178" w:type="dxa"/>
          </w:tcPr>
          <w:p w14:paraId="08474BA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9.59</w:t>
            </w:r>
          </w:p>
        </w:tc>
        <w:tc>
          <w:tcPr>
            <w:tcW w:w="1009" w:type="dxa"/>
          </w:tcPr>
          <w:p w14:paraId="322E220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15.88</w:t>
            </w:r>
          </w:p>
        </w:tc>
        <w:tc>
          <w:tcPr>
            <w:tcW w:w="939" w:type="dxa"/>
          </w:tcPr>
          <w:p w14:paraId="2EDD4B8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99.65</w:t>
            </w:r>
          </w:p>
        </w:tc>
        <w:tc>
          <w:tcPr>
            <w:tcW w:w="774" w:type="dxa"/>
          </w:tcPr>
          <w:p w14:paraId="7AA6543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w:t>
            </w:r>
          </w:p>
        </w:tc>
      </w:tr>
      <w:tr w:rsidR="009749A4" w:rsidRPr="009749A4" w14:paraId="1D6C6373" w14:textId="77777777" w:rsidTr="009749A4">
        <w:trPr>
          <w:trHeight w:val="528"/>
        </w:trPr>
        <w:tc>
          <w:tcPr>
            <w:tcW w:w="749" w:type="dxa"/>
          </w:tcPr>
          <w:p w14:paraId="6945F08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w:t>
            </w:r>
          </w:p>
        </w:tc>
        <w:tc>
          <w:tcPr>
            <w:tcW w:w="1278" w:type="dxa"/>
          </w:tcPr>
          <w:p w14:paraId="3B293AEB" w14:textId="77777777" w:rsidR="009749A4" w:rsidRPr="009749A4" w:rsidRDefault="009749A4" w:rsidP="009749A4">
            <w:pPr>
              <w:tabs>
                <w:tab w:val="left" w:pos="1080"/>
              </w:tabs>
              <w:jc w:val="both"/>
              <w:rPr>
                <w:rFonts w:ascii="Arial" w:hAnsi="Arial"/>
                <w:bCs/>
                <w:sz w:val="20"/>
                <w:lang w:val="en-IN"/>
              </w:rPr>
            </w:pPr>
            <w:proofErr w:type="spellStart"/>
            <w:r w:rsidRPr="009749A4">
              <w:rPr>
                <w:rFonts w:ascii="Arial" w:hAnsi="Arial"/>
                <w:bCs/>
                <w:sz w:val="20"/>
                <w:lang w:val="en-IN"/>
              </w:rPr>
              <w:t>Pusa</w:t>
            </w:r>
            <w:proofErr w:type="spellEnd"/>
            <w:r w:rsidRPr="009749A4">
              <w:rPr>
                <w:rFonts w:ascii="Arial" w:hAnsi="Arial"/>
                <w:bCs/>
                <w:sz w:val="20"/>
                <w:lang w:val="en-IN"/>
              </w:rPr>
              <w:t xml:space="preserve"> M 2142</w:t>
            </w:r>
          </w:p>
        </w:tc>
        <w:tc>
          <w:tcPr>
            <w:tcW w:w="1052" w:type="dxa"/>
          </w:tcPr>
          <w:p w14:paraId="37C614F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16.73</w:t>
            </w:r>
          </w:p>
        </w:tc>
        <w:tc>
          <w:tcPr>
            <w:tcW w:w="1040" w:type="dxa"/>
          </w:tcPr>
          <w:p w14:paraId="451F78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12.13</w:t>
            </w:r>
          </w:p>
        </w:tc>
        <w:tc>
          <w:tcPr>
            <w:tcW w:w="1083" w:type="dxa"/>
          </w:tcPr>
          <w:p w14:paraId="636C790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8.31</w:t>
            </w:r>
          </w:p>
        </w:tc>
        <w:tc>
          <w:tcPr>
            <w:tcW w:w="1178" w:type="dxa"/>
          </w:tcPr>
          <w:p w14:paraId="536C952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7.54</w:t>
            </w:r>
          </w:p>
        </w:tc>
        <w:tc>
          <w:tcPr>
            <w:tcW w:w="1009" w:type="dxa"/>
          </w:tcPr>
          <w:p w14:paraId="07A1EFA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3.63</w:t>
            </w:r>
          </w:p>
        </w:tc>
        <w:tc>
          <w:tcPr>
            <w:tcW w:w="939" w:type="dxa"/>
          </w:tcPr>
          <w:p w14:paraId="6A748DC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48.34</w:t>
            </w:r>
          </w:p>
        </w:tc>
        <w:tc>
          <w:tcPr>
            <w:tcW w:w="774" w:type="dxa"/>
          </w:tcPr>
          <w:p w14:paraId="146FBB2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w:t>
            </w:r>
          </w:p>
        </w:tc>
      </w:tr>
      <w:bookmarkEnd w:id="3"/>
    </w:tbl>
    <w:p w14:paraId="3C341380" w14:textId="77777777" w:rsidR="009749A4" w:rsidRDefault="009749A4" w:rsidP="00056A56">
      <w:pPr>
        <w:tabs>
          <w:tab w:val="left" w:pos="1080"/>
        </w:tabs>
        <w:jc w:val="both"/>
        <w:rPr>
          <w:rFonts w:ascii="Arial" w:hAnsi="Arial"/>
          <w:bCs/>
          <w:lang w:val="en-IN"/>
        </w:rPr>
      </w:pPr>
    </w:p>
    <w:p w14:paraId="418A9C65" w14:textId="77777777" w:rsidR="009749A4" w:rsidRDefault="009749A4" w:rsidP="00056A56">
      <w:pPr>
        <w:tabs>
          <w:tab w:val="left" w:pos="1080"/>
        </w:tabs>
        <w:jc w:val="both"/>
        <w:rPr>
          <w:rFonts w:ascii="Arial" w:hAnsi="Arial"/>
          <w:bCs/>
          <w:lang w:val="en-IN"/>
        </w:rPr>
      </w:pPr>
    </w:p>
    <w:p w14:paraId="794519E2" w14:textId="77777777" w:rsidR="009749A4" w:rsidRPr="009749A4" w:rsidRDefault="009749A4" w:rsidP="009749A4">
      <w:pPr>
        <w:tabs>
          <w:tab w:val="left" w:pos="1080"/>
        </w:tabs>
        <w:jc w:val="both"/>
        <w:rPr>
          <w:rFonts w:ascii="Arial" w:hAnsi="Arial"/>
          <w:b/>
          <w:sz w:val="22"/>
          <w:szCs w:val="22"/>
        </w:rPr>
      </w:pPr>
      <w:r w:rsidRPr="009749A4">
        <w:rPr>
          <w:rFonts w:ascii="Arial" w:hAnsi="Arial"/>
          <w:b/>
          <w:sz w:val="22"/>
          <w:szCs w:val="22"/>
          <w:lang w:val="en-IN"/>
        </w:rPr>
        <w:t xml:space="preserve">3.4 </w:t>
      </w:r>
      <w:r w:rsidRPr="009749A4">
        <w:rPr>
          <w:rFonts w:ascii="Arial" w:hAnsi="Arial"/>
          <w:b/>
          <w:sz w:val="22"/>
          <w:szCs w:val="22"/>
        </w:rPr>
        <w:t>Interpretation from PCA biplot</w:t>
      </w:r>
    </w:p>
    <w:p w14:paraId="134B8BC0" w14:textId="6AFEF267" w:rsidR="00775ABE" w:rsidRPr="009749A4" w:rsidRDefault="00775ABE" w:rsidP="00056A56">
      <w:pPr>
        <w:tabs>
          <w:tab w:val="left" w:pos="1080"/>
        </w:tabs>
        <w:jc w:val="both"/>
        <w:rPr>
          <w:rFonts w:ascii="Arial" w:hAnsi="Arial"/>
          <w:bCs/>
          <w:sz w:val="22"/>
          <w:szCs w:val="22"/>
          <w:lang w:val="en-IN"/>
        </w:rPr>
      </w:pPr>
    </w:p>
    <w:p w14:paraId="0173CE7B" w14:textId="75F09306" w:rsidR="00775ABE" w:rsidRDefault="009749A4" w:rsidP="00056A56">
      <w:pPr>
        <w:tabs>
          <w:tab w:val="left" w:pos="1080"/>
        </w:tabs>
        <w:jc w:val="both"/>
        <w:rPr>
          <w:rFonts w:ascii="Arial" w:hAnsi="Arial"/>
          <w:bCs/>
          <w:lang w:val="en-IN"/>
        </w:rPr>
      </w:pPr>
      <w:r w:rsidRPr="009749A4">
        <w:rPr>
          <w:rFonts w:ascii="Arial" w:hAnsi="Arial"/>
          <w:bCs/>
          <w:lang w:val="en-IN"/>
        </w:rPr>
        <w:t>First two PCs collectively explained 83.76 per cent of variability (Fig.3). Traits such as number of pods per plant and yield per plant had the highest loading values in PC1 and most of the variability explained by PC1 was contributed by these traits. Similarly, number of clusters per plant, number of primary branches, and pod length had highest loading value in PC</w:t>
      </w:r>
      <w:r w:rsidR="00F70493">
        <w:rPr>
          <w:rFonts w:ascii="Arial" w:hAnsi="Arial"/>
          <w:bCs/>
          <w:lang w:val="en-IN"/>
        </w:rPr>
        <w:t xml:space="preserve"> </w:t>
      </w:r>
      <w:r w:rsidRPr="009749A4">
        <w:rPr>
          <w:rFonts w:ascii="Arial" w:hAnsi="Arial"/>
          <w:bCs/>
          <w:lang w:val="en-IN"/>
        </w:rPr>
        <w:t>2. Since the first two PCs explained the major proportion of variation, the biplot allowed easy identification of superior accessions in the present study. Accessions positioned towards the right side were superior, whereas accessions located at the left side were inferior. In other words, accessions towards the positive side of PC1 and away from the origin were superior, and those towards the negative side were inferior.</w:t>
      </w:r>
    </w:p>
    <w:p w14:paraId="67F46466" w14:textId="77777777" w:rsidR="009749A4" w:rsidRDefault="009749A4" w:rsidP="00056A56">
      <w:pPr>
        <w:tabs>
          <w:tab w:val="left" w:pos="1080"/>
        </w:tabs>
        <w:jc w:val="both"/>
        <w:rPr>
          <w:rFonts w:ascii="Arial" w:hAnsi="Arial"/>
          <w:bCs/>
          <w:lang w:val="en-IN"/>
        </w:rPr>
      </w:pPr>
    </w:p>
    <w:p w14:paraId="4F31E6DD" w14:textId="3226335C" w:rsidR="009749A4" w:rsidRDefault="009749A4" w:rsidP="00056A56">
      <w:pPr>
        <w:tabs>
          <w:tab w:val="left" w:pos="1080"/>
        </w:tabs>
        <w:jc w:val="both"/>
        <w:rPr>
          <w:rFonts w:ascii="Arial" w:hAnsi="Arial"/>
          <w:bCs/>
          <w:lang w:val="en-IN"/>
        </w:rPr>
      </w:pPr>
      <w:r w:rsidRPr="009749A4">
        <w:rPr>
          <w:rFonts w:ascii="Arial" w:hAnsi="Arial"/>
          <w:bCs/>
          <w:lang w:val="en-IN"/>
        </w:rPr>
        <w:t xml:space="preserve">An additional advantage of biplot is that it provides clear information on desirable features of a superior accession and the specific traits contributing to it. For example, the superiority of IC 247820 was mainly contributed by pod length, followed by yield and number of pods per plant. Similarly, the superiority of IC394380 was attributed to its higher number of clusters per plant and number of primary branches per plant, as this accession belonged to the second highest statistical class for above traits and registered high PCA </w:t>
      </w:r>
      <w:proofErr w:type="gramStart"/>
      <w:r w:rsidRPr="009749A4">
        <w:rPr>
          <w:rFonts w:ascii="Arial" w:hAnsi="Arial"/>
          <w:bCs/>
          <w:lang w:val="en-IN"/>
        </w:rPr>
        <w:t>based  scores</w:t>
      </w:r>
      <w:proofErr w:type="gramEnd"/>
      <w:r w:rsidRPr="009749A4">
        <w:rPr>
          <w:rFonts w:ascii="Arial" w:hAnsi="Arial"/>
          <w:bCs/>
          <w:lang w:val="en-IN"/>
        </w:rPr>
        <w:t xml:space="preserve">. In addition to highlighting positive attributes, the biplot also reveals undesirable characteristics. Although, Virat ranked third overall, it performed poorly for the number of primary branches per plant. It was the second last poor performer in that trait, and obviously, it aligned away from number of primary branches in the biplot. </w:t>
      </w:r>
      <w:proofErr w:type="gramStart"/>
      <w:r w:rsidRPr="009749A4">
        <w:rPr>
          <w:rFonts w:ascii="Arial" w:hAnsi="Arial"/>
          <w:bCs/>
          <w:lang w:val="en-IN"/>
        </w:rPr>
        <w:t>Thus</w:t>
      </w:r>
      <w:proofErr w:type="gramEnd"/>
      <w:r w:rsidRPr="009749A4">
        <w:rPr>
          <w:rFonts w:ascii="Arial" w:hAnsi="Arial"/>
          <w:bCs/>
          <w:lang w:val="en-IN"/>
        </w:rPr>
        <w:t xml:space="preserve"> biplots help for</w:t>
      </w:r>
      <w:r w:rsidR="00BD60C0">
        <w:rPr>
          <w:rFonts w:ascii="Arial" w:hAnsi="Arial"/>
          <w:bCs/>
          <w:lang w:val="en-IN"/>
        </w:rPr>
        <w:t xml:space="preserve"> easy </w:t>
      </w:r>
      <w:r w:rsidRPr="009749A4">
        <w:rPr>
          <w:rFonts w:ascii="Arial" w:hAnsi="Arial"/>
          <w:bCs/>
          <w:lang w:val="en-IN"/>
        </w:rPr>
        <w:t>identification of superior accessions, as well as suitable trait donors for breeding programmes.</w:t>
      </w:r>
    </w:p>
    <w:p w14:paraId="3C7D66E9" w14:textId="342EE3BC" w:rsidR="00775ABE" w:rsidRDefault="009749A4" w:rsidP="00056A56">
      <w:pPr>
        <w:tabs>
          <w:tab w:val="left" w:pos="1080"/>
        </w:tabs>
        <w:jc w:val="both"/>
        <w:rPr>
          <w:rFonts w:ascii="Arial" w:hAnsi="Arial"/>
          <w:bCs/>
          <w:lang w:val="en-IN"/>
        </w:rPr>
      </w:pPr>
      <w:r w:rsidRPr="009749A4">
        <w:rPr>
          <w:rFonts w:ascii="Times New Roman" w:eastAsia="Aptos" w:hAnsi="Times New Roman"/>
          <w:noProof/>
          <w:sz w:val="24"/>
          <w:szCs w:val="24"/>
        </w:rPr>
        <w:drawing>
          <wp:inline distT="0" distB="0" distL="0" distR="0" wp14:anchorId="05E371D3" wp14:editId="0AA4A0A0">
            <wp:extent cx="4507992" cy="2543175"/>
            <wp:effectExtent l="0" t="0" r="6985" b="0"/>
            <wp:docPr id="120527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1736" name="Picture 757701736"/>
                    <pic:cNvPicPr/>
                  </pic:nvPicPr>
                  <pic:blipFill>
                    <a:blip r:embed="rId15">
                      <a:extLst>
                        <a:ext uri="{28A0092B-C50C-407E-A947-70E740481C1C}">
                          <a14:useLocalDpi xmlns:a14="http://schemas.microsoft.com/office/drawing/2010/main" val="0"/>
                        </a:ext>
                      </a:extLst>
                    </a:blip>
                    <a:stretch>
                      <a:fillRect/>
                    </a:stretch>
                  </pic:blipFill>
                  <pic:spPr>
                    <a:xfrm>
                      <a:off x="0" y="0"/>
                      <a:ext cx="4521358" cy="2550716"/>
                    </a:xfrm>
                    <a:prstGeom prst="rect">
                      <a:avLst/>
                    </a:prstGeom>
                  </pic:spPr>
                </pic:pic>
              </a:graphicData>
            </a:graphic>
          </wp:inline>
        </w:drawing>
      </w:r>
    </w:p>
    <w:p w14:paraId="0E0867DC" w14:textId="133D3F86" w:rsidR="00775ABE" w:rsidRPr="00B008B9" w:rsidRDefault="009749A4"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3. PCA biplot of yield and yield associated traits in 11 green gram accessions</w:t>
      </w:r>
    </w:p>
    <w:p w14:paraId="54FDEA1D" w14:textId="77777777" w:rsidR="00775ABE" w:rsidRPr="00B008B9" w:rsidRDefault="00775ABE" w:rsidP="00056A56">
      <w:pPr>
        <w:tabs>
          <w:tab w:val="left" w:pos="1080"/>
        </w:tabs>
        <w:jc w:val="both"/>
        <w:rPr>
          <w:rFonts w:ascii="Arial" w:hAnsi="Arial"/>
          <w:b/>
          <w:lang w:val="en-IN"/>
        </w:rPr>
      </w:pPr>
    </w:p>
    <w:p w14:paraId="59A093BC" w14:textId="386AB644" w:rsidR="006A7195" w:rsidRPr="006A7195" w:rsidRDefault="006A7195" w:rsidP="006A7195">
      <w:pPr>
        <w:tabs>
          <w:tab w:val="left" w:pos="1080"/>
        </w:tabs>
        <w:jc w:val="both"/>
        <w:rPr>
          <w:rFonts w:ascii="Arial" w:hAnsi="Arial"/>
          <w:b/>
          <w:bCs/>
          <w:sz w:val="22"/>
          <w:szCs w:val="22"/>
        </w:rPr>
      </w:pPr>
      <w:proofErr w:type="gramStart"/>
      <w:r w:rsidRPr="006A7195">
        <w:rPr>
          <w:rFonts w:ascii="Arial" w:hAnsi="Arial"/>
          <w:b/>
          <w:bCs/>
          <w:sz w:val="22"/>
          <w:szCs w:val="22"/>
          <w:lang w:val="en-IN"/>
        </w:rPr>
        <w:t>3.5  Comparative</w:t>
      </w:r>
      <w:proofErr w:type="gramEnd"/>
      <w:r w:rsidRPr="006A7195">
        <w:rPr>
          <w:rFonts w:ascii="Arial" w:hAnsi="Arial"/>
          <w:b/>
          <w:bCs/>
          <w:sz w:val="22"/>
          <w:szCs w:val="22"/>
          <w:lang w:val="en-IN"/>
        </w:rPr>
        <w:t xml:space="preserve"> evaluation of </w:t>
      </w:r>
      <w:r>
        <w:rPr>
          <w:rFonts w:ascii="Arial" w:hAnsi="Arial"/>
          <w:b/>
          <w:bCs/>
          <w:sz w:val="22"/>
          <w:szCs w:val="22"/>
          <w:lang w:val="en-IN"/>
        </w:rPr>
        <w:t>the</w:t>
      </w:r>
      <w:r w:rsidRPr="006A7195">
        <w:rPr>
          <w:rFonts w:ascii="Arial" w:hAnsi="Arial"/>
          <w:b/>
          <w:bCs/>
          <w:sz w:val="22"/>
          <w:szCs w:val="22"/>
          <w:lang w:val="en-IN"/>
        </w:rPr>
        <w:t xml:space="preserve"> different selection methods</w:t>
      </w:r>
    </w:p>
    <w:p w14:paraId="352F6BC7" w14:textId="77777777" w:rsidR="00EB7C97" w:rsidRDefault="00EB7C97" w:rsidP="00056A56">
      <w:pPr>
        <w:tabs>
          <w:tab w:val="left" w:pos="1080"/>
        </w:tabs>
        <w:jc w:val="both"/>
        <w:rPr>
          <w:rFonts w:ascii="Arial" w:hAnsi="Arial"/>
          <w:bCs/>
          <w:lang w:val="en-IN"/>
        </w:rPr>
      </w:pPr>
    </w:p>
    <w:p w14:paraId="23C87211" w14:textId="402FE211" w:rsidR="00775ABE" w:rsidRDefault="006A7195" w:rsidP="00056A56">
      <w:pPr>
        <w:tabs>
          <w:tab w:val="left" w:pos="1080"/>
        </w:tabs>
        <w:jc w:val="both"/>
        <w:rPr>
          <w:rFonts w:ascii="Arial" w:hAnsi="Arial"/>
          <w:bCs/>
          <w:lang w:val="en-IN"/>
        </w:rPr>
      </w:pPr>
      <w:r w:rsidRPr="006A7195">
        <w:rPr>
          <w:rFonts w:ascii="Arial" w:hAnsi="Arial"/>
          <w:bCs/>
          <w:lang w:val="en-IN"/>
        </w:rPr>
        <w:t xml:space="preserve">From the selection methods tested, it can be inferred that the results obtained from Arunachalam and Bandyopadhyay (1984) scoring and PCA based selection were largely similar (Table 3). Both approaches identified IC 394640 as the best performing accession and </w:t>
      </w:r>
      <w:proofErr w:type="spellStart"/>
      <w:r w:rsidRPr="006A7195">
        <w:rPr>
          <w:rFonts w:ascii="Arial" w:hAnsi="Arial"/>
          <w:bCs/>
          <w:lang w:val="en-IN"/>
        </w:rPr>
        <w:t>Pusa</w:t>
      </w:r>
      <w:proofErr w:type="spellEnd"/>
      <w:r w:rsidRPr="006A7195">
        <w:rPr>
          <w:rFonts w:ascii="Arial" w:hAnsi="Arial"/>
          <w:bCs/>
          <w:lang w:val="en-IN"/>
        </w:rPr>
        <w:t xml:space="preserve"> M 2142 as the poorest performer. Although both methods facilitated evaluation of genotypes for multiple traits, each had distinct strengths and limitations.  </w:t>
      </w:r>
    </w:p>
    <w:p w14:paraId="22713404" w14:textId="77777777" w:rsidR="006A7195" w:rsidRDefault="006A7195" w:rsidP="00056A56">
      <w:pPr>
        <w:tabs>
          <w:tab w:val="left" w:pos="1080"/>
        </w:tabs>
        <w:jc w:val="both"/>
        <w:rPr>
          <w:rFonts w:ascii="Arial" w:hAnsi="Arial"/>
          <w:bCs/>
          <w:lang w:val="en-IN"/>
        </w:rPr>
      </w:pPr>
    </w:p>
    <w:p w14:paraId="317478FC" w14:textId="00DB67B9" w:rsidR="006A7195" w:rsidRDefault="006A7195" w:rsidP="00056A56">
      <w:pPr>
        <w:tabs>
          <w:tab w:val="left" w:pos="1080"/>
        </w:tabs>
        <w:jc w:val="both"/>
        <w:rPr>
          <w:rFonts w:ascii="Arial" w:hAnsi="Arial"/>
          <w:bCs/>
          <w:lang w:val="en-IN"/>
        </w:rPr>
      </w:pPr>
      <w:r w:rsidRPr="006A7195">
        <w:rPr>
          <w:rFonts w:ascii="Arial" w:hAnsi="Arial"/>
          <w:bCs/>
          <w:lang w:val="en-IN"/>
        </w:rPr>
        <w:t>The Arunachalam and Bandyopadhyay method is based on post hoc ANOVA statistical groupings, whereas the PCA based selection uses actual phenotypic values multiplies by modified weights derived from PC’s. In PCA method, biplot allows for easy identification of accessions with desirable trait combinations. The Arunachalam and Bandyopadhyay method relies on mean performance is effective when traits differ significantly across genotypes but it does not account for inter trait correlations. Another advantage of this method is that the varying levels of error variance across traits are naturally accounted for through the application of DMRT. Besides this, the use of logically derived, standardised scores ensures a scale independent assessment of the relative potential of different accessions across all characters (</w:t>
      </w:r>
      <w:proofErr w:type="spellStart"/>
      <w:r w:rsidRPr="006A7195">
        <w:rPr>
          <w:rFonts w:ascii="Arial" w:hAnsi="Arial"/>
          <w:bCs/>
          <w:lang w:val="en-IN"/>
        </w:rPr>
        <w:t>Prabhu</w:t>
      </w:r>
      <w:proofErr w:type="spellEnd"/>
      <w:r w:rsidRPr="006A7195">
        <w:rPr>
          <w:rFonts w:ascii="Arial" w:hAnsi="Arial"/>
          <w:bCs/>
          <w:lang w:val="en-IN"/>
        </w:rPr>
        <w:t xml:space="preserve"> </w:t>
      </w:r>
      <w:r w:rsidRPr="00F70493">
        <w:rPr>
          <w:rFonts w:ascii="Arial" w:hAnsi="Arial"/>
          <w:bCs/>
          <w:i/>
          <w:iCs/>
          <w:lang w:val="en-IN"/>
        </w:rPr>
        <w:t>et al</w:t>
      </w:r>
      <w:r w:rsidRPr="006A7195">
        <w:rPr>
          <w:rFonts w:ascii="Arial" w:hAnsi="Arial"/>
          <w:bCs/>
          <w:lang w:val="en-IN"/>
        </w:rPr>
        <w:t>., 1990). In contrast, the PCA method covers maximum variability through dimensional reduction but may undervalue biologically important traits that contribute low variance, thus introducing a degree of subjectivity in interpretation. Unlike the Arunachalam method, PCA based scoring method is found to exhibit scale dependent changes.</w:t>
      </w:r>
    </w:p>
    <w:p w14:paraId="7D8A01BE" w14:textId="77777777" w:rsidR="006A7195" w:rsidRDefault="006A7195" w:rsidP="00056A56">
      <w:pPr>
        <w:tabs>
          <w:tab w:val="left" w:pos="1080"/>
        </w:tabs>
        <w:jc w:val="both"/>
        <w:rPr>
          <w:rFonts w:ascii="Arial" w:hAnsi="Arial"/>
          <w:bCs/>
          <w:lang w:val="en-IN"/>
        </w:rPr>
      </w:pPr>
    </w:p>
    <w:p w14:paraId="79C1DAE2" w14:textId="7E8D1008" w:rsidR="006A7195" w:rsidRDefault="006A7195" w:rsidP="00056A56">
      <w:pPr>
        <w:tabs>
          <w:tab w:val="left" w:pos="1080"/>
        </w:tabs>
        <w:jc w:val="both"/>
        <w:rPr>
          <w:rFonts w:ascii="Arial" w:hAnsi="Arial"/>
          <w:bCs/>
          <w:lang w:val="en-IN"/>
        </w:rPr>
      </w:pPr>
      <w:r w:rsidRPr="006A7195">
        <w:rPr>
          <w:rFonts w:ascii="Arial" w:hAnsi="Arial"/>
          <w:bCs/>
          <w:lang w:val="en-IN"/>
        </w:rPr>
        <w:t>Both</w:t>
      </w:r>
      <w:r w:rsidR="00D44ECA">
        <w:rPr>
          <w:rFonts w:ascii="Arial" w:hAnsi="Arial"/>
          <w:bCs/>
          <w:lang w:val="en-IN"/>
        </w:rPr>
        <w:t xml:space="preserve"> the </w:t>
      </w:r>
      <w:r w:rsidRPr="006A7195">
        <w:rPr>
          <w:rFonts w:ascii="Arial" w:hAnsi="Arial"/>
          <w:bCs/>
          <w:lang w:val="en-IN"/>
        </w:rPr>
        <w:t xml:space="preserve">selection methods are free from economic weights and artificial index values, allowing straight forward computations </w:t>
      </w:r>
      <w:proofErr w:type="gramStart"/>
      <w:r w:rsidRPr="006A7195">
        <w:rPr>
          <w:rFonts w:ascii="Arial" w:hAnsi="Arial"/>
          <w:bCs/>
          <w:lang w:val="en-IN"/>
        </w:rPr>
        <w:t>and  avoiding</w:t>
      </w:r>
      <w:proofErr w:type="gramEnd"/>
      <w:r w:rsidRPr="006A7195">
        <w:rPr>
          <w:rFonts w:ascii="Arial" w:hAnsi="Arial"/>
          <w:bCs/>
          <w:lang w:val="en-IN"/>
        </w:rPr>
        <w:t xml:space="preserve"> biases associated with subjective  economic weights. However, neither approaches gives special weightage for any particular </w:t>
      </w:r>
      <w:proofErr w:type="gramStart"/>
      <w:r w:rsidRPr="006A7195">
        <w:rPr>
          <w:rFonts w:ascii="Arial" w:hAnsi="Arial"/>
          <w:bCs/>
          <w:lang w:val="en-IN"/>
        </w:rPr>
        <w:t>traits  such</w:t>
      </w:r>
      <w:proofErr w:type="gramEnd"/>
      <w:r w:rsidRPr="006A7195">
        <w:rPr>
          <w:rFonts w:ascii="Arial" w:hAnsi="Arial"/>
          <w:bCs/>
          <w:lang w:val="en-IN"/>
        </w:rPr>
        <w:t xml:space="preserve"> as yield. In the present study, we used yield as well as traits genotypically correlated with yield for selection. </w:t>
      </w:r>
      <w:proofErr w:type="spellStart"/>
      <w:r w:rsidRPr="006A7195">
        <w:rPr>
          <w:rFonts w:ascii="Arial" w:hAnsi="Arial"/>
          <w:bCs/>
          <w:lang w:val="en-IN"/>
        </w:rPr>
        <w:t>Htwe</w:t>
      </w:r>
      <w:proofErr w:type="spellEnd"/>
      <w:r w:rsidRPr="006A7195">
        <w:rPr>
          <w:rFonts w:ascii="Arial" w:hAnsi="Arial"/>
          <w:bCs/>
          <w:lang w:val="en-IN"/>
        </w:rPr>
        <w:t xml:space="preserve"> </w:t>
      </w:r>
      <w:r w:rsidRPr="00F70493">
        <w:rPr>
          <w:rFonts w:ascii="Arial" w:hAnsi="Arial"/>
          <w:bCs/>
          <w:i/>
          <w:iCs/>
          <w:lang w:val="en-IN"/>
        </w:rPr>
        <w:t>et al</w:t>
      </w:r>
      <w:r w:rsidR="00F70493">
        <w:rPr>
          <w:rFonts w:ascii="Arial" w:hAnsi="Arial"/>
          <w:bCs/>
          <w:lang w:val="en-IN"/>
        </w:rPr>
        <w:t>.</w:t>
      </w:r>
      <w:r w:rsidRPr="006A7195">
        <w:rPr>
          <w:rFonts w:ascii="Arial" w:hAnsi="Arial"/>
          <w:bCs/>
          <w:lang w:val="en-IN"/>
        </w:rPr>
        <w:t xml:space="preserve"> (202</w:t>
      </w:r>
      <w:r w:rsidR="002C2BFB">
        <w:rPr>
          <w:rFonts w:ascii="Arial" w:hAnsi="Arial"/>
          <w:bCs/>
          <w:lang w:val="en-IN"/>
        </w:rPr>
        <w:t>0</w:t>
      </w:r>
      <w:r w:rsidRPr="006A7195">
        <w:rPr>
          <w:rFonts w:ascii="Arial" w:hAnsi="Arial"/>
          <w:bCs/>
          <w:lang w:val="en-IN"/>
        </w:rPr>
        <w:t>)</w:t>
      </w:r>
      <w:r w:rsidR="00D44ECA">
        <w:rPr>
          <w:rFonts w:ascii="Arial" w:hAnsi="Arial"/>
          <w:bCs/>
          <w:lang w:val="en-IN"/>
        </w:rPr>
        <w:t xml:space="preserve"> and </w:t>
      </w:r>
      <w:proofErr w:type="spellStart"/>
      <w:r w:rsidRPr="006A7195">
        <w:rPr>
          <w:rFonts w:ascii="Arial" w:hAnsi="Arial"/>
          <w:bCs/>
          <w:lang w:val="en-IN"/>
        </w:rPr>
        <w:t>Wambi</w:t>
      </w:r>
      <w:proofErr w:type="spellEnd"/>
      <w:r w:rsidRPr="006A7195">
        <w:rPr>
          <w:rFonts w:ascii="Arial" w:hAnsi="Arial"/>
          <w:bCs/>
          <w:lang w:val="en-IN"/>
        </w:rPr>
        <w:t xml:space="preserve"> </w:t>
      </w:r>
      <w:r w:rsidRPr="00F70493">
        <w:rPr>
          <w:rFonts w:ascii="Arial" w:hAnsi="Arial"/>
          <w:bCs/>
          <w:i/>
          <w:iCs/>
          <w:lang w:val="en-IN"/>
        </w:rPr>
        <w:t>et al</w:t>
      </w:r>
      <w:r w:rsidR="00F70493">
        <w:rPr>
          <w:rFonts w:ascii="Arial" w:hAnsi="Arial"/>
          <w:bCs/>
          <w:lang w:val="en-IN"/>
        </w:rPr>
        <w:t>.</w:t>
      </w:r>
      <w:r w:rsidRPr="006A7195">
        <w:rPr>
          <w:rFonts w:ascii="Arial" w:hAnsi="Arial"/>
          <w:bCs/>
          <w:lang w:val="en-IN"/>
        </w:rPr>
        <w:t xml:space="preserve"> (2025) also included traits correlated with yield for making their selection index. Among the traits studied, number of pods per plant had the </w:t>
      </w:r>
      <w:proofErr w:type="gramStart"/>
      <w:r w:rsidRPr="006A7195">
        <w:rPr>
          <w:rFonts w:ascii="Arial" w:hAnsi="Arial"/>
          <w:bCs/>
          <w:lang w:val="en-IN"/>
        </w:rPr>
        <w:t>strongest  correlation</w:t>
      </w:r>
      <w:proofErr w:type="gramEnd"/>
      <w:r w:rsidRPr="006A7195">
        <w:rPr>
          <w:rFonts w:ascii="Arial" w:hAnsi="Arial"/>
          <w:bCs/>
          <w:lang w:val="en-IN"/>
        </w:rPr>
        <w:t xml:space="preserve"> with yield and exerted the strongest direct influence on yield. Despite this, all traits were given equal weightage in the current study. A selection method that assigns higher priority to traits with strong direct effects on yield would be more advantageous and may improve the efficiency of accession identification.</w:t>
      </w:r>
    </w:p>
    <w:p w14:paraId="090C5579" w14:textId="77777777" w:rsidR="006A7195" w:rsidRDefault="006A7195" w:rsidP="00056A56">
      <w:pPr>
        <w:tabs>
          <w:tab w:val="left" w:pos="1080"/>
        </w:tabs>
        <w:jc w:val="both"/>
        <w:rPr>
          <w:rFonts w:ascii="Arial" w:hAnsi="Arial"/>
          <w:bCs/>
          <w:lang w:val="en-IN"/>
        </w:rPr>
      </w:pPr>
    </w:p>
    <w:p w14:paraId="189D80D8" w14:textId="77777777" w:rsidR="006A7195" w:rsidRDefault="006A7195" w:rsidP="00056A56">
      <w:pPr>
        <w:tabs>
          <w:tab w:val="left" w:pos="1080"/>
        </w:tabs>
        <w:jc w:val="both"/>
        <w:rPr>
          <w:rFonts w:ascii="Arial" w:hAnsi="Arial"/>
          <w:bCs/>
          <w:lang w:val="en-IN"/>
        </w:rPr>
      </w:pPr>
    </w:p>
    <w:p w14:paraId="5BE5B573" w14:textId="77777777" w:rsidR="006A7195" w:rsidRPr="006A7195" w:rsidRDefault="006A7195" w:rsidP="006A7195">
      <w:pPr>
        <w:tabs>
          <w:tab w:val="left" w:pos="1080"/>
        </w:tabs>
        <w:jc w:val="both"/>
        <w:rPr>
          <w:rFonts w:ascii="Arial" w:hAnsi="Arial"/>
          <w:b/>
          <w:lang w:val="en-IN"/>
        </w:rPr>
      </w:pPr>
      <w:bookmarkStart w:id="4" w:name="_Hlk215579676"/>
      <w:r w:rsidRPr="006A7195">
        <w:rPr>
          <w:rFonts w:ascii="Arial" w:hAnsi="Arial"/>
          <w:b/>
          <w:lang w:val="en-IN"/>
        </w:rPr>
        <w:t xml:space="preserve">Table 3: </w:t>
      </w:r>
      <w:bookmarkStart w:id="5" w:name="_Hlk215580255"/>
      <w:r w:rsidRPr="006A7195">
        <w:rPr>
          <w:rFonts w:ascii="Arial" w:hAnsi="Arial"/>
          <w:b/>
          <w:lang w:val="en-IN"/>
        </w:rPr>
        <w:t>Comparative evaluation of two different selection methods</w:t>
      </w:r>
      <w:bookmarkEnd w:id="5"/>
      <w:r w:rsidRPr="006A7195">
        <w:rPr>
          <w:rFonts w:ascii="Arial" w:hAnsi="Arial"/>
          <w:b/>
          <w:lang w:val="en-IN"/>
        </w:rPr>
        <w:t xml:space="preserve"> for </w:t>
      </w:r>
      <w:proofErr w:type="gramStart"/>
      <w:r w:rsidRPr="006A7195">
        <w:rPr>
          <w:rFonts w:ascii="Arial" w:hAnsi="Arial"/>
          <w:b/>
          <w:lang w:val="en-IN"/>
        </w:rPr>
        <w:t>ranking  green</w:t>
      </w:r>
      <w:proofErr w:type="gramEnd"/>
      <w:r w:rsidRPr="006A7195">
        <w:rPr>
          <w:rFonts w:ascii="Arial" w:hAnsi="Arial"/>
          <w:b/>
          <w:lang w:val="en-IN"/>
        </w:rPr>
        <w:t xml:space="preserve"> gram accessions</w:t>
      </w:r>
    </w:p>
    <w:tbl>
      <w:tblPr>
        <w:tblStyle w:val="TableGrid"/>
        <w:tblW w:w="0" w:type="auto"/>
        <w:tblInd w:w="-5" w:type="dxa"/>
        <w:tblLook w:val="04A0" w:firstRow="1" w:lastRow="0" w:firstColumn="1" w:lastColumn="0" w:noHBand="0" w:noVBand="1"/>
      </w:tblPr>
      <w:tblGrid>
        <w:gridCol w:w="1192"/>
        <w:gridCol w:w="2258"/>
        <w:gridCol w:w="1862"/>
        <w:gridCol w:w="2171"/>
      </w:tblGrid>
      <w:tr w:rsidR="006A7195" w:rsidRPr="006A7195" w14:paraId="623ACFA8" w14:textId="77777777" w:rsidTr="00F70493">
        <w:trPr>
          <w:trHeight w:val="650"/>
        </w:trPr>
        <w:tc>
          <w:tcPr>
            <w:tcW w:w="1192" w:type="dxa"/>
            <w:noWrap/>
            <w:hideMark/>
          </w:tcPr>
          <w:p w14:paraId="4D171754" w14:textId="125107C1" w:rsidR="006A7195" w:rsidRPr="006A7195" w:rsidRDefault="006A7195" w:rsidP="006A7195">
            <w:pPr>
              <w:tabs>
                <w:tab w:val="left" w:pos="1080"/>
              </w:tabs>
              <w:jc w:val="both"/>
              <w:rPr>
                <w:rFonts w:ascii="Arial" w:hAnsi="Arial"/>
                <w:b/>
                <w:sz w:val="20"/>
                <w:lang w:val="en-IN"/>
              </w:rPr>
            </w:pPr>
            <w:bookmarkStart w:id="6" w:name="_Hlk215580177"/>
            <w:bookmarkEnd w:id="4"/>
            <w:proofErr w:type="spellStart"/>
            <w:r w:rsidRPr="006A7195">
              <w:rPr>
                <w:rFonts w:ascii="Arial" w:hAnsi="Arial"/>
                <w:b/>
                <w:sz w:val="20"/>
                <w:lang w:val="en-IN"/>
              </w:rPr>
              <w:t>S</w:t>
            </w:r>
            <w:r w:rsidR="00293327">
              <w:rPr>
                <w:rFonts w:ascii="Arial" w:hAnsi="Arial"/>
                <w:b/>
                <w:sz w:val="20"/>
                <w:lang w:val="en-IN"/>
              </w:rPr>
              <w:t>l</w:t>
            </w:r>
            <w:r w:rsidRPr="006A7195">
              <w:rPr>
                <w:rFonts w:ascii="Arial" w:hAnsi="Arial"/>
                <w:b/>
                <w:sz w:val="20"/>
                <w:lang w:val="en-IN"/>
              </w:rPr>
              <w:t>.No</w:t>
            </w:r>
            <w:proofErr w:type="spellEnd"/>
            <w:r w:rsidR="00293327">
              <w:rPr>
                <w:rFonts w:ascii="Arial" w:hAnsi="Arial"/>
                <w:b/>
                <w:sz w:val="20"/>
                <w:lang w:val="en-IN"/>
              </w:rPr>
              <w:t>.</w:t>
            </w:r>
          </w:p>
        </w:tc>
        <w:tc>
          <w:tcPr>
            <w:tcW w:w="2258" w:type="dxa"/>
            <w:noWrap/>
          </w:tcPr>
          <w:p w14:paraId="09E6C0B8"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 xml:space="preserve">      Accession</w:t>
            </w:r>
          </w:p>
        </w:tc>
        <w:tc>
          <w:tcPr>
            <w:tcW w:w="1862" w:type="dxa"/>
            <w:noWrap/>
          </w:tcPr>
          <w:p w14:paraId="747C0618"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Rank in Arunachalam and Bandyopadhyay method</w:t>
            </w:r>
          </w:p>
        </w:tc>
        <w:tc>
          <w:tcPr>
            <w:tcW w:w="2171" w:type="dxa"/>
            <w:noWrap/>
          </w:tcPr>
          <w:p w14:paraId="5502A9D9"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Rank in PCA based method</w:t>
            </w:r>
          </w:p>
        </w:tc>
      </w:tr>
      <w:tr w:rsidR="006A7195" w:rsidRPr="006A7195" w14:paraId="60473C45" w14:textId="77777777" w:rsidTr="00F70493">
        <w:trPr>
          <w:trHeight w:val="329"/>
        </w:trPr>
        <w:tc>
          <w:tcPr>
            <w:tcW w:w="1192" w:type="dxa"/>
            <w:noWrap/>
          </w:tcPr>
          <w:p w14:paraId="053D5A7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c>
          <w:tcPr>
            <w:tcW w:w="2258" w:type="dxa"/>
            <w:noWrap/>
          </w:tcPr>
          <w:p w14:paraId="1DC4596E"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IC394640</w:t>
            </w:r>
          </w:p>
        </w:tc>
        <w:tc>
          <w:tcPr>
            <w:tcW w:w="1862" w:type="dxa"/>
            <w:noWrap/>
          </w:tcPr>
          <w:p w14:paraId="10A78E6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c>
          <w:tcPr>
            <w:tcW w:w="2171" w:type="dxa"/>
            <w:noWrap/>
          </w:tcPr>
          <w:p w14:paraId="070EDD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r>
      <w:tr w:rsidR="006A7195" w:rsidRPr="006A7195" w14:paraId="10B1715F" w14:textId="77777777" w:rsidTr="00F70493">
        <w:trPr>
          <w:trHeight w:val="329"/>
        </w:trPr>
        <w:tc>
          <w:tcPr>
            <w:tcW w:w="1192" w:type="dxa"/>
            <w:noWrap/>
          </w:tcPr>
          <w:p w14:paraId="27DFFCC2"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c>
          <w:tcPr>
            <w:tcW w:w="2258" w:type="dxa"/>
            <w:noWrap/>
          </w:tcPr>
          <w:p w14:paraId="56F06236"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IC394380</w:t>
            </w:r>
          </w:p>
        </w:tc>
        <w:tc>
          <w:tcPr>
            <w:tcW w:w="1862" w:type="dxa"/>
            <w:noWrap/>
          </w:tcPr>
          <w:p w14:paraId="5EF4933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c>
          <w:tcPr>
            <w:tcW w:w="2171" w:type="dxa"/>
            <w:noWrap/>
          </w:tcPr>
          <w:p w14:paraId="67C1CBB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r>
      <w:tr w:rsidR="006A7195" w:rsidRPr="006A7195" w14:paraId="1459714E" w14:textId="77777777" w:rsidTr="00F70493">
        <w:trPr>
          <w:trHeight w:val="329"/>
        </w:trPr>
        <w:tc>
          <w:tcPr>
            <w:tcW w:w="1192" w:type="dxa"/>
            <w:noWrap/>
          </w:tcPr>
          <w:p w14:paraId="0256F1F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c>
          <w:tcPr>
            <w:tcW w:w="2258" w:type="dxa"/>
            <w:noWrap/>
          </w:tcPr>
          <w:p w14:paraId="5C8DBA9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IC247820</w:t>
            </w:r>
          </w:p>
        </w:tc>
        <w:tc>
          <w:tcPr>
            <w:tcW w:w="1862" w:type="dxa"/>
            <w:noWrap/>
          </w:tcPr>
          <w:p w14:paraId="443C2A9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c>
          <w:tcPr>
            <w:tcW w:w="2171" w:type="dxa"/>
            <w:noWrap/>
          </w:tcPr>
          <w:p w14:paraId="533ADDBD"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r>
      <w:tr w:rsidR="006A7195" w:rsidRPr="006A7195" w14:paraId="6D1919BE" w14:textId="77777777" w:rsidTr="00F70493">
        <w:trPr>
          <w:trHeight w:val="329"/>
        </w:trPr>
        <w:tc>
          <w:tcPr>
            <w:tcW w:w="1192" w:type="dxa"/>
            <w:noWrap/>
          </w:tcPr>
          <w:p w14:paraId="465C886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c>
          <w:tcPr>
            <w:tcW w:w="2258" w:type="dxa"/>
            <w:noWrap/>
          </w:tcPr>
          <w:p w14:paraId="66EA247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Virat</w:t>
            </w:r>
          </w:p>
        </w:tc>
        <w:tc>
          <w:tcPr>
            <w:tcW w:w="1862" w:type="dxa"/>
            <w:noWrap/>
          </w:tcPr>
          <w:p w14:paraId="3F86FBB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c>
          <w:tcPr>
            <w:tcW w:w="2171" w:type="dxa"/>
            <w:noWrap/>
          </w:tcPr>
          <w:p w14:paraId="38749F8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r>
      <w:tr w:rsidR="006A7195" w:rsidRPr="006A7195" w14:paraId="42371DF5" w14:textId="77777777" w:rsidTr="00F70493">
        <w:trPr>
          <w:trHeight w:val="329"/>
        </w:trPr>
        <w:tc>
          <w:tcPr>
            <w:tcW w:w="1192" w:type="dxa"/>
            <w:noWrap/>
          </w:tcPr>
          <w:p w14:paraId="76FD791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c>
          <w:tcPr>
            <w:tcW w:w="2258" w:type="dxa"/>
            <w:noWrap/>
          </w:tcPr>
          <w:p w14:paraId="751B7D4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IC393910</w:t>
            </w:r>
          </w:p>
        </w:tc>
        <w:tc>
          <w:tcPr>
            <w:tcW w:w="1862" w:type="dxa"/>
            <w:noWrap/>
          </w:tcPr>
          <w:p w14:paraId="3AA24531"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c>
          <w:tcPr>
            <w:tcW w:w="2171" w:type="dxa"/>
            <w:noWrap/>
          </w:tcPr>
          <w:p w14:paraId="7E45436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r>
      <w:tr w:rsidR="006A7195" w:rsidRPr="006A7195" w14:paraId="64BF4BCE" w14:textId="77777777" w:rsidTr="00F70493">
        <w:trPr>
          <w:trHeight w:val="329"/>
        </w:trPr>
        <w:tc>
          <w:tcPr>
            <w:tcW w:w="1192" w:type="dxa"/>
            <w:noWrap/>
          </w:tcPr>
          <w:p w14:paraId="5785168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c>
          <w:tcPr>
            <w:tcW w:w="2258" w:type="dxa"/>
            <w:noWrap/>
          </w:tcPr>
          <w:p w14:paraId="27BECAD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TM96</w:t>
            </w:r>
          </w:p>
        </w:tc>
        <w:tc>
          <w:tcPr>
            <w:tcW w:w="1862" w:type="dxa"/>
            <w:noWrap/>
          </w:tcPr>
          <w:p w14:paraId="5D781C4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c>
          <w:tcPr>
            <w:tcW w:w="2171" w:type="dxa"/>
            <w:noWrap/>
          </w:tcPr>
          <w:p w14:paraId="63E1B3E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r>
      <w:tr w:rsidR="006A7195" w:rsidRPr="006A7195" w14:paraId="5DF50E3A" w14:textId="77777777" w:rsidTr="00F70493">
        <w:trPr>
          <w:trHeight w:val="329"/>
        </w:trPr>
        <w:tc>
          <w:tcPr>
            <w:tcW w:w="1192" w:type="dxa"/>
            <w:noWrap/>
          </w:tcPr>
          <w:p w14:paraId="19CC021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c>
          <w:tcPr>
            <w:tcW w:w="2258" w:type="dxa"/>
            <w:noWrap/>
          </w:tcPr>
          <w:p w14:paraId="4279078B"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IC224780</w:t>
            </w:r>
          </w:p>
        </w:tc>
        <w:tc>
          <w:tcPr>
            <w:tcW w:w="1862" w:type="dxa"/>
            <w:noWrap/>
          </w:tcPr>
          <w:p w14:paraId="38233B82"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c>
          <w:tcPr>
            <w:tcW w:w="2171" w:type="dxa"/>
            <w:noWrap/>
          </w:tcPr>
          <w:p w14:paraId="3AAEC6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r>
      <w:tr w:rsidR="006A7195" w:rsidRPr="006A7195" w14:paraId="454C023B" w14:textId="77777777" w:rsidTr="00F70493">
        <w:trPr>
          <w:trHeight w:val="329"/>
        </w:trPr>
        <w:tc>
          <w:tcPr>
            <w:tcW w:w="1192" w:type="dxa"/>
            <w:noWrap/>
          </w:tcPr>
          <w:p w14:paraId="1D2FA0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c>
          <w:tcPr>
            <w:tcW w:w="2258" w:type="dxa"/>
            <w:noWrap/>
          </w:tcPr>
          <w:p w14:paraId="47201D9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CO6</w:t>
            </w:r>
          </w:p>
        </w:tc>
        <w:tc>
          <w:tcPr>
            <w:tcW w:w="1862" w:type="dxa"/>
            <w:noWrap/>
          </w:tcPr>
          <w:p w14:paraId="361CC5E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c>
          <w:tcPr>
            <w:tcW w:w="2171" w:type="dxa"/>
            <w:noWrap/>
          </w:tcPr>
          <w:p w14:paraId="08E14620"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r>
      <w:tr w:rsidR="006A7195" w:rsidRPr="006A7195" w14:paraId="491741B1" w14:textId="77777777" w:rsidTr="00F70493">
        <w:trPr>
          <w:trHeight w:val="329"/>
        </w:trPr>
        <w:tc>
          <w:tcPr>
            <w:tcW w:w="1192" w:type="dxa"/>
            <w:noWrap/>
          </w:tcPr>
          <w:p w14:paraId="0FFE6BA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c>
          <w:tcPr>
            <w:tcW w:w="2258" w:type="dxa"/>
            <w:noWrap/>
          </w:tcPr>
          <w:p w14:paraId="2E748D7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CO8</w:t>
            </w:r>
          </w:p>
        </w:tc>
        <w:tc>
          <w:tcPr>
            <w:tcW w:w="1862" w:type="dxa"/>
            <w:noWrap/>
          </w:tcPr>
          <w:p w14:paraId="4863864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c>
          <w:tcPr>
            <w:tcW w:w="2171" w:type="dxa"/>
            <w:noWrap/>
          </w:tcPr>
          <w:p w14:paraId="2D2394F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10</w:t>
            </w:r>
          </w:p>
        </w:tc>
      </w:tr>
      <w:tr w:rsidR="006A7195" w:rsidRPr="006A7195" w14:paraId="66D7443B" w14:textId="77777777" w:rsidTr="00F70493">
        <w:trPr>
          <w:trHeight w:val="329"/>
        </w:trPr>
        <w:tc>
          <w:tcPr>
            <w:tcW w:w="1192" w:type="dxa"/>
            <w:noWrap/>
          </w:tcPr>
          <w:p w14:paraId="1C3FFB5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lastRenderedPageBreak/>
              <w:t>10</w:t>
            </w:r>
          </w:p>
        </w:tc>
        <w:tc>
          <w:tcPr>
            <w:tcW w:w="2258" w:type="dxa"/>
            <w:noWrap/>
          </w:tcPr>
          <w:p w14:paraId="5D9A22D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IC392930</w:t>
            </w:r>
          </w:p>
        </w:tc>
        <w:tc>
          <w:tcPr>
            <w:tcW w:w="1862" w:type="dxa"/>
            <w:noWrap/>
          </w:tcPr>
          <w:p w14:paraId="7D37F4C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10</w:t>
            </w:r>
          </w:p>
        </w:tc>
        <w:tc>
          <w:tcPr>
            <w:tcW w:w="2171" w:type="dxa"/>
            <w:noWrap/>
          </w:tcPr>
          <w:p w14:paraId="66B5C86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r>
      <w:tr w:rsidR="006A7195" w:rsidRPr="006A7195" w14:paraId="48E18DBC" w14:textId="77777777" w:rsidTr="00F70493">
        <w:trPr>
          <w:trHeight w:val="329"/>
        </w:trPr>
        <w:tc>
          <w:tcPr>
            <w:tcW w:w="1192" w:type="dxa"/>
            <w:noWrap/>
          </w:tcPr>
          <w:p w14:paraId="6B61799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c>
          <w:tcPr>
            <w:tcW w:w="2258" w:type="dxa"/>
            <w:noWrap/>
          </w:tcPr>
          <w:p w14:paraId="1581FD0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PusaM2142</w:t>
            </w:r>
          </w:p>
        </w:tc>
        <w:tc>
          <w:tcPr>
            <w:tcW w:w="1862" w:type="dxa"/>
            <w:noWrap/>
          </w:tcPr>
          <w:p w14:paraId="36D5D74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c>
          <w:tcPr>
            <w:tcW w:w="2171" w:type="dxa"/>
            <w:noWrap/>
          </w:tcPr>
          <w:p w14:paraId="44B0ACC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r>
      <w:bookmarkEnd w:id="6"/>
    </w:tbl>
    <w:p w14:paraId="65022C60" w14:textId="77777777" w:rsidR="006A7195" w:rsidRDefault="006A7195" w:rsidP="00056A56">
      <w:pPr>
        <w:tabs>
          <w:tab w:val="left" w:pos="1080"/>
        </w:tabs>
        <w:jc w:val="both"/>
        <w:rPr>
          <w:rFonts w:ascii="Arial" w:hAnsi="Arial"/>
          <w:bCs/>
          <w:lang w:val="en-IN"/>
        </w:rPr>
      </w:pPr>
    </w:p>
    <w:p w14:paraId="0C6F76F0" w14:textId="77777777" w:rsidR="0041385A" w:rsidRPr="00172C87" w:rsidRDefault="0041385A" w:rsidP="00441B6F">
      <w:pPr>
        <w:pStyle w:val="Body"/>
        <w:spacing w:after="0"/>
        <w:rPr>
          <w:rFonts w:ascii="Arial" w:hAnsi="Arial" w:cs="Arial"/>
          <w:b/>
          <w:bCs/>
        </w:rPr>
      </w:pPr>
    </w:p>
    <w:p w14:paraId="45D286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84C774" w14:textId="77777777" w:rsidR="00790ADA" w:rsidRPr="00FB3A86" w:rsidRDefault="00790ADA" w:rsidP="00441B6F">
      <w:pPr>
        <w:pStyle w:val="ConcHead"/>
        <w:spacing w:after="0"/>
        <w:jc w:val="both"/>
        <w:rPr>
          <w:rFonts w:ascii="Arial" w:hAnsi="Arial" w:cs="Arial"/>
        </w:rPr>
      </w:pPr>
    </w:p>
    <w:p w14:paraId="7EC8ED0F" w14:textId="02EE8F41" w:rsidR="006A7195" w:rsidRPr="006A7195" w:rsidRDefault="006A7195" w:rsidP="006A7195">
      <w:pPr>
        <w:jc w:val="both"/>
        <w:rPr>
          <w:rFonts w:ascii="Arial" w:hAnsi="Arial" w:cs="Arial"/>
        </w:rPr>
      </w:pPr>
      <w:r w:rsidRPr="006A7195">
        <w:rPr>
          <w:rFonts w:ascii="Arial" w:hAnsi="Arial" w:cs="Arial"/>
        </w:rPr>
        <w:t xml:space="preserve">The present study demonstrates that both the Arunachalam and Bandyopadhyay (1984) scoring method and the PCA-based selection approach are effective tools for identifying superior green gram accessions using multiple yield-related traits. The two methods produced highly congruent results, consistently identifying IC 394640 as the best-performing accession and </w:t>
      </w:r>
      <w:proofErr w:type="spellStart"/>
      <w:r w:rsidRPr="006A7195">
        <w:rPr>
          <w:rFonts w:ascii="Arial" w:hAnsi="Arial" w:cs="Arial"/>
        </w:rPr>
        <w:t>Pusa</w:t>
      </w:r>
      <w:proofErr w:type="spellEnd"/>
      <w:r w:rsidRPr="006A7195">
        <w:rPr>
          <w:rFonts w:ascii="Arial" w:hAnsi="Arial" w:cs="Arial"/>
        </w:rPr>
        <w:t xml:space="preserve"> M 2142 as the poorest. When the first two principal components captured most of the total variation, the PCA biplot provided a clear visual framework for discerning superior accessions and understanding the specific traits contributing to their performance. The study also highlights the importance of yield-contributing traits, particularly number of pods per plant and pod length, in guiding selection decisions. Overall, the findings support the integration of multivariate approaches in green gram improvement program</w:t>
      </w:r>
      <w:r w:rsidR="00CC1BBB">
        <w:rPr>
          <w:rFonts w:ascii="Arial" w:hAnsi="Arial" w:cs="Arial"/>
        </w:rPr>
        <w:t>s</w:t>
      </w:r>
      <w:r w:rsidRPr="006A7195">
        <w:rPr>
          <w:rFonts w:ascii="Arial" w:hAnsi="Arial" w:cs="Arial"/>
        </w:rPr>
        <w:t>, both for selecting superior accessions and for identifying promising trait donors for breeding.</w:t>
      </w:r>
    </w:p>
    <w:p w14:paraId="73A8E596" w14:textId="77777777" w:rsidR="006A5179" w:rsidRDefault="006A5179" w:rsidP="00441B6F">
      <w:pPr>
        <w:pStyle w:val="AcknHead"/>
        <w:spacing w:after="0"/>
        <w:jc w:val="both"/>
        <w:rPr>
          <w:rFonts w:ascii="Arial" w:hAnsi="Arial" w:cs="Arial"/>
        </w:rPr>
      </w:pPr>
    </w:p>
    <w:p w14:paraId="1C9B013C" w14:textId="77777777" w:rsidR="001D32F6" w:rsidRDefault="001D32F6" w:rsidP="00441B6F">
      <w:pPr>
        <w:pStyle w:val="ReferHead"/>
        <w:spacing w:after="0"/>
        <w:jc w:val="both"/>
        <w:rPr>
          <w:rFonts w:ascii="Arial" w:hAnsi="Arial" w:cs="Arial"/>
          <w:b w:val="0"/>
          <w:caps w:val="0"/>
          <w:sz w:val="20"/>
        </w:rPr>
      </w:pPr>
    </w:p>
    <w:p w14:paraId="55698F2B" w14:textId="77777777" w:rsidR="001D32F6" w:rsidRPr="001D32F6" w:rsidRDefault="001D32F6" w:rsidP="001D32F6">
      <w:pPr>
        <w:pStyle w:val="ReferHead"/>
        <w:jc w:val="both"/>
        <w:rPr>
          <w:rFonts w:ascii="Arial" w:hAnsi="Arial" w:cs="Arial"/>
          <w:b w:val="0"/>
          <w:caps w:val="0"/>
          <w:sz w:val="20"/>
        </w:rPr>
      </w:pPr>
      <w:r w:rsidRPr="001D32F6">
        <w:rPr>
          <w:rFonts w:ascii="Arial" w:hAnsi="Arial" w:cs="Arial"/>
          <w:b w:val="0"/>
          <w:caps w:val="0"/>
          <w:sz w:val="20"/>
        </w:rPr>
        <w:t>COMPETING INTERESTS DISCLAIMER:</w:t>
      </w:r>
    </w:p>
    <w:p w14:paraId="68473385" w14:textId="4DA64D12" w:rsidR="001D32F6" w:rsidRDefault="001D32F6" w:rsidP="001D32F6">
      <w:pPr>
        <w:pStyle w:val="ReferHead"/>
        <w:spacing w:after="0"/>
        <w:jc w:val="both"/>
        <w:rPr>
          <w:rFonts w:ascii="Arial" w:hAnsi="Arial" w:cs="Arial"/>
          <w:b w:val="0"/>
          <w:caps w:val="0"/>
          <w:sz w:val="20"/>
        </w:rPr>
      </w:pPr>
      <w:r w:rsidRPr="001D32F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C5D79FA" w14:textId="7073CFF8" w:rsidR="006A5179" w:rsidRDefault="006A5179" w:rsidP="00441B6F">
      <w:pPr>
        <w:pStyle w:val="ReferHead"/>
        <w:spacing w:after="0"/>
        <w:jc w:val="both"/>
        <w:rPr>
          <w:rFonts w:ascii="Arial" w:hAnsi="Arial" w:cs="Arial"/>
          <w:b w:val="0"/>
          <w:caps w:val="0"/>
          <w:sz w:val="20"/>
        </w:rPr>
      </w:pPr>
    </w:p>
    <w:p w14:paraId="2A849BFA" w14:textId="77777777" w:rsidR="00150495" w:rsidRPr="009C5487" w:rsidRDefault="00150495" w:rsidP="00150495">
      <w:pPr>
        <w:rPr>
          <w:rFonts w:ascii="Calibri" w:eastAsia="Calibri" w:hAnsi="Calibri"/>
          <w:kern w:val="2"/>
          <w:highlight w:val="yellow"/>
        </w:rPr>
      </w:pPr>
      <w:bookmarkStart w:id="7" w:name="_Hlk197682619"/>
      <w:bookmarkStart w:id="8" w:name="_Hlk180402183"/>
      <w:bookmarkStart w:id="9" w:name="_Hlk183680988"/>
      <w:bookmarkStart w:id="10" w:name="_Hlk197351200"/>
      <w:r w:rsidRPr="009C5487">
        <w:rPr>
          <w:rFonts w:ascii="Calibri" w:eastAsia="Calibri" w:hAnsi="Calibri"/>
          <w:kern w:val="2"/>
          <w:highlight w:val="yellow"/>
        </w:rPr>
        <w:t>Disclaimer (Artificial intelligence)</w:t>
      </w:r>
    </w:p>
    <w:p w14:paraId="3C608536" w14:textId="77777777" w:rsidR="00150495" w:rsidRPr="009C5487" w:rsidRDefault="00150495" w:rsidP="00150495">
      <w:pPr>
        <w:rPr>
          <w:rFonts w:ascii="Calibri" w:eastAsia="Calibri" w:hAnsi="Calibri"/>
          <w:kern w:val="2"/>
          <w:highlight w:val="yellow"/>
        </w:rPr>
      </w:pPr>
      <w:r w:rsidRPr="009C5487">
        <w:rPr>
          <w:rFonts w:ascii="Calibri" w:eastAsia="Calibri" w:hAnsi="Calibri"/>
          <w:kern w:val="2"/>
          <w:highlight w:val="yellow"/>
        </w:rPr>
        <w:t xml:space="preserve">Option 1: </w:t>
      </w:r>
    </w:p>
    <w:p w14:paraId="5DE335B8" w14:textId="77777777" w:rsidR="00150495" w:rsidRPr="009C5487" w:rsidRDefault="00150495" w:rsidP="00150495">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7090AA29" w14:textId="77777777" w:rsidR="00150495" w:rsidRPr="009C5487" w:rsidRDefault="00150495" w:rsidP="00150495">
      <w:pPr>
        <w:rPr>
          <w:rFonts w:ascii="Calibri" w:eastAsia="Calibri" w:hAnsi="Calibri"/>
          <w:kern w:val="2"/>
          <w:highlight w:val="yellow"/>
        </w:rPr>
      </w:pPr>
      <w:r w:rsidRPr="009C5487">
        <w:rPr>
          <w:rFonts w:ascii="Calibri" w:eastAsia="Calibri" w:hAnsi="Calibri"/>
          <w:kern w:val="2"/>
          <w:highlight w:val="yellow"/>
        </w:rPr>
        <w:t xml:space="preserve">Option 2: </w:t>
      </w:r>
    </w:p>
    <w:p w14:paraId="78DCCA52" w14:textId="77777777" w:rsidR="00150495" w:rsidRPr="009C5487" w:rsidRDefault="00150495" w:rsidP="00150495">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4AAD7D" w14:textId="77777777" w:rsidR="00150495" w:rsidRPr="009C5487" w:rsidRDefault="00150495" w:rsidP="00150495">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50EE7E6F" w14:textId="77777777" w:rsidR="00150495" w:rsidRPr="009C5487" w:rsidRDefault="00150495" w:rsidP="00150495">
      <w:pPr>
        <w:rPr>
          <w:rFonts w:ascii="Calibri" w:eastAsia="Calibri" w:hAnsi="Calibri"/>
          <w:kern w:val="2"/>
          <w:highlight w:val="yellow"/>
        </w:rPr>
      </w:pPr>
      <w:r w:rsidRPr="009C5487">
        <w:rPr>
          <w:rFonts w:ascii="Calibri" w:eastAsia="Calibri" w:hAnsi="Calibri"/>
          <w:kern w:val="2"/>
          <w:highlight w:val="yellow"/>
        </w:rPr>
        <w:t>1.</w:t>
      </w:r>
    </w:p>
    <w:p w14:paraId="687542FC" w14:textId="77777777" w:rsidR="00150495" w:rsidRPr="009C5487" w:rsidRDefault="00150495" w:rsidP="00150495">
      <w:pPr>
        <w:rPr>
          <w:rFonts w:ascii="Calibri" w:eastAsia="Calibri" w:hAnsi="Calibri"/>
          <w:kern w:val="2"/>
          <w:highlight w:val="yellow"/>
        </w:rPr>
      </w:pPr>
      <w:r w:rsidRPr="009C5487">
        <w:rPr>
          <w:rFonts w:ascii="Calibri" w:eastAsia="Calibri" w:hAnsi="Calibri"/>
          <w:kern w:val="2"/>
          <w:highlight w:val="yellow"/>
        </w:rPr>
        <w:t>2.</w:t>
      </w:r>
    </w:p>
    <w:p w14:paraId="7597B581" w14:textId="77777777" w:rsidR="00150495" w:rsidRPr="00F870EF" w:rsidRDefault="00150495" w:rsidP="00150495">
      <w:pPr>
        <w:rPr>
          <w:rFonts w:ascii="Calibri" w:eastAsia="Calibri" w:hAnsi="Calibri"/>
          <w:kern w:val="2"/>
        </w:rPr>
      </w:pPr>
      <w:bookmarkStart w:id="11" w:name="_Hlk197682629"/>
      <w:bookmarkEnd w:id="7"/>
      <w:r w:rsidRPr="009C5487">
        <w:rPr>
          <w:rFonts w:ascii="Calibri" w:eastAsia="Calibri" w:hAnsi="Calibri"/>
          <w:kern w:val="2"/>
          <w:highlight w:val="yellow"/>
        </w:rPr>
        <w:t>3.</w:t>
      </w:r>
      <w:bookmarkStart w:id="12" w:name="_Hlk187485061"/>
      <w:bookmarkEnd w:id="8"/>
      <w:bookmarkEnd w:id="9"/>
      <w:bookmarkEnd w:id="11"/>
    </w:p>
    <w:bookmarkEnd w:id="10"/>
    <w:bookmarkEnd w:id="12"/>
    <w:p w14:paraId="25FE5EB9" w14:textId="77777777" w:rsidR="00150495" w:rsidRDefault="00150495" w:rsidP="00441B6F">
      <w:pPr>
        <w:pStyle w:val="ReferHead"/>
        <w:spacing w:after="0"/>
        <w:jc w:val="both"/>
        <w:rPr>
          <w:rFonts w:ascii="Arial" w:hAnsi="Arial" w:cs="Arial"/>
          <w:b w:val="0"/>
          <w:caps w:val="0"/>
          <w:sz w:val="20"/>
        </w:rPr>
      </w:pPr>
    </w:p>
    <w:p w14:paraId="50136C48" w14:textId="77777777" w:rsidR="0041027F" w:rsidRDefault="0041027F" w:rsidP="00441B6F">
      <w:pPr>
        <w:pStyle w:val="ReferHead"/>
        <w:spacing w:after="0"/>
        <w:jc w:val="both"/>
        <w:rPr>
          <w:rFonts w:ascii="Arial" w:hAnsi="Arial" w:cs="Arial"/>
          <w:b w:val="0"/>
          <w:caps w:val="0"/>
          <w:sz w:val="20"/>
        </w:rPr>
      </w:pPr>
    </w:p>
    <w:p w14:paraId="1CA00E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3D504D" w14:textId="77777777" w:rsidR="006A5179" w:rsidRPr="004B3FEB" w:rsidRDefault="006A5179" w:rsidP="006A5179">
      <w:pPr>
        <w:jc w:val="both"/>
        <w:rPr>
          <w:rFonts w:ascii="Arial" w:hAnsi="Arial" w:cs="Arial"/>
          <w:b/>
          <w:bCs/>
          <w:sz w:val="24"/>
          <w:szCs w:val="24"/>
        </w:rPr>
      </w:pPr>
    </w:p>
    <w:p w14:paraId="3B069B56" w14:textId="5AAA7219" w:rsidR="00B008B9" w:rsidRPr="0009310C" w:rsidRDefault="00B008B9" w:rsidP="0009310C">
      <w:pPr>
        <w:jc w:val="both"/>
        <w:rPr>
          <w:rFonts w:ascii="Arial" w:eastAsia="Calibri" w:hAnsi="Arial" w:cs="Arial"/>
        </w:rPr>
      </w:pPr>
      <w:r w:rsidRPr="0009310C">
        <w:rPr>
          <w:rFonts w:ascii="Arial" w:eastAsia="Calibri" w:hAnsi="Arial" w:cs="Arial"/>
        </w:rPr>
        <w:t xml:space="preserve">Arunachalam, V. and Bandyopadhyay, A. (1984). A method to make decisions jointly on a number of dependent characters. </w:t>
      </w:r>
      <w:r w:rsidRPr="0009310C">
        <w:rPr>
          <w:rFonts w:ascii="Arial" w:eastAsia="Calibri" w:hAnsi="Arial" w:cs="Arial"/>
          <w:i/>
          <w:iCs/>
        </w:rPr>
        <w:t xml:space="preserve">Indian Journal of Genetics and Plant Breeding, </w:t>
      </w:r>
      <w:r w:rsidRPr="0009310C">
        <w:rPr>
          <w:rFonts w:ascii="Arial" w:eastAsia="Calibri" w:hAnsi="Arial" w:cs="Arial"/>
        </w:rPr>
        <w:t>44(3): 419-424.</w:t>
      </w:r>
      <w:r w:rsidR="00A5794D">
        <w:rPr>
          <w:rFonts w:ascii="Verdana" w:hAnsi="Verdana"/>
          <w:color w:val="1B485F"/>
          <w:sz w:val="18"/>
          <w:szCs w:val="18"/>
          <w:shd w:val="clear" w:color="auto" w:fill="FFFFFF"/>
        </w:rPr>
        <w:t xml:space="preserve"> </w:t>
      </w:r>
      <w:r w:rsidR="00A5794D" w:rsidRPr="00A5794D">
        <w:rPr>
          <w:rFonts w:ascii="Arial" w:eastAsia="Calibri" w:hAnsi="Arial" w:cs="Arial"/>
        </w:rPr>
        <w:t>ISSN 0019-5200</w:t>
      </w:r>
      <w:r w:rsidR="00E23947" w:rsidRPr="00E23947">
        <w:t xml:space="preserve"> </w:t>
      </w:r>
      <w:hyperlink r:id="rId16" w:history="1">
        <w:r w:rsidR="00E23947" w:rsidRPr="00E57D41">
          <w:rPr>
            <w:rStyle w:val="Hyperlink"/>
            <w:rFonts w:ascii="Arial" w:eastAsia="Calibri" w:hAnsi="Arial" w:cs="Arial"/>
          </w:rPr>
          <w:t>https://repository.ias.ac.in/89378/1/54p.pdf</w:t>
        </w:r>
      </w:hyperlink>
      <w:r w:rsidR="00E23947">
        <w:rPr>
          <w:rFonts w:ascii="Arial" w:eastAsia="Calibri" w:hAnsi="Arial" w:cs="Arial"/>
        </w:rPr>
        <w:t xml:space="preserve"> </w:t>
      </w:r>
    </w:p>
    <w:p w14:paraId="0DE8E9E0" w14:textId="0A98A0AB" w:rsidR="0009310C" w:rsidRDefault="0009310C" w:rsidP="0009310C">
      <w:pPr>
        <w:jc w:val="both"/>
      </w:pPr>
      <w:bookmarkStart w:id="13" w:name="_Hlk215352033"/>
      <w:proofErr w:type="spellStart"/>
      <w:r w:rsidRPr="0009310C">
        <w:rPr>
          <w:rFonts w:ascii="Arial" w:eastAsia="Calibri" w:hAnsi="Arial" w:cs="Arial"/>
        </w:rPr>
        <w:t>Asari</w:t>
      </w:r>
      <w:proofErr w:type="spellEnd"/>
      <w:r w:rsidRPr="0009310C">
        <w:rPr>
          <w:rFonts w:ascii="Arial" w:eastAsia="Calibri" w:hAnsi="Arial" w:cs="Arial"/>
        </w:rPr>
        <w:t xml:space="preserve">, T., Patel, B. N., Patel, R., Patil, G. B., &amp; Solanki, C. (2019). Genetic Variability, Correlation and Path Coefficient Analysis of Yield and Yield Contributing Characters in Mung Bean [Vigna radiata (L.) </w:t>
      </w:r>
      <w:proofErr w:type="spellStart"/>
      <w:r w:rsidRPr="0009310C">
        <w:rPr>
          <w:rFonts w:ascii="Arial" w:eastAsia="Calibri" w:hAnsi="Arial" w:cs="Arial"/>
        </w:rPr>
        <w:t>Wilczek</w:t>
      </w:r>
      <w:proofErr w:type="spellEnd"/>
      <w:r w:rsidRPr="0009310C">
        <w:rPr>
          <w:rFonts w:ascii="Arial" w:eastAsia="Calibri" w:hAnsi="Arial" w:cs="Arial"/>
        </w:rPr>
        <w:t xml:space="preserve">]. International Journal of Chemical Studies, 7(4), 383-387. </w:t>
      </w:r>
      <w:hyperlink r:id="rId17" w:history="1">
        <w:r w:rsidRPr="0009310C">
          <w:rPr>
            <w:rStyle w:val="Hyperlink"/>
            <w:rFonts w:ascii="Arial" w:eastAsia="Calibri" w:hAnsi="Arial" w:cs="Arial"/>
          </w:rPr>
          <w:t>https://www.chemijournal.com/archives/2019/vol7issue4/PartF/7-4-10-700.pdf</w:t>
        </w:r>
      </w:hyperlink>
    </w:p>
    <w:p w14:paraId="67D7FEAA" w14:textId="1A7E010D" w:rsidR="00C65B88" w:rsidRPr="0009310C" w:rsidRDefault="00C65B88" w:rsidP="0009310C">
      <w:pPr>
        <w:jc w:val="both"/>
        <w:rPr>
          <w:rFonts w:ascii="Arial" w:eastAsia="Calibri" w:hAnsi="Arial" w:cs="Arial"/>
        </w:rPr>
      </w:pPr>
      <w:proofErr w:type="spellStart"/>
      <w:r w:rsidRPr="00717108">
        <w:rPr>
          <w:rFonts w:ascii="Arial" w:eastAsia="Calibri" w:hAnsi="Arial" w:cs="Arial"/>
          <w:highlight w:val="yellow"/>
        </w:rPr>
        <w:lastRenderedPageBreak/>
        <w:t>Chongre</w:t>
      </w:r>
      <w:proofErr w:type="spellEnd"/>
      <w:r w:rsidRPr="00717108">
        <w:rPr>
          <w:rFonts w:ascii="Arial" w:eastAsia="Calibri" w:hAnsi="Arial" w:cs="Arial"/>
          <w:highlight w:val="yellow"/>
        </w:rPr>
        <w:t xml:space="preserve">, S., Mondal, R., Biswas, S., Munshi, A., Mondal, R. and </w:t>
      </w:r>
      <w:proofErr w:type="spellStart"/>
      <w:r w:rsidRPr="00717108">
        <w:rPr>
          <w:rFonts w:ascii="Arial" w:eastAsia="Calibri" w:hAnsi="Arial" w:cs="Arial"/>
          <w:highlight w:val="yellow"/>
        </w:rPr>
        <w:t>Pramanick</w:t>
      </w:r>
      <w:proofErr w:type="spellEnd"/>
      <w:r w:rsidRPr="00717108">
        <w:rPr>
          <w:rFonts w:ascii="Arial" w:eastAsia="Calibri" w:hAnsi="Arial" w:cs="Arial"/>
          <w:highlight w:val="yellow"/>
        </w:rPr>
        <w:t xml:space="preserve">, M. (2019). Effect of liquid manure on growth and yield of summer green gram (Vigna radiata L. </w:t>
      </w:r>
      <w:proofErr w:type="spellStart"/>
      <w:r w:rsidRPr="00717108">
        <w:rPr>
          <w:rFonts w:ascii="Arial" w:eastAsia="Calibri" w:hAnsi="Arial" w:cs="Arial"/>
          <w:highlight w:val="yellow"/>
        </w:rPr>
        <w:t>Wilczek</w:t>
      </w:r>
      <w:proofErr w:type="spellEnd"/>
      <w:r w:rsidRPr="00717108">
        <w:rPr>
          <w:rFonts w:ascii="Arial" w:eastAsia="Calibri" w:hAnsi="Arial" w:cs="Arial"/>
          <w:highlight w:val="yellow"/>
        </w:rPr>
        <w:t>). </w:t>
      </w:r>
      <w:r w:rsidRPr="00717108">
        <w:rPr>
          <w:rFonts w:ascii="Arial" w:eastAsia="Calibri" w:hAnsi="Arial" w:cs="Arial"/>
          <w:i/>
          <w:iCs/>
          <w:highlight w:val="yellow"/>
        </w:rPr>
        <w:t>Current Journal of Applied Science and Technology</w:t>
      </w:r>
      <w:r w:rsidRPr="00717108">
        <w:rPr>
          <w:rFonts w:ascii="Arial" w:eastAsia="Calibri" w:hAnsi="Arial" w:cs="Arial"/>
          <w:highlight w:val="yellow"/>
        </w:rPr>
        <w:t>, </w:t>
      </w:r>
      <w:r w:rsidRPr="00717108">
        <w:rPr>
          <w:rFonts w:ascii="Arial" w:eastAsia="Calibri" w:hAnsi="Arial" w:cs="Arial"/>
          <w:i/>
          <w:iCs/>
          <w:highlight w:val="yellow"/>
        </w:rPr>
        <w:t>38</w:t>
      </w:r>
      <w:r w:rsidRPr="00717108">
        <w:rPr>
          <w:rFonts w:ascii="Arial" w:eastAsia="Calibri" w:hAnsi="Arial" w:cs="Arial"/>
          <w:highlight w:val="yellow"/>
        </w:rPr>
        <w:t>(6), pp.1-7.</w:t>
      </w:r>
      <w:hyperlink r:id="rId18" w:history="1">
        <w:r w:rsidR="00717108" w:rsidRPr="00431ACE">
          <w:rPr>
            <w:rStyle w:val="Hyperlink"/>
            <w:rFonts w:ascii="Arial" w:eastAsia="Calibri" w:hAnsi="Arial" w:cs="Arial"/>
            <w:highlight w:val="yellow"/>
          </w:rPr>
          <w:t>https://doi.org/10.9734/cjast/2019/v38i630460</w:t>
        </w:r>
      </w:hyperlink>
      <w:r w:rsidRPr="00717108">
        <w:rPr>
          <w:rFonts w:ascii="Arial" w:eastAsia="Calibri" w:hAnsi="Arial" w:cs="Arial"/>
          <w:highlight w:val="yellow"/>
        </w:rPr>
        <w:t>.</w:t>
      </w:r>
      <w:r>
        <w:rPr>
          <w:rFonts w:ascii="Arial" w:eastAsia="Calibri" w:hAnsi="Arial" w:cs="Arial"/>
        </w:rPr>
        <w:t xml:space="preserve"> </w:t>
      </w:r>
    </w:p>
    <w:bookmarkEnd w:id="13"/>
    <w:p w14:paraId="3A5CDF67" w14:textId="641155D2" w:rsidR="0009310C" w:rsidRPr="0009310C" w:rsidRDefault="0009310C" w:rsidP="0009310C">
      <w:pPr>
        <w:jc w:val="both"/>
        <w:rPr>
          <w:rFonts w:ascii="Arial" w:eastAsia="Calibri" w:hAnsi="Arial" w:cs="Arial"/>
        </w:rPr>
      </w:pPr>
      <w:r w:rsidRPr="0009310C">
        <w:rPr>
          <w:rFonts w:ascii="Arial" w:eastAsia="Calibri" w:hAnsi="Arial" w:cs="Arial"/>
        </w:rPr>
        <w:t xml:space="preserve">Gopinath, P. P., </w:t>
      </w:r>
      <w:proofErr w:type="spellStart"/>
      <w:r w:rsidRPr="0009310C">
        <w:rPr>
          <w:rFonts w:ascii="Arial" w:eastAsia="Calibri" w:hAnsi="Arial" w:cs="Arial"/>
        </w:rPr>
        <w:t>Parsad</w:t>
      </w:r>
      <w:proofErr w:type="spellEnd"/>
      <w:r w:rsidRPr="0009310C">
        <w:rPr>
          <w:rFonts w:ascii="Arial" w:eastAsia="Calibri" w:hAnsi="Arial" w:cs="Arial"/>
        </w:rPr>
        <w:t xml:space="preserve">, R., Joseph, B., &amp; S., A. V. (2021). grapesAgri1: Collection of Shiny Apps for Data Analysis in Agriculture. Journal of Open Source Software, 6(63), 3437. </w:t>
      </w:r>
      <w:hyperlink r:id="rId19" w:history="1">
        <w:r w:rsidRPr="0009310C">
          <w:rPr>
            <w:rStyle w:val="Hyperlink"/>
            <w:rFonts w:ascii="Arial" w:eastAsia="Calibri" w:hAnsi="Arial" w:cs="Arial"/>
          </w:rPr>
          <w:t>https://doi.org/10.21105/joss.03437</w:t>
        </w:r>
      </w:hyperlink>
    </w:p>
    <w:p w14:paraId="761212A2" w14:textId="39C0EE56" w:rsidR="0009310C" w:rsidRPr="0009310C" w:rsidRDefault="0009310C" w:rsidP="0009310C">
      <w:pPr>
        <w:jc w:val="both"/>
        <w:rPr>
          <w:rFonts w:ascii="Arial" w:eastAsia="Calibri" w:hAnsi="Arial" w:cs="Arial"/>
        </w:rPr>
      </w:pPr>
      <w:r w:rsidRPr="0009310C">
        <w:rPr>
          <w:rFonts w:ascii="Arial" w:eastAsia="Calibri" w:hAnsi="Arial" w:cs="Arial"/>
        </w:rPr>
        <w:t xml:space="preserve">Agricultural Market Intelligence Centre, PJTSAU. (2024). </w:t>
      </w:r>
      <w:proofErr w:type="spellStart"/>
      <w:r w:rsidRPr="0009310C">
        <w:rPr>
          <w:rFonts w:ascii="Arial" w:eastAsia="Calibri" w:hAnsi="Arial" w:cs="Arial"/>
        </w:rPr>
        <w:t>Greengram</w:t>
      </w:r>
      <w:proofErr w:type="spellEnd"/>
      <w:r w:rsidRPr="0009310C">
        <w:rPr>
          <w:rFonts w:ascii="Arial" w:eastAsia="Calibri" w:hAnsi="Arial" w:cs="Arial"/>
        </w:rPr>
        <w:t xml:space="preserve"> Outlook. </w:t>
      </w:r>
      <w:hyperlink r:id="rId20" w:history="1">
        <w:r w:rsidRPr="0009310C">
          <w:rPr>
            <w:rStyle w:val="Hyperlink"/>
            <w:rFonts w:ascii="Arial" w:eastAsia="Calibri" w:hAnsi="Arial" w:cs="Arial"/>
          </w:rPr>
          <w:t>https://pjtsau.edu.in/agri-marketing-intelligence.html</w:t>
        </w:r>
      </w:hyperlink>
    </w:p>
    <w:p w14:paraId="3B830510" w14:textId="64851927" w:rsidR="0009310C" w:rsidRPr="0009310C" w:rsidRDefault="0009310C" w:rsidP="0009310C">
      <w:pPr>
        <w:jc w:val="both"/>
        <w:rPr>
          <w:rFonts w:ascii="Arial" w:eastAsia="Calibri" w:hAnsi="Arial" w:cs="Arial"/>
        </w:rPr>
      </w:pPr>
      <w:proofErr w:type="spellStart"/>
      <w:r w:rsidRPr="0009310C">
        <w:rPr>
          <w:rFonts w:ascii="Arial" w:eastAsia="Calibri" w:hAnsi="Arial" w:cs="Arial"/>
        </w:rPr>
        <w:t>Htwe</w:t>
      </w:r>
      <w:proofErr w:type="spellEnd"/>
      <w:r w:rsidRPr="0009310C">
        <w:rPr>
          <w:rFonts w:ascii="Arial" w:eastAsia="Calibri" w:hAnsi="Arial" w:cs="Arial"/>
        </w:rPr>
        <w:t xml:space="preserve">, N. M., Aye, M. Y. I. N. T., &amp; Thu, C. N. (2020). Selection Index for Yield and Yield Contributing Traits in Improved Rice Genotypes. International Journal of Environmental and Rural Development, 11(2), 86. </w:t>
      </w:r>
      <w:hyperlink r:id="rId21" w:history="1">
        <w:r w:rsidRPr="0009310C">
          <w:rPr>
            <w:rStyle w:val="Hyperlink"/>
            <w:rFonts w:ascii="Arial" w:eastAsia="Calibri" w:hAnsi="Arial" w:cs="Arial"/>
          </w:rPr>
          <w:t>https://doi.org/10.32205/ijerd.11.2_86</w:t>
        </w:r>
      </w:hyperlink>
    </w:p>
    <w:p w14:paraId="100B994C" w14:textId="13AB2662" w:rsidR="0009310C" w:rsidRPr="0009310C" w:rsidRDefault="0009310C" w:rsidP="0009310C">
      <w:pPr>
        <w:jc w:val="both"/>
        <w:rPr>
          <w:rFonts w:ascii="Arial" w:eastAsia="Calibri" w:hAnsi="Arial" w:cs="Arial"/>
        </w:rPr>
      </w:pPr>
      <w:proofErr w:type="spellStart"/>
      <w:r w:rsidRPr="0009310C">
        <w:rPr>
          <w:rFonts w:ascii="Arial" w:eastAsia="Calibri" w:hAnsi="Arial" w:cs="Arial"/>
        </w:rPr>
        <w:t>Jat</w:t>
      </w:r>
      <w:proofErr w:type="spellEnd"/>
      <w:r w:rsidRPr="0009310C">
        <w:rPr>
          <w:rFonts w:ascii="Arial" w:eastAsia="Calibri" w:hAnsi="Arial" w:cs="Arial"/>
        </w:rPr>
        <w:t xml:space="preserve">, R., </w:t>
      </w:r>
      <w:proofErr w:type="spellStart"/>
      <w:r w:rsidRPr="0009310C">
        <w:rPr>
          <w:rFonts w:ascii="Arial" w:eastAsia="Calibri" w:hAnsi="Arial" w:cs="Arial"/>
        </w:rPr>
        <w:t>Tzudir</w:t>
      </w:r>
      <w:proofErr w:type="spellEnd"/>
      <w:r w:rsidRPr="0009310C">
        <w:rPr>
          <w:rFonts w:ascii="Arial" w:eastAsia="Calibri" w:hAnsi="Arial" w:cs="Arial"/>
        </w:rPr>
        <w:t xml:space="preserve">, L., Kumari, S., </w:t>
      </w:r>
      <w:proofErr w:type="spellStart"/>
      <w:r w:rsidRPr="0009310C">
        <w:rPr>
          <w:rFonts w:ascii="Arial" w:eastAsia="Calibri" w:hAnsi="Arial" w:cs="Arial"/>
        </w:rPr>
        <w:t>Surotsala</w:t>
      </w:r>
      <w:proofErr w:type="spellEnd"/>
      <w:r w:rsidRPr="0009310C">
        <w:rPr>
          <w:rFonts w:ascii="Arial" w:eastAsia="Calibri" w:hAnsi="Arial" w:cs="Arial"/>
        </w:rPr>
        <w:t xml:space="preserve">, K., </w:t>
      </w:r>
      <w:proofErr w:type="spellStart"/>
      <w:r w:rsidRPr="0009310C">
        <w:rPr>
          <w:rFonts w:ascii="Arial" w:eastAsia="Calibri" w:hAnsi="Arial" w:cs="Arial"/>
        </w:rPr>
        <w:t>Awomi</w:t>
      </w:r>
      <w:proofErr w:type="spellEnd"/>
      <w:r w:rsidRPr="0009310C">
        <w:rPr>
          <w:rFonts w:ascii="Arial" w:eastAsia="Calibri" w:hAnsi="Arial" w:cs="Arial"/>
        </w:rPr>
        <w:t xml:space="preserve">, K., </w:t>
      </w:r>
      <w:proofErr w:type="spellStart"/>
      <w:r w:rsidRPr="0009310C">
        <w:rPr>
          <w:rFonts w:ascii="Arial" w:eastAsia="Calibri" w:hAnsi="Arial" w:cs="Arial"/>
        </w:rPr>
        <w:t>Gohain</w:t>
      </w:r>
      <w:proofErr w:type="spellEnd"/>
      <w:r w:rsidRPr="0009310C">
        <w:rPr>
          <w:rFonts w:ascii="Arial" w:eastAsia="Calibri" w:hAnsi="Arial" w:cs="Arial"/>
        </w:rPr>
        <w:t xml:space="preserve">, T., </w:t>
      </w:r>
      <w:proofErr w:type="spellStart"/>
      <w:r w:rsidRPr="0009310C">
        <w:rPr>
          <w:rFonts w:ascii="Arial" w:eastAsia="Calibri" w:hAnsi="Arial" w:cs="Arial"/>
        </w:rPr>
        <w:t>Nongmaithem</w:t>
      </w:r>
      <w:proofErr w:type="spellEnd"/>
      <w:r w:rsidRPr="0009310C">
        <w:rPr>
          <w:rFonts w:ascii="Arial" w:eastAsia="Calibri" w:hAnsi="Arial" w:cs="Arial"/>
        </w:rPr>
        <w:t xml:space="preserve">, D., Yadav, R., </w:t>
      </w:r>
      <w:proofErr w:type="spellStart"/>
      <w:r w:rsidRPr="0009310C">
        <w:rPr>
          <w:rFonts w:ascii="Arial" w:eastAsia="Calibri" w:hAnsi="Arial" w:cs="Arial"/>
        </w:rPr>
        <w:t>Merentoshi</w:t>
      </w:r>
      <w:proofErr w:type="spellEnd"/>
      <w:r w:rsidRPr="0009310C">
        <w:rPr>
          <w:rFonts w:ascii="Arial" w:eastAsia="Calibri" w:hAnsi="Arial" w:cs="Arial"/>
        </w:rPr>
        <w:t xml:space="preserve">, M., &amp; Pavan, S. (2024). Performance of green gram Vigna radiata (L.) </w:t>
      </w:r>
      <w:proofErr w:type="spellStart"/>
      <w:r w:rsidRPr="0009310C">
        <w:rPr>
          <w:rFonts w:ascii="Arial" w:eastAsia="Calibri" w:hAnsi="Arial" w:cs="Arial"/>
        </w:rPr>
        <w:t>Wilczek</w:t>
      </w:r>
      <w:proofErr w:type="spellEnd"/>
      <w:r w:rsidRPr="0009310C">
        <w:rPr>
          <w:rFonts w:ascii="Arial" w:eastAsia="Calibri" w:hAnsi="Arial" w:cs="Arial"/>
        </w:rPr>
        <w:t xml:space="preserve"> as influenced by integrated nutrient management under rainfed conditions. Annals of Plant and Soil Research, 26(4), 745-750. </w:t>
      </w:r>
      <w:hyperlink r:id="rId22" w:history="1">
        <w:r w:rsidRPr="0009310C">
          <w:rPr>
            <w:rStyle w:val="Hyperlink"/>
            <w:rFonts w:ascii="Arial" w:eastAsia="Calibri" w:hAnsi="Arial" w:cs="Arial"/>
          </w:rPr>
          <w:t>https://doi.org/10.47815/apsr.2024.10426</w:t>
        </w:r>
      </w:hyperlink>
    </w:p>
    <w:p w14:paraId="72CD98C9" w14:textId="0BD80F71" w:rsidR="0009310C" w:rsidRDefault="0009310C" w:rsidP="0009310C">
      <w:pPr>
        <w:jc w:val="both"/>
      </w:pPr>
      <w:proofErr w:type="spellStart"/>
      <w:r w:rsidRPr="0009310C">
        <w:rPr>
          <w:rFonts w:ascii="Arial" w:eastAsia="Calibri" w:hAnsi="Arial" w:cs="Arial"/>
        </w:rPr>
        <w:t>Kamble</w:t>
      </w:r>
      <w:proofErr w:type="spellEnd"/>
      <w:r w:rsidRPr="0009310C">
        <w:rPr>
          <w:rFonts w:ascii="Arial" w:eastAsia="Calibri" w:hAnsi="Arial" w:cs="Arial"/>
        </w:rPr>
        <w:t xml:space="preserve">, S. S., Patil, D. K., Rathod, V. B., &amp; </w:t>
      </w:r>
      <w:proofErr w:type="spellStart"/>
      <w:r w:rsidRPr="0009310C">
        <w:rPr>
          <w:rFonts w:ascii="Arial" w:eastAsia="Calibri" w:hAnsi="Arial" w:cs="Arial"/>
        </w:rPr>
        <w:t>Gite</w:t>
      </w:r>
      <w:proofErr w:type="spellEnd"/>
      <w:r w:rsidRPr="0009310C">
        <w:rPr>
          <w:rFonts w:ascii="Arial" w:eastAsia="Calibri" w:hAnsi="Arial" w:cs="Arial"/>
        </w:rPr>
        <w:t xml:space="preserve">, V. K. (2023). Correlation and path analysis for yield and yield contributing characters in </w:t>
      </w:r>
      <w:proofErr w:type="spellStart"/>
      <w:r w:rsidRPr="0009310C">
        <w:rPr>
          <w:rFonts w:ascii="Arial" w:eastAsia="Calibri" w:hAnsi="Arial" w:cs="Arial"/>
        </w:rPr>
        <w:t>greengram</w:t>
      </w:r>
      <w:proofErr w:type="spellEnd"/>
      <w:r w:rsidRPr="0009310C">
        <w:rPr>
          <w:rFonts w:ascii="Arial" w:eastAsia="Calibri" w:hAnsi="Arial" w:cs="Arial"/>
        </w:rPr>
        <w:t xml:space="preserve"> (Vigna radiata (L.) </w:t>
      </w:r>
      <w:proofErr w:type="spellStart"/>
      <w:r w:rsidRPr="0009310C">
        <w:rPr>
          <w:rFonts w:ascii="Arial" w:eastAsia="Calibri" w:hAnsi="Arial" w:cs="Arial"/>
        </w:rPr>
        <w:t>Wilczek</w:t>
      </w:r>
      <w:proofErr w:type="spellEnd"/>
      <w:r w:rsidRPr="0009310C">
        <w:rPr>
          <w:rFonts w:ascii="Arial" w:eastAsia="Calibri" w:hAnsi="Arial" w:cs="Arial"/>
        </w:rPr>
        <w:t xml:space="preserve">). The Pharma Innovation Journal, 12(12), 841-844. </w:t>
      </w:r>
      <w:hyperlink r:id="rId23" w:history="1">
        <w:r w:rsidRPr="0009310C">
          <w:rPr>
            <w:rStyle w:val="Hyperlink"/>
            <w:rFonts w:ascii="Arial" w:eastAsia="Calibri" w:hAnsi="Arial" w:cs="Arial"/>
          </w:rPr>
          <w:t>https://www.thepharmajournal.com/archives/2023/vol12issue12/PartL/12-12-10-999.pdf</w:t>
        </w:r>
      </w:hyperlink>
    </w:p>
    <w:p w14:paraId="40D9E670" w14:textId="1A6A2E71" w:rsidR="0009310C" w:rsidRPr="0009310C" w:rsidRDefault="0009310C" w:rsidP="0009310C">
      <w:pPr>
        <w:jc w:val="both"/>
        <w:rPr>
          <w:rFonts w:ascii="Arial" w:eastAsia="Calibri" w:hAnsi="Arial" w:cs="Arial"/>
        </w:rPr>
      </w:pPr>
      <w:r w:rsidRPr="0009310C">
        <w:rPr>
          <w:rFonts w:ascii="Arial" w:eastAsia="Calibri" w:hAnsi="Arial" w:cs="Arial"/>
        </w:rPr>
        <w:t xml:space="preserve">Mohanty, A. A., Kar, R. K., Pradhan, B., Mishra, T. K., Das, S., Dash, A. P., </w:t>
      </w:r>
      <w:proofErr w:type="spellStart"/>
      <w:r w:rsidRPr="0009310C">
        <w:rPr>
          <w:rFonts w:ascii="Arial" w:eastAsia="Calibri" w:hAnsi="Arial" w:cs="Arial"/>
        </w:rPr>
        <w:t>Lenka</w:t>
      </w:r>
      <w:proofErr w:type="spellEnd"/>
      <w:r w:rsidRPr="0009310C">
        <w:rPr>
          <w:rFonts w:ascii="Arial" w:eastAsia="Calibri" w:hAnsi="Arial" w:cs="Arial"/>
        </w:rPr>
        <w:t xml:space="preserve">, B., Pradhan, H., </w:t>
      </w:r>
      <w:proofErr w:type="spellStart"/>
      <w:r w:rsidRPr="0009310C">
        <w:rPr>
          <w:rFonts w:ascii="Arial" w:eastAsia="Calibri" w:hAnsi="Arial" w:cs="Arial"/>
        </w:rPr>
        <w:t>Sahu</w:t>
      </w:r>
      <w:proofErr w:type="spellEnd"/>
      <w:r w:rsidRPr="0009310C">
        <w:rPr>
          <w:rFonts w:ascii="Arial" w:eastAsia="Calibri" w:hAnsi="Arial" w:cs="Arial"/>
        </w:rPr>
        <w:t xml:space="preserve">, D., Behera, C., Mishra, A., &amp; </w:t>
      </w:r>
      <w:proofErr w:type="spellStart"/>
      <w:r w:rsidRPr="0009310C">
        <w:rPr>
          <w:rFonts w:ascii="Arial" w:eastAsia="Calibri" w:hAnsi="Arial" w:cs="Arial"/>
        </w:rPr>
        <w:t>Maity</w:t>
      </w:r>
      <w:proofErr w:type="spellEnd"/>
      <w:r w:rsidRPr="0009310C">
        <w:rPr>
          <w:rFonts w:ascii="Arial" w:eastAsia="Calibri" w:hAnsi="Arial" w:cs="Arial"/>
        </w:rPr>
        <w:t xml:space="preserve">, G. (2024). Correlation and path analysis for quantitative traits in </w:t>
      </w:r>
      <w:proofErr w:type="spellStart"/>
      <w:r w:rsidRPr="0009310C">
        <w:rPr>
          <w:rFonts w:ascii="Arial" w:eastAsia="Calibri" w:hAnsi="Arial" w:cs="Arial"/>
        </w:rPr>
        <w:t>greengram</w:t>
      </w:r>
      <w:proofErr w:type="spellEnd"/>
      <w:r w:rsidRPr="0009310C">
        <w:rPr>
          <w:rFonts w:ascii="Arial" w:eastAsia="Calibri" w:hAnsi="Arial" w:cs="Arial"/>
        </w:rPr>
        <w:t xml:space="preserve">. Ecology Environment and Conservation, 30(1), 67-71. </w:t>
      </w:r>
      <w:hyperlink r:id="rId24" w:history="1">
        <w:r w:rsidRPr="0009310C">
          <w:rPr>
            <w:rStyle w:val="Hyperlink"/>
            <w:rFonts w:ascii="Arial" w:eastAsia="Calibri" w:hAnsi="Arial" w:cs="Arial"/>
          </w:rPr>
          <w:t>http://www.envirobiotechjournals.com/journal_details.php?jid=3</w:t>
        </w:r>
      </w:hyperlink>
    </w:p>
    <w:p w14:paraId="60D4F946" w14:textId="3297F49A" w:rsidR="0009310C" w:rsidRPr="0009310C" w:rsidRDefault="0009310C" w:rsidP="0009310C">
      <w:pPr>
        <w:jc w:val="both"/>
        <w:rPr>
          <w:rFonts w:ascii="Arial" w:eastAsia="Calibri" w:hAnsi="Arial" w:cs="Arial"/>
        </w:rPr>
      </w:pPr>
      <w:proofErr w:type="spellStart"/>
      <w:r w:rsidRPr="0009310C">
        <w:rPr>
          <w:rFonts w:ascii="Arial" w:eastAsia="Calibri" w:hAnsi="Arial" w:cs="Arial"/>
        </w:rPr>
        <w:t>Nalajala</w:t>
      </w:r>
      <w:proofErr w:type="spellEnd"/>
      <w:r w:rsidRPr="0009310C">
        <w:rPr>
          <w:rFonts w:ascii="Arial" w:eastAsia="Calibri" w:hAnsi="Arial" w:cs="Arial"/>
        </w:rPr>
        <w:t xml:space="preserve">, S., </w:t>
      </w:r>
      <w:proofErr w:type="spellStart"/>
      <w:r w:rsidRPr="0009310C">
        <w:rPr>
          <w:rFonts w:ascii="Arial" w:eastAsia="Calibri" w:hAnsi="Arial" w:cs="Arial"/>
        </w:rPr>
        <w:t>Muniyandi</w:t>
      </w:r>
      <w:proofErr w:type="spellEnd"/>
      <w:r w:rsidRPr="0009310C">
        <w:rPr>
          <w:rFonts w:ascii="Arial" w:eastAsia="Calibri" w:hAnsi="Arial" w:cs="Arial"/>
        </w:rPr>
        <w:t xml:space="preserve">, S.J., &amp; Manjunath, P. (2023). Principal component analysis of quantitative and qualitative traits in sixty mung bean (Vigna radiata L. </w:t>
      </w:r>
      <w:proofErr w:type="spellStart"/>
      <w:r w:rsidRPr="0009310C">
        <w:rPr>
          <w:rFonts w:ascii="Arial" w:eastAsia="Calibri" w:hAnsi="Arial" w:cs="Arial"/>
        </w:rPr>
        <w:t>Wilczek</w:t>
      </w:r>
      <w:proofErr w:type="spellEnd"/>
      <w:r w:rsidRPr="0009310C">
        <w:rPr>
          <w:rFonts w:ascii="Arial" w:eastAsia="Calibri" w:hAnsi="Arial" w:cs="Arial"/>
        </w:rPr>
        <w:t xml:space="preserve">) genotypes. International Journal of Bio-resource and Stress Management, 14(4), 643-651. </w:t>
      </w:r>
      <w:hyperlink r:id="rId25" w:history="1">
        <w:r w:rsidRPr="0009310C">
          <w:rPr>
            <w:rStyle w:val="Hyperlink"/>
            <w:rFonts w:ascii="Arial" w:eastAsia="Calibri" w:hAnsi="Arial" w:cs="Arial"/>
          </w:rPr>
          <w:t>https://doi.org/10.23910/1.2023.3354</w:t>
        </w:r>
      </w:hyperlink>
    </w:p>
    <w:p w14:paraId="7CEA7C09" w14:textId="5EB60C45" w:rsidR="0009310C" w:rsidRDefault="0009310C" w:rsidP="0009310C">
      <w:pPr>
        <w:jc w:val="both"/>
      </w:pPr>
      <w:proofErr w:type="spellStart"/>
      <w:r w:rsidRPr="0009310C">
        <w:rPr>
          <w:rFonts w:ascii="Arial" w:eastAsia="Calibri" w:hAnsi="Arial" w:cs="Arial"/>
        </w:rPr>
        <w:t>Prabhu</w:t>
      </w:r>
      <w:proofErr w:type="spellEnd"/>
      <w:r w:rsidRPr="0009310C">
        <w:rPr>
          <w:rFonts w:ascii="Arial" w:eastAsia="Calibri" w:hAnsi="Arial" w:cs="Arial"/>
        </w:rPr>
        <w:t xml:space="preserve">, K. V., Arunachalam, V., &amp; Bandyopadhyay, A. (1990). Nonparametric approach to </w:t>
      </w:r>
      <w:proofErr w:type="spellStart"/>
      <w:r w:rsidRPr="0009310C">
        <w:rPr>
          <w:rFonts w:ascii="Arial" w:eastAsia="Calibri" w:hAnsi="Arial" w:cs="Arial"/>
        </w:rPr>
        <w:t>multitrait</w:t>
      </w:r>
      <w:proofErr w:type="spellEnd"/>
      <w:r w:rsidRPr="0009310C">
        <w:rPr>
          <w:rFonts w:ascii="Arial" w:eastAsia="Calibri" w:hAnsi="Arial" w:cs="Arial"/>
        </w:rPr>
        <w:t xml:space="preserve"> selection for yield in groundnut (</w:t>
      </w:r>
      <w:proofErr w:type="spellStart"/>
      <w:r w:rsidRPr="0009310C">
        <w:rPr>
          <w:rFonts w:ascii="Arial" w:eastAsia="Calibri" w:hAnsi="Arial" w:cs="Arial"/>
        </w:rPr>
        <w:t>Arachis</w:t>
      </w:r>
      <w:proofErr w:type="spellEnd"/>
      <w:r w:rsidRPr="0009310C">
        <w:rPr>
          <w:rFonts w:ascii="Arial" w:eastAsia="Calibri" w:hAnsi="Arial" w:cs="Arial"/>
        </w:rPr>
        <w:t xml:space="preserve"> </w:t>
      </w:r>
      <w:proofErr w:type="spellStart"/>
      <w:r w:rsidRPr="0009310C">
        <w:rPr>
          <w:rFonts w:ascii="Arial" w:eastAsia="Calibri" w:hAnsi="Arial" w:cs="Arial"/>
        </w:rPr>
        <w:t>hypogaea</w:t>
      </w:r>
      <w:proofErr w:type="spellEnd"/>
      <w:r w:rsidRPr="0009310C">
        <w:rPr>
          <w:rFonts w:ascii="Arial" w:eastAsia="Calibri" w:hAnsi="Arial" w:cs="Arial"/>
        </w:rPr>
        <w:t xml:space="preserve"> L.). Theoretical and Applied Genetics, 80(2), 223-227. </w:t>
      </w:r>
      <w:hyperlink r:id="rId26" w:history="1">
        <w:r w:rsidRPr="0009310C">
          <w:rPr>
            <w:rStyle w:val="Hyperlink"/>
            <w:rFonts w:ascii="Arial" w:eastAsia="Calibri" w:hAnsi="Arial" w:cs="Arial"/>
          </w:rPr>
          <w:t>https://doi.org/10.1007/BF00223740</w:t>
        </w:r>
      </w:hyperlink>
    </w:p>
    <w:p w14:paraId="28F7C33E" w14:textId="0471CE81" w:rsidR="00073225" w:rsidRPr="0009310C" w:rsidRDefault="00073225" w:rsidP="0009310C">
      <w:pPr>
        <w:jc w:val="both"/>
        <w:rPr>
          <w:rFonts w:ascii="Arial" w:eastAsia="Calibri" w:hAnsi="Arial" w:cs="Arial"/>
        </w:rPr>
      </w:pPr>
      <w:proofErr w:type="spellStart"/>
      <w:r w:rsidRPr="00717108">
        <w:rPr>
          <w:rFonts w:ascii="Arial" w:eastAsia="Calibri" w:hAnsi="Arial" w:cs="Arial"/>
          <w:highlight w:val="yellow"/>
        </w:rPr>
        <w:t>Shibana</w:t>
      </w:r>
      <w:proofErr w:type="spellEnd"/>
      <w:r w:rsidRPr="00717108">
        <w:rPr>
          <w:rFonts w:ascii="Arial" w:eastAsia="Calibri" w:hAnsi="Arial" w:cs="Arial"/>
          <w:highlight w:val="yellow"/>
        </w:rPr>
        <w:t>, S.N. and Jalaja, S.M. (2019). Comparative evaluation of garlic (</w:t>
      </w:r>
      <w:r w:rsidRPr="00717108">
        <w:rPr>
          <w:rFonts w:ascii="Arial" w:eastAsia="Calibri" w:hAnsi="Arial" w:cs="Arial"/>
          <w:i/>
          <w:iCs/>
          <w:highlight w:val="yellow"/>
        </w:rPr>
        <w:t>Allium sativum</w:t>
      </w:r>
      <w:r w:rsidRPr="00717108">
        <w:rPr>
          <w:rFonts w:ascii="Arial" w:eastAsia="Calibri" w:hAnsi="Arial" w:cs="Arial"/>
          <w:highlight w:val="yellow"/>
        </w:rPr>
        <w:t xml:space="preserve"> L.) genotypes in </w:t>
      </w:r>
      <w:proofErr w:type="spellStart"/>
      <w:r w:rsidRPr="00717108">
        <w:rPr>
          <w:rFonts w:ascii="Arial" w:eastAsia="Calibri" w:hAnsi="Arial" w:cs="Arial"/>
          <w:highlight w:val="yellow"/>
        </w:rPr>
        <w:t>Kanthalloor</w:t>
      </w:r>
      <w:proofErr w:type="spellEnd"/>
      <w:r w:rsidRPr="00717108">
        <w:rPr>
          <w:rFonts w:ascii="Arial" w:eastAsia="Calibri" w:hAnsi="Arial" w:cs="Arial"/>
          <w:highlight w:val="yellow"/>
        </w:rPr>
        <w:t>, Idukki, Kerala, India.</w:t>
      </w:r>
      <w:r w:rsidRPr="00717108">
        <w:rPr>
          <w:highlight w:val="yellow"/>
        </w:rPr>
        <w:t xml:space="preserve"> </w:t>
      </w:r>
      <w:r w:rsidRPr="00717108">
        <w:rPr>
          <w:rFonts w:ascii="Arial" w:eastAsia="Calibri" w:hAnsi="Arial" w:cs="Arial"/>
          <w:highlight w:val="yellow"/>
        </w:rPr>
        <w:t>International Journal of Current Microbiology and Applied Sciences, 8(4), pp.798-803.</w:t>
      </w:r>
      <w:r w:rsidR="00FB0F1B" w:rsidRPr="00717108">
        <w:rPr>
          <w:highlight w:val="yellow"/>
        </w:rPr>
        <w:t xml:space="preserve"> </w:t>
      </w:r>
      <w:hyperlink r:id="rId27" w:history="1">
        <w:r w:rsidR="00FB0F1B" w:rsidRPr="00717108">
          <w:rPr>
            <w:rStyle w:val="Hyperlink"/>
            <w:rFonts w:ascii="Arial" w:eastAsia="Calibri" w:hAnsi="Arial" w:cs="Arial"/>
            <w:highlight w:val="yellow"/>
          </w:rPr>
          <w:t>https://doi.org/10.20546/ijcmas.2019.804.088</w:t>
        </w:r>
      </w:hyperlink>
      <w:r w:rsidR="00FB0F1B">
        <w:rPr>
          <w:rFonts w:ascii="Arial" w:eastAsia="Calibri" w:hAnsi="Arial" w:cs="Arial"/>
        </w:rPr>
        <w:t xml:space="preserve"> </w:t>
      </w:r>
    </w:p>
    <w:p w14:paraId="395D522F" w14:textId="100DA274" w:rsidR="0009310C" w:rsidRPr="0009310C" w:rsidRDefault="0009310C" w:rsidP="0009310C">
      <w:pPr>
        <w:jc w:val="both"/>
        <w:rPr>
          <w:rFonts w:ascii="Arial" w:eastAsia="Calibri" w:hAnsi="Arial" w:cs="Arial"/>
        </w:rPr>
      </w:pPr>
      <w:proofErr w:type="spellStart"/>
      <w:r w:rsidRPr="0009310C">
        <w:rPr>
          <w:rFonts w:ascii="Arial" w:eastAsia="Calibri" w:hAnsi="Arial" w:cs="Arial"/>
        </w:rPr>
        <w:t>Sandhiya</w:t>
      </w:r>
      <w:proofErr w:type="spellEnd"/>
      <w:r w:rsidRPr="0009310C">
        <w:rPr>
          <w:rFonts w:ascii="Arial" w:eastAsia="Calibri" w:hAnsi="Arial" w:cs="Arial"/>
        </w:rPr>
        <w:t xml:space="preserve">, V., &amp; Saravanan, S. (2018). Genetic variability and correlation studies in </w:t>
      </w:r>
      <w:proofErr w:type="spellStart"/>
      <w:r w:rsidRPr="0009310C">
        <w:rPr>
          <w:rFonts w:ascii="Arial" w:eastAsia="Calibri" w:hAnsi="Arial" w:cs="Arial"/>
        </w:rPr>
        <w:t>greengram</w:t>
      </w:r>
      <w:proofErr w:type="spellEnd"/>
      <w:r w:rsidRPr="0009310C">
        <w:rPr>
          <w:rFonts w:ascii="Arial" w:eastAsia="Calibri" w:hAnsi="Arial" w:cs="Arial"/>
        </w:rPr>
        <w:t xml:space="preserve"> (Vigna radiata L. </w:t>
      </w:r>
      <w:proofErr w:type="spellStart"/>
      <w:r w:rsidRPr="0009310C">
        <w:rPr>
          <w:rFonts w:ascii="Arial" w:eastAsia="Calibri" w:hAnsi="Arial" w:cs="Arial"/>
        </w:rPr>
        <w:t>Wilczek</w:t>
      </w:r>
      <w:proofErr w:type="spellEnd"/>
      <w:r w:rsidRPr="0009310C">
        <w:rPr>
          <w:rFonts w:ascii="Arial" w:eastAsia="Calibri" w:hAnsi="Arial" w:cs="Arial"/>
        </w:rPr>
        <w:t xml:space="preserve">). Electronic Journal of Plant Breeding, 9(3), 1094-1099. </w:t>
      </w:r>
      <w:hyperlink r:id="rId28" w:history="1">
        <w:r w:rsidRPr="0009310C">
          <w:rPr>
            <w:rStyle w:val="Hyperlink"/>
            <w:rFonts w:ascii="Arial" w:eastAsia="Calibri" w:hAnsi="Arial" w:cs="Arial"/>
          </w:rPr>
          <w:t>https://doi.org/10.5958/0975-928X.2018.00136.9</w:t>
        </w:r>
      </w:hyperlink>
    </w:p>
    <w:p w14:paraId="624E9147" w14:textId="6027C9BC" w:rsidR="0009310C" w:rsidRPr="0009310C" w:rsidRDefault="0009310C" w:rsidP="0009310C">
      <w:pPr>
        <w:jc w:val="both"/>
        <w:rPr>
          <w:rFonts w:ascii="Arial" w:eastAsia="Calibri" w:hAnsi="Arial" w:cs="Arial"/>
        </w:rPr>
      </w:pPr>
      <w:proofErr w:type="spellStart"/>
      <w:r w:rsidRPr="0009310C">
        <w:rPr>
          <w:rFonts w:ascii="Arial" w:eastAsia="Calibri" w:hAnsi="Arial" w:cs="Arial"/>
        </w:rPr>
        <w:t>Shakeer</w:t>
      </w:r>
      <w:proofErr w:type="spellEnd"/>
      <w:r w:rsidRPr="0009310C">
        <w:rPr>
          <w:rFonts w:ascii="Arial" w:eastAsia="Calibri" w:hAnsi="Arial" w:cs="Arial"/>
        </w:rPr>
        <w:t xml:space="preserve">, S., Lal, G. M., Varma, V. C., &amp; </w:t>
      </w:r>
      <w:proofErr w:type="spellStart"/>
      <w:r w:rsidRPr="0009310C">
        <w:rPr>
          <w:rFonts w:ascii="Arial" w:eastAsia="Calibri" w:hAnsi="Arial" w:cs="Arial"/>
        </w:rPr>
        <w:t>Saikumar</w:t>
      </w:r>
      <w:proofErr w:type="spellEnd"/>
      <w:r w:rsidRPr="0009310C">
        <w:rPr>
          <w:rFonts w:ascii="Arial" w:eastAsia="Calibri" w:hAnsi="Arial" w:cs="Arial"/>
        </w:rPr>
        <w:t xml:space="preserve">, S. (2022). Correlation and Path </w:t>
      </w:r>
      <w:proofErr w:type="spellStart"/>
      <w:r w:rsidRPr="0009310C">
        <w:rPr>
          <w:rFonts w:ascii="Arial" w:eastAsia="Calibri" w:hAnsi="Arial" w:cs="Arial"/>
        </w:rPr>
        <w:t>Coefficiant</w:t>
      </w:r>
      <w:proofErr w:type="spellEnd"/>
      <w:r w:rsidRPr="0009310C">
        <w:rPr>
          <w:rFonts w:ascii="Arial" w:eastAsia="Calibri" w:hAnsi="Arial" w:cs="Arial"/>
        </w:rPr>
        <w:t xml:space="preserve"> Analysis for Quantitative Traits in </w:t>
      </w:r>
      <w:proofErr w:type="spellStart"/>
      <w:r w:rsidRPr="0009310C">
        <w:rPr>
          <w:rFonts w:ascii="Arial" w:eastAsia="Calibri" w:hAnsi="Arial" w:cs="Arial"/>
        </w:rPr>
        <w:t>Greengram</w:t>
      </w:r>
      <w:proofErr w:type="spellEnd"/>
      <w:r w:rsidRPr="0009310C">
        <w:rPr>
          <w:rFonts w:ascii="Arial" w:eastAsia="Calibri" w:hAnsi="Arial" w:cs="Arial"/>
        </w:rPr>
        <w:t xml:space="preserve"> [Vigna radiata (L.) </w:t>
      </w:r>
      <w:proofErr w:type="spellStart"/>
      <w:r w:rsidRPr="0009310C">
        <w:rPr>
          <w:rFonts w:ascii="Arial" w:eastAsia="Calibri" w:hAnsi="Arial" w:cs="Arial"/>
        </w:rPr>
        <w:t>Wilczek</w:t>
      </w:r>
      <w:proofErr w:type="spellEnd"/>
      <w:r w:rsidRPr="0009310C">
        <w:rPr>
          <w:rFonts w:ascii="Arial" w:eastAsia="Calibri" w:hAnsi="Arial" w:cs="Arial"/>
        </w:rPr>
        <w:t xml:space="preserve">]. International Journal of Environment and Climate Change, 12(11), 3683-3692. </w:t>
      </w:r>
      <w:hyperlink r:id="rId29" w:history="1">
        <w:r w:rsidRPr="0009310C">
          <w:rPr>
            <w:rStyle w:val="Hyperlink"/>
            <w:rFonts w:ascii="Arial" w:eastAsia="Calibri" w:hAnsi="Arial" w:cs="Arial"/>
          </w:rPr>
          <w:t>https://doi.org/10.9734/ijecc/2022/v12i111418</w:t>
        </w:r>
      </w:hyperlink>
    </w:p>
    <w:p w14:paraId="5005C565" w14:textId="3D8560A4" w:rsidR="0009310C" w:rsidRPr="0009310C" w:rsidRDefault="0009310C" w:rsidP="0009310C">
      <w:pPr>
        <w:jc w:val="both"/>
        <w:rPr>
          <w:rFonts w:ascii="Arial" w:eastAsia="Calibri" w:hAnsi="Arial" w:cs="Arial"/>
        </w:rPr>
      </w:pPr>
      <w:r w:rsidRPr="0009310C">
        <w:rPr>
          <w:rFonts w:ascii="Arial" w:eastAsia="Calibri" w:hAnsi="Arial" w:cs="Arial"/>
        </w:rPr>
        <w:t xml:space="preserve">Shilpa, P., Sreelatha, U., </w:t>
      </w:r>
      <w:proofErr w:type="spellStart"/>
      <w:r w:rsidRPr="0009310C">
        <w:rPr>
          <w:rFonts w:ascii="Arial" w:eastAsia="Calibri" w:hAnsi="Arial" w:cs="Arial"/>
        </w:rPr>
        <w:t>Minimol</w:t>
      </w:r>
      <w:proofErr w:type="spellEnd"/>
      <w:r w:rsidRPr="0009310C">
        <w:rPr>
          <w:rFonts w:ascii="Arial" w:eastAsia="Calibri" w:hAnsi="Arial" w:cs="Arial"/>
        </w:rPr>
        <w:t xml:space="preserve">, J. S., Sankar, M., &amp; Suma, A. (2024). </w:t>
      </w:r>
      <w:proofErr w:type="spellStart"/>
      <w:r w:rsidRPr="0009310C">
        <w:rPr>
          <w:rFonts w:ascii="Arial" w:eastAsia="Calibri" w:hAnsi="Arial" w:cs="Arial"/>
        </w:rPr>
        <w:t>Utilisation</w:t>
      </w:r>
      <w:proofErr w:type="spellEnd"/>
      <w:r w:rsidRPr="0009310C">
        <w:rPr>
          <w:rFonts w:ascii="Arial" w:eastAsia="Calibri" w:hAnsi="Arial" w:cs="Arial"/>
        </w:rPr>
        <w:t xml:space="preserve"> of GMS lines for production of heterotic bacterial wilt resistant hybrids in </w:t>
      </w:r>
      <w:proofErr w:type="spellStart"/>
      <w:r w:rsidRPr="0009310C">
        <w:rPr>
          <w:rFonts w:ascii="Arial" w:eastAsia="Calibri" w:hAnsi="Arial" w:cs="Arial"/>
        </w:rPr>
        <w:t>Tagetes</w:t>
      </w:r>
      <w:proofErr w:type="spellEnd"/>
      <w:r w:rsidRPr="0009310C">
        <w:rPr>
          <w:rFonts w:ascii="Arial" w:eastAsia="Calibri" w:hAnsi="Arial" w:cs="Arial"/>
        </w:rPr>
        <w:t xml:space="preserve"> spp. Journal of Horticultural Sciences, 19(1). </w:t>
      </w:r>
      <w:hyperlink r:id="rId30" w:history="1">
        <w:r w:rsidRPr="0009310C">
          <w:rPr>
            <w:rStyle w:val="Hyperlink"/>
            <w:rFonts w:ascii="Arial" w:eastAsia="Calibri" w:hAnsi="Arial" w:cs="Arial"/>
          </w:rPr>
          <w:t>https://doi.org/10.24154/jhs.v19i1.2114</w:t>
        </w:r>
      </w:hyperlink>
    </w:p>
    <w:p w14:paraId="60F37C7B" w14:textId="4A40D157" w:rsidR="0009310C" w:rsidRPr="0009310C" w:rsidRDefault="0009310C" w:rsidP="0009310C">
      <w:pPr>
        <w:jc w:val="both"/>
        <w:rPr>
          <w:rFonts w:ascii="Arial" w:eastAsia="Calibri" w:hAnsi="Arial" w:cs="Arial"/>
        </w:rPr>
      </w:pPr>
      <w:r w:rsidRPr="0009310C">
        <w:rPr>
          <w:rFonts w:ascii="Arial" w:eastAsia="Calibri" w:hAnsi="Arial" w:cs="Arial"/>
        </w:rPr>
        <w:t>Sinha, S. K., Singh, R., Tiwari, J., &amp; Thakur, D. (2019). Utilization of principal component analysis in determining selection criteria and selection of superior and diverse inbred lines in maize (</w:t>
      </w:r>
      <w:proofErr w:type="spellStart"/>
      <w:r w:rsidRPr="0009310C">
        <w:rPr>
          <w:rFonts w:ascii="Arial" w:eastAsia="Calibri" w:hAnsi="Arial" w:cs="Arial"/>
        </w:rPr>
        <w:t>Zea</w:t>
      </w:r>
      <w:proofErr w:type="spellEnd"/>
      <w:r w:rsidRPr="0009310C">
        <w:rPr>
          <w:rFonts w:ascii="Arial" w:eastAsia="Calibri" w:hAnsi="Arial" w:cs="Arial"/>
        </w:rPr>
        <w:t xml:space="preserve"> mays L.). Journal of Pharmacognosy and Phytochemistry, 8(2S), 671-676. </w:t>
      </w:r>
      <w:hyperlink r:id="rId31" w:history="1">
        <w:r w:rsidRPr="0009310C">
          <w:rPr>
            <w:rStyle w:val="Hyperlink"/>
            <w:rFonts w:ascii="Arial" w:eastAsia="Calibri" w:hAnsi="Arial" w:cs="Arial"/>
          </w:rPr>
          <w:t>https://www.journalofpharmacognosyandphytochemistry.com/</w:t>
        </w:r>
      </w:hyperlink>
    </w:p>
    <w:p w14:paraId="4E09D327" w14:textId="6AF6B605" w:rsidR="0009310C" w:rsidRPr="0009310C" w:rsidRDefault="0009310C" w:rsidP="0009310C">
      <w:pPr>
        <w:jc w:val="both"/>
        <w:rPr>
          <w:rFonts w:ascii="Arial" w:eastAsia="Calibri" w:hAnsi="Arial" w:cs="Arial"/>
        </w:rPr>
      </w:pPr>
      <w:proofErr w:type="spellStart"/>
      <w:r w:rsidRPr="0009310C">
        <w:rPr>
          <w:rFonts w:ascii="Arial" w:eastAsia="Calibri" w:hAnsi="Arial" w:cs="Arial"/>
        </w:rPr>
        <w:t>Sivasankarreddy</w:t>
      </w:r>
      <w:proofErr w:type="spellEnd"/>
      <w:r w:rsidRPr="0009310C">
        <w:rPr>
          <w:rFonts w:ascii="Arial" w:eastAsia="Calibri" w:hAnsi="Arial" w:cs="Arial"/>
        </w:rPr>
        <w:t xml:space="preserve">, K., Joseph, J., &amp; </w:t>
      </w:r>
      <w:proofErr w:type="spellStart"/>
      <w:r w:rsidRPr="0009310C">
        <w:rPr>
          <w:rFonts w:ascii="Arial" w:eastAsia="Calibri" w:hAnsi="Arial" w:cs="Arial"/>
        </w:rPr>
        <w:t>Thirumalaisamy</w:t>
      </w:r>
      <w:proofErr w:type="spellEnd"/>
      <w:r w:rsidRPr="0009310C">
        <w:rPr>
          <w:rFonts w:ascii="Arial" w:eastAsia="Calibri" w:hAnsi="Arial" w:cs="Arial"/>
        </w:rPr>
        <w:t xml:space="preserve">, P.P. (2024). Organoleptic profiling for demand led breeding of eggplant (Solanum </w:t>
      </w:r>
      <w:proofErr w:type="spellStart"/>
      <w:r w:rsidRPr="0009310C">
        <w:rPr>
          <w:rFonts w:ascii="Arial" w:eastAsia="Calibri" w:hAnsi="Arial" w:cs="Arial"/>
        </w:rPr>
        <w:t>melongena</w:t>
      </w:r>
      <w:proofErr w:type="spellEnd"/>
      <w:r w:rsidRPr="0009310C">
        <w:rPr>
          <w:rFonts w:ascii="Arial" w:eastAsia="Calibri" w:hAnsi="Arial" w:cs="Arial"/>
        </w:rPr>
        <w:t xml:space="preserve"> L.) suitable for Kerala market. Electronic Journal of Plant Breeding, 15(3), 621-631. </w:t>
      </w:r>
      <w:hyperlink r:id="rId32" w:history="1">
        <w:r w:rsidRPr="0009310C">
          <w:rPr>
            <w:rStyle w:val="Hyperlink"/>
            <w:rFonts w:ascii="Arial" w:eastAsia="Calibri" w:hAnsi="Arial" w:cs="Arial"/>
          </w:rPr>
          <w:t>https://doi.org/10.37992/2024.1503.081</w:t>
        </w:r>
      </w:hyperlink>
    </w:p>
    <w:p w14:paraId="1CFD5249" w14:textId="60707BE5" w:rsidR="0009310C" w:rsidRPr="0009310C" w:rsidRDefault="0009310C" w:rsidP="0009310C">
      <w:pPr>
        <w:jc w:val="both"/>
        <w:rPr>
          <w:rFonts w:ascii="Arial" w:eastAsia="Calibri" w:hAnsi="Arial" w:cs="Arial"/>
        </w:rPr>
      </w:pPr>
      <w:r w:rsidRPr="0009310C">
        <w:rPr>
          <w:rFonts w:ascii="Arial" w:eastAsia="Calibri" w:hAnsi="Arial" w:cs="Arial"/>
        </w:rPr>
        <w:t xml:space="preserve">Suma, A., John, K. J., </w:t>
      </w:r>
      <w:proofErr w:type="spellStart"/>
      <w:r w:rsidRPr="0009310C">
        <w:rPr>
          <w:rFonts w:ascii="Arial" w:eastAsia="Calibri" w:hAnsi="Arial" w:cs="Arial"/>
        </w:rPr>
        <w:t>Latha</w:t>
      </w:r>
      <w:proofErr w:type="spellEnd"/>
      <w:r w:rsidRPr="0009310C">
        <w:rPr>
          <w:rFonts w:ascii="Arial" w:eastAsia="Calibri" w:hAnsi="Arial" w:cs="Arial"/>
        </w:rPr>
        <w:t xml:space="preserve">, M., </w:t>
      </w:r>
      <w:proofErr w:type="spellStart"/>
      <w:r w:rsidRPr="0009310C">
        <w:rPr>
          <w:rFonts w:ascii="Arial" w:eastAsia="Calibri" w:hAnsi="Arial" w:cs="Arial"/>
        </w:rPr>
        <w:t>Thirumalaisamy</w:t>
      </w:r>
      <w:proofErr w:type="spellEnd"/>
      <w:r w:rsidRPr="0009310C">
        <w:rPr>
          <w:rFonts w:ascii="Arial" w:eastAsia="Calibri" w:hAnsi="Arial" w:cs="Arial"/>
        </w:rPr>
        <w:t xml:space="preserve">, P. P., Venkatesan, K., </w:t>
      </w:r>
      <w:proofErr w:type="spellStart"/>
      <w:r w:rsidRPr="0009310C">
        <w:rPr>
          <w:rFonts w:ascii="Arial" w:eastAsia="Calibri" w:hAnsi="Arial" w:cs="Arial"/>
        </w:rPr>
        <w:t>Neeraja</w:t>
      </w:r>
      <w:proofErr w:type="spellEnd"/>
      <w:r w:rsidRPr="0009310C">
        <w:rPr>
          <w:rFonts w:ascii="Arial" w:eastAsia="Calibri" w:hAnsi="Arial" w:cs="Arial"/>
        </w:rPr>
        <w:t xml:space="preserve">, P., Gopinath, P. P., </w:t>
      </w:r>
      <w:proofErr w:type="spellStart"/>
      <w:r w:rsidRPr="0009310C">
        <w:rPr>
          <w:rFonts w:ascii="Arial" w:eastAsia="Calibri" w:hAnsi="Arial" w:cs="Arial"/>
        </w:rPr>
        <w:t>Gangopadhyay</w:t>
      </w:r>
      <w:proofErr w:type="spellEnd"/>
      <w:r w:rsidRPr="0009310C">
        <w:rPr>
          <w:rFonts w:ascii="Arial" w:eastAsia="Calibri" w:hAnsi="Arial" w:cs="Arial"/>
        </w:rPr>
        <w:t xml:space="preserve">, K. K., Pandey, C. D., Pandey, S., Singh, P. K., &amp; Singh, G. </w:t>
      </w:r>
      <w:r w:rsidRPr="0009310C">
        <w:rPr>
          <w:rFonts w:ascii="Arial" w:eastAsia="Calibri" w:hAnsi="Arial" w:cs="Arial"/>
        </w:rPr>
        <w:lastRenderedPageBreak/>
        <w:t xml:space="preserve">P. (2025). Exploring the genetic potential of cultivated genepool of okra from National </w:t>
      </w:r>
      <w:proofErr w:type="spellStart"/>
      <w:r w:rsidRPr="0009310C">
        <w:rPr>
          <w:rFonts w:ascii="Arial" w:eastAsia="Calibri" w:hAnsi="Arial" w:cs="Arial"/>
        </w:rPr>
        <w:t>Genebank</w:t>
      </w:r>
      <w:proofErr w:type="spellEnd"/>
      <w:r w:rsidRPr="0009310C">
        <w:rPr>
          <w:rFonts w:ascii="Arial" w:eastAsia="Calibri" w:hAnsi="Arial" w:cs="Arial"/>
        </w:rPr>
        <w:t xml:space="preserve">, India. Genetic Resources and Crop Evolution. </w:t>
      </w:r>
      <w:hyperlink r:id="rId33" w:history="1">
        <w:r w:rsidRPr="0009310C">
          <w:rPr>
            <w:rStyle w:val="Hyperlink"/>
            <w:rFonts w:ascii="Arial" w:eastAsia="Calibri" w:hAnsi="Arial" w:cs="Arial"/>
          </w:rPr>
          <w:t>https://doi.org/10.1007/s10722-025-02470-4</w:t>
        </w:r>
      </w:hyperlink>
    </w:p>
    <w:p w14:paraId="215C0049" w14:textId="32452345" w:rsidR="00441B6F" w:rsidRPr="00A95A99" w:rsidRDefault="0009310C" w:rsidP="00441B6F">
      <w:pPr>
        <w:pStyle w:val="Body"/>
        <w:spacing w:after="0"/>
        <w:jc w:val="left"/>
        <w:rPr>
          <w:rFonts w:ascii="Arial" w:hAnsi="Arial" w:cs="Arial"/>
        </w:rPr>
      </w:pPr>
      <w:proofErr w:type="spellStart"/>
      <w:r w:rsidRPr="00A95A99">
        <w:rPr>
          <w:rFonts w:ascii="Arial" w:eastAsia="Calibri" w:hAnsi="Arial" w:cs="Arial"/>
          <w:kern w:val="2"/>
          <w:lang w:val="en-IN"/>
        </w:rPr>
        <w:t>Wambi</w:t>
      </w:r>
      <w:proofErr w:type="spellEnd"/>
      <w:r w:rsidRPr="00A95A99">
        <w:rPr>
          <w:rFonts w:ascii="Arial" w:eastAsia="Calibri" w:hAnsi="Arial" w:cs="Arial"/>
          <w:kern w:val="2"/>
          <w:lang w:val="en-IN"/>
        </w:rPr>
        <w:t xml:space="preserve">, W., </w:t>
      </w:r>
      <w:proofErr w:type="spellStart"/>
      <w:r w:rsidRPr="00A95A99">
        <w:rPr>
          <w:rFonts w:ascii="Arial" w:eastAsia="Calibri" w:hAnsi="Arial" w:cs="Arial"/>
          <w:kern w:val="2"/>
          <w:lang w:val="en-IN"/>
        </w:rPr>
        <w:t>Makumbi</w:t>
      </w:r>
      <w:proofErr w:type="spellEnd"/>
      <w:r w:rsidRPr="00A95A99">
        <w:rPr>
          <w:rFonts w:ascii="Arial" w:eastAsia="Calibri" w:hAnsi="Arial" w:cs="Arial"/>
          <w:kern w:val="2"/>
          <w:lang w:val="en-IN"/>
        </w:rPr>
        <w:t xml:space="preserve">, D., </w:t>
      </w:r>
      <w:proofErr w:type="spellStart"/>
      <w:r w:rsidRPr="00A95A99">
        <w:rPr>
          <w:rFonts w:ascii="Arial" w:eastAsia="Calibri" w:hAnsi="Arial" w:cs="Arial"/>
          <w:kern w:val="2"/>
          <w:lang w:val="en-IN"/>
        </w:rPr>
        <w:t>Asea</w:t>
      </w:r>
      <w:proofErr w:type="spellEnd"/>
      <w:r w:rsidRPr="00A95A99">
        <w:rPr>
          <w:rFonts w:ascii="Arial" w:eastAsia="Calibri" w:hAnsi="Arial" w:cs="Arial"/>
          <w:kern w:val="2"/>
          <w:lang w:val="en-IN"/>
        </w:rPr>
        <w:t xml:space="preserve">, G., </w:t>
      </w:r>
      <w:proofErr w:type="spellStart"/>
      <w:r w:rsidRPr="00A95A99">
        <w:rPr>
          <w:rFonts w:ascii="Arial" w:eastAsia="Calibri" w:hAnsi="Arial" w:cs="Arial"/>
          <w:kern w:val="2"/>
          <w:lang w:val="en-IN"/>
        </w:rPr>
        <w:t>Zeleke</w:t>
      </w:r>
      <w:proofErr w:type="spellEnd"/>
      <w:r w:rsidRPr="00A95A99">
        <w:rPr>
          <w:rFonts w:ascii="Arial" w:eastAsia="Calibri" w:hAnsi="Arial" w:cs="Arial"/>
          <w:kern w:val="2"/>
          <w:lang w:val="en-IN"/>
        </w:rPr>
        <w:t xml:space="preserve">, H., Bruce, A. Y., </w:t>
      </w:r>
      <w:proofErr w:type="spellStart"/>
      <w:r w:rsidRPr="00A95A99">
        <w:rPr>
          <w:rFonts w:ascii="Arial" w:eastAsia="Calibri" w:hAnsi="Arial" w:cs="Arial"/>
          <w:kern w:val="2"/>
          <w:lang w:val="en-IN"/>
        </w:rPr>
        <w:t>Wakgari</w:t>
      </w:r>
      <w:proofErr w:type="spellEnd"/>
      <w:r w:rsidRPr="00A95A99">
        <w:rPr>
          <w:rFonts w:ascii="Arial" w:eastAsia="Calibri" w:hAnsi="Arial" w:cs="Arial"/>
          <w:kern w:val="2"/>
          <w:lang w:val="en-IN"/>
        </w:rPr>
        <w:t xml:space="preserve">, M., </w:t>
      </w:r>
      <w:proofErr w:type="spellStart"/>
      <w:r w:rsidRPr="00A95A99">
        <w:rPr>
          <w:rFonts w:ascii="Arial" w:eastAsia="Calibri" w:hAnsi="Arial" w:cs="Arial"/>
          <w:kern w:val="2"/>
          <w:lang w:val="en-IN"/>
        </w:rPr>
        <w:t>Kwemoi</w:t>
      </w:r>
      <w:proofErr w:type="spellEnd"/>
      <w:r w:rsidRPr="00A95A99">
        <w:rPr>
          <w:rFonts w:ascii="Arial" w:eastAsia="Calibri" w:hAnsi="Arial" w:cs="Arial"/>
          <w:kern w:val="2"/>
          <w:lang w:val="en-IN"/>
        </w:rPr>
        <w:t>, D. B., &amp; Prasanna, B. M. (2025). Use of multi-trait principal component selection index to identify fall armyworm (</w:t>
      </w:r>
      <w:proofErr w:type="spellStart"/>
      <w:r w:rsidRPr="00A95A99">
        <w:rPr>
          <w:rFonts w:ascii="Arial" w:eastAsia="Calibri" w:hAnsi="Arial" w:cs="Arial"/>
          <w:kern w:val="2"/>
          <w:lang w:val="en-IN"/>
        </w:rPr>
        <w:t>Spodoptera</w:t>
      </w:r>
      <w:proofErr w:type="spellEnd"/>
      <w:r w:rsidRPr="00A95A99">
        <w:rPr>
          <w:rFonts w:ascii="Arial" w:eastAsia="Calibri" w:hAnsi="Arial" w:cs="Arial"/>
          <w:kern w:val="2"/>
          <w:lang w:val="en-IN"/>
        </w:rPr>
        <w:t xml:space="preserve"> </w:t>
      </w:r>
      <w:proofErr w:type="spellStart"/>
      <w:r w:rsidRPr="00A95A99">
        <w:rPr>
          <w:rFonts w:ascii="Arial" w:eastAsia="Calibri" w:hAnsi="Arial" w:cs="Arial"/>
          <w:kern w:val="2"/>
          <w:lang w:val="en-IN"/>
        </w:rPr>
        <w:t>frugiperda</w:t>
      </w:r>
      <w:proofErr w:type="spellEnd"/>
      <w:r w:rsidRPr="00A95A99">
        <w:rPr>
          <w:rFonts w:ascii="Arial" w:eastAsia="Calibri" w:hAnsi="Arial" w:cs="Arial"/>
          <w:kern w:val="2"/>
          <w:lang w:val="en-IN"/>
        </w:rPr>
        <w:t xml:space="preserve">) resistant maize genotypes. Frontiers in Plant Science, 16, 1544010. </w:t>
      </w:r>
      <w:hyperlink r:id="rId34" w:history="1">
        <w:r w:rsidRPr="00A95A99">
          <w:rPr>
            <w:rStyle w:val="Hyperlink"/>
            <w:rFonts w:ascii="Arial" w:eastAsia="Calibri" w:hAnsi="Arial" w:cs="Arial"/>
            <w:kern w:val="2"/>
            <w:lang w:val="en-IN"/>
          </w:rPr>
          <w:t>https://doi.org/10.3389/fpls.2025.1544010</w:t>
        </w:r>
      </w:hyperlink>
      <w:r w:rsidRPr="00A95A99">
        <w:rPr>
          <w:rFonts w:ascii="Arial" w:eastAsia="Calibri" w:hAnsi="Arial" w:cs="Arial"/>
          <w:kern w:val="2"/>
          <w:lang w:val="en-IN"/>
        </w:rPr>
        <w:tab/>
      </w:r>
    </w:p>
    <w:p w14:paraId="63D62F50" w14:textId="77777777" w:rsidR="00B008B9" w:rsidRDefault="00B008B9" w:rsidP="00441B6F">
      <w:pPr>
        <w:pStyle w:val="Body"/>
        <w:spacing w:after="0"/>
        <w:jc w:val="left"/>
        <w:rPr>
          <w:rFonts w:ascii="Arial" w:hAnsi="Arial" w:cs="Arial"/>
        </w:rPr>
      </w:pPr>
    </w:p>
    <w:p w14:paraId="7E6CAB1B" w14:textId="77777777" w:rsidR="00877C7F" w:rsidRPr="00F036BC" w:rsidRDefault="00877C7F" w:rsidP="00441B6F">
      <w:pPr>
        <w:pStyle w:val="Body"/>
        <w:spacing w:after="0"/>
        <w:jc w:val="left"/>
        <w:rPr>
          <w:rFonts w:ascii="Arial" w:hAnsi="Arial" w:cs="Arial"/>
        </w:rPr>
      </w:pPr>
      <w:bookmarkStart w:id="14" w:name="_GoBack"/>
      <w:bookmarkEnd w:id="14"/>
    </w:p>
    <w:sectPr w:rsidR="00877C7F" w:rsidRPr="00F036BC" w:rsidSect="00ED64E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2E66B" w14:textId="77777777" w:rsidR="0047507B" w:rsidRDefault="0047507B" w:rsidP="00C37E61">
      <w:r>
        <w:separator/>
      </w:r>
    </w:p>
  </w:endnote>
  <w:endnote w:type="continuationSeparator" w:id="0">
    <w:p w14:paraId="4D01AFF0" w14:textId="77777777" w:rsidR="0047507B" w:rsidRDefault="004750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1898" w14:textId="77777777" w:rsidR="009E048A" w:rsidRDefault="009E048A">
    <w:pPr>
      <w:pStyle w:val="Footer"/>
      <w:rPr>
        <w:rFonts w:ascii="Arial" w:hAnsi="Arial" w:cs="Arial"/>
        <w:sz w:val="16"/>
      </w:rPr>
    </w:pPr>
  </w:p>
  <w:p w14:paraId="633F52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45B1C4" w14:textId="77777777" w:rsidR="009E048A" w:rsidRDefault="009E048A">
    <w:pPr>
      <w:pStyle w:val="Footer"/>
      <w:rPr>
        <w:rFonts w:ascii="Arial" w:hAnsi="Arial" w:cs="Arial"/>
        <w:sz w:val="16"/>
      </w:rPr>
    </w:pPr>
  </w:p>
  <w:p w14:paraId="7FC1527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20C91" w14:textId="77777777" w:rsidR="0047507B" w:rsidRDefault="0047507B" w:rsidP="00C37E61">
      <w:r>
        <w:separator/>
      </w:r>
    </w:p>
  </w:footnote>
  <w:footnote w:type="continuationSeparator" w:id="0">
    <w:p w14:paraId="37C94D31" w14:textId="77777777" w:rsidR="0047507B" w:rsidRDefault="004750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E3B6" w14:textId="52BB9AE4" w:rsidR="00ED64E7" w:rsidRDefault="0047507B">
    <w:pPr>
      <w:pStyle w:val="Header"/>
    </w:pPr>
    <w:r>
      <w:rPr>
        <w:noProof/>
      </w:rPr>
      <w:pict w14:anchorId="4AC71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7476" w14:textId="575E9983" w:rsidR="00ED64E7" w:rsidRDefault="0047507B">
    <w:pPr>
      <w:pStyle w:val="Header"/>
    </w:pPr>
    <w:r>
      <w:rPr>
        <w:noProof/>
      </w:rPr>
      <w:pict w14:anchorId="16265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1E66" w14:textId="08001503" w:rsidR="00296529" w:rsidRPr="00296529" w:rsidRDefault="0047507B" w:rsidP="00296529">
    <w:pPr>
      <w:ind w:left="2160"/>
      <w:jc w:val="center"/>
      <w:rPr>
        <w:rFonts w:ascii="Times New Roman" w:eastAsia="Calibri" w:hAnsi="Times New Roman"/>
        <w:i/>
        <w:sz w:val="18"/>
        <w:szCs w:val="22"/>
      </w:rPr>
    </w:pPr>
    <w:r>
      <w:rPr>
        <w:noProof/>
      </w:rPr>
      <w:pict w14:anchorId="673F7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EDF4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D88D6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B528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EDA9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9D15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094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0500F5"/>
    <w:multiLevelType w:val="hybridMultilevel"/>
    <w:tmpl w:val="E09A2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60F14"/>
    <w:multiLevelType w:val="hybridMultilevel"/>
    <w:tmpl w:val="56265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1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6A56"/>
    <w:rsid w:val="00073225"/>
    <w:rsid w:val="0008284C"/>
    <w:rsid w:val="0008606F"/>
    <w:rsid w:val="0009310C"/>
    <w:rsid w:val="0009563E"/>
    <w:rsid w:val="000A47FA"/>
    <w:rsid w:val="000A65D3"/>
    <w:rsid w:val="000B1E33"/>
    <w:rsid w:val="000B6E6F"/>
    <w:rsid w:val="000C6252"/>
    <w:rsid w:val="000C73E8"/>
    <w:rsid w:val="000D689F"/>
    <w:rsid w:val="000E7B7B"/>
    <w:rsid w:val="000E7D62"/>
    <w:rsid w:val="000F2232"/>
    <w:rsid w:val="00103357"/>
    <w:rsid w:val="00105DB2"/>
    <w:rsid w:val="00123C9F"/>
    <w:rsid w:val="00126190"/>
    <w:rsid w:val="00130F17"/>
    <w:rsid w:val="001320BF"/>
    <w:rsid w:val="001420BE"/>
    <w:rsid w:val="00150495"/>
    <w:rsid w:val="00163BC4"/>
    <w:rsid w:val="00172C87"/>
    <w:rsid w:val="00190AF0"/>
    <w:rsid w:val="00191062"/>
    <w:rsid w:val="00192B72"/>
    <w:rsid w:val="001A29D8"/>
    <w:rsid w:val="001A5CAA"/>
    <w:rsid w:val="001B0427"/>
    <w:rsid w:val="001D0F66"/>
    <w:rsid w:val="001D30F7"/>
    <w:rsid w:val="001D32F6"/>
    <w:rsid w:val="001D3A51"/>
    <w:rsid w:val="001E10D2"/>
    <w:rsid w:val="001E25B4"/>
    <w:rsid w:val="001E44FE"/>
    <w:rsid w:val="001E4EAD"/>
    <w:rsid w:val="001E5F06"/>
    <w:rsid w:val="00200595"/>
    <w:rsid w:val="00204835"/>
    <w:rsid w:val="00231920"/>
    <w:rsid w:val="0023195C"/>
    <w:rsid w:val="002345EE"/>
    <w:rsid w:val="0024282C"/>
    <w:rsid w:val="00245B43"/>
    <w:rsid w:val="002460DC"/>
    <w:rsid w:val="00250985"/>
    <w:rsid w:val="002556F6"/>
    <w:rsid w:val="00263F19"/>
    <w:rsid w:val="00283105"/>
    <w:rsid w:val="00284C4C"/>
    <w:rsid w:val="00287E68"/>
    <w:rsid w:val="00293327"/>
    <w:rsid w:val="00295CB3"/>
    <w:rsid w:val="00296529"/>
    <w:rsid w:val="002B27FB"/>
    <w:rsid w:val="002B685A"/>
    <w:rsid w:val="002C2BFB"/>
    <w:rsid w:val="002C57D2"/>
    <w:rsid w:val="002E0D56"/>
    <w:rsid w:val="00315186"/>
    <w:rsid w:val="0032387A"/>
    <w:rsid w:val="0033343E"/>
    <w:rsid w:val="003512C2"/>
    <w:rsid w:val="00370311"/>
    <w:rsid w:val="00371FB6"/>
    <w:rsid w:val="003763C1"/>
    <w:rsid w:val="00376BBE"/>
    <w:rsid w:val="0039148B"/>
    <w:rsid w:val="0039224F"/>
    <w:rsid w:val="003A43A4"/>
    <w:rsid w:val="003A5B3F"/>
    <w:rsid w:val="003A7E18"/>
    <w:rsid w:val="003B356D"/>
    <w:rsid w:val="003C4C86"/>
    <w:rsid w:val="003C6258"/>
    <w:rsid w:val="003C7C7D"/>
    <w:rsid w:val="003E2904"/>
    <w:rsid w:val="003F6D34"/>
    <w:rsid w:val="00401927"/>
    <w:rsid w:val="00410127"/>
    <w:rsid w:val="0041027F"/>
    <w:rsid w:val="00412475"/>
    <w:rsid w:val="0041385A"/>
    <w:rsid w:val="00423789"/>
    <w:rsid w:val="00427790"/>
    <w:rsid w:val="00440F43"/>
    <w:rsid w:val="00441B6F"/>
    <w:rsid w:val="00443E63"/>
    <w:rsid w:val="00446221"/>
    <w:rsid w:val="00450E62"/>
    <w:rsid w:val="004539DB"/>
    <w:rsid w:val="00470897"/>
    <w:rsid w:val="00471A80"/>
    <w:rsid w:val="0047507B"/>
    <w:rsid w:val="00480ADF"/>
    <w:rsid w:val="004A2737"/>
    <w:rsid w:val="004B7935"/>
    <w:rsid w:val="004D25D6"/>
    <w:rsid w:val="004D305E"/>
    <w:rsid w:val="004D4277"/>
    <w:rsid w:val="004D7CC9"/>
    <w:rsid w:val="00502516"/>
    <w:rsid w:val="00505F06"/>
    <w:rsid w:val="00506828"/>
    <w:rsid w:val="0053056E"/>
    <w:rsid w:val="0054130C"/>
    <w:rsid w:val="005479BF"/>
    <w:rsid w:val="00554FDA"/>
    <w:rsid w:val="00590873"/>
    <w:rsid w:val="005A0313"/>
    <w:rsid w:val="005A6059"/>
    <w:rsid w:val="005C784C"/>
    <w:rsid w:val="005D17F6"/>
    <w:rsid w:val="005E5539"/>
    <w:rsid w:val="005F3C1E"/>
    <w:rsid w:val="00602BF5"/>
    <w:rsid w:val="00614C9B"/>
    <w:rsid w:val="006161D2"/>
    <w:rsid w:val="00617FDD"/>
    <w:rsid w:val="00623A7A"/>
    <w:rsid w:val="00633614"/>
    <w:rsid w:val="00633F68"/>
    <w:rsid w:val="00636EB2"/>
    <w:rsid w:val="006375B8"/>
    <w:rsid w:val="00653C57"/>
    <w:rsid w:val="0066510A"/>
    <w:rsid w:val="00665EB4"/>
    <w:rsid w:val="00673F9F"/>
    <w:rsid w:val="006838AA"/>
    <w:rsid w:val="00686953"/>
    <w:rsid w:val="00687A4B"/>
    <w:rsid w:val="00687DEA"/>
    <w:rsid w:val="00687E67"/>
    <w:rsid w:val="00692246"/>
    <w:rsid w:val="006928BB"/>
    <w:rsid w:val="006967F7"/>
    <w:rsid w:val="006A2272"/>
    <w:rsid w:val="006A250C"/>
    <w:rsid w:val="006A5179"/>
    <w:rsid w:val="006A7195"/>
    <w:rsid w:val="006B21D3"/>
    <w:rsid w:val="006B57D0"/>
    <w:rsid w:val="006C50DD"/>
    <w:rsid w:val="006D30FF"/>
    <w:rsid w:val="006D6940"/>
    <w:rsid w:val="006F11EC"/>
    <w:rsid w:val="0070082C"/>
    <w:rsid w:val="00702C88"/>
    <w:rsid w:val="00706A16"/>
    <w:rsid w:val="00717108"/>
    <w:rsid w:val="00720E20"/>
    <w:rsid w:val="00727995"/>
    <w:rsid w:val="007369E6"/>
    <w:rsid w:val="00746E59"/>
    <w:rsid w:val="00754C9A"/>
    <w:rsid w:val="0075599A"/>
    <w:rsid w:val="00760276"/>
    <w:rsid w:val="00761D52"/>
    <w:rsid w:val="00775ABE"/>
    <w:rsid w:val="0077749E"/>
    <w:rsid w:val="00790ADA"/>
    <w:rsid w:val="007917FD"/>
    <w:rsid w:val="007923AB"/>
    <w:rsid w:val="0079580F"/>
    <w:rsid w:val="007D2288"/>
    <w:rsid w:val="007E088F"/>
    <w:rsid w:val="007E23BF"/>
    <w:rsid w:val="007F3ED8"/>
    <w:rsid w:val="007F7B32"/>
    <w:rsid w:val="00804BC2"/>
    <w:rsid w:val="0081431A"/>
    <w:rsid w:val="00820183"/>
    <w:rsid w:val="00830F14"/>
    <w:rsid w:val="0083216F"/>
    <w:rsid w:val="00836384"/>
    <w:rsid w:val="00857906"/>
    <w:rsid w:val="00857A53"/>
    <w:rsid w:val="00860000"/>
    <w:rsid w:val="00863BD3"/>
    <w:rsid w:val="008641ED"/>
    <w:rsid w:val="008647CD"/>
    <w:rsid w:val="00866D66"/>
    <w:rsid w:val="008671C6"/>
    <w:rsid w:val="00875803"/>
    <w:rsid w:val="0087661F"/>
    <w:rsid w:val="00877C7F"/>
    <w:rsid w:val="008930B0"/>
    <w:rsid w:val="00894A67"/>
    <w:rsid w:val="008B459E"/>
    <w:rsid w:val="008E13AE"/>
    <w:rsid w:val="008E1506"/>
    <w:rsid w:val="008E710C"/>
    <w:rsid w:val="008F69D6"/>
    <w:rsid w:val="00902823"/>
    <w:rsid w:val="00904F55"/>
    <w:rsid w:val="00915CA6"/>
    <w:rsid w:val="009162E1"/>
    <w:rsid w:val="00927834"/>
    <w:rsid w:val="009500A6"/>
    <w:rsid w:val="00954CA7"/>
    <w:rsid w:val="00957C18"/>
    <w:rsid w:val="009659BA"/>
    <w:rsid w:val="009749A4"/>
    <w:rsid w:val="009758BC"/>
    <w:rsid w:val="00983040"/>
    <w:rsid w:val="009A0BF7"/>
    <w:rsid w:val="009B3FB9"/>
    <w:rsid w:val="009B4602"/>
    <w:rsid w:val="009B7205"/>
    <w:rsid w:val="009B7A3C"/>
    <w:rsid w:val="009C2465"/>
    <w:rsid w:val="009D35A0"/>
    <w:rsid w:val="009D60CC"/>
    <w:rsid w:val="009D7EB7"/>
    <w:rsid w:val="009E048A"/>
    <w:rsid w:val="009E08E9"/>
    <w:rsid w:val="009E3DB9"/>
    <w:rsid w:val="009E5101"/>
    <w:rsid w:val="009E6E35"/>
    <w:rsid w:val="009F0EDA"/>
    <w:rsid w:val="00A03B96"/>
    <w:rsid w:val="00A05B19"/>
    <w:rsid w:val="00A1134E"/>
    <w:rsid w:val="00A24E7E"/>
    <w:rsid w:val="00A258C3"/>
    <w:rsid w:val="00A26619"/>
    <w:rsid w:val="00A27BED"/>
    <w:rsid w:val="00A347C0"/>
    <w:rsid w:val="00A43BBD"/>
    <w:rsid w:val="00A51431"/>
    <w:rsid w:val="00A539AD"/>
    <w:rsid w:val="00A53F98"/>
    <w:rsid w:val="00A5794D"/>
    <w:rsid w:val="00A76D55"/>
    <w:rsid w:val="00A86092"/>
    <w:rsid w:val="00A94063"/>
    <w:rsid w:val="00A95A99"/>
    <w:rsid w:val="00AA6219"/>
    <w:rsid w:val="00AA74E0"/>
    <w:rsid w:val="00AB703F"/>
    <w:rsid w:val="00AC6BB8"/>
    <w:rsid w:val="00AE008F"/>
    <w:rsid w:val="00B008B9"/>
    <w:rsid w:val="00B01FCD"/>
    <w:rsid w:val="00B15FE7"/>
    <w:rsid w:val="00B1776C"/>
    <w:rsid w:val="00B26D15"/>
    <w:rsid w:val="00B443B5"/>
    <w:rsid w:val="00B52583"/>
    <w:rsid w:val="00B52896"/>
    <w:rsid w:val="00B63ED1"/>
    <w:rsid w:val="00B71A99"/>
    <w:rsid w:val="00B72048"/>
    <w:rsid w:val="00B77D2D"/>
    <w:rsid w:val="00B95236"/>
    <w:rsid w:val="00B96BD9"/>
    <w:rsid w:val="00BA1B01"/>
    <w:rsid w:val="00BA2641"/>
    <w:rsid w:val="00BA2EA2"/>
    <w:rsid w:val="00BB37AA"/>
    <w:rsid w:val="00BC3A6F"/>
    <w:rsid w:val="00BC53A0"/>
    <w:rsid w:val="00BC553F"/>
    <w:rsid w:val="00BD60C0"/>
    <w:rsid w:val="00BE23A5"/>
    <w:rsid w:val="00BE4D6A"/>
    <w:rsid w:val="00BE62AD"/>
    <w:rsid w:val="00BF121F"/>
    <w:rsid w:val="00BF156A"/>
    <w:rsid w:val="00BF1F80"/>
    <w:rsid w:val="00C166EF"/>
    <w:rsid w:val="00C17EB0"/>
    <w:rsid w:val="00C20358"/>
    <w:rsid w:val="00C27F5F"/>
    <w:rsid w:val="00C30A0F"/>
    <w:rsid w:val="00C37E61"/>
    <w:rsid w:val="00C429E2"/>
    <w:rsid w:val="00C53728"/>
    <w:rsid w:val="00C65B88"/>
    <w:rsid w:val="00C70F1B"/>
    <w:rsid w:val="00C71A47"/>
    <w:rsid w:val="00C7464C"/>
    <w:rsid w:val="00C802D5"/>
    <w:rsid w:val="00C807E0"/>
    <w:rsid w:val="00C85588"/>
    <w:rsid w:val="00CA53A3"/>
    <w:rsid w:val="00CA5650"/>
    <w:rsid w:val="00CA575F"/>
    <w:rsid w:val="00CB2D60"/>
    <w:rsid w:val="00CB42CC"/>
    <w:rsid w:val="00CC1BBB"/>
    <w:rsid w:val="00CC72A5"/>
    <w:rsid w:val="00CD6755"/>
    <w:rsid w:val="00CD6856"/>
    <w:rsid w:val="00CE0089"/>
    <w:rsid w:val="00CE793C"/>
    <w:rsid w:val="00CF193C"/>
    <w:rsid w:val="00CF7A38"/>
    <w:rsid w:val="00D173F1"/>
    <w:rsid w:val="00D27D7B"/>
    <w:rsid w:val="00D44ECA"/>
    <w:rsid w:val="00D617C9"/>
    <w:rsid w:val="00D74CB0"/>
    <w:rsid w:val="00D76D71"/>
    <w:rsid w:val="00D8295D"/>
    <w:rsid w:val="00D90DF8"/>
    <w:rsid w:val="00DA33D7"/>
    <w:rsid w:val="00DC2A65"/>
    <w:rsid w:val="00DD627F"/>
    <w:rsid w:val="00DE15F0"/>
    <w:rsid w:val="00DE3142"/>
    <w:rsid w:val="00DE5663"/>
    <w:rsid w:val="00DE6DC2"/>
    <w:rsid w:val="00DE728C"/>
    <w:rsid w:val="00DE78AA"/>
    <w:rsid w:val="00E053D0"/>
    <w:rsid w:val="00E1120A"/>
    <w:rsid w:val="00E15994"/>
    <w:rsid w:val="00E23947"/>
    <w:rsid w:val="00E251DD"/>
    <w:rsid w:val="00E3114E"/>
    <w:rsid w:val="00E31A70"/>
    <w:rsid w:val="00E35B02"/>
    <w:rsid w:val="00E61C1C"/>
    <w:rsid w:val="00E62725"/>
    <w:rsid w:val="00E66496"/>
    <w:rsid w:val="00E66B35"/>
    <w:rsid w:val="00E66E10"/>
    <w:rsid w:val="00E67F6B"/>
    <w:rsid w:val="00E71BF2"/>
    <w:rsid w:val="00E769F6"/>
    <w:rsid w:val="00E8407C"/>
    <w:rsid w:val="00E84F3C"/>
    <w:rsid w:val="00EA012C"/>
    <w:rsid w:val="00EA74F2"/>
    <w:rsid w:val="00EB7C97"/>
    <w:rsid w:val="00EC6A55"/>
    <w:rsid w:val="00ED0288"/>
    <w:rsid w:val="00ED64E7"/>
    <w:rsid w:val="00EE52CB"/>
    <w:rsid w:val="00EE61DB"/>
    <w:rsid w:val="00EF3294"/>
    <w:rsid w:val="00EF581D"/>
    <w:rsid w:val="00EF7FD8"/>
    <w:rsid w:val="00F036BC"/>
    <w:rsid w:val="00F06F59"/>
    <w:rsid w:val="00F16DDC"/>
    <w:rsid w:val="00F17988"/>
    <w:rsid w:val="00F23BC2"/>
    <w:rsid w:val="00F37B3D"/>
    <w:rsid w:val="00F43375"/>
    <w:rsid w:val="00F469F0"/>
    <w:rsid w:val="00F53273"/>
    <w:rsid w:val="00F56960"/>
    <w:rsid w:val="00F66027"/>
    <w:rsid w:val="00F70493"/>
    <w:rsid w:val="00F755E4"/>
    <w:rsid w:val="00F77D02"/>
    <w:rsid w:val="00F8661D"/>
    <w:rsid w:val="00FA53CE"/>
    <w:rsid w:val="00FB0F1B"/>
    <w:rsid w:val="00FB16D8"/>
    <w:rsid w:val="00FB2FCD"/>
    <w:rsid w:val="00FB3A86"/>
    <w:rsid w:val="00FC2940"/>
    <w:rsid w:val="00FC647E"/>
    <w:rsid w:val="00FD364A"/>
    <w:rsid w:val="00FD36C8"/>
    <w:rsid w:val="00FE6973"/>
    <w:rsid w:val="00FF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D653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A517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Revision">
    <w:name w:val="Revision"/>
    <w:hidden/>
    <w:uiPriority w:val="99"/>
    <w:semiHidden/>
    <w:rsid w:val="00FC647E"/>
    <w:rPr>
      <w:rFonts w:ascii="Helvetica" w:hAnsi="Helvetica"/>
    </w:rPr>
  </w:style>
  <w:style w:type="character" w:styleId="UnresolvedMention">
    <w:name w:val="Unresolved Mention"/>
    <w:basedOn w:val="DefaultParagraphFont"/>
    <w:uiPriority w:val="99"/>
    <w:semiHidden/>
    <w:unhideWhenUsed/>
    <w:rsid w:val="00FD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9734/cjast/2019/v38i630460" TargetMode="External"/><Relationship Id="rId26" Type="http://schemas.openxmlformats.org/officeDocument/2006/relationships/hyperlink" Target="https://doi.org/10.1007/BF00223740" TargetMode="External"/><Relationship Id="rId3" Type="http://schemas.openxmlformats.org/officeDocument/2006/relationships/styles" Target="styles.xml"/><Relationship Id="rId21" Type="http://schemas.openxmlformats.org/officeDocument/2006/relationships/hyperlink" Target="https://doi.org/10.32205/ijerd.11.2_86" TargetMode="External"/><Relationship Id="rId34" Type="http://schemas.openxmlformats.org/officeDocument/2006/relationships/hyperlink" Target="https://doi.org/10.3389/fpls.2025.1544010"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chemijournal.com/archives/2019/vol7issue4/PartF/7-4-10-700.pdf" TargetMode="External"/><Relationship Id="rId25" Type="http://schemas.openxmlformats.org/officeDocument/2006/relationships/hyperlink" Target="https://doi.org/10.23910/1.2023.3354" TargetMode="External"/><Relationship Id="rId33" Type="http://schemas.openxmlformats.org/officeDocument/2006/relationships/hyperlink" Target="https://doi.org/10.1007/s10722-025-02470-4" TargetMode="External"/><Relationship Id="rId2" Type="http://schemas.openxmlformats.org/officeDocument/2006/relationships/numbering" Target="numbering.xml"/><Relationship Id="rId16" Type="http://schemas.openxmlformats.org/officeDocument/2006/relationships/hyperlink" Target="https://repository.ias.ac.in/89378/1/54p.pdf" TargetMode="External"/><Relationship Id="rId20" Type="http://schemas.openxmlformats.org/officeDocument/2006/relationships/hyperlink" Target="https://pjtsau.edu.in/agri-marketing-intelligence.html" TargetMode="External"/><Relationship Id="rId29" Type="http://schemas.openxmlformats.org/officeDocument/2006/relationships/hyperlink" Target="https://doi.org/10.9734/ijecc/2022/v12i1114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nvirobiotechjournals.com/journal_details.php?jid=3" TargetMode="External"/><Relationship Id="rId32" Type="http://schemas.openxmlformats.org/officeDocument/2006/relationships/hyperlink" Target="https://doi.org/10.37992/2024.1503.081"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thepharmajournal.com/archives/2023/vol12issue12/PartL/12-12-10-999.pdf" TargetMode="External"/><Relationship Id="rId28" Type="http://schemas.openxmlformats.org/officeDocument/2006/relationships/hyperlink" Target="https://doi.org/10.5958/0975-928X.2018.00136.9"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21105/joss.03437" TargetMode="External"/><Relationship Id="rId31" Type="http://schemas.openxmlformats.org/officeDocument/2006/relationships/hyperlink" Target="https://www.journalofpharmacognosyandphytochemistry.com/"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1.wdp"/><Relationship Id="rId22" Type="http://schemas.openxmlformats.org/officeDocument/2006/relationships/hyperlink" Target="https://doi.org/10.47815/apsr.2024.10426" TargetMode="External"/><Relationship Id="rId27" Type="http://schemas.openxmlformats.org/officeDocument/2006/relationships/hyperlink" Target="https://doi.org/10.20546/ijcmas.2019.804.088" TargetMode="External"/><Relationship Id="rId30" Type="http://schemas.openxmlformats.org/officeDocument/2006/relationships/hyperlink" Target="https://doi.org/10.24154/jhs.v19i1.2114"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8FE8-5C8A-4C3F-A933-DB01D152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1016</TotalTime>
  <Pages>10</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Mekha Soman</dc:creator>
  <cp:lastModifiedBy>SDI 1186</cp:lastModifiedBy>
  <cp:revision>63</cp:revision>
  <cp:lastPrinted>1999-07-06T11:00:00Z</cp:lastPrinted>
  <dcterms:created xsi:type="dcterms:W3CDTF">2025-12-02T15:40:00Z</dcterms:created>
  <dcterms:modified xsi:type="dcterms:W3CDTF">2025-12-08T05:56:00Z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ies>
</file>