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CBD02" w14:textId="25CF750B" w:rsidR="00EF28EB" w:rsidRPr="007C302E" w:rsidRDefault="007C302E" w:rsidP="00BE01BF">
      <w:pPr>
        <w:spacing w:line="276" w:lineRule="auto"/>
        <w:jc w:val="both"/>
        <w:rPr>
          <w:rFonts w:ascii="Arial" w:hAnsi="Arial" w:cs="Arial"/>
          <w:b/>
          <w:bCs/>
          <w:sz w:val="32"/>
        </w:rPr>
      </w:pPr>
      <w:bookmarkStart w:id="0" w:name="_GoBack"/>
      <w:bookmarkEnd w:id="0"/>
      <w:r w:rsidRPr="007C302E">
        <w:rPr>
          <w:b/>
          <w:sz w:val="28"/>
          <w:szCs w:val="20"/>
          <w:highlight w:val="yellow"/>
          <w:lang w:val="en-GB"/>
        </w:rPr>
        <w:t xml:space="preserve">Assessing the Impact of Urban Land Use Change on Soil Water </w:t>
      </w:r>
      <w:r w:rsidR="007A3EEA">
        <w:rPr>
          <w:b/>
          <w:sz w:val="28"/>
          <w:szCs w:val="20"/>
          <w:highlight w:val="yellow"/>
          <w:lang w:val="en-GB"/>
        </w:rPr>
        <w:t xml:space="preserve">driven </w:t>
      </w:r>
      <w:r w:rsidRPr="007C302E">
        <w:rPr>
          <w:b/>
          <w:sz w:val="28"/>
          <w:szCs w:val="20"/>
          <w:highlight w:val="yellow"/>
          <w:lang w:val="en-GB"/>
        </w:rPr>
        <w:t xml:space="preserve">Erosion Risk: A Case Study of the </w:t>
      </w:r>
      <w:proofErr w:type="spellStart"/>
      <w:r w:rsidRPr="007C302E">
        <w:rPr>
          <w:b/>
          <w:sz w:val="28"/>
          <w:szCs w:val="20"/>
          <w:highlight w:val="yellow"/>
          <w:lang w:val="en-GB"/>
        </w:rPr>
        <w:t>Gourou</w:t>
      </w:r>
      <w:proofErr w:type="spellEnd"/>
      <w:r w:rsidRPr="007C302E">
        <w:rPr>
          <w:b/>
          <w:sz w:val="28"/>
          <w:szCs w:val="20"/>
          <w:highlight w:val="yellow"/>
          <w:lang w:val="en-GB"/>
        </w:rPr>
        <w:t xml:space="preserve"> Watershed, Abidjan, Côte d’Ivoire</w:t>
      </w:r>
    </w:p>
    <w:p w14:paraId="4FD0A02A" w14:textId="20B13937" w:rsidR="002A0669" w:rsidRPr="00C85C80" w:rsidRDefault="00EC1730" w:rsidP="00BE01BF">
      <w:pPr>
        <w:spacing w:line="276" w:lineRule="auto"/>
        <w:jc w:val="both"/>
        <w:rPr>
          <w:rFonts w:ascii="Arial" w:hAnsi="Arial" w:cs="Arial"/>
          <w:b/>
          <w:bCs/>
        </w:rPr>
      </w:pPr>
      <w:r>
        <w:rPr>
          <w:rFonts w:ascii="Arial" w:hAnsi="Arial" w:cs="Arial"/>
          <w:b/>
          <w:bCs/>
        </w:rPr>
        <w:t>Abstract</w:t>
      </w:r>
    </w:p>
    <w:p w14:paraId="247C5564" w14:textId="6D6B6B4C" w:rsidR="003A4D32" w:rsidRPr="00C85C80" w:rsidRDefault="00BE01BF" w:rsidP="003A4D32">
      <w:pPr>
        <w:spacing w:line="240" w:lineRule="auto"/>
        <w:jc w:val="both"/>
        <w:rPr>
          <w:rFonts w:ascii="Arial" w:hAnsi="Arial" w:cs="Arial"/>
          <w:sz w:val="20"/>
          <w:szCs w:val="20"/>
        </w:rPr>
      </w:pPr>
      <w:r w:rsidRPr="00C85C80">
        <w:rPr>
          <w:rFonts w:ascii="Arial" w:hAnsi="Arial" w:cs="Arial"/>
        </w:rPr>
        <w:t>Vegetation cover is a crucial factor in the evolution of soil erosion, as its presence can slow it down or its absence can exacerbate it. Combating erosion risk requires knowledge of land cover types in a given region to best target erosion control measures. With this in mind, the general objective of this study is to demonstrate</w:t>
      </w:r>
      <w:r w:rsidRPr="00C85C80">
        <w:rPr>
          <w:rFonts w:ascii="Arial" w:eastAsia="Calibri" w:hAnsi="Arial" w:cs="Arial"/>
          <w:color w:val="000000" w:themeColor="text1"/>
          <w:kern w:val="24"/>
        </w:rPr>
        <w:t xml:space="preserve"> </w:t>
      </w:r>
      <w:r w:rsidRPr="00C85C80">
        <w:rPr>
          <w:rFonts w:ascii="Arial" w:hAnsi="Arial" w:cs="Arial"/>
        </w:rPr>
        <w:t>This study examined the impact of vegetation cover dynamics on the risk of soil water erosion, using the Gourou watershed in southern Côte d'Ivoire as a case study. Landsat satellite images of the Gourou watershed were processed, and the Revised Universal Soil Equation (RUSLE) was used to spatially map soil loss within the study area. The results show a dominance of buildings and bare soils which occupy 70% of the landscape of the Gourou watershed in 2020. This spatial analysis allowed us to determine the extent of water erosion in the study area, with a distribution showing an average ranging from 556.77 t/ha/year to 633.46 t/ha/year and a percentage of highly vulnerable areas ranging from 38.95% in 2002 to 50.03% in 2020. The entire surface of the watershed would therefore be highly affected by the phenomenon of water erosion.</w:t>
      </w:r>
      <w:r w:rsidR="003A4D32">
        <w:rPr>
          <w:rFonts w:ascii="Arial" w:hAnsi="Arial" w:cs="Arial"/>
        </w:rPr>
        <w:t xml:space="preserve"> </w:t>
      </w:r>
      <w:r w:rsidR="003A4D32" w:rsidRPr="002B0724">
        <w:rPr>
          <w:rFonts w:ascii="Arial" w:hAnsi="Arial" w:cs="Arial"/>
          <w:sz w:val="20"/>
          <w:szCs w:val="20"/>
          <w:highlight w:val="yellow"/>
        </w:rPr>
        <w:t>A more advanced or more severe degradation of the vegetation cover would be detrimental to this region which already suffers from disasters such as flooding by accumulation of runoff water caused by the inability of soils to infiltrate and the silting up of drainage canals caused by soil loss and the drainage of solid waste by water towards the canals.</w:t>
      </w:r>
    </w:p>
    <w:p w14:paraId="210B3813" w14:textId="78CB25F6" w:rsidR="00BE01BF" w:rsidRPr="00C85C80" w:rsidRDefault="00BE01BF" w:rsidP="00450E29">
      <w:pPr>
        <w:spacing w:line="240" w:lineRule="auto"/>
        <w:jc w:val="both"/>
        <w:rPr>
          <w:rFonts w:ascii="Arial" w:hAnsi="Arial" w:cs="Arial"/>
        </w:rPr>
      </w:pPr>
    </w:p>
    <w:p w14:paraId="2E7597F0" w14:textId="4C06B736" w:rsidR="008918B5" w:rsidRDefault="00BE01BF" w:rsidP="00450E29">
      <w:pPr>
        <w:spacing w:line="240" w:lineRule="auto"/>
        <w:jc w:val="both"/>
        <w:rPr>
          <w:rFonts w:ascii="Arial" w:hAnsi="Arial" w:cs="Arial"/>
          <w:i/>
          <w:iCs/>
        </w:rPr>
        <w:sectPr w:rsidR="008918B5" w:rsidSect="006A052D">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pgNumType w:start="1"/>
          <w:cols w:space="708"/>
          <w:docGrid w:linePitch="360"/>
        </w:sectPr>
      </w:pPr>
      <w:r w:rsidRPr="00C85C80">
        <w:rPr>
          <w:rFonts w:ascii="Arial" w:hAnsi="Arial" w:cs="Arial"/>
          <w:b/>
        </w:rPr>
        <w:t>Keywords:</w:t>
      </w:r>
      <w:r w:rsidRPr="00C85C80">
        <w:rPr>
          <w:rFonts w:ascii="Arial" w:hAnsi="Arial" w:cs="Arial"/>
        </w:rPr>
        <w:t xml:space="preserve"> </w:t>
      </w:r>
      <w:r w:rsidRPr="00C85C80">
        <w:rPr>
          <w:rFonts w:ascii="Arial" w:hAnsi="Arial" w:cs="Arial"/>
          <w:i/>
          <w:iCs/>
        </w:rPr>
        <w:t xml:space="preserve">water erosion, </w:t>
      </w:r>
      <w:proofErr w:type="spellStart"/>
      <w:r w:rsidRPr="00C85C80">
        <w:rPr>
          <w:rFonts w:ascii="Arial" w:hAnsi="Arial" w:cs="Arial"/>
          <w:i/>
          <w:iCs/>
        </w:rPr>
        <w:t>Gourou</w:t>
      </w:r>
      <w:proofErr w:type="spellEnd"/>
      <w:r w:rsidR="009244E4">
        <w:rPr>
          <w:rFonts w:ascii="Arial" w:hAnsi="Arial" w:cs="Arial"/>
          <w:i/>
          <w:iCs/>
        </w:rPr>
        <w:t xml:space="preserve"> </w:t>
      </w:r>
      <w:r w:rsidR="009244E4" w:rsidRPr="009244E4">
        <w:rPr>
          <w:rFonts w:ascii="Arial" w:hAnsi="Arial" w:cs="Arial"/>
          <w:bCs/>
        </w:rPr>
        <w:t>watershed</w:t>
      </w:r>
      <w:r w:rsidRPr="00C85C80">
        <w:rPr>
          <w:rFonts w:ascii="Arial" w:hAnsi="Arial" w:cs="Arial"/>
          <w:i/>
          <w:iCs/>
        </w:rPr>
        <w:t xml:space="preserve">, RUSLE, vegetation cover dynamics, degradation. </w:t>
      </w:r>
    </w:p>
    <w:p w14:paraId="4445AC77" w14:textId="68F5BEBF" w:rsidR="00BE01BF" w:rsidRPr="00C85C80" w:rsidRDefault="00060EA7" w:rsidP="00450E29">
      <w:pPr>
        <w:spacing w:line="240" w:lineRule="auto"/>
        <w:jc w:val="both"/>
        <w:rPr>
          <w:rFonts w:ascii="Arial" w:hAnsi="Arial" w:cs="Arial"/>
          <w:i/>
          <w:iCs/>
        </w:rPr>
      </w:pPr>
      <w:r w:rsidRPr="00C85C80">
        <w:rPr>
          <w:rFonts w:ascii="Arial" w:hAnsi="Arial" w:cs="Arial"/>
          <w:b/>
          <w:bCs/>
        </w:rPr>
        <w:lastRenderedPageBreak/>
        <w:t>1.</w:t>
      </w:r>
      <w:r w:rsidRPr="00C85C80">
        <w:rPr>
          <w:rFonts w:ascii="Arial" w:hAnsi="Arial" w:cs="Arial"/>
          <w:i/>
          <w:iCs/>
        </w:rPr>
        <w:t xml:space="preserve"> </w:t>
      </w:r>
      <w:r w:rsidR="00736A65" w:rsidRPr="00C85C80">
        <w:rPr>
          <w:rFonts w:ascii="Arial" w:hAnsi="Arial" w:cs="Arial"/>
          <w:b/>
          <w:bCs/>
        </w:rPr>
        <w:t>INTRODUCTION</w:t>
      </w:r>
    </w:p>
    <w:p w14:paraId="3FF62CDE" w14:textId="107B3EDB" w:rsidR="00BE01BF" w:rsidRPr="00C85C80" w:rsidRDefault="0083180D" w:rsidP="00450E29">
      <w:pPr>
        <w:spacing w:line="240" w:lineRule="auto"/>
        <w:jc w:val="both"/>
        <w:rPr>
          <w:rFonts w:ascii="Arial" w:hAnsi="Arial" w:cs="Arial"/>
          <w:sz w:val="20"/>
          <w:szCs w:val="20"/>
        </w:rPr>
      </w:pPr>
      <w:r w:rsidRPr="00593876">
        <w:rPr>
          <w:rFonts w:ascii="Georgia" w:hAnsi="Georgia"/>
          <w:color w:val="1F1F1F"/>
          <w:highlight w:val="yellow"/>
        </w:rPr>
        <w:t>Rapid urbanization and climate change exacerbate </w:t>
      </w:r>
      <w:hyperlink r:id="rId14" w:tooltip="Learn more about soil erosion from ScienceDirect's AI-generated Topic Pages" w:history="1">
        <w:r w:rsidRPr="00593876">
          <w:rPr>
            <w:rStyle w:val="Hyperlink"/>
            <w:rFonts w:ascii="Georgia" w:hAnsi="Georgia"/>
            <w:color w:val="1F1F1F"/>
            <w:highlight w:val="yellow"/>
          </w:rPr>
          <w:t>soil erosion</w:t>
        </w:r>
      </w:hyperlink>
      <w:r w:rsidRPr="00593876">
        <w:rPr>
          <w:rFonts w:ascii="Georgia" w:hAnsi="Georgia"/>
          <w:color w:val="1F1F1F"/>
          <w:highlight w:val="yellow"/>
        </w:rPr>
        <w:t> globally, threatening ecosystem services and </w:t>
      </w:r>
      <w:hyperlink r:id="rId15" w:tooltip="Learn more about sustainable development from ScienceDirect's AI-generated Topic Pages" w:history="1">
        <w:r w:rsidRPr="00593876">
          <w:rPr>
            <w:rStyle w:val="Hyperlink"/>
            <w:rFonts w:ascii="Georgia" w:hAnsi="Georgia"/>
            <w:color w:val="1F1F1F"/>
            <w:highlight w:val="yellow"/>
          </w:rPr>
          <w:t>sustainable development</w:t>
        </w:r>
      </w:hyperlink>
      <w:r w:rsidRPr="00593876">
        <w:rPr>
          <w:rFonts w:ascii="Georgia" w:hAnsi="Georgia"/>
          <w:color w:val="1F1F1F"/>
          <w:highlight w:val="yellow"/>
        </w:rPr>
        <w:t>. However, current predictive studies on future soil erosion often lack comprehensive consideration of the interactions between land use and climate change</w:t>
      </w:r>
      <w:r w:rsidR="00030A40">
        <w:rPr>
          <w:rFonts w:ascii="Georgia" w:hAnsi="Georgia"/>
          <w:color w:val="1F1F1F"/>
          <w:highlight w:val="yellow"/>
        </w:rPr>
        <w:t xml:space="preserve"> (</w:t>
      </w:r>
      <w:r w:rsidR="00030A40" w:rsidRPr="00687560">
        <w:rPr>
          <w:rFonts w:ascii="Arial" w:hAnsi="Arial" w:cs="Arial"/>
          <w:color w:val="222222"/>
          <w:sz w:val="20"/>
          <w:szCs w:val="20"/>
          <w:highlight w:val="yellow"/>
          <w:shd w:val="clear" w:color="auto" w:fill="FFFFFF"/>
        </w:rPr>
        <w:t>Ma</w:t>
      </w:r>
      <w:r w:rsidR="00030A40">
        <w:rPr>
          <w:rFonts w:ascii="Arial" w:hAnsi="Arial" w:cs="Arial"/>
          <w:color w:val="222222"/>
          <w:sz w:val="20"/>
          <w:szCs w:val="20"/>
          <w:highlight w:val="yellow"/>
          <w:shd w:val="clear" w:color="auto" w:fill="FFFFFF"/>
        </w:rPr>
        <w:t xml:space="preserve"> et al., 2025</w:t>
      </w:r>
      <w:r w:rsidR="00030A40">
        <w:rPr>
          <w:rFonts w:ascii="Georgia" w:hAnsi="Georgia"/>
          <w:color w:val="1F1F1F"/>
          <w:highlight w:val="yellow"/>
        </w:rPr>
        <w:t>)</w:t>
      </w:r>
      <w:r w:rsidRPr="00593876">
        <w:rPr>
          <w:rFonts w:ascii="Georgia" w:hAnsi="Georgia"/>
          <w:color w:val="1F1F1F"/>
          <w:highlight w:val="yellow"/>
        </w:rPr>
        <w:t>. </w:t>
      </w:r>
      <w:r w:rsidRPr="00030A40">
        <w:rPr>
          <w:rFonts w:ascii="Arial" w:hAnsi="Arial" w:cs="Arial"/>
          <w:color w:val="222222"/>
          <w:sz w:val="20"/>
          <w:szCs w:val="20"/>
          <w:highlight w:val="yellow"/>
          <w:shd w:val="clear" w:color="auto" w:fill="FFFFFF"/>
        </w:rPr>
        <w:t xml:space="preserve"> </w:t>
      </w:r>
      <w:r w:rsidR="00BE01BF" w:rsidRPr="00C85C80">
        <w:rPr>
          <w:rFonts w:ascii="Arial" w:hAnsi="Arial" w:cs="Arial"/>
          <w:sz w:val="20"/>
          <w:szCs w:val="20"/>
        </w:rPr>
        <w:t>Soil erosion is a natural phenomenon that, at different spatial and temporal scales, degrades, modifies, and shapes terrestrial environments. It represents a global environmental problem, seriously hindering sustainable development (</w:t>
      </w:r>
      <w:bookmarkStart w:id="1" w:name="_Hlk214459708"/>
      <w:r w:rsidR="00BE01BF" w:rsidRPr="00C85C80">
        <w:rPr>
          <w:rFonts w:ascii="Arial" w:hAnsi="Arial" w:cs="Arial"/>
          <w:sz w:val="20"/>
          <w:szCs w:val="20"/>
        </w:rPr>
        <w:t>Khaoula</w:t>
      </w:r>
      <w:r w:rsidR="000D4F39">
        <w:rPr>
          <w:rFonts w:ascii="Arial" w:hAnsi="Arial" w:cs="Arial"/>
          <w:sz w:val="20"/>
          <w:szCs w:val="20"/>
        </w:rPr>
        <w:t xml:space="preserve"> </w:t>
      </w:r>
      <w:r w:rsidR="00BE01BF" w:rsidRPr="00C85C80">
        <w:rPr>
          <w:rFonts w:ascii="Arial" w:hAnsi="Arial" w:cs="Arial"/>
          <w:sz w:val="20"/>
          <w:szCs w:val="20"/>
        </w:rPr>
        <w:t>&amp;</w:t>
      </w:r>
      <w:r w:rsidR="000D4F39">
        <w:rPr>
          <w:rFonts w:ascii="Arial" w:hAnsi="Arial" w:cs="Arial"/>
          <w:sz w:val="20"/>
          <w:szCs w:val="20"/>
        </w:rPr>
        <w:t xml:space="preserve"> </w:t>
      </w:r>
      <w:r w:rsidR="00BE01BF" w:rsidRPr="00C85C80">
        <w:rPr>
          <w:rFonts w:ascii="Arial" w:hAnsi="Arial" w:cs="Arial"/>
          <w:sz w:val="20"/>
          <w:szCs w:val="20"/>
        </w:rPr>
        <w:t>Sihem, 2021</w:t>
      </w:r>
      <w:bookmarkEnd w:id="1"/>
      <w:r w:rsidR="00BE01BF" w:rsidRPr="00C85C80">
        <w:rPr>
          <w:rFonts w:ascii="Arial" w:hAnsi="Arial" w:cs="Arial"/>
          <w:sz w:val="20"/>
          <w:szCs w:val="20"/>
        </w:rPr>
        <w:t xml:space="preserve">). </w:t>
      </w:r>
      <w:r w:rsidR="00030A40" w:rsidRPr="00687560">
        <w:rPr>
          <w:rFonts w:ascii="Arial" w:hAnsi="Arial" w:cs="Arial"/>
          <w:color w:val="222222"/>
          <w:sz w:val="20"/>
          <w:szCs w:val="20"/>
          <w:highlight w:val="yellow"/>
          <w:shd w:val="clear" w:color="auto" w:fill="FFFFFF"/>
        </w:rPr>
        <w:t>Land use/land cover (LULC) change has been a focus in socio-environmental research in recent years. Changes in land use are recognized as a significant factor and a crucial driver of global environmental change, with alterations in land use and land cover being strongly linked to soil erosion. Land use influences the runoff and sediment transport processes, and thus the soil erosion process, by altering surface morphology (</w:t>
      </w:r>
      <w:r w:rsidR="00030A40" w:rsidRPr="0083180D">
        <w:rPr>
          <w:rFonts w:ascii="Arial" w:hAnsi="Arial" w:cs="Arial"/>
          <w:color w:val="222222"/>
          <w:sz w:val="20"/>
          <w:szCs w:val="20"/>
          <w:highlight w:val="yellow"/>
          <w:shd w:val="clear" w:color="auto" w:fill="FFFFFF"/>
        </w:rPr>
        <w:t>Guo et al., 2024</w:t>
      </w:r>
      <w:r w:rsidR="00030A40" w:rsidRPr="00687560">
        <w:rPr>
          <w:rFonts w:ascii="Arial" w:hAnsi="Arial" w:cs="Arial"/>
          <w:color w:val="222222"/>
          <w:sz w:val="20"/>
          <w:szCs w:val="20"/>
          <w:highlight w:val="yellow"/>
          <w:shd w:val="clear" w:color="auto" w:fill="FFFFFF"/>
        </w:rPr>
        <w:t>)</w:t>
      </w:r>
      <w:r w:rsidR="00030A40" w:rsidRPr="00687560">
        <w:rPr>
          <w:rFonts w:ascii="Arial" w:hAnsi="Arial" w:cs="Arial"/>
          <w:sz w:val="20"/>
          <w:szCs w:val="20"/>
          <w:highlight w:val="yellow"/>
        </w:rPr>
        <w:t>.</w:t>
      </w:r>
      <w:r w:rsidR="00030A40">
        <w:rPr>
          <w:rFonts w:ascii="Arial" w:hAnsi="Arial" w:cs="Arial"/>
          <w:sz w:val="20"/>
          <w:szCs w:val="20"/>
        </w:rPr>
        <w:t xml:space="preserve"> </w:t>
      </w:r>
      <w:r w:rsidR="00BE01BF" w:rsidRPr="00C85C80">
        <w:rPr>
          <w:rFonts w:ascii="Arial" w:hAnsi="Arial" w:cs="Arial"/>
          <w:sz w:val="20"/>
          <w:szCs w:val="20"/>
        </w:rPr>
        <w:t>In West Africa in general, the uncontrolled exploitation of forest ecosystems for agricultural and urbanization purposes leads to strong dynamics in land cover and land use (</w:t>
      </w:r>
      <w:proofErr w:type="spellStart"/>
      <w:r w:rsidR="00BE01BF" w:rsidRPr="00C85C80">
        <w:rPr>
          <w:rFonts w:ascii="Arial" w:hAnsi="Arial" w:cs="Arial"/>
          <w:sz w:val="20"/>
          <w:szCs w:val="20"/>
        </w:rPr>
        <w:t>N'go</w:t>
      </w:r>
      <w:proofErr w:type="spellEnd"/>
      <w:r w:rsidR="00BE01BF" w:rsidRPr="00C85C80">
        <w:rPr>
          <w:rFonts w:ascii="Arial" w:hAnsi="Arial" w:cs="Arial"/>
          <w:sz w:val="20"/>
          <w:szCs w:val="20"/>
        </w:rPr>
        <w:t xml:space="preserve"> </w:t>
      </w:r>
      <w:r w:rsidR="007D071F">
        <w:rPr>
          <w:rFonts w:ascii="Arial" w:hAnsi="Arial" w:cs="Arial"/>
          <w:i/>
          <w:iCs/>
          <w:sz w:val="20"/>
          <w:szCs w:val="20"/>
        </w:rPr>
        <w:t>et</w:t>
      </w:r>
      <w:r w:rsidR="00BE01BF" w:rsidRPr="00C85C80">
        <w:rPr>
          <w:rFonts w:ascii="Arial" w:hAnsi="Arial" w:cs="Arial"/>
          <w:i/>
          <w:iCs/>
          <w:sz w:val="20"/>
          <w:szCs w:val="20"/>
        </w:rPr>
        <w:t xml:space="preserve"> al</w:t>
      </w:r>
      <w:r w:rsidR="00BE01BF" w:rsidRPr="00C85C80">
        <w:rPr>
          <w:rFonts w:ascii="Arial" w:hAnsi="Arial" w:cs="Arial"/>
          <w:sz w:val="20"/>
          <w:szCs w:val="20"/>
        </w:rPr>
        <w:t xml:space="preserve">., 2018). Human activities developing in these environments sometimes guide the intensity of the soil erosion process, either by protecting the soils or, more commonly, by promoting erosive action (N'go </w:t>
      </w:r>
      <w:r w:rsidR="00BE01BF" w:rsidRPr="00C85C80">
        <w:rPr>
          <w:rFonts w:ascii="Arial" w:hAnsi="Arial" w:cs="Arial"/>
          <w:i/>
          <w:iCs/>
          <w:sz w:val="20"/>
          <w:szCs w:val="20"/>
        </w:rPr>
        <w:t>et al</w:t>
      </w:r>
      <w:r w:rsidR="00BE01BF" w:rsidRPr="00C85C80">
        <w:rPr>
          <w:rFonts w:ascii="Arial" w:hAnsi="Arial" w:cs="Arial"/>
          <w:sz w:val="20"/>
          <w:szCs w:val="20"/>
        </w:rPr>
        <w:t>., 2018). Indeed, rapid landscape changes under the influence of population pressure and climate change have contributed to increased exposure of land to runoff and, consequently, to soil degradation through erosion (</w:t>
      </w:r>
      <w:proofErr w:type="spellStart"/>
      <w:r w:rsidR="00BE01BF" w:rsidRPr="00C85C80">
        <w:rPr>
          <w:rFonts w:ascii="Arial" w:hAnsi="Arial" w:cs="Arial"/>
          <w:sz w:val="20"/>
          <w:szCs w:val="20"/>
        </w:rPr>
        <w:t>Heusch</w:t>
      </w:r>
      <w:proofErr w:type="spellEnd"/>
      <w:r w:rsidR="00BE01BF" w:rsidRPr="00C85C80">
        <w:rPr>
          <w:rFonts w:ascii="Arial" w:hAnsi="Arial" w:cs="Arial"/>
          <w:sz w:val="20"/>
          <w:szCs w:val="20"/>
        </w:rPr>
        <w:t xml:space="preserve">, 1970; Al </w:t>
      </w:r>
      <w:proofErr w:type="spellStart"/>
      <w:r w:rsidR="00BE01BF" w:rsidRPr="00C85C80">
        <w:rPr>
          <w:rFonts w:ascii="Arial" w:hAnsi="Arial" w:cs="Arial"/>
          <w:sz w:val="20"/>
          <w:szCs w:val="20"/>
        </w:rPr>
        <w:t>Karkouri</w:t>
      </w:r>
      <w:proofErr w:type="spellEnd"/>
      <w:r w:rsidR="00BE01BF" w:rsidRPr="00C85C80">
        <w:rPr>
          <w:rFonts w:ascii="Arial" w:hAnsi="Arial" w:cs="Arial"/>
          <w:sz w:val="20"/>
          <w:szCs w:val="20"/>
        </w:rPr>
        <w:t xml:space="preserve"> </w:t>
      </w:r>
      <w:r w:rsidR="00BE01BF" w:rsidRPr="00C85C80">
        <w:rPr>
          <w:rFonts w:ascii="Arial" w:hAnsi="Arial" w:cs="Arial"/>
          <w:i/>
          <w:iCs/>
          <w:sz w:val="20"/>
          <w:szCs w:val="20"/>
        </w:rPr>
        <w:t>et al</w:t>
      </w:r>
      <w:r w:rsidR="00BE01BF" w:rsidRPr="00C85C80">
        <w:rPr>
          <w:rFonts w:ascii="Arial" w:hAnsi="Arial" w:cs="Arial"/>
          <w:sz w:val="20"/>
          <w:szCs w:val="20"/>
        </w:rPr>
        <w:t xml:space="preserve">., 2000; Naimi </w:t>
      </w:r>
      <w:r w:rsidR="00BE01BF" w:rsidRPr="00C85C80">
        <w:rPr>
          <w:rFonts w:ascii="Arial" w:hAnsi="Arial" w:cs="Arial"/>
          <w:i/>
          <w:iCs/>
          <w:sz w:val="20"/>
          <w:szCs w:val="20"/>
        </w:rPr>
        <w:t>et al</w:t>
      </w:r>
      <w:r w:rsidR="00BE01BF" w:rsidRPr="00C85C80">
        <w:rPr>
          <w:rFonts w:ascii="Arial" w:hAnsi="Arial" w:cs="Arial"/>
          <w:sz w:val="20"/>
          <w:szCs w:val="20"/>
        </w:rPr>
        <w:t xml:space="preserve">., 2002; </w:t>
      </w:r>
      <w:proofErr w:type="spellStart"/>
      <w:r w:rsidR="00BE01BF" w:rsidRPr="00C85C80">
        <w:rPr>
          <w:rFonts w:ascii="Arial" w:hAnsi="Arial" w:cs="Arial"/>
          <w:sz w:val="20"/>
          <w:szCs w:val="20"/>
        </w:rPr>
        <w:t>Briak</w:t>
      </w:r>
      <w:proofErr w:type="spellEnd"/>
      <w:r w:rsidR="00BE01BF" w:rsidRPr="00C85C80">
        <w:rPr>
          <w:rFonts w:ascii="Arial" w:hAnsi="Arial" w:cs="Arial"/>
          <w:sz w:val="20"/>
          <w:szCs w:val="20"/>
        </w:rPr>
        <w:t xml:space="preserve"> </w:t>
      </w:r>
      <w:r w:rsidR="00BE01BF" w:rsidRPr="00C85C80">
        <w:rPr>
          <w:rFonts w:ascii="Arial" w:hAnsi="Arial" w:cs="Arial"/>
          <w:i/>
          <w:iCs/>
          <w:sz w:val="20"/>
          <w:szCs w:val="20"/>
        </w:rPr>
        <w:t>et al</w:t>
      </w:r>
      <w:r w:rsidR="00BE01BF" w:rsidRPr="00C85C80">
        <w:rPr>
          <w:rFonts w:ascii="Arial" w:hAnsi="Arial" w:cs="Arial"/>
          <w:sz w:val="20"/>
          <w:szCs w:val="20"/>
        </w:rPr>
        <w:t xml:space="preserve">., 2016). </w:t>
      </w:r>
      <w:r w:rsidR="00593876" w:rsidRPr="00593876">
        <w:rPr>
          <w:rFonts w:ascii="Arial" w:hAnsi="Arial" w:cs="Arial"/>
          <w:sz w:val="20"/>
          <w:szCs w:val="20"/>
          <w:highlight w:val="yellow"/>
        </w:rPr>
        <w:t>M</w:t>
      </w:r>
      <w:r w:rsidR="00593876" w:rsidRPr="00593876">
        <w:rPr>
          <w:rFonts w:ascii="Arial" w:hAnsi="Arial" w:cs="Arial"/>
          <w:color w:val="222222"/>
          <w:sz w:val="20"/>
          <w:szCs w:val="20"/>
          <w:highlight w:val="yellow"/>
          <w:shd w:val="clear" w:color="auto" w:fill="FFFFFF"/>
        </w:rPr>
        <w:t>odern agricultural practices, such as deep plowing and the use of heavy machinery, further disturb soil structures, reducing their stability and increasing erosion risk. Moreover, the rapid process of urbanization is accompanied by extensive construction activities, including the development of roads, residential areas, and industrial zones. These activities typically remove vegetation cover, increase impervious surface area, and alter natural surface hydrological processes, which can lead to changes in SE patterns. Overall, LUCCs directly influence the risk and intensity of SE by altering surface cover, topographical conditions, and hydrological processes (Guo et al., 2024).</w:t>
      </w:r>
      <w:r w:rsidR="00593876" w:rsidRPr="00C85C80">
        <w:rPr>
          <w:rFonts w:ascii="Arial" w:hAnsi="Arial" w:cs="Arial"/>
          <w:sz w:val="20"/>
          <w:szCs w:val="20"/>
        </w:rPr>
        <w:t xml:space="preserve"> </w:t>
      </w:r>
      <w:r w:rsidR="00BE01BF" w:rsidRPr="00C85C80">
        <w:rPr>
          <w:rFonts w:ascii="Arial" w:hAnsi="Arial" w:cs="Arial"/>
          <w:sz w:val="20"/>
          <w:szCs w:val="20"/>
        </w:rPr>
        <w:t>Since the late 1960s, these anthropogenic impacts have been compounded by an increase in climate variability in certain West African countries, such as Côte d'Ivoire, whose economic capital is Abidjan. The city of Abidjan, where the Gourou watershed is located, has vegetation that suffers the adverse effects of its rapid spatial expansion linked to the population explosion and the industrial and commercial activities of the Abidjan district (</w:t>
      </w:r>
      <w:proofErr w:type="spellStart"/>
      <w:r w:rsidR="00BE01BF" w:rsidRPr="00C85C80">
        <w:rPr>
          <w:rFonts w:ascii="Arial" w:hAnsi="Arial" w:cs="Arial"/>
          <w:sz w:val="20"/>
          <w:szCs w:val="20"/>
        </w:rPr>
        <w:t>Béligné</w:t>
      </w:r>
      <w:proofErr w:type="spellEnd"/>
      <w:r w:rsidR="00BE01BF" w:rsidRPr="00C85C80">
        <w:rPr>
          <w:rFonts w:ascii="Arial" w:hAnsi="Arial" w:cs="Arial"/>
          <w:sz w:val="20"/>
          <w:szCs w:val="20"/>
        </w:rPr>
        <w:t xml:space="preserve">, 1994; </w:t>
      </w:r>
      <w:proofErr w:type="spellStart"/>
      <w:r w:rsidR="00BE01BF" w:rsidRPr="00C85C80">
        <w:rPr>
          <w:rFonts w:ascii="Arial" w:hAnsi="Arial" w:cs="Arial"/>
          <w:sz w:val="20"/>
          <w:szCs w:val="20"/>
        </w:rPr>
        <w:t>Hauhouot</w:t>
      </w:r>
      <w:proofErr w:type="spellEnd"/>
      <w:r w:rsidR="00F53D5C">
        <w:rPr>
          <w:rFonts w:ascii="Arial" w:hAnsi="Arial" w:cs="Arial"/>
          <w:sz w:val="20"/>
          <w:szCs w:val="20"/>
        </w:rPr>
        <w:t>,</w:t>
      </w:r>
      <w:r w:rsidR="00BE01BF" w:rsidRPr="00C85C80">
        <w:rPr>
          <w:rFonts w:ascii="Arial" w:hAnsi="Arial" w:cs="Arial"/>
          <w:sz w:val="20"/>
          <w:szCs w:val="20"/>
        </w:rPr>
        <w:t xml:space="preserve"> 2002). In addition to the pressure exerted on Abidjan's vegetation, the city is constantly subjected to rainfall that could contribute to soil erosion. Thus, </w:t>
      </w:r>
      <w:r w:rsidR="00BE01BF" w:rsidRPr="00C85C80">
        <w:rPr>
          <w:rFonts w:ascii="Arial" w:hAnsi="Arial" w:cs="Arial"/>
          <w:bCs/>
          <w:sz w:val="20"/>
          <w:szCs w:val="20"/>
        </w:rPr>
        <w:t>the present study aims to</w:t>
      </w:r>
      <w:r w:rsidR="00BE01BF" w:rsidRPr="00C85C80">
        <w:rPr>
          <w:rFonts w:ascii="Arial" w:hAnsi="Arial" w:cs="Arial"/>
          <w:b/>
          <w:sz w:val="20"/>
          <w:szCs w:val="20"/>
        </w:rPr>
        <w:t xml:space="preserve"> </w:t>
      </w:r>
      <w:r w:rsidR="00BE01BF" w:rsidRPr="00C85C80">
        <w:rPr>
          <w:rFonts w:ascii="Arial" w:hAnsi="Arial" w:cs="Arial"/>
          <w:sz w:val="20"/>
          <w:szCs w:val="20"/>
        </w:rPr>
        <w:t>general objective of analyzing</w:t>
      </w:r>
      <w:r w:rsidR="00BE01BF" w:rsidRPr="00C85C80">
        <w:rPr>
          <w:rFonts w:ascii="Arial" w:eastAsia="Calibri" w:hAnsi="Arial" w:cs="Arial"/>
          <w:color w:val="000000" w:themeColor="text1"/>
          <w:kern w:val="24"/>
          <w:sz w:val="20"/>
          <w:szCs w:val="20"/>
        </w:rPr>
        <w:t xml:space="preserve"> </w:t>
      </w:r>
      <w:r w:rsidR="00561C99">
        <w:rPr>
          <w:rFonts w:ascii="Arial" w:hAnsi="Arial" w:cs="Arial"/>
          <w:sz w:val="20"/>
          <w:szCs w:val="20"/>
        </w:rPr>
        <w:t>t</w:t>
      </w:r>
      <w:r w:rsidR="00BE01BF" w:rsidRPr="00C85C80">
        <w:rPr>
          <w:rFonts w:ascii="Arial" w:hAnsi="Arial" w:cs="Arial"/>
          <w:sz w:val="20"/>
          <w:szCs w:val="20"/>
        </w:rPr>
        <w:t xml:space="preserve">he impact of vegetation cover dynamics on the risk of soil water erosion will be examined using the </w:t>
      </w:r>
      <w:proofErr w:type="spellStart"/>
      <w:r w:rsidR="00BE01BF" w:rsidRPr="00C85C80">
        <w:rPr>
          <w:rFonts w:ascii="Arial" w:hAnsi="Arial" w:cs="Arial"/>
          <w:sz w:val="20"/>
          <w:szCs w:val="20"/>
        </w:rPr>
        <w:t>G</w:t>
      </w:r>
      <w:r w:rsidR="00321582">
        <w:rPr>
          <w:rFonts w:ascii="Arial" w:hAnsi="Arial" w:cs="Arial"/>
          <w:sz w:val="20"/>
          <w:szCs w:val="20"/>
        </w:rPr>
        <w:t>ourou</w:t>
      </w:r>
      <w:proofErr w:type="spellEnd"/>
      <w:r w:rsidR="00BE01BF" w:rsidRPr="00C85C80">
        <w:rPr>
          <w:rFonts w:ascii="Arial" w:hAnsi="Arial" w:cs="Arial"/>
          <w:sz w:val="20"/>
          <w:szCs w:val="20"/>
        </w:rPr>
        <w:t xml:space="preserve"> watershed as a case study. Specifically, the aim will be (1) to determine the spatio-temporal dynamics of vegetation cover from 2002 to 2020 and (2) to estimate soil losses at every point within the watershed.</w:t>
      </w:r>
    </w:p>
    <w:p w14:paraId="7DB5526B" w14:textId="241957F3" w:rsidR="00BE01BF" w:rsidRPr="00C85C80" w:rsidRDefault="00060EA7" w:rsidP="00F10896">
      <w:pPr>
        <w:spacing w:after="0"/>
        <w:rPr>
          <w:rFonts w:ascii="Arial" w:hAnsi="Arial" w:cs="Arial"/>
          <w:b/>
          <w:bCs/>
        </w:rPr>
      </w:pPr>
      <w:r w:rsidRPr="00C85C80">
        <w:rPr>
          <w:rFonts w:ascii="Arial" w:hAnsi="Arial" w:cs="Arial"/>
          <w:b/>
          <w:bCs/>
        </w:rPr>
        <w:t>2. MATERIALS AND METHODS</w:t>
      </w:r>
    </w:p>
    <w:p w14:paraId="3027E0B6" w14:textId="415D7D03" w:rsidR="00BE01BF" w:rsidRPr="00C85C80" w:rsidRDefault="00060EA7" w:rsidP="00FB3352">
      <w:pPr>
        <w:rPr>
          <w:rFonts w:ascii="Arial" w:hAnsi="Arial" w:cs="Arial"/>
          <w:b/>
          <w:bCs/>
        </w:rPr>
      </w:pPr>
      <w:r w:rsidRPr="00C85C80">
        <w:rPr>
          <w:rFonts w:ascii="Arial" w:hAnsi="Arial" w:cs="Arial"/>
          <w:b/>
          <w:bCs/>
        </w:rPr>
        <w:t>2.1. Presentation of the study area</w:t>
      </w:r>
    </w:p>
    <w:p w14:paraId="04E47A1E" w14:textId="0EEC5A18" w:rsidR="00BE01BF" w:rsidRPr="00C85C80" w:rsidRDefault="00BE01BF" w:rsidP="00450E29">
      <w:pPr>
        <w:tabs>
          <w:tab w:val="left" w:pos="3420"/>
        </w:tabs>
        <w:spacing w:line="240" w:lineRule="auto"/>
        <w:jc w:val="both"/>
        <w:rPr>
          <w:rFonts w:ascii="Arial" w:hAnsi="Arial" w:cs="Arial"/>
          <w:b/>
          <w:sz w:val="20"/>
          <w:szCs w:val="20"/>
        </w:rPr>
      </w:pPr>
      <w:r w:rsidRPr="00C85C80">
        <w:rPr>
          <w:rFonts w:ascii="Arial" w:hAnsi="Arial" w:cs="Arial"/>
          <w:sz w:val="20"/>
          <w:szCs w:val="20"/>
        </w:rPr>
        <w:t xml:space="preserve">The Gourou watershed, covering an area of 27.5 km², is located in southern Côte d'Ivoire, in the Abidjan District </w:t>
      </w:r>
      <w:r w:rsidRPr="00C85C80">
        <w:rPr>
          <w:rFonts w:ascii="Arial" w:hAnsi="Arial" w:cs="Arial"/>
          <w:color w:val="000000" w:themeColor="text1"/>
          <w:sz w:val="20"/>
          <w:szCs w:val="20"/>
        </w:rPr>
        <w:t xml:space="preserve">(Figure 1) </w:t>
      </w:r>
      <w:r w:rsidRPr="00C85C80">
        <w:rPr>
          <w:rFonts w:ascii="Arial" w:hAnsi="Arial" w:cs="Arial"/>
          <w:sz w:val="20"/>
          <w:szCs w:val="20"/>
        </w:rPr>
        <w:t>. It straddles several municipalities, including Abobo, Adjamé, Attécoubé, and Cocody. The entire watershed is now urbanized, extending to the minor beds of the thalwegs, with uncontrolled development. The watershed has a transitional equatorial climate (</w:t>
      </w:r>
      <w:proofErr w:type="spellStart"/>
      <w:r w:rsidRPr="00C85C80">
        <w:rPr>
          <w:rFonts w:ascii="Arial" w:hAnsi="Arial" w:cs="Arial"/>
          <w:sz w:val="20"/>
          <w:szCs w:val="20"/>
        </w:rPr>
        <w:t>Attiéen</w:t>
      </w:r>
      <w:proofErr w:type="spellEnd"/>
      <w:r w:rsidRPr="00C85C80">
        <w:rPr>
          <w:rFonts w:ascii="Arial" w:hAnsi="Arial" w:cs="Arial"/>
          <w:sz w:val="20"/>
          <w:szCs w:val="20"/>
        </w:rPr>
        <w:t xml:space="preserve"> climate), characterized by four distinct seasons differentiated by rainfall patterns, although there are no significant temperature variations. Average monthly rainfall ranges from 25 to 354 mm, with a peak in June, the wettest month of the year at 354 mm. The Gourou watershed has a relatively flat surface upstream in the Abobo-Gare area, but exhibits moderately deep gullies further downstream.</w:t>
      </w:r>
    </w:p>
    <w:p w14:paraId="4C2D75C3" w14:textId="790E017E" w:rsidR="00BE01BF" w:rsidRPr="00C85C80" w:rsidRDefault="006F1C83" w:rsidP="006215DA">
      <w:pPr>
        <w:spacing w:line="360" w:lineRule="auto"/>
        <w:jc w:val="center"/>
        <w:rPr>
          <w:rFonts w:ascii="Times New Roman" w:hAnsi="Times New Roman" w:cs="Times New Roman"/>
          <w:sz w:val="24"/>
          <w:szCs w:val="24"/>
        </w:rPr>
      </w:pPr>
      <w:r w:rsidRPr="00C85C80">
        <w:rPr>
          <w:rFonts w:ascii="Times New Roman" w:hAnsi="Times New Roman" w:cs="Times New Roman"/>
          <w:noProof/>
          <w:sz w:val="24"/>
          <w:szCs w:val="24"/>
        </w:rPr>
        <w:lastRenderedPageBreak/>
        <w:drawing>
          <wp:inline distT="0" distB="0" distL="0" distR="0" wp14:anchorId="295C3A2F" wp14:editId="0D05A7BD">
            <wp:extent cx="4064000" cy="3428504"/>
            <wp:effectExtent l="19050" t="19050" r="12700" b="19685"/>
            <wp:docPr id="4" name="Image 3">
              <a:extLst xmlns:a="http://schemas.openxmlformats.org/drawingml/2006/main">
                <a:ext uri="{FF2B5EF4-FFF2-40B4-BE49-F238E27FC236}">
                  <a16:creationId xmlns:a16="http://schemas.microsoft.com/office/drawing/2014/main" id="{53913588-A3D7-CE83-AA0A-4001E6247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3913588-A3D7-CE83-AA0A-4001E6247707}"/>
                        </a:ext>
                      </a:extLst>
                    </pic:cNvPr>
                    <pic:cNvPicPr>
                      <a:picLocks noChangeAspect="1"/>
                    </pic:cNvPicPr>
                  </pic:nvPicPr>
                  <pic:blipFill>
                    <a:blip r:embed="rId16"/>
                    <a:stretch>
                      <a:fillRect/>
                    </a:stretch>
                  </pic:blipFill>
                  <pic:spPr>
                    <a:xfrm>
                      <a:off x="0" y="0"/>
                      <a:ext cx="4081652" cy="3443396"/>
                    </a:xfrm>
                    <a:prstGeom prst="rect">
                      <a:avLst/>
                    </a:prstGeom>
                    <a:ln>
                      <a:solidFill>
                        <a:schemeClr val="tx1"/>
                      </a:solidFill>
                    </a:ln>
                  </pic:spPr>
                </pic:pic>
              </a:graphicData>
            </a:graphic>
          </wp:inline>
        </w:drawing>
      </w:r>
    </w:p>
    <w:p w14:paraId="410A6FD2" w14:textId="56DDAFC9" w:rsidR="002A0669" w:rsidRPr="00C85C80" w:rsidRDefault="002A0669" w:rsidP="002A0669">
      <w:pPr>
        <w:pStyle w:val="Caption"/>
        <w:spacing w:line="360" w:lineRule="auto"/>
        <w:jc w:val="center"/>
        <w:rPr>
          <w:rFonts w:ascii="Arial" w:hAnsi="Arial" w:cs="Arial"/>
          <w:b/>
          <w:i w:val="0"/>
          <w:iCs w:val="0"/>
          <w:color w:val="auto"/>
          <w:sz w:val="20"/>
          <w:szCs w:val="20"/>
        </w:rPr>
      </w:pPr>
      <w:r w:rsidRPr="00C85C80">
        <w:rPr>
          <w:rFonts w:ascii="Arial" w:hAnsi="Arial" w:cs="Arial"/>
          <w:b/>
          <w:bCs/>
          <w:i w:val="0"/>
          <w:iCs w:val="0"/>
          <w:color w:val="auto"/>
          <w:sz w:val="20"/>
          <w:szCs w:val="20"/>
        </w:rPr>
        <w:t xml:space="preserve">Fig. </w:t>
      </w:r>
      <w:r w:rsidRPr="00C85C80">
        <w:rPr>
          <w:rFonts w:ascii="Arial" w:hAnsi="Arial" w:cs="Arial"/>
          <w:b/>
          <w:bCs/>
          <w:i w:val="0"/>
          <w:iCs w:val="0"/>
          <w:color w:val="auto"/>
          <w:sz w:val="20"/>
          <w:szCs w:val="20"/>
        </w:rPr>
        <w:fldChar w:fldCharType="begin"/>
      </w:r>
      <w:r w:rsidRPr="00C85C80">
        <w:rPr>
          <w:rFonts w:ascii="Arial" w:hAnsi="Arial" w:cs="Arial"/>
          <w:b/>
          <w:bCs/>
          <w:i w:val="0"/>
          <w:iCs w:val="0"/>
          <w:color w:val="auto"/>
          <w:sz w:val="20"/>
          <w:szCs w:val="20"/>
        </w:rPr>
        <w:instrText xml:space="preserve"> SEQ Figure \* ARABIC </w:instrText>
      </w:r>
      <w:r w:rsidRPr="00C85C80">
        <w:rPr>
          <w:rFonts w:ascii="Arial" w:hAnsi="Arial" w:cs="Arial"/>
          <w:b/>
          <w:bCs/>
          <w:i w:val="0"/>
          <w:iCs w:val="0"/>
          <w:color w:val="auto"/>
          <w:sz w:val="20"/>
          <w:szCs w:val="20"/>
        </w:rPr>
        <w:fldChar w:fldCharType="separate"/>
      </w:r>
      <w:r w:rsidR="00880138" w:rsidRPr="00C85C80">
        <w:rPr>
          <w:rFonts w:ascii="Arial" w:hAnsi="Arial" w:cs="Arial"/>
          <w:b/>
          <w:bCs/>
          <w:i w:val="0"/>
          <w:iCs w:val="0"/>
          <w:color w:val="auto"/>
          <w:sz w:val="20"/>
          <w:szCs w:val="20"/>
        </w:rPr>
        <w:t xml:space="preserve">1 </w:t>
      </w:r>
      <w:r w:rsidRPr="00C85C80">
        <w:rPr>
          <w:rFonts w:ascii="Arial" w:hAnsi="Arial" w:cs="Arial"/>
          <w:b/>
          <w:bCs/>
          <w:i w:val="0"/>
          <w:iCs w:val="0"/>
          <w:color w:val="auto"/>
          <w:sz w:val="20"/>
          <w:szCs w:val="20"/>
        </w:rPr>
        <w:fldChar w:fldCharType="end"/>
      </w:r>
      <w:r w:rsidRPr="00C85C80">
        <w:rPr>
          <w:rFonts w:ascii="Arial" w:hAnsi="Arial" w:cs="Arial"/>
          <w:b/>
          <w:bCs/>
          <w:i w:val="0"/>
          <w:iCs w:val="0"/>
          <w:color w:val="auto"/>
          <w:sz w:val="20"/>
          <w:szCs w:val="20"/>
        </w:rPr>
        <w:t>.</w:t>
      </w:r>
      <w:r w:rsidRPr="00C85C80">
        <w:rPr>
          <w:rFonts w:ascii="Arial" w:hAnsi="Arial" w:cs="Arial"/>
          <w:i w:val="0"/>
          <w:iCs w:val="0"/>
          <w:color w:val="auto"/>
          <w:sz w:val="20"/>
          <w:szCs w:val="20"/>
        </w:rPr>
        <w:t xml:space="preserve"> </w:t>
      </w:r>
      <w:bookmarkStart w:id="2" w:name="_Hlk214378602"/>
      <w:r w:rsidRPr="00C85C80">
        <w:rPr>
          <w:rFonts w:ascii="Arial" w:hAnsi="Arial" w:cs="Arial"/>
          <w:b/>
          <w:bCs/>
          <w:i w:val="0"/>
          <w:iCs w:val="0"/>
          <w:color w:val="auto"/>
          <w:sz w:val="20"/>
          <w:szCs w:val="20"/>
        </w:rPr>
        <w:t xml:space="preserve">Location map of the </w:t>
      </w:r>
      <w:proofErr w:type="spellStart"/>
      <w:r w:rsidRPr="00C85C80">
        <w:rPr>
          <w:rFonts w:ascii="Arial" w:hAnsi="Arial" w:cs="Arial"/>
          <w:b/>
          <w:bCs/>
          <w:i w:val="0"/>
          <w:iCs w:val="0"/>
          <w:color w:val="auto"/>
          <w:sz w:val="20"/>
          <w:szCs w:val="20"/>
        </w:rPr>
        <w:t>G</w:t>
      </w:r>
      <w:r w:rsidR="007D071F">
        <w:rPr>
          <w:rFonts w:ascii="Arial" w:hAnsi="Arial" w:cs="Arial"/>
          <w:b/>
          <w:bCs/>
          <w:i w:val="0"/>
          <w:iCs w:val="0"/>
          <w:color w:val="auto"/>
          <w:sz w:val="20"/>
          <w:szCs w:val="20"/>
        </w:rPr>
        <w:t>ourou</w:t>
      </w:r>
      <w:proofErr w:type="spellEnd"/>
      <w:r w:rsidRPr="00C85C80">
        <w:rPr>
          <w:rFonts w:ascii="Arial" w:hAnsi="Arial" w:cs="Arial"/>
          <w:b/>
          <w:bCs/>
          <w:i w:val="0"/>
          <w:iCs w:val="0"/>
          <w:color w:val="auto"/>
          <w:sz w:val="20"/>
          <w:szCs w:val="20"/>
        </w:rPr>
        <w:t xml:space="preserve"> </w:t>
      </w:r>
      <w:r w:rsidR="009244E4" w:rsidRPr="009244E4">
        <w:rPr>
          <w:rFonts w:ascii="Arial" w:hAnsi="Arial" w:cs="Arial"/>
          <w:b/>
          <w:i w:val="0"/>
          <w:iCs w:val="0"/>
          <w:color w:val="auto"/>
          <w:sz w:val="20"/>
          <w:szCs w:val="20"/>
        </w:rPr>
        <w:t>watershed</w:t>
      </w:r>
      <w:r w:rsidRPr="009244E4">
        <w:rPr>
          <w:rFonts w:ascii="Arial" w:hAnsi="Arial" w:cs="Arial"/>
          <w:b/>
          <w:i w:val="0"/>
          <w:iCs w:val="0"/>
          <w:color w:val="auto"/>
          <w:sz w:val="20"/>
          <w:szCs w:val="20"/>
        </w:rPr>
        <w:t xml:space="preserve"> </w:t>
      </w:r>
      <w:r w:rsidRPr="00C85C80">
        <w:rPr>
          <w:rFonts w:ascii="Arial" w:hAnsi="Arial" w:cs="Arial"/>
          <w:b/>
          <w:bCs/>
          <w:i w:val="0"/>
          <w:iCs w:val="0"/>
          <w:color w:val="auto"/>
          <w:sz w:val="20"/>
          <w:szCs w:val="20"/>
        </w:rPr>
        <w:t xml:space="preserve">in </w:t>
      </w:r>
      <w:bookmarkEnd w:id="2"/>
      <w:r w:rsidR="007D071F">
        <w:rPr>
          <w:rFonts w:ascii="Arial" w:hAnsi="Arial" w:cs="Arial"/>
          <w:b/>
          <w:bCs/>
          <w:i w:val="0"/>
          <w:iCs w:val="0"/>
          <w:color w:val="auto"/>
          <w:sz w:val="20"/>
          <w:szCs w:val="20"/>
        </w:rPr>
        <w:t>Côte d’Ivoire</w:t>
      </w:r>
    </w:p>
    <w:p w14:paraId="0D0F15CD" w14:textId="33BF15FE" w:rsidR="002A0669" w:rsidRPr="00C85C80" w:rsidRDefault="00D7615B" w:rsidP="002A0669">
      <w:pPr>
        <w:rPr>
          <w:rFonts w:ascii="Arial" w:hAnsi="Arial" w:cs="Arial"/>
          <w:b/>
          <w:bCs/>
        </w:rPr>
      </w:pPr>
      <w:r w:rsidRPr="00C85C80">
        <w:rPr>
          <w:rFonts w:ascii="Arial" w:hAnsi="Arial" w:cs="Arial"/>
          <w:b/>
          <w:bCs/>
        </w:rPr>
        <w:t>2.2. Data and software used</w:t>
      </w:r>
    </w:p>
    <w:p w14:paraId="16C40323" w14:textId="381F72FC" w:rsidR="002A0669" w:rsidRPr="00C85C80" w:rsidRDefault="002A0669" w:rsidP="005D26E6">
      <w:pPr>
        <w:spacing w:after="0" w:line="240" w:lineRule="auto"/>
        <w:jc w:val="both"/>
        <w:rPr>
          <w:rFonts w:ascii="Arial" w:hAnsi="Arial" w:cs="Arial"/>
          <w:sz w:val="20"/>
          <w:szCs w:val="20"/>
        </w:rPr>
      </w:pPr>
      <w:r w:rsidRPr="00C85C80">
        <w:rPr>
          <w:rFonts w:ascii="Arial" w:hAnsi="Arial" w:cs="Arial"/>
          <w:sz w:val="20"/>
          <w:szCs w:val="20"/>
        </w:rPr>
        <w:t xml:space="preserve">The data used in this study are of three types: satellite data, rainfall data, and soil data. For the satellite data, Landsat images covering the </w:t>
      </w:r>
      <w:proofErr w:type="spellStart"/>
      <w:r w:rsidRPr="00C85C80">
        <w:rPr>
          <w:rFonts w:ascii="Arial" w:hAnsi="Arial" w:cs="Arial"/>
          <w:sz w:val="20"/>
          <w:szCs w:val="20"/>
        </w:rPr>
        <w:t>Gourou</w:t>
      </w:r>
      <w:proofErr w:type="spellEnd"/>
      <w:r w:rsidRPr="00C85C80">
        <w:rPr>
          <w:rFonts w:ascii="Arial" w:hAnsi="Arial" w:cs="Arial"/>
          <w:sz w:val="20"/>
          <w:szCs w:val="20"/>
        </w:rPr>
        <w:t xml:space="preserve"> watershed were obtained from ETM + and OLI sensors, with a medium resolution (30m) and dating from 2002 and 2020 respectively. These images were acquired from the US Geological Survey ( USGS ) portal. The rainfall data used are from the years 2000 to 2020 for the city of Abidjan. </w:t>
      </w:r>
      <w:r w:rsidRPr="009244E4">
        <w:rPr>
          <w:rFonts w:ascii="Arial" w:hAnsi="Arial" w:cs="Arial"/>
          <w:sz w:val="20"/>
          <w:szCs w:val="20"/>
          <w:lang w:val="fr-FR"/>
        </w:rPr>
        <w:t xml:space="preserve">This data </w:t>
      </w:r>
      <w:proofErr w:type="spellStart"/>
      <w:r w:rsidRPr="009244E4">
        <w:rPr>
          <w:rFonts w:ascii="Arial" w:hAnsi="Arial" w:cs="Arial"/>
          <w:sz w:val="20"/>
          <w:szCs w:val="20"/>
          <w:lang w:val="fr-FR"/>
        </w:rPr>
        <w:t>was</w:t>
      </w:r>
      <w:proofErr w:type="spellEnd"/>
      <w:r w:rsidRPr="009244E4">
        <w:rPr>
          <w:rFonts w:ascii="Arial" w:hAnsi="Arial" w:cs="Arial"/>
          <w:sz w:val="20"/>
          <w:szCs w:val="20"/>
          <w:lang w:val="fr-FR"/>
        </w:rPr>
        <w:t xml:space="preserve"> </w:t>
      </w:r>
      <w:proofErr w:type="spellStart"/>
      <w:r w:rsidRPr="009244E4">
        <w:rPr>
          <w:rFonts w:ascii="Arial" w:hAnsi="Arial" w:cs="Arial"/>
          <w:sz w:val="20"/>
          <w:szCs w:val="20"/>
          <w:lang w:val="fr-FR"/>
        </w:rPr>
        <w:t>provided</w:t>
      </w:r>
      <w:proofErr w:type="spellEnd"/>
      <w:r w:rsidRPr="009244E4">
        <w:rPr>
          <w:rFonts w:ascii="Arial" w:hAnsi="Arial" w:cs="Arial"/>
          <w:sz w:val="20"/>
          <w:szCs w:val="20"/>
          <w:lang w:val="fr-FR"/>
        </w:rPr>
        <w:t xml:space="preserve"> by the Société d'Exploitation et de Développement Aéroportuaire, Aéronautique et Météorologue (SODEXAM). </w:t>
      </w:r>
      <w:r w:rsidRPr="00C85C80">
        <w:rPr>
          <w:rFonts w:ascii="Arial" w:hAnsi="Arial" w:cs="Arial"/>
          <w:sz w:val="20"/>
          <w:szCs w:val="20"/>
        </w:rPr>
        <w:t xml:space="preserve">The FAO's World Soil Database was downloaded from </w:t>
      </w:r>
      <w:hyperlink r:id="rId17" w:history="1">
        <w:r w:rsidR="007D071F" w:rsidRPr="00DF684F">
          <w:rPr>
            <w:rStyle w:val="Hyperlink"/>
            <w:rFonts w:ascii="Arial" w:hAnsi="Arial" w:cs="Arial"/>
            <w:sz w:val="20"/>
            <w:szCs w:val="20"/>
          </w:rPr>
          <w:t>http://www.iiasa.ac.at/Research/LUC/External-World-soil-database/HTML/</w:t>
        </w:r>
      </w:hyperlink>
      <w:r w:rsidRPr="00C85C80">
        <w:rPr>
          <w:rFonts w:ascii="Arial" w:hAnsi="Arial" w:cs="Arial"/>
          <w:sz w:val="20"/>
          <w:szCs w:val="20"/>
        </w:rPr>
        <w:t>.</w:t>
      </w:r>
      <w:r w:rsidR="007D071F">
        <w:rPr>
          <w:rFonts w:ascii="Arial" w:hAnsi="Arial" w:cs="Arial"/>
          <w:sz w:val="20"/>
          <w:szCs w:val="20"/>
        </w:rPr>
        <w:t xml:space="preserve"> </w:t>
      </w:r>
      <w:r w:rsidRPr="00C85C80">
        <w:rPr>
          <w:rFonts w:ascii="Arial" w:hAnsi="Arial" w:cs="Arial"/>
          <w:sz w:val="20"/>
          <w:szCs w:val="20"/>
        </w:rPr>
        <w:t>This database consists of an Access file containing important information on soil types worldwide and a digital world map showing the different soil type units. This database was used to determine soil erodibility (the K factor).</w:t>
      </w:r>
    </w:p>
    <w:p w14:paraId="78B908E3" w14:textId="45663450" w:rsidR="002A0669" w:rsidRPr="00C85C80" w:rsidRDefault="002A0669" w:rsidP="005D26E6">
      <w:pPr>
        <w:spacing w:line="240" w:lineRule="auto"/>
        <w:jc w:val="both"/>
        <w:rPr>
          <w:rFonts w:ascii="Arial" w:hAnsi="Arial" w:cs="Arial"/>
          <w:sz w:val="20"/>
          <w:szCs w:val="20"/>
        </w:rPr>
      </w:pPr>
      <w:r w:rsidRPr="00C85C80">
        <w:rPr>
          <w:rFonts w:ascii="Arial" w:hAnsi="Arial" w:cs="Arial"/>
          <w:sz w:val="20"/>
          <w:szCs w:val="20"/>
        </w:rPr>
        <w:t>Excel was used to organize and analyze climate data. It also enabled the calculation of certain parameters for the RUSLE model . Envi 4.7 software was used for the digital processing of satellite images. ArcGIS version 10.4.1 was used to create the various land cover maps.</w:t>
      </w:r>
      <w:bookmarkStart w:id="3" w:name="_Toc130219918"/>
    </w:p>
    <w:p w14:paraId="525B49EF" w14:textId="6ADD1D4F" w:rsidR="002A0669" w:rsidRPr="00C85C80" w:rsidRDefault="00D7615B" w:rsidP="002A0669">
      <w:pPr>
        <w:spacing w:line="360" w:lineRule="auto"/>
        <w:jc w:val="both"/>
        <w:rPr>
          <w:rFonts w:ascii="Arial" w:hAnsi="Arial" w:cs="Arial"/>
          <w:b/>
          <w:bCs/>
        </w:rPr>
      </w:pPr>
      <w:r w:rsidRPr="00C85C80">
        <w:rPr>
          <w:rFonts w:ascii="Arial" w:hAnsi="Arial" w:cs="Arial"/>
          <w:b/>
          <w:bCs/>
        </w:rPr>
        <w:t>2.3. Land cover mapping from 2002 to 2020</w:t>
      </w:r>
    </w:p>
    <w:bookmarkEnd w:id="3"/>
    <w:p w14:paraId="4510A03D" w14:textId="22F69537" w:rsidR="00F11F6F" w:rsidRPr="00C85C80" w:rsidRDefault="002A0669" w:rsidP="005D26E6">
      <w:pPr>
        <w:spacing w:line="240" w:lineRule="auto"/>
        <w:ind w:firstLine="708"/>
        <w:jc w:val="both"/>
        <w:rPr>
          <w:rFonts w:ascii="Arial" w:hAnsi="Arial" w:cs="Arial"/>
          <w:sz w:val="20"/>
          <w:szCs w:val="20"/>
        </w:rPr>
      </w:pPr>
      <w:r w:rsidRPr="00C85C80">
        <w:rPr>
          <w:rFonts w:ascii="Arial" w:hAnsi="Arial" w:cs="Arial"/>
          <w:sz w:val="20"/>
          <w:szCs w:val="20"/>
        </w:rPr>
        <w:t xml:space="preserve">Digital image processing began with the extraction of the entire scene's study area using ENVI 4.7 software. After extracting the study area, we performed color composites, using 4/5/3 band combinations for the Landsat 7 image and 5/6/4 for the Landsat 8 image, as these combinations offer the best discrimination between land cover types (Chatelain, 1996; Girard &amp; Girard, 1999; Oszwald , 2005). Based on the 2020 color composite image, points were selected according to their hue. Field missions were conducted to identify the classes corresponding to the areas marked on the color composite. Following these field missions, based on the similarity of hues, and therefore reflectances, the initially identified points were grouped into three land cover classes. These are : (i) </w:t>
      </w:r>
      <w:r w:rsidR="006F1516" w:rsidRPr="00C85C80">
        <w:rPr>
          <w:rFonts w:ascii="Arial" w:hAnsi="Arial" w:cs="Arial"/>
          <w:bCs/>
          <w:sz w:val="20"/>
          <w:szCs w:val="20"/>
        </w:rPr>
        <w:t xml:space="preserve">low-lying areas/cultivated land </w:t>
      </w:r>
      <w:r w:rsidRPr="00C85C80">
        <w:rPr>
          <w:rFonts w:ascii="Arial" w:hAnsi="Arial" w:cs="Arial"/>
          <w:sz w:val="20"/>
          <w:szCs w:val="20"/>
        </w:rPr>
        <w:t>, (ii) buildings and bare soil, and (iii) parks and gardens. A supervised classification using the maximum likelihood algorithm was performed on these classes (</w:t>
      </w:r>
      <w:bookmarkStart w:id="4" w:name="_Hlk214460516"/>
      <w:r w:rsidRPr="00C85C80">
        <w:rPr>
          <w:rFonts w:ascii="Arial" w:hAnsi="Arial" w:cs="Arial"/>
          <w:sz w:val="20"/>
          <w:szCs w:val="20"/>
        </w:rPr>
        <w:t xml:space="preserve">Brou </w:t>
      </w:r>
      <w:r w:rsidRPr="00C85C80">
        <w:rPr>
          <w:rFonts w:ascii="Arial" w:hAnsi="Arial" w:cs="Arial"/>
          <w:i/>
          <w:iCs/>
          <w:sz w:val="20"/>
          <w:szCs w:val="20"/>
        </w:rPr>
        <w:t>et al</w:t>
      </w:r>
      <w:r w:rsidRPr="00C85C80">
        <w:rPr>
          <w:rFonts w:ascii="Arial" w:hAnsi="Arial" w:cs="Arial"/>
          <w:sz w:val="20"/>
          <w:szCs w:val="20"/>
        </w:rPr>
        <w:t>., 2005)</w:t>
      </w:r>
      <w:bookmarkEnd w:id="4"/>
      <w:r w:rsidRPr="00C85C80">
        <w:rPr>
          <w:rFonts w:ascii="Arial" w:hAnsi="Arial" w:cs="Arial"/>
          <w:sz w:val="20"/>
          <w:szCs w:val="20"/>
        </w:rPr>
        <w:t>. The quality of the classifications was assessed using the Kappa coefficient obtained from the confusion matrix (Girard &amp; Girard, 1999). A classification is considered accepted when the Kappa coefficient is greater than 0.61 (</w:t>
      </w:r>
      <w:bookmarkStart w:id="5" w:name="_Hlk214460592"/>
      <w:r w:rsidRPr="00C85C80">
        <w:rPr>
          <w:rFonts w:ascii="Arial" w:hAnsi="Arial" w:cs="Arial"/>
          <w:sz w:val="20"/>
          <w:szCs w:val="20"/>
        </w:rPr>
        <w:t>Landis &amp; Koch, 1977</w:t>
      </w:r>
      <w:bookmarkEnd w:id="5"/>
      <w:r w:rsidRPr="00C85C80">
        <w:rPr>
          <w:rFonts w:ascii="Arial" w:hAnsi="Arial" w:cs="Arial"/>
          <w:sz w:val="20"/>
          <w:szCs w:val="20"/>
        </w:rPr>
        <w:t>).</w:t>
      </w:r>
    </w:p>
    <w:p w14:paraId="111D02C2" w14:textId="66D96DE5" w:rsidR="00DC5C04" w:rsidRPr="00C85C80" w:rsidRDefault="00D7615B" w:rsidP="00941C95">
      <w:pPr>
        <w:spacing w:line="240" w:lineRule="auto"/>
        <w:jc w:val="both"/>
        <w:rPr>
          <w:rFonts w:ascii="Arial" w:hAnsi="Arial" w:cs="Arial"/>
          <w:b/>
          <w:bCs/>
        </w:rPr>
      </w:pPr>
      <w:r w:rsidRPr="00C85C80">
        <w:rPr>
          <w:rFonts w:ascii="Arial" w:hAnsi="Arial" w:cs="Arial"/>
          <w:b/>
          <w:bCs/>
        </w:rPr>
        <w:lastRenderedPageBreak/>
        <w:t>2.4. Analysis of the spatio-temporal dynamics that occurred in vegetation cover from 2002 to 2020</w:t>
      </w:r>
    </w:p>
    <w:p w14:paraId="3AC3DCE1" w14:textId="77777777" w:rsidR="002A0669" w:rsidRPr="00C85C80" w:rsidRDefault="002A0669" w:rsidP="000712E2">
      <w:pPr>
        <w:spacing w:line="240" w:lineRule="auto"/>
        <w:jc w:val="both"/>
        <w:rPr>
          <w:rFonts w:ascii="Arial" w:hAnsi="Arial" w:cs="Arial"/>
          <w:sz w:val="20"/>
          <w:szCs w:val="20"/>
        </w:rPr>
      </w:pPr>
      <w:r w:rsidRPr="00C85C80">
        <w:rPr>
          <w:rFonts w:ascii="Arial" w:hAnsi="Arial" w:cs="Arial"/>
          <w:sz w:val="20"/>
          <w:szCs w:val="20"/>
        </w:rPr>
        <w:t xml:space="preserve">To assess overall gains and losses over the period considered, changes in surface area were calculated between different dates based on the formula established by ( </w:t>
      </w:r>
      <w:bookmarkStart w:id="6" w:name="_Hlk214460673"/>
      <w:proofErr w:type="spellStart"/>
      <w:r w:rsidRPr="00C85C80">
        <w:rPr>
          <w:rFonts w:ascii="Arial" w:hAnsi="Arial" w:cs="Arial"/>
          <w:sz w:val="20"/>
          <w:szCs w:val="20"/>
        </w:rPr>
        <w:t>Toyi</w:t>
      </w:r>
      <w:proofErr w:type="spellEnd"/>
      <w:r w:rsidRPr="00C85C80">
        <w:rPr>
          <w:rFonts w:ascii="Arial" w:hAnsi="Arial" w:cs="Arial"/>
          <w:sz w:val="20"/>
          <w:szCs w:val="20"/>
        </w:rPr>
        <w:t xml:space="preserve"> </w:t>
      </w:r>
      <w:r w:rsidRPr="00C85C80">
        <w:rPr>
          <w:rFonts w:ascii="Arial" w:hAnsi="Arial" w:cs="Arial"/>
          <w:i/>
          <w:iCs/>
          <w:sz w:val="20"/>
          <w:szCs w:val="20"/>
        </w:rPr>
        <w:t xml:space="preserve">et al. </w:t>
      </w:r>
      <w:r w:rsidRPr="00C85C80">
        <w:rPr>
          <w:rFonts w:ascii="Arial" w:hAnsi="Arial" w:cs="Arial"/>
          <w:sz w:val="20"/>
          <w:szCs w:val="20"/>
        </w:rPr>
        <w:t xml:space="preserve">, 2013) </w:t>
      </w:r>
      <w:bookmarkEnd w:id="6"/>
      <w:r w:rsidRPr="00C85C80">
        <w:rPr>
          <w:rFonts w:ascii="Arial" w:hAnsi="Arial" w:cs="Arial"/>
          <w:sz w:val="20"/>
          <w:szCs w:val="20"/>
        </w:rPr>
        <w:t>.</w:t>
      </w:r>
    </w:p>
    <w:p w14:paraId="0E9A3FC6" w14:textId="77777777" w:rsidR="000712E2" w:rsidRPr="00C85C80" w:rsidRDefault="000712E2" w:rsidP="000712E2">
      <w:pPr>
        <w:spacing w:line="240" w:lineRule="auto"/>
        <w:jc w:val="both"/>
        <w:rPr>
          <w:rFonts w:ascii="Arial" w:hAnsi="Arial" w:cs="Arial"/>
          <w:sz w:val="20"/>
          <w:szCs w:val="20"/>
        </w:rPr>
      </w:pPr>
    </w:p>
    <w:p w14:paraId="06FD720B" w14:textId="7B0AA545" w:rsidR="002A0669" w:rsidRPr="008B4B7E" w:rsidRDefault="002A0669" w:rsidP="002A0669">
      <w:pPr>
        <w:jc w:val="center"/>
        <w:rPr>
          <w:rFonts w:ascii="Arial" w:hAnsi="Arial" w:cs="Arial"/>
          <w:sz w:val="20"/>
          <w:szCs w:val="20"/>
        </w:rPr>
      </w:pPr>
      <w:r w:rsidRPr="008B4B7E">
        <w:rPr>
          <w:rFonts w:ascii="Arial" w:hAnsi="Arial" w:cs="Arial"/>
          <w:sz w:val="20"/>
          <w:szCs w:val="20"/>
        </w:rPr>
        <w:t>Tg = [(S 2 - S 1) / S 1] x 100 Equation 1</w:t>
      </w:r>
    </w:p>
    <w:p w14:paraId="440CBC5B" w14:textId="2F0181F6" w:rsidR="002A0669" w:rsidRPr="00C85C80" w:rsidRDefault="002A0669" w:rsidP="000712E2">
      <w:pPr>
        <w:spacing w:after="0" w:line="240" w:lineRule="auto"/>
        <w:jc w:val="both"/>
        <w:rPr>
          <w:rFonts w:ascii="Arial" w:hAnsi="Arial" w:cs="Arial"/>
          <w:sz w:val="20"/>
          <w:szCs w:val="20"/>
        </w:rPr>
      </w:pPr>
      <w:r w:rsidRPr="00C85C80">
        <w:rPr>
          <w:rFonts w:ascii="Arial" w:hAnsi="Arial" w:cs="Arial"/>
          <w:b/>
          <w:sz w:val="20"/>
          <w:szCs w:val="20"/>
        </w:rPr>
        <w:t xml:space="preserve">Tg </w:t>
      </w:r>
      <w:r w:rsidRPr="00C85C80">
        <w:rPr>
          <w:rFonts w:ascii="Arial" w:hAnsi="Arial" w:cs="Arial"/>
          <w:sz w:val="20"/>
          <w:szCs w:val="20"/>
        </w:rPr>
        <w:t>= rate of change (%).</w:t>
      </w:r>
    </w:p>
    <w:p w14:paraId="37A2B6EA" w14:textId="552D3D75" w:rsidR="002A0669" w:rsidRPr="00C85C80" w:rsidRDefault="002A0669" w:rsidP="002A0669">
      <w:pPr>
        <w:spacing w:line="360" w:lineRule="auto"/>
        <w:jc w:val="both"/>
        <w:rPr>
          <w:rFonts w:ascii="Arial" w:hAnsi="Arial" w:cs="Arial"/>
          <w:b/>
          <w:sz w:val="20"/>
          <w:szCs w:val="20"/>
        </w:rPr>
      </w:pPr>
      <w:r w:rsidRPr="00C85C80">
        <w:rPr>
          <w:rFonts w:ascii="Arial" w:hAnsi="Arial" w:cs="Arial"/>
          <w:b/>
          <w:sz w:val="20"/>
          <w:szCs w:val="20"/>
        </w:rPr>
        <w:t xml:space="preserve">S </w:t>
      </w:r>
      <w:r w:rsidRPr="00C85C80">
        <w:rPr>
          <w:rFonts w:ascii="Arial" w:hAnsi="Arial" w:cs="Arial"/>
          <w:b/>
          <w:sz w:val="20"/>
          <w:szCs w:val="20"/>
          <w:vertAlign w:val="subscript"/>
        </w:rPr>
        <w:t>1</w:t>
      </w:r>
      <w:r w:rsidRPr="00C85C80">
        <w:rPr>
          <w:rFonts w:ascii="Arial" w:hAnsi="Arial" w:cs="Arial"/>
          <w:b/>
          <w:sz w:val="20"/>
          <w:szCs w:val="20"/>
        </w:rPr>
        <w:t xml:space="preserve"> </w:t>
      </w:r>
      <w:r w:rsidRPr="00C85C80">
        <w:rPr>
          <w:rFonts w:ascii="Arial" w:hAnsi="Arial" w:cs="Arial"/>
          <w:sz w:val="20"/>
          <w:szCs w:val="20"/>
        </w:rPr>
        <w:t xml:space="preserve">= Area of the class at time t </w:t>
      </w:r>
      <w:r w:rsidRPr="00C85C80">
        <w:rPr>
          <w:rFonts w:ascii="Arial" w:hAnsi="Arial" w:cs="Arial"/>
          <w:sz w:val="20"/>
          <w:szCs w:val="20"/>
          <w:vertAlign w:val="subscript"/>
        </w:rPr>
        <w:t xml:space="preserve">1 </w:t>
      </w:r>
      <w:r w:rsidRPr="00C85C80">
        <w:rPr>
          <w:rFonts w:ascii="Arial" w:hAnsi="Arial" w:cs="Arial"/>
          <w:sz w:val="20"/>
          <w:szCs w:val="20"/>
        </w:rPr>
        <w:t xml:space="preserve">; </w:t>
      </w:r>
      <w:r w:rsidRPr="00C85C80">
        <w:rPr>
          <w:rFonts w:ascii="Arial" w:hAnsi="Arial" w:cs="Arial"/>
          <w:b/>
          <w:sz w:val="20"/>
          <w:szCs w:val="20"/>
        </w:rPr>
        <w:t xml:space="preserve">S </w:t>
      </w:r>
      <w:r w:rsidRPr="00C85C80">
        <w:rPr>
          <w:rFonts w:ascii="Arial" w:hAnsi="Arial" w:cs="Arial"/>
          <w:b/>
          <w:sz w:val="20"/>
          <w:szCs w:val="20"/>
          <w:vertAlign w:val="subscript"/>
        </w:rPr>
        <w:t xml:space="preserve">2 </w:t>
      </w:r>
      <w:r w:rsidRPr="00C85C80">
        <w:rPr>
          <w:rFonts w:ascii="Arial" w:hAnsi="Arial" w:cs="Arial"/>
          <w:sz w:val="20"/>
          <w:szCs w:val="20"/>
        </w:rPr>
        <w:t xml:space="preserve">= Area of the class at time t </w:t>
      </w:r>
      <w:r w:rsidRPr="00C85C80">
        <w:rPr>
          <w:rFonts w:ascii="Arial" w:hAnsi="Arial" w:cs="Arial"/>
          <w:sz w:val="20"/>
          <w:szCs w:val="20"/>
          <w:vertAlign w:val="subscript"/>
        </w:rPr>
        <w:t xml:space="preserve">2 </w:t>
      </w:r>
      <w:r w:rsidRPr="00C85C80">
        <w:rPr>
          <w:rFonts w:ascii="Arial" w:hAnsi="Arial" w:cs="Arial"/>
          <w:sz w:val="20"/>
          <w:szCs w:val="20"/>
        </w:rPr>
        <w:t xml:space="preserve">(t </w:t>
      </w:r>
      <w:r w:rsidRPr="00C85C80">
        <w:rPr>
          <w:rFonts w:ascii="Arial" w:hAnsi="Arial" w:cs="Arial"/>
          <w:sz w:val="20"/>
          <w:szCs w:val="20"/>
          <w:vertAlign w:val="subscript"/>
        </w:rPr>
        <w:t xml:space="preserve">2 </w:t>
      </w:r>
      <w:r w:rsidRPr="00C85C80">
        <w:rPr>
          <w:rFonts w:ascii="Arial" w:hAnsi="Arial" w:cs="Arial"/>
          <w:sz w:val="20"/>
          <w:szCs w:val="20"/>
        </w:rPr>
        <w:t xml:space="preserve">&gt; t </w:t>
      </w:r>
      <w:r w:rsidRPr="00C85C80">
        <w:rPr>
          <w:rFonts w:ascii="Arial" w:hAnsi="Arial" w:cs="Arial"/>
          <w:sz w:val="20"/>
          <w:szCs w:val="20"/>
          <w:vertAlign w:val="subscript"/>
        </w:rPr>
        <w:t xml:space="preserve">1 </w:t>
      </w:r>
      <w:r w:rsidRPr="00C85C80">
        <w:rPr>
          <w:rFonts w:ascii="Arial" w:hAnsi="Arial" w:cs="Arial"/>
          <w:sz w:val="20"/>
          <w:szCs w:val="20"/>
        </w:rPr>
        <w:t>).</w:t>
      </w:r>
    </w:p>
    <w:p w14:paraId="328CD1B4" w14:textId="2ABDB056" w:rsidR="002A0669" w:rsidRPr="00C85C80" w:rsidRDefault="002A0669" w:rsidP="000712E2">
      <w:pPr>
        <w:spacing w:line="240" w:lineRule="auto"/>
        <w:jc w:val="both"/>
        <w:rPr>
          <w:rFonts w:ascii="Arial" w:hAnsi="Arial" w:cs="Arial"/>
          <w:sz w:val="20"/>
          <w:szCs w:val="20"/>
        </w:rPr>
      </w:pPr>
      <w:r w:rsidRPr="00C85C80">
        <w:rPr>
          <w:rFonts w:ascii="Arial" w:hAnsi="Arial" w:cs="Arial"/>
          <w:sz w:val="20"/>
          <w:szCs w:val="20"/>
        </w:rPr>
        <w:t xml:space="preserve">In a second step, we assessed the changes that occurred within each land cover unit considered individually. This analysis was carried out by calculating the rate of change (Tc), or average annual rate of spatial expansion, commonly used in land cover change studies ( </w:t>
      </w:r>
      <w:bookmarkStart w:id="7" w:name="_Hlk214460748"/>
      <w:r w:rsidRPr="00C85C80">
        <w:rPr>
          <w:rFonts w:ascii="Arial" w:hAnsi="Arial" w:cs="Arial"/>
          <w:sz w:val="20"/>
          <w:szCs w:val="20"/>
        </w:rPr>
        <w:t xml:space="preserve">FAO, 1996 </w:t>
      </w:r>
      <w:bookmarkEnd w:id="7"/>
      <w:r w:rsidRPr="00C85C80">
        <w:rPr>
          <w:rFonts w:ascii="Arial" w:hAnsi="Arial" w:cs="Arial"/>
          <w:sz w:val="20"/>
          <w:szCs w:val="20"/>
        </w:rPr>
        <w:t>). The analysis of the rate of change values shows that positive values indicate "progression" and</w:t>
      </w:r>
      <w:r w:rsidRPr="00C85C80">
        <w:rPr>
          <w:rFonts w:ascii="Times New Roman" w:hAnsi="Times New Roman" w:cs="Times New Roman"/>
          <w:sz w:val="24"/>
          <w:szCs w:val="24"/>
        </w:rPr>
        <w:t xml:space="preserve"> </w:t>
      </w:r>
      <w:r w:rsidRPr="00C85C80">
        <w:rPr>
          <w:rFonts w:ascii="Arial" w:hAnsi="Arial" w:cs="Arial"/>
          <w:sz w:val="20"/>
          <w:szCs w:val="20"/>
        </w:rPr>
        <w:t>Negative values indicate "regression". Values close to zero indicate that the class is relatively "stable".</w:t>
      </w:r>
    </w:p>
    <w:p w14:paraId="5F55A780" w14:textId="3CC6E12C" w:rsidR="002A0669" w:rsidRPr="00C85C80" w:rsidRDefault="002A0669" w:rsidP="000712E2">
      <w:pPr>
        <w:spacing w:line="240" w:lineRule="auto"/>
        <w:jc w:val="both"/>
        <w:rPr>
          <w:rFonts w:ascii="Arial" w:hAnsi="Arial" w:cs="Arial"/>
          <w:sz w:val="20"/>
          <w:szCs w:val="20"/>
        </w:rPr>
      </w:pPr>
      <w:r w:rsidRPr="00C85C80">
        <w:rPr>
          <w:rFonts w:ascii="Arial" w:hAnsi="Arial" w:cs="Arial"/>
          <w:sz w:val="20"/>
          <w:szCs w:val="20"/>
        </w:rPr>
        <w:t>These rates of change are calculated using the following equation:</w:t>
      </w:r>
    </w:p>
    <w:p w14:paraId="7407D3C8" w14:textId="1C525D55" w:rsidR="002A0669" w:rsidRPr="00C85C80" w:rsidRDefault="002A0669" w:rsidP="000712E2">
      <w:pPr>
        <w:spacing w:line="240" w:lineRule="auto"/>
        <w:jc w:val="center"/>
        <w:rPr>
          <w:rFonts w:ascii="Arial" w:hAnsi="Arial" w:cs="Arial"/>
          <w:sz w:val="20"/>
          <w:szCs w:val="20"/>
        </w:rPr>
      </w:pPr>
      <w:r w:rsidRPr="008B4B7E">
        <w:rPr>
          <w:rFonts w:ascii="Arial" w:hAnsi="Arial" w:cs="Arial"/>
          <w:sz w:val="20"/>
          <w:szCs w:val="20"/>
        </w:rPr>
        <w:t xml:space="preserve">Tc = [(S </w:t>
      </w:r>
      <w:r w:rsidRPr="008B4B7E">
        <w:rPr>
          <w:rFonts w:ascii="Arial" w:hAnsi="Arial" w:cs="Arial"/>
          <w:sz w:val="20"/>
          <w:szCs w:val="20"/>
          <w:vertAlign w:val="subscript"/>
        </w:rPr>
        <w:t xml:space="preserve">2 </w:t>
      </w:r>
      <w:r w:rsidRPr="008B4B7E">
        <w:rPr>
          <w:rFonts w:ascii="Arial" w:hAnsi="Arial" w:cs="Arial"/>
          <w:sz w:val="20"/>
          <w:szCs w:val="20"/>
        </w:rPr>
        <w:t xml:space="preserve">/ S </w:t>
      </w:r>
      <w:proofErr w:type="gramStart"/>
      <w:r w:rsidRPr="008B4B7E">
        <w:rPr>
          <w:rFonts w:ascii="Arial" w:hAnsi="Arial" w:cs="Arial"/>
          <w:sz w:val="20"/>
          <w:szCs w:val="20"/>
          <w:vertAlign w:val="subscript"/>
        </w:rPr>
        <w:t xml:space="preserve">1 </w:t>
      </w:r>
      <w:r w:rsidRPr="008B4B7E">
        <w:rPr>
          <w:rFonts w:ascii="Arial" w:hAnsi="Arial" w:cs="Arial"/>
          <w:sz w:val="20"/>
          <w:szCs w:val="20"/>
        </w:rPr>
        <w:t>)</w:t>
      </w:r>
      <w:proofErr w:type="gramEnd"/>
      <w:r w:rsidRPr="008B4B7E">
        <w:rPr>
          <w:rFonts w:ascii="Arial" w:hAnsi="Arial" w:cs="Arial"/>
          <w:sz w:val="20"/>
          <w:szCs w:val="20"/>
        </w:rPr>
        <w:t xml:space="preserve"> </w:t>
      </w:r>
      <w:r w:rsidRPr="008B4B7E">
        <w:rPr>
          <w:rFonts w:ascii="Arial" w:hAnsi="Arial" w:cs="Arial"/>
          <w:sz w:val="20"/>
          <w:szCs w:val="20"/>
          <w:vertAlign w:val="superscript"/>
        </w:rPr>
        <w:t xml:space="preserve">1/t </w:t>
      </w:r>
      <w:r w:rsidRPr="008B4B7E">
        <w:rPr>
          <w:rFonts w:ascii="Arial" w:hAnsi="Arial" w:cs="Arial"/>
          <w:sz w:val="20"/>
          <w:szCs w:val="20"/>
        </w:rPr>
        <w:t>– 1] x 100</w:t>
      </w:r>
      <w:r w:rsidRPr="00C85C80">
        <w:rPr>
          <w:rFonts w:ascii="Arial" w:hAnsi="Arial" w:cs="Arial"/>
          <w:b/>
          <w:bCs/>
          <w:sz w:val="20"/>
          <w:szCs w:val="20"/>
        </w:rPr>
        <w:t xml:space="preserve"> </w:t>
      </w:r>
      <w:r w:rsidR="008B4B7E">
        <w:rPr>
          <w:rFonts w:ascii="Arial" w:hAnsi="Arial" w:cs="Arial"/>
          <w:b/>
          <w:bCs/>
          <w:sz w:val="20"/>
          <w:szCs w:val="20"/>
        </w:rPr>
        <w:t xml:space="preserve">  </w:t>
      </w:r>
      <w:r w:rsidR="002A054D" w:rsidRPr="00C85C80">
        <w:rPr>
          <w:rFonts w:ascii="Arial" w:hAnsi="Arial" w:cs="Arial"/>
          <w:sz w:val="20"/>
          <w:szCs w:val="20"/>
        </w:rPr>
        <w:t>Equation 2</w:t>
      </w:r>
    </w:p>
    <w:p w14:paraId="6B548A47" w14:textId="5DBA1FCE" w:rsidR="002A0669" w:rsidRPr="00C85C80" w:rsidRDefault="002A054D" w:rsidP="000712E2">
      <w:pPr>
        <w:spacing w:line="240" w:lineRule="auto"/>
        <w:jc w:val="both"/>
        <w:rPr>
          <w:rFonts w:ascii="Arial" w:hAnsi="Arial" w:cs="Arial"/>
          <w:sz w:val="20"/>
          <w:szCs w:val="20"/>
        </w:rPr>
      </w:pPr>
      <w:r w:rsidRPr="00C85C80">
        <w:rPr>
          <w:rFonts w:ascii="Arial" w:hAnsi="Arial" w:cs="Arial"/>
          <w:sz w:val="20"/>
          <w:szCs w:val="20"/>
        </w:rPr>
        <w:t xml:space="preserve">With: </w:t>
      </w:r>
      <w:r w:rsidR="002A0669" w:rsidRPr="00C85C80">
        <w:rPr>
          <w:rFonts w:ascii="Arial" w:hAnsi="Arial" w:cs="Arial"/>
          <w:b/>
          <w:sz w:val="20"/>
          <w:szCs w:val="20"/>
        </w:rPr>
        <w:t xml:space="preserve">Tc </w:t>
      </w:r>
      <w:r w:rsidR="002A0669" w:rsidRPr="00C85C80">
        <w:rPr>
          <w:rFonts w:ascii="Arial" w:hAnsi="Arial" w:cs="Arial"/>
          <w:sz w:val="20"/>
          <w:szCs w:val="20"/>
        </w:rPr>
        <w:t>= overall rate of change (%); t = Number of years between the two dates.</w:t>
      </w:r>
    </w:p>
    <w:p w14:paraId="77D31E4A" w14:textId="77777777" w:rsidR="000712E2" w:rsidRPr="00C85C80" w:rsidRDefault="000712E2" w:rsidP="000712E2">
      <w:pPr>
        <w:spacing w:line="240" w:lineRule="auto"/>
        <w:jc w:val="both"/>
        <w:rPr>
          <w:rFonts w:ascii="Arial" w:hAnsi="Arial" w:cs="Arial"/>
          <w:sz w:val="20"/>
          <w:szCs w:val="20"/>
        </w:rPr>
      </w:pPr>
    </w:p>
    <w:p w14:paraId="2549B1EB" w14:textId="16E18023" w:rsidR="002A0669" w:rsidRPr="00C85C80" w:rsidRDefault="00D7615B" w:rsidP="002A0669">
      <w:pPr>
        <w:jc w:val="both"/>
        <w:rPr>
          <w:rFonts w:ascii="Arial" w:hAnsi="Arial" w:cs="Arial"/>
          <w:b/>
          <w:bCs/>
          <w:color w:val="000000" w:themeColor="text1"/>
        </w:rPr>
      </w:pPr>
      <w:r w:rsidRPr="00C85C80">
        <w:rPr>
          <w:rFonts w:ascii="Arial" w:hAnsi="Arial" w:cs="Arial"/>
          <w:b/>
          <w:bCs/>
          <w:color w:val="000000" w:themeColor="text1"/>
        </w:rPr>
        <w:t>2.5. Estimation of soil losses</w:t>
      </w:r>
    </w:p>
    <w:p w14:paraId="0505CF2E" w14:textId="3758979B" w:rsidR="002A0669" w:rsidRPr="00C85C80" w:rsidRDefault="002A0669" w:rsidP="000712E2">
      <w:pPr>
        <w:spacing w:after="0" w:line="240" w:lineRule="auto"/>
        <w:jc w:val="both"/>
        <w:rPr>
          <w:rFonts w:ascii="Arial" w:hAnsi="Arial" w:cs="Arial"/>
          <w:sz w:val="20"/>
          <w:szCs w:val="20"/>
        </w:rPr>
      </w:pPr>
      <w:r w:rsidRPr="00C85C80">
        <w:rPr>
          <w:rFonts w:ascii="Arial" w:hAnsi="Arial" w:cs="Arial"/>
          <w:sz w:val="20"/>
          <w:szCs w:val="20"/>
        </w:rPr>
        <w:t xml:space="preserve">The application of the Universal Soil Loss Equation ( USLE ) by </w:t>
      </w:r>
      <w:bookmarkStart w:id="8" w:name="_Hlk214460912"/>
      <w:proofErr w:type="spellStart"/>
      <w:r w:rsidRPr="00C85C80">
        <w:rPr>
          <w:rFonts w:ascii="Arial" w:hAnsi="Arial" w:cs="Arial"/>
          <w:sz w:val="20"/>
          <w:szCs w:val="20"/>
        </w:rPr>
        <w:t>Wishmeier</w:t>
      </w:r>
      <w:proofErr w:type="spellEnd"/>
      <w:r w:rsidRPr="00C85C80">
        <w:rPr>
          <w:rFonts w:ascii="Arial" w:hAnsi="Arial" w:cs="Arial"/>
          <w:sz w:val="20"/>
          <w:szCs w:val="20"/>
        </w:rPr>
        <w:t xml:space="preserve"> &amp; Smith (1978) </w:t>
      </w:r>
      <w:bookmarkEnd w:id="8"/>
      <w:r w:rsidRPr="00C85C80">
        <w:rPr>
          <w:rFonts w:ascii="Arial" w:hAnsi="Arial" w:cs="Arial"/>
          <w:sz w:val="20"/>
          <w:szCs w:val="20"/>
        </w:rPr>
        <w:t xml:space="preserve">, through its integration into a GIS, enabled the spatial mapping of areas vulnerable to water erosion in the watershed under study. This mapping was performed by estimating the various parameters of the equation, including the R factor, the K factor, the LS factor, the land cover factor, and the P factor (Figure 2). The use of USLE for establishing and quantifying the water erosion rate of soils in the Gourou watershed is justified by its simplicity and its easy integration into a GIS. It has been used by numerous authors for this purpose, including </w:t>
      </w:r>
      <w:bookmarkStart w:id="9" w:name="_Hlk214460968"/>
      <w:proofErr w:type="spellStart"/>
      <w:r w:rsidRPr="00C85C80">
        <w:rPr>
          <w:rFonts w:ascii="Arial" w:hAnsi="Arial" w:cs="Arial"/>
          <w:sz w:val="20"/>
          <w:szCs w:val="20"/>
        </w:rPr>
        <w:t>Desmet</w:t>
      </w:r>
      <w:proofErr w:type="spellEnd"/>
      <w:r w:rsidRPr="00C85C80">
        <w:rPr>
          <w:rFonts w:ascii="Arial" w:hAnsi="Arial" w:cs="Arial"/>
          <w:sz w:val="20"/>
          <w:szCs w:val="20"/>
        </w:rPr>
        <w:t xml:space="preserve"> &amp; </w:t>
      </w:r>
      <w:proofErr w:type="spellStart"/>
      <w:r w:rsidRPr="00C85C80">
        <w:rPr>
          <w:rFonts w:ascii="Arial" w:hAnsi="Arial" w:cs="Arial"/>
          <w:sz w:val="20"/>
          <w:szCs w:val="20"/>
        </w:rPr>
        <w:t>Govers</w:t>
      </w:r>
      <w:proofErr w:type="spellEnd"/>
      <w:r w:rsidRPr="00C85C80">
        <w:rPr>
          <w:rFonts w:ascii="Arial" w:hAnsi="Arial" w:cs="Arial"/>
          <w:sz w:val="20"/>
          <w:szCs w:val="20"/>
        </w:rPr>
        <w:t xml:space="preserve"> (1996) and </w:t>
      </w:r>
      <w:proofErr w:type="spellStart"/>
      <w:r w:rsidRPr="00C85C80">
        <w:rPr>
          <w:rFonts w:ascii="Arial" w:hAnsi="Arial" w:cs="Arial"/>
          <w:sz w:val="20"/>
          <w:szCs w:val="20"/>
        </w:rPr>
        <w:t>Prasuhn</w:t>
      </w:r>
      <w:proofErr w:type="spellEnd"/>
      <w:r w:rsidRPr="00C85C80">
        <w:rPr>
          <w:rFonts w:ascii="Arial" w:hAnsi="Arial" w:cs="Arial"/>
          <w:sz w:val="20"/>
          <w:szCs w:val="20"/>
        </w:rPr>
        <w:t xml:space="preserve">. </w:t>
      </w:r>
      <w:r w:rsidRPr="00C85C80">
        <w:rPr>
          <w:rFonts w:ascii="Arial" w:hAnsi="Arial" w:cs="Arial"/>
          <w:i/>
          <w:iCs/>
          <w:sz w:val="20"/>
          <w:szCs w:val="20"/>
        </w:rPr>
        <w:t>et al</w:t>
      </w:r>
      <w:r w:rsidR="00F53D5C">
        <w:rPr>
          <w:rFonts w:ascii="Arial" w:hAnsi="Arial" w:cs="Arial"/>
          <w:i/>
          <w:iCs/>
          <w:sz w:val="20"/>
          <w:szCs w:val="20"/>
        </w:rPr>
        <w:t>. (</w:t>
      </w:r>
      <w:r w:rsidRPr="00C85C80">
        <w:rPr>
          <w:rFonts w:ascii="Arial" w:hAnsi="Arial" w:cs="Arial"/>
          <w:sz w:val="20"/>
          <w:szCs w:val="20"/>
        </w:rPr>
        <w:t>2013</w:t>
      </w:r>
      <w:r w:rsidR="00F53D5C">
        <w:rPr>
          <w:rFonts w:ascii="Arial" w:hAnsi="Arial" w:cs="Arial"/>
          <w:sz w:val="20"/>
          <w:szCs w:val="20"/>
        </w:rPr>
        <w:t>)</w:t>
      </w:r>
      <w:r w:rsidRPr="00C85C80">
        <w:rPr>
          <w:rFonts w:ascii="Arial" w:hAnsi="Arial" w:cs="Arial"/>
          <w:sz w:val="20"/>
          <w:szCs w:val="20"/>
        </w:rPr>
        <w:t xml:space="preserve">. </w:t>
      </w:r>
      <w:bookmarkEnd w:id="9"/>
      <w:r w:rsidRPr="00C85C80">
        <w:rPr>
          <w:rFonts w:ascii="Arial" w:hAnsi="Arial" w:cs="Arial"/>
          <w:sz w:val="20"/>
          <w:szCs w:val="20"/>
        </w:rPr>
        <w:t xml:space="preserve">Given that the </w:t>
      </w:r>
      <w:bookmarkStart w:id="10" w:name="_Hlk214461115"/>
      <w:r w:rsidRPr="00C85C80">
        <w:rPr>
          <w:rFonts w:ascii="Arial" w:hAnsi="Arial" w:cs="Arial"/>
          <w:sz w:val="20"/>
          <w:szCs w:val="20"/>
        </w:rPr>
        <w:t xml:space="preserve">Wischmeier &amp; Smith (1978) model </w:t>
      </w:r>
      <w:bookmarkEnd w:id="10"/>
      <w:r w:rsidRPr="00C85C80">
        <w:rPr>
          <w:rFonts w:ascii="Arial" w:hAnsi="Arial" w:cs="Arial"/>
          <w:sz w:val="20"/>
          <w:szCs w:val="20"/>
        </w:rPr>
        <w:t xml:space="preserve">(USLE) was designed for a local scale to assess soil losses from sheet erosion and runoff, its application for a regional assessment requires some modifications </w:t>
      </w:r>
      <w:bookmarkStart w:id="11" w:name="_Hlk214461144"/>
      <w:r w:rsidRPr="00C85C80">
        <w:rPr>
          <w:rFonts w:ascii="Arial" w:hAnsi="Arial" w:cs="Arial"/>
          <w:sz w:val="20"/>
          <w:szCs w:val="20"/>
        </w:rPr>
        <w:t>(</w:t>
      </w:r>
      <w:proofErr w:type="spellStart"/>
      <w:r w:rsidRPr="00C85C80">
        <w:rPr>
          <w:rFonts w:ascii="Arial" w:hAnsi="Arial" w:cs="Arial"/>
          <w:sz w:val="20"/>
          <w:szCs w:val="20"/>
        </w:rPr>
        <w:t>Sùri</w:t>
      </w:r>
      <w:proofErr w:type="spellEnd"/>
      <w:r w:rsidRPr="00C85C80">
        <w:rPr>
          <w:rFonts w:ascii="Arial" w:hAnsi="Arial" w:cs="Arial"/>
          <w:sz w:val="20"/>
          <w:szCs w:val="20"/>
        </w:rPr>
        <w:t xml:space="preserve"> </w:t>
      </w:r>
      <w:r w:rsidRPr="00C85C80">
        <w:rPr>
          <w:rFonts w:ascii="Arial" w:hAnsi="Arial" w:cs="Arial"/>
          <w:i/>
          <w:iCs/>
          <w:sz w:val="20"/>
          <w:szCs w:val="20"/>
        </w:rPr>
        <w:t>et al</w:t>
      </w:r>
      <w:r w:rsidRPr="00C85C80">
        <w:rPr>
          <w:rFonts w:ascii="Arial" w:hAnsi="Arial" w:cs="Arial"/>
          <w:sz w:val="20"/>
          <w:szCs w:val="20"/>
        </w:rPr>
        <w:t>., 2002)</w:t>
      </w:r>
      <w:bookmarkEnd w:id="11"/>
      <w:r w:rsidRPr="00C85C80">
        <w:rPr>
          <w:rFonts w:ascii="Arial" w:hAnsi="Arial" w:cs="Arial"/>
          <w:sz w:val="20"/>
          <w:szCs w:val="20"/>
        </w:rPr>
        <w:t xml:space="preserve">. Thus, the regional-scale soil erosion risk model is defined without the soil conservation factor (P), which is often considered invariant for regional assessments (P = 1) </w:t>
      </w:r>
      <w:bookmarkStart w:id="12" w:name="_Hlk214461222"/>
      <w:r w:rsidRPr="00C85C80">
        <w:rPr>
          <w:rFonts w:ascii="Arial" w:hAnsi="Arial" w:cs="Arial"/>
          <w:sz w:val="20"/>
          <w:szCs w:val="20"/>
        </w:rPr>
        <w:t xml:space="preserve">(N'go, 2015). </w:t>
      </w:r>
      <w:bookmarkEnd w:id="12"/>
      <w:r w:rsidRPr="00C85C80">
        <w:rPr>
          <w:rFonts w:ascii="Arial" w:hAnsi="Arial" w:cs="Arial"/>
          <w:sz w:val="20"/>
          <w:szCs w:val="20"/>
        </w:rPr>
        <w:t xml:space="preserve">Finally, soil loss maps were created by integrating the various soil loss parameters in ArcMap . Subsequently, these parameters were combined to obtain the soil loss map for the study area using its "Raster Calculator " tool. The classification adopted is the soil loss tolerance classification reported by </w:t>
      </w:r>
      <w:bookmarkStart w:id="13" w:name="_Hlk214461310"/>
      <w:r w:rsidRPr="00C85C80">
        <w:rPr>
          <w:rFonts w:ascii="Arial" w:hAnsi="Arial" w:cs="Arial"/>
          <w:sz w:val="20"/>
          <w:szCs w:val="20"/>
        </w:rPr>
        <w:t xml:space="preserve">Sadiki </w:t>
      </w:r>
      <w:r w:rsidRPr="00C85C80">
        <w:rPr>
          <w:rFonts w:ascii="Arial" w:hAnsi="Arial" w:cs="Arial"/>
          <w:i/>
          <w:iCs/>
          <w:sz w:val="20"/>
          <w:szCs w:val="20"/>
        </w:rPr>
        <w:t xml:space="preserve">et al </w:t>
      </w:r>
      <w:r w:rsidRPr="00C85C80">
        <w:rPr>
          <w:rFonts w:ascii="Arial" w:hAnsi="Arial" w:cs="Arial"/>
          <w:sz w:val="20"/>
          <w:szCs w:val="20"/>
        </w:rPr>
        <w:t xml:space="preserve">. (2004) </w:t>
      </w:r>
      <w:bookmarkEnd w:id="13"/>
      <w:r w:rsidRPr="00C85C80">
        <w:rPr>
          <w:rFonts w:ascii="Arial" w:hAnsi="Arial" w:cs="Arial"/>
          <w:sz w:val="20"/>
          <w:szCs w:val="20"/>
        </w:rPr>
        <w:t>. It assumes that, on average, agricultural soils can tolerate soil losses of up to 7.41 t/ha/yr while still allowing for a high level of agricultural production. When yields exceed 20 t/ha/year, losses are significant and soils become severely degraded, which can harm agricultural production (N'go, 2015). Soil loss is estimated using the following equation:</w:t>
      </w:r>
    </w:p>
    <w:p w14:paraId="3017C6F7" w14:textId="55F77FE5" w:rsidR="008A74F3" w:rsidRPr="00C85C80" w:rsidRDefault="00BD6BED" w:rsidP="00BD6BED">
      <w:pPr>
        <w:spacing w:line="278" w:lineRule="auto"/>
        <w:jc w:val="center"/>
        <w:rPr>
          <w:rFonts w:ascii="Arial" w:eastAsiaTheme="minorEastAsia" w:hAnsi="Arial" w:cs="Arial"/>
          <w:iCs/>
          <w:sz w:val="20"/>
          <w:szCs w:val="20"/>
        </w:rPr>
      </w:pPr>
      <m:oMath>
        <m:r>
          <m:rPr>
            <m:sty m:val="p"/>
          </m:rPr>
          <w:rPr>
            <w:rFonts w:ascii="Cambria Math" w:hAnsi="Cambria Math" w:cs="Arial"/>
            <w:sz w:val="20"/>
            <w:szCs w:val="20"/>
          </w:rPr>
          <m:t xml:space="preserve">A=R*K*LS*C*P      </m:t>
        </m:r>
      </m:oMath>
      <w:r w:rsidRPr="00C85C80">
        <w:rPr>
          <w:rFonts w:ascii="Arial" w:eastAsiaTheme="minorEastAsia" w:hAnsi="Arial" w:cs="Arial"/>
          <w:iCs/>
          <w:sz w:val="20"/>
          <w:szCs w:val="20"/>
        </w:rPr>
        <w:t>Equation 3</w:t>
      </w:r>
    </w:p>
    <w:p w14:paraId="5BCDDA26" w14:textId="3B5F6D19" w:rsidR="009D321D" w:rsidRPr="00C85C80" w:rsidRDefault="009D321D" w:rsidP="009D321D">
      <w:pPr>
        <w:spacing w:line="278" w:lineRule="auto"/>
        <w:rPr>
          <w:rFonts w:ascii="Arial" w:eastAsiaTheme="minorEastAsia" w:hAnsi="Arial" w:cs="Arial"/>
          <w:iCs/>
          <w:sz w:val="20"/>
          <w:szCs w:val="20"/>
        </w:rPr>
      </w:pPr>
      <w:r w:rsidRPr="00C85C80">
        <w:rPr>
          <w:rFonts w:ascii="Arial" w:eastAsiaTheme="minorEastAsia" w:hAnsi="Arial" w:cs="Arial"/>
          <w:iCs/>
          <w:sz w:val="20"/>
          <w:szCs w:val="20"/>
        </w:rPr>
        <w:t>With :</w:t>
      </w:r>
    </w:p>
    <w:p w14:paraId="067FBC63" w14:textId="18F6A5C3"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A: the average annual soil loss.</w:t>
      </w:r>
    </w:p>
    <w:p w14:paraId="6D6ACDDF" w14:textId="4941E15D"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R: the rainfall erosivity factor.</w:t>
      </w:r>
    </w:p>
    <w:p w14:paraId="3568CEC9" w14:textId="7F6F771C"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K: the soil erodibility factor.</w:t>
      </w:r>
    </w:p>
    <w:p w14:paraId="10D1C8B8" w14:textId="2139C135"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LS: the topographic factor (slope length).</w:t>
      </w:r>
    </w:p>
    <w:p w14:paraId="5B0DEA32" w14:textId="3FB5E2B3"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C: factor of vegetation cover and cultivation practices.</w:t>
      </w:r>
    </w:p>
    <w:p w14:paraId="5AC3101C" w14:textId="60B9F5F3" w:rsidR="008A74F3" w:rsidRPr="00C85C80" w:rsidRDefault="009D321D" w:rsidP="000712E2">
      <w:pPr>
        <w:spacing w:after="0" w:line="240" w:lineRule="auto"/>
        <w:rPr>
          <w:rFonts w:ascii="Arial" w:hAnsi="Arial" w:cs="Arial"/>
          <w:sz w:val="20"/>
          <w:szCs w:val="20"/>
        </w:rPr>
      </w:pPr>
      <w:r w:rsidRPr="00C85C80">
        <w:rPr>
          <w:rFonts w:ascii="Arial" w:hAnsi="Arial" w:cs="Arial"/>
          <w:sz w:val="20"/>
          <w:szCs w:val="20"/>
        </w:rPr>
        <w:t>P: the factor of conservation practices.</w:t>
      </w:r>
    </w:p>
    <w:p w14:paraId="3F5862E6" w14:textId="57231538" w:rsidR="00180D02" w:rsidRPr="00C85C80" w:rsidRDefault="000D4F39" w:rsidP="00036FFE">
      <w:pPr>
        <w:keepNext/>
        <w:spacing w:after="0" w:line="240" w:lineRule="auto"/>
        <w:jc w:val="both"/>
      </w:pPr>
      <w:r>
        <w:rPr>
          <w:noProof/>
        </w:rPr>
        <w:lastRenderedPageBreak/>
        <w:drawing>
          <wp:inline distT="0" distB="0" distL="0" distR="0" wp14:anchorId="43E270CE" wp14:editId="3CB43065">
            <wp:extent cx="5941366" cy="254064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0709" cy="2544636"/>
                    </a:xfrm>
                    <a:prstGeom prst="rect">
                      <a:avLst/>
                    </a:prstGeom>
                    <a:noFill/>
                  </pic:spPr>
                </pic:pic>
              </a:graphicData>
            </a:graphic>
          </wp:inline>
        </w:drawing>
      </w:r>
    </w:p>
    <w:p w14:paraId="7A836631" w14:textId="67B157C6" w:rsidR="002A0669" w:rsidRPr="00C85C80" w:rsidRDefault="00180D02" w:rsidP="00180D02">
      <w:pPr>
        <w:pStyle w:val="Caption"/>
        <w:jc w:val="both"/>
        <w:rPr>
          <w:rFonts w:ascii="Arial" w:hAnsi="Arial" w:cs="Arial"/>
          <w:i w:val="0"/>
          <w:iCs w:val="0"/>
          <w:color w:val="000000" w:themeColor="text1"/>
          <w:sz w:val="20"/>
          <w:szCs w:val="20"/>
        </w:rPr>
      </w:pPr>
      <w:r w:rsidRPr="000D4F39">
        <w:rPr>
          <w:rFonts w:ascii="Arial" w:hAnsi="Arial" w:cs="Arial"/>
          <w:b/>
          <w:bCs/>
          <w:i w:val="0"/>
          <w:iCs w:val="0"/>
          <w:color w:val="000000" w:themeColor="text1"/>
          <w:sz w:val="20"/>
          <w:szCs w:val="20"/>
        </w:rPr>
        <w:t>Fig.</w:t>
      </w:r>
      <w:r w:rsidRPr="000D4F39">
        <w:rPr>
          <w:rFonts w:ascii="Arial" w:hAnsi="Arial" w:cs="Arial"/>
          <w:b/>
          <w:bCs/>
          <w:i w:val="0"/>
          <w:iCs w:val="0"/>
          <w:color w:val="000000" w:themeColor="text1"/>
          <w:sz w:val="20"/>
          <w:szCs w:val="20"/>
        </w:rPr>
        <w:fldChar w:fldCharType="begin"/>
      </w:r>
      <w:r w:rsidRPr="000D4F39">
        <w:rPr>
          <w:rFonts w:ascii="Arial" w:hAnsi="Arial" w:cs="Arial"/>
          <w:b/>
          <w:bCs/>
          <w:i w:val="0"/>
          <w:iCs w:val="0"/>
          <w:color w:val="000000" w:themeColor="text1"/>
          <w:sz w:val="20"/>
          <w:szCs w:val="20"/>
        </w:rPr>
        <w:instrText xml:space="preserve"> SEQ Figure \* ARABIC </w:instrText>
      </w:r>
      <w:r w:rsidRPr="000D4F39">
        <w:rPr>
          <w:rFonts w:ascii="Arial" w:hAnsi="Arial" w:cs="Arial"/>
          <w:b/>
          <w:bCs/>
          <w:i w:val="0"/>
          <w:iCs w:val="0"/>
          <w:color w:val="000000" w:themeColor="text1"/>
          <w:sz w:val="20"/>
          <w:szCs w:val="20"/>
        </w:rPr>
        <w:fldChar w:fldCharType="separate"/>
      </w:r>
      <w:r w:rsidR="00880138" w:rsidRPr="000D4F39">
        <w:rPr>
          <w:rFonts w:ascii="Arial" w:hAnsi="Arial" w:cs="Arial"/>
          <w:b/>
          <w:bCs/>
          <w:i w:val="0"/>
          <w:iCs w:val="0"/>
          <w:color w:val="000000" w:themeColor="text1"/>
          <w:sz w:val="20"/>
          <w:szCs w:val="20"/>
        </w:rPr>
        <w:t xml:space="preserve">2 </w:t>
      </w:r>
      <w:r w:rsidRPr="000D4F39">
        <w:rPr>
          <w:rFonts w:ascii="Arial" w:hAnsi="Arial" w:cs="Arial"/>
          <w:b/>
          <w:bCs/>
          <w:i w:val="0"/>
          <w:iCs w:val="0"/>
          <w:color w:val="000000" w:themeColor="text1"/>
          <w:sz w:val="20"/>
          <w:szCs w:val="20"/>
        </w:rPr>
        <w:fldChar w:fldCharType="end"/>
      </w:r>
      <w:r w:rsidR="00036FFE" w:rsidRPr="000D4F39">
        <w:rPr>
          <w:rFonts w:ascii="Arial" w:hAnsi="Arial" w:cs="Arial"/>
          <w:b/>
          <w:bCs/>
          <w:i w:val="0"/>
          <w:iCs w:val="0"/>
          <w:color w:val="000000" w:themeColor="text1"/>
          <w:sz w:val="20"/>
          <w:szCs w:val="20"/>
        </w:rPr>
        <w:t>.</w:t>
      </w:r>
      <w:r w:rsidRPr="000D4F39">
        <w:rPr>
          <w:rFonts w:ascii="Arial" w:hAnsi="Arial" w:cs="Arial"/>
          <w:i w:val="0"/>
          <w:iCs w:val="0"/>
          <w:color w:val="000000" w:themeColor="text1"/>
          <w:sz w:val="20"/>
          <w:szCs w:val="20"/>
        </w:rPr>
        <w:t xml:space="preserve"> </w:t>
      </w:r>
      <w:r w:rsidRPr="000D4F39">
        <w:rPr>
          <w:rFonts w:ascii="Arial" w:hAnsi="Arial" w:cs="Arial"/>
          <w:b/>
          <w:bCs/>
          <w:i w:val="0"/>
          <w:iCs w:val="0"/>
          <w:color w:val="000000" w:themeColor="text1"/>
          <w:sz w:val="20"/>
          <w:szCs w:val="20"/>
        </w:rPr>
        <w:t>Steps in mapping water erosion hazard on the watershed</w:t>
      </w:r>
    </w:p>
    <w:p w14:paraId="3BF3D217" w14:textId="77777777" w:rsidR="000D4F39" w:rsidRDefault="000D4F39" w:rsidP="002A0669">
      <w:pPr>
        <w:spacing w:line="360" w:lineRule="auto"/>
        <w:rPr>
          <w:rFonts w:ascii="Arial" w:hAnsi="Arial" w:cs="Arial"/>
          <w:b/>
          <w:bCs/>
        </w:rPr>
      </w:pPr>
    </w:p>
    <w:p w14:paraId="3FAAC256" w14:textId="0C8A97F2" w:rsidR="006A052D" w:rsidRPr="00C85C80" w:rsidRDefault="00D7615B" w:rsidP="002A0669">
      <w:pPr>
        <w:spacing w:line="360" w:lineRule="auto"/>
        <w:rPr>
          <w:rFonts w:ascii="Arial" w:hAnsi="Arial" w:cs="Arial"/>
          <w:b/>
          <w:bCs/>
        </w:rPr>
      </w:pPr>
      <w:r w:rsidRPr="00C85C80">
        <w:rPr>
          <w:rFonts w:ascii="Arial" w:hAnsi="Arial" w:cs="Arial"/>
          <w:b/>
          <w:bCs/>
        </w:rPr>
        <w:t>3. RESULTS AND DISCUSSION</w:t>
      </w:r>
    </w:p>
    <w:p w14:paraId="1B3BBD62" w14:textId="1648AA7E" w:rsidR="00D7615B" w:rsidRPr="00C85C80" w:rsidRDefault="00D7615B" w:rsidP="002A0669">
      <w:pPr>
        <w:spacing w:line="360" w:lineRule="auto"/>
        <w:rPr>
          <w:rFonts w:ascii="Arial" w:hAnsi="Arial" w:cs="Arial"/>
          <w:b/>
          <w:bCs/>
        </w:rPr>
      </w:pPr>
      <w:r w:rsidRPr="00C85C80">
        <w:rPr>
          <w:rFonts w:ascii="Arial" w:hAnsi="Arial" w:cs="Arial"/>
          <w:b/>
          <w:bCs/>
        </w:rPr>
        <w:t>3.1. Results</w:t>
      </w:r>
    </w:p>
    <w:p w14:paraId="0F3BF6CB" w14:textId="37234A52" w:rsidR="002A0669" w:rsidRPr="00C85C80" w:rsidRDefault="00D7615B" w:rsidP="002A0669">
      <w:pPr>
        <w:spacing w:line="360" w:lineRule="auto"/>
        <w:rPr>
          <w:rFonts w:ascii="Arial" w:hAnsi="Arial" w:cs="Arial"/>
          <w:b/>
          <w:bCs/>
          <w:sz w:val="20"/>
          <w:szCs w:val="20"/>
          <w:u w:val="single"/>
        </w:rPr>
      </w:pPr>
      <w:r w:rsidRPr="00C85C80">
        <w:rPr>
          <w:rFonts w:ascii="Arial" w:hAnsi="Arial" w:cs="Arial"/>
          <w:b/>
          <w:bCs/>
          <w:sz w:val="20"/>
          <w:szCs w:val="20"/>
          <w:u w:val="single"/>
        </w:rPr>
        <w:t>3.1.1. Land cover maps of the 2002 and 2020 images</w:t>
      </w:r>
    </w:p>
    <w:p w14:paraId="0A7790C8" w14:textId="232952DF" w:rsidR="002A0669" w:rsidRPr="00C85C80" w:rsidRDefault="002A0669" w:rsidP="000712E2">
      <w:pPr>
        <w:pStyle w:val="ListParagraph"/>
        <w:spacing w:line="240" w:lineRule="auto"/>
        <w:ind w:left="0" w:firstLine="284"/>
        <w:jc w:val="both"/>
        <w:rPr>
          <w:rFonts w:ascii="Arial" w:hAnsi="Arial" w:cs="Arial"/>
          <w:bCs/>
          <w:sz w:val="20"/>
          <w:szCs w:val="20"/>
        </w:rPr>
      </w:pPr>
      <w:bookmarkStart w:id="14" w:name="_Toc130219925"/>
      <w:r w:rsidRPr="00C85C80">
        <w:rPr>
          <w:rFonts w:ascii="Arial" w:hAnsi="Arial" w:cs="Arial"/>
          <w:bCs/>
          <w:sz w:val="20"/>
          <w:szCs w:val="20"/>
        </w:rPr>
        <w:t xml:space="preserve">Digital processing of multispectral images enabled the creation of land cover maps for the Gourou watershed in 2002 and 2020 (Figure 3). Three land cover classes emerged from these maps: low-lying areas/cultivated land, parks and gardens, and built-up areas and bare soil. The images were well classified, with Kappa coefficients of 0.97 and 0.99 for 2002 and 2020, respectively. Visually, the landscape of the Gourou watershed in both 2002 and 2020 was dominated by </w:t>
      </w:r>
      <w:r w:rsidRPr="00C85C80">
        <w:rPr>
          <w:rFonts w:ascii="Arial" w:hAnsi="Arial" w:cs="Arial"/>
          <w:sz w:val="20"/>
          <w:szCs w:val="20"/>
        </w:rPr>
        <w:t>built-up areas and bare soil.</w:t>
      </w:r>
    </w:p>
    <w:p w14:paraId="0AB26377" w14:textId="6113C15A" w:rsidR="00180D02" w:rsidRPr="00C85C80" w:rsidRDefault="00710374" w:rsidP="00F8359B">
      <w:pPr>
        <w:pStyle w:val="ListParagraph"/>
        <w:keepNext/>
        <w:spacing w:after="0" w:line="360" w:lineRule="auto"/>
        <w:ind w:left="0" w:firstLine="284"/>
        <w:jc w:val="both"/>
      </w:pPr>
      <w:r w:rsidRPr="00C85C80">
        <w:rPr>
          <w:noProof/>
        </w:rPr>
        <w:drawing>
          <wp:inline distT="0" distB="0" distL="0" distR="0" wp14:anchorId="1FD6C42A" wp14:editId="4DED8F55">
            <wp:extent cx="5759450" cy="3395980"/>
            <wp:effectExtent l="0" t="0" r="0" b="0"/>
            <wp:docPr id="1486929774" name="Image 3">
              <a:extLst xmlns:a="http://schemas.openxmlformats.org/drawingml/2006/main">
                <a:ext uri="{FF2B5EF4-FFF2-40B4-BE49-F238E27FC236}">
                  <a16:creationId xmlns:a16="http://schemas.microsoft.com/office/drawing/2014/main" id="{5CDB8B67-5AA8-FC47-5DBF-6404E0057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CDB8B67-5AA8-FC47-5DBF-6404E0057C8B}"/>
                        </a:ext>
                      </a:extLst>
                    </pic:cNvPr>
                    <pic:cNvPicPr>
                      <a:picLocks noChangeAspect="1"/>
                    </pic:cNvPicPr>
                  </pic:nvPicPr>
                  <pic:blipFill>
                    <a:blip r:embed="rId19"/>
                    <a:stretch>
                      <a:fillRect/>
                    </a:stretch>
                  </pic:blipFill>
                  <pic:spPr>
                    <a:xfrm>
                      <a:off x="0" y="0"/>
                      <a:ext cx="5759450" cy="3395980"/>
                    </a:xfrm>
                    <a:prstGeom prst="rect">
                      <a:avLst/>
                    </a:prstGeom>
                  </pic:spPr>
                </pic:pic>
              </a:graphicData>
            </a:graphic>
          </wp:inline>
        </w:drawing>
      </w:r>
    </w:p>
    <w:p w14:paraId="27FA03A0" w14:textId="607C4929" w:rsidR="002A0669" w:rsidRPr="00C85C80" w:rsidRDefault="00180D02" w:rsidP="00F8359B">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3 </w:t>
      </w:r>
      <w:r w:rsidRPr="00C85C80">
        <w:rPr>
          <w:rFonts w:ascii="Arial" w:hAnsi="Arial" w:cs="Arial"/>
          <w:b/>
          <w:bCs/>
          <w:i w:val="0"/>
          <w:iCs w:val="0"/>
          <w:color w:val="000000" w:themeColor="text1"/>
          <w:sz w:val="20"/>
          <w:szCs w:val="20"/>
        </w:rPr>
        <w:fldChar w:fldCharType="end"/>
      </w:r>
      <w:r w:rsidR="00F8359B" w:rsidRPr="00C85C80">
        <w:rPr>
          <w:rFonts w:ascii="Arial" w:hAnsi="Arial" w:cs="Arial"/>
          <w:b/>
          <w:bCs/>
          <w:i w:val="0"/>
          <w:iCs w:val="0"/>
          <w:color w:val="000000" w:themeColor="text1"/>
          <w:sz w:val="20"/>
          <w:szCs w:val="20"/>
        </w:rPr>
        <w:t>.</w:t>
      </w:r>
      <w:r w:rsidRPr="00C85C80">
        <w:rPr>
          <w:rFonts w:ascii="Arial" w:hAnsi="Arial" w:cs="Arial"/>
          <w:i w:val="0"/>
          <w:iCs w:val="0"/>
          <w:color w:val="000000" w:themeColor="text1"/>
          <w:sz w:val="20"/>
          <w:szCs w:val="20"/>
        </w:rPr>
        <w:t xml:space="preserve"> </w:t>
      </w:r>
      <w:r w:rsidRPr="00C85C80">
        <w:rPr>
          <w:rFonts w:ascii="Arial" w:hAnsi="Arial" w:cs="Arial"/>
          <w:b/>
          <w:bCs/>
          <w:i w:val="0"/>
          <w:iCs w:val="0"/>
          <w:color w:val="000000" w:themeColor="text1"/>
          <w:sz w:val="20"/>
          <w:szCs w:val="20"/>
        </w:rPr>
        <w:t>Land use maps of the Gourou watershed in 2002 and 2020</w:t>
      </w:r>
    </w:p>
    <w:p w14:paraId="231FFAA3" w14:textId="77777777" w:rsidR="002A0669" w:rsidRPr="00C85C80" w:rsidRDefault="002A0669" w:rsidP="002A0669">
      <w:pPr>
        <w:rPr>
          <w:rFonts w:ascii="Times New Roman" w:hAnsi="Times New Roman" w:cs="Times New Roman"/>
          <w:b/>
          <w:sz w:val="24"/>
          <w:szCs w:val="24"/>
        </w:rPr>
      </w:pPr>
    </w:p>
    <w:p w14:paraId="1CDF0C8B" w14:textId="2CE61F87" w:rsidR="002A0669" w:rsidRPr="00C85C80" w:rsidRDefault="00D7615B" w:rsidP="002A0669">
      <w:pPr>
        <w:rPr>
          <w:rFonts w:ascii="Arial" w:hAnsi="Arial" w:cs="Arial"/>
          <w:b/>
          <w:color w:val="000000" w:themeColor="text1"/>
          <w:sz w:val="20"/>
          <w:szCs w:val="20"/>
          <w:u w:val="single"/>
        </w:rPr>
      </w:pPr>
      <w:r w:rsidRPr="00C85C80">
        <w:rPr>
          <w:rFonts w:ascii="Arial" w:hAnsi="Arial" w:cs="Arial"/>
          <w:b/>
          <w:color w:val="000000" w:themeColor="text1"/>
          <w:sz w:val="20"/>
          <w:szCs w:val="20"/>
          <w:u w:val="single"/>
        </w:rPr>
        <w:t>3.1.2. Land use dynamics in the Gourou watershed from 2002 to 2020</w:t>
      </w:r>
    </w:p>
    <w:p w14:paraId="33F0F55B" w14:textId="69F4D508" w:rsidR="002A0669" w:rsidRPr="00C85C80" w:rsidRDefault="00D7615B" w:rsidP="002A0669">
      <w:pPr>
        <w:jc w:val="both"/>
        <w:rPr>
          <w:rFonts w:ascii="Times New Roman" w:hAnsi="Times New Roman" w:cs="Times New Roman"/>
          <w:b/>
          <w:sz w:val="24"/>
          <w:szCs w:val="24"/>
        </w:rPr>
      </w:pPr>
      <w:r w:rsidRPr="00C85C80">
        <w:rPr>
          <w:rFonts w:ascii="Arial" w:hAnsi="Arial" w:cs="Arial"/>
          <w:b/>
          <w:i/>
          <w:iCs/>
          <w:color w:val="000000" w:themeColor="text1"/>
          <w:sz w:val="20"/>
          <w:szCs w:val="20"/>
        </w:rPr>
        <w:t>3.1.2.1. Evolution of land cover areas and types in the catchment area of</w:t>
      </w:r>
      <w:r w:rsidR="002A0669" w:rsidRPr="00C85C80">
        <w:rPr>
          <w:rFonts w:ascii="Times New Roman" w:hAnsi="Times New Roman" w:cs="Times New Roman"/>
          <w:b/>
          <w:color w:val="000000" w:themeColor="text1"/>
          <w:sz w:val="24"/>
          <w:szCs w:val="24"/>
        </w:rPr>
        <w:t xml:space="preserve"> </w:t>
      </w:r>
      <w:proofErr w:type="spellStart"/>
      <w:r w:rsidR="002A0669" w:rsidRPr="00C85C80">
        <w:rPr>
          <w:rFonts w:ascii="Arial" w:hAnsi="Arial" w:cs="Arial"/>
          <w:b/>
          <w:i/>
          <w:iCs/>
          <w:color w:val="000000" w:themeColor="text1"/>
          <w:sz w:val="20"/>
          <w:szCs w:val="20"/>
        </w:rPr>
        <w:t>G</w:t>
      </w:r>
      <w:r w:rsidR="00321582">
        <w:rPr>
          <w:rFonts w:ascii="Arial" w:hAnsi="Arial" w:cs="Arial"/>
          <w:b/>
          <w:i/>
          <w:iCs/>
          <w:color w:val="000000" w:themeColor="text1"/>
          <w:sz w:val="20"/>
          <w:szCs w:val="20"/>
        </w:rPr>
        <w:t>ourou</w:t>
      </w:r>
      <w:proofErr w:type="spellEnd"/>
      <w:r w:rsidR="002A0669" w:rsidRPr="00C85C80">
        <w:rPr>
          <w:rFonts w:ascii="Times New Roman" w:hAnsi="Times New Roman" w:cs="Times New Roman"/>
          <w:b/>
          <w:sz w:val="24"/>
          <w:szCs w:val="24"/>
        </w:rPr>
        <w:t xml:space="preserve"> </w:t>
      </w:r>
    </w:p>
    <w:p w14:paraId="3E017B20" w14:textId="097B38B2" w:rsidR="002A0669" w:rsidRPr="00C85C80" w:rsidRDefault="002A0669" w:rsidP="000712E2">
      <w:pPr>
        <w:spacing w:after="0" w:line="240" w:lineRule="auto"/>
        <w:jc w:val="both"/>
        <w:rPr>
          <w:rFonts w:ascii="Arial" w:hAnsi="Arial" w:cs="Arial"/>
          <w:sz w:val="20"/>
          <w:szCs w:val="20"/>
        </w:rPr>
      </w:pPr>
      <w:r w:rsidRPr="00C85C80">
        <w:rPr>
          <w:rFonts w:ascii="Arial" w:hAnsi="Arial" w:cs="Arial"/>
          <w:sz w:val="20"/>
          <w:szCs w:val="20"/>
        </w:rPr>
        <w:t>In 2002, the areas of different land cover types varied (Figure 4). Buildings and bare land, which were predominant, occupied 51% of the Gourou watershed, or 13.48 km² (Figure 4). Lowlands and cultivated areas accounted for 14% of the Gourou watershed, or 3.81 km². Parks and gardens represented 9.17 km², or 35% of the total area.</w:t>
      </w:r>
    </w:p>
    <w:p w14:paraId="357C5564" w14:textId="6A34124E" w:rsidR="00B81423" w:rsidRPr="007D071F" w:rsidRDefault="002A0669" w:rsidP="007D071F">
      <w:pPr>
        <w:spacing w:line="240" w:lineRule="auto"/>
        <w:jc w:val="both"/>
        <w:rPr>
          <w:rFonts w:ascii="Arial" w:hAnsi="Arial" w:cs="Arial"/>
          <w:sz w:val="20"/>
          <w:szCs w:val="20"/>
        </w:rPr>
      </w:pPr>
      <w:bookmarkStart w:id="15" w:name="_Toc138068026"/>
      <w:bookmarkStart w:id="16" w:name="_Toc138068588"/>
      <w:bookmarkStart w:id="17" w:name="_Toc138740055"/>
      <w:bookmarkStart w:id="18" w:name="_Toc140220195"/>
      <w:bookmarkStart w:id="19" w:name="_Toc140223212"/>
      <w:bookmarkStart w:id="20" w:name="_Toc140223578"/>
      <w:r w:rsidRPr="00C85C80">
        <w:rPr>
          <w:rFonts w:ascii="Arial" w:hAnsi="Arial" w:cs="Arial"/>
          <w:bCs/>
          <w:iCs/>
          <w:sz w:val="20"/>
          <w:szCs w:val="20"/>
        </w:rPr>
        <w:t>In 2020, buildings and bare ground</w:t>
      </w:r>
      <w:r w:rsidRPr="00C85C80">
        <w:rPr>
          <w:rFonts w:ascii="Arial" w:hAnsi="Arial" w:cs="Arial"/>
          <w:b/>
          <w:i/>
          <w:sz w:val="20"/>
          <w:szCs w:val="20"/>
        </w:rPr>
        <w:t xml:space="preserve"> </w:t>
      </w:r>
      <w:r w:rsidRPr="00C85C80">
        <w:rPr>
          <w:rFonts w:ascii="Arial" w:hAnsi="Arial" w:cs="Arial"/>
          <w:sz w:val="20"/>
          <w:szCs w:val="20"/>
        </w:rPr>
        <w:t xml:space="preserve">occupy approximately 71% of the total area of the study zone. Lowlands and cultivated areas cover 6% of the basin, park and garden class 23% with respective areas of 18.79 km² and 1.71 and 5.96 </w:t>
      </w:r>
      <w:bookmarkStart w:id="21" w:name="_Hlk199521904"/>
      <w:r w:rsidRPr="00C85C80">
        <w:rPr>
          <w:rFonts w:ascii="Arial" w:hAnsi="Arial" w:cs="Arial"/>
          <w:sz w:val="20"/>
          <w:szCs w:val="20"/>
        </w:rPr>
        <w:t xml:space="preserve">km² </w:t>
      </w:r>
      <w:bookmarkEnd w:id="21"/>
      <w:r w:rsidR="002D4D0D" w:rsidRPr="00C85C80">
        <w:rPr>
          <w:rFonts w:ascii="Arial" w:hAnsi="Arial" w:cs="Arial"/>
          <w:sz w:val="20"/>
          <w:szCs w:val="20"/>
        </w:rPr>
        <w:t>(Figure 4).</w:t>
      </w:r>
    </w:p>
    <w:p w14:paraId="5441D187" w14:textId="73458BFE" w:rsidR="00810548" w:rsidRPr="00C85C80" w:rsidRDefault="00321582" w:rsidP="00810548">
      <w:r w:rsidRPr="00C85C80">
        <w:rPr>
          <w:noProof/>
        </w:rPr>
        <w:drawing>
          <wp:inline distT="0" distB="0" distL="0" distR="0" wp14:anchorId="4E188EBA" wp14:editId="1F284E5D">
            <wp:extent cx="4846320" cy="2651760"/>
            <wp:effectExtent l="0" t="0" r="11430" b="15240"/>
            <wp:docPr id="548792526" name="Graphique 1">
              <a:extLst xmlns:a="http://schemas.openxmlformats.org/drawingml/2006/main">
                <a:ext uri="{FF2B5EF4-FFF2-40B4-BE49-F238E27FC236}">
                  <a16:creationId xmlns:a16="http://schemas.microsoft.com/office/drawing/2014/main" id="{1EA8055B-632C-705B-A087-B7FAC7376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2B2057" w14:textId="7B9D09B0" w:rsidR="00835B6F" w:rsidRDefault="00B81423" w:rsidP="00B81423">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4 </w:t>
      </w:r>
      <w:r w:rsidRPr="00C85C80">
        <w:rPr>
          <w:rFonts w:ascii="Arial" w:hAnsi="Arial" w:cs="Arial"/>
          <w:b/>
          <w:bCs/>
          <w:i w:val="0"/>
          <w:iCs w:val="0"/>
          <w:color w:val="000000" w:themeColor="text1"/>
          <w:sz w:val="20"/>
          <w:szCs w:val="20"/>
        </w:rPr>
        <w:fldChar w:fldCharType="end"/>
      </w:r>
      <w:r w:rsidR="00F8359B" w:rsidRPr="00C85C80">
        <w:rPr>
          <w:rFonts w:ascii="Arial" w:hAnsi="Arial" w:cs="Arial"/>
          <w:b/>
          <w:bCs/>
          <w:i w:val="0"/>
          <w:iCs w:val="0"/>
          <w:color w:val="000000" w:themeColor="text1"/>
          <w:sz w:val="20"/>
          <w:szCs w:val="20"/>
        </w:rPr>
        <w:t>.</w:t>
      </w:r>
      <w:r w:rsidRPr="00C85C80">
        <w:rPr>
          <w:rFonts w:ascii="Arial" w:hAnsi="Arial" w:cs="Arial"/>
          <w:i w:val="0"/>
          <w:iCs w:val="0"/>
          <w:color w:val="000000" w:themeColor="text1"/>
          <w:sz w:val="20"/>
          <w:szCs w:val="20"/>
        </w:rPr>
        <w:t xml:space="preserve"> </w:t>
      </w:r>
      <w:r w:rsidRPr="00C85C80">
        <w:rPr>
          <w:rFonts w:ascii="Arial" w:hAnsi="Arial" w:cs="Arial"/>
          <w:b/>
          <w:bCs/>
          <w:i w:val="0"/>
          <w:iCs w:val="0"/>
          <w:color w:val="000000" w:themeColor="text1"/>
          <w:sz w:val="20"/>
          <w:szCs w:val="20"/>
        </w:rPr>
        <w:t>Proportion of land cover classes in the Gourou watershed in 2002 and 2020</w:t>
      </w:r>
      <w:r w:rsidR="00835B6F">
        <w:rPr>
          <w:rFonts w:ascii="Arial" w:hAnsi="Arial" w:cs="Arial"/>
          <w:b/>
          <w:bCs/>
          <w:i w:val="0"/>
          <w:iCs w:val="0"/>
          <w:color w:val="000000" w:themeColor="text1"/>
          <w:sz w:val="20"/>
          <w:szCs w:val="20"/>
        </w:rPr>
        <w:br w:type="page"/>
      </w:r>
    </w:p>
    <w:bookmarkEnd w:id="15"/>
    <w:bookmarkEnd w:id="16"/>
    <w:bookmarkEnd w:id="17"/>
    <w:bookmarkEnd w:id="18"/>
    <w:bookmarkEnd w:id="19"/>
    <w:bookmarkEnd w:id="20"/>
    <w:p w14:paraId="267126BF" w14:textId="4939B84E" w:rsidR="002A0669" w:rsidRPr="00C85C80" w:rsidRDefault="00D7615B" w:rsidP="002A0669">
      <w:pPr>
        <w:jc w:val="both"/>
        <w:rPr>
          <w:rFonts w:ascii="Arial" w:hAnsi="Arial" w:cs="Arial"/>
          <w:b/>
          <w:bCs/>
          <w:i/>
          <w:iCs/>
          <w:sz w:val="20"/>
          <w:szCs w:val="20"/>
        </w:rPr>
      </w:pPr>
      <w:r w:rsidRPr="00C85C80">
        <w:rPr>
          <w:rFonts w:ascii="Arial" w:hAnsi="Arial" w:cs="Arial"/>
          <w:b/>
          <w:i/>
          <w:iCs/>
          <w:color w:val="000000" w:themeColor="text1"/>
          <w:sz w:val="20"/>
          <w:szCs w:val="20"/>
        </w:rPr>
        <w:lastRenderedPageBreak/>
        <w:t xml:space="preserve">3.1.2.2. </w:t>
      </w:r>
      <w:r w:rsidR="002A0669" w:rsidRPr="00C85C80">
        <w:rPr>
          <w:rFonts w:ascii="Arial" w:hAnsi="Arial" w:cs="Arial"/>
          <w:b/>
          <w:bCs/>
          <w:i/>
          <w:iCs/>
          <w:sz w:val="20"/>
          <w:szCs w:val="20"/>
        </w:rPr>
        <w:t>Rate of change in land cover areas from 2002 to 2020</w:t>
      </w:r>
    </w:p>
    <w:p w14:paraId="5DE8340B" w14:textId="4892A255" w:rsidR="002A0669" w:rsidRPr="00C85C80" w:rsidRDefault="002A0669" w:rsidP="00ED132B">
      <w:pPr>
        <w:spacing w:line="240" w:lineRule="auto"/>
        <w:jc w:val="both"/>
        <w:rPr>
          <w:rFonts w:ascii="Arial" w:hAnsi="Arial" w:cs="Arial"/>
          <w:sz w:val="20"/>
          <w:szCs w:val="20"/>
        </w:rPr>
      </w:pPr>
      <w:r w:rsidRPr="00C85C80">
        <w:rPr>
          <w:rFonts w:ascii="Arial" w:hAnsi="Arial" w:cs="Arial"/>
          <w:sz w:val="20"/>
          <w:szCs w:val="20"/>
        </w:rPr>
        <w:t>During the study period, parks and gardens experienced a 35.01% decrease in area, or 2.37% per year (Figure 5). The same trend was observed for the Lowlands and Cultivated Areas class, which saw a 55.12% decrease in area between 2002 and 2020. Conversely, built-up areas and bare land increased in area during the study period. In fact, the surface area of built-up areas and bare land increased by 1.86% between 2002 and 2020 (Figure 5).</w:t>
      </w:r>
    </w:p>
    <w:p w14:paraId="14555290" w14:textId="77777777" w:rsidR="00341B19" w:rsidRPr="00C85C80" w:rsidRDefault="00341B19" w:rsidP="00341B19"/>
    <w:p w14:paraId="575215DB" w14:textId="1458522F" w:rsidR="00F32A0B" w:rsidRPr="00C85C80" w:rsidRDefault="00F32A0B" w:rsidP="00F8359B">
      <w:pPr>
        <w:keepNext/>
        <w:jc w:val="both"/>
      </w:pPr>
      <w:r w:rsidRPr="00C85C80">
        <w:rPr>
          <w:noProof/>
        </w:rPr>
        <w:drawing>
          <wp:inline distT="0" distB="0" distL="0" distR="0" wp14:anchorId="60FCECE6" wp14:editId="3D370BEE">
            <wp:extent cx="4663440" cy="2377440"/>
            <wp:effectExtent l="0" t="0" r="3810" b="3810"/>
            <wp:docPr id="446898693" name="Graphique 1">
              <a:extLst xmlns:a="http://schemas.openxmlformats.org/drawingml/2006/main">
                <a:ext uri="{FF2B5EF4-FFF2-40B4-BE49-F238E27FC236}">
                  <a16:creationId xmlns:a16="http://schemas.microsoft.com/office/drawing/2014/main" id="{6DE32865-D857-4EA8-7C0C-E6ACF8E20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2965AA" w14:textId="501723B1" w:rsidR="002A0669" w:rsidRPr="00C85C80" w:rsidRDefault="00861328" w:rsidP="00F8359B">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5 </w:t>
      </w:r>
      <w:r w:rsidRPr="00C85C80">
        <w:rPr>
          <w:rFonts w:ascii="Arial" w:hAnsi="Arial" w:cs="Arial"/>
          <w:b/>
          <w:bCs/>
          <w:i w:val="0"/>
          <w:iCs w:val="0"/>
          <w:color w:val="000000" w:themeColor="text1"/>
          <w:sz w:val="20"/>
          <w:szCs w:val="20"/>
        </w:rPr>
        <w:fldChar w:fldCharType="end"/>
      </w:r>
      <w:r w:rsidR="00F8359B" w:rsidRPr="00C85C80">
        <w:rPr>
          <w:rFonts w:ascii="Arial" w:hAnsi="Arial" w:cs="Arial"/>
          <w:b/>
          <w:bCs/>
          <w:i w:val="0"/>
          <w:iCs w:val="0"/>
          <w:color w:val="000000" w:themeColor="text1"/>
          <w:sz w:val="20"/>
          <w:szCs w:val="20"/>
        </w:rPr>
        <w:t>.</w:t>
      </w:r>
      <w:r w:rsidRPr="00C85C80">
        <w:rPr>
          <w:rFonts w:ascii="Arial" w:hAnsi="Arial" w:cs="Arial"/>
          <w:i w:val="0"/>
          <w:iCs w:val="0"/>
          <w:color w:val="000000" w:themeColor="text1"/>
          <w:sz w:val="20"/>
          <w:szCs w:val="20"/>
        </w:rPr>
        <w:t xml:space="preserve"> </w:t>
      </w:r>
      <w:r w:rsidRPr="00C85C80">
        <w:rPr>
          <w:rFonts w:ascii="Arial" w:hAnsi="Arial" w:cs="Arial"/>
          <w:b/>
          <w:bCs/>
          <w:i w:val="0"/>
          <w:iCs w:val="0"/>
          <w:color w:val="000000" w:themeColor="text1"/>
          <w:sz w:val="20"/>
          <w:szCs w:val="20"/>
        </w:rPr>
        <w:t>Annual rate of change (AC) and global rate of change (GRT) of land cover in the Gourou watershed from 2020 to 2002</w:t>
      </w:r>
    </w:p>
    <w:p w14:paraId="4A7750F6" w14:textId="406C2D79" w:rsidR="00190DD0" w:rsidRPr="00C85C80" w:rsidRDefault="00D7615B" w:rsidP="00190DD0">
      <w:pPr>
        <w:spacing w:line="360" w:lineRule="auto"/>
        <w:jc w:val="both"/>
        <w:rPr>
          <w:rFonts w:ascii="Arial" w:hAnsi="Arial" w:cs="Arial"/>
          <w:b/>
          <w:bCs/>
          <w:sz w:val="20"/>
          <w:szCs w:val="20"/>
          <w:u w:val="single"/>
        </w:rPr>
      </w:pPr>
      <w:bookmarkStart w:id="22" w:name="_Toc136708973"/>
      <w:bookmarkStart w:id="23" w:name="_Toc136709264"/>
      <w:bookmarkStart w:id="24" w:name="_Toc140223586"/>
      <w:bookmarkEnd w:id="14"/>
      <w:r w:rsidRPr="00C85C80">
        <w:rPr>
          <w:rFonts w:ascii="Arial" w:hAnsi="Arial" w:cs="Arial"/>
          <w:b/>
          <w:color w:val="000000" w:themeColor="text1"/>
          <w:sz w:val="20"/>
          <w:szCs w:val="20"/>
          <w:u w:val="single"/>
        </w:rPr>
        <w:t xml:space="preserve">3.1.3. </w:t>
      </w:r>
      <w:r w:rsidR="00190DD0" w:rsidRPr="00C85C80">
        <w:rPr>
          <w:rFonts w:ascii="Arial" w:hAnsi="Arial" w:cs="Arial"/>
          <w:b/>
          <w:bCs/>
          <w:sz w:val="20"/>
          <w:szCs w:val="20"/>
          <w:u w:val="single"/>
        </w:rPr>
        <w:t>Soil loss in the study area</w:t>
      </w:r>
    </w:p>
    <w:p w14:paraId="29381019" w14:textId="71BF47CD" w:rsidR="00A17404" w:rsidRPr="00C85C80" w:rsidRDefault="00A17404" w:rsidP="00ED132B">
      <w:pPr>
        <w:spacing w:after="0" w:line="240" w:lineRule="auto"/>
        <w:jc w:val="both"/>
        <w:rPr>
          <w:rFonts w:ascii="Arial" w:hAnsi="Arial" w:cs="Arial"/>
        </w:rPr>
      </w:pPr>
      <w:r w:rsidRPr="00C85C80">
        <w:rPr>
          <w:rFonts w:ascii="Arial" w:hAnsi="Arial" w:cs="Arial"/>
        </w:rPr>
        <w:t>The estimation of soil loss is done through different factors which are: R (rainfall erosivity factor), K (soil erodibility factor), LS (topographic factor, length and slope of the slope), C (vegetation cover and cultivation practices factor) and P (conservation practices factor), each of these factors has been estimated.</w:t>
      </w:r>
    </w:p>
    <w:p w14:paraId="2CE6A438" w14:textId="59A7E285" w:rsidR="00223B7C" w:rsidRPr="00C85C80" w:rsidRDefault="00A17404" w:rsidP="00ED132B">
      <w:pPr>
        <w:pStyle w:val="Caption"/>
        <w:jc w:val="both"/>
        <w:rPr>
          <w:rFonts w:ascii="Arial" w:hAnsi="Arial" w:cs="Arial"/>
          <w:i w:val="0"/>
          <w:color w:val="000000" w:themeColor="text1"/>
          <w:sz w:val="22"/>
          <w:szCs w:val="22"/>
        </w:rPr>
      </w:pPr>
      <w:r w:rsidRPr="00C85C80">
        <w:rPr>
          <w:rFonts w:ascii="Arial" w:hAnsi="Arial" w:cs="Arial"/>
          <w:i w:val="0"/>
          <w:color w:val="000000" w:themeColor="text1"/>
          <w:sz w:val="22"/>
          <w:szCs w:val="22"/>
        </w:rPr>
        <w:t xml:space="preserve">These estimates give us </w:t>
      </w:r>
      <w:r w:rsidR="00223B7C" w:rsidRPr="00C85C80">
        <w:rPr>
          <w:rFonts w:ascii="Arial" w:hAnsi="Arial" w:cs="Arial"/>
          <w:i w:val="0"/>
          <w:color w:val="000000" w:themeColor="text1"/>
          <w:sz w:val="22"/>
          <w:szCs w:val="22"/>
        </w:rPr>
        <w:t>LS factor values ranging from 0 to 79.73 (Figure 6). The study area is thus comprised mainly of the total area of gentle slopes (52%), representing an area of 13.79 km². Average LS factor values represent 27% of the study area, corresponding to an area of 7 km². Average, high, and very high LS values represent 16% and 5% of the study area, corresponding to 4.21 and 1.41 km², respectively (Figure 6).</w:t>
      </w:r>
    </w:p>
    <w:p w14:paraId="2736B82F" w14:textId="01896ABC" w:rsidR="00223B7C" w:rsidRPr="00C85C80" w:rsidRDefault="00F4478F" w:rsidP="005D1F07">
      <w:pPr>
        <w:keepNext/>
        <w:jc w:val="both"/>
      </w:pPr>
      <w:r w:rsidRPr="00C85C80">
        <w:rPr>
          <w:noProof/>
        </w:rPr>
        <w:lastRenderedPageBreak/>
        <w:drawing>
          <wp:inline distT="0" distB="0" distL="0" distR="0" wp14:anchorId="0FD0684B" wp14:editId="3FEF5E3B">
            <wp:extent cx="2838455" cy="4023360"/>
            <wp:effectExtent l="0" t="0" r="0" b="0"/>
            <wp:docPr id="3" name="Image 2">
              <a:extLst xmlns:a="http://schemas.openxmlformats.org/drawingml/2006/main">
                <a:ext uri="{FF2B5EF4-FFF2-40B4-BE49-F238E27FC236}">
                  <a16:creationId xmlns:a16="http://schemas.microsoft.com/office/drawing/2014/main" id="{FF049134-8C9A-0BBE-2497-ECC367207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FF049134-8C9A-0BBE-2497-ECC367207AB2}"/>
                        </a:ext>
                      </a:extLst>
                    </pic:cNvPr>
                    <pic:cNvPicPr>
                      <a:picLocks noChangeAspect="1"/>
                    </pic:cNvPicPr>
                  </pic:nvPicPr>
                  <pic:blipFill>
                    <a:blip r:embed="rId22"/>
                    <a:stretch>
                      <a:fillRect/>
                    </a:stretch>
                  </pic:blipFill>
                  <pic:spPr>
                    <a:xfrm>
                      <a:off x="0" y="0"/>
                      <a:ext cx="2838455" cy="4023360"/>
                    </a:xfrm>
                    <a:prstGeom prst="rect">
                      <a:avLst/>
                    </a:prstGeom>
                  </pic:spPr>
                </pic:pic>
              </a:graphicData>
            </a:graphic>
          </wp:inline>
        </w:drawing>
      </w:r>
    </w:p>
    <w:p w14:paraId="7944B39E" w14:textId="3BEBDF3E" w:rsidR="00223B7C" w:rsidRPr="00C85C80" w:rsidRDefault="00223B7C" w:rsidP="005D1F07">
      <w:pPr>
        <w:pStyle w:val="Caption"/>
        <w:jc w:val="both"/>
        <w:rPr>
          <w:rFonts w:ascii="Arial" w:hAnsi="Arial" w:cs="Arial"/>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6. </w:t>
      </w:r>
      <w:r w:rsidRPr="00C85C80">
        <w:rPr>
          <w:rFonts w:ascii="Arial" w:hAnsi="Arial" w:cs="Arial"/>
          <w:b/>
          <w:bCs/>
          <w:i w:val="0"/>
          <w:iCs w:val="0"/>
          <w:color w:val="000000" w:themeColor="text1"/>
          <w:sz w:val="20"/>
          <w:szCs w:val="20"/>
        </w:rPr>
        <w:fldChar w:fldCharType="end"/>
      </w:r>
      <w:r w:rsidR="005D1F07" w:rsidRPr="00C85C80">
        <w:rPr>
          <w:rFonts w:ascii="Arial" w:hAnsi="Arial" w:cs="Arial"/>
          <w:b/>
          <w:bCs/>
          <w:i w:val="0"/>
          <w:iCs w:val="0"/>
          <w:color w:val="000000" w:themeColor="text1"/>
          <w:sz w:val="20"/>
          <w:szCs w:val="20"/>
        </w:rPr>
        <w:t>Distribution map of the LS factor in the study area</w:t>
      </w:r>
    </w:p>
    <w:p w14:paraId="16635BC3" w14:textId="03DA5679" w:rsidR="00223B7C" w:rsidRPr="00C85C80" w:rsidRDefault="00A17404" w:rsidP="00ED132B">
      <w:pPr>
        <w:spacing w:line="240" w:lineRule="auto"/>
        <w:jc w:val="both"/>
        <w:rPr>
          <w:rFonts w:ascii="Arial" w:hAnsi="Arial" w:cs="Arial"/>
          <w:sz w:val="20"/>
          <w:szCs w:val="20"/>
        </w:rPr>
      </w:pPr>
      <w:r w:rsidRPr="00C85C80">
        <w:rPr>
          <w:rFonts w:ascii="Arial" w:hAnsi="Arial" w:cs="Arial"/>
          <w:sz w:val="20"/>
          <w:szCs w:val="20"/>
        </w:rPr>
        <w:t xml:space="preserve">Regarding the K factor, it was estimated by extracting the study area from the FAO World Soil Map using </w:t>
      </w:r>
      <w:r w:rsidR="00223B7C" w:rsidRPr="00C85C80">
        <w:rPr>
          <w:rFonts w:ascii="Arial" w:hAnsi="Arial" w:cs="Arial"/>
          <w:sz w:val="20"/>
          <w:szCs w:val="20"/>
        </w:rPr>
        <w:t>ArcMap</w:t>
      </w:r>
      <w:r w:rsidR="005C6778" w:rsidRPr="00C85C80">
        <w:rPr>
          <w:rFonts w:ascii="Arial" w:hAnsi="Arial" w:cs="Arial"/>
          <w:sz w:val="20"/>
          <w:szCs w:val="20"/>
        </w:rPr>
        <w:t>. This extraction provided cartographic units for the different soil types. These soil type values are associated with proportions of sand, silt, clay, and organic carbon. From the organic carbon, we obtained the proportion of organic matter and the soil textures of the study area.</w:t>
      </w:r>
      <w:r w:rsidR="0077520C" w:rsidRPr="00C85C80">
        <w:rPr>
          <w:rFonts w:ascii="Times New Roman" w:hAnsi="Times New Roman" w:cs="Times New Roman"/>
          <w:sz w:val="24"/>
          <w:szCs w:val="24"/>
        </w:rPr>
        <w:t xml:space="preserve"> </w:t>
      </w:r>
      <w:r w:rsidR="0077520C" w:rsidRPr="00C85C80">
        <w:rPr>
          <w:rFonts w:ascii="Arial" w:hAnsi="Arial" w:cs="Arial"/>
          <w:sz w:val="20"/>
          <w:szCs w:val="20"/>
        </w:rPr>
        <w:t xml:space="preserve">Based on these different parameters, the K factor was assigned to each mapping unit. Thus, the K factor values are 0.20 </w:t>
      </w:r>
      <w:proofErr w:type="spellStart"/>
      <w:r w:rsidR="00223B7C" w:rsidRPr="00C85C80">
        <w:rPr>
          <w:rFonts w:ascii="Arial" w:hAnsi="Arial" w:cs="Arial"/>
          <w:sz w:val="20"/>
          <w:szCs w:val="20"/>
        </w:rPr>
        <w:t>th</w:t>
      </w:r>
      <w:proofErr w:type="spellEnd"/>
      <w:r w:rsidR="00223B7C" w:rsidRPr="00C85C80">
        <w:rPr>
          <w:rFonts w:ascii="Arial" w:hAnsi="Arial" w:cs="Arial"/>
          <w:sz w:val="20"/>
          <w:szCs w:val="20"/>
        </w:rPr>
        <w:t xml:space="preserve"> /ha/MJ/mm and 0.26 </w:t>
      </w:r>
      <w:proofErr w:type="spellStart"/>
      <w:r w:rsidR="00223B7C" w:rsidRPr="00C85C80">
        <w:rPr>
          <w:rFonts w:ascii="Arial" w:hAnsi="Arial" w:cs="Arial"/>
          <w:sz w:val="20"/>
          <w:szCs w:val="20"/>
        </w:rPr>
        <w:t>th</w:t>
      </w:r>
      <w:proofErr w:type="spellEnd"/>
      <w:r w:rsidR="00223B7C" w:rsidRPr="00C85C80">
        <w:rPr>
          <w:rFonts w:ascii="Arial" w:hAnsi="Arial" w:cs="Arial"/>
          <w:sz w:val="20"/>
          <w:szCs w:val="20"/>
        </w:rPr>
        <w:t xml:space="preserve"> /ha/MJ/mm with a land cover of 75.58% and 24.41% respectively of the study area (Figure 7).</w:t>
      </w:r>
      <w:bookmarkStart w:id="25" w:name="_Toc138068034"/>
      <w:r w:rsidR="00E8352B" w:rsidRPr="00C85C80">
        <w:rPr>
          <w:rFonts w:ascii="Arial" w:hAnsi="Arial" w:cs="Arial"/>
          <w:sz w:val="20"/>
          <w:szCs w:val="20"/>
        </w:rPr>
        <w:t xml:space="preserve"> </w:t>
      </w:r>
      <w:bookmarkEnd w:id="25"/>
    </w:p>
    <w:p w14:paraId="51F2E8DE" w14:textId="77777777" w:rsidR="009D249F" w:rsidRPr="00C85C80" w:rsidRDefault="00B35F24" w:rsidP="00E60852">
      <w:pPr>
        <w:keepNext/>
        <w:spacing w:after="0" w:line="360" w:lineRule="auto"/>
        <w:jc w:val="both"/>
      </w:pPr>
      <w:r w:rsidRPr="00C85C80">
        <w:rPr>
          <w:rFonts w:ascii="Times New Roman" w:hAnsi="Times New Roman" w:cs="Times New Roman"/>
          <w:noProof/>
          <w:sz w:val="24"/>
          <w:szCs w:val="24"/>
        </w:rPr>
        <w:lastRenderedPageBreak/>
        <w:drawing>
          <wp:inline distT="0" distB="0" distL="0" distR="0" wp14:anchorId="416D002A" wp14:editId="1D7A4FDF">
            <wp:extent cx="3476179" cy="4937760"/>
            <wp:effectExtent l="0" t="0" r="0" b="0"/>
            <wp:docPr id="19" name="Image 18">
              <a:extLst xmlns:a="http://schemas.openxmlformats.org/drawingml/2006/main">
                <a:ext uri="{FF2B5EF4-FFF2-40B4-BE49-F238E27FC236}">
                  <a16:creationId xmlns:a16="http://schemas.microsoft.com/office/drawing/2014/main" id="{C8561234-9872-195F-35E3-5D8634EAC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C8561234-9872-195F-35E3-5D8634EAC28C}"/>
                        </a:ext>
                      </a:extLst>
                    </pic:cNvPr>
                    <pic:cNvPicPr>
                      <a:picLocks noChangeAspect="1"/>
                    </pic:cNvPicPr>
                  </pic:nvPicPr>
                  <pic:blipFill>
                    <a:blip r:embed="rId23"/>
                    <a:stretch>
                      <a:fillRect/>
                    </a:stretch>
                  </pic:blipFill>
                  <pic:spPr>
                    <a:xfrm>
                      <a:off x="0" y="0"/>
                      <a:ext cx="3476179" cy="4937760"/>
                    </a:xfrm>
                    <a:prstGeom prst="rect">
                      <a:avLst/>
                    </a:prstGeom>
                  </pic:spPr>
                </pic:pic>
              </a:graphicData>
            </a:graphic>
          </wp:inline>
        </w:drawing>
      </w:r>
    </w:p>
    <w:p w14:paraId="7CC3FED5" w14:textId="24BC16C3" w:rsidR="00223B7C" w:rsidRPr="00C85C80" w:rsidRDefault="009D249F" w:rsidP="00E60852">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7</w:t>
      </w:r>
      <w:r w:rsidR="007D071F">
        <w:rPr>
          <w:rFonts w:ascii="Arial" w:hAnsi="Arial" w:cs="Arial"/>
          <w:b/>
          <w:bCs/>
          <w:i w:val="0"/>
          <w:iCs w:val="0"/>
          <w:color w:val="000000" w:themeColor="text1"/>
          <w:sz w:val="20"/>
          <w:szCs w:val="20"/>
        </w:rPr>
        <w:t>.</w:t>
      </w:r>
      <w:r w:rsidR="00880138" w:rsidRPr="00C85C80">
        <w:rPr>
          <w:rFonts w:ascii="Arial" w:hAnsi="Arial" w:cs="Arial"/>
          <w:b/>
          <w:bCs/>
          <w:i w:val="0"/>
          <w:iCs w:val="0"/>
          <w:color w:val="000000" w:themeColor="text1"/>
          <w:sz w:val="20"/>
          <w:szCs w:val="20"/>
        </w:rPr>
        <w:t xml:space="preserve"> </w:t>
      </w:r>
      <w:r w:rsidRPr="00C85C80">
        <w:rPr>
          <w:rFonts w:ascii="Arial" w:hAnsi="Arial" w:cs="Arial"/>
          <w:b/>
          <w:bCs/>
          <w:i w:val="0"/>
          <w:iCs w:val="0"/>
          <w:color w:val="000000" w:themeColor="text1"/>
          <w:sz w:val="20"/>
          <w:szCs w:val="20"/>
        </w:rPr>
        <w:fldChar w:fldCharType="end"/>
      </w:r>
      <w:r w:rsidRPr="00C85C80">
        <w:rPr>
          <w:rFonts w:ascii="Arial" w:hAnsi="Arial" w:cs="Arial"/>
          <w:b/>
          <w:bCs/>
          <w:i w:val="0"/>
          <w:iCs w:val="0"/>
          <w:color w:val="000000" w:themeColor="text1"/>
          <w:sz w:val="20"/>
          <w:szCs w:val="20"/>
        </w:rPr>
        <w:t xml:space="preserve">Distribution map of the values of </w:t>
      </w:r>
      <w:r w:rsidR="000D4F39">
        <w:rPr>
          <w:rFonts w:ascii="Arial" w:hAnsi="Arial" w:cs="Arial"/>
          <w:b/>
          <w:bCs/>
          <w:i w:val="0"/>
          <w:iCs w:val="0"/>
          <w:color w:val="000000" w:themeColor="text1"/>
          <w:sz w:val="20"/>
          <w:szCs w:val="20"/>
        </w:rPr>
        <w:t xml:space="preserve">K </w:t>
      </w:r>
      <w:r w:rsidRPr="00C85C80">
        <w:rPr>
          <w:rFonts w:ascii="Arial" w:hAnsi="Arial" w:cs="Arial"/>
          <w:b/>
          <w:bCs/>
          <w:i w:val="0"/>
          <w:iCs w:val="0"/>
          <w:color w:val="000000" w:themeColor="text1"/>
          <w:sz w:val="20"/>
          <w:szCs w:val="20"/>
        </w:rPr>
        <w:t xml:space="preserve">factor </w:t>
      </w:r>
    </w:p>
    <w:p w14:paraId="6D210595" w14:textId="29F93A5C" w:rsidR="00223B7C" w:rsidRPr="00C85C80" w:rsidRDefault="008C3DBD" w:rsidP="00ED132B">
      <w:pPr>
        <w:spacing w:line="240" w:lineRule="auto"/>
        <w:jc w:val="both"/>
        <w:rPr>
          <w:rFonts w:ascii="Arial" w:hAnsi="Arial" w:cs="Arial"/>
          <w:sz w:val="20"/>
          <w:szCs w:val="20"/>
        </w:rPr>
      </w:pPr>
      <w:r w:rsidRPr="00C85C80">
        <w:rPr>
          <w:rFonts w:ascii="Arial" w:hAnsi="Arial" w:cs="Arial"/>
          <w:sz w:val="20"/>
          <w:szCs w:val="20"/>
        </w:rPr>
        <w:t>Regarding the C factor in the study area, we obtained values ranging from 0.05 to 0.8 (Figure 8). Lowlands and cultivated areas have a C factor of 0.050, while parks and gardens have a C factor of 0.090, and buildings and bare soils have a C factor of 0.80. Integrating the C factor into the GIS yielded R factor values ranging from 961 to 1001 MJ.mm/ha.hr.yr. (Figure 9). This variation is gradual from east to west and from north to south.</w:t>
      </w:r>
    </w:p>
    <w:p w14:paraId="44C96303" w14:textId="77777777" w:rsidR="00811713" w:rsidRPr="00C85C80" w:rsidRDefault="00811713" w:rsidP="00223B7C">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783793F6" w14:textId="77777777" w:rsidR="00811713" w:rsidRPr="00C85C80" w:rsidRDefault="00811713" w:rsidP="00223B7C">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7BCCE00F" w14:textId="77777777" w:rsidR="00811713" w:rsidRPr="00C85C80" w:rsidRDefault="00811713" w:rsidP="00223B7C">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4A3425BE" w14:textId="77777777" w:rsidR="00A8370E" w:rsidRPr="00C85C80" w:rsidRDefault="00811713" w:rsidP="00E60852">
      <w:pPr>
        <w:keepNext/>
        <w:spacing w:after="0" w:line="240" w:lineRule="auto"/>
        <w:jc w:val="both"/>
      </w:pPr>
      <w:r w:rsidRPr="00C85C80">
        <w:rPr>
          <w:noProof/>
        </w:rPr>
        <w:lastRenderedPageBreak/>
        <w:drawing>
          <wp:inline distT="0" distB="0" distL="0" distR="0" wp14:anchorId="4396F751" wp14:editId="0D356BFA">
            <wp:extent cx="6053729" cy="3566160"/>
            <wp:effectExtent l="0" t="0" r="0" b="0"/>
            <wp:docPr id="2" name="Image 1" descr="Une image contenant carte, texte&#10;&#10;Le contenu généré par l’IA peut être incorrect.">
              <a:extLst xmlns:a="http://schemas.openxmlformats.org/drawingml/2006/main">
                <a:ext uri="{FF2B5EF4-FFF2-40B4-BE49-F238E27FC236}">
                  <a16:creationId xmlns:a16="http://schemas.microsoft.com/office/drawing/2014/main" id="{DD7E972F-8675-4E60-E959-E9771E8B0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carte, texte&#10;&#10;Le contenu généré par l’IA peut être incorrect.">
                      <a:extLst>
                        <a:ext uri="{FF2B5EF4-FFF2-40B4-BE49-F238E27FC236}">
                          <a16:creationId xmlns:a16="http://schemas.microsoft.com/office/drawing/2014/main" id="{DD7E972F-8675-4E60-E959-E9771E8B0002}"/>
                        </a:ext>
                      </a:extLst>
                    </pic:cNvPr>
                    <pic:cNvPicPr>
                      <a:picLocks noChangeAspect="1"/>
                    </pic:cNvPicPr>
                  </pic:nvPicPr>
                  <pic:blipFill>
                    <a:blip r:embed="rId24"/>
                    <a:stretch>
                      <a:fillRect/>
                    </a:stretch>
                  </pic:blipFill>
                  <pic:spPr>
                    <a:xfrm>
                      <a:off x="0" y="0"/>
                      <a:ext cx="6053729" cy="3566160"/>
                    </a:xfrm>
                    <a:prstGeom prst="rect">
                      <a:avLst/>
                    </a:prstGeom>
                  </pic:spPr>
                </pic:pic>
              </a:graphicData>
            </a:graphic>
          </wp:inline>
        </w:drawing>
      </w:r>
    </w:p>
    <w:p w14:paraId="661BB496" w14:textId="17C3B1E8" w:rsidR="00A8370E" w:rsidRPr="00C85C80" w:rsidRDefault="00A8370E" w:rsidP="00E60852">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8 </w:t>
      </w:r>
      <w:r w:rsidRPr="00C85C80">
        <w:rPr>
          <w:rFonts w:ascii="Arial" w:hAnsi="Arial" w:cs="Arial"/>
          <w:b/>
          <w:bCs/>
          <w:i w:val="0"/>
          <w:iCs w:val="0"/>
          <w:color w:val="000000" w:themeColor="text1"/>
          <w:sz w:val="20"/>
          <w:szCs w:val="20"/>
        </w:rPr>
        <w:fldChar w:fldCharType="end"/>
      </w:r>
      <w:r w:rsidR="00E60852" w:rsidRPr="00C85C80">
        <w:rPr>
          <w:rFonts w:ascii="Arial" w:hAnsi="Arial" w:cs="Arial"/>
          <w:b/>
          <w:bCs/>
          <w:i w:val="0"/>
          <w:iCs w:val="0"/>
          <w:color w:val="000000" w:themeColor="text1"/>
          <w:sz w:val="20"/>
          <w:szCs w:val="20"/>
        </w:rPr>
        <w:t>.</w:t>
      </w:r>
      <w:r w:rsidRPr="00C85C80">
        <w:rPr>
          <w:rFonts w:ascii="Arial" w:hAnsi="Arial" w:cs="Arial"/>
          <w:i w:val="0"/>
          <w:iCs w:val="0"/>
          <w:color w:val="000000" w:themeColor="text1"/>
          <w:sz w:val="20"/>
          <w:szCs w:val="20"/>
        </w:rPr>
        <w:t xml:space="preserve"> </w:t>
      </w:r>
      <w:r w:rsidRPr="00C85C80">
        <w:rPr>
          <w:rFonts w:ascii="Arial" w:hAnsi="Arial" w:cs="Arial"/>
          <w:b/>
          <w:bCs/>
          <w:i w:val="0"/>
          <w:iCs w:val="0"/>
          <w:color w:val="000000" w:themeColor="text1"/>
          <w:sz w:val="20"/>
          <w:szCs w:val="20"/>
        </w:rPr>
        <w:t xml:space="preserve">Variation in the value of </w:t>
      </w:r>
      <w:r w:rsidR="000D4F39">
        <w:rPr>
          <w:rFonts w:ascii="Arial" w:hAnsi="Arial" w:cs="Arial"/>
          <w:b/>
          <w:bCs/>
          <w:i w:val="0"/>
          <w:iCs w:val="0"/>
          <w:color w:val="000000" w:themeColor="text1"/>
          <w:sz w:val="20"/>
          <w:szCs w:val="20"/>
        </w:rPr>
        <w:t xml:space="preserve">C </w:t>
      </w:r>
      <w:r w:rsidRPr="00C85C80">
        <w:rPr>
          <w:rFonts w:ascii="Arial" w:hAnsi="Arial" w:cs="Arial"/>
          <w:b/>
          <w:bCs/>
          <w:i w:val="0"/>
          <w:iCs w:val="0"/>
          <w:color w:val="000000" w:themeColor="text1"/>
          <w:sz w:val="20"/>
          <w:szCs w:val="20"/>
        </w:rPr>
        <w:t>factor in the study area between 2002 and 2020</w:t>
      </w:r>
    </w:p>
    <w:p w14:paraId="4FAC8922" w14:textId="77777777" w:rsidR="00A8370E" w:rsidRPr="00C85C80" w:rsidRDefault="00A8370E" w:rsidP="00A8370E">
      <w:pPr>
        <w:rPr>
          <w:lang w:eastAsia="x-none" w:bidi="x-none"/>
        </w:rPr>
      </w:pPr>
    </w:p>
    <w:p w14:paraId="3D99525B" w14:textId="77777777" w:rsidR="00B17CC0" w:rsidRPr="00C85C80" w:rsidRDefault="00B644A7" w:rsidP="00E60852">
      <w:pPr>
        <w:keepNext/>
        <w:spacing w:after="0"/>
        <w:jc w:val="both"/>
      </w:pPr>
      <w:r w:rsidRPr="00C85C80">
        <w:rPr>
          <w:rFonts w:ascii="Times New Roman" w:hAnsi="Times New Roman" w:cs="Times New Roman"/>
          <w:b/>
          <w:noProof/>
          <w:sz w:val="24"/>
          <w:szCs w:val="24"/>
        </w:rPr>
        <w:drawing>
          <wp:inline distT="0" distB="0" distL="0" distR="0" wp14:anchorId="6486EFC0" wp14:editId="28B9C5AD">
            <wp:extent cx="3017520" cy="4283905"/>
            <wp:effectExtent l="0" t="0" r="0" b="2540"/>
            <wp:docPr id="22" name="Image 21">
              <a:extLst xmlns:a="http://schemas.openxmlformats.org/drawingml/2006/main">
                <a:ext uri="{FF2B5EF4-FFF2-40B4-BE49-F238E27FC236}">
                  <a16:creationId xmlns:a16="http://schemas.microsoft.com/office/drawing/2014/main" id="{5D43BC1D-2CCC-BBC2-96C6-EBEB1A6CB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5D43BC1D-2CCC-BBC2-96C6-EBEB1A6CBE20}"/>
                        </a:ext>
                      </a:extLst>
                    </pic:cNvPr>
                    <pic:cNvPicPr>
                      <a:picLocks noChangeAspect="1"/>
                    </pic:cNvPicPr>
                  </pic:nvPicPr>
                  <pic:blipFill>
                    <a:blip r:embed="rId25"/>
                    <a:stretch>
                      <a:fillRect/>
                    </a:stretch>
                  </pic:blipFill>
                  <pic:spPr>
                    <a:xfrm>
                      <a:off x="0" y="0"/>
                      <a:ext cx="3017520" cy="4283905"/>
                    </a:xfrm>
                    <a:prstGeom prst="rect">
                      <a:avLst/>
                    </a:prstGeom>
                  </pic:spPr>
                </pic:pic>
              </a:graphicData>
            </a:graphic>
          </wp:inline>
        </w:drawing>
      </w:r>
      <w:bookmarkStart w:id="26" w:name="_Toc140223590"/>
    </w:p>
    <w:p w14:paraId="6EE1ADAB" w14:textId="036B25D5" w:rsidR="002E12D2" w:rsidRPr="00C85C80" w:rsidRDefault="00B17CC0" w:rsidP="00E60852">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9. </w:t>
      </w:r>
      <w:r w:rsidRPr="00C85C80">
        <w:rPr>
          <w:rFonts w:ascii="Arial" w:hAnsi="Arial" w:cs="Arial"/>
          <w:b/>
          <w:bCs/>
          <w:i w:val="0"/>
          <w:iCs w:val="0"/>
          <w:color w:val="000000" w:themeColor="text1"/>
          <w:sz w:val="20"/>
          <w:szCs w:val="20"/>
        </w:rPr>
        <w:fldChar w:fldCharType="end"/>
      </w:r>
      <w:r w:rsidR="00E60852" w:rsidRPr="00C85C80">
        <w:rPr>
          <w:rFonts w:ascii="Arial" w:hAnsi="Arial" w:cs="Arial"/>
          <w:b/>
          <w:bCs/>
          <w:i w:val="0"/>
          <w:iCs w:val="0"/>
          <w:color w:val="000000" w:themeColor="text1"/>
          <w:sz w:val="20"/>
          <w:szCs w:val="20"/>
        </w:rPr>
        <w:t>Variation of the R factor in the study area</w:t>
      </w:r>
      <w:bookmarkEnd w:id="26"/>
    </w:p>
    <w:p w14:paraId="5E69D331" w14:textId="507AB4C5" w:rsidR="00190DD0" w:rsidRPr="00C85C80" w:rsidRDefault="002E12D2" w:rsidP="0005357B">
      <w:pPr>
        <w:spacing w:line="240" w:lineRule="auto"/>
        <w:jc w:val="both"/>
        <w:rPr>
          <w:rFonts w:ascii="Arial" w:hAnsi="Arial" w:cs="Arial"/>
          <w:b/>
          <w:i/>
          <w:color w:val="000000" w:themeColor="text1"/>
          <w:sz w:val="20"/>
          <w:szCs w:val="20"/>
        </w:rPr>
      </w:pPr>
      <w:r w:rsidRPr="00C85C80">
        <w:rPr>
          <w:rFonts w:ascii="Arial" w:hAnsi="Arial" w:cs="Arial"/>
          <w:sz w:val="20"/>
          <w:szCs w:val="20"/>
        </w:rPr>
        <w:lastRenderedPageBreak/>
        <w:t xml:space="preserve">The integration of all these factors into the RUSLE model yielded soil loss values ranging from 0 to 1423.31 t/ha/year for 2002 and from 0 to 1582.28 t/ha/year for 2020. </w:t>
      </w:r>
      <w:r w:rsidR="00190DD0" w:rsidRPr="00C85C80">
        <w:rPr>
          <w:rFonts w:ascii="Arial" w:hAnsi="Arial" w:cs="Arial"/>
          <w:color w:val="000000" w:themeColor="text1"/>
          <w:sz w:val="20"/>
          <w:szCs w:val="20"/>
        </w:rPr>
        <w:t xml:space="preserve">The areas least susceptible to erosion, which comprised </w:t>
      </w:r>
      <w:r w:rsidR="00190DD0" w:rsidRPr="00C85C80">
        <w:rPr>
          <w:rFonts w:ascii="Arial" w:hAnsi="Arial" w:cs="Arial"/>
          <w:sz w:val="20"/>
          <w:szCs w:val="20"/>
        </w:rPr>
        <w:t>61.32% of the study area in 2002, increased to 49.96% in 2020. This reflects a shift in areas highly vulnerable to erosion and an increase in erosion from 38.95% to 50.03% between 2002 and 2020. Average soil losses increased from 556.778 t/ha/year to 633.46 t/ha/year over the period from 2002 to 2020. Total annual soil losses over the same period were 1,473,213.42 t/year in 2002 and 1,676,135.16 t/year in 2020, representing an increase of approximately 1.5% (Table 1). The losses are concentrated in the southwest and northeast of the basin, which are the most urbanized areas (Figure 10).</w:t>
      </w:r>
    </w:p>
    <w:p w14:paraId="42CA2D17" w14:textId="4F00EA99" w:rsidR="00190DD0" w:rsidRPr="00C85C80" w:rsidRDefault="00190DD0" w:rsidP="008A5A3A">
      <w:pPr>
        <w:spacing w:line="240" w:lineRule="auto"/>
        <w:jc w:val="both"/>
        <w:rPr>
          <w:rFonts w:ascii="Arial" w:hAnsi="Arial" w:cs="Arial"/>
          <w:b/>
          <w:color w:val="000000" w:themeColor="text1"/>
          <w:sz w:val="20"/>
          <w:szCs w:val="20"/>
        </w:rPr>
      </w:pPr>
      <w:r w:rsidRPr="00C85C80">
        <w:rPr>
          <w:rFonts w:ascii="Arial" w:hAnsi="Arial" w:cs="Arial"/>
          <w:b/>
          <w:color w:val="000000" w:themeColor="text1"/>
          <w:sz w:val="20"/>
          <w:szCs w:val="20"/>
        </w:rPr>
        <w:t>Table 1. Soil loss rates in the Gourou watershed in 2002 and 2020</w:t>
      </w:r>
    </w:p>
    <w:tbl>
      <w:tblPr>
        <w:tblStyle w:val="PlainTable2"/>
        <w:tblW w:w="0" w:type="auto"/>
        <w:jc w:val="center"/>
        <w:tblLook w:val="04A0" w:firstRow="1" w:lastRow="0" w:firstColumn="1" w:lastColumn="0" w:noHBand="0" w:noVBand="1"/>
      </w:tblPr>
      <w:tblGrid>
        <w:gridCol w:w="2265"/>
        <w:gridCol w:w="2266"/>
        <w:gridCol w:w="2266"/>
      </w:tblGrid>
      <w:tr w:rsidR="00A57309" w:rsidRPr="00C85C80" w14:paraId="11E341CE" w14:textId="77777777" w:rsidTr="00E60852">
        <w:trPr>
          <w:cnfStyle w:val="100000000000" w:firstRow="1" w:lastRow="0" w:firstColumn="0" w:lastColumn="0" w:oddVBand="0" w:evenVBand="0" w:oddHBand="0" w:evenHBand="0" w:firstRowFirstColumn="0" w:firstRowLastColumn="0" w:lastRowFirstColumn="0" w:lastRowLastColumn="0"/>
          <w:trHeight w:val="814"/>
          <w:jc w:val="center"/>
        </w:trPr>
        <w:tc>
          <w:tcPr>
            <w:cnfStyle w:val="001000000000" w:firstRow="0" w:lastRow="0" w:firstColumn="1" w:lastColumn="0" w:oddVBand="0" w:evenVBand="0" w:oddHBand="0" w:evenHBand="0" w:firstRowFirstColumn="0" w:firstRowLastColumn="0" w:lastRowFirstColumn="0" w:lastRowLastColumn="0"/>
            <w:tcW w:w="2265" w:type="dxa"/>
          </w:tcPr>
          <w:p w14:paraId="613099E1" w14:textId="77777777" w:rsidR="00A57309" w:rsidRPr="00C85C80" w:rsidRDefault="00A57309" w:rsidP="008A5A3A">
            <w:pPr>
              <w:spacing w:after="160"/>
              <w:jc w:val="both"/>
              <w:rPr>
                <w:rFonts w:ascii="Arial" w:hAnsi="Arial" w:cs="Arial"/>
                <w:color w:val="000000" w:themeColor="text1"/>
                <w:sz w:val="20"/>
                <w:szCs w:val="20"/>
              </w:rPr>
            </w:pPr>
            <w:r w:rsidRPr="00C85C80">
              <w:rPr>
                <w:rFonts w:ascii="Arial" w:hAnsi="Arial" w:cs="Arial"/>
                <w:color w:val="000000" w:themeColor="text1"/>
                <w:sz w:val="20"/>
                <w:szCs w:val="20"/>
              </w:rPr>
              <w:t>Year</w:t>
            </w:r>
            <w:r w:rsidRPr="00C85C80">
              <w:rPr>
                <w:rFonts w:ascii="Arial" w:hAnsi="Arial" w:cs="Arial"/>
                <w:color w:val="000000" w:themeColor="text1"/>
                <w:sz w:val="20"/>
                <w:szCs w:val="20"/>
              </w:rPr>
              <w:tab/>
            </w:r>
          </w:p>
        </w:tc>
        <w:tc>
          <w:tcPr>
            <w:tcW w:w="2266" w:type="dxa"/>
          </w:tcPr>
          <w:p w14:paraId="3DC1B5A4" w14:textId="7D9DCC58" w:rsidR="00A57309" w:rsidRPr="00C85C80" w:rsidRDefault="00A57309" w:rsidP="008A5A3A">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C85C80">
              <w:rPr>
                <w:rFonts w:ascii="Arial" w:hAnsi="Arial" w:cs="Arial"/>
                <w:color w:val="000000" w:themeColor="text1"/>
                <w:sz w:val="20"/>
                <w:szCs w:val="20"/>
              </w:rPr>
              <w:t>Average soil losses (t/ha/year)</w:t>
            </w:r>
          </w:p>
        </w:tc>
        <w:tc>
          <w:tcPr>
            <w:tcW w:w="2266" w:type="dxa"/>
          </w:tcPr>
          <w:p w14:paraId="4B6236F5" w14:textId="77777777" w:rsidR="00A57309" w:rsidRPr="00C85C80" w:rsidRDefault="00A57309" w:rsidP="008A5A3A">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C85C80">
              <w:rPr>
                <w:rFonts w:ascii="Arial" w:hAnsi="Arial" w:cs="Arial"/>
                <w:color w:val="000000" w:themeColor="text1"/>
                <w:sz w:val="20"/>
                <w:szCs w:val="20"/>
              </w:rPr>
              <w:t>Total annual soil losses (t/year)</w:t>
            </w:r>
          </w:p>
        </w:tc>
      </w:tr>
      <w:tr w:rsidR="00A57309" w:rsidRPr="00C85C80" w14:paraId="7EF5124D" w14:textId="77777777" w:rsidTr="00E60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tcBorders>
              <w:bottom w:val="nil"/>
            </w:tcBorders>
          </w:tcPr>
          <w:p w14:paraId="5660256C" w14:textId="77777777" w:rsidR="00A57309" w:rsidRPr="00C85C80" w:rsidRDefault="00A57309" w:rsidP="008A5A3A">
            <w:pPr>
              <w:spacing w:after="160"/>
              <w:jc w:val="both"/>
              <w:rPr>
                <w:rFonts w:ascii="Arial" w:hAnsi="Arial" w:cs="Arial"/>
                <w:color w:val="000000" w:themeColor="text1"/>
                <w:sz w:val="20"/>
                <w:szCs w:val="20"/>
              </w:rPr>
            </w:pPr>
            <w:r w:rsidRPr="00C85C80">
              <w:rPr>
                <w:rFonts w:ascii="Arial" w:hAnsi="Arial" w:cs="Arial"/>
                <w:color w:val="000000" w:themeColor="text1"/>
                <w:sz w:val="20"/>
                <w:szCs w:val="20"/>
              </w:rPr>
              <w:t>2002</w:t>
            </w:r>
          </w:p>
        </w:tc>
        <w:tc>
          <w:tcPr>
            <w:tcW w:w="2266" w:type="dxa"/>
            <w:tcBorders>
              <w:bottom w:val="nil"/>
            </w:tcBorders>
          </w:tcPr>
          <w:p w14:paraId="2AA9291F" w14:textId="77777777" w:rsidR="00A57309" w:rsidRPr="00C85C80" w:rsidRDefault="00A57309" w:rsidP="008A5A3A">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rPr>
            </w:pPr>
            <w:r w:rsidRPr="00C85C80">
              <w:rPr>
                <w:rFonts w:ascii="Arial" w:hAnsi="Arial" w:cs="Arial"/>
                <w:bCs/>
                <w:color w:val="000000" w:themeColor="text1"/>
                <w:sz w:val="20"/>
                <w:szCs w:val="20"/>
              </w:rPr>
              <w:t>556.77</w:t>
            </w:r>
          </w:p>
        </w:tc>
        <w:tc>
          <w:tcPr>
            <w:tcW w:w="2266" w:type="dxa"/>
            <w:tcBorders>
              <w:bottom w:val="nil"/>
            </w:tcBorders>
          </w:tcPr>
          <w:p w14:paraId="369B4D66" w14:textId="5726BAD5" w:rsidR="00A57309" w:rsidRPr="00C85C80" w:rsidRDefault="00A57309" w:rsidP="008A5A3A">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rPr>
            </w:pPr>
            <w:r w:rsidRPr="00C85C80">
              <w:rPr>
                <w:rFonts w:ascii="Arial" w:hAnsi="Arial" w:cs="Arial"/>
                <w:bCs/>
                <w:color w:val="000000" w:themeColor="text1"/>
                <w:sz w:val="20"/>
                <w:szCs w:val="20"/>
              </w:rPr>
              <w:t>1473213</w:t>
            </w:r>
            <w:r w:rsidR="007D071F">
              <w:rPr>
                <w:rFonts w:ascii="Arial" w:hAnsi="Arial" w:cs="Arial"/>
                <w:bCs/>
                <w:color w:val="000000" w:themeColor="text1"/>
                <w:sz w:val="20"/>
                <w:szCs w:val="20"/>
              </w:rPr>
              <w:t>.</w:t>
            </w:r>
            <w:r w:rsidRPr="00C85C80">
              <w:rPr>
                <w:rFonts w:ascii="Arial" w:hAnsi="Arial" w:cs="Arial"/>
                <w:bCs/>
                <w:color w:val="000000" w:themeColor="text1"/>
                <w:sz w:val="20"/>
                <w:szCs w:val="20"/>
              </w:rPr>
              <w:t>42</w:t>
            </w:r>
          </w:p>
        </w:tc>
      </w:tr>
      <w:tr w:rsidR="00A57309" w:rsidRPr="00C85C80" w14:paraId="54E02064" w14:textId="77777777" w:rsidTr="00E60852">
        <w:trPr>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tcBorders>
          </w:tcPr>
          <w:p w14:paraId="1ACC026B" w14:textId="77777777" w:rsidR="00A57309" w:rsidRPr="00C85C80" w:rsidRDefault="00A57309" w:rsidP="008A5A3A">
            <w:pPr>
              <w:spacing w:after="160"/>
              <w:jc w:val="both"/>
              <w:rPr>
                <w:rFonts w:ascii="Arial" w:hAnsi="Arial" w:cs="Arial"/>
                <w:color w:val="000000" w:themeColor="text1"/>
                <w:sz w:val="20"/>
                <w:szCs w:val="20"/>
              </w:rPr>
            </w:pPr>
            <w:r w:rsidRPr="00C85C80">
              <w:rPr>
                <w:rFonts w:ascii="Arial" w:hAnsi="Arial" w:cs="Arial"/>
                <w:color w:val="000000" w:themeColor="text1"/>
                <w:sz w:val="20"/>
                <w:szCs w:val="20"/>
              </w:rPr>
              <w:t>2020</w:t>
            </w:r>
          </w:p>
        </w:tc>
        <w:tc>
          <w:tcPr>
            <w:tcW w:w="2266" w:type="dxa"/>
            <w:tcBorders>
              <w:top w:val="nil"/>
            </w:tcBorders>
          </w:tcPr>
          <w:p w14:paraId="625E54DC" w14:textId="77777777" w:rsidR="00A57309" w:rsidRPr="00C85C80" w:rsidRDefault="00A57309" w:rsidP="008A5A3A">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C85C80">
              <w:rPr>
                <w:rFonts w:ascii="Arial" w:hAnsi="Arial" w:cs="Arial"/>
                <w:bCs/>
                <w:color w:val="000000" w:themeColor="text1"/>
                <w:sz w:val="20"/>
                <w:szCs w:val="20"/>
              </w:rPr>
              <w:t>633.46</w:t>
            </w:r>
          </w:p>
        </w:tc>
        <w:tc>
          <w:tcPr>
            <w:tcW w:w="2266" w:type="dxa"/>
            <w:tcBorders>
              <w:top w:val="nil"/>
            </w:tcBorders>
          </w:tcPr>
          <w:p w14:paraId="57EA5C34" w14:textId="77777777" w:rsidR="00A57309" w:rsidRPr="00C85C80" w:rsidRDefault="00A57309" w:rsidP="008A5A3A">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C85C80">
              <w:rPr>
                <w:rFonts w:ascii="Arial" w:hAnsi="Arial" w:cs="Arial"/>
                <w:bCs/>
                <w:color w:val="000000" w:themeColor="text1"/>
                <w:sz w:val="20"/>
                <w:szCs w:val="20"/>
              </w:rPr>
              <w:t>1676135.16</w:t>
            </w:r>
          </w:p>
        </w:tc>
      </w:tr>
    </w:tbl>
    <w:p w14:paraId="35476C94" w14:textId="77777777" w:rsidR="00190DD0" w:rsidRPr="00C85C80" w:rsidRDefault="00190DD0" w:rsidP="00190DD0">
      <w:pPr>
        <w:spacing w:line="360" w:lineRule="auto"/>
        <w:jc w:val="both"/>
        <w:rPr>
          <w:rFonts w:ascii="Times New Roman" w:hAnsi="Times New Roman" w:cs="Times New Roman"/>
          <w:b/>
          <w:color w:val="000000" w:themeColor="text1"/>
          <w:sz w:val="24"/>
          <w:szCs w:val="24"/>
        </w:rPr>
      </w:pPr>
    </w:p>
    <w:p w14:paraId="7F9B1F9F" w14:textId="77777777" w:rsidR="00880138" w:rsidRPr="00C85C80" w:rsidRDefault="00190DD0" w:rsidP="00880138">
      <w:pPr>
        <w:keepNext/>
        <w:spacing w:after="0" w:line="360" w:lineRule="auto"/>
        <w:jc w:val="both"/>
      </w:pPr>
      <w:r w:rsidRPr="00C85C80">
        <w:rPr>
          <w:rFonts w:ascii="Times New Roman" w:hAnsi="Times New Roman" w:cs="Times New Roman"/>
          <w:b/>
          <w:i/>
          <w:color w:val="000000" w:themeColor="text1"/>
          <w:sz w:val="24"/>
          <w:szCs w:val="24"/>
        </w:rPr>
        <w:t xml:space="preserve">  </w:t>
      </w:r>
      <w:r w:rsidR="00447D3D" w:rsidRPr="00C85C80">
        <w:rPr>
          <w:rFonts w:ascii="Times New Roman" w:hAnsi="Times New Roman" w:cs="Times New Roman"/>
          <w:b/>
          <w:i/>
          <w:noProof/>
          <w:color w:val="000000" w:themeColor="text1"/>
          <w:sz w:val="24"/>
          <w:szCs w:val="24"/>
        </w:rPr>
        <w:drawing>
          <wp:inline distT="0" distB="0" distL="0" distR="0" wp14:anchorId="7AA3B6DD" wp14:editId="11F712EA">
            <wp:extent cx="5759450" cy="4006850"/>
            <wp:effectExtent l="0" t="0" r="0" b="0"/>
            <wp:docPr id="1039132142" name="Image 1">
              <a:extLst xmlns:a="http://schemas.openxmlformats.org/drawingml/2006/main">
                <a:ext uri="{FF2B5EF4-FFF2-40B4-BE49-F238E27FC236}">
                  <a16:creationId xmlns:a16="http://schemas.microsoft.com/office/drawing/2014/main" id="{5164EBE1-2F6A-157F-6BFE-A8F644355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164EBE1-2F6A-157F-6BFE-A8F644355E24}"/>
                        </a:ext>
                      </a:extLst>
                    </pic:cNvPr>
                    <pic:cNvPicPr>
                      <a:picLocks noChangeAspect="1"/>
                    </pic:cNvPicPr>
                  </pic:nvPicPr>
                  <pic:blipFill>
                    <a:blip r:embed="rId26"/>
                    <a:stretch>
                      <a:fillRect/>
                    </a:stretch>
                  </pic:blipFill>
                  <pic:spPr>
                    <a:xfrm>
                      <a:off x="0" y="0"/>
                      <a:ext cx="5759450" cy="4006850"/>
                    </a:xfrm>
                    <a:prstGeom prst="rect">
                      <a:avLst/>
                    </a:prstGeom>
                  </pic:spPr>
                </pic:pic>
              </a:graphicData>
            </a:graphic>
          </wp:inline>
        </w:drawing>
      </w:r>
      <w:bookmarkStart w:id="27" w:name="_Toc138740066"/>
      <w:bookmarkStart w:id="28" w:name="_Toc140220206"/>
      <w:bookmarkStart w:id="29" w:name="_Toc140221644"/>
      <w:bookmarkStart w:id="30" w:name="_Toc140223224"/>
      <w:bookmarkStart w:id="31" w:name="_Toc140223592"/>
    </w:p>
    <w:p w14:paraId="048DBFAB" w14:textId="318BFD19" w:rsidR="001F1B7D" w:rsidRPr="00C85C80" w:rsidRDefault="00880138" w:rsidP="00880138">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Pr="00C85C80">
        <w:rPr>
          <w:rFonts w:ascii="Arial" w:hAnsi="Arial" w:cs="Arial"/>
          <w:b/>
          <w:bCs/>
          <w:i w:val="0"/>
          <w:iCs w:val="0"/>
          <w:color w:val="000000" w:themeColor="text1"/>
          <w:sz w:val="20"/>
          <w:szCs w:val="20"/>
        </w:rPr>
        <w:t xml:space="preserve">10. </w:t>
      </w:r>
      <w:r w:rsidRPr="00C85C80">
        <w:rPr>
          <w:rFonts w:ascii="Arial" w:hAnsi="Arial" w:cs="Arial"/>
          <w:b/>
          <w:bCs/>
          <w:i w:val="0"/>
          <w:iCs w:val="0"/>
          <w:color w:val="000000" w:themeColor="text1"/>
          <w:sz w:val="20"/>
          <w:szCs w:val="20"/>
        </w:rPr>
        <w:fldChar w:fldCharType="end"/>
      </w:r>
      <w:r w:rsidR="00E60852" w:rsidRPr="00C85C80">
        <w:rPr>
          <w:rFonts w:ascii="Arial" w:hAnsi="Arial" w:cs="Arial"/>
          <w:b/>
          <w:bCs/>
          <w:i w:val="0"/>
          <w:iCs w:val="0"/>
          <w:color w:val="000000" w:themeColor="text1"/>
          <w:sz w:val="20"/>
          <w:szCs w:val="20"/>
        </w:rPr>
        <w:t>Evolution of soil loss in the Gourou catchment from 2002 to 2020</w:t>
      </w:r>
      <w:r w:rsidR="001F1B7D" w:rsidRPr="00C85C80">
        <w:rPr>
          <w:rFonts w:ascii="Arial" w:hAnsi="Arial" w:cs="Arial"/>
          <w:b/>
          <w:bCs/>
          <w:i w:val="0"/>
          <w:iCs w:val="0"/>
          <w:color w:val="000000" w:themeColor="text1"/>
          <w:sz w:val="20"/>
          <w:szCs w:val="20"/>
        </w:rPr>
        <w:br w:type="page"/>
      </w:r>
    </w:p>
    <w:p w14:paraId="50DF9652" w14:textId="09775F8C" w:rsidR="002A0669" w:rsidRPr="00C85C80" w:rsidRDefault="00AB1171" w:rsidP="001F1B7D">
      <w:pPr>
        <w:pStyle w:val="Caption"/>
        <w:rPr>
          <w:rFonts w:ascii="Arial" w:hAnsi="Arial" w:cs="Arial"/>
          <w:i w:val="0"/>
          <w:iCs w:val="0"/>
          <w:color w:val="auto"/>
          <w:sz w:val="22"/>
          <w:szCs w:val="22"/>
        </w:rPr>
      </w:pPr>
      <w:bookmarkStart w:id="32" w:name="_Toc140690518"/>
      <w:bookmarkEnd w:id="22"/>
      <w:bookmarkEnd w:id="23"/>
      <w:bookmarkEnd w:id="24"/>
      <w:bookmarkEnd w:id="27"/>
      <w:bookmarkEnd w:id="28"/>
      <w:bookmarkEnd w:id="29"/>
      <w:bookmarkEnd w:id="30"/>
      <w:bookmarkEnd w:id="31"/>
      <w:r w:rsidRPr="00C85C80">
        <w:rPr>
          <w:rFonts w:ascii="Arial" w:hAnsi="Arial" w:cs="Arial"/>
          <w:b/>
          <w:bCs/>
          <w:i w:val="0"/>
          <w:iCs w:val="0"/>
          <w:color w:val="auto"/>
          <w:sz w:val="22"/>
          <w:szCs w:val="22"/>
        </w:rPr>
        <w:lastRenderedPageBreak/>
        <w:t xml:space="preserve">3.2 </w:t>
      </w:r>
      <w:r w:rsidR="002A0669" w:rsidRPr="00C85C80">
        <w:rPr>
          <w:rFonts w:ascii="Arial" w:hAnsi="Arial" w:cs="Arial"/>
          <w:b/>
          <w:bCs/>
          <w:i w:val="0"/>
          <w:iCs w:val="0"/>
          <w:color w:val="auto"/>
          <w:sz w:val="22"/>
          <w:szCs w:val="22"/>
        </w:rPr>
        <w:t>. DISCUSSION</w:t>
      </w:r>
    </w:p>
    <w:bookmarkEnd w:id="32"/>
    <w:p w14:paraId="2C96B32A" w14:textId="1EA5E90B" w:rsidR="002A0669" w:rsidRPr="00C85C80" w:rsidRDefault="002A0669" w:rsidP="00987EA7">
      <w:pPr>
        <w:spacing w:after="0" w:line="240" w:lineRule="auto"/>
        <w:ind w:firstLine="708"/>
        <w:jc w:val="both"/>
        <w:rPr>
          <w:rFonts w:ascii="Arial" w:hAnsi="Arial" w:cs="Arial"/>
          <w:sz w:val="20"/>
          <w:szCs w:val="20"/>
        </w:rPr>
      </w:pPr>
      <w:r w:rsidRPr="00C85C80">
        <w:rPr>
          <w:rFonts w:ascii="Arial" w:hAnsi="Arial" w:cs="Arial"/>
          <w:sz w:val="20"/>
          <w:szCs w:val="20"/>
        </w:rPr>
        <w:t xml:space="preserve">Land cover was analyzed using spatial analysis tools within a GIS. This approach has already been used by some authors ( </w:t>
      </w:r>
      <w:bookmarkStart w:id="33" w:name="_Hlk214461450"/>
      <w:r w:rsidRPr="00C85C80">
        <w:rPr>
          <w:rFonts w:ascii="Arial" w:hAnsi="Arial" w:cs="Arial"/>
          <w:sz w:val="20"/>
          <w:szCs w:val="20"/>
        </w:rPr>
        <w:t xml:space="preserve">Meledje , 2016 </w:t>
      </w:r>
      <w:bookmarkEnd w:id="33"/>
      <w:r w:rsidRPr="00C85C80">
        <w:rPr>
          <w:rFonts w:ascii="Arial" w:hAnsi="Arial" w:cs="Arial"/>
          <w:sz w:val="20"/>
          <w:szCs w:val="20"/>
        </w:rPr>
        <w:t xml:space="preserve">; </w:t>
      </w:r>
      <w:proofErr w:type="spellStart"/>
      <w:r w:rsidRPr="00C85C80">
        <w:rPr>
          <w:rFonts w:ascii="Arial" w:hAnsi="Arial" w:cs="Arial"/>
          <w:sz w:val="20"/>
          <w:szCs w:val="20"/>
        </w:rPr>
        <w:t>N'go</w:t>
      </w:r>
      <w:proofErr w:type="spellEnd"/>
      <w:r w:rsidRPr="00C85C80">
        <w:rPr>
          <w:rFonts w:ascii="Arial" w:hAnsi="Arial" w:cs="Arial"/>
          <w:sz w:val="20"/>
          <w:szCs w:val="20"/>
        </w:rPr>
        <w:t xml:space="preserve"> </w:t>
      </w:r>
      <w:r w:rsidRPr="00C85C80">
        <w:rPr>
          <w:rFonts w:ascii="Arial" w:hAnsi="Arial" w:cs="Arial"/>
          <w:i/>
          <w:iCs/>
          <w:sz w:val="20"/>
          <w:szCs w:val="20"/>
        </w:rPr>
        <w:t xml:space="preserve">et al </w:t>
      </w:r>
      <w:r w:rsidRPr="00C85C80">
        <w:rPr>
          <w:rFonts w:ascii="Arial" w:hAnsi="Arial" w:cs="Arial"/>
          <w:sz w:val="20"/>
          <w:szCs w:val="20"/>
        </w:rPr>
        <w:t xml:space="preserve">., 2018) to characterize land cover, delineate forested areas, and estimate soil loss. </w:t>
      </w:r>
      <w:r w:rsidRPr="00C85C80">
        <w:rPr>
          <w:rFonts w:ascii="Arial" w:hAnsi="Arial" w:cs="Arial"/>
          <w:color w:val="111111"/>
          <w:sz w:val="20"/>
          <w:szCs w:val="20"/>
          <w:shd w:val="clear" w:color="auto" w:fill="FFFFFF"/>
        </w:rPr>
        <w:t xml:space="preserve">The overall accuracy and classification kappa coefficients obtained are above 80%, indicating good image classification ( </w:t>
      </w:r>
      <w:bookmarkStart w:id="34" w:name="_Hlk214461508"/>
      <w:proofErr w:type="spellStart"/>
      <w:r w:rsidRPr="00C85C80">
        <w:rPr>
          <w:rFonts w:ascii="Arial" w:hAnsi="Arial" w:cs="Arial"/>
          <w:color w:val="111111"/>
          <w:sz w:val="20"/>
          <w:szCs w:val="20"/>
          <w:shd w:val="clear" w:color="auto" w:fill="FFFFFF"/>
        </w:rPr>
        <w:t>Congalton</w:t>
      </w:r>
      <w:proofErr w:type="spellEnd"/>
      <w:r w:rsidRPr="00C85C80">
        <w:rPr>
          <w:rFonts w:ascii="Arial" w:hAnsi="Arial" w:cs="Arial"/>
          <w:color w:val="111111"/>
          <w:sz w:val="20"/>
          <w:szCs w:val="20"/>
          <w:shd w:val="clear" w:color="auto" w:fill="FFFFFF"/>
        </w:rPr>
        <w:t xml:space="preserve"> , 1991 </w:t>
      </w:r>
      <w:bookmarkEnd w:id="34"/>
      <w:r w:rsidRPr="00C85C80">
        <w:rPr>
          <w:rFonts w:ascii="Arial" w:hAnsi="Arial" w:cs="Arial"/>
          <w:color w:val="111111"/>
          <w:sz w:val="20"/>
          <w:szCs w:val="20"/>
          <w:shd w:val="clear" w:color="auto" w:fill="FFFFFF"/>
        </w:rPr>
        <w:t xml:space="preserve">). </w:t>
      </w:r>
      <w:r w:rsidRPr="00C85C80">
        <w:rPr>
          <w:rFonts w:ascii="Arial" w:hAnsi="Arial" w:cs="Arial"/>
          <w:sz w:val="20"/>
          <w:szCs w:val="20"/>
        </w:rPr>
        <w:t xml:space="preserve">The land cover results indicate that the studied area was more than 51% covered by artificial formations in 2002 and 71% in 2020. Indeed, the analysis of land cover dynamics between 2002 and 2020 in the Gourou watershed shows a significant decline in parks and gardens, as well as in low-lying areas and cultivated land in 2020, in favor of buildings and bare soil. This rapid conversion of parks and gardens, low-lying areas, and agricultural land into buildings and bare soil within 18 years could be attributed to the strong population growth experienced by the city of Abidjan. Indeed, the gradual increase in population density will lead to a need for housing. A study conducted by </w:t>
      </w:r>
      <w:bookmarkStart w:id="35" w:name="_Hlk214461588"/>
      <w:r w:rsidRPr="00C85C80">
        <w:rPr>
          <w:rFonts w:ascii="Arial" w:hAnsi="Arial" w:cs="Arial"/>
          <w:sz w:val="20"/>
          <w:szCs w:val="20"/>
        </w:rPr>
        <w:t xml:space="preserve">Sako </w:t>
      </w:r>
      <w:r w:rsidRPr="00C85C80">
        <w:rPr>
          <w:rFonts w:ascii="Arial" w:hAnsi="Arial" w:cs="Arial"/>
          <w:i/>
          <w:iCs/>
          <w:sz w:val="20"/>
          <w:szCs w:val="20"/>
        </w:rPr>
        <w:t xml:space="preserve">et al </w:t>
      </w:r>
      <w:r w:rsidRPr="00C85C80">
        <w:rPr>
          <w:rFonts w:ascii="Arial" w:hAnsi="Arial" w:cs="Arial"/>
          <w:sz w:val="20"/>
          <w:szCs w:val="20"/>
        </w:rPr>
        <w:t xml:space="preserve">. (2013) </w:t>
      </w:r>
      <w:bookmarkEnd w:id="35"/>
      <w:r w:rsidRPr="00C85C80">
        <w:rPr>
          <w:rFonts w:ascii="Arial" w:hAnsi="Arial" w:cs="Arial"/>
          <w:sz w:val="20"/>
          <w:szCs w:val="20"/>
        </w:rPr>
        <w:t>on the impact of urbanization on the conservation of Banco National Park in Abidjan showed a 7% increase in buildings within this protected forest area in 1998. Furthermore, this conversion of vegetated areas into buildings could be explained by the population displacement during the 2002 socio-political crisis, which saw a large mass of the population migrate to the south of the country.</w:t>
      </w:r>
    </w:p>
    <w:p w14:paraId="2C6410E6" w14:textId="4D6B1AF8" w:rsidR="002A0669" w:rsidRPr="00C85C80" w:rsidRDefault="002A0669" w:rsidP="00987EA7">
      <w:pPr>
        <w:tabs>
          <w:tab w:val="left" w:pos="945"/>
        </w:tabs>
        <w:spacing w:after="0" w:line="240" w:lineRule="auto"/>
        <w:jc w:val="both"/>
        <w:rPr>
          <w:rFonts w:ascii="Arial" w:hAnsi="Arial" w:cs="Arial"/>
          <w:sz w:val="20"/>
          <w:szCs w:val="20"/>
        </w:rPr>
      </w:pPr>
      <w:r w:rsidRPr="00C85C80">
        <w:rPr>
          <w:rFonts w:ascii="Arial" w:hAnsi="Arial" w:cs="Arial"/>
          <w:sz w:val="20"/>
          <w:szCs w:val="20"/>
        </w:rPr>
        <w:tab/>
        <w:t xml:space="preserve">The quantification of </w:t>
      </w:r>
      <w:r w:rsidR="00536002" w:rsidRPr="00C85C80">
        <w:rPr>
          <w:rFonts w:ascii="Arial" w:hAnsi="Arial" w:cs="Arial"/>
          <w:sz w:val="20"/>
          <w:szCs w:val="20"/>
        </w:rPr>
        <w:t xml:space="preserve">soil loss indicates an average soil loss ranging from 556.77 t/ha/yr in 2002 to 633.46 t/ha/yr in 2020. According to the findings of </w:t>
      </w:r>
      <w:bookmarkStart w:id="36" w:name="_Hlk214461673"/>
      <w:r w:rsidRPr="00C85C80">
        <w:rPr>
          <w:rFonts w:ascii="Arial" w:hAnsi="Arial" w:cs="Arial"/>
          <w:sz w:val="20"/>
          <w:szCs w:val="20"/>
        </w:rPr>
        <w:t xml:space="preserve">Wall </w:t>
      </w:r>
      <w:r w:rsidRPr="00C85C80">
        <w:rPr>
          <w:rFonts w:ascii="Arial" w:hAnsi="Arial" w:cs="Arial"/>
          <w:i/>
          <w:iCs/>
          <w:sz w:val="20"/>
          <w:szCs w:val="20"/>
        </w:rPr>
        <w:t xml:space="preserve">et al. </w:t>
      </w:r>
      <w:r w:rsidRPr="00C85C80">
        <w:rPr>
          <w:rFonts w:ascii="Arial" w:hAnsi="Arial" w:cs="Arial"/>
          <w:sz w:val="20"/>
          <w:szCs w:val="20"/>
        </w:rPr>
        <w:t xml:space="preserve">(1954) </w:t>
      </w:r>
      <w:bookmarkEnd w:id="36"/>
      <w:r w:rsidRPr="00C85C80">
        <w:rPr>
          <w:rFonts w:ascii="Arial" w:hAnsi="Arial" w:cs="Arial"/>
          <w:sz w:val="20"/>
          <w:szCs w:val="20"/>
        </w:rPr>
        <w:t xml:space="preserve">, the study area is experiencing very high erosion. Areas with high erosion rates are located on steep slopes and with bare or built-up soil. This assertion is supported by </w:t>
      </w:r>
      <w:bookmarkStart w:id="37" w:name="_Hlk214461733"/>
      <w:r w:rsidRPr="00C85C80">
        <w:rPr>
          <w:rFonts w:ascii="Arial" w:hAnsi="Arial" w:cs="Arial"/>
          <w:sz w:val="20"/>
          <w:szCs w:val="20"/>
        </w:rPr>
        <w:t xml:space="preserve">Meledje (2016) </w:t>
      </w:r>
      <w:bookmarkEnd w:id="37"/>
      <w:r w:rsidRPr="00C85C80">
        <w:rPr>
          <w:rFonts w:ascii="Arial" w:hAnsi="Arial" w:cs="Arial"/>
          <w:sz w:val="20"/>
          <w:szCs w:val="20"/>
        </w:rPr>
        <w:t xml:space="preserve">, who states that lower soil losses are associated with dense cover such as forests, while the highest values are attributed to bare soils. The high soil losses recorded in the study area could be explained by its high level of urbanization, which reduces infiltration and intensifies the impact of rainfall on the soil, allowing rainwater to easily erode topsoil layers. Numerous scientific studies highlight the role of vegetation cover in combating erosion ( </w:t>
      </w:r>
      <w:bookmarkStart w:id="38" w:name="_Hlk214461825"/>
      <w:r w:rsidRPr="00C85C80">
        <w:rPr>
          <w:rFonts w:ascii="Arial" w:hAnsi="Arial" w:cs="Arial"/>
          <w:sz w:val="20"/>
          <w:szCs w:val="20"/>
        </w:rPr>
        <w:t xml:space="preserve">El Hage Hassan </w:t>
      </w:r>
      <w:r w:rsidRPr="00C85C80">
        <w:rPr>
          <w:rFonts w:ascii="Arial" w:hAnsi="Arial" w:cs="Arial"/>
          <w:i/>
          <w:iCs/>
          <w:sz w:val="20"/>
          <w:szCs w:val="20"/>
        </w:rPr>
        <w:t xml:space="preserve">et al </w:t>
      </w:r>
      <w:r w:rsidRPr="00C85C80">
        <w:rPr>
          <w:rFonts w:ascii="Arial" w:hAnsi="Arial" w:cs="Arial"/>
          <w:sz w:val="20"/>
          <w:szCs w:val="20"/>
        </w:rPr>
        <w:t xml:space="preserve">., 2016 </w:t>
      </w:r>
      <w:bookmarkEnd w:id="38"/>
      <w:r w:rsidRPr="00C85C80">
        <w:rPr>
          <w:rFonts w:ascii="Arial" w:hAnsi="Arial" w:cs="Arial"/>
          <w:sz w:val="20"/>
          <w:szCs w:val="20"/>
        </w:rPr>
        <w:t>). Indeed, vegetation protects the soil surface from the effect of raindrops, slows the speed of runoff, and maintains good porosity at the soil surface, making it more resistant to erosion (</w:t>
      </w:r>
      <w:bookmarkStart w:id="39" w:name="_Hlk214461894"/>
      <w:proofErr w:type="gramStart"/>
      <w:r w:rsidRPr="00C85C80">
        <w:rPr>
          <w:rFonts w:ascii="Arial" w:hAnsi="Arial" w:cs="Arial"/>
          <w:sz w:val="20"/>
          <w:szCs w:val="20"/>
        </w:rPr>
        <w:t>Roose ,</w:t>
      </w:r>
      <w:proofErr w:type="gramEnd"/>
      <w:r w:rsidRPr="00C85C80">
        <w:rPr>
          <w:rFonts w:ascii="Arial" w:hAnsi="Arial" w:cs="Arial"/>
          <w:sz w:val="20"/>
          <w:szCs w:val="20"/>
        </w:rPr>
        <w:t xml:space="preserve"> 1996; Zhou </w:t>
      </w:r>
      <w:r w:rsidRPr="00C85C80">
        <w:rPr>
          <w:rFonts w:ascii="Arial" w:hAnsi="Arial" w:cs="Arial"/>
          <w:i/>
          <w:iCs/>
          <w:sz w:val="20"/>
          <w:szCs w:val="20"/>
        </w:rPr>
        <w:t xml:space="preserve">et al </w:t>
      </w:r>
      <w:r w:rsidRPr="00C85C80">
        <w:rPr>
          <w:rFonts w:ascii="Arial" w:hAnsi="Arial" w:cs="Arial"/>
          <w:sz w:val="20"/>
          <w:szCs w:val="20"/>
        </w:rPr>
        <w:t>., 2008).</w:t>
      </w:r>
      <w:bookmarkEnd w:id="39"/>
    </w:p>
    <w:p w14:paraId="2AD87B32" w14:textId="796BB4E8" w:rsidR="002A0669" w:rsidRPr="00C85C80" w:rsidRDefault="002A0669" w:rsidP="00987EA7">
      <w:pPr>
        <w:tabs>
          <w:tab w:val="left" w:pos="945"/>
        </w:tabs>
        <w:spacing w:line="240" w:lineRule="auto"/>
        <w:jc w:val="both"/>
        <w:rPr>
          <w:rFonts w:ascii="Arial" w:hAnsi="Arial" w:cs="Arial"/>
          <w:sz w:val="20"/>
          <w:szCs w:val="20"/>
        </w:rPr>
      </w:pPr>
      <w:r w:rsidRPr="00C85C80">
        <w:rPr>
          <w:rFonts w:ascii="Arial" w:hAnsi="Arial" w:cs="Arial"/>
          <w:sz w:val="20"/>
          <w:szCs w:val="20"/>
        </w:rPr>
        <w:t>Erosion is not solely due to the absence of vegetation cover. The cumulative effects of soil and climate conditions, the disappearance of vegetation on fragile soils, rugged topography, and the lack of erosion control measures all contribute to erosion. All these factors must be considered to explain the spatial distribution of erosion.</w:t>
      </w:r>
    </w:p>
    <w:p w14:paraId="4DFAE67C" w14:textId="3EA6654E" w:rsidR="002A0669" w:rsidRPr="00C85C80" w:rsidRDefault="001F1B7D" w:rsidP="002A0669">
      <w:pPr>
        <w:spacing w:line="360" w:lineRule="auto"/>
        <w:jc w:val="both"/>
        <w:rPr>
          <w:rFonts w:ascii="Arial" w:hAnsi="Arial" w:cs="Arial"/>
          <w:b/>
          <w:bCs/>
        </w:rPr>
      </w:pPr>
      <w:r w:rsidRPr="00C85C80">
        <w:rPr>
          <w:rFonts w:ascii="Arial" w:hAnsi="Arial" w:cs="Arial"/>
          <w:b/>
          <w:bCs/>
        </w:rPr>
        <w:t>4. CONCLUSION</w:t>
      </w:r>
    </w:p>
    <w:p w14:paraId="643DD5EE" w14:textId="204F9295" w:rsidR="001F1B7D" w:rsidRPr="00C85C80" w:rsidRDefault="002A0669" w:rsidP="00987EA7">
      <w:pPr>
        <w:spacing w:line="240" w:lineRule="auto"/>
        <w:jc w:val="both"/>
        <w:rPr>
          <w:rFonts w:ascii="Arial" w:hAnsi="Arial" w:cs="Arial"/>
          <w:sz w:val="20"/>
          <w:szCs w:val="20"/>
        </w:rPr>
      </w:pPr>
      <w:r w:rsidRPr="00C85C80">
        <w:rPr>
          <w:rFonts w:ascii="Arial" w:hAnsi="Arial" w:cs="Arial"/>
          <w:sz w:val="20"/>
          <w:szCs w:val="20"/>
        </w:rPr>
        <w:t>Analysis of land cover dynamics between 2002 and 2020 showed that the basin is primarily occupied by human settlements, namely habitats and bare soils, which cover more than 70% of the study area. Vegetation cover declined by 35% between 2002 and 2020 due to human activities, specifically the rapid urbanization of the basin. Soil loss quantification indicates very high soil erosion, with an erosion rate ranging from 1,473,213.42 t/year in 2002 to 1,676,135.16 t/year in 2020. The average erosion rate varies between 556.77 t/ha/year and 633.46 t/ha/year. Thus, a more advanced or more severe degradation of the vegetation cover would be detrimental to this region which already suffers from disasters such as flooding by accumulation of runoff water caused by the inability of soils to infiltrate and the silting up of drainage canals caused by soil loss and the drainage of solid waste by water towards the canals.</w:t>
      </w:r>
    </w:p>
    <w:p w14:paraId="1A29CCB4" w14:textId="77777777" w:rsidR="001F1B7D" w:rsidRDefault="001F1B7D" w:rsidP="001F1B7D">
      <w:pPr>
        <w:spacing w:after="0" w:line="240" w:lineRule="auto"/>
        <w:jc w:val="both"/>
        <w:rPr>
          <w:rFonts w:ascii="Times New Roman" w:hAnsi="Times New Roman" w:cs="Times New Roman"/>
          <w:sz w:val="24"/>
          <w:szCs w:val="24"/>
        </w:rPr>
      </w:pPr>
    </w:p>
    <w:p w14:paraId="47247840" w14:textId="77777777" w:rsidR="001F4C37" w:rsidRDefault="001F4C37" w:rsidP="001F1B7D">
      <w:pPr>
        <w:spacing w:after="0" w:line="240" w:lineRule="auto"/>
        <w:jc w:val="both"/>
        <w:rPr>
          <w:rFonts w:ascii="Times New Roman" w:hAnsi="Times New Roman" w:cs="Times New Roman"/>
          <w:sz w:val="24"/>
          <w:szCs w:val="24"/>
        </w:rPr>
      </w:pPr>
    </w:p>
    <w:p w14:paraId="5D26063E" w14:textId="77777777" w:rsidR="001F4C37" w:rsidRPr="009C5487" w:rsidRDefault="001F4C37" w:rsidP="001F4C37">
      <w:pPr>
        <w:rPr>
          <w:rFonts w:ascii="Calibri" w:eastAsia="Calibri" w:hAnsi="Calibri" w:cs="Times New Roman"/>
          <w:kern w:val="2"/>
          <w:highlight w:val="yellow"/>
          <w:lang w:val="en-US"/>
        </w:rPr>
      </w:pPr>
      <w:bookmarkStart w:id="40" w:name="_Hlk197682619"/>
      <w:bookmarkStart w:id="41" w:name="_Hlk180402183"/>
      <w:bookmarkStart w:id="42" w:name="_Hlk183680988"/>
      <w:bookmarkStart w:id="43" w:name="_Hlk197351200"/>
      <w:bookmarkStart w:id="44" w:name="_Hlk213410455"/>
      <w:r w:rsidRPr="009C5487">
        <w:rPr>
          <w:rFonts w:ascii="Calibri" w:eastAsia="Calibri" w:hAnsi="Calibri" w:cs="Times New Roman"/>
          <w:kern w:val="2"/>
          <w:highlight w:val="yellow"/>
          <w:lang w:val="en-US"/>
        </w:rPr>
        <w:t>Disclaimer (Artificial intelligence)</w:t>
      </w:r>
    </w:p>
    <w:p w14:paraId="16CA4DF2" w14:textId="77777777" w:rsidR="001F4C37" w:rsidRPr="009C5487" w:rsidRDefault="001F4C37" w:rsidP="001F4C3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6A1CF316" w14:textId="77777777" w:rsidR="001F4C37" w:rsidRPr="009C5487" w:rsidRDefault="001F4C37" w:rsidP="001F4C3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73A67957" w14:textId="77777777" w:rsidR="001F4C37" w:rsidRPr="009C5487" w:rsidRDefault="001F4C37" w:rsidP="001F4C3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548A0374" w14:textId="77777777" w:rsidR="001F4C37" w:rsidRPr="009C5487" w:rsidRDefault="001F4C37" w:rsidP="001F4C3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generative AI technologies such as Large Language Models, etc. have been used during the writing or editing of manuscripts. This explanation will include the name, </w:t>
      </w:r>
      <w:r w:rsidRPr="009C5487">
        <w:rPr>
          <w:rFonts w:ascii="Calibri" w:eastAsia="Calibri" w:hAnsi="Calibri" w:cs="Times New Roman"/>
          <w:kern w:val="2"/>
          <w:highlight w:val="yellow"/>
          <w:lang w:val="en-US"/>
        </w:rPr>
        <w:lastRenderedPageBreak/>
        <w:t>version, model, and source of the generative AI technology and as well as all input prompts provided to the generative AI technology</w:t>
      </w:r>
    </w:p>
    <w:p w14:paraId="4DB354ED" w14:textId="77777777" w:rsidR="001F4C37" w:rsidRPr="009C5487" w:rsidRDefault="001F4C37" w:rsidP="001F4C3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73CDF57D" w14:textId="77777777" w:rsidR="001F4C37" w:rsidRPr="009C5487" w:rsidRDefault="001F4C37" w:rsidP="001F4C3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3F4FC41B" w14:textId="77777777" w:rsidR="001F4C37" w:rsidRPr="009C5487" w:rsidRDefault="001F4C37" w:rsidP="001F4C3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722317D9" w14:textId="77777777" w:rsidR="001F4C37" w:rsidRPr="00F870EF" w:rsidRDefault="001F4C37" w:rsidP="001F4C37">
      <w:pPr>
        <w:rPr>
          <w:rFonts w:ascii="Calibri" w:eastAsia="Calibri" w:hAnsi="Calibri" w:cs="Times New Roman"/>
          <w:kern w:val="2"/>
          <w:lang w:val="en-US"/>
        </w:rPr>
      </w:pPr>
      <w:bookmarkStart w:id="45" w:name="_Hlk197682629"/>
      <w:bookmarkEnd w:id="40"/>
      <w:r w:rsidRPr="009C5487">
        <w:rPr>
          <w:rFonts w:ascii="Calibri" w:eastAsia="Calibri" w:hAnsi="Calibri" w:cs="Times New Roman"/>
          <w:kern w:val="2"/>
          <w:highlight w:val="yellow"/>
          <w:lang w:val="en-US"/>
        </w:rPr>
        <w:t>3.</w:t>
      </w:r>
      <w:bookmarkStart w:id="46" w:name="_Hlk187485061"/>
      <w:bookmarkEnd w:id="41"/>
      <w:bookmarkEnd w:id="42"/>
      <w:bookmarkEnd w:id="45"/>
    </w:p>
    <w:bookmarkEnd w:id="43"/>
    <w:bookmarkEnd w:id="46"/>
    <w:p w14:paraId="4756CA15" w14:textId="77777777" w:rsidR="001F4C37" w:rsidRDefault="001F4C37" w:rsidP="001F4C37"/>
    <w:bookmarkEnd w:id="44"/>
    <w:p w14:paraId="2D68FB2A" w14:textId="791C20D5" w:rsidR="001F4C37" w:rsidRPr="00C85C80" w:rsidRDefault="001F4C37" w:rsidP="001F1B7D">
      <w:pPr>
        <w:spacing w:after="0" w:line="240" w:lineRule="auto"/>
        <w:jc w:val="both"/>
        <w:rPr>
          <w:rFonts w:ascii="Times New Roman" w:hAnsi="Times New Roman" w:cs="Times New Roman"/>
          <w:sz w:val="24"/>
          <w:szCs w:val="24"/>
        </w:rPr>
        <w:sectPr w:rsidR="001F4C37" w:rsidRPr="00C85C80" w:rsidSect="008918B5">
          <w:headerReference w:type="even" r:id="rId27"/>
          <w:headerReference w:type="default" r:id="rId28"/>
          <w:footerReference w:type="default" r:id="rId29"/>
          <w:headerReference w:type="first" r:id="rId30"/>
          <w:pgSz w:w="11906" w:h="16838" w:code="9"/>
          <w:pgMar w:top="1418" w:right="1418" w:bottom="1418" w:left="1418" w:header="709" w:footer="709" w:gutter="0"/>
          <w:cols w:space="708"/>
          <w:docGrid w:linePitch="360"/>
        </w:sectPr>
      </w:pPr>
    </w:p>
    <w:p w14:paraId="34002E9F" w14:textId="663134D3" w:rsidR="002A0669" w:rsidRPr="00C85C80" w:rsidRDefault="002F2604" w:rsidP="002A0669">
      <w:pPr>
        <w:spacing w:before="240" w:after="0" w:line="360" w:lineRule="auto"/>
        <w:ind w:left="851" w:hanging="851"/>
        <w:jc w:val="both"/>
        <w:rPr>
          <w:rFonts w:ascii="Arial" w:hAnsi="Arial" w:cs="Arial"/>
          <w:b/>
        </w:rPr>
      </w:pPr>
      <w:r w:rsidRPr="00C85C80">
        <w:rPr>
          <w:rFonts w:ascii="Arial" w:hAnsi="Arial" w:cs="Arial"/>
          <w:b/>
        </w:rPr>
        <w:lastRenderedPageBreak/>
        <w:t>REFERENCES</w:t>
      </w:r>
    </w:p>
    <w:p w14:paraId="4CD558C5" w14:textId="5B414324" w:rsidR="006B2D7A" w:rsidRPr="00DB71BB" w:rsidRDefault="006B2D7A" w:rsidP="00DB71BB">
      <w:pPr>
        <w:pStyle w:val="ListParagraph"/>
        <w:numPr>
          <w:ilvl w:val="0"/>
          <w:numId w:val="1"/>
        </w:numPr>
        <w:spacing w:before="240" w:after="0" w:line="240" w:lineRule="auto"/>
        <w:jc w:val="both"/>
        <w:rPr>
          <w:rFonts w:ascii="Arial" w:hAnsi="Arial" w:cs="Arial"/>
          <w:sz w:val="20"/>
          <w:szCs w:val="20"/>
        </w:rPr>
      </w:pPr>
      <w:r w:rsidRPr="00DB71BB">
        <w:rPr>
          <w:rFonts w:ascii="Arial" w:hAnsi="Arial" w:cs="Arial"/>
          <w:sz w:val="20"/>
          <w:szCs w:val="20"/>
        </w:rPr>
        <w:t xml:space="preserve">Al Karkouri, J., Roose, E., </w:t>
      </w:r>
      <w:proofErr w:type="spellStart"/>
      <w:r w:rsidRPr="00DB71BB">
        <w:rPr>
          <w:rFonts w:ascii="Arial" w:hAnsi="Arial" w:cs="Arial"/>
          <w:sz w:val="20"/>
          <w:szCs w:val="20"/>
        </w:rPr>
        <w:t>Laouina</w:t>
      </w:r>
      <w:proofErr w:type="spellEnd"/>
      <w:r w:rsidRPr="00DB71BB">
        <w:rPr>
          <w:rFonts w:ascii="Arial" w:hAnsi="Arial" w:cs="Arial"/>
          <w:sz w:val="20"/>
          <w:szCs w:val="20"/>
        </w:rPr>
        <w:t xml:space="preserve">, A. &amp; Sabir, M (2000). Surface condition, infiltration and erosion risks in the Beni </w:t>
      </w:r>
      <w:proofErr w:type="spellStart"/>
      <w:r w:rsidRPr="00DB71BB">
        <w:rPr>
          <w:rFonts w:ascii="Arial" w:hAnsi="Arial" w:cs="Arial"/>
          <w:sz w:val="20"/>
          <w:szCs w:val="20"/>
        </w:rPr>
        <w:t>Boufrah</w:t>
      </w:r>
      <w:proofErr w:type="spellEnd"/>
      <w:r w:rsidRPr="00DB71BB">
        <w:rPr>
          <w:rFonts w:ascii="Arial" w:hAnsi="Arial" w:cs="Arial"/>
          <w:sz w:val="20"/>
          <w:szCs w:val="20"/>
        </w:rPr>
        <w:t xml:space="preserve"> </w:t>
      </w:r>
      <w:proofErr w:type="gramStart"/>
      <w:r w:rsidRPr="00DB71BB">
        <w:rPr>
          <w:rFonts w:ascii="Arial" w:hAnsi="Arial" w:cs="Arial"/>
          <w:sz w:val="20"/>
          <w:szCs w:val="20"/>
        </w:rPr>
        <w:t>valley .</w:t>
      </w:r>
      <w:proofErr w:type="gramEnd"/>
      <w:r w:rsidRPr="00DB71BB">
        <w:rPr>
          <w:rFonts w:ascii="Arial" w:hAnsi="Arial" w:cs="Arial"/>
          <w:sz w:val="20"/>
          <w:szCs w:val="20"/>
        </w:rPr>
        <w:t xml:space="preserve"> </w:t>
      </w:r>
      <w:r w:rsidRPr="00DB71BB">
        <w:rPr>
          <w:rFonts w:ascii="Arial" w:hAnsi="Arial" w:cs="Arial"/>
          <w:color w:val="000020"/>
          <w:sz w:val="20"/>
          <w:szCs w:val="20"/>
          <w:shd w:val="clear" w:color="auto" w:fill="FFFFFF"/>
        </w:rPr>
        <w:t xml:space="preserve">Bulletin - Réseau </w:t>
      </w:r>
      <w:proofErr w:type="gramStart"/>
      <w:r w:rsidRPr="00DB71BB">
        <w:rPr>
          <w:rFonts w:ascii="Arial" w:hAnsi="Arial" w:cs="Arial"/>
          <w:color w:val="000020"/>
          <w:sz w:val="20"/>
          <w:szCs w:val="20"/>
          <w:shd w:val="clear" w:color="auto" w:fill="FFFFFF"/>
        </w:rPr>
        <w:t xml:space="preserve">Erosion </w:t>
      </w:r>
      <w:r w:rsidRPr="00DB71BB">
        <w:rPr>
          <w:rFonts w:ascii="Arial" w:hAnsi="Arial" w:cs="Arial"/>
          <w:sz w:val="20"/>
          <w:szCs w:val="20"/>
        </w:rPr>
        <w:t>,</w:t>
      </w:r>
      <w:proofErr w:type="gramEnd"/>
      <w:r w:rsidRPr="00DB71BB">
        <w:rPr>
          <w:rFonts w:ascii="Arial" w:hAnsi="Arial" w:cs="Arial"/>
          <w:sz w:val="20"/>
          <w:szCs w:val="20"/>
        </w:rPr>
        <w:t xml:space="preserve"> 20, 342-356.</w:t>
      </w:r>
    </w:p>
    <w:p w14:paraId="2FBB596E" w14:textId="1C5E1A56" w:rsidR="006B2D7A" w:rsidRPr="00DB71BB" w:rsidRDefault="006B2D7A" w:rsidP="00DB71BB">
      <w:pPr>
        <w:pStyle w:val="ListParagraph"/>
        <w:numPr>
          <w:ilvl w:val="0"/>
          <w:numId w:val="1"/>
        </w:numPr>
        <w:spacing w:before="240" w:after="0" w:line="240" w:lineRule="auto"/>
        <w:jc w:val="both"/>
        <w:rPr>
          <w:rFonts w:ascii="Arial" w:hAnsi="Arial" w:cs="Arial"/>
          <w:sz w:val="20"/>
          <w:szCs w:val="20"/>
        </w:rPr>
      </w:pPr>
      <w:proofErr w:type="spellStart"/>
      <w:r w:rsidRPr="00DB71BB">
        <w:rPr>
          <w:rFonts w:ascii="Arial" w:hAnsi="Arial" w:cs="Arial"/>
          <w:sz w:val="20"/>
          <w:szCs w:val="20"/>
        </w:rPr>
        <w:t>Béligné</w:t>
      </w:r>
      <w:proofErr w:type="spellEnd"/>
      <w:r w:rsidR="005F0B36" w:rsidRPr="00DB71BB">
        <w:rPr>
          <w:rFonts w:ascii="Arial" w:hAnsi="Arial" w:cs="Arial"/>
          <w:sz w:val="20"/>
          <w:szCs w:val="20"/>
        </w:rPr>
        <w:t>,</w:t>
      </w:r>
      <w:r w:rsidRPr="00DB71BB">
        <w:rPr>
          <w:rFonts w:ascii="Arial" w:hAnsi="Arial" w:cs="Arial"/>
          <w:sz w:val="20"/>
          <w:szCs w:val="20"/>
        </w:rPr>
        <w:t xml:space="preserve"> V. (1994), Study of the state of the natural environment of Banco National Park. Recommendations for its protection and management. WWF-Abidjan, Pp-47.</w:t>
      </w:r>
    </w:p>
    <w:p w14:paraId="41629EF6" w14:textId="21048A9F"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lang w:val="pt-BR"/>
        </w:rPr>
        <w:t>Briak</w:t>
      </w:r>
      <w:r w:rsidR="00D44C0E" w:rsidRPr="00DB71BB">
        <w:rPr>
          <w:rFonts w:ascii="Arial" w:hAnsi="Arial" w:cs="Arial"/>
          <w:sz w:val="20"/>
          <w:szCs w:val="20"/>
          <w:lang w:val="pt-BR"/>
        </w:rPr>
        <w:t xml:space="preserve">, H., </w:t>
      </w:r>
      <w:r w:rsidRPr="00DB71BB">
        <w:rPr>
          <w:rFonts w:ascii="Arial" w:hAnsi="Arial" w:cs="Arial"/>
          <w:sz w:val="20"/>
          <w:szCs w:val="20"/>
          <w:lang w:val="pt-BR"/>
        </w:rPr>
        <w:t>Moussadek</w:t>
      </w:r>
      <w:r w:rsidR="00D44C0E" w:rsidRPr="00DB71BB">
        <w:rPr>
          <w:rFonts w:ascii="Arial" w:hAnsi="Arial" w:cs="Arial"/>
          <w:sz w:val="20"/>
          <w:szCs w:val="20"/>
          <w:lang w:val="pt-BR"/>
        </w:rPr>
        <w:t xml:space="preserve">, R., </w:t>
      </w:r>
      <w:r w:rsidRPr="00DB71BB">
        <w:rPr>
          <w:rFonts w:ascii="Arial" w:hAnsi="Arial" w:cs="Arial"/>
          <w:sz w:val="20"/>
          <w:szCs w:val="20"/>
          <w:lang w:val="pt-BR"/>
        </w:rPr>
        <w:t>Aboumaria</w:t>
      </w:r>
      <w:r w:rsidR="00D44C0E" w:rsidRPr="00DB71BB">
        <w:rPr>
          <w:rFonts w:ascii="Arial" w:hAnsi="Arial" w:cs="Arial"/>
          <w:sz w:val="20"/>
          <w:szCs w:val="20"/>
          <w:lang w:val="pt-BR"/>
        </w:rPr>
        <w:t xml:space="preserve">, K. &amp; Mrabet, R (2016). </w:t>
      </w:r>
      <w:r w:rsidRPr="00DB71BB">
        <w:rPr>
          <w:rFonts w:ascii="Arial" w:hAnsi="Arial" w:cs="Arial"/>
          <w:sz w:val="20"/>
          <w:szCs w:val="20"/>
        </w:rPr>
        <w:t xml:space="preserve">Assessing sediment yield in Kalaya gauged watershed </w:t>
      </w:r>
      <w:proofErr w:type="gramStart"/>
      <w:r w:rsidRPr="00DB71BB">
        <w:rPr>
          <w:rFonts w:ascii="Arial" w:hAnsi="Arial" w:cs="Arial"/>
          <w:sz w:val="20"/>
          <w:szCs w:val="20"/>
        </w:rPr>
        <w:t>( Northern</w:t>
      </w:r>
      <w:proofErr w:type="gramEnd"/>
      <w:r w:rsidRPr="00DB71BB">
        <w:rPr>
          <w:rFonts w:ascii="Arial" w:hAnsi="Arial" w:cs="Arial"/>
          <w:sz w:val="20"/>
          <w:szCs w:val="20"/>
        </w:rPr>
        <w:t xml:space="preserve"> Morocco) using GIS and SWAT model. </w:t>
      </w:r>
      <w:r w:rsidRPr="00DB71BB">
        <w:rPr>
          <w:rFonts w:ascii="Arial" w:hAnsi="Arial" w:cs="Arial"/>
          <w:iCs/>
          <w:sz w:val="20"/>
          <w:szCs w:val="20"/>
        </w:rPr>
        <w:t xml:space="preserve">International Soil and Water Conservation </w:t>
      </w:r>
      <w:proofErr w:type="gramStart"/>
      <w:r w:rsidRPr="00DB71BB">
        <w:rPr>
          <w:rFonts w:ascii="Arial" w:hAnsi="Arial" w:cs="Arial"/>
          <w:iCs/>
          <w:sz w:val="20"/>
          <w:szCs w:val="20"/>
        </w:rPr>
        <w:t xml:space="preserve">Research </w:t>
      </w:r>
      <w:r w:rsidRPr="00DB71BB">
        <w:rPr>
          <w:rFonts w:ascii="Arial" w:hAnsi="Arial" w:cs="Arial"/>
          <w:sz w:val="20"/>
          <w:szCs w:val="20"/>
        </w:rPr>
        <w:t>,</w:t>
      </w:r>
      <w:proofErr w:type="gramEnd"/>
      <w:r w:rsidRPr="00DB71BB">
        <w:rPr>
          <w:rFonts w:ascii="Arial" w:hAnsi="Arial" w:cs="Arial"/>
          <w:sz w:val="20"/>
          <w:szCs w:val="20"/>
        </w:rPr>
        <w:t xml:space="preserve"> 4, 177-185.</w:t>
      </w:r>
      <w:r w:rsidR="00C04BD4" w:rsidRPr="00C04BD4">
        <w:t xml:space="preserve"> </w:t>
      </w:r>
      <w:hyperlink r:id="rId31" w:history="1">
        <w:r w:rsidR="00C04BD4" w:rsidRPr="00DB71BB">
          <w:rPr>
            <w:rStyle w:val="Hyperlink"/>
            <w:rFonts w:ascii="Arial" w:hAnsi="Arial" w:cs="Arial"/>
            <w:sz w:val="20"/>
            <w:szCs w:val="20"/>
          </w:rPr>
          <w:t>https://doi.org/10.1016/j.iswcr.2016.08.002</w:t>
        </w:r>
      </w:hyperlink>
      <w:r w:rsidR="00C04BD4" w:rsidRPr="00DB71BB">
        <w:rPr>
          <w:rFonts w:ascii="Arial" w:hAnsi="Arial" w:cs="Arial"/>
          <w:sz w:val="20"/>
          <w:szCs w:val="20"/>
        </w:rPr>
        <w:t xml:space="preserve"> </w:t>
      </w:r>
    </w:p>
    <w:p w14:paraId="7F792093" w14:textId="0E44469E"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rPr>
        <w:t>Brou Yao, T., Oszwald, J., Bigot, S. &amp; Eric, S</w:t>
      </w:r>
      <w:r w:rsidR="00F53D5C" w:rsidRPr="00DB71BB">
        <w:rPr>
          <w:rFonts w:ascii="Arial" w:hAnsi="Arial" w:cs="Arial"/>
          <w:sz w:val="20"/>
          <w:szCs w:val="20"/>
        </w:rPr>
        <w:t>.</w:t>
      </w:r>
      <w:r w:rsidRPr="00DB71BB">
        <w:rPr>
          <w:rFonts w:ascii="Arial" w:hAnsi="Arial" w:cs="Arial"/>
          <w:sz w:val="20"/>
          <w:szCs w:val="20"/>
        </w:rPr>
        <w:t xml:space="preserve"> (2005). Risks of deforestation in the permanent state domain in Côte d'Ivoire: what future for these last forest massifs? Remote Sensing, 5 (1-2-3). 263-275.</w:t>
      </w:r>
    </w:p>
    <w:p w14:paraId="64E3A61B" w14:textId="526BB0D4" w:rsidR="006B2D7A" w:rsidRPr="00DB71BB" w:rsidRDefault="006B2D7A" w:rsidP="00DB71BB">
      <w:pPr>
        <w:pStyle w:val="ListParagraph"/>
        <w:numPr>
          <w:ilvl w:val="0"/>
          <w:numId w:val="1"/>
        </w:numPr>
        <w:spacing w:before="240" w:after="0" w:line="360" w:lineRule="auto"/>
        <w:jc w:val="both"/>
        <w:rPr>
          <w:rFonts w:ascii="Arial" w:eastAsia="Times New Roman" w:hAnsi="Arial" w:cs="Arial"/>
          <w:color w:val="222222"/>
          <w:sz w:val="20"/>
          <w:szCs w:val="20"/>
          <w:lang w:eastAsia="fr-FR"/>
        </w:rPr>
      </w:pPr>
      <w:r w:rsidRPr="00DB71BB">
        <w:rPr>
          <w:rFonts w:ascii="Arial" w:eastAsia="Times New Roman" w:hAnsi="Arial" w:cs="Arial"/>
          <w:bCs/>
          <w:color w:val="222222"/>
          <w:sz w:val="20"/>
          <w:szCs w:val="20"/>
          <w:lang w:eastAsia="fr-FR"/>
        </w:rPr>
        <w:t xml:space="preserve">Chatelain, C </w:t>
      </w:r>
      <w:r w:rsidRPr="00DB71BB">
        <w:rPr>
          <w:rFonts w:ascii="Arial" w:eastAsia="Times New Roman" w:hAnsi="Arial" w:cs="Arial"/>
          <w:color w:val="222222"/>
          <w:sz w:val="20"/>
          <w:szCs w:val="20"/>
          <w:lang w:eastAsia="fr-FR"/>
        </w:rPr>
        <w:t xml:space="preserve">(1996). Possibilities of applying high-resolution satellite imagery to the study of vegetation transformations in forested </w:t>
      </w:r>
      <w:r w:rsidR="00321582" w:rsidRPr="00DB71BB">
        <w:rPr>
          <w:rFonts w:ascii="Arial" w:eastAsia="Times New Roman" w:hAnsi="Arial" w:cs="Arial"/>
          <w:color w:val="222222"/>
          <w:sz w:val="20"/>
          <w:szCs w:val="20"/>
          <w:lang w:eastAsia="fr-FR"/>
        </w:rPr>
        <w:t>Côte d’Ivoire</w:t>
      </w:r>
      <w:r w:rsidRPr="00DB71BB">
        <w:rPr>
          <w:rFonts w:ascii="Arial" w:eastAsia="Times New Roman" w:hAnsi="Arial" w:cs="Arial"/>
          <w:color w:val="222222"/>
          <w:sz w:val="20"/>
          <w:szCs w:val="20"/>
          <w:lang w:eastAsia="fr-FR"/>
        </w:rPr>
        <w:t>. Doctoral thesis in life sciences, Faculties of Medicine and Science, University of Geneva, Geneva (Switzerland), pp-206.</w:t>
      </w:r>
    </w:p>
    <w:p w14:paraId="0C6839A5" w14:textId="24255ABF" w:rsidR="006B2D7A" w:rsidRPr="00DB71BB" w:rsidRDefault="006B2D7A" w:rsidP="00DB71BB">
      <w:pPr>
        <w:pStyle w:val="ListParagraph"/>
        <w:numPr>
          <w:ilvl w:val="0"/>
          <w:numId w:val="1"/>
        </w:numPr>
        <w:spacing w:before="240" w:after="0" w:line="360" w:lineRule="auto"/>
        <w:jc w:val="both"/>
        <w:rPr>
          <w:rFonts w:ascii="Arial" w:eastAsia="Times New Roman" w:hAnsi="Arial" w:cs="Arial"/>
          <w:color w:val="222222"/>
          <w:sz w:val="20"/>
          <w:szCs w:val="20"/>
          <w:lang w:eastAsia="fr-FR"/>
        </w:rPr>
      </w:pPr>
      <w:proofErr w:type="spellStart"/>
      <w:r w:rsidRPr="00DB71BB">
        <w:rPr>
          <w:rFonts w:ascii="Arial" w:eastAsia="Times New Roman" w:hAnsi="Arial" w:cs="Arial"/>
          <w:bCs/>
          <w:color w:val="222222"/>
          <w:sz w:val="20"/>
          <w:szCs w:val="20"/>
          <w:lang w:eastAsia="fr-FR"/>
        </w:rPr>
        <w:t>Congalton</w:t>
      </w:r>
      <w:proofErr w:type="spellEnd"/>
      <w:r w:rsidR="00BA667D" w:rsidRPr="00DB71BB">
        <w:rPr>
          <w:rFonts w:ascii="Arial" w:eastAsia="Times New Roman" w:hAnsi="Arial" w:cs="Arial"/>
          <w:bCs/>
          <w:color w:val="222222"/>
          <w:sz w:val="20"/>
          <w:szCs w:val="20"/>
          <w:lang w:eastAsia="fr-FR"/>
        </w:rPr>
        <w:t>, GR</w:t>
      </w:r>
      <w:r w:rsidR="00F53D5C" w:rsidRPr="00DB71BB">
        <w:rPr>
          <w:rFonts w:ascii="Arial" w:eastAsia="Times New Roman" w:hAnsi="Arial" w:cs="Arial"/>
          <w:bCs/>
          <w:color w:val="222222"/>
          <w:sz w:val="20"/>
          <w:szCs w:val="20"/>
          <w:lang w:eastAsia="fr-FR"/>
        </w:rPr>
        <w:t>.</w:t>
      </w:r>
      <w:r w:rsidR="00BA667D" w:rsidRPr="00DB71BB">
        <w:rPr>
          <w:rFonts w:ascii="Arial" w:eastAsia="Times New Roman" w:hAnsi="Arial" w:cs="Arial"/>
          <w:bCs/>
          <w:color w:val="222222"/>
          <w:sz w:val="20"/>
          <w:szCs w:val="20"/>
          <w:lang w:eastAsia="fr-FR"/>
        </w:rPr>
        <w:t xml:space="preserve"> </w:t>
      </w:r>
      <w:r w:rsidRPr="00DB71BB">
        <w:rPr>
          <w:rFonts w:ascii="Arial" w:eastAsia="Times New Roman" w:hAnsi="Arial" w:cs="Arial"/>
          <w:color w:val="222222"/>
          <w:sz w:val="20"/>
          <w:szCs w:val="20"/>
          <w:lang w:eastAsia="fr-FR"/>
        </w:rPr>
        <w:t xml:space="preserve">(1991). A Review of Assessing the Accuracy of Classifications of Remotely Sensed Data. </w:t>
      </w:r>
      <w:r w:rsidRPr="00DB71BB">
        <w:rPr>
          <w:rFonts w:ascii="Arial" w:eastAsia="Times New Roman" w:hAnsi="Arial" w:cs="Arial"/>
          <w:iCs/>
          <w:color w:val="222222"/>
          <w:sz w:val="20"/>
          <w:szCs w:val="20"/>
          <w:lang w:eastAsia="fr-FR"/>
        </w:rPr>
        <w:t xml:space="preserve">Remote Sensing of </w:t>
      </w:r>
      <w:proofErr w:type="gramStart"/>
      <w:r w:rsidRPr="00DB71BB">
        <w:rPr>
          <w:rFonts w:ascii="Arial" w:eastAsia="Times New Roman" w:hAnsi="Arial" w:cs="Arial"/>
          <w:iCs/>
          <w:color w:val="222222"/>
          <w:sz w:val="20"/>
          <w:szCs w:val="20"/>
          <w:lang w:eastAsia="fr-FR"/>
        </w:rPr>
        <w:t xml:space="preserve">Environment </w:t>
      </w:r>
      <w:r w:rsidR="00BA667D" w:rsidRPr="00DB71BB">
        <w:rPr>
          <w:rFonts w:ascii="Arial" w:eastAsia="Times New Roman" w:hAnsi="Arial" w:cs="Arial"/>
          <w:color w:val="222222"/>
          <w:sz w:val="20"/>
          <w:szCs w:val="20"/>
          <w:lang w:eastAsia="fr-FR"/>
        </w:rPr>
        <w:t>,</w:t>
      </w:r>
      <w:proofErr w:type="gramEnd"/>
      <w:r w:rsidR="00BA667D" w:rsidRPr="00DB71BB">
        <w:rPr>
          <w:rFonts w:ascii="Arial" w:eastAsia="Times New Roman" w:hAnsi="Arial" w:cs="Arial"/>
          <w:color w:val="222222"/>
          <w:sz w:val="20"/>
          <w:szCs w:val="20"/>
          <w:lang w:eastAsia="fr-FR"/>
        </w:rPr>
        <w:t xml:space="preserve"> 46, 35-37.</w:t>
      </w:r>
      <w:r w:rsidR="00C04BD4" w:rsidRPr="00C04BD4">
        <w:t xml:space="preserve"> </w:t>
      </w:r>
      <w:hyperlink r:id="rId32" w:history="1">
        <w:r w:rsidR="00C04BD4" w:rsidRPr="00DB71BB">
          <w:rPr>
            <w:rStyle w:val="Hyperlink"/>
            <w:rFonts w:ascii="Arial" w:eastAsia="Times New Roman" w:hAnsi="Arial" w:cs="Arial"/>
            <w:sz w:val="20"/>
            <w:szCs w:val="20"/>
            <w:lang w:eastAsia="fr-FR"/>
          </w:rPr>
          <w:t>https://doi.org/10.1016/0034-4257(91)90048-B</w:t>
        </w:r>
      </w:hyperlink>
      <w:r w:rsidR="00C04BD4" w:rsidRPr="00DB71BB">
        <w:rPr>
          <w:rFonts w:ascii="Arial" w:eastAsia="Times New Roman" w:hAnsi="Arial" w:cs="Arial"/>
          <w:color w:val="222222"/>
          <w:sz w:val="20"/>
          <w:szCs w:val="20"/>
          <w:lang w:eastAsia="fr-FR"/>
        </w:rPr>
        <w:t xml:space="preserve"> </w:t>
      </w:r>
    </w:p>
    <w:p w14:paraId="15782EA2" w14:textId="6D0D9EE0"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rPr>
        <w:t xml:space="preserve">Desmet PJJ., &amp; </w:t>
      </w:r>
      <w:proofErr w:type="spellStart"/>
      <w:r w:rsidRPr="00DB71BB">
        <w:rPr>
          <w:rFonts w:ascii="Arial" w:hAnsi="Arial" w:cs="Arial"/>
          <w:sz w:val="20"/>
          <w:szCs w:val="20"/>
        </w:rPr>
        <w:t>Govers</w:t>
      </w:r>
      <w:proofErr w:type="spellEnd"/>
      <w:r w:rsidR="00BA667D" w:rsidRPr="00DB71BB">
        <w:rPr>
          <w:rFonts w:ascii="Arial" w:hAnsi="Arial" w:cs="Arial"/>
          <w:sz w:val="20"/>
          <w:szCs w:val="20"/>
        </w:rPr>
        <w:t xml:space="preserve">, G. (1996). A GIS </w:t>
      </w:r>
      <w:r w:rsidRPr="00DB71BB">
        <w:rPr>
          <w:rFonts w:ascii="Arial" w:hAnsi="Arial" w:cs="Arial"/>
          <w:sz w:val="20"/>
          <w:szCs w:val="20"/>
        </w:rPr>
        <w:t xml:space="preserve">procedure for automatically calculating the USLE LS factor on topographically complex landscape </w:t>
      </w:r>
      <w:proofErr w:type="gramStart"/>
      <w:r w:rsidRPr="00DB71BB">
        <w:rPr>
          <w:rFonts w:ascii="Arial" w:hAnsi="Arial" w:cs="Arial"/>
          <w:sz w:val="20"/>
          <w:szCs w:val="20"/>
        </w:rPr>
        <w:t>units .</w:t>
      </w:r>
      <w:proofErr w:type="gramEnd"/>
      <w:r w:rsidRPr="00DB71BB">
        <w:rPr>
          <w:rFonts w:ascii="Arial" w:hAnsi="Arial" w:cs="Arial"/>
          <w:sz w:val="20"/>
          <w:szCs w:val="20"/>
        </w:rPr>
        <w:t xml:space="preserve"> </w:t>
      </w:r>
      <w:r w:rsidRPr="00DB71BB">
        <w:rPr>
          <w:rFonts w:ascii="Arial" w:hAnsi="Arial" w:cs="Arial"/>
          <w:iCs/>
          <w:sz w:val="20"/>
          <w:szCs w:val="20"/>
        </w:rPr>
        <w:t xml:space="preserve">Journal of Soil and Water </w:t>
      </w:r>
      <w:proofErr w:type="gramStart"/>
      <w:r w:rsidRPr="00DB71BB">
        <w:rPr>
          <w:rFonts w:ascii="Arial" w:hAnsi="Arial" w:cs="Arial"/>
          <w:iCs/>
          <w:sz w:val="20"/>
          <w:szCs w:val="20"/>
        </w:rPr>
        <w:t xml:space="preserve">Conservation </w:t>
      </w:r>
      <w:r w:rsidRPr="00DB71BB">
        <w:rPr>
          <w:rFonts w:ascii="Arial" w:hAnsi="Arial" w:cs="Arial"/>
          <w:i/>
          <w:sz w:val="20"/>
          <w:szCs w:val="20"/>
        </w:rPr>
        <w:t>,</w:t>
      </w:r>
      <w:proofErr w:type="gramEnd"/>
      <w:r w:rsidRPr="00DB71BB">
        <w:rPr>
          <w:rFonts w:ascii="Arial" w:hAnsi="Arial" w:cs="Arial"/>
          <w:i/>
          <w:sz w:val="20"/>
          <w:szCs w:val="20"/>
        </w:rPr>
        <w:t xml:space="preserve"> </w:t>
      </w:r>
      <w:r w:rsidRPr="00DB71BB">
        <w:rPr>
          <w:rFonts w:ascii="Arial" w:hAnsi="Arial" w:cs="Arial"/>
          <w:sz w:val="20"/>
          <w:szCs w:val="20"/>
        </w:rPr>
        <w:t>51(5), 427-433.</w:t>
      </w:r>
      <w:r w:rsidR="00C04BD4" w:rsidRPr="00C04BD4">
        <w:t xml:space="preserve"> </w:t>
      </w:r>
      <w:hyperlink r:id="rId33" w:history="1">
        <w:r w:rsidR="00C04BD4" w:rsidRPr="00DB71BB">
          <w:rPr>
            <w:rStyle w:val="Hyperlink"/>
            <w:rFonts w:ascii="Arial" w:hAnsi="Arial" w:cs="Arial"/>
            <w:sz w:val="20"/>
            <w:szCs w:val="20"/>
          </w:rPr>
          <w:t>https://doi.org/10.1080/00224561.1996.12457102</w:t>
        </w:r>
      </w:hyperlink>
      <w:r w:rsidR="00C04BD4" w:rsidRPr="00DB71BB">
        <w:rPr>
          <w:rFonts w:ascii="Arial" w:hAnsi="Arial" w:cs="Arial"/>
          <w:sz w:val="20"/>
          <w:szCs w:val="20"/>
        </w:rPr>
        <w:t xml:space="preserve"> </w:t>
      </w:r>
    </w:p>
    <w:p w14:paraId="3EA1BF77" w14:textId="127614A4"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rPr>
        <w:t xml:space="preserve">El Hage Hassan, H., Touchard, L., </w:t>
      </w:r>
      <w:proofErr w:type="spellStart"/>
      <w:r w:rsidRPr="00DB71BB">
        <w:rPr>
          <w:rFonts w:ascii="Arial" w:hAnsi="Arial" w:cs="Arial"/>
          <w:sz w:val="20"/>
          <w:szCs w:val="20"/>
        </w:rPr>
        <w:t>Ardillier</w:t>
      </w:r>
      <w:proofErr w:type="spellEnd"/>
      <w:r w:rsidRPr="00DB71BB">
        <w:rPr>
          <w:rFonts w:ascii="Arial" w:hAnsi="Arial" w:cs="Arial"/>
          <w:sz w:val="20"/>
          <w:szCs w:val="20"/>
        </w:rPr>
        <w:t xml:space="preserve"> -</w:t>
      </w:r>
      <w:proofErr w:type="spellStart"/>
      <w:r w:rsidRPr="00DB71BB">
        <w:rPr>
          <w:rFonts w:ascii="Arial" w:hAnsi="Arial" w:cs="Arial"/>
          <w:sz w:val="20"/>
          <w:szCs w:val="20"/>
        </w:rPr>
        <w:t>Carras</w:t>
      </w:r>
      <w:proofErr w:type="spellEnd"/>
      <w:r w:rsidRPr="00DB71BB">
        <w:rPr>
          <w:rFonts w:ascii="Arial" w:hAnsi="Arial" w:cs="Arial"/>
          <w:sz w:val="20"/>
          <w:szCs w:val="20"/>
        </w:rPr>
        <w:t xml:space="preserve">, F., &amp; Faour G. (2016). Erosion control and agricultural development in the Bekaa plain (Lebanon). </w:t>
      </w:r>
      <w:proofErr w:type="spellStart"/>
      <w:proofErr w:type="gramStart"/>
      <w:r w:rsidRPr="00DB71BB">
        <w:rPr>
          <w:rFonts w:ascii="Arial" w:hAnsi="Arial" w:cs="Arial"/>
          <w:sz w:val="20"/>
          <w:szCs w:val="20"/>
        </w:rPr>
        <w:t>M</w:t>
      </w:r>
      <w:r w:rsidR="005F0B36" w:rsidRPr="00DB71BB">
        <w:rPr>
          <w:rFonts w:ascii="Arial" w:hAnsi="Arial" w:cs="Arial"/>
          <w:sz w:val="20"/>
          <w:szCs w:val="20"/>
        </w:rPr>
        <w:t>a</w:t>
      </w:r>
      <w:r w:rsidRPr="00DB71BB">
        <w:rPr>
          <w:rFonts w:ascii="Arial" w:hAnsi="Arial" w:cs="Arial"/>
          <w:sz w:val="20"/>
          <w:szCs w:val="20"/>
        </w:rPr>
        <w:t>ppmonde</w:t>
      </w:r>
      <w:proofErr w:type="spellEnd"/>
      <w:r w:rsidRPr="00DB71BB">
        <w:rPr>
          <w:rFonts w:ascii="Arial" w:hAnsi="Arial" w:cs="Arial"/>
          <w:sz w:val="20"/>
          <w:szCs w:val="20"/>
        </w:rPr>
        <w:t xml:space="preserve"> </w:t>
      </w:r>
      <w:r w:rsidR="00BA667D" w:rsidRPr="00DB71BB">
        <w:rPr>
          <w:rFonts w:ascii="Arial" w:hAnsi="Arial" w:cs="Arial"/>
          <w:sz w:val="20"/>
          <w:szCs w:val="20"/>
        </w:rPr>
        <w:t>,</w:t>
      </w:r>
      <w:proofErr w:type="gramEnd"/>
      <w:r w:rsidR="00BA667D" w:rsidRPr="00DB71BB">
        <w:rPr>
          <w:rFonts w:ascii="Arial" w:hAnsi="Arial" w:cs="Arial"/>
          <w:sz w:val="20"/>
          <w:szCs w:val="20"/>
        </w:rPr>
        <w:t xml:space="preserve"> 117, 1-17.</w:t>
      </w:r>
      <w:r w:rsidR="00C04BD4" w:rsidRPr="00C04BD4">
        <w:t xml:space="preserve"> </w:t>
      </w:r>
      <w:hyperlink r:id="rId34" w:history="1">
        <w:r w:rsidR="00C04BD4" w:rsidRPr="00DB71BB">
          <w:rPr>
            <w:rStyle w:val="Hyperlink"/>
            <w:rFonts w:ascii="Arial" w:hAnsi="Arial" w:cs="Arial"/>
            <w:sz w:val="20"/>
            <w:szCs w:val="20"/>
          </w:rPr>
          <w:t>http://mappemonde.mgm.fr/articles/art15104.html</w:t>
        </w:r>
      </w:hyperlink>
      <w:r w:rsidR="00C04BD4" w:rsidRPr="00DB71BB">
        <w:rPr>
          <w:rFonts w:ascii="Arial" w:hAnsi="Arial" w:cs="Arial"/>
          <w:sz w:val="20"/>
          <w:szCs w:val="20"/>
        </w:rPr>
        <w:t xml:space="preserve"> </w:t>
      </w:r>
    </w:p>
    <w:p w14:paraId="5E3AFE10" w14:textId="67E00EEA" w:rsidR="006B2D7A" w:rsidRPr="00DB71BB" w:rsidRDefault="006B2D7A" w:rsidP="00DB71BB">
      <w:pPr>
        <w:pStyle w:val="ListParagraph"/>
        <w:numPr>
          <w:ilvl w:val="0"/>
          <w:numId w:val="1"/>
        </w:numPr>
        <w:shd w:val="clear" w:color="auto" w:fill="FFFFFF"/>
        <w:spacing w:before="240" w:line="360" w:lineRule="auto"/>
        <w:jc w:val="both"/>
        <w:rPr>
          <w:rFonts w:ascii="Arial" w:hAnsi="Arial" w:cs="Arial"/>
          <w:sz w:val="20"/>
          <w:szCs w:val="20"/>
        </w:rPr>
      </w:pPr>
      <w:r w:rsidRPr="00DB71BB">
        <w:rPr>
          <w:rFonts w:ascii="Arial" w:hAnsi="Arial" w:cs="Arial"/>
          <w:sz w:val="20"/>
          <w:szCs w:val="20"/>
        </w:rPr>
        <w:t xml:space="preserve">FAO. (1996). Forest resources Assessment 1990 - Survey of tropical forest cover studies of change </w:t>
      </w:r>
      <w:proofErr w:type="gramStart"/>
      <w:r w:rsidRPr="00DB71BB">
        <w:rPr>
          <w:rFonts w:ascii="Arial" w:hAnsi="Arial" w:cs="Arial"/>
          <w:sz w:val="20"/>
          <w:szCs w:val="20"/>
        </w:rPr>
        <w:t>processes .</w:t>
      </w:r>
      <w:proofErr w:type="gramEnd"/>
      <w:r w:rsidRPr="00DB71BB">
        <w:rPr>
          <w:rFonts w:ascii="Arial" w:hAnsi="Arial" w:cs="Arial"/>
          <w:sz w:val="20"/>
          <w:szCs w:val="20"/>
        </w:rPr>
        <w:t xml:space="preserve"> </w:t>
      </w:r>
      <w:r w:rsidRPr="00DB71BB">
        <w:rPr>
          <w:rFonts w:ascii="Arial" w:hAnsi="Arial" w:cs="Arial"/>
          <w:sz w:val="20"/>
          <w:szCs w:val="20"/>
          <w:lang w:val="en-US"/>
        </w:rPr>
        <w:t xml:space="preserve">FAO Forestry Paper 130, Food and Agriculture Organization of the United Nations, Rome, Italy. </w:t>
      </w:r>
      <w:r w:rsidRPr="00DB71BB">
        <w:rPr>
          <w:rFonts w:ascii="Arial" w:hAnsi="Arial" w:cs="Arial"/>
          <w:sz w:val="20"/>
          <w:szCs w:val="20"/>
        </w:rPr>
        <w:t xml:space="preserve">Available from </w:t>
      </w:r>
      <w:hyperlink r:id="rId35" w:tgtFrame="_blank" w:history="1">
        <w:r w:rsidRPr="00DB71BB">
          <w:rPr>
            <w:rFonts w:ascii="Arial" w:hAnsi="Arial" w:cs="Arial"/>
            <w:sz w:val="20"/>
            <w:szCs w:val="20"/>
          </w:rPr>
          <w:t xml:space="preserve">http://www.fao.org/docrep/007/w0015e/w0015e00.htm </w:t>
        </w:r>
      </w:hyperlink>
      <w:r w:rsidRPr="00DB71BB">
        <w:rPr>
          <w:rFonts w:ascii="Arial" w:hAnsi="Arial" w:cs="Arial"/>
          <w:sz w:val="20"/>
          <w:szCs w:val="20"/>
        </w:rPr>
        <w:t>. Accessed July 2024.</w:t>
      </w:r>
    </w:p>
    <w:p w14:paraId="183190BE" w14:textId="4DC908A6" w:rsidR="006B2D7A" w:rsidRPr="00DB71BB" w:rsidRDefault="006B2D7A" w:rsidP="00DB71BB">
      <w:pPr>
        <w:pStyle w:val="ListParagraph"/>
        <w:numPr>
          <w:ilvl w:val="0"/>
          <w:numId w:val="1"/>
        </w:numPr>
        <w:shd w:val="clear" w:color="auto" w:fill="FFFFFF"/>
        <w:spacing w:line="360" w:lineRule="auto"/>
        <w:jc w:val="both"/>
        <w:rPr>
          <w:rFonts w:ascii="Arial" w:eastAsia="Times New Roman" w:hAnsi="Arial" w:cs="Arial"/>
          <w:color w:val="222222"/>
          <w:sz w:val="20"/>
          <w:szCs w:val="20"/>
          <w:lang w:eastAsia="fr-FR"/>
        </w:rPr>
      </w:pPr>
      <w:r w:rsidRPr="00DB71BB">
        <w:rPr>
          <w:rFonts w:ascii="Arial" w:eastAsia="Times New Roman" w:hAnsi="Arial" w:cs="Arial"/>
          <w:bCs/>
          <w:color w:val="222222"/>
          <w:sz w:val="20"/>
          <w:szCs w:val="20"/>
          <w:lang w:eastAsia="fr-FR"/>
        </w:rPr>
        <w:t xml:space="preserve">Girard, MC., </w:t>
      </w:r>
      <w:r w:rsidRPr="00DB71BB">
        <w:rPr>
          <w:rFonts w:ascii="Arial" w:hAnsi="Arial" w:cs="Arial"/>
          <w:sz w:val="20"/>
          <w:szCs w:val="20"/>
        </w:rPr>
        <w:t xml:space="preserve">&amp; </w:t>
      </w:r>
      <w:r w:rsidRPr="00DB71BB">
        <w:rPr>
          <w:rFonts w:ascii="Arial" w:eastAsia="Times New Roman" w:hAnsi="Arial" w:cs="Arial"/>
          <w:bCs/>
          <w:color w:val="222222"/>
          <w:sz w:val="20"/>
          <w:szCs w:val="20"/>
          <w:lang w:eastAsia="fr-FR"/>
        </w:rPr>
        <w:t>Girard, CM</w:t>
      </w:r>
      <w:r w:rsidRPr="00DB71BB">
        <w:rPr>
          <w:rFonts w:ascii="Arial" w:eastAsia="Times New Roman" w:hAnsi="Arial" w:cs="Arial"/>
          <w:b/>
          <w:bCs/>
          <w:color w:val="222222"/>
          <w:sz w:val="20"/>
          <w:szCs w:val="20"/>
          <w:lang w:eastAsia="fr-FR"/>
        </w:rPr>
        <w:t xml:space="preserve">. </w:t>
      </w:r>
      <w:r w:rsidRPr="00DB71BB">
        <w:rPr>
          <w:rFonts w:ascii="Arial" w:eastAsia="Times New Roman" w:hAnsi="Arial" w:cs="Arial"/>
          <w:color w:val="222222"/>
          <w:sz w:val="20"/>
          <w:szCs w:val="20"/>
          <w:lang w:eastAsia="fr-FR"/>
        </w:rPr>
        <w:t xml:space="preserve">(1999). Remote sensing data processing. </w:t>
      </w:r>
      <w:proofErr w:type="spellStart"/>
      <w:r w:rsidRPr="00DB71BB">
        <w:rPr>
          <w:rFonts w:ascii="Arial" w:eastAsia="Times New Roman" w:hAnsi="Arial" w:cs="Arial"/>
          <w:color w:val="222222"/>
          <w:sz w:val="20"/>
          <w:szCs w:val="20"/>
          <w:lang w:eastAsia="fr-FR"/>
        </w:rPr>
        <w:t>Dunod</w:t>
      </w:r>
      <w:proofErr w:type="spellEnd"/>
      <w:r w:rsidRPr="00DB71BB">
        <w:rPr>
          <w:rFonts w:ascii="Arial" w:eastAsia="Times New Roman" w:hAnsi="Arial" w:cs="Arial"/>
          <w:color w:val="222222"/>
          <w:sz w:val="20"/>
          <w:szCs w:val="20"/>
          <w:lang w:eastAsia="fr-FR"/>
        </w:rPr>
        <w:t>, Paris (France), Pp-529.</w:t>
      </w:r>
      <w:r w:rsidR="00C04BD4" w:rsidRPr="00C04BD4">
        <w:t xml:space="preserve"> </w:t>
      </w:r>
      <w:hyperlink r:id="rId36" w:history="1">
        <w:r w:rsidR="00C04BD4" w:rsidRPr="00DB71BB">
          <w:rPr>
            <w:rStyle w:val="Hyperlink"/>
            <w:rFonts w:ascii="Arial" w:eastAsia="Times New Roman" w:hAnsi="Arial" w:cs="Arial"/>
            <w:sz w:val="20"/>
            <w:szCs w:val="20"/>
            <w:lang w:eastAsia="fr-FR"/>
          </w:rPr>
          <w:t>https://doi.org/10.1201/9780203741917</w:t>
        </w:r>
      </w:hyperlink>
      <w:r w:rsidR="00C04BD4" w:rsidRPr="00DB71BB">
        <w:rPr>
          <w:rFonts w:ascii="Arial" w:eastAsia="Times New Roman" w:hAnsi="Arial" w:cs="Arial"/>
          <w:color w:val="222222"/>
          <w:sz w:val="20"/>
          <w:szCs w:val="20"/>
          <w:lang w:eastAsia="fr-FR"/>
        </w:rPr>
        <w:t xml:space="preserve"> </w:t>
      </w:r>
    </w:p>
    <w:p w14:paraId="1FB0FFD1" w14:textId="40C85056" w:rsidR="006B2D7A" w:rsidRPr="00DB71BB" w:rsidRDefault="006B2D7A" w:rsidP="00DB71BB">
      <w:pPr>
        <w:pStyle w:val="ListParagraph"/>
        <w:numPr>
          <w:ilvl w:val="0"/>
          <w:numId w:val="1"/>
        </w:numPr>
        <w:shd w:val="clear" w:color="auto" w:fill="FFFFFF"/>
        <w:spacing w:line="360" w:lineRule="auto"/>
        <w:jc w:val="both"/>
        <w:rPr>
          <w:rFonts w:ascii="Arial" w:eastAsia="Times New Roman" w:hAnsi="Arial" w:cs="Arial"/>
          <w:color w:val="222222"/>
          <w:sz w:val="20"/>
          <w:szCs w:val="20"/>
          <w:lang w:eastAsia="fr-FR"/>
        </w:rPr>
      </w:pPr>
      <w:proofErr w:type="spellStart"/>
      <w:r w:rsidRPr="00DB71BB">
        <w:rPr>
          <w:rFonts w:ascii="Arial" w:eastAsia="Times New Roman" w:hAnsi="Arial" w:cs="Arial"/>
          <w:color w:val="222222"/>
          <w:sz w:val="20"/>
          <w:szCs w:val="20"/>
          <w:lang w:eastAsia="fr-FR"/>
        </w:rPr>
        <w:t>Hauhouot</w:t>
      </w:r>
      <w:proofErr w:type="spellEnd"/>
      <w:r w:rsidR="00B75DC9" w:rsidRPr="00DB71BB">
        <w:rPr>
          <w:rFonts w:ascii="Arial" w:eastAsia="Times New Roman" w:hAnsi="Arial" w:cs="Arial"/>
          <w:color w:val="222222"/>
          <w:sz w:val="20"/>
          <w:szCs w:val="20"/>
          <w:lang w:eastAsia="fr-FR"/>
        </w:rPr>
        <w:t xml:space="preserve">, A., 2002, Development, Planning, Regionalization in </w:t>
      </w:r>
      <w:r w:rsidR="00321582" w:rsidRPr="00DB71BB">
        <w:rPr>
          <w:rFonts w:ascii="Arial" w:eastAsia="Times New Roman" w:hAnsi="Arial" w:cs="Arial"/>
          <w:color w:val="222222"/>
          <w:sz w:val="20"/>
          <w:szCs w:val="20"/>
          <w:lang w:eastAsia="fr-FR"/>
        </w:rPr>
        <w:t>Côte d’Ivoire</w:t>
      </w:r>
      <w:r w:rsidR="00B75DC9" w:rsidRPr="00DB71BB">
        <w:rPr>
          <w:rFonts w:ascii="Arial" w:eastAsia="Times New Roman" w:hAnsi="Arial" w:cs="Arial"/>
          <w:color w:val="222222"/>
          <w:sz w:val="20"/>
          <w:szCs w:val="20"/>
          <w:lang w:eastAsia="fr-FR"/>
        </w:rPr>
        <w:t xml:space="preserve">. </w:t>
      </w:r>
      <w:proofErr w:type="gramStart"/>
      <w:r w:rsidRPr="00DB71BB">
        <w:rPr>
          <w:rFonts w:ascii="Arial" w:eastAsia="Times New Roman" w:hAnsi="Arial" w:cs="Arial"/>
          <w:color w:val="222222"/>
          <w:sz w:val="20"/>
          <w:szCs w:val="20"/>
          <w:lang w:eastAsia="fr-FR"/>
        </w:rPr>
        <w:t>EDUCI ,</w:t>
      </w:r>
      <w:proofErr w:type="gramEnd"/>
      <w:r w:rsidRPr="00DB71BB">
        <w:rPr>
          <w:rFonts w:ascii="Arial" w:eastAsia="Times New Roman" w:hAnsi="Arial" w:cs="Arial"/>
          <w:color w:val="222222"/>
          <w:sz w:val="20"/>
          <w:szCs w:val="20"/>
          <w:lang w:eastAsia="fr-FR"/>
        </w:rPr>
        <w:t xml:space="preserve"> Pp-364.</w:t>
      </w:r>
    </w:p>
    <w:p w14:paraId="6452ADDF" w14:textId="41EA2C87" w:rsidR="006B2D7A" w:rsidRPr="00DB71BB" w:rsidRDefault="006B2D7A" w:rsidP="00DB71BB">
      <w:pPr>
        <w:pStyle w:val="ListParagraph"/>
        <w:numPr>
          <w:ilvl w:val="0"/>
          <w:numId w:val="1"/>
        </w:numPr>
        <w:spacing w:before="240" w:after="0" w:line="360" w:lineRule="auto"/>
        <w:jc w:val="both"/>
        <w:rPr>
          <w:rFonts w:ascii="Arial" w:hAnsi="Arial" w:cs="Arial"/>
          <w:sz w:val="20"/>
          <w:szCs w:val="20"/>
          <w:lang w:val="fr-FR"/>
        </w:rPr>
      </w:pPr>
      <w:proofErr w:type="spellStart"/>
      <w:r w:rsidRPr="00DB71BB">
        <w:rPr>
          <w:rFonts w:ascii="Arial" w:hAnsi="Arial" w:cs="Arial"/>
          <w:sz w:val="20"/>
          <w:szCs w:val="20"/>
        </w:rPr>
        <w:t>Heusch</w:t>
      </w:r>
      <w:proofErr w:type="spellEnd"/>
      <w:r w:rsidR="00B75DC9" w:rsidRPr="00DB71BB">
        <w:rPr>
          <w:rFonts w:ascii="Arial" w:hAnsi="Arial" w:cs="Arial"/>
          <w:sz w:val="20"/>
          <w:szCs w:val="20"/>
        </w:rPr>
        <w:t xml:space="preserve">, B. (1970). Erosion of the Pre-Rif. A quantitative </w:t>
      </w:r>
      <w:r w:rsidRPr="00DB71BB">
        <w:rPr>
          <w:rFonts w:ascii="Arial" w:hAnsi="Arial" w:cs="Arial"/>
          <w:sz w:val="20"/>
          <w:szCs w:val="20"/>
        </w:rPr>
        <w:t xml:space="preserve">study of water erosion in the marl hills of the western Pre-Rif. </w:t>
      </w:r>
      <w:r w:rsidRPr="00DB71BB">
        <w:rPr>
          <w:rFonts w:ascii="Arial" w:hAnsi="Arial" w:cs="Arial"/>
          <w:iCs/>
          <w:sz w:val="20"/>
          <w:szCs w:val="20"/>
          <w:lang w:val="fr-FR"/>
        </w:rPr>
        <w:t xml:space="preserve">Annales Recherches Forestières du </w:t>
      </w:r>
      <w:proofErr w:type="gramStart"/>
      <w:r w:rsidRPr="00DB71BB">
        <w:rPr>
          <w:rFonts w:ascii="Arial" w:hAnsi="Arial" w:cs="Arial"/>
          <w:iCs/>
          <w:sz w:val="20"/>
          <w:szCs w:val="20"/>
          <w:lang w:val="fr-FR"/>
        </w:rPr>
        <w:t xml:space="preserve">Maroc </w:t>
      </w:r>
      <w:r w:rsidRPr="00DB71BB">
        <w:rPr>
          <w:rFonts w:ascii="Arial" w:hAnsi="Arial" w:cs="Arial"/>
          <w:sz w:val="20"/>
          <w:szCs w:val="20"/>
          <w:lang w:val="fr-FR"/>
        </w:rPr>
        <w:t>,</w:t>
      </w:r>
      <w:proofErr w:type="gramEnd"/>
      <w:r w:rsidRPr="00DB71BB">
        <w:rPr>
          <w:rFonts w:ascii="Arial" w:hAnsi="Arial" w:cs="Arial"/>
          <w:sz w:val="20"/>
          <w:szCs w:val="20"/>
          <w:lang w:val="fr-FR"/>
        </w:rPr>
        <w:t xml:space="preserve"> 12, 1-176.</w:t>
      </w:r>
      <w:r w:rsidR="00C04BD4" w:rsidRPr="00DB71BB">
        <w:rPr>
          <w:lang w:val="fr-FR"/>
        </w:rPr>
        <w:t xml:space="preserve"> </w:t>
      </w:r>
      <w:hyperlink r:id="rId37" w:history="1">
        <w:r w:rsidR="00C04BD4" w:rsidRPr="00DB71BB">
          <w:rPr>
            <w:rStyle w:val="Hyperlink"/>
            <w:rFonts w:ascii="Arial" w:hAnsi="Arial" w:cs="Arial"/>
            <w:sz w:val="20"/>
            <w:szCs w:val="20"/>
            <w:lang w:val="fr-FR"/>
          </w:rPr>
          <w:t>https://horizon.documentation.ird.fr/exl-doc/pleins_textes/pleins_textes_7/horizon/fdi_010056569.pdf</w:t>
        </w:r>
      </w:hyperlink>
      <w:r w:rsidR="00C04BD4" w:rsidRPr="00DB71BB">
        <w:rPr>
          <w:rFonts w:ascii="Arial" w:hAnsi="Arial" w:cs="Arial"/>
          <w:sz w:val="20"/>
          <w:szCs w:val="20"/>
          <w:lang w:val="fr-FR"/>
        </w:rPr>
        <w:t xml:space="preserve"> </w:t>
      </w:r>
    </w:p>
    <w:p w14:paraId="52E51FA6" w14:textId="5E9EAA08" w:rsidR="006B2D7A" w:rsidRPr="00DB71BB" w:rsidRDefault="006B2D7A" w:rsidP="00DB71BB">
      <w:pPr>
        <w:pStyle w:val="ListParagraph"/>
        <w:numPr>
          <w:ilvl w:val="0"/>
          <w:numId w:val="1"/>
        </w:numPr>
        <w:spacing w:before="240" w:line="360" w:lineRule="auto"/>
        <w:jc w:val="both"/>
        <w:rPr>
          <w:rFonts w:ascii="Arial" w:hAnsi="Arial" w:cs="Arial"/>
          <w:b/>
          <w:sz w:val="20"/>
          <w:szCs w:val="20"/>
        </w:rPr>
      </w:pPr>
      <w:bookmarkStart w:id="47" w:name="_Toc138739976"/>
      <w:bookmarkStart w:id="48" w:name="_Toc139571684"/>
      <w:proofErr w:type="spellStart"/>
      <w:r w:rsidRPr="00DB71BB">
        <w:rPr>
          <w:rFonts w:ascii="Arial" w:hAnsi="Arial" w:cs="Arial"/>
          <w:sz w:val="20"/>
          <w:szCs w:val="20"/>
        </w:rPr>
        <w:t>Khaoula</w:t>
      </w:r>
      <w:proofErr w:type="spellEnd"/>
      <w:r w:rsidR="001B2F12" w:rsidRPr="00DB71BB">
        <w:rPr>
          <w:rFonts w:ascii="Arial" w:hAnsi="Arial" w:cs="Arial"/>
          <w:sz w:val="20"/>
          <w:szCs w:val="20"/>
        </w:rPr>
        <w:t xml:space="preserve">, K., &amp; </w:t>
      </w:r>
      <w:proofErr w:type="spellStart"/>
      <w:r w:rsidRPr="00DB71BB">
        <w:rPr>
          <w:rFonts w:ascii="Arial" w:hAnsi="Arial" w:cs="Arial"/>
          <w:sz w:val="20"/>
          <w:szCs w:val="20"/>
        </w:rPr>
        <w:t>Siheme</w:t>
      </w:r>
      <w:proofErr w:type="spellEnd"/>
      <w:r w:rsidR="001B2F12" w:rsidRPr="00DB71BB">
        <w:rPr>
          <w:rFonts w:ascii="Arial" w:hAnsi="Arial" w:cs="Arial"/>
          <w:sz w:val="20"/>
          <w:szCs w:val="20"/>
        </w:rPr>
        <w:t xml:space="preserve">, J. (2021). </w:t>
      </w:r>
      <w:r w:rsidRPr="00DB71BB">
        <w:rPr>
          <w:rFonts w:ascii="Arial" w:hAnsi="Arial" w:cs="Arial"/>
          <w:sz w:val="20"/>
          <w:szCs w:val="20"/>
        </w:rPr>
        <w:t>Evaluation of water erosion in the watersheds of the semi-arid zone of Tunisia with the RUSLE and MUSLE models coupled with a Geographic Information System.</w:t>
      </w:r>
      <w:r w:rsidRPr="00DB71BB">
        <w:rPr>
          <w:rFonts w:ascii="Arial" w:hAnsi="Arial" w:cs="Arial"/>
          <w:sz w:val="20"/>
          <w:szCs w:val="20"/>
          <w:shd w:val="clear" w:color="auto" w:fill="FFFFFF"/>
        </w:rPr>
        <w:t xml:space="preserve"> </w:t>
      </w:r>
      <w:r w:rsidRPr="00DB71BB">
        <w:rPr>
          <w:rFonts w:ascii="Arial" w:hAnsi="Arial" w:cs="Arial"/>
          <w:iCs/>
          <w:sz w:val="20"/>
          <w:szCs w:val="20"/>
          <w:shd w:val="clear" w:color="auto" w:fill="FFFFFF"/>
        </w:rPr>
        <w:t xml:space="preserve">Cahiers </w:t>
      </w:r>
      <w:proofErr w:type="gramStart"/>
      <w:r w:rsidRPr="00DB71BB">
        <w:rPr>
          <w:rFonts w:ascii="Arial" w:hAnsi="Arial" w:cs="Arial"/>
          <w:iCs/>
          <w:sz w:val="20"/>
          <w:szCs w:val="20"/>
          <w:shd w:val="clear" w:color="auto" w:fill="FFFFFF"/>
        </w:rPr>
        <w:t xml:space="preserve">Agricultures </w:t>
      </w:r>
      <w:r w:rsidRPr="00DB71BB">
        <w:rPr>
          <w:rFonts w:ascii="Arial" w:hAnsi="Arial" w:cs="Arial"/>
          <w:sz w:val="20"/>
          <w:szCs w:val="20"/>
          <w:shd w:val="clear" w:color="auto" w:fill="FFFFFF"/>
        </w:rPr>
        <w:t>,</w:t>
      </w:r>
      <w:proofErr w:type="gramEnd"/>
      <w:r w:rsidRPr="00DB71BB">
        <w:rPr>
          <w:rFonts w:ascii="Arial" w:hAnsi="Arial" w:cs="Arial"/>
          <w:sz w:val="20"/>
          <w:szCs w:val="20"/>
          <w:shd w:val="clear" w:color="auto" w:fill="FFFFFF"/>
        </w:rPr>
        <w:t xml:space="preserve"> 30, 1-7.</w:t>
      </w:r>
      <w:bookmarkEnd w:id="47"/>
      <w:bookmarkEnd w:id="48"/>
    </w:p>
    <w:p w14:paraId="3AFC02C4" w14:textId="0E7ACAAD"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rPr>
        <w:t xml:space="preserve">Landis, JR., &amp; Koch, GG. (1977). The Measurement of Observer Agreement for Categorical Data. </w:t>
      </w:r>
      <w:r w:rsidRPr="00DB71BB">
        <w:rPr>
          <w:rFonts w:ascii="Arial" w:hAnsi="Arial" w:cs="Arial"/>
          <w:iCs/>
          <w:sz w:val="20"/>
          <w:szCs w:val="20"/>
        </w:rPr>
        <w:t>Biometrics</w:t>
      </w:r>
      <w:r w:rsidRPr="00DB71BB">
        <w:rPr>
          <w:rFonts w:ascii="Arial" w:hAnsi="Arial" w:cs="Arial"/>
          <w:sz w:val="20"/>
          <w:szCs w:val="20"/>
        </w:rPr>
        <w:t>, 33, 159-174.</w:t>
      </w:r>
      <w:r w:rsidR="00C04BD4" w:rsidRPr="00C04BD4">
        <w:t xml:space="preserve"> </w:t>
      </w:r>
      <w:hyperlink r:id="rId38" w:history="1">
        <w:r w:rsidR="00C04BD4" w:rsidRPr="00DB71BB">
          <w:rPr>
            <w:rStyle w:val="Hyperlink"/>
            <w:rFonts w:ascii="Arial" w:hAnsi="Arial" w:cs="Arial"/>
            <w:sz w:val="20"/>
            <w:szCs w:val="20"/>
          </w:rPr>
          <w:t>https://doi.org/10.2307/2529310</w:t>
        </w:r>
      </w:hyperlink>
      <w:r w:rsidR="00C04BD4" w:rsidRPr="00DB71BB">
        <w:rPr>
          <w:rFonts w:ascii="Arial" w:hAnsi="Arial" w:cs="Arial"/>
          <w:sz w:val="20"/>
          <w:szCs w:val="20"/>
        </w:rPr>
        <w:t xml:space="preserve"> </w:t>
      </w:r>
    </w:p>
    <w:p w14:paraId="7102DC69" w14:textId="6DD20962"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rPr>
        <w:lastRenderedPageBreak/>
        <w:t>Meledje</w:t>
      </w:r>
      <w:r w:rsidR="00D052FB" w:rsidRPr="00DB71BB">
        <w:rPr>
          <w:rFonts w:ascii="Arial" w:hAnsi="Arial" w:cs="Arial"/>
          <w:sz w:val="20"/>
          <w:szCs w:val="20"/>
        </w:rPr>
        <w:t xml:space="preserve">, N. (2016). Modeling of hydrological dynamics and sediment flux in the Ayame1 hydroelectric dam lake. Doctoral thesis in Environmental Science and Management. </w:t>
      </w:r>
      <w:proofErr w:type="spellStart"/>
      <w:r w:rsidR="00D052FB" w:rsidRPr="00DB71BB">
        <w:rPr>
          <w:rFonts w:ascii="Arial" w:hAnsi="Arial" w:cs="Arial"/>
          <w:sz w:val="20"/>
          <w:szCs w:val="20"/>
        </w:rPr>
        <w:t>Nangui</w:t>
      </w:r>
      <w:proofErr w:type="spellEnd"/>
      <w:r w:rsidR="00D052FB" w:rsidRPr="00DB71BB">
        <w:rPr>
          <w:rFonts w:ascii="Arial" w:hAnsi="Arial" w:cs="Arial"/>
          <w:sz w:val="20"/>
          <w:szCs w:val="20"/>
        </w:rPr>
        <w:t xml:space="preserve"> </w:t>
      </w:r>
      <w:proofErr w:type="spellStart"/>
      <w:r w:rsidRPr="00DB71BB">
        <w:rPr>
          <w:rFonts w:ascii="Arial" w:hAnsi="Arial" w:cs="Arial"/>
          <w:sz w:val="20"/>
          <w:szCs w:val="20"/>
        </w:rPr>
        <w:t>Abrogoua</w:t>
      </w:r>
      <w:proofErr w:type="spellEnd"/>
      <w:r w:rsidRPr="00DB71BB">
        <w:rPr>
          <w:rFonts w:ascii="Arial" w:hAnsi="Arial" w:cs="Arial"/>
          <w:sz w:val="20"/>
          <w:szCs w:val="20"/>
        </w:rPr>
        <w:t xml:space="preserve"> </w:t>
      </w:r>
      <w:proofErr w:type="gramStart"/>
      <w:r w:rsidRPr="00DB71BB">
        <w:rPr>
          <w:rFonts w:ascii="Arial" w:hAnsi="Arial" w:cs="Arial"/>
          <w:sz w:val="20"/>
          <w:szCs w:val="20"/>
        </w:rPr>
        <w:t>University ,</w:t>
      </w:r>
      <w:proofErr w:type="gramEnd"/>
      <w:r w:rsidRPr="00DB71BB">
        <w:rPr>
          <w:rFonts w:ascii="Arial" w:hAnsi="Arial" w:cs="Arial"/>
          <w:sz w:val="20"/>
          <w:szCs w:val="20"/>
        </w:rPr>
        <w:t xml:space="preserve"> Abidjan (Côte D'Ivoire), Pp-267.</w:t>
      </w:r>
    </w:p>
    <w:p w14:paraId="15CEA5BA" w14:textId="0C0470B2" w:rsidR="006B2D7A" w:rsidRPr="00DB71BB" w:rsidRDefault="006B2D7A" w:rsidP="00DB71BB">
      <w:pPr>
        <w:pStyle w:val="ListParagraph"/>
        <w:numPr>
          <w:ilvl w:val="0"/>
          <w:numId w:val="1"/>
        </w:numPr>
        <w:spacing w:before="240" w:after="0" w:line="360" w:lineRule="auto"/>
        <w:jc w:val="both"/>
        <w:rPr>
          <w:rFonts w:ascii="Arial" w:hAnsi="Arial" w:cs="Arial"/>
          <w:b/>
          <w:sz w:val="20"/>
          <w:szCs w:val="20"/>
        </w:rPr>
      </w:pPr>
      <w:r w:rsidRPr="00DB71BB">
        <w:rPr>
          <w:rFonts w:ascii="Arial" w:hAnsi="Arial" w:cs="Arial"/>
          <w:sz w:val="20"/>
          <w:szCs w:val="20"/>
        </w:rPr>
        <w:t>Naimi</w:t>
      </w:r>
      <w:r w:rsidR="00D052FB" w:rsidRPr="00DB71BB">
        <w:rPr>
          <w:rFonts w:ascii="Arial" w:hAnsi="Arial" w:cs="Arial"/>
          <w:sz w:val="20"/>
          <w:szCs w:val="20"/>
        </w:rPr>
        <w:t xml:space="preserve">, M., </w:t>
      </w:r>
      <w:r w:rsidRPr="00DB71BB">
        <w:rPr>
          <w:rFonts w:ascii="Arial" w:hAnsi="Arial" w:cs="Arial"/>
          <w:sz w:val="20"/>
          <w:szCs w:val="20"/>
        </w:rPr>
        <w:t>Tayaa</w:t>
      </w:r>
      <w:r w:rsidR="00D052FB" w:rsidRPr="00DB71BB">
        <w:rPr>
          <w:rFonts w:ascii="Arial" w:hAnsi="Arial" w:cs="Arial"/>
          <w:sz w:val="20"/>
          <w:szCs w:val="20"/>
        </w:rPr>
        <w:t xml:space="preserve">, M., </w:t>
      </w:r>
      <w:proofErr w:type="spellStart"/>
      <w:r w:rsidRPr="00DB71BB">
        <w:rPr>
          <w:rFonts w:ascii="Arial" w:hAnsi="Arial" w:cs="Arial"/>
          <w:sz w:val="20"/>
          <w:szCs w:val="20"/>
        </w:rPr>
        <w:t>Ouziz</w:t>
      </w:r>
      <w:proofErr w:type="spellEnd"/>
      <w:r w:rsidR="00D052FB" w:rsidRPr="00DB71BB">
        <w:rPr>
          <w:rFonts w:ascii="Arial" w:hAnsi="Arial" w:cs="Arial"/>
          <w:sz w:val="20"/>
          <w:szCs w:val="20"/>
        </w:rPr>
        <w:t xml:space="preserve">, S., </w:t>
      </w:r>
      <w:proofErr w:type="spellStart"/>
      <w:r w:rsidRPr="00DB71BB">
        <w:rPr>
          <w:rFonts w:ascii="Arial" w:hAnsi="Arial" w:cs="Arial"/>
          <w:sz w:val="20"/>
          <w:szCs w:val="20"/>
        </w:rPr>
        <w:t>Choukr-llah</w:t>
      </w:r>
      <w:proofErr w:type="spellEnd"/>
      <w:r w:rsidR="00D052FB" w:rsidRPr="00DB71BB">
        <w:rPr>
          <w:rFonts w:ascii="Arial" w:hAnsi="Arial" w:cs="Arial"/>
          <w:sz w:val="20"/>
          <w:szCs w:val="20"/>
        </w:rPr>
        <w:t xml:space="preserve">, R. &amp; </w:t>
      </w:r>
      <w:r w:rsidRPr="00DB71BB">
        <w:rPr>
          <w:rFonts w:ascii="Arial" w:hAnsi="Arial" w:cs="Arial"/>
          <w:sz w:val="20"/>
          <w:szCs w:val="20"/>
        </w:rPr>
        <w:t xml:space="preserve">Kerby, M. (2002). Gullying in the Nakhla </w:t>
      </w:r>
      <w:proofErr w:type="gramStart"/>
      <w:r w:rsidRPr="00DB71BB">
        <w:rPr>
          <w:rFonts w:ascii="Arial" w:hAnsi="Arial" w:cs="Arial"/>
          <w:sz w:val="20"/>
          <w:szCs w:val="20"/>
        </w:rPr>
        <w:t>watershed ,</w:t>
      </w:r>
      <w:proofErr w:type="gramEnd"/>
      <w:r w:rsidRPr="00DB71BB">
        <w:rPr>
          <w:rFonts w:ascii="Arial" w:hAnsi="Arial" w:cs="Arial"/>
          <w:sz w:val="20"/>
          <w:szCs w:val="20"/>
        </w:rPr>
        <w:t xml:space="preserve"> western, Morocco. </w:t>
      </w:r>
      <w:r w:rsidR="00D052FB" w:rsidRPr="00DB71BB">
        <w:rPr>
          <w:rFonts w:ascii="Arial" w:hAnsi="Arial" w:cs="Arial"/>
          <w:iCs/>
          <w:sz w:val="20"/>
          <w:szCs w:val="20"/>
        </w:rPr>
        <w:t xml:space="preserve">Erosion Network </w:t>
      </w:r>
      <w:proofErr w:type="gramStart"/>
      <w:r w:rsidR="00D052FB" w:rsidRPr="00DB71BB">
        <w:rPr>
          <w:rFonts w:ascii="Arial" w:hAnsi="Arial" w:cs="Arial"/>
          <w:iCs/>
          <w:sz w:val="20"/>
          <w:szCs w:val="20"/>
        </w:rPr>
        <w:t xml:space="preserve">Bulletin </w:t>
      </w:r>
      <w:r w:rsidRPr="00DB71BB">
        <w:rPr>
          <w:rFonts w:ascii="Arial" w:hAnsi="Arial" w:cs="Arial"/>
          <w:sz w:val="20"/>
          <w:szCs w:val="20"/>
        </w:rPr>
        <w:t>,</w:t>
      </w:r>
      <w:proofErr w:type="gramEnd"/>
      <w:r w:rsidRPr="00DB71BB">
        <w:rPr>
          <w:rFonts w:ascii="Arial" w:hAnsi="Arial" w:cs="Arial"/>
          <w:sz w:val="20"/>
          <w:szCs w:val="20"/>
        </w:rPr>
        <w:t xml:space="preserve"> 21, 232-243.</w:t>
      </w:r>
      <w:r w:rsidR="00C04BD4" w:rsidRPr="00C04BD4">
        <w:t xml:space="preserve"> </w:t>
      </w:r>
      <w:hyperlink r:id="rId39" w:history="1">
        <w:r w:rsidR="00C04BD4" w:rsidRPr="00DB71BB">
          <w:rPr>
            <w:rStyle w:val="Hyperlink"/>
            <w:rFonts w:ascii="Arial" w:hAnsi="Arial" w:cs="Arial"/>
            <w:sz w:val="20"/>
            <w:szCs w:val="20"/>
          </w:rPr>
          <w:t>https://beep.ird.fr/collect/bassinve/index/assoc/NANMI_M._2002.dir/NANMI_M._2002.pdf</w:t>
        </w:r>
      </w:hyperlink>
      <w:r w:rsidR="00C04BD4" w:rsidRPr="00DB71BB">
        <w:rPr>
          <w:rFonts w:ascii="Arial" w:hAnsi="Arial" w:cs="Arial"/>
          <w:sz w:val="20"/>
          <w:szCs w:val="20"/>
        </w:rPr>
        <w:t xml:space="preserve"> </w:t>
      </w:r>
    </w:p>
    <w:p w14:paraId="33B89488" w14:textId="7A4F1F21"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lang w:val="pt-BR"/>
        </w:rPr>
        <w:t>N'go, AY., Kouadio, AZ., Deguy, JPA., Hien, AS., Goula</w:t>
      </w:r>
      <w:r w:rsidR="00973D39" w:rsidRPr="00DB71BB">
        <w:rPr>
          <w:rFonts w:ascii="Arial" w:hAnsi="Arial" w:cs="Arial"/>
          <w:sz w:val="20"/>
          <w:szCs w:val="20"/>
          <w:lang w:val="pt-BR"/>
        </w:rPr>
        <w:t xml:space="preserve">, </w:t>
      </w:r>
      <w:r w:rsidRPr="00DB71BB">
        <w:rPr>
          <w:rFonts w:ascii="Arial" w:hAnsi="Arial" w:cs="Arial"/>
          <w:sz w:val="20"/>
          <w:szCs w:val="20"/>
          <w:lang w:val="pt-BR"/>
        </w:rPr>
        <w:t xml:space="preserve">ABT. </w:t>
      </w:r>
      <w:r w:rsidRPr="00DB71BB">
        <w:rPr>
          <w:rFonts w:ascii="Arial" w:hAnsi="Arial" w:cs="Arial"/>
          <w:sz w:val="20"/>
          <w:szCs w:val="20"/>
          <w:lang w:val="en-IN"/>
        </w:rPr>
        <w:t xml:space="preserve">&amp; </w:t>
      </w:r>
      <w:proofErr w:type="spellStart"/>
      <w:r w:rsidRPr="00DB71BB">
        <w:rPr>
          <w:rFonts w:ascii="Arial" w:hAnsi="Arial" w:cs="Arial"/>
          <w:sz w:val="20"/>
          <w:szCs w:val="20"/>
          <w:lang w:val="en-IN"/>
        </w:rPr>
        <w:t>Savané</w:t>
      </w:r>
      <w:proofErr w:type="spellEnd"/>
      <w:r w:rsidR="00973D39" w:rsidRPr="00DB71BB">
        <w:rPr>
          <w:rFonts w:ascii="Arial" w:hAnsi="Arial" w:cs="Arial"/>
          <w:sz w:val="20"/>
          <w:szCs w:val="20"/>
          <w:lang w:val="en-IN"/>
        </w:rPr>
        <w:t xml:space="preserve">, I. (2018). </w:t>
      </w:r>
      <w:r w:rsidR="00973D39" w:rsidRPr="00DB71BB">
        <w:rPr>
          <w:rFonts w:ascii="Arial" w:hAnsi="Arial" w:cs="Arial"/>
          <w:sz w:val="20"/>
          <w:szCs w:val="20"/>
        </w:rPr>
        <w:t xml:space="preserve">Influence of land cover dynamics on the </w:t>
      </w:r>
      <w:r w:rsidRPr="00DB71BB">
        <w:rPr>
          <w:rFonts w:ascii="Arial" w:hAnsi="Arial" w:cs="Arial"/>
          <w:sz w:val="20"/>
          <w:szCs w:val="20"/>
        </w:rPr>
        <w:t xml:space="preserve">amount of soil loss south of the </w:t>
      </w:r>
      <w:proofErr w:type="spellStart"/>
      <w:r w:rsidRPr="00DB71BB">
        <w:rPr>
          <w:rFonts w:ascii="Arial" w:hAnsi="Arial" w:cs="Arial"/>
          <w:sz w:val="20"/>
          <w:szCs w:val="20"/>
        </w:rPr>
        <w:t>Sassandra</w:t>
      </w:r>
      <w:proofErr w:type="spellEnd"/>
      <w:r w:rsidRPr="00DB71BB">
        <w:rPr>
          <w:rFonts w:ascii="Arial" w:hAnsi="Arial" w:cs="Arial"/>
          <w:sz w:val="20"/>
          <w:szCs w:val="20"/>
        </w:rPr>
        <w:t xml:space="preserve"> watershed (Côte d'Ivoire), </w:t>
      </w:r>
      <w:r w:rsidRPr="00DB71BB">
        <w:rPr>
          <w:rFonts w:ascii="Arial" w:hAnsi="Arial" w:cs="Arial"/>
          <w:iCs/>
          <w:sz w:val="20"/>
          <w:szCs w:val="20"/>
        </w:rPr>
        <w:t xml:space="preserve">International Journal of Advanced </w:t>
      </w:r>
      <w:proofErr w:type="gramStart"/>
      <w:r w:rsidRPr="00DB71BB">
        <w:rPr>
          <w:rFonts w:ascii="Arial" w:hAnsi="Arial" w:cs="Arial"/>
          <w:iCs/>
          <w:sz w:val="20"/>
          <w:szCs w:val="20"/>
        </w:rPr>
        <w:t xml:space="preserve">Research </w:t>
      </w:r>
      <w:r w:rsidRPr="00DB71BB">
        <w:rPr>
          <w:rFonts w:ascii="Arial" w:hAnsi="Arial" w:cs="Arial"/>
          <w:i/>
          <w:sz w:val="20"/>
          <w:szCs w:val="20"/>
        </w:rPr>
        <w:t>,</w:t>
      </w:r>
      <w:proofErr w:type="gramEnd"/>
      <w:r w:rsidRPr="00DB71BB">
        <w:rPr>
          <w:rFonts w:ascii="Arial" w:hAnsi="Arial" w:cs="Arial"/>
          <w:i/>
          <w:sz w:val="20"/>
          <w:szCs w:val="20"/>
        </w:rPr>
        <w:t xml:space="preserve"> </w:t>
      </w:r>
      <w:r w:rsidRPr="00DB71BB">
        <w:rPr>
          <w:rFonts w:ascii="Arial" w:hAnsi="Arial" w:cs="Arial"/>
          <w:sz w:val="20"/>
          <w:szCs w:val="20"/>
        </w:rPr>
        <w:t>6(4), 830-838.</w:t>
      </w:r>
      <w:r w:rsidR="002F22F1" w:rsidRPr="002F22F1">
        <w:t xml:space="preserve"> </w:t>
      </w:r>
      <w:hyperlink r:id="rId40" w:history="1">
        <w:r w:rsidR="002F22F1" w:rsidRPr="00DB71BB">
          <w:rPr>
            <w:rStyle w:val="Hyperlink"/>
            <w:rFonts w:ascii="Arial" w:hAnsi="Arial" w:cs="Arial"/>
            <w:sz w:val="20"/>
            <w:szCs w:val="20"/>
          </w:rPr>
          <w:t>https://doi.org/10.21474/IJAR01/6918</w:t>
        </w:r>
      </w:hyperlink>
      <w:r w:rsidR="002F22F1" w:rsidRPr="00DB71BB">
        <w:rPr>
          <w:rFonts w:ascii="Arial" w:hAnsi="Arial" w:cs="Arial"/>
          <w:sz w:val="20"/>
          <w:szCs w:val="20"/>
        </w:rPr>
        <w:t xml:space="preserve"> </w:t>
      </w:r>
    </w:p>
    <w:p w14:paraId="4B26F594" w14:textId="672AAF25"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proofErr w:type="spellStart"/>
      <w:r w:rsidRPr="00DB71BB">
        <w:rPr>
          <w:rFonts w:ascii="Arial" w:hAnsi="Arial" w:cs="Arial"/>
          <w:sz w:val="20"/>
          <w:szCs w:val="20"/>
        </w:rPr>
        <w:t>N'go</w:t>
      </w:r>
      <w:proofErr w:type="spellEnd"/>
      <w:r w:rsidRPr="00DB71BB">
        <w:rPr>
          <w:rFonts w:ascii="Arial" w:hAnsi="Arial" w:cs="Arial"/>
          <w:sz w:val="20"/>
          <w:szCs w:val="20"/>
        </w:rPr>
        <w:t xml:space="preserve">, YA. (2015). Hydrology and dynamics of land surface conditions in southwestern Côte d'Ivoire: impacts and drivers of degradation. Doctoral thesis in Environmental Science and Management. </w:t>
      </w:r>
      <w:proofErr w:type="spellStart"/>
      <w:r w:rsidRPr="00DB71BB">
        <w:rPr>
          <w:rFonts w:ascii="Arial" w:hAnsi="Arial" w:cs="Arial"/>
          <w:sz w:val="20"/>
          <w:szCs w:val="20"/>
        </w:rPr>
        <w:t>Nangui</w:t>
      </w:r>
      <w:proofErr w:type="spellEnd"/>
      <w:r w:rsidRPr="00DB71BB">
        <w:rPr>
          <w:rFonts w:ascii="Arial" w:hAnsi="Arial" w:cs="Arial"/>
          <w:sz w:val="20"/>
          <w:szCs w:val="20"/>
        </w:rPr>
        <w:t xml:space="preserve"> </w:t>
      </w:r>
      <w:proofErr w:type="spellStart"/>
      <w:r w:rsidRPr="00DB71BB">
        <w:rPr>
          <w:rFonts w:ascii="Arial" w:hAnsi="Arial" w:cs="Arial"/>
          <w:sz w:val="20"/>
          <w:szCs w:val="20"/>
        </w:rPr>
        <w:t>Abrogoua</w:t>
      </w:r>
      <w:proofErr w:type="spellEnd"/>
      <w:r w:rsidRPr="00DB71BB">
        <w:rPr>
          <w:rFonts w:ascii="Arial" w:hAnsi="Arial" w:cs="Arial"/>
          <w:sz w:val="20"/>
          <w:szCs w:val="20"/>
        </w:rPr>
        <w:t xml:space="preserve"> </w:t>
      </w:r>
      <w:proofErr w:type="gramStart"/>
      <w:r w:rsidRPr="00DB71BB">
        <w:rPr>
          <w:rFonts w:ascii="Arial" w:hAnsi="Arial" w:cs="Arial"/>
          <w:sz w:val="20"/>
          <w:szCs w:val="20"/>
        </w:rPr>
        <w:t>University ,</w:t>
      </w:r>
      <w:proofErr w:type="gramEnd"/>
      <w:r w:rsidRPr="00DB71BB">
        <w:rPr>
          <w:rFonts w:ascii="Arial" w:hAnsi="Arial" w:cs="Arial"/>
          <w:sz w:val="20"/>
          <w:szCs w:val="20"/>
        </w:rPr>
        <w:t xml:space="preserve"> Abidjan, Côte d'Ivoire. 220 pp.</w:t>
      </w:r>
    </w:p>
    <w:p w14:paraId="30A8163E" w14:textId="6B8DFA4D" w:rsidR="006B2D7A" w:rsidRPr="00DB71BB" w:rsidRDefault="006B2D7A" w:rsidP="00DB71BB">
      <w:pPr>
        <w:pStyle w:val="ListParagraph"/>
        <w:numPr>
          <w:ilvl w:val="0"/>
          <w:numId w:val="1"/>
        </w:numPr>
        <w:shd w:val="clear" w:color="auto" w:fill="FFFFFF"/>
        <w:spacing w:before="240" w:line="360" w:lineRule="auto"/>
        <w:jc w:val="both"/>
        <w:rPr>
          <w:rFonts w:ascii="Arial" w:eastAsia="Times New Roman" w:hAnsi="Arial" w:cs="Arial"/>
          <w:color w:val="222222"/>
          <w:sz w:val="20"/>
          <w:szCs w:val="20"/>
          <w:lang w:eastAsia="fr-FR"/>
        </w:rPr>
      </w:pPr>
      <w:r w:rsidRPr="00DB71BB">
        <w:rPr>
          <w:rFonts w:ascii="Arial" w:eastAsia="Times New Roman" w:hAnsi="Arial" w:cs="Arial"/>
          <w:bCs/>
          <w:color w:val="222222"/>
          <w:sz w:val="20"/>
          <w:szCs w:val="20"/>
          <w:lang w:eastAsia="fr-FR"/>
        </w:rPr>
        <w:t>Oszwald</w:t>
      </w:r>
      <w:r w:rsidR="004251E6" w:rsidRPr="00DB71BB">
        <w:rPr>
          <w:rFonts w:ascii="Arial" w:eastAsia="Times New Roman" w:hAnsi="Arial" w:cs="Arial"/>
          <w:bCs/>
          <w:color w:val="222222"/>
          <w:sz w:val="20"/>
          <w:szCs w:val="20"/>
          <w:lang w:eastAsia="fr-FR"/>
        </w:rPr>
        <w:t xml:space="preserve">, J. </w:t>
      </w:r>
      <w:r w:rsidRPr="00DB71BB">
        <w:rPr>
          <w:rFonts w:ascii="Arial" w:eastAsia="Times New Roman" w:hAnsi="Arial" w:cs="Arial"/>
          <w:color w:val="222222"/>
          <w:sz w:val="20"/>
          <w:szCs w:val="20"/>
          <w:lang w:eastAsia="fr-FR"/>
        </w:rPr>
        <w:t xml:space="preserve">(2005). Dynamics of agroforestry formations in Côte d'Ivoire (from the 1980s to the 2000s): Monitoring by remote sensing and development of a mapping approach. </w:t>
      </w:r>
      <w:r w:rsidRPr="00DB71BB">
        <w:rPr>
          <w:rFonts w:ascii="Arial" w:hAnsi="Arial" w:cs="Arial"/>
          <w:color w:val="000000" w:themeColor="text1"/>
          <w:sz w:val="20"/>
          <w:szCs w:val="20"/>
          <w:shd w:val="clear" w:color="auto" w:fill="FFFFFF"/>
        </w:rPr>
        <w:t xml:space="preserve">Doctoral thesis in </w:t>
      </w:r>
      <w:proofErr w:type="gramStart"/>
      <w:r w:rsidRPr="00DB71BB">
        <w:rPr>
          <w:rFonts w:ascii="Arial" w:hAnsi="Arial" w:cs="Arial"/>
          <w:color w:val="000000" w:themeColor="text1"/>
          <w:sz w:val="20"/>
          <w:szCs w:val="20"/>
          <w:shd w:val="clear" w:color="auto" w:fill="FFFFFF"/>
        </w:rPr>
        <w:t xml:space="preserve">Geography </w:t>
      </w:r>
      <w:r w:rsidRPr="00DB71BB">
        <w:rPr>
          <w:rFonts w:ascii="Arial" w:eastAsia="Times New Roman" w:hAnsi="Arial" w:cs="Arial"/>
          <w:color w:val="222222"/>
          <w:sz w:val="20"/>
          <w:szCs w:val="20"/>
          <w:lang w:eastAsia="fr-FR"/>
        </w:rPr>
        <w:t>.</w:t>
      </w:r>
      <w:proofErr w:type="gramEnd"/>
      <w:r w:rsidRPr="00DB71BB">
        <w:rPr>
          <w:rFonts w:ascii="Arial" w:eastAsia="Times New Roman" w:hAnsi="Arial" w:cs="Arial"/>
          <w:color w:val="222222"/>
          <w:sz w:val="20"/>
          <w:szCs w:val="20"/>
          <w:lang w:eastAsia="fr-FR"/>
        </w:rPr>
        <w:t xml:space="preserve"> University of Science and Technology of Lille, Lille (France). Pp-304.</w:t>
      </w:r>
    </w:p>
    <w:p w14:paraId="3B6A1C72" w14:textId="2E72E4CB" w:rsidR="006B2D7A" w:rsidRPr="00DB71BB" w:rsidRDefault="006B2D7A" w:rsidP="00DB71BB">
      <w:pPr>
        <w:pStyle w:val="ListParagraph"/>
        <w:numPr>
          <w:ilvl w:val="0"/>
          <w:numId w:val="1"/>
        </w:numPr>
        <w:shd w:val="clear" w:color="auto" w:fill="FFFFFF"/>
        <w:spacing w:line="360" w:lineRule="auto"/>
        <w:jc w:val="both"/>
        <w:rPr>
          <w:rFonts w:ascii="Arial" w:eastAsia="Times New Roman" w:hAnsi="Arial" w:cs="Arial"/>
          <w:color w:val="222222"/>
          <w:sz w:val="20"/>
          <w:szCs w:val="20"/>
          <w:lang w:eastAsia="fr-FR"/>
        </w:rPr>
      </w:pPr>
      <w:r w:rsidRPr="00DB71BB">
        <w:rPr>
          <w:rFonts w:ascii="Arial" w:hAnsi="Arial" w:cs="Arial"/>
          <w:sz w:val="20"/>
          <w:szCs w:val="20"/>
        </w:rPr>
        <w:t>Prasuhn</w:t>
      </w:r>
      <w:r w:rsidR="004251E6" w:rsidRPr="00DB71BB">
        <w:rPr>
          <w:rFonts w:ascii="Arial" w:hAnsi="Arial" w:cs="Arial"/>
          <w:sz w:val="20"/>
          <w:szCs w:val="20"/>
        </w:rPr>
        <w:t xml:space="preserve">, A., </w:t>
      </w:r>
      <w:r w:rsidRPr="00DB71BB">
        <w:rPr>
          <w:rFonts w:ascii="Arial" w:hAnsi="Arial" w:cs="Arial"/>
          <w:sz w:val="20"/>
          <w:szCs w:val="20"/>
        </w:rPr>
        <w:t>Liniger</w:t>
      </w:r>
      <w:r w:rsidR="004251E6" w:rsidRPr="00DB71BB">
        <w:rPr>
          <w:rFonts w:ascii="Arial" w:hAnsi="Arial" w:cs="Arial"/>
          <w:sz w:val="20"/>
          <w:szCs w:val="20"/>
        </w:rPr>
        <w:t xml:space="preserve">, H., </w:t>
      </w:r>
      <w:r w:rsidRPr="00DB71BB">
        <w:rPr>
          <w:rFonts w:ascii="Arial" w:hAnsi="Arial" w:cs="Arial"/>
          <w:sz w:val="20"/>
          <w:szCs w:val="20"/>
        </w:rPr>
        <w:t>Gisler</w:t>
      </w:r>
      <w:r w:rsidR="004251E6" w:rsidRPr="00DB71BB">
        <w:rPr>
          <w:rFonts w:ascii="Arial" w:hAnsi="Arial" w:cs="Arial"/>
          <w:sz w:val="20"/>
          <w:szCs w:val="20"/>
        </w:rPr>
        <w:t xml:space="preserve">, S., </w:t>
      </w:r>
      <w:r w:rsidRPr="00DB71BB">
        <w:rPr>
          <w:rFonts w:ascii="Arial" w:hAnsi="Arial" w:cs="Arial"/>
          <w:sz w:val="20"/>
          <w:szCs w:val="20"/>
        </w:rPr>
        <w:t>Herweg</w:t>
      </w:r>
      <w:r w:rsidR="004251E6" w:rsidRPr="00DB71BB">
        <w:rPr>
          <w:rFonts w:ascii="Arial" w:hAnsi="Arial" w:cs="Arial"/>
          <w:sz w:val="20"/>
          <w:szCs w:val="20"/>
        </w:rPr>
        <w:t xml:space="preserve">, K., </w:t>
      </w:r>
      <w:proofErr w:type="spellStart"/>
      <w:r w:rsidRPr="00DB71BB">
        <w:rPr>
          <w:rFonts w:ascii="Arial" w:hAnsi="Arial" w:cs="Arial"/>
          <w:sz w:val="20"/>
          <w:szCs w:val="20"/>
        </w:rPr>
        <w:t>Candinas</w:t>
      </w:r>
      <w:proofErr w:type="spellEnd"/>
      <w:r w:rsidR="004251E6" w:rsidRPr="00DB71BB">
        <w:rPr>
          <w:rFonts w:ascii="Arial" w:hAnsi="Arial" w:cs="Arial"/>
          <w:sz w:val="20"/>
          <w:szCs w:val="20"/>
        </w:rPr>
        <w:t xml:space="preserve">, A. &amp; Clément, JP. (2013). </w:t>
      </w:r>
      <w:r w:rsidRPr="00DB71BB">
        <w:rPr>
          <w:rFonts w:ascii="Arial" w:hAnsi="Arial" w:cs="Arial"/>
          <w:sz w:val="20"/>
          <w:szCs w:val="20"/>
        </w:rPr>
        <w:t xml:space="preserve">HAS </w:t>
      </w:r>
      <w:proofErr w:type="spellStart"/>
      <w:r w:rsidRPr="00DB71BB">
        <w:rPr>
          <w:rFonts w:ascii="Arial" w:hAnsi="Arial" w:cs="Arial"/>
          <w:sz w:val="20"/>
          <w:szCs w:val="20"/>
        </w:rPr>
        <w:t>highresolution</w:t>
      </w:r>
      <w:proofErr w:type="spellEnd"/>
      <w:r w:rsidRPr="00DB71BB">
        <w:rPr>
          <w:rFonts w:ascii="Arial" w:hAnsi="Arial" w:cs="Arial"/>
          <w:sz w:val="20"/>
          <w:szCs w:val="20"/>
        </w:rPr>
        <w:t xml:space="preserve"> soil erosion risk map of Switzerland as strategic policy support system. </w:t>
      </w:r>
      <w:r w:rsidRPr="00DB71BB">
        <w:rPr>
          <w:rFonts w:ascii="Arial" w:hAnsi="Arial" w:cs="Arial"/>
          <w:iCs/>
          <w:sz w:val="20"/>
          <w:szCs w:val="20"/>
        </w:rPr>
        <w:t>Land use policy</w:t>
      </w:r>
      <w:r w:rsidRPr="00DB71BB">
        <w:rPr>
          <w:rFonts w:ascii="Arial" w:hAnsi="Arial" w:cs="Arial"/>
          <w:sz w:val="20"/>
          <w:szCs w:val="20"/>
        </w:rPr>
        <w:t>, 32, 281 - 29</w:t>
      </w:r>
      <w:r w:rsidR="002F22F1" w:rsidRPr="002F22F1">
        <w:t xml:space="preserve"> </w:t>
      </w:r>
      <w:hyperlink r:id="rId41" w:history="1">
        <w:r w:rsidR="002F22F1" w:rsidRPr="00DB71BB">
          <w:rPr>
            <w:rStyle w:val="Hyperlink"/>
            <w:rFonts w:ascii="Arial" w:hAnsi="Arial" w:cs="Arial"/>
            <w:sz w:val="20"/>
            <w:szCs w:val="20"/>
          </w:rPr>
          <w:t>https://doi.org/10.1016/j.landusepol.2012.11.006</w:t>
        </w:r>
      </w:hyperlink>
      <w:r w:rsidR="002F22F1" w:rsidRPr="00DB71BB">
        <w:rPr>
          <w:rFonts w:ascii="Arial" w:hAnsi="Arial" w:cs="Arial"/>
          <w:sz w:val="20"/>
          <w:szCs w:val="20"/>
        </w:rPr>
        <w:t xml:space="preserve"> </w:t>
      </w:r>
    </w:p>
    <w:p w14:paraId="70D205AC" w14:textId="56E744DF" w:rsidR="006B2D7A" w:rsidRPr="00DB71BB" w:rsidRDefault="006B2D7A" w:rsidP="00DB71BB">
      <w:pPr>
        <w:pStyle w:val="ListParagraph"/>
        <w:numPr>
          <w:ilvl w:val="0"/>
          <w:numId w:val="1"/>
        </w:numPr>
        <w:spacing w:before="240" w:after="0" w:line="360" w:lineRule="auto"/>
        <w:jc w:val="both"/>
        <w:rPr>
          <w:rFonts w:ascii="Arial" w:hAnsi="Arial" w:cs="Arial"/>
          <w:b/>
          <w:sz w:val="20"/>
          <w:szCs w:val="20"/>
        </w:rPr>
      </w:pPr>
      <w:r w:rsidRPr="00DB71BB">
        <w:rPr>
          <w:rFonts w:ascii="Arial" w:hAnsi="Arial" w:cs="Arial"/>
          <w:sz w:val="20"/>
          <w:szCs w:val="20"/>
        </w:rPr>
        <w:t>Roose</w:t>
      </w:r>
      <w:r w:rsidR="004251E6" w:rsidRPr="00DB71BB">
        <w:rPr>
          <w:rFonts w:ascii="Arial" w:hAnsi="Arial" w:cs="Arial"/>
          <w:sz w:val="20"/>
          <w:szCs w:val="20"/>
        </w:rPr>
        <w:t xml:space="preserve">, E. (1996). Methods for measuring soil surface conditions, roughness, and other characteristics that can aid in field diagnosis of runoff and erosion risks, particularly on cultivated mountain slopes. </w:t>
      </w:r>
      <w:r w:rsidRPr="00DB71BB">
        <w:rPr>
          <w:rFonts w:ascii="Arial" w:hAnsi="Arial" w:cs="Arial"/>
          <w:iCs/>
          <w:sz w:val="20"/>
          <w:szCs w:val="20"/>
        </w:rPr>
        <w:t xml:space="preserve">Erosion Network </w:t>
      </w:r>
      <w:proofErr w:type="gramStart"/>
      <w:r w:rsidRPr="00DB71BB">
        <w:rPr>
          <w:rFonts w:ascii="Arial" w:hAnsi="Arial" w:cs="Arial"/>
          <w:iCs/>
          <w:sz w:val="20"/>
          <w:szCs w:val="20"/>
        </w:rPr>
        <w:t xml:space="preserve">Bulletin </w:t>
      </w:r>
      <w:r w:rsidRPr="00DB71BB">
        <w:rPr>
          <w:rFonts w:ascii="Arial" w:hAnsi="Arial" w:cs="Arial"/>
          <w:sz w:val="20"/>
          <w:szCs w:val="20"/>
        </w:rPr>
        <w:t>,</w:t>
      </w:r>
      <w:proofErr w:type="gramEnd"/>
      <w:r w:rsidRPr="00DB71BB">
        <w:rPr>
          <w:rFonts w:ascii="Arial" w:hAnsi="Arial" w:cs="Arial"/>
          <w:sz w:val="20"/>
          <w:szCs w:val="20"/>
        </w:rPr>
        <w:t xml:space="preserve"> 16, 87-97.</w:t>
      </w:r>
      <w:r w:rsidR="002F22F1" w:rsidRPr="002F22F1">
        <w:t xml:space="preserve"> </w:t>
      </w:r>
      <w:hyperlink r:id="rId42" w:history="1">
        <w:r w:rsidR="002F22F1" w:rsidRPr="00DB71BB">
          <w:rPr>
            <w:rStyle w:val="Hyperlink"/>
            <w:rFonts w:ascii="Arial" w:hAnsi="Arial" w:cs="Arial"/>
            <w:sz w:val="20"/>
            <w:szCs w:val="20"/>
          </w:rPr>
          <w:t>https://horizon.documentation.ird.fr/exl-doc/pleins_textes/pleins_textes_7/b_fdi_45/010009063.pdf</w:t>
        </w:r>
      </w:hyperlink>
      <w:r w:rsidR="002F22F1" w:rsidRPr="00DB71BB">
        <w:rPr>
          <w:rFonts w:ascii="Arial" w:hAnsi="Arial" w:cs="Arial"/>
          <w:sz w:val="20"/>
          <w:szCs w:val="20"/>
        </w:rPr>
        <w:t xml:space="preserve"> </w:t>
      </w:r>
    </w:p>
    <w:p w14:paraId="44308388" w14:textId="3EB692D1"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rPr>
        <w:t xml:space="preserve">Sadiki, A., </w:t>
      </w:r>
      <w:proofErr w:type="spellStart"/>
      <w:proofErr w:type="gramStart"/>
      <w:r w:rsidRPr="00DB71BB">
        <w:rPr>
          <w:rFonts w:ascii="Arial" w:hAnsi="Arial" w:cs="Arial"/>
          <w:sz w:val="20"/>
          <w:szCs w:val="20"/>
        </w:rPr>
        <w:t>Bouhlassa</w:t>
      </w:r>
      <w:proofErr w:type="spellEnd"/>
      <w:r w:rsidRPr="00DB71BB">
        <w:rPr>
          <w:rFonts w:ascii="Arial" w:hAnsi="Arial" w:cs="Arial"/>
          <w:sz w:val="20"/>
          <w:szCs w:val="20"/>
        </w:rPr>
        <w:t xml:space="preserve"> </w:t>
      </w:r>
      <w:r w:rsidR="004251E6" w:rsidRPr="00DB71BB">
        <w:rPr>
          <w:rFonts w:ascii="Arial" w:hAnsi="Arial" w:cs="Arial"/>
          <w:sz w:val="20"/>
          <w:szCs w:val="20"/>
        </w:rPr>
        <w:t>,</w:t>
      </w:r>
      <w:proofErr w:type="gramEnd"/>
      <w:r w:rsidR="004251E6" w:rsidRPr="00DB71BB">
        <w:rPr>
          <w:rFonts w:ascii="Arial" w:hAnsi="Arial" w:cs="Arial"/>
          <w:sz w:val="20"/>
          <w:szCs w:val="20"/>
        </w:rPr>
        <w:t xml:space="preserve"> S., </w:t>
      </w:r>
      <w:proofErr w:type="spellStart"/>
      <w:r w:rsidRPr="00DB71BB">
        <w:rPr>
          <w:rFonts w:ascii="Arial" w:hAnsi="Arial" w:cs="Arial"/>
          <w:sz w:val="20"/>
          <w:szCs w:val="20"/>
        </w:rPr>
        <w:t>Auajjar</w:t>
      </w:r>
      <w:proofErr w:type="spellEnd"/>
      <w:r w:rsidRPr="00DB71BB">
        <w:rPr>
          <w:rFonts w:ascii="Arial" w:hAnsi="Arial" w:cs="Arial"/>
          <w:sz w:val="20"/>
          <w:szCs w:val="20"/>
        </w:rPr>
        <w:t xml:space="preserve"> </w:t>
      </w:r>
      <w:r w:rsidR="004251E6" w:rsidRPr="00DB71BB">
        <w:rPr>
          <w:rFonts w:ascii="Arial" w:hAnsi="Arial" w:cs="Arial"/>
          <w:sz w:val="20"/>
          <w:szCs w:val="20"/>
        </w:rPr>
        <w:t xml:space="preserve">, J., </w:t>
      </w:r>
      <w:r w:rsidRPr="00DB71BB">
        <w:rPr>
          <w:rFonts w:ascii="Arial" w:hAnsi="Arial" w:cs="Arial"/>
          <w:sz w:val="20"/>
          <w:szCs w:val="20"/>
        </w:rPr>
        <w:t xml:space="preserve">Faleh </w:t>
      </w:r>
      <w:r w:rsidR="004251E6" w:rsidRPr="00DB71BB">
        <w:rPr>
          <w:rFonts w:ascii="Arial" w:hAnsi="Arial" w:cs="Arial"/>
          <w:sz w:val="20"/>
          <w:szCs w:val="20"/>
        </w:rPr>
        <w:t xml:space="preserve">, A. &amp; Macaire, </w:t>
      </w:r>
      <w:r w:rsidRPr="00DB71BB">
        <w:rPr>
          <w:rFonts w:ascii="Arial" w:hAnsi="Arial" w:cs="Arial"/>
          <w:sz w:val="20"/>
          <w:szCs w:val="20"/>
        </w:rPr>
        <w:t xml:space="preserve">JJ . (2004). Use of a GIS for the assessment and mapping of erosion risks by the Universal Soil Loss Equation in the Eastern Rif (Morocco): case of the </w:t>
      </w:r>
      <w:proofErr w:type="spellStart"/>
      <w:r w:rsidRPr="00DB71BB">
        <w:rPr>
          <w:rFonts w:ascii="Arial" w:hAnsi="Arial" w:cs="Arial"/>
          <w:sz w:val="20"/>
          <w:szCs w:val="20"/>
        </w:rPr>
        <w:t>Boussouab</w:t>
      </w:r>
      <w:proofErr w:type="spellEnd"/>
      <w:r w:rsidRPr="00DB71BB">
        <w:rPr>
          <w:rFonts w:ascii="Arial" w:hAnsi="Arial" w:cs="Arial"/>
          <w:sz w:val="20"/>
          <w:szCs w:val="20"/>
        </w:rPr>
        <w:t xml:space="preserve"> wadi </w:t>
      </w:r>
      <w:proofErr w:type="gramStart"/>
      <w:r w:rsidRPr="00DB71BB">
        <w:rPr>
          <w:rFonts w:ascii="Arial" w:hAnsi="Arial" w:cs="Arial"/>
          <w:sz w:val="20"/>
          <w:szCs w:val="20"/>
        </w:rPr>
        <w:t xml:space="preserve">catchment </w:t>
      </w:r>
      <w:r w:rsidRPr="00DB71BB">
        <w:rPr>
          <w:rFonts w:ascii="Arial" w:hAnsi="Arial" w:cs="Arial"/>
          <w:i/>
          <w:sz w:val="20"/>
          <w:szCs w:val="20"/>
        </w:rPr>
        <w:t>,</w:t>
      </w:r>
      <w:proofErr w:type="gramEnd"/>
      <w:r w:rsidRPr="00DB71BB">
        <w:rPr>
          <w:rFonts w:ascii="Arial" w:hAnsi="Arial" w:cs="Arial"/>
          <w:i/>
          <w:sz w:val="20"/>
          <w:szCs w:val="20"/>
        </w:rPr>
        <w:t xml:space="preserve"> </w:t>
      </w:r>
      <w:r w:rsidRPr="00DB71BB">
        <w:rPr>
          <w:rFonts w:ascii="Arial" w:hAnsi="Arial" w:cs="Arial"/>
          <w:iCs/>
          <w:sz w:val="20"/>
          <w:szCs w:val="20"/>
        </w:rPr>
        <w:t xml:space="preserve">Bulletin of the Scientific Institute, Rabat, Earth Sciences section </w:t>
      </w:r>
      <w:r w:rsidRPr="00DB71BB">
        <w:rPr>
          <w:rFonts w:ascii="Arial" w:hAnsi="Arial" w:cs="Arial"/>
          <w:i/>
          <w:sz w:val="20"/>
          <w:szCs w:val="20"/>
        </w:rPr>
        <w:t xml:space="preserve">, </w:t>
      </w:r>
      <w:r w:rsidRPr="00DB71BB">
        <w:rPr>
          <w:rFonts w:ascii="Arial" w:hAnsi="Arial" w:cs="Arial"/>
          <w:sz w:val="20"/>
          <w:szCs w:val="20"/>
        </w:rPr>
        <w:t>26, 69-79.</w:t>
      </w:r>
      <w:r w:rsidR="002F22F1" w:rsidRPr="002F22F1">
        <w:t xml:space="preserve"> </w:t>
      </w:r>
      <w:hyperlink r:id="rId43" w:history="1">
        <w:r w:rsidR="002F22F1" w:rsidRPr="00DB71BB">
          <w:rPr>
            <w:rStyle w:val="Hyperlink"/>
            <w:rFonts w:ascii="Arial" w:hAnsi="Arial" w:cs="Arial"/>
            <w:sz w:val="20"/>
            <w:szCs w:val="20"/>
          </w:rPr>
          <w:t>https://www.researchgate.net/publication/262799307_Utilisation_d%27un_SIG_dans_la_cartographie_et_l%27evaluation_des_risques_d%27erosionExemple_le_bassin_versant_de_l%27oued_Boussouab_Rif_oriental</w:t>
        </w:r>
      </w:hyperlink>
      <w:r w:rsidR="002F22F1" w:rsidRPr="00DB71BB">
        <w:rPr>
          <w:rFonts w:ascii="Arial" w:hAnsi="Arial" w:cs="Arial"/>
          <w:sz w:val="20"/>
          <w:szCs w:val="20"/>
        </w:rPr>
        <w:t xml:space="preserve"> </w:t>
      </w:r>
    </w:p>
    <w:p w14:paraId="1432CF8D" w14:textId="1C8A06E7" w:rsidR="006B2D7A" w:rsidRPr="00DB71BB" w:rsidRDefault="006B2D7A" w:rsidP="00DB71BB">
      <w:pPr>
        <w:pStyle w:val="ListParagraph"/>
        <w:numPr>
          <w:ilvl w:val="0"/>
          <w:numId w:val="1"/>
        </w:numPr>
        <w:spacing w:before="240" w:after="0" w:line="360" w:lineRule="auto"/>
        <w:jc w:val="both"/>
        <w:rPr>
          <w:rFonts w:ascii="Arial" w:hAnsi="Arial" w:cs="Arial"/>
          <w:i/>
          <w:sz w:val="20"/>
          <w:szCs w:val="20"/>
        </w:rPr>
      </w:pPr>
      <w:r w:rsidRPr="00DB71BB">
        <w:rPr>
          <w:rFonts w:ascii="Arial" w:hAnsi="Arial" w:cs="Arial"/>
          <w:sz w:val="20"/>
          <w:szCs w:val="20"/>
        </w:rPr>
        <w:t>Sako, NG., Beltrando</w:t>
      </w:r>
      <w:r w:rsidR="004251E6" w:rsidRPr="00DB71BB">
        <w:rPr>
          <w:rFonts w:ascii="Arial" w:hAnsi="Arial" w:cs="Arial"/>
          <w:sz w:val="20"/>
          <w:szCs w:val="20"/>
        </w:rPr>
        <w:t xml:space="preserve">, </w:t>
      </w:r>
      <w:r w:rsidRPr="00DB71BB">
        <w:rPr>
          <w:rFonts w:ascii="Arial" w:hAnsi="Arial" w:cs="Arial"/>
          <w:sz w:val="20"/>
          <w:szCs w:val="20"/>
        </w:rPr>
        <w:t xml:space="preserve">GL., Atta, HD., N'Da, T. &amp; Brou. (2013). Forest dynamics and urban pressure in Banco National Park (Abidjan, Côte d'Ivoire). </w:t>
      </w:r>
      <w:r w:rsidRPr="00DB71BB">
        <w:rPr>
          <w:rFonts w:ascii="Arial" w:hAnsi="Arial" w:cs="Arial"/>
          <w:iCs/>
          <w:sz w:val="20"/>
          <w:szCs w:val="20"/>
        </w:rPr>
        <w:t xml:space="preserve">Environmental </w:t>
      </w:r>
      <w:proofErr w:type="gramStart"/>
      <w:r w:rsidRPr="00DB71BB">
        <w:rPr>
          <w:rFonts w:ascii="Arial" w:hAnsi="Arial" w:cs="Arial"/>
          <w:iCs/>
          <w:sz w:val="20"/>
          <w:szCs w:val="20"/>
        </w:rPr>
        <w:t xml:space="preserve">Controversies </w:t>
      </w:r>
      <w:r w:rsidRPr="00DB71BB">
        <w:rPr>
          <w:rFonts w:ascii="Arial" w:hAnsi="Arial" w:cs="Arial"/>
          <w:i/>
          <w:sz w:val="20"/>
          <w:szCs w:val="20"/>
        </w:rPr>
        <w:t>,</w:t>
      </w:r>
      <w:proofErr w:type="gramEnd"/>
      <w:r w:rsidRPr="00DB71BB">
        <w:rPr>
          <w:rFonts w:ascii="Arial" w:hAnsi="Arial" w:cs="Arial"/>
          <w:i/>
          <w:sz w:val="20"/>
          <w:szCs w:val="20"/>
        </w:rPr>
        <w:t xml:space="preserve"> </w:t>
      </w:r>
      <w:r w:rsidRPr="00DB71BB">
        <w:rPr>
          <w:rFonts w:ascii="Arial" w:hAnsi="Arial" w:cs="Arial"/>
          <w:sz w:val="20"/>
          <w:szCs w:val="20"/>
        </w:rPr>
        <w:t>(13)2, 1-23.</w:t>
      </w:r>
      <w:r w:rsidR="002F22F1" w:rsidRPr="002F22F1">
        <w:t xml:space="preserve"> </w:t>
      </w:r>
      <w:hyperlink r:id="rId44" w:history="1">
        <w:r w:rsidR="002F22F1" w:rsidRPr="00DB71BB">
          <w:rPr>
            <w:rStyle w:val="Hyperlink"/>
            <w:rFonts w:ascii="Arial" w:hAnsi="Arial" w:cs="Arial"/>
            <w:sz w:val="20"/>
            <w:szCs w:val="20"/>
          </w:rPr>
          <w:t>https://doi.org/10.4000/vertigo.14127</w:t>
        </w:r>
      </w:hyperlink>
      <w:r w:rsidR="002F22F1" w:rsidRPr="00DB71BB">
        <w:rPr>
          <w:rFonts w:ascii="Arial" w:hAnsi="Arial" w:cs="Arial"/>
          <w:sz w:val="20"/>
          <w:szCs w:val="20"/>
        </w:rPr>
        <w:t xml:space="preserve"> </w:t>
      </w:r>
    </w:p>
    <w:p w14:paraId="7C511136" w14:textId="0D9C3822" w:rsidR="006B2D7A" w:rsidRPr="00DB71BB" w:rsidRDefault="006B2D7A" w:rsidP="00DB71BB">
      <w:pPr>
        <w:pStyle w:val="ListParagraph"/>
        <w:numPr>
          <w:ilvl w:val="0"/>
          <w:numId w:val="1"/>
        </w:numPr>
        <w:spacing w:before="240" w:after="0" w:line="360" w:lineRule="auto"/>
        <w:jc w:val="both"/>
        <w:rPr>
          <w:rFonts w:ascii="Arial" w:hAnsi="Arial" w:cs="Arial"/>
          <w:sz w:val="20"/>
          <w:szCs w:val="20"/>
          <w:lang w:val="pt-BR"/>
        </w:rPr>
      </w:pPr>
      <w:proofErr w:type="spellStart"/>
      <w:r w:rsidRPr="00DB71BB">
        <w:rPr>
          <w:rFonts w:ascii="Arial" w:hAnsi="Arial" w:cs="Arial"/>
          <w:sz w:val="20"/>
          <w:szCs w:val="20"/>
        </w:rPr>
        <w:t>Sùri</w:t>
      </w:r>
      <w:proofErr w:type="spellEnd"/>
      <w:r w:rsidR="004251E6" w:rsidRPr="00DB71BB">
        <w:rPr>
          <w:rFonts w:ascii="Arial" w:hAnsi="Arial" w:cs="Arial"/>
          <w:sz w:val="20"/>
          <w:szCs w:val="20"/>
        </w:rPr>
        <w:t xml:space="preserve">, M., </w:t>
      </w:r>
      <w:r w:rsidRPr="00DB71BB">
        <w:rPr>
          <w:rFonts w:ascii="Arial" w:hAnsi="Arial" w:cs="Arial"/>
          <w:sz w:val="20"/>
          <w:szCs w:val="20"/>
        </w:rPr>
        <w:t>Cebecauer</w:t>
      </w:r>
      <w:r w:rsidR="004251E6" w:rsidRPr="00DB71BB">
        <w:rPr>
          <w:rFonts w:ascii="Arial" w:hAnsi="Arial" w:cs="Arial"/>
          <w:sz w:val="20"/>
          <w:szCs w:val="20"/>
        </w:rPr>
        <w:t xml:space="preserve">, T., </w:t>
      </w:r>
      <w:proofErr w:type="spellStart"/>
      <w:r w:rsidRPr="00DB71BB">
        <w:rPr>
          <w:rFonts w:ascii="Arial" w:hAnsi="Arial" w:cs="Arial"/>
          <w:sz w:val="20"/>
          <w:szCs w:val="20"/>
        </w:rPr>
        <w:t>Hofierka</w:t>
      </w:r>
      <w:proofErr w:type="spellEnd"/>
      <w:r w:rsidR="004251E6" w:rsidRPr="00DB71BB">
        <w:rPr>
          <w:rFonts w:ascii="Arial" w:hAnsi="Arial" w:cs="Arial"/>
          <w:sz w:val="20"/>
          <w:szCs w:val="20"/>
        </w:rPr>
        <w:t xml:space="preserve">, J. &amp; </w:t>
      </w:r>
      <w:r w:rsidRPr="00DB71BB">
        <w:rPr>
          <w:rFonts w:ascii="Arial" w:hAnsi="Arial" w:cs="Arial"/>
          <w:sz w:val="20"/>
          <w:szCs w:val="20"/>
        </w:rPr>
        <w:t>Fulajtár</w:t>
      </w:r>
      <w:r w:rsidR="004251E6" w:rsidRPr="00DB71BB">
        <w:rPr>
          <w:rFonts w:ascii="Arial" w:hAnsi="Arial" w:cs="Arial"/>
          <w:sz w:val="20"/>
          <w:szCs w:val="20"/>
        </w:rPr>
        <w:t>, E</w:t>
      </w:r>
      <w:r w:rsidRPr="00DB71BB">
        <w:rPr>
          <w:rFonts w:ascii="Arial" w:hAnsi="Arial" w:cs="Arial"/>
          <w:b/>
          <w:sz w:val="20"/>
          <w:szCs w:val="20"/>
        </w:rPr>
        <w:t xml:space="preserve">. </w:t>
      </w:r>
      <w:r w:rsidRPr="00DB71BB">
        <w:rPr>
          <w:rFonts w:ascii="Arial" w:hAnsi="Arial" w:cs="Arial"/>
          <w:sz w:val="20"/>
          <w:szCs w:val="20"/>
        </w:rPr>
        <w:t xml:space="preserve">(2002). Soil erosion assessment of Slovakia at a regional scale using GIS. </w:t>
      </w:r>
      <w:r w:rsidRPr="00DB71BB">
        <w:rPr>
          <w:rFonts w:ascii="Arial" w:hAnsi="Arial" w:cs="Arial"/>
          <w:iCs/>
          <w:sz w:val="20"/>
          <w:szCs w:val="20"/>
          <w:lang w:val="pt-BR"/>
        </w:rPr>
        <w:t xml:space="preserve">Ekológia (Bratislava) </w:t>
      </w:r>
      <w:r w:rsidRPr="00DB71BB">
        <w:rPr>
          <w:rFonts w:ascii="Arial" w:hAnsi="Arial" w:cs="Arial"/>
          <w:sz w:val="20"/>
          <w:szCs w:val="20"/>
          <w:lang w:val="pt-BR"/>
        </w:rPr>
        <w:t>, 21, 404-422.</w:t>
      </w:r>
      <w:r w:rsidR="002F22F1" w:rsidRPr="00DB71BB">
        <w:rPr>
          <w:lang w:val="pt-BR"/>
        </w:rPr>
        <w:t xml:space="preserve"> </w:t>
      </w:r>
      <w:r w:rsidR="00714726">
        <w:fldChar w:fldCharType="begin"/>
      </w:r>
      <w:r w:rsidR="00714726">
        <w:instrText xml:space="preserve"> HYPERLINK "https://www.uke.sav.sk/index.php?id=377" </w:instrText>
      </w:r>
      <w:r w:rsidR="00714726">
        <w:fldChar w:fldCharType="separate"/>
      </w:r>
      <w:r w:rsidR="002F22F1" w:rsidRPr="00DB71BB">
        <w:rPr>
          <w:rStyle w:val="Hyperlink"/>
          <w:rFonts w:ascii="Arial" w:hAnsi="Arial" w:cs="Arial"/>
          <w:sz w:val="20"/>
          <w:szCs w:val="20"/>
          <w:lang w:val="pt-BR"/>
        </w:rPr>
        <w:t>https://www.uke.sav.sk/index.php?id=377</w:t>
      </w:r>
      <w:r w:rsidR="00714726" w:rsidRPr="00DB71BB">
        <w:rPr>
          <w:rStyle w:val="Hyperlink"/>
          <w:rFonts w:ascii="Arial" w:hAnsi="Arial" w:cs="Arial"/>
          <w:sz w:val="20"/>
          <w:szCs w:val="20"/>
          <w:lang w:val="pt-BR"/>
        </w:rPr>
        <w:fldChar w:fldCharType="end"/>
      </w:r>
      <w:r w:rsidR="002F22F1" w:rsidRPr="00DB71BB">
        <w:rPr>
          <w:rFonts w:ascii="Arial" w:hAnsi="Arial" w:cs="Arial"/>
          <w:sz w:val="20"/>
          <w:szCs w:val="20"/>
          <w:lang w:val="pt-BR"/>
        </w:rPr>
        <w:t xml:space="preserve"> </w:t>
      </w:r>
    </w:p>
    <w:p w14:paraId="4D0E3F46" w14:textId="5D66EA59" w:rsidR="006B2D7A" w:rsidRPr="00DB71BB" w:rsidRDefault="006B2D7A" w:rsidP="00DB71BB">
      <w:pPr>
        <w:pStyle w:val="ListParagraph"/>
        <w:numPr>
          <w:ilvl w:val="0"/>
          <w:numId w:val="1"/>
        </w:numPr>
        <w:spacing w:before="240" w:after="0" w:line="360" w:lineRule="auto"/>
        <w:jc w:val="both"/>
        <w:rPr>
          <w:rFonts w:ascii="Arial" w:hAnsi="Arial" w:cs="Arial"/>
          <w:sz w:val="20"/>
          <w:szCs w:val="20"/>
          <w:lang w:val="en-US"/>
        </w:rPr>
      </w:pPr>
      <w:proofErr w:type="spellStart"/>
      <w:r w:rsidRPr="00DB71BB">
        <w:rPr>
          <w:rFonts w:ascii="Arial" w:hAnsi="Arial" w:cs="Arial"/>
          <w:sz w:val="20"/>
          <w:szCs w:val="20"/>
          <w:lang w:val="fr-FR"/>
        </w:rPr>
        <w:t>Toyi</w:t>
      </w:r>
      <w:proofErr w:type="spellEnd"/>
      <w:r w:rsidR="004251E6" w:rsidRPr="00DB71BB">
        <w:rPr>
          <w:rFonts w:ascii="Arial" w:hAnsi="Arial" w:cs="Arial"/>
          <w:sz w:val="20"/>
          <w:szCs w:val="20"/>
          <w:lang w:val="fr-FR"/>
        </w:rPr>
        <w:t xml:space="preserve">, </w:t>
      </w:r>
      <w:r w:rsidRPr="00DB71BB">
        <w:rPr>
          <w:rFonts w:ascii="Arial" w:hAnsi="Arial" w:cs="Arial"/>
          <w:sz w:val="20"/>
          <w:szCs w:val="20"/>
          <w:lang w:val="fr-FR"/>
        </w:rPr>
        <w:t xml:space="preserve">MS, </w:t>
      </w:r>
      <w:proofErr w:type="spellStart"/>
      <w:r w:rsidRPr="00DB71BB">
        <w:rPr>
          <w:rFonts w:ascii="Arial" w:hAnsi="Arial" w:cs="Arial"/>
          <w:sz w:val="20"/>
          <w:szCs w:val="20"/>
          <w:lang w:val="fr-FR"/>
        </w:rPr>
        <w:t>Barima</w:t>
      </w:r>
      <w:proofErr w:type="spellEnd"/>
      <w:r w:rsidRPr="00DB71BB">
        <w:rPr>
          <w:rFonts w:ascii="Arial" w:hAnsi="Arial" w:cs="Arial"/>
          <w:sz w:val="20"/>
          <w:szCs w:val="20"/>
          <w:lang w:val="fr-FR"/>
        </w:rPr>
        <w:t xml:space="preserve">, </w:t>
      </w:r>
      <w:r w:rsidR="004251E6" w:rsidRPr="00DB71BB">
        <w:rPr>
          <w:rFonts w:ascii="Arial" w:hAnsi="Arial" w:cs="Arial"/>
          <w:sz w:val="20"/>
          <w:szCs w:val="20"/>
          <w:lang w:val="fr-FR"/>
        </w:rPr>
        <w:t xml:space="preserve">YSS., Mama, A., André, M., </w:t>
      </w:r>
      <w:proofErr w:type="spellStart"/>
      <w:r w:rsidRPr="00DB71BB">
        <w:rPr>
          <w:rFonts w:ascii="Arial" w:hAnsi="Arial" w:cs="Arial"/>
          <w:sz w:val="20"/>
          <w:szCs w:val="20"/>
          <w:lang w:val="fr-FR"/>
        </w:rPr>
        <w:t>Bastin</w:t>
      </w:r>
      <w:proofErr w:type="spellEnd"/>
      <w:r w:rsidRPr="00DB71BB">
        <w:rPr>
          <w:rFonts w:ascii="Arial" w:hAnsi="Arial" w:cs="Arial"/>
          <w:sz w:val="20"/>
          <w:szCs w:val="20"/>
          <w:lang w:val="fr-FR"/>
        </w:rPr>
        <w:t xml:space="preserve">, JF., De Cannière, C. et al. </w:t>
      </w:r>
      <w:r w:rsidR="004251E6" w:rsidRPr="00DB71BB">
        <w:rPr>
          <w:rFonts w:ascii="Arial" w:hAnsi="Arial" w:cs="Arial"/>
          <w:sz w:val="20"/>
          <w:szCs w:val="20"/>
          <w:lang w:val="en-US"/>
        </w:rPr>
        <w:t xml:space="preserve">(2013). Tree Plantation Will Not Compensate Natural Woody Vegetation Cover Loss in the Atlantic Department of Southern Benin. </w:t>
      </w:r>
      <w:proofErr w:type="spellStart"/>
      <w:r w:rsidRPr="00DB71BB">
        <w:rPr>
          <w:rFonts w:ascii="Arial" w:hAnsi="Arial" w:cs="Arial"/>
          <w:sz w:val="20"/>
          <w:szCs w:val="20"/>
          <w:lang w:val="en-US"/>
        </w:rPr>
        <w:t>Tropicultura</w:t>
      </w:r>
      <w:proofErr w:type="spellEnd"/>
      <w:r w:rsidRPr="00DB71BB">
        <w:rPr>
          <w:rFonts w:ascii="Arial" w:hAnsi="Arial" w:cs="Arial"/>
          <w:sz w:val="20"/>
          <w:szCs w:val="20"/>
          <w:lang w:val="en-US"/>
        </w:rPr>
        <w:t>, 31, 62 70.</w:t>
      </w:r>
      <w:r w:rsidR="002F22F1" w:rsidRPr="002F22F1">
        <w:t xml:space="preserve"> </w:t>
      </w:r>
      <w:hyperlink r:id="rId45" w:history="1">
        <w:r w:rsidR="002F22F1" w:rsidRPr="00DB71BB">
          <w:rPr>
            <w:rStyle w:val="Hyperlink"/>
            <w:rFonts w:ascii="Arial" w:hAnsi="Arial" w:cs="Arial"/>
            <w:sz w:val="20"/>
            <w:szCs w:val="20"/>
            <w:lang w:val="en-US"/>
          </w:rPr>
          <w:t>https://hdl.handle.net/2268/160471</w:t>
        </w:r>
      </w:hyperlink>
      <w:r w:rsidR="002F22F1" w:rsidRPr="00DB71BB">
        <w:rPr>
          <w:rFonts w:ascii="Arial" w:hAnsi="Arial" w:cs="Arial"/>
          <w:sz w:val="20"/>
          <w:szCs w:val="20"/>
          <w:lang w:val="en-US"/>
        </w:rPr>
        <w:t xml:space="preserve"> </w:t>
      </w:r>
    </w:p>
    <w:p w14:paraId="369E479B" w14:textId="1FDDE152" w:rsidR="006B2D7A" w:rsidRPr="00DB71BB" w:rsidRDefault="006B2D7A" w:rsidP="00DB71BB">
      <w:pPr>
        <w:pStyle w:val="ListParagraph"/>
        <w:numPr>
          <w:ilvl w:val="0"/>
          <w:numId w:val="1"/>
        </w:numPr>
        <w:spacing w:before="240" w:after="0" w:line="360" w:lineRule="auto"/>
        <w:jc w:val="both"/>
        <w:rPr>
          <w:rFonts w:ascii="Arial" w:hAnsi="Arial" w:cs="Arial"/>
          <w:sz w:val="20"/>
          <w:szCs w:val="20"/>
        </w:rPr>
      </w:pPr>
      <w:r w:rsidRPr="00DB71BB">
        <w:rPr>
          <w:rFonts w:ascii="Arial" w:hAnsi="Arial" w:cs="Arial"/>
          <w:sz w:val="20"/>
          <w:szCs w:val="20"/>
          <w:lang w:val="en-US"/>
        </w:rPr>
        <w:lastRenderedPageBreak/>
        <w:t xml:space="preserve">Wall, JM, Krider, MM, Krewson, CF, Eddy, CR, Willaman, JJ, Corell, DS </w:t>
      </w:r>
      <w:r w:rsidRPr="00DB71BB">
        <w:rPr>
          <w:rFonts w:ascii="Arial" w:hAnsi="Arial" w:cs="Arial"/>
          <w:sz w:val="20"/>
          <w:szCs w:val="20"/>
        </w:rPr>
        <w:t>&amp; Gentry, HS (1954). Steroidal sapogenins VII.</w:t>
      </w:r>
      <w:r w:rsidR="005F0B36" w:rsidRPr="00DB71BB">
        <w:rPr>
          <w:rFonts w:ascii="Arial" w:hAnsi="Arial" w:cs="Arial"/>
          <w:sz w:val="20"/>
          <w:szCs w:val="20"/>
        </w:rPr>
        <w:t xml:space="preserve"> </w:t>
      </w:r>
      <w:r w:rsidRPr="00DB71BB">
        <w:rPr>
          <w:rFonts w:ascii="Arial" w:hAnsi="Arial" w:cs="Arial"/>
          <w:sz w:val="20"/>
          <w:szCs w:val="20"/>
        </w:rPr>
        <w:t xml:space="preserve">Survey of plants for </w:t>
      </w:r>
      <w:proofErr w:type="spellStart"/>
      <w:r w:rsidRPr="00DB71BB">
        <w:rPr>
          <w:rFonts w:ascii="Arial" w:hAnsi="Arial" w:cs="Arial"/>
          <w:sz w:val="20"/>
          <w:szCs w:val="20"/>
        </w:rPr>
        <w:t>steroi</w:t>
      </w:r>
      <w:proofErr w:type="spellEnd"/>
      <w:r w:rsidRPr="00DB71BB">
        <w:rPr>
          <w:rFonts w:ascii="Arial" w:hAnsi="Arial" w:cs="Arial"/>
          <w:sz w:val="20"/>
          <w:szCs w:val="20"/>
        </w:rPr>
        <w:t xml:space="preserve"> -dal sapogenins and others </w:t>
      </w:r>
      <w:proofErr w:type="gramStart"/>
      <w:r w:rsidRPr="00DB71BB">
        <w:rPr>
          <w:rFonts w:ascii="Arial" w:hAnsi="Arial" w:cs="Arial"/>
          <w:sz w:val="20"/>
          <w:szCs w:val="20"/>
        </w:rPr>
        <w:t>constitute .</w:t>
      </w:r>
      <w:proofErr w:type="gramEnd"/>
      <w:r w:rsidRPr="00DB71BB">
        <w:rPr>
          <w:rFonts w:ascii="Arial" w:hAnsi="Arial" w:cs="Arial"/>
          <w:sz w:val="20"/>
          <w:szCs w:val="20"/>
        </w:rPr>
        <w:t xml:space="preserve"> </w:t>
      </w:r>
      <w:r w:rsidRPr="00DB71BB">
        <w:rPr>
          <w:rFonts w:ascii="Arial" w:hAnsi="Arial" w:cs="Arial"/>
          <w:iCs/>
          <w:sz w:val="20"/>
          <w:szCs w:val="20"/>
        </w:rPr>
        <w:t>Journal of the American Pharmacists Associations</w:t>
      </w:r>
      <w:r w:rsidRPr="00DB71BB">
        <w:rPr>
          <w:rFonts w:ascii="Arial" w:hAnsi="Arial" w:cs="Arial"/>
          <w:i/>
          <w:sz w:val="20"/>
          <w:szCs w:val="20"/>
        </w:rPr>
        <w:t xml:space="preserve">, </w:t>
      </w:r>
      <w:r w:rsidRPr="00DB71BB">
        <w:rPr>
          <w:rFonts w:ascii="Arial" w:hAnsi="Arial" w:cs="Arial"/>
          <w:sz w:val="20"/>
          <w:szCs w:val="20"/>
        </w:rPr>
        <w:t>63, 1-7.</w:t>
      </w:r>
      <w:r w:rsidR="002F22F1" w:rsidRPr="002F22F1">
        <w:t xml:space="preserve"> </w:t>
      </w:r>
      <w:hyperlink r:id="rId46" w:history="1">
        <w:r w:rsidR="002F22F1" w:rsidRPr="00DB71BB">
          <w:rPr>
            <w:rStyle w:val="Hyperlink"/>
            <w:rFonts w:ascii="Arial" w:hAnsi="Arial" w:cs="Arial"/>
            <w:sz w:val="20"/>
            <w:szCs w:val="20"/>
          </w:rPr>
          <w:t>https://doi.org/10.1002/jps.3030430102</w:t>
        </w:r>
      </w:hyperlink>
      <w:r w:rsidR="002F22F1" w:rsidRPr="00DB71BB">
        <w:rPr>
          <w:rFonts w:ascii="Arial" w:hAnsi="Arial" w:cs="Arial"/>
          <w:sz w:val="20"/>
          <w:szCs w:val="20"/>
        </w:rPr>
        <w:t xml:space="preserve"> </w:t>
      </w:r>
    </w:p>
    <w:p w14:paraId="712DE3B7" w14:textId="039B4E08" w:rsidR="006B2D7A" w:rsidRPr="00DB71BB" w:rsidRDefault="006B2D7A" w:rsidP="00DB71BB">
      <w:pPr>
        <w:pStyle w:val="ListParagraph"/>
        <w:numPr>
          <w:ilvl w:val="0"/>
          <w:numId w:val="1"/>
        </w:numPr>
        <w:spacing w:before="240" w:line="360" w:lineRule="auto"/>
        <w:jc w:val="both"/>
        <w:rPr>
          <w:rFonts w:ascii="Arial" w:hAnsi="Arial" w:cs="Arial"/>
          <w:sz w:val="20"/>
          <w:szCs w:val="20"/>
        </w:rPr>
      </w:pPr>
      <w:proofErr w:type="spellStart"/>
      <w:r w:rsidRPr="00DB71BB">
        <w:rPr>
          <w:rFonts w:ascii="Arial" w:hAnsi="Arial" w:cs="Arial"/>
          <w:sz w:val="20"/>
          <w:szCs w:val="20"/>
        </w:rPr>
        <w:t>Wishmeier</w:t>
      </w:r>
      <w:proofErr w:type="spellEnd"/>
      <w:r w:rsidR="004251E6" w:rsidRPr="00DB71BB">
        <w:rPr>
          <w:rFonts w:ascii="Arial" w:hAnsi="Arial" w:cs="Arial"/>
          <w:sz w:val="20"/>
          <w:szCs w:val="20"/>
        </w:rPr>
        <w:t xml:space="preserve">, </w:t>
      </w:r>
      <w:r w:rsidRPr="00DB71BB">
        <w:rPr>
          <w:rFonts w:ascii="Arial" w:hAnsi="Arial" w:cs="Arial"/>
          <w:sz w:val="20"/>
          <w:szCs w:val="20"/>
        </w:rPr>
        <w:t xml:space="preserve">W.H. &amp; Smith, D. (1978). Predicting rainfall erosion losses, a guide to conservation planning. </w:t>
      </w:r>
      <w:r w:rsidRPr="00DB71BB">
        <w:rPr>
          <w:rFonts w:ascii="Arial" w:hAnsi="Arial" w:cs="Arial"/>
          <w:iCs/>
          <w:sz w:val="20"/>
          <w:szCs w:val="20"/>
        </w:rPr>
        <w:t>Agriculture Handbook</w:t>
      </w:r>
      <w:r w:rsidRPr="00DB71BB">
        <w:rPr>
          <w:rFonts w:ascii="Arial" w:hAnsi="Arial" w:cs="Arial"/>
          <w:sz w:val="20"/>
          <w:szCs w:val="20"/>
        </w:rPr>
        <w:t>, 537, 1-58.</w:t>
      </w:r>
    </w:p>
    <w:p w14:paraId="0885DE97" w14:textId="78218877" w:rsidR="006B2D7A" w:rsidRPr="00DB71BB" w:rsidRDefault="006B2D7A" w:rsidP="00DB71BB">
      <w:pPr>
        <w:pStyle w:val="ListParagraph"/>
        <w:numPr>
          <w:ilvl w:val="0"/>
          <w:numId w:val="1"/>
        </w:numPr>
        <w:spacing w:line="360" w:lineRule="auto"/>
        <w:jc w:val="both"/>
        <w:rPr>
          <w:rFonts w:ascii="Arial" w:hAnsi="Arial" w:cs="Arial"/>
          <w:sz w:val="20"/>
          <w:szCs w:val="20"/>
        </w:rPr>
      </w:pPr>
      <w:r w:rsidRPr="00DB71BB">
        <w:rPr>
          <w:rFonts w:ascii="Arial" w:hAnsi="Arial" w:cs="Arial"/>
          <w:sz w:val="20"/>
          <w:szCs w:val="20"/>
        </w:rPr>
        <w:t>Zhou, P., Luukkanen</w:t>
      </w:r>
      <w:r w:rsidR="003E560C" w:rsidRPr="00DB71BB">
        <w:rPr>
          <w:rFonts w:ascii="Arial" w:hAnsi="Arial" w:cs="Arial"/>
          <w:sz w:val="20"/>
          <w:szCs w:val="20"/>
        </w:rPr>
        <w:t xml:space="preserve">, O., </w:t>
      </w:r>
      <w:r w:rsidRPr="00DB71BB">
        <w:rPr>
          <w:rFonts w:ascii="Arial" w:hAnsi="Arial" w:cs="Arial"/>
          <w:sz w:val="20"/>
          <w:szCs w:val="20"/>
        </w:rPr>
        <w:t>Tokola, T. &amp; Nieminen, J. (2008). Effect of vegetation cover on soil erosion in a mountainous watershed</w:t>
      </w:r>
      <w:r w:rsidRPr="00DB71BB">
        <w:rPr>
          <w:rFonts w:ascii="Arial" w:hAnsi="Arial" w:cs="Arial"/>
          <w:i/>
          <w:sz w:val="20"/>
          <w:szCs w:val="20"/>
        </w:rPr>
        <w:t xml:space="preserve">. </w:t>
      </w:r>
      <w:r w:rsidRPr="00DB71BB">
        <w:rPr>
          <w:rFonts w:ascii="Arial" w:hAnsi="Arial" w:cs="Arial"/>
          <w:iCs/>
          <w:sz w:val="20"/>
          <w:szCs w:val="20"/>
        </w:rPr>
        <w:t>Catena</w:t>
      </w:r>
      <w:r w:rsidRPr="00DB71BB">
        <w:rPr>
          <w:rFonts w:ascii="Arial" w:hAnsi="Arial" w:cs="Arial"/>
          <w:i/>
          <w:sz w:val="20"/>
          <w:szCs w:val="20"/>
        </w:rPr>
        <w:t xml:space="preserve">, </w:t>
      </w:r>
      <w:r w:rsidRPr="00DB71BB">
        <w:rPr>
          <w:rFonts w:ascii="Arial" w:hAnsi="Arial" w:cs="Arial"/>
          <w:sz w:val="20"/>
          <w:szCs w:val="20"/>
        </w:rPr>
        <w:t>75: 319-325.</w:t>
      </w:r>
      <w:r w:rsidR="002F22F1" w:rsidRPr="002F22F1">
        <w:t xml:space="preserve"> </w:t>
      </w:r>
      <w:hyperlink r:id="rId47" w:history="1">
        <w:r w:rsidR="002F22F1" w:rsidRPr="00DB71BB">
          <w:rPr>
            <w:rStyle w:val="Hyperlink"/>
            <w:rFonts w:ascii="Arial" w:hAnsi="Arial" w:cs="Arial"/>
            <w:sz w:val="20"/>
            <w:szCs w:val="20"/>
          </w:rPr>
          <w:t>https://doi.org/10.1016/j.catena.2008.07.010</w:t>
        </w:r>
      </w:hyperlink>
      <w:r w:rsidR="002F22F1" w:rsidRPr="00DB71BB">
        <w:rPr>
          <w:rFonts w:ascii="Arial" w:hAnsi="Arial" w:cs="Arial"/>
          <w:sz w:val="20"/>
          <w:szCs w:val="20"/>
        </w:rPr>
        <w:t xml:space="preserve"> </w:t>
      </w:r>
    </w:p>
    <w:p w14:paraId="12B90B1E" w14:textId="59D53AE7" w:rsidR="006B2D7A" w:rsidRPr="00DB71BB" w:rsidRDefault="0083180D" w:rsidP="00DB71BB">
      <w:pPr>
        <w:pStyle w:val="ListParagraph"/>
        <w:numPr>
          <w:ilvl w:val="0"/>
          <w:numId w:val="1"/>
        </w:numPr>
        <w:rPr>
          <w:rFonts w:ascii="Arial" w:hAnsi="Arial" w:cs="Arial"/>
          <w:b/>
          <w:sz w:val="20"/>
          <w:szCs w:val="20"/>
        </w:rPr>
      </w:pPr>
      <w:r w:rsidRPr="00DB71BB">
        <w:rPr>
          <w:rFonts w:ascii="Arial" w:hAnsi="Arial" w:cs="Arial"/>
          <w:color w:val="222222"/>
          <w:sz w:val="20"/>
          <w:szCs w:val="20"/>
          <w:highlight w:val="yellow"/>
          <w:shd w:val="clear" w:color="auto" w:fill="FFFFFF"/>
        </w:rPr>
        <w:t xml:space="preserve">Guo, Z., Yan, Z., He, R., Yang, H., Ci, H., &amp; Wang, R. (2024). Impacts of Land Use Conversion on Soil Erosion in the Urban Agglomeration on the Northern Slopes of the </w:t>
      </w:r>
      <w:proofErr w:type="spellStart"/>
      <w:r w:rsidRPr="00DB71BB">
        <w:rPr>
          <w:rFonts w:ascii="Arial" w:hAnsi="Arial" w:cs="Arial"/>
          <w:color w:val="222222"/>
          <w:sz w:val="20"/>
          <w:szCs w:val="20"/>
          <w:highlight w:val="yellow"/>
          <w:shd w:val="clear" w:color="auto" w:fill="FFFFFF"/>
        </w:rPr>
        <w:t>Tianshan</w:t>
      </w:r>
      <w:proofErr w:type="spellEnd"/>
      <w:r w:rsidRPr="00DB71BB">
        <w:rPr>
          <w:rFonts w:ascii="Arial" w:hAnsi="Arial" w:cs="Arial"/>
          <w:color w:val="222222"/>
          <w:sz w:val="20"/>
          <w:szCs w:val="20"/>
          <w:highlight w:val="yellow"/>
          <w:shd w:val="clear" w:color="auto" w:fill="FFFFFF"/>
        </w:rPr>
        <w:t xml:space="preserve"> Mountains. </w:t>
      </w:r>
      <w:r w:rsidRPr="00DB71BB">
        <w:rPr>
          <w:rFonts w:ascii="Arial" w:hAnsi="Arial" w:cs="Arial"/>
          <w:i/>
          <w:iCs/>
          <w:color w:val="222222"/>
          <w:sz w:val="20"/>
          <w:szCs w:val="20"/>
          <w:highlight w:val="yellow"/>
          <w:shd w:val="clear" w:color="auto" w:fill="FFFFFF"/>
        </w:rPr>
        <w:t>Land</w:t>
      </w:r>
      <w:r w:rsidRPr="00DB71BB">
        <w:rPr>
          <w:rFonts w:ascii="Arial" w:hAnsi="Arial" w:cs="Arial"/>
          <w:color w:val="222222"/>
          <w:sz w:val="20"/>
          <w:szCs w:val="20"/>
          <w:highlight w:val="yellow"/>
          <w:shd w:val="clear" w:color="auto" w:fill="FFFFFF"/>
        </w:rPr>
        <w:t>, </w:t>
      </w:r>
      <w:r w:rsidRPr="00DB71BB">
        <w:rPr>
          <w:rFonts w:ascii="Arial" w:hAnsi="Arial" w:cs="Arial"/>
          <w:i/>
          <w:iCs/>
          <w:color w:val="222222"/>
          <w:sz w:val="20"/>
          <w:szCs w:val="20"/>
          <w:highlight w:val="yellow"/>
          <w:shd w:val="clear" w:color="auto" w:fill="FFFFFF"/>
        </w:rPr>
        <w:t>13</w:t>
      </w:r>
      <w:r w:rsidRPr="00DB71BB">
        <w:rPr>
          <w:rFonts w:ascii="Arial" w:hAnsi="Arial" w:cs="Arial"/>
          <w:color w:val="222222"/>
          <w:sz w:val="20"/>
          <w:szCs w:val="20"/>
          <w:highlight w:val="yellow"/>
          <w:shd w:val="clear" w:color="auto" w:fill="FFFFFF"/>
        </w:rPr>
        <w:t>(4), 550.</w:t>
      </w:r>
    </w:p>
    <w:p w14:paraId="260AD031" w14:textId="5FFBD10E" w:rsidR="00006093" w:rsidRPr="00DB71BB" w:rsidRDefault="00030A40" w:rsidP="00DB71BB">
      <w:pPr>
        <w:pStyle w:val="ListParagraph"/>
        <w:numPr>
          <w:ilvl w:val="0"/>
          <w:numId w:val="1"/>
        </w:numPr>
        <w:rPr>
          <w:rFonts w:ascii="Arial" w:hAnsi="Arial" w:cs="Arial"/>
          <w:color w:val="222222"/>
          <w:sz w:val="20"/>
          <w:szCs w:val="20"/>
          <w:highlight w:val="yellow"/>
          <w:shd w:val="clear" w:color="auto" w:fill="FFFFFF"/>
        </w:rPr>
      </w:pPr>
      <w:r w:rsidRPr="00DB71BB">
        <w:rPr>
          <w:rFonts w:ascii="Arial" w:hAnsi="Arial" w:cs="Arial"/>
          <w:color w:val="222222"/>
          <w:sz w:val="20"/>
          <w:szCs w:val="20"/>
          <w:highlight w:val="yellow"/>
          <w:shd w:val="clear" w:color="auto" w:fill="FFFFFF"/>
        </w:rPr>
        <w:t>Ma, D., Peng, S., &amp; Lin, Z. (2025). Towards a more comprehensive scenario analysis: Response of soil erosion to future land use and climate change in the Central Yunnan Urban Agglomeration, China. </w:t>
      </w:r>
      <w:r w:rsidRPr="00DB71BB">
        <w:rPr>
          <w:rFonts w:ascii="Arial" w:hAnsi="Arial" w:cs="Arial"/>
          <w:i/>
          <w:iCs/>
          <w:color w:val="222222"/>
          <w:sz w:val="20"/>
          <w:szCs w:val="20"/>
          <w:highlight w:val="yellow"/>
          <w:shd w:val="clear" w:color="auto" w:fill="FFFFFF"/>
        </w:rPr>
        <w:t>Journal of Environmental Management</w:t>
      </w:r>
      <w:r w:rsidRPr="00DB71BB">
        <w:rPr>
          <w:rFonts w:ascii="Arial" w:hAnsi="Arial" w:cs="Arial"/>
          <w:color w:val="222222"/>
          <w:sz w:val="20"/>
          <w:szCs w:val="20"/>
          <w:highlight w:val="yellow"/>
          <w:shd w:val="clear" w:color="auto" w:fill="FFFFFF"/>
        </w:rPr>
        <w:t>, </w:t>
      </w:r>
      <w:r w:rsidRPr="00DB71BB">
        <w:rPr>
          <w:rFonts w:ascii="Arial" w:hAnsi="Arial" w:cs="Arial"/>
          <w:i/>
          <w:iCs/>
          <w:color w:val="222222"/>
          <w:sz w:val="20"/>
          <w:szCs w:val="20"/>
          <w:highlight w:val="yellow"/>
          <w:shd w:val="clear" w:color="auto" w:fill="FFFFFF"/>
        </w:rPr>
        <w:t>376</w:t>
      </w:r>
      <w:r w:rsidRPr="00DB71BB">
        <w:rPr>
          <w:rFonts w:ascii="Arial" w:hAnsi="Arial" w:cs="Arial"/>
          <w:color w:val="222222"/>
          <w:sz w:val="20"/>
          <w:szCs w:val="20"/>
          <w:highlight w:val="yellow"/>
          <w:shd w:val="clear" w:color="auto" w:fill="FFFFFF"/>
        </w:rPr>
        <w:t>, 124523.</w:t>
      </w:r>
    </w:p>
    <w:p w14:paraId="5A8FFFB1" w14:textId="0A869477" w:rsidR="00593876" w:rsidRDefault="00593876" w:rsidP="00DB71BB">
      <w:pPr>
        <w:pStyle w:val="ListParagraph"/>
        <w:numPr>
          <w:ilvl w:val="0"/>
          <w:numId w:val="1"/>
        </w:numPr>
      </w:pPr>
      <w:r w:rsidRPr="00DB71BB">
        <w:rPr>
          <w:rFonts w:ascii="Arial" w:hAnsi="Arial" w:cs="Arial"/>
          <w:color w:val="222222"/>
          <w:sz w:val="20"/>
          <w:szCs w:val="20"/>
          <w:highlight w:val="yellow"/>
          <w:shd w:val="clear" w:color="auto" w:fill="FFFFFF"/>
        </w:rPr>
        <w:t>Guo, J., Chen, J., &amp; Qi, S. (2024). Impact of Land Use/Cover Change on Soil Erosion and Future Simulations in Hainan Island, China. </w:t>
      </w:r>
      <w:r w:rsidRPr="00DB71BB">
        <w:rPr>
          <w:rFonts w:ascii="Arial" w:hAnsi="Arial" w:cs="Arial"/>
          <w:i/>
          <w:iCs/>
          <w:color w:val="222222"/>
          <w:sz w:val="20"/>
          <w:szCs w:val="20"/>
          <w:highlight w:val="yellow"/>
          <w:shd w:val="clear" w:color="auto" w:fill="FFFFFF"/>
        </w:rPr>
        <w:t>Water</w:t>
      </w:r>
      <w:r w:rsidRPr="00DB71BB">
        <w:rPr>
          <w:rFonts w:ascii="Arial" w:hAnsi="Arial" w:cs="Arial"/>
          <w:color w:val="222222"/>
          <w:sz w:val="20"/>
          <w:szCs w:val="20"/>
          <w:highlight w:val="yellow"/>
          <w:shd w:val="clear" w:color="auto" w:fill="FFFFFF"/>
        </w:rPr>
        <w:t>, </w:t>
      </w:r>
      <w:r w:rsidRPr="00DB71BB">
        <w:rPr>
          <w:rFonts w:ascii="Arial" w:hAnsi="Arial" w:cs="Arial"/>
          <w:i/>
          <w:iCs/>
          <w:color w:val="222222"/>
          <w:sz w:val="20"/>
          <w:szCs w:val="20"/>
          <w:highlight w:val="yellow"/>
          <w:shd w:val="clear" w:color="auto" w:fill="FFFFFF"/>
        </w:rPr>
        <w:t>16</w:t>
      </w:r>
      <w:r w:rsidRPr="00DB71BB">
        <w:rPr>
          <w:rFonts w:ascii="Arial" w:hAnsi="Arial" w:cs="Arial"/>
          <w:color w:val="222222"/>
          <w:sz w:val="20"/>
          <w:szCs w:val="20"/>
          <w:highlight w:val="yellow"/>
          <w:shd w:val="clear" w:color="auto" w:fill="FFFFFF"/>
        </w:rPr>
        <w:t>(18), 2654.</w:t>
      </w:r>
    </w:p>
    <w:sectPr w:rsidR="005938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040A5" w14:textId="77777777" w:rsidR="00714726" w:rsidRPr="001A401B" w:rsidRDefault="00714726" w:rsidP="00BE01BF">
      <w:pPr>
        <w:spacing w:after="0" w:line="240" w:lineRule="auto"/>
      </w:pPr>
      <w:r w:rsidRPr="001A401B">
        <w:separator/>
      </w:r>
    </w:p>
  </w:endnote>
  <w:endnote w:type="continuationSeparator" w:id="0">
    <w:p w14:paraId="13258623" w14:textId="77777777" w:rsidR="00714726" w:rsidRPr="001A401B" w:rsidRDefault="00714726" w:rsidP="00BE01BF">
      <w:pPr>
        <w:spacing w:after="0" w:line="240" w:lineRule="auto"/>
      </w:pPr>
      <w:r w:rsidRPr="001A40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D483E" w14:textId="77777777" w:rsidR="00EF28EB" w:rsidRDefault="00EF2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600759"/>
      <w:docPartObj>
        <w:docPartGallery w:val="Page Numbers (Bottom of Page)"/>
        <w:docPartUnique/>
      </w:docPartObj>
    </w:sdtPr>
    <w:sdtEndPr/>
    <w:sdtContent>
      <w:p w14:paraId="5CC6AE7D" w14:textId="7DE8AA81" w:rsidR="003D232F" w:rsidRPr="001A401B" w:rsidRDefault="003D232F">
        <w:pPr>
          <w:pStyle w:val="Footer"/>
          <w:jc w:val="right"/>
        </w:pPr>
        <w:r w:rsidRPr="001A401B">
          <w:fldChar w:fldCharType="begin"/>
        </w:r>
        <w:r w:rsidRPr="001A401B">
          <w:instrText>PAGE   \* MERGEFORMAT</w:instrText>
        </w:r>
        <w:r w:rsidRPr="001A401B">
          <w:fldChar w:fldCharType="separate"/>
        </w:r>
        <w:r w:rsidRPr="001A401B">
          <w:t>2</w:t>
        </w:r>
        <w:r w:rsidRPr="001A401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81AD5" w14:textId="77777777" w:rsidR="002A0669" w:rsidRPr="001A401B" w:rsidRDefault="002A0669">
    <w:pPr>
      <w:pStyle w:val="Footer"/>
      <w:jc w:val="right"/>
    </w:pPr>
  </w:p>
  <w:p w14:paraId="6B4A3A4A" w14:textId="77777777" w:rsidR="002A0669" w:rsidRPr="001A401B" w:rsidRDefault="002A0669" w:rsidP="001F619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348386"/>
      <w:docPartObj>
        <w:docPartGallery w:val="Page Numbers (Bottom of Page)"/>
        <w:docPartUnique/>
      </w:docPartObj>
    </w:sdtPr>
    <w:sdtEndPr/>
    <w:sdtContent>
      <w:p w14:paraId="6EBE3FD9" w14:textId="77777777" w:rsidR="008918B5" w:rsidRPr="001A401B" w:rsidRDefault="008918B5">
        <w:pPr>
          <w:pStyle w:val="Footer"/>
          <w:jc w:val="right"/>
        </w:pPr>
        <w:r w:rsidRPr="001A401B">
          <w:fldChar w:fldCharType="begin"/>
        </w:r>
        <w:r w:rsidRPr="001A401B">
          <w:instrText>PAGE   \* MERGEFORMAT</w:instrText>
        </w:r>
        <w:r w:rsidRPr="001A401B">
          <w:fldChar w:fldCharType="separate"/>
        </w:r>
        <w:r w:rsidRPr="001A401B">
          <w:t>2</w:t>
        </w:r>
        <w:r w:rsidRPr="001A401B">
          <w:fldChar w:fldCharType="end"/>
        </w:r>
      </w:p>
    </w:sdtContent>
  </w:sdt>
  <w:p w14:paraId="2551D1C8" w14:textId="53AD3B7E" w:rsidR="008918B5" w:rsidRPr="001A401B" w:rsidRDefault="008918B5" w:rsidP="00B4777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CA332" w14:textId="77777777" w:rsidR="00714726" w:rsidRPr="001A401B" w:rsidRDefault="00714726" w:rsidP="00BE01BF">
      <w:pPr>
        <w:spacing w:after="0" w:line="240" w:lineRule="auto"/>
      </w:pPr>
      <w:r w:rsidRPr="001A401B">
        <w:separator/>
      </w:r>
    </w:p>
  </w:footnote>
  <w:footnote w:type="continuationSeparator" w:id="0">
    <w:p w14:paraId="66DCCAF6" w14:textId="77777777" w:rsidR="00714726" w:rsidRPr="001A401B" w:rsidRDefault="00714726" w:rsidP="00BE01BF">
      <w:pPr>
        <w:spacing w:after="0" w:line="240" w:lineRule="auto"/>
      </w:pPr>
      <w:r w:rsidRPr="001A401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D20D4" w14:textId="239DDD35" w:rsidR="00EF28EB" w:rsidRDefault="00714726">
    <w:pPr>
      <w:pStyle w:val="Header"/>
    </w:pPr>
    <w:r>
      <w:rPr>
        <w:noProof/>
      </w:rPr>
      <w:pict w14:anchorId="37E9E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69"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E8148" w14:textId="49769B31" w:rsidR="00EF28EB" w:rsidRDefault="00714726">
    <w:pPr>
      <w:pStyle w:val="Header"/>
    </w:pPr>
    <w:r>
      <w:rPr>
        <w:noProof/>
      </w:rPr>
      <w:pict w14:anchorId="7C5E5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70"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4354" w14:textId="147DC73A" w:rsidR="002A0669" w:rsidRPr="001A401B" w:rsidRDefault="00714726" w:rsidP="00905540">
    <w:pPr>
      <w:pStyle w:val="Header"/>
      <w:jc w:val="center"/>
    </w:pPr>
    <w:r>
      <w:rPr>
        <w:noProof/>
      </w:rPr>
      <w:pict w14:anchorId="1F0B6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68" o:spid="_x0000_s2049" type="#_x0000_t136" style="position:absolute;left:0;text-align:left;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70EEA" w14:textId="0878B9C8" w:rsidR="00EF28EB" w:rsidRDefault="00714726">
    <w:pPr>
      <w:pStyle w:val="Header"/>
    </w:pPr>
    <w:r>
      <w:rPr>
        <w:noProof/>
      </w:rPr>
      <w:pict w14:anchorId="612FF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72" o:spid="_x0000_s2053" type="#_x0000_t136" style="position:absolute;margin-left:0;margin-top:0;width:537.95pt;height:101.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5628" w14:textId="505BB8BF" w:rsidR="00EF28EB" w:rsidRDefault="00714726">
    <w:pPr>
      <w:pStyle w:val="Header"/>
    </w:pPr>
    <w:r>
      <w:rPr>
        <w:noProof/>
      </w:rPr>
      <w:pict w14:anchorId="4A8E4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73" o:spid="_x0000_s2054" type="#_x0000_t136" style="position:absolute;margin-left:0;margin-top:0;width:537.95pt;height:101.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E2C5" w14:textId="73A9E2CE" w:rsidR="00EF28EB" w:rsidRDefault="00714726">
    <w:pPr>
      <w:pStyle w:val="Header"/>
    </w:pPr>
    <w:r>
      <w:rPr>
        <w:noProof/>
      </w:rPr>
      <w:pict w14:anchorId="110B2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71" o:spid="_x0000_s2052" type="#_x0000_t136" style="position:absolute;margin-left:0;margin-top:0;width:537.95pt;height:101.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833F78"/>
    <w:multiLevelType w:val="hybridMultilevel"/>
    <w:tmpl w:val="1C9006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S0NDU1NTG2NDUxMjVS0lEKTi0uzszPAykwrAUAjD6d7SwAAAA="/>
  </w:docVars>
  <w:rsids>
    <w:rsidRoot w:val="00BE01BF"/>
    <w:rsid w:val="00005B9D"/>
    <w:rsid w:val="00006093"/>
    <w:rsid w:val="000105C3"/>
    <w:rsid w:val="00011857"/>
    <w:rsid w:val="00013B9B"/>
    <w:rsid w:val="00017F35"/>
    <w:rsid w:val="00022D75"/>
    <w:rsid w:val="00030A40"/>
    <w:rsid w:val="00036FFE"/>
    <w:rsid w:val="0005357B"/>
    <w:rsid w:val="00060EA7"/>
    <w:rsid w:val="000712E2"/>
    <w:rsid w:val="000A5EAC"/>
    <w:rsid w:val="000C75B4"/>
    <w:rsid w:val="000D4F39"/>
    <w:rsid w:val="000D7D3D"/>
    <w:rsid w:val="001068CC"/>
    <w:rsid w:val="00110CE9"/>
    <w:rsid w:val="00142772"/>
    <w:rsid w:val="00172515"/>
    <w:rsid w:val="00180D02"/>
    <w:rsid w:val="00187C1F"/>
    <w:rsid w:val="00190DD0"/>
    <w:rsid w:val="001A401B"/>
    <w:rsid w:val="001B2F12"/>
    <w:rsid w:val="001D7256"/>
    <w:rsid w:val="001F1B7D"/>
    <w:rsid w:val="001F38C2"/>
    <w:rsid w:val="001F4C37"/>
    <w:rsid w:val="00223B7C"/>
    <w:rsid w:val="00227D69"/>
    <w:rsid w:val="002560DC"/>
    <w:rsid w:val="00274A10"/>
    <w:rsid w:val="00275743"/>
    <w:rsid w:val="002901F3"/>
    <w:rsid w:val="002A054D"/>
    <w:rsid w:val="002A0669"/>
    <w:rsid w:val="002B0724"/>
    <w:rsid w:val="002B5BC7"/>
    <w:rsid w:val="002D4D0D"/>
    <w:rsid w:val="002E12D2"/>
    <w:rsid w:val="002F22F1"/>
    <w:rsid w:val="002F2604"/>
    <w:rsid w:val="00321582"/>
    <w:rsid w:val="00324923"/>
    <w:rsid w:val="00341B19"/>
    <w:rsid w:val="0036616A"/>
    <w:rsid w:val="00380531"/>
    <w:rsid w:val="00385BDC"/>
    <w:rsid w:val="003A4D32"/>
    <w:rsid w:val="003A7A8E"/>
    <w:rsid w:val="003B6E55"/>
    <w:rsid w:val="003C650C"/>
    <w:rsid w:val="003D232F"/>
    <w:rsid w:val="003E560C"/>
    <w:rsid w:val="003E6FFD"/>
    <w:rsid w:val="00401789"/>
    <w:rsid w:val="00420A48"/>
    <w:rsid w:val="004251E6"/>
    <w:rsid w:val="00447D3D"/>
    <w:rsid w:val="00450E29"/>
    <w:rsid w:val="004B4441"/>
    <w:rsid w:val="004E4B84"/>
    <w:rsid w:val="005154E6"/>
    <w:rsid w:val="00536002"/>
    <w:rsid w:val="00561C99"/>
    <w:rsid w:val="00574BA6"/>
    <w:rsid w:val="005764A9"/>
    <w:rsid w:val="00577D27"/>
    <w:rsid w:val="00593876"/>
    <w:rsid w:val="005B1E2E"/>
    <w:rsid w:val="005C20FA"/>
    <w:rsid w:val="005C6778"/>
    <w:rsid w:val="005D1F07"/>
    <w:rsid w:val="005D26E6"/>
    <w:rsid w:val="005E1B54"/>
    <w:rsid w:val="005F0B36"/>
    <w:rsid w:val="00606B55"/>
    <w:rsid w:val="00612C0E"/>
    <w:rsid w:val="006215DA"/>
    <w:rsid w:val="0062713E"/>
    <w:rsid w:val="0063209D"/>
    <w:rsid w:val="0068485F"/>
    <w:rsid w:val="00691586"/>
    <w:rsid w:val="006A052D"/>
    <w:rsid w:val="006A2749"/>
    <w:rsid w:val="006B2D7A"/>
    <w:rsid w:val="006C0D1D"/>
    <w:rsid w:val="006C33F3"/>
    <w:rsid w:val="006C3C6E"/>
    <w:rsid w:val="006F1516"/>
    <w:rsid w:val="006F1C83"/>
    <w:rsid w:val="006F6FF9"/>
    <w:rsid w:val="00705072"/>
    <w:rsid w:val="00710374"/>
    <w:rsid w:val="00712A45"/>
    <w:rsid w:val="00714726"/>
    <w:rsid w:val="00716E22"/>
    <w:rsid w:val="00736A65"/>
    <w:rsid w:val="00761D33"/>
    <w:rsid w:val="00762167"/>
    <w:rsid w:val="0077520C"/>
    <w:rsid w:val="007A3EEA"/>
    <w:rsid w:val="007C302E"/>
    <w:rsid w:val="007D071F"/>
    <w:rsid w:val="007F67FB"/>
    <w:rsid w:val="007F7B38"/>
    <w:rsid w:val="00803E46"/>
    <w:rsid w:val="008046A1"/>
    <w:rsid w:val="00810548"/>
    <w:rsid w:val="00810FF1"/>
    <w:rsid w:val="00811713"/>
    <w:rsid w:val="008157CE"/>
    <w:rsid w:val="0083180D"/>
    <w:rsid w:val="00835B6F"/>
    <w:rsid w:val="00861328"/>
    <w:rsid w:val="00880138"/>
    <w:rsid w:val="00880F15"/>
    <w:rsid w:val="008918B5"/>
    <w:rsid w:val="008A5809"/>
    <w:rsid w:val="008A5A3A"/>
    <w:rsid w:val="008A74F3"/>
    <w:rsid w:val="008B0ACB"/>
    <w:rsid w:val="008B3B12"/>
    <w:rsid w:val="008B4B7E"/>
    <w:rsid w:val="008C3DBD"/>
    <w:rsid w:val="008D077F"/>
    <w:rsid w:val="008D14B5"/>
    <w:rsid w:val="009009B2"/>
    <w:rsid w:val="009244E4"/>
    <w:rsid w:val="00941C95"/>
    <w:rsid w:val="00973D39"/>
    <w:rsid w:val="00987EA7"/>
    <w:rsid w:val="009B152C"/>
    <w:rsid w:val="009B7EEB"/>
    <w:rsid w:val="009C26F5"/>
    <w:rsid w:val="009D0646"/>
    <w:rsid w:val="009D249F"/>
    <w:rsid w:val="009D321D"/>
    <w:rsid w:val="009E075F"/>
    <w:rsid w:val="00A17404"/>
    <w:rsid w:val="00A222F3"/>
    <w:rsid w:val="00A33082"/>
    <w:rsid w:val="00A429B1"/>
    <w:rsid w:val="00A47C0E"/>
    <w:rsid w:val="00A505ED"/>
    <w:rsid w:val="00A57309"/>
    <w:rsid w:val="00A65631"/>
    <w:rsid w:val="00A77A60"/>
    <w:rsid w:val="00A8370E"/>
    <w:rsid w:val="00A8425F"/>
    <w:rsid w:val="00AA46DF"/>
    <w:rsid w:val="00AB1171"/>
    <w:rsid w:val="00AC5BD7"/>
    <w:rsid w:val="00AD4A6C"/>
    <w:rsid w:val="00AE440A"/>
    <w:rsid w:val="00AF5FD0"/>
    <w:rsid w:val="00B00A8B"/>
    <w:rsid w:val="00B17CC0"/>
    <w:rsid w:val="00B21F8A"/>
    <w:rsid w:val="00B35F24"/>
    <w:rsid w:val="00B47779"/>
    <w:rsid w:val="00B644A7"/>
    <w:rsid w:val="00B75DC9"/>
    <w:rsid w:val="00B81423"/>
    <w:rsid w:val="00BA48EF"/>
    <w:rsid w:val="00BA667D"/>
    <w:rsid w:val="00BA691F"/>
    <w:rsid w:val="00BC2D1F"/>
    <w:rsid w:val="00BD6BED"/>
    <w:rsid w:val="00BE01BF"/>
    <w:rsid w:val="00BE6DBE"/>
    <w:rsid w:val="00BF4FBF"/>
    <w:rsid w:val="00C04BD4"/>
    <w:rsid w:val="00C068ED"/>
    <w:rsid w:val="00C10FEA"/>
    <w:rsid w:val="00C45101"/>
    <w:rsid w:val="00C65BE0"/>
    <w:rsid w:val="00C85C80"/>
    <w:rsid w:val="00CB5CCF"/>
    <w:rsid w:val="00CE4018"/>
    <w:rsid w:val="00D052FB"/>
    <w:rsid w:val="00D361C6"/>
    <w:rsid w:val="00D44C0E"/>
    <w:rsid w:val="00D5116A"/>
    <w:rsid w:val="00D53683"/>
    <w:rsid w:val="00D7129C"/>
    <w:rsid w:val="00D7615B"/>
    <w:rsid w:val="00D77D23"/>
    <w:rsid w:val="00D948F7"/>
    <w:rsid w:val="00DB0620"/>
    <w:rsid w:val="00DB71BB"/>
    <w:rsid w:val="00DC1745"/>
    <w:rsid w:val="00DC2911"/>
    <w:rsid w:val="00DC5C04"/>
    <w:rsid w:val="00DD584D"/>
    <w:rsid w:val="00DE5BB3"/>
    <w:rsid w:val="00E23ED4"/>
    <w:rsid w:val="00E24BC5"/>
    <w:rsid w:val="00E44596"/>
    <w:rsid w:val="00E55A65"/>
    <w:rsid w:val="00E60852"/>
    <w:rsid w:val="00E7601C"/>
    <w:rsid w:val="00E8352B"/>
    <w:rsid w:val="00E93364"/>
    <w:rsid w:val="00E97DD0"/>
    <w:rsid w:val="00EA467A"/>
    <w:rsid w:val="00EC1730"/>
    <w:rsid w:val="00ED0F25"/>
    <w:rsid w:val="00ED132B"/>
    <w:rsid w:val="00EF28EB"/>
    <w:rsid w:val="00F10896"/>
    <w:rsid w:val="00F11F6F"/>
    <w:rsid w:val="00F156EC"/>
    <w:rsid w:val="00F315C4"/>
    <w:rsid w:val="00F32A0B"/>
    <w:rsid w:val="00F4478F"/>
    <w:rsid w:val="00F53D5C"/>
    <w:rsid w:val="00F8359B"/>
    <w:rsid w:val="00F841F6"/>
    <w:rsid w:val="00FA4BEE"/>
    <w:rsid w:val="00FA5F96"/>
    <w:rsid w:val="00FB1488"/>
    <w:rsid w:val="00FB3352"/>
    <w:rsid w:val="00FD07CD"/>
    <w:rsid w:val="00FE60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A4D2811"/>
  <w15:chartTrackingRefBased/>
  <w15:docId w15:val="{D27A66F9-9854-435D-84D6-DECC0B684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1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01BF"/>
  </w:style>
  <w:style w:type="paragraph" w:styleId="Footer">
    <w:name w:val="footer"/>
    <w:basedOn w:val="Normal"/>
    <w:link w:val="FooterChar"/>
    <w:uiPriority w:val="99"/>
    <w:unhideWhenUsed/>
    <w:rsid w:val="00BE01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01BF"/>
  </w:style>
  <w:style w:type="paragraph" w:styleId="Caption">
    <w:name w:val="caption"/>
    <w:basedOn w:val="Normal"/>
    <w:next w:val="Normal"/>
    <w:unhideWhenUsed/>
    <w:qFormat/>
    <w:rsid w:val="002A0669"/>
    <w:pPr>
      <w:spacing w:after="200" w:line="240" w:lineRule="auto"/>
    </w:pPr>
    <w:rPr>
      <w:i/>
      <w:iCs/>
      <w:color w:val="44546A" w:themeColor="text2"/>
      <w:sz w:val="18"/>
      <w:szCs w:val="18"/>
    </w:rPr>
  </w:style>
  <w:style w:type="paragraph" w:styleId="ListParagraph">
    <w:name w:val="List Paragraph"/>
    <w:aliases w:val="References,RM1,Bullets,List Paragraph (numbered (a)),Paragraphe  revu,Arial,Liste 1,Numbered List Paragraph,ReferencesCxSpLast,1 liste,List Paragraph1,Titre1,List Paragraph nowy,IBL List Paragraph,figure,Titre 4i,Resume Title"/>
    <w:basedOn w:val="Normal"/>
    <w:link w:val="ListParagraphChar"/>
    <w:uiPriority w:val="34"/>
    <w:qFormat/>
    <w:rsid w:val="002A0669"/>
    <w:pPr>
      <w:spacing w:after="200" w:line="276" w:lineRule="auto"/>
      <w:ind w:left="720"/>
      <w:contextualSpacing/>
    </w:pPr>
  </w:style>
  <w:style w:type="table" w:styleId="PlainTable2">
    <w:name w:val="Plain Table 2"/>
    <w:basedOn w:val="TableNormal"/>
    <w:uiPriority w:val="42"/>
    <w:rsid w:val="002A06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References Char,RM1 Char,Bullets Char,List Paragraph (numbered (a)) Char,Paragraphe  revu Char,Arial Char,Liste 1 Char,Numbered List Paragraph Char,ReferencesCxSpLast Char,1 liste Char,List Paragraph1 Char,Titre1 Char,figure Char"/>
    <w:link w:val="ListParagraph"/>
    <w:uiPriority w:val="34"/>
    <w:locked/>
    <w:rsid w:val="002A0669"/>
  </w:style>
  <w:style w:type="paragraph" w:customStyle="1" w:styleId="ReferHead">
    <w:name w:val="Refer Head"/>
    <w:basedOn w:val="Normal"/>
    <w:rsid w:val="001F1B7D"/>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7D071F"/>
    <w:rPr>
      <w:color w:val="0563C1" w:themeColor="hyperlink"/>
      <w:u w:val="single"/>
    </w:rPr>
  </w:style>
  <w:style w:type="character" w:styleId="UnresolvedMention">
    <w:name w:val="Unresolved Mention"/>
    <w:basedOn w:val="DefaultParagraphFont"/>
    <w:uiPriority w:val="99"/>
    <w:semiHidden/>
    <w:unhideWhenUsed/>
    <w:rsid w:val="007D071F"/>
    <w:rPr>
      <w:color w:val="605E5C"/>
      <w:shd w:val="clear" w:color="auto" w:fill="E1DFDD"/>
    </w:rPr>
  </w:style>
  <w:style w:type="paragraph" w:styleId="BalloonText">
    <w:name w:val="Balloon Text"/>
    <w:basedOn w:val="Normal"/>
    <w:link w:val="BalloonTextChar"/>
    <w:uiPriority w:val="99"/>
    <w:semiHidden/>
    <w:unhideWhenUsed/>
    <w:rsid w:val="00831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80D"/>
    <w:rPr>
      <w:rFonts w:ascii="Segoe UI" w:hAnsi="Segoe UI" w:cs="Segoe UI"/>
      <w:sz w:val="18"/>
      <w:szCs w:val="18"/>
    </w:rPr>
  </w:style>
  <w:style w:type="character" w:styleId="CommentReference">
    <w:name w:val="annotation reference"/>
    <w:basedOn w:val="DefaultParagraphFont"/>
    <w:uiPriority w:val="99"/>
    <w:semiHidden/>
    <w:unhideWhenUsed/>
    <w:rsid w:val="00593876"/>
    <w:rPr>
      <w:sz w:val="16"/>
      <w:szCs w:val="16"/>
    </w:rPr>
  </w:style>
  <w:style w:type="paragraph" w:styleId="CommentText">
    <w:name w:val="annotation text"/>
    <w:basedOn w:val="Normal"/>
    <w:link w:val="CommentTextChar"/>
    <w:uiPriority w:val="99"/>
    <w:semiHidden/>
    <w:unhideWhenUsed/>
    <w:rsid w:val="00593876"/>
    <w:pPr>
      <w:spacing w:line="240" w:lineRule="auto"/>
    </w:pPr>
    <w:rPr>
      <w:sz w:val="20"/>
      <w:szCs w:val="20"/>
    </w:rPr>
  </w:style>
  <w:style w:type="character" w:customStyle="1" w:styleId="CommentTextChar">
    <w:name w:val="Comment Text Char"/>
    <w:basedOn w:val="DefaultParagraphFont"/>
    <w:link w:val="CommentText"/>
    <w:uiPriority w:val="99"/>
    <w:semiHidden/>
    <w:rsid w:val="00593876"/>
    <w:rPr>
      <w:sz w:val="20"/>
      <w:szCs w:val="20"/>
    </w:rPr>
  </w:style>
  <w:style w:type="paragraph" w:styleId="CommentSubject">
    <w:name w:val="annotation subject"/>
    <w:basedOn w:val="CommentText"/>
    <w:next w:val="CommentText"/>
    <w:link w:val="CommentSubjectChar"/>
    <w:uiPriority w:val="99"/>
    <w:semiHidden/>
    <w:unhideWhenUsed/>
    <w:rsid w:val="00593876"/>
    <w:rPr>
      <w:b/>
      <w:bCs/>
    </w:rPr>
  </w:style>
  <w:style w:type="character" w:customStyle="1" w:styleId="CommentSubjectChar">
    <w:name w:val="Comment Subject Char"/>
    <w:basedOn w:val="CommentTextChar"/>
    <w:link w:val="CommentSubject"/>
    <w:uiPriority w:val="99"/>
    <w:semiHidden/>
    <w:rsid w:val="005938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yperlink" Target="https://beep.ird.fr/collect/bassinve/index/assoc/NANMI_M._2002.dir/NANMI_M._2002.pdf" TargetMode="External"/><Relationship Id="rId21" Type="http://schemas.openxmlformats.org/officeDocument/2006/relationships/chart" Target="charts/chart2.xml"/><Relationship Id="rId34" Type="http://schemas.openxmlformats.org/officeDocument/2006/relationships/hyperlink" Target="http://mappemonde.mgm.fr/articles/art15104.html" TargetMode="External"/><Relationship Id="rId42" Type="http://schemas.openxmlformats.org/officeDocument/2006/relationships/hyperlink" Target="https://horizon.documentation.ird.fr/exl-doc/pleins_textes/pleins_textes_7/b_fdi_45/010009063.pdf" TargetMode="External"/><Relationship Id="rId47" Type="http://schemas.openxmlformats.org/officeDocument/2006/relationships/hyperlink" Target="https://doi.org/10.1016/j.catena.2008.07.0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doi.org/10.1016/0034-4257(91)90048-B" TargetMode="External"/><Relationship Id="rId37" Type="http://schemas.openxmlformats.org/officeDocument/2006/relationships/hyperlink" Target="https://horizon.documentation.ird.fr/exl-doc/pleins_textes/pleins_textes_7/horizon/fdi_010056569.pdf" TargetMode="External"/><Relationship Id="rId40" Type="http://schemas.openxmlformats.org/officeDocument/2006/relationships/hyperlink" Target="https://doi.org/10.21474/IJAR01/6918" TargetMode="External"/><Relationship Id="rId45" Type="http://schemas.openxmlformats.org/officeDocument/2006/relationships/hyperlink" Target="https://hdl.handle.net/2268/160471" TargetMode="External"/><Relationship Id="rId5" Type="http://schemas.openxmlformats.org/officeDocument/2006/relationships/webSettings" Target="webSettings.xml"/><Relationship Id="rId15" Type="http://schemas.openxmlformats.org/officeDocument/2006/relationships/hyperlink" Target="https://www.sciencedirect.com/topics/earth-and-planetary-sciences/environmental-impact-assessment" TargetMode="Externa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hyperlink" Target="https://doi.org/10.1201/9780203741917"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doi.org/10.1016/j.iswcr.2016.08.002" TargetMode="External"/><Relationship Id="rId44" Type="http://schemas.openxmlformats.org/officeDocument/2006/relationships/hyperlink" Target="https://doi.org/10.4000/vertigo.1412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earth-and-planetary-sciences/soil-erosion" TargetMode="Externa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www.fao.org/docrep/007/w0015e/w0015e00.htm" TargetMode="External"/><Relationship Id="rId43" Type="http://schemas.openxmlformats.org/officeDocument/2006/relationships/hyperlink" Target="https://www.researchgate.net/publication/262799307_Utilisation_d%27un_SIG_dans_la_cartographie_et_l%27evaluation_des_risques_d%27erosionExemple_le_bassin_versant_de_l%27oued_Boussouab_Rif_oriental"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iasa.ac.at/Research/LUC/External-World-soil-database/HTML/" TargetMode="External"/><Relationship Id="rId25" Type="http://schemas.openxmlformats.org/officeDocument/2006/relationships/image" Target="media/image7.png"/><Relationship Id="rId33" Type="http://schemas.openxmlformats.org/officeDocument/2006/relationships/hyperlink" Target="https://doi.org/10.1080/00224561.1996.12457102" TargetMode="External"/><Relationship Id="rId38" Type="http://schemas.openxmlformats.org/officeDocument/2006/relationships/hyperlink" Target="https://doi.org/10.2307/2529310" TargetMode="External"/><Relationship Id="rId46" Type="http://schemas.openxmlformats.org/officeDocument/2006/relationships/hyperlink" Target="https://doi.org/10.1002/jps.3030430102" TargetMode="External"/><Relationship Id="rId20" Type="http://schemas.openxmlformats.org/officeDocument/2006/relationships/chart" Target="charts/chart1.xml"/><Relationship Id="rId41" Type="http://schemas.openxmlformats.org/officeDocument/2006/relationships/hyperlink" Target="https://doi.org/10.1016/j.landusepol.2012.11.0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OC_ENSEIGNANT\ARTICLE%20EN%20COURS%202025\ARTICLE%20FABRICE\Graphique%20resultats_angla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DOC_ENSEIGNANT\ARTICLE%20EN%20COURS%202025\ARTICLE%20FABRICE\Graphique%20resultats_angla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Feuil1!$D$13</c:f>
              <c:strCache>
                <c:ptCount val="1"/>
                <c:pt idx="0">
                  <c:v>Bare buildings and floors</c:v>
                </c:pt>
              </c:strCache>
            </c:strRef>
          </c:tx>
          <c:spPr>
            <a:solidFill>
              <a:schemeClr val="bg1">
                <a:lumMod val="65000"/>
              </a:schemeClr>
            </a:solidFill>
            <a:ln>
              <a:solidFill>
                <a:schemeClr val="tx1"/>
              </a:solidFill>
            </a:ln>
            <a:effectLst/>
          </c:spPr>
          <c:invertIfNegative val="0"/>
          <c:cat>
            <c:numRef>
              <c:f>Feuil1!$C$14:$C$15</c:f>
              <c:numCache>
                <c:formatCode>General</c:formatCode>
                <c:ptCount val="2"/>
                <c:pt idx="0">
                  <c:v>2002</c:v>
                </c:pt>
                <c:pt idx="1">
                  <c:v>2020</c:v>
                </c:pt>
              </c:numCache>
            </c:numRef>
          </c:cat>
          <c:val>
            <c:numRef>
              <c:f>Feuil1!$D$14:$D$15</c:f>
              <c:numCache>
                <c:formatCode>General</c:formatCode>
                <c:ptCount val="2"/>
                <c:pt idx="0">
                  <c:v>51</c:v>
                </c:pt>
                <c:pt idx="1">
                  <c:v>71</c:v>
                </c:pt>
              </c:numCache>
            </c:numRef>
          </c:val>
          <c:extLst>
            <c:ext xmlns:c16="http://schemas.microsoft.com/office/drawing/2014/chart" uri="{C3380CC4-5D6E-409C-BE32-E72D297353CC}">
              <c16:uniqueId val="{00000000-4CEB-4485-92C5-BEEF227A5884}"/>
            </c:ext>
          </c:extLst>
        </c:ser>
        <c:ser>
          <c:idx val="1"/>
          <c:order val="1"/>
          <c:tx>
            <c:strRef>
              <c:f>Feuil1!$E$13</c:f>
              <c:strCache>
                <c:ptCount val="1"/>
                <c:pt idx="0">
                  <c:v>Shallows and crop areas</c:v>
                </c:pt>
              </c:strCache>
            </c:strRef>
          </c:tx>
          <c:spPr>
            <a:solidFill>
              <a:schemeClr val="accent2"/>
            </a:solidFill>
            <a:ln>
              <a:solidFill>
                <a:schemeClr val="tx1"/>
              </a:solidFill>
            </a:ln>
            <a:effectLst/>
          </c:spPr>
          <c:invertIfNegative val="0"/>
          <c:cat>
            <c:numRef>
              <c:f>Feuil1!$C$14:$C$15</c:f>
              <c:numCache>
                <c:formatCode>General</c:formatCode>
                <c:ptCount val="2"/>
                <c:pt idx="0">
                  <c:v>2002</c:v>
                </c:pt>
                <c:pt idx="1">
                  <c:v>2020</c:v>
                </c:pt>
              </c:numCache>
            </c:numRef>
          </c:cat>
          <c:val>
            <c:numRef>
              <c:f>Feuil1!$E$14:$E$15</c:f>
              <c:numCache>
                <c:formatCode>General</c:formatCode>
                <c:ptCount val="2"/>
                <c:pt idx="0">
                  <c:v>14</c:v>
                </c:pt>
                <c:pt idx="1">
                  <c:v>6</c:v>
                </c:pt>
              </c:numCache>
            </c:numRef>
          </c:val>
          <c:extLst>
            <c:ext xmlns:c16="http://schemas.microsoft.com/office/drawing/2014/chart" uri="{C3380CC4-5D6E-409C-BE32-E72D297353CC}">
              <c16:uniqueId val="{00000001-4CEB-4485-92C5-BEEF227A5884}"/>
            </c:ext>
          </c:extLst>
        </c:ser>
        <c:ser>
          <c:idx val="2"/>
          <c:order val="2"/>
          <c:tx>
            <c:strRef>
              <c:f>Feuil1!$F$13</c:f>
              <c:strCache>
                <c:ptCount val="1"/>
                <c:pt idx="0">
                  <c:v>Parks and gardens</c:v>
                </c:pt>
              </c:strCache>
            </c:strRef>
          </c:tx>
          <c:spPr>
            <a:solidFill>
              <a:schemeClr val="accent6">
                <a:lumMod val="60000"/>
                <a:lumOff val="40000"/>
              </a:schemeClr>
            </a:solidFill>
            <a:ln>
              <a:solidFill>
                <a:schemeClr val="tx1"/>
              </a:solidFill>
            </a:ln>
            <a:effectLst/>
          </c:spPr>
          <c:invertIfNegative val="0"/>
          <c:cat>
            <c:numRef>
              <c:f>Feuil1!$C$14:$C$15</c:f>
              <c:numCache>
                <c:formatCode>General</c:formatCode>
                <c:ptCount val="2"/>
                <c:pt idx="0">
                  <c:v>2002</c:v>
                </c:pt>
                <c:pt idx="1">
                  <c:v>2020</c:v>
                </c:pt>
              </c:numCache>
            </c:numRef>
          </c:cat>
          <c:val>
            <c:numRef>
              <c:f>Feuil1!$F$14:$F$15</c:f>
              <c:numCache>
                <c:formatCode>General</c:formatCode>
                <c:ptCount val="2"/>
                <c:pt idx="0">
                  <c:v>35</c:v>
                </c:pt>
                <c:pt idx="1">
                  <c:v>23</c:v>
                </c:pt>
              </c:numCache>
            </c:numRef>
          </c:val>
          <c:extLst>
            <c:ext xmlns:c16="http://schemas.microsoft.com/office/drawing/2014/chart" uri="{C3380CC4-5D6E-409C-BE32-E72D297353CC}">
              <c16:uniqueId val="{00000002-4CEB-4485-92C5-BEEF227A5884}"/>
            </c:ext>
          </c:extLst>
        </c:ser>
        <c:dLbls>
          <c:showLegendKey val="0"/>
          <c:showVal val="0"/>
          <c:showCatName val="0"/>
          <c:showSerName val="0"/>
          <c:showPercent val="0"/>
          <c:showBubbleSize val="0"/>
        </c:dLbls>
        <c:gapWidth val="219"/>
        <c:overlap val="-27"/>
        <c:axId val="766457968"/>
        <c:axId val="766458328"/>
      </c:barChart>
      <c:catAx>
        <c:axId val="766457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6458328"/>
        <c:crosses val="autoZero"/>
        <c:auto val="1"/>
        <c:lblAlgn val="ctr"/>
        <c:lblOffset val="100"/>
        <c:noMultiLvlLbl val="0"/>
      </c:catAx>
      <c:valAx>
        <c:axId val="76645832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
                  <a:t>Proportion of land use classes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6457968"/>
        <c:crosses val="autoZero"/>
        <c:crossBetween val="between"/>
      </c:valAx>
      <c:spPr>
        <a:noFill/>
        <a:ln>
          <a:noFill/>
        </a:ln>
        <a:effectLst/>
      </c:spPr>
    </c:plotArea>
    <c:legend>
      <c:legendPos val="b"/>
      <c:layout>
        <c:manualLayout>
          <c:xMode val="edge"/>
          <c:yMode val="edge"/>
          <c:x val="0.14987825814226052"/>
          <c:y val="0.79495127764201889"/>
          <c:w val="0.79982419650373893"/>
          <c:h val="0.1763130901740730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Feuil2!$C$3</c:f>
              <c:strCache>
                <c:ptCount val="1"/>
                <c:pt idx="0">
                  <c:v>Parks and gardens</c:v>
                </c:pt>
              </c:strCache>
            </c:strRef>
          </c:tx>
          <c:spPr>
            <a:solidFill>
              <a:srgbClr val="70AD47">
                <a:lumMod val="40000"/>
                <a:lumOff val="60000"/>
              </a:srgbClr>
            </a:solidFill>
            <a:ln>
              <a:solidFill>
                <a:schemeClr val="tx1"/>
              </a:solidFill>
            </a:ln>
            <a:effectLst/>
          </c:spPr>
          <c:invertIfNegative val="0"/>
          <c:cat>
            <c:strRef>
              <c:f>Feuil2!$D$2:$E$2</c:f>
              <c:strCache>
                <c:ptCount val="2"/>
                <c:pt idx="0">
                  <c:v>TG</c:v>
                </c:pt>
                <c:pt idx="1">
                  <c:v>TC</c:v>
                </c:pt>
              </c:strCache>
            </c:strRef>
          </c:cat>
          <c:val>
            <c:numRef>
              <c:f>Feuil2!$D$3:$E$3</c:f>
              <c:numCache>
                <c:formatCode>General</c:formatCode>
                <c:ptCount val="2"/>
                <c:pt idx="0">
                  <c:v>-35.01</c:v>
                </c:pt>
                <c:pt idx="1">
                  <c:v>-2.37</c:v>
                </c:pt>
              </c:numCache>
            </c:numRef>
          </c:val>
          <c:extLst>
            <c:ext xmlns:c16="http://schemas.microsoft.com/office/drawing/2014/chart" uri="{C3380CC4-5D6E-409C-BE32-E72D297353CC}">
              <c16:uniqueId val="{00000000-FB08-451A-8146-38C4BB746C5D}"/>
            </c:ext>
          </c:extLst>
        </c:ser>
        <c:ser>
          <c:idx val="1"/>
          <c:order val="1"/>
          <c:tx>
            <c:strRef>
              <c:f>Feuil2!$C$4</c:f>
              <c:strCache>
                <c:ptCount val="1"/>
                <c:pt idx="0">
                  <c:v>Shallows and crop areas</c:v>
                </c:pt>
              </c:strCache>
            </c:strRef>
          </c:tx>
          <c:spPr>
            <a:solidFill>
              <a:schemeClr val="accent2"/>
            </a:solidFill>
            <a:ln>
              <a:solidFill>
                <a:schemeClr val="tx1"/>
              </a:solidFill>
            </a:ln>
            <a:effectLst/>
          </c:spPr>
          <c:invertIfNegative val="0"/>
          <c:cat>
            <c:strRef>
              <c:f>Feuil2!$D$2:$E$2</c:f>
              <c:strCache>
                <c:ptCount val="2"/>
                <c:pt idx="0">
                  <c:v>TG</c:v>
                </c:pt>
                <c:pt idx="1">
                  <c:v>TC</c:v>
                </c:pt>
              </c:strCache>
            </c:strRef>
          </c:cat>
          <c:val>
            <c:numRef>
              <c:f>Feuil2!$D$4:$E$4</c:f>
              <c:numCache>
                <c:formatCode>General</c:formatCode>
                <c:ptCount val="2"/>
                <c:pt idx="0">
                  <c:v>-55.12</c:v>
                </c:pt>
                <c:pt idx="1">
                  <c:v>-4.3499999999999996</c:v>
                </c:pt>
              </c:numCache>
            </c:numRef>
          </c:val>
          <c:extLst>
            <c:ext xmlns:c16="http://schemas.microsoft.com/office/drawing/2014/chart" uri="{C3380CC4-5D6E-409C-BE32-E72D297353CC}">
              <c16:uniqueId val="{00000001-FB08-451A-8146-38C4BB746C5D}"/>
            </c:ext>
          </c:extLst>
        </c:ser>
        <c:ser>
          <c:idx val="2"/>
          <c:order val="2"/>
          <c:tx>
            <c:strRef>
              <c:f>Feuil2!$C$5</c:f>
              <c:strCache>
                <c:ptCount val="1"/>
                <c:pt idx="0">
                  <c:v>Bare buildings and floors</c:v>
                </c:pt>
              </c:strCache>
            </c:strRef>
          </c:tx>
          <c:spPr>
            <a:solidFill>
              <a:sysClr val="window" lastClr="FFFFFF">
                <a:lumMod val="75000"/>
              </a:sysClr>
            </a:solidFill>
            <a:ln>
              <a:solidFill>
                <a:schemeClr val="tx1"/>
              </a:solidFill>
            </a:ln>
            <a:effectLst/>
          </c:spPr>
          <c:invertIfNegative val="0"/>
          <c:cat>
            <c:strRef>
              <c:f>Feuil2!$D$2:$E$2</c:f>
              <c:strCache>
                <c:ptCount val="2"/>
                <c:pt idx="0">
                  <c:v>TG</c:v>
                </c:pt>
                <c:pt idx="1">
                  <c:v>TC</c:v>
                </c:pt>
              </c:strCache>
            </c:strRef>
          </c:cat>
          <c:val>
            <c:numRef>
              <c:f>Feuil2!$D$5:$E$5</c:f>
              <c:numCache>
                <c:formatCode>General</c:formatCode>
                <c:ptCount val="2"/>
                <c:pt idx="0">
                  <c:v>39.39</c:v>
                </c:pt>
                <c:pt idx="1">
                  <c:v>1.86</c:v>
                </c:pt>
              </c:numCache>
            </c:numRef>
          </c:val>
          <c:extLst>
            <c:ext xmlns:c16="http://schemas.microsoft.com/office/drawing/2014/chart" uri="{C3380CC4-5D6E-409C-BE32-E72D297353CC}">
              <c16:uniqueId val="{00000002-FB08-451A-8146-38C4BB746C5D}"/>
            </c:ext>
          </c:extLst>
        </c:ser>
        <c:dLbls>
          <c:showLegendKey val="0"/>
          <c:showVal val="0"/>
          <c:showCatName val="0"/>
          <c:showSerName val="0"/>
          <c:showPercent val="0"/>
          <c:showBubbleSize val="0"/>
        </c:dLbls>
        <c:gapWidth val="219"/>
        <c:overlap val="-27"/>
        <c:axId val="775110840"/>
        <c:axId val="775110480"/>
      </c:barChart>
      <c:catAx>
        <c:axId val="7751108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5110480"/>
        <c:crosses val="autoZero"/>
        <c:auto val="1"/>
        <c:lblAlgn val="ctr"/>
        <c:lblOffset val="100"/>
        <c:noMultiLvlLbl val="0"/>
      </c:catAx>
      <c:valAx>
        <c:axId val="7751104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
                  <a:t>Exchange rate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5110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C35D2-FCB5-48FC-8F12-E3E6AAEDF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16</Pages>
  <Words>4633</Words>
  <Characters>26413</Characters>
  <Application>Microsoft Office Word</Application>
  <DocSecurity>0</DocSecurity>
  <Lines>220</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Kadio Attey Noël KOUA</dc:creator>
  <cp:keywords/>
  <dc:description/>
  <cp:lastModifiedBy>SDI 1089</cp:lastModifiedBy>
  <cp:revision>18</cp:revision>
  <dcterms:created xsi:type="dcterms:W3CDTF">2025-11-24T13:41:00Z</dcterms:created>
  <dcterms:modified xsi:type="dcterms:W3CDTF">2025-12-13T09:55:00Z</dcterms:modified>
</cp:coreProperties>
</file>