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5EC0" w14:textId="3E147A10" w:rsidR="00754C9A" w:rsidRDefault="00B8291F" w:rsidP="00441B6F">
      <w:pPr>
        <w:pStyle w:val="Title"/>
        <w:spacing w:after="0"/>
        <w:jc w:val="both"/>
        <w:rPr>
          <w:rFonts w:ascii="Arial" w:hAnsi="Arial" w:cs="Arial"/>
          <w:u w:val="single"/>
        </w:rPr>
      </w:pPr>
      <w:r w:rsidRPr="00B8291F">
        <w:rPr>
          <w:rFonts w:ascii="Arial" w:hAnsi="Arial" w:cs="Arial"/>
          <w:u w:val="single"/>
        </w:rPr>
        <w:t>Review Article</w:t>
      </w:r>
    </w:p>
    <w:p w14:paraId="0C43F8B9" w14:textId="77777777" w:rsidR="00B8291F" w:rsidRPr="00B8291F" w:rsidRDefault="00B8291F" w:rsidP="00441B6F">
      <w:pPr>
        <w:pStyle w:val="Title"/>
        <w:spacing w:after="0"/>
        <w:jc w:val="both"/>
        <w:rPr>
          <w:rFonts w:ascii="Arial" w:hAnsi="Arial" w:cs="Arial"/>
          <w:u w:val="single"/>
        </w:rPr>
      </w:pPr>
    </w:p>
    <w:p w14:paraId="608358F4" w14:textId="77777777" w:rsidR="0045747D" w:rsidRDefault="0045747D" w:rsidP="00441B6F">
      <w:pPr>
        <w:pStyle w:val="Author"/>
        <w:spacing w:line="240" w:lineRule="auto"/>
        <w:rPr>
          <w:rFonts w:ascii="Arial" w:hAnsi="Arial" w:cs="Arial"/>
          <w:bCs/>
          <w:iCs/>
          <w:kern w:val="28"/>
          <w:sz w:val="36"/>
        </w:rPr>
      </w:pPr>
      <w:r w:rsidRPr="0045747D">
        <w:rPr>
          <w:rFonts w:ascii="Arial" w:hAnsi="Arial" w:cs="Arial"/>
          <w:bCs/>
          <w:iCs/>
          <w:kern w:val="28"/>
          <w:sz w:val="36"/>
        </w:rPr>
        <w:t>Nanotechnology Applications in Rice Pest and Disease Management: A Comprehensive Review</w:t>
      </w:r>
    </w:p>
    <w:p w14:paraId="48C3D6DF" w14:textId="77777777" w:rsidR="0045747D" w:rsidRDefault="0045747D" w:rsidP="00441B6F">
      <w:pPr>
        <w:pStyle w:val="Author"/>
        <w:spacing w:line="240" w:lineRule="auto"/>
        <w:rPr>
          <w:rFonts w:ascii="Arial" w:hAnsi="Arial" w:cs="Arial"/>
          <w:bCs/>
          <w:iCs/>
          <w:kern w:val="28"/>
          <w:sz w:val="36"/>
        </w:rPr>
      </w:pPr>
    </w:p>
    <w:p w14:paraId="1603E46D" w14:textId="7005F36A" w:rsidR="00B01FCD" w:rsidRDefault="00B01FCD" w:rsidP="00441B6F">
      <w:pPr>
        <w:pStyle w:val="AbstHead"/>
        <w:spacing w:after="0"/>
        <w:jc w:val="both"/>
        <w:rPr>
          <w:rFonts w:ascii="Arial" w:hAnsi="Arial" w:cs="Arial"/>
        </w:rPr>
      </w:pPr>
      <w:r w:rsidRPr="00FB3A86">
        <w:rPr>
          <w:rFonts w:ascii="Arial" w:hAnsi="Arial" w:cs="Arial"/>
        </w:rPr>
        <w:t>ABSTRACT</w:t>
      </w:r>
    </w:p>
    <w:p w14:paraId="2E5EDA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64CDEA" w14:textId="77777777" w:rsidTr="001E44FE">
        <w:tc>
          <w:tcPr>
            <w:tcW w:w="9576" w:type="dxa"/>
            <w:shd w:val="clear" w:color="auto" w:fill="F2F2F2"/>
          </w:tcPr>
          <w:p w14:paraId="4710797F" w14:textId="77777777" w:rsidR="00E3114E" w:rsidRDefault="00E3114E" w:rsidP="00441B6F">
            <w:pPr>
              <w:pStyle w:val="Body"/>
              <w:spacing w:after="0"/>
              <w:rPr>
                <w:rFonts w:ascii="Arial" w:eastAsia="Calibri" w:hAnsi="Arial" w:cs="Arial"/>
                <w:b/>
                <w:szCs w:val="22"/>
              </w:rPr>
            </w:pPr>
          </w:p>
          <w:p w14:paraId="7E56B3B2" w14:textId="1AE4C787" w:rsidR="00D377ED" w:rsidRDefault="00900DAD" w:rsidP="00441B6F">
            <w:pPr>
              <w:pStyle w:val="Body"/>
              <w:spacing w:after="0"/>
              <w:rPr>
                <w:rFonts w:ascii="Arial" w:eastAsia="Calibri" w:hAnsi="Arial" w:cs="Arial"/>
                <w:szCs w:val="22"/>
              </w:rPr>
            </w:pPr>
            <w:r>
              <w:rPr>
                <w:rFonts w:ascii="Arial" w:eastAsia="Calibri" w:hAnsi="Arial" w:cs="Arial"/>
                <w:b/>
                <w:szCs w:val="22"/>
              </w:rPr>
              <w:t>Background</w:t>
            </w:r>
            <w:bookmarkStart w:id="0" w:name="_GoBack"/>
            <w:bookmarkEnd w:id="0"/>
            <w:r w:rsidR="00BA1B01" w:rsidRPr="00BA1B01">
              <w:rPr>
                <w:rFonts w:ascii="Arial" w:eastAsia="Calibri" w:hAnsi="Arial" w:cs="Arial"/>
                <w:b/>
                <w:szCs w:val="22"/>
              </w:rPr>
              <w:t xml:space="preserve">: </w:t>
            </w:r>
            <w:r w:rsidR="00D377ED" w:rsidRPr="00D377ED">
              <w:rPr>
                <w:rFonts w:ascii="Arial" w:eastAsia="Calibri" w:hAnsi="Arial" w:cs="Arial"/>
                <w:szCs w:val="22"/>
              </w:rPr>
              <w:t>Rice (</w:t>
            </w:r>
            <w:r w:rsidR="008A517F" w:rsidRPr="008A517F">
              <w:rPr>
                <w:rFonts w:ascii="Arial" w:eastAsia="Calibri" w:hAnsi="Arial" w:cs="Arial"/>
                <w:i/>
                <w:iCs/>
                <w:szCs w:val="22"/>
              </w:rPr>
              <w:t>Oryza sativa L.</w:t>
            </w:r>
            <w:r w:rsidR="00D377ED" w:rsidRPr="00D377ED">
              <w:rPr>
                <w:rFonts w:ascii="Arial" w:eastAsia="Calibri" w:hAnsi="Arial" w:cs="Arial"/>
                <w:szCs w:val="22"/>
              </w:rPr>
              <w:t xml:space="preserve">) is a critical staple crop supporting global food security, yet production is severely constrained by pests and diseases causing yield losses up to 80%. Conventional chemical control strategies have led to resistance development, environmental contamination, and non-target toxicity. </w:t>
            </w:r>
          </w:p>
          <w:p w14:paraId="555764ED" w14:textId="77777777" w:rsidR="00D377ED" w:rsidRDefault="00D377ED" w:rsidP="00441B6F">
            <w:pPr>
              <w:pStyle w:val="Body"/>
              <w:spacing w:after="0"/>
              <w:rPr>
                <w:rFonts w:ascii="Arial" w:eastAsia="Calibri" w:hAnsi="Arial" w:cs="Arial"/>
                <w:szCs w:val="22"/>
              </w:rPr>
            </w:pPr>
          </w:p>
          <w:p w14:paraId="6B8B3C59" w14:textId="0D14DB52" w:rsidR="00BA1B01" w:rsidRDefault="00D377ED" w:rsidP="00441B6F">
            <w:pPr>
              <w:pStyle w:val="Body"/>
              <w:spacing w:after="0"/>
              <w:rPr>
                <w:rFonts w:ascii="Arial" w:eastAsia="Calibri" w:hAnsi="Arial" w:cs="Arial"/>
                <w:szCs w:val="22"/>
              </w:rPr>
            </w:pPr>
            <w:r>
              <w:rPr>
                <w:rFonts w:ascii="Arial" w:eastAsia="Calibri" w:hAnsi="Arial" w:cs="Arial"/>
                <w:b/>
                <w:szCs w:val="22"/>
              </w:rPr>
              <w:t>Aims</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D377ED">
              <w:rPr>
                <w:rFonts w:ascii="Arial" w:eastAsia="Calibri" w:hAnsi="Arial" w:cs="Arial"/>
                <w:szCs w:val="22"/>
              </w:rPr>
              <w:t>This review synthesizes current knowledge on nanotechnology-based solutions for rice pest and disease management, evaluating efficacy, mechanisms, environmental safety, and adoption challenges.</w:t>
            </w:r>
          </w:p>
          <w:p w14:paraId="7B67C5D5" w14:textId="77777777" w:rsidR="00D377ED" w:rsidRDefault="00D377ED" w:rsidP="00441B6F">
            <w:pPr>
              <w:pStyle w:val="Body"/>
              <w:spacing w:after="0"/>
              <w:rPr>
                <w:rFonts w:ascii="Arial" w:eastAsia="Calibri" w:hAnsi="Arial" w:cs="Arial"/>
                <w:szCs w:val="22"/>
              </w:rPr>
            </w:pPr>
          </w:p>
          <w:p w14:paraId="5ECA368B" w14:textId="77777777" w:rsidR="00D377E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77ED" w:rsidRPr="00D377ED">
              <w:rPr>
                <w:rFonts w:ascii="Arial" w:eastAsia="Calibri" w:hAnsi="Arial" w:cs="Arial"/>
                <w:szCs w:val="22"/>
              </w:rPr>
              <w:t xml:space="preserve">Comprehensive literature review of peer-reviewed articles (2014–2025) covering </w:t>
            </w:r>
            <w:proofErr w:type="spellStart"/>
            <w:r w:rsidR="00D377ED" w:rsidRPr="00D377ED">
              <w:rPr>
                <w:rFonts w:ascii="Arial" w:eastAsia="Calibri" w:hAnsi="Arial" w:cs="Arial"/>
                <w:szCs w:val="22"/>
              </w:rPr>
              <w:t>nanopesticides</w:t>
            </w:r>
            <w:proofErr w:type="spellEnd"/>
            <w:r w:rsidR="00D377ED" w:rsidRPr="00D377ED">
              <w:rPr>
                <w:rFonts w:ascii="Arial" w:eastAsia="Calibri" w:hAnsi="Arial" w:cs="Arial"/>
                <w:szCs w:val="22"/>
              </w:rPr>
              <w:t xml:space="preserve">, </w:t>
            </w:r>
            <w:proofErr w:type="spellStart"/>
            <w:r w:rsidR="00D377ED" w:rsidRPr="00D377ED">
              <w:rPr>
                <w:rFonts w:ascii="Arial" w:eastAsia="Calibri" w:hAnsi="Arial" w:cs="Arial"/>
                <w:szCs w:val="22"/>
              </w:rPr>
              <w:t>nanofungicides</w:t>
            </w:r>
            <w:proofErr w:type="spellEnd"/>
            <w:r w:rsidR="00D377ED" w:rsidRPr="00D377ED">
              <w:rPr>
                <w:rFonts w:ascii="Arial" w:eastAsia="Calibri" w:hAnsi="Arial" w:cs="Arial"/>
                <w:szCs w:val="22"/>
              </w:rPr>
              <w:t>, and RNA interference delivery systems for rice protection.</w:t>
            </w:r>
          </w:p>
          <w:p w14:paraId="207B7637" w14:textId="77777777" w:rsidR="00D377ED" w:rsidRDefault="00D377ED" w:rsidP="00441B6F">
            <w:pPr>
              <w:pStyle w:val="Body"/>
              <w:spacing w:after="0"/>
              <w:rPr>
                <w:rFonts w:ascii="Arial" w:eastAsia="Calibri" w:hAnsi="Arial" w:cs="Arial"/>
                <w:bCs/>
                <w:szCs w:val="22"/>
              </w:rPr>
            </w:pPr>
          </w:p>
          <w:p w14:paraId="6F43162C" w14:textId="77777777" w:rsidR="00D377E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377ED" w:rsidRPr="00D377ED">
              <w:rPr>
                <w:rFonts w:ascii="Arial" w:eastAsia="Calibri" w:hAnsi="Arial" w:cs="Arial"/>
                <w:szCs w:val="22"/>
              </w:rPr>
              <w:t xml:space="preserve">Nano-enabled technologies demonstrate superior efficacy at 30–60% lower active ingredient concentrations compared to conventional formulations. Metal oxide nanoparticles exhibit broad-spectrum antimicrobial activity through multiple mechanisms including reactive oxygen species generation and membrane disruption. </w:t>
            </w:r>
          </w:p>
          <w:p w14:paraId="6C8572DE" w14:textId="77777777" w:rsidR="00D377ED" w:rsidRDefault="00D377ED" w:rsidP="00441B6F">
            <w:pPr>
              <w:pStyle w:val="Body"/>
              <w:spacing w:after="0"/>
              <w:rPr>
                <w:rFonts w:ascii="Arial" w:eastAsia="Calibri" w:hAnsi="Arial" w:cs="Arial"/>
                <w:bCs/>
                <w:szCs w:val="22"/>
              </w:rPr>
            </w:pPr>
          </w:p>
          <w:p w14:paraId="016B4C8F" w14:textId="6C35D9C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67DE" w:rsidRPr="005967DE">
              <w:rPr>
                <w:rFonts w:ascii="Arial" w:eastAsia="Calibri" w:hAnsi="Arial" w:cs="Arial"/>
                <w:szCs w:val="22"/>
              </w:rPr>
              <w:t>RNA interference delivered via nanocarriers offers species-specific gene silencing for resistance-proof pest management. Nanotechnology represents a transformative approach for sustainable rice protection, though critical challenges remain regarding long-term environmental fate assessment, comprehensive toxicological evaluation, regulatory framework development, production cost reduction, and farmer acceptance. Future research must prioritize mechanistic understanding of nanoparticle-biological interactions, lifecycle assessment, and integration with sustainable agriculture systems.</w:t>
            </w:r>
          </w:p>
        </w:tc>
      </w:tr>
    </w:tbl>
    <w:p w14:paraId="123C33D2" w14:textId="77777777" w:rsidR="00636EB2" w:rsidRDefault="00636EB2" w:rsidP="00441B6F">
      <w:pPr>
        <w:pStyle w:val="Body"/>
        <w:spacing w:after="0"/>
        <w:rPr>
          <w:rFonts w:ascii="Arial" w:hAnsi="Arial" w:cs="Arial"/>
          <w:i/>
        </w:rPr>
      </w:pPr>
    </w:p>
    <w:p w14:paraId="2A9CCBE8" w14:textId="726D46AB" w:rsidR="00A24E7E" w:rsidRDefault="00A24E7E" w:rsidP="00441B6F">
      <w:pPr>
        <w:pStyle w:val="Body"/>
        <w:spacing w:after="0"/>
        <w:rPr>
          <w:rFonts w:ascii="Arial" w:hAnsi="Arial" w:cs="Arial"/>
          <w:i/>
        </w:rPr>
      </w:pPr>
      <w:r>
        <w:rPr>
          <w:rFonts w:ascii="Arial" w:hAnsi="Arial" w:cs="Arial"/>
          <w:i/>
        </w:rPr>
        <w:t>Keywords:</w:t>
      </w:r>
      <w:r w:rsidR="00D377ED">
        <w:rPr>
          <w:rFonts w:ascii="Arial" w:hAnsi="Arial" w:cs="Arial"/>
          <w:i/>
        </w:rPr>
        <w:t xml:space="preserve"> </w:t>
      </w:r>
      <w:r w:rsidR="00D377ED" w:rsidRPr="00D377ED">
        <w:rPr>
          <w:rFonts w:ascii="Arial" w:hAnsi="Arial" w:cs="Arial"/>
          <w:i/>
        </w:rPr>
        <w:t>Nanotechnology, Rice protection,</w:t>
      </w:r>
      <w:r w:rsidR="00D377ED">
        <w:rPr>
          <w:rFonts w:ascii="Arial" w:hAnsi="Arial" w:cs="Arial"/>
          <w:i/>
        </w:rPr>
        <w:t xml:space="preserve"> </w:t>
      </w:r>
      <w:proofErr w:type="spellStart"/>
      <w:r w:rsidR="00D377ED" w:rsidRPr="00D377ED">
        <w:rPr>
          <w:rFonts w:ascii="Arial" w:hAnsi="Arial" w:cs="Arial"/>
          <w:i/>
        </w:rPr>
        <w:t>Nanopesticides</w:t>
      </w:r>
      <w:proofErr w:type="spellEnd"/>
      <w:r w:rsidR="00D377ED" w:rsidRPr="00D377ED">
        <w:rPr>
          <w:rFonts w:ascii="Arial" w:hAnsi="Arial" w:cs="Arial"/>
          <w:i/>
        </w:rPr>
        <w:t xml:space="preserve">, </w:t>
      </w:r>
      <w:proofErr w:type="spellStart"/>
      <w:r w:rsidR="00D377ED" w:rsidRPr="00D377ED">
        <w:rPr>
          <w:rFonts w:ascii="Arial" w:hAnsi="Arial" w:cs="Arial"/>
          <w:i/>
        </w:rPr>
        <w:t>Nanofungicides</w:t>
      </w:r>
      <w:proofErr w:type="spellEnd"/>
      <w:r w:rsidR="00D377ED" w:rsidRPr="00D377ED">
        <w:rPr>
          <w:rFonts w:ascii="Arial" w:hAnsi="Arial" w:cs="Arial"/>
          <w:i/>
        </w:rPr>
        <w:t>, RNA interference, Pest management</w:t>
      </w:r>
      <w:r>
        <w:rPr>
          <w:rFonts w:ascii="Arial" w:hAnsi="Arial" w:cs="Arial"/>
          <w:i/>
        </w:rPr>
        <w:t xml:space="preserve"> </w:t>
      </w:r>
    </w:p>
    <w:p w14:paraId="42154884" w14:textId="77777777" w:rsidR="0024282C" w:rsidRDefault="0024282C" w:rsidP="00441B6F">
      <w:pPr>
        <w:pStyle w:val="Body"/>
        <w:spacing w:after="0"/>
        <w:rPr>
          <w:rFonts w:ascii="Arial" w:hAnsi="Arial" w:cs="Arial"/>
          <w:i/>
          <w:sz w:val="18"/>
        </w:rPr>
      </w:pPr>
    </w:p>
    <w:p w14:paraId="458BB94F" w14:textId="77777777" w:rsidR="00505F06" w:rsidRPr="00A24E7E" w:rsidRDefault="00505F06" w:rsidP="00441B6F">
      <w:pPr>
        <w:pStyle w:val="Body"/>
        <w:spacing w:after="0"/>
        <w:rPr>
          <w:rFonts w:ascii="Arial" w:hAnsi="Arial" w:cs="Arial"/>
          <w:i/>
        </w:rPr>
      </w:pPr>
    </w:p>
    <w:p w14:paraId="1C50DEDF" w14:textId="1E7FCD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82DC50" w14:textId="0704AD6A" w:rsidR="00790ADA" w:rsidRPr="0084071C" w:rsidRDefault="003E5501" w:rsidP="00D377ED">
      <w:pPr>
        <w:pStyle w:val="AbstHead"/>
        <w:spacing w:after="0"/>
        <w:jc w:val="both"/>
        <w:rPr>
          <w:rFonts w:ascii="Arial" w:hAnsi="Arial" w:cs="Arial"/>
          <w:caps w:val="0"/>
          <w:szCs w:val="22"/>
        </w:rPr>
      </w:pPr>
      <w:r w:rsidRPr="0084071C">
        <w:rPr>
          <w:rFonts w:ascii="Arial" w:hAnsi="Arial" w:cs="Arial"/>
          <w:caps w:val="0"/>
          <w:szCs w:val="22"/>
        </w:rPr>
        <w:t>1.1 Rice as a Global Food Security Pillar</w:t>
      </w:r>
    </w:p>
    <w:p w14:paraId="5CEA43B7" w14:textId="77777777" w:rsidR="003F761E" w:rsidRPr="003E5501" w:rsidRDefault="003F761E" w:rsidP="00D377ED">
      <w:pPr>
        <w:pStyle w:val="AbstHead"/>
        <w:spacing w:after="0"/>
        <w:jc w:val="both"/>
        <w:rPr>
          <w:rFonts w:ascii="Arial" w:hAnsi="Arial" w:cs="Arial"/>
          <w:b w:val="0"/>
          <w:bCs/>
          <w:i/>
          <w:iCs/>
          <w:sz w:val="20"/>
        </w:rPr>
      </w:pPr>
    </w:p>
    <w:p w14:paraId="01BAE1F3" w14:textId="4ACA1990" w:rsidR="003E5501" w:rsidRDefault="005967DE" w:rsidP="00D377ED">
      <w:pPr>
        <w:jc w:val="both"/>
        <w:rPr>
          <w:rFonts w:ascii="Arial" w:hAnsi="Arial" w:cs="Arial"/>
        </w:rPr>
      </w:pPr>
      <w:r w:rsidRPr="005967DE">
        <w:rPr>
          <w:rFonts w:ascii="Arial" w:hAnsi="Arial" w:cs="Arial"/>
        </w:rPr>
        <w:t>Rice (</w:t>
      </w:r>
      <w:r w:rsidR="008A517F" w:rsidRPr="008A517F">
        <w:rPr>
          <w:rFonts w:ascii="Arial" w:hAnsi="Arial" w:cs="Arial"/>
          <w:i/>
          <w:iCs/>
        </w:rPr>
        <w:t>Oryza sativa L.</w:t>
      </w:r>
      <w:r w:rsidRPr="005967DE">
        <w:rPr>
          <w:rFonts w:ascii="Arial" w:hAnsi="Arial" w:cs="Arial"/>
        </w:rPr>
        <w:t>) provides the primary caloric source for over 3.5 billion people globally, contributing approximately 60% of daily energy intake across Asia and serving as an increasingly important staple in Africa (Savary et al., 2019; Rajwade et al., 2020). Global rice production reached 520 million metric tons in 2024, cultivated across approximately 165 million hectares (FAOSTAT, 2024). Beyond nutritional significance, rice cultivation underpins complex socioeconomic frameworks, providing livelihoods for over 144 million smallholder farming households and contributing substantially to rural economies in developing nations (</w:t>
      </w:r>
      <w:proofErr w:type="spellStart"/>
      <w:r w:rsidRPr="005967DE">
        <w:rPr>
          <w:rFonts w:ascii="Arial" w:hAnsi="Arial" w:cs="Arial"/>
        </w:rPr>
        <w:t>Mottaleb</w:t>
      </w:r>
      <w:proofErr w:type="spellEnd"/>
      <w:r w:rsidRPr="005967DE">
        <w:rPr>
          <w:rFonts w:ascii="Arial" w:hAnsi="Arial" w:cs="Arial"/>
        </w:rPr>
        <w:t xml:space="preserve"> et al., 2017; Singh et al., 2021). Climate change projections indicate that rice yields must increase by 25–30% by 2050 to meet growing demand while facing increased biotic and abiotic stresses (Ray et al., 2019).</w:t>
      </w:r>
    </w:p>
    <w:p w14:paraId="098F4087" w14:textId="77777777" w:rsidR="005967DE" w:rsidRDefault="005967DE" w:rsidP="00D377ED">
      <w:pPr>
        <w:jc w:val="both"/>
        <w:rPr>
          <w:rFonts w:ascii="Arial" w:hAnsi="Arial" w:cs="Arial"/>
        </w:rPr>
      </w:pPr>
    </w:p>
    <w:p w14:paraId="4199BEB4" w14:textId="16AA5F56" w:rsidR="003E5501" w:rsidRPr="0084071C" w:rsidRDefault="003E5501" w:rsidP="00D377ED">
      <w:pPr>
        <w:jc w:val="both"/>
        <w:rPr>
          <w:rFonts w:ascii="Arial" w:hAnsi="Arial" w:cs="Arial"/>
          <w:b/>
          <w:bCs/>
          <w:sz w:val="22"/>
          <w:szCs w:val="22"/>
        </w:rPr>
      </w:pPr>
      <w:r w:rsidRPr="0084071C">
        <w:rPr>
          <w:rFonts w:ascii="Arial" w:hAnsi="Arial" w:cs="Arial"/>
          <w:b/>
          <w:bCs/>
          <w:sz w:val="22"/>
          <w:szCs w:val="22"/>
        </w:rPr>
        <w:t>1.2 Major Biotic Constraints in Rice Production</w:t>
      </w:r>
    </w:p>
    <w:p w14:paraId="7AB597E2" w14:textId="77777777" w:rsidR="003F761E" w:rsidRPr="003E5501" w:rsidRDefault="003F761E" w:rsidP="00D377ED">
      <w:pPr>
        <w:jc w:val="both"/>
        <w:rPr>
          <w:rFonts w:ascii="Arial" w:hAnsi="Arial" w:cs="Arial"/>
          <w:i/>
          <w:iCs/>
        </w:rPr>
      </w:pPr>
    </w:p>
    <w:p w14:paraId="383E4352" w14:textId="3F95BA08" w:rsidR="005967DE" w:rsidRPr="005967DE" w:rsidRDefault="005967DE" w:rsidP="005967DE">
      <w:pPr>
        <w:pStyle w:val="Body"/>
        <w:rPr>
          <w:rFonts w:ascii="Arial" w:hAnsi="Arial" w:cs="Arial"/>
        </w:rPr>
      </w:pPr>
      <w:r w:rsidRPr="005967DE">
        <w:rPr>
          <w:rFonts w:ascii="Arial" w:hAnsi="Arial" w:cs="Arial"/>
        </w:rPr>
        <w:t xml:space="preserve">Rice blast disease, caused by </w:t>
      </w:r>
      <w:proofErr w:type="spellStart"/>
      <w:r w:rsidR="008A517F" w:rsidRPr="008A517F">
        <w:rPr>
          <w:rFonts w:ascii="Arial" w:hAnsi="Arial" w:cs="Arial"/>
          <w:i/>
          <w:iCs/>
        </w:rPr>
        <w:t>Pyricularia</w:t>
      </w:r>
      <w:proofErr w:type="spellEnd"/>
      <w:r w:rsidR="008A517F" w:rsidRPr="008A517F">
        <w:rPr>
          <w:rFonts w:ascii="Arial" w:hAnsi="Arial" w:cs="Arial"/>
          <w:i/>
          <w:iCs/>
        </w:rPr>
        <w:t xml:space="preserve"> </w:t>
      </w:r>
      <w:proofErr w:type="spellStart"/>
      <w:r w:rsidR="008A517F" w:rsidRPr="008A517F">
        <w:rPr>
          <w:rFonts w:ascii="Arial" w:hAnsi="Arial" w:cs="Arial"/>
          <w:i/>
          <w:iCs/>
        </w:rPr>
        <w:t>oryzae</w:t>
      </w:r>
      <w:proofErr w:type="spellEnd"/>
      <w:r w:rsidRPr="005967DE">
        <w:rPr>
          <w:rFonts w:ascii="Arial" w:hAnsi="Arial" w:cs="Arial"/>
        </w:rPr>
        <w:t xml:space="preserve"> (syn. </w:t>
      </w:r>
      <w:proofErr w:type="spellStart"/>
      <w:r w:rsidR="008A517F" w:rsidRPr="008A517F">
        <w:rPr>
          <w:rFonts w:ascii="Arial" w:hAnsi="Arial" w:cs="Arial"/>
          <w:i/>
          <w:iCs/>
        </w:rPr>
        <w:t>Magnaporthe</w:t>
      </w:r>
      <w:proofErr w:type="spellEnd"/>
      <w:r w:rsidR="008A517F" w:rsidRPr="008A517F">
        <w:rPr>
          <w:rFonts w:ascii="Arial" w:hAnsi="Arial" w:cs="Arial"/>
          <w:i/>
          <w:iCs/>
        </w:rPr>
        <w:t xml:space="preserve"> </w:t>
      </w:r>
      <w:proofErr w:type="spellStart"/>
      <w:r w:rsidR="008A517F" w:rsidRPr="008A517F">
        <w:rPr>
          <w:rFonts w:ascii="Arial" w:hAnsi="Arial" w:cs="Arial"/>
          <w:i/>
          <w:iCs/>
        </w:rPr>
        <w:t>oryzae</w:t>
      </w:r>
      <w:proofErr w:type="spellEnd"/>
      <w:r w:rsidRPr="005967DE">
        <w:rPr>
          <w:rFonts w:ascii="Arial" w:hAnsi="Arial" w:cs="Arial"/>
        </w:rPr>
        <w:t>), remains the most economically devastating fungal disease, causing annual yield losses estimated at 10–30% globally, with localized epidemics destroying entire crops (</w:t>
      </w:r>
      <w:proofErr w:type="spellStart"/>
      <w:r w:rsidRPr="005967DE">
        <w:rPr>
          <w:rFonts w:ascii="Arial" w:hAnsi="Arial" w:cs="Arial"/>
        </w:rPr>
        <w:t>Asibi</w:t>
      </w:r>
      <w:proofErr w:type="spellEnd"/>
      <w:r w:rsidRPr="005967DE">
        <w:rPr>
          <w:rFonts w:ascii="Arial" w:hAnsi="Arial" w:cs="Arial"/>
        </w:rPr>
        <w:t xml:space="preserve"> et al., 2019; Talbot et al., 2021). Sheath blight (</w:t>
      </w:r>
      <w:proofErr w:type="spellStart"/>
      <w:r w:rsidR="008A517F" w:rsidRPr="008A517F">
        <w:rPr>
          <w:rFonts w:ascii="Arial" w:hAnsi="Arial" w:cs="Arial"/>
          <w:i/>
          <w:iCs/>
        </w:rPr>
        <w:t>Rhizoctonia</w:t>
      </w:r>
      <w:proofErr w:type="spellEnd"/>
      <w:r w:rsidR="008A517F" w:rsidRPr="008A517F">
        <w:rPr>
          <w:rFonts w:ascii="Arial" w:hAnsi="Arial" w:cs="Arial"/>
          <w:i/>
          <w:iCs/>
        </w:rPr>
        <w:t xml:space="preserve"> </w:t>
      </w:r>
      <w:proofErr w:type="spellStart"/>
      <w:r w:rsidR="008A517F" w:rsidRPr="008A517F">
        <w:rPr>
          <w:rFonts w:ascii="Arial" w:hAnsi="Arial" w:cs="Arial"/>
          <w:i/>
          <w:iCs/>
        </w:rPr>
        <w:t>solani</w:t>
      </w:r>
      <w:proofErr w:type="spellEnd"/>
      <w:r w:rsidRPr="005967DE">
        <w:rPr>
          <w:rFonts w:ascii="Arial" w:hAnsi="Arial" w:cs="Arial"/>
        </w:rPr>
        <w:t>) affects 30–40% of rice-growing areas worldwide, causing yield reductions of 5–50% depending on disease severity and environmental conditions (Molla et al., 2020). Bacterial leaf blight (</w:t>
      </w:r>
      <w:r w:rsidR="008A517F" w:rsidRPr="008A517F">
        <w:rPr>
          <w:rFonts w:ascii="Arial" w:hAnsi="Arial" w:cs="Arial"/>
          <w:i/>
          <w:iCs/>
        </w:rPr>
        <w:t xml:space="preserve">Xanthomonas </w:t>
      </w:r>
      <w:proofErr w:type="spellStart"/>
      <w:r w:rsidR="0005531A" w:rsidRPr="008A517F">
        <w:rPr>
          <w:rFonts w:ascii="Arial" w:hAnsi="Arial" w:cs="Arial"/>
          <w:i/>
          <w:iCs/>
        </w:rPr>
        <w:t>oryzae</w:t>
      </w:r>
      <w:proofErr w:type="spellEnd"/>
      <w:r w:rsidR="0005531A" w:rsidRPr="008A517F">
        <w:rPr>
          <w:rFonts w:ascii="Arial" w:hAnsi="Arial" w:cs="Arial"/>
          <w:i/>
          <w:iCs/>
        </w:rPr>
        <w:t xml:space="preserve"> </w:t>
      </w:r>
      <w:proofErr w:type="spellStart"/>
      <w:r w:rsidR="0005531A" w:rsidRPr="005967DE">
        <w:rPr>
          <w:rFonts w:ascii="Arial" w:hAnsi="Arial" w:cs="Arial"/>
        </w:rPr>
        <w:t>pv</w:t>
      </w:r>
      <w:proofErr w:type="spellEnd"/>
      <w:r w:rsidRPr="005967DE">
        <w:rPr>
          <w:rFonts w:ascii="Arial" w:hAnsi="Arial" w:cs="Arial"/>
        </w:rPr>
        <w:t xml:space="preserve">. </w:t>
      </w:r>
      <w:r w:rsidR="008A517F" w:rsidRPr="008A517F">
        <w:rPr>
          <w:rFonts w:ascii="Arial" w:hAnsi="Arial" w:cs="Arial"/>
          <w:i/>
          <w:iCs/>
        </w:rPr>
        <w:t>oryzae</w:t>
      </w:r>
      <w:r w:rsidRPr="005967DE">
        <w:rPr>
          <w:rFonts w:ascii="Arial" w:hAnsi="Arial" w:cs="Arial"/>
        </w:rPr>
        <w:t>) and bacterial leaf streak (</w:t>
      </w:r>
      <w:r w:rsidR="008A517F" w:rsidRPr="008A517F">
        <w:rPr>
          <w:rFonts w:ascii="Arial" w:hAnsi="Arial" w:cs="Arial"/>
          <w:i/>
          <w:iCs/>
        </w:rPr>
        <w:t xml:space="preserve">X. </w:t>
      </w:r>
      <w:proofErr w:type="spellStart"/>
      <w:r w:rsidR="008A517F" w:rsidRPr="008A517F">
        <w:rPr>
          <w:rFonts w:ascii="Arial" w:hAnsi="Arial" w:cs="Arial"/>
          <w:i/>
          <w:iCs/>
        </w:rPr>
        <w:t>oryzae</w:t>
      </w:r>
      <w:proofErr w:type="spellEnd"/>
      <w:r w:rsidR="008A517F" w:rsidRPr="008A517F">
        <w:rPr>
          <w:rFonts w:ascii="Arial" w:hAnsi="Arial" w:cs="Arial"/>
          <w:i/>
          <w:iCs/>
        </w:rPr>
        <w:t xml:space="preserve"> </w:t>
      </w:r>
      <w:proofErr w:type="spellStart"/>
      <w:r w:rsidR="008A517F" w:rsidRPr="005967DE">
        <w:rPr>
          <w:rFonts w:ascii="Arial" w:hAnsi="Arial" w:cs="Arial"/>
        </w:rPr>
        <w:t>pv</w:t>
      </w:r>
      <w:proofErr w:type="spellEnd"/>
      <w:r w:rsidRPr="005967DE">
        <w:rPr>
          <w:rFonts w:ascii="Arial" w:hAnsi="Arial" w:cs="Arial"/>
        </w:rPr>
        <w:t xml:space="preserve">. </w:t>
      </w:r>
      <w:proofErr w:type="spellStart"/>
      <w:r w:rsidRPr="008A517F">
        <w:rPr>
          <w:rFonts w:ascii="Arial" w:hAnsi="Arial" w:cs="Arial"/>
          <w:i/>
          <w:iCs/>
        </w:rPr>
        <w:t>oryzicola</w:t>
      </w:r>
      <w:proofErr w:type="spellEnd"/>
      <w:r w:rsidRPr="005967DE">
        <w:rPr>
          <w:rFonts w:ascii="Arial" w:hAnsi="Arial" w:cs="Arial"/>
        </w:rPr>
        <w:t>) collectively cause losses exceeding 20 million tons annually in Asia alone (Niño-Liu et al., 2006; Dossa et al., 2020).</w:t>
      </w:r>
    </w:p>
    <w:p w14:paraId="47A98053" w14:textId="77777777" w:rsidR="005967DE" w:rsidRPr="005967DE" w:rsidRDefault="005967DE" w:rsidP="005967DE">
      <w:pPr>
        <w:pStyle w:val="Body"/>
        <w:rPr>
          <w:rFonts w:ascii="Arial" w:hAnsi="Arial" w:cs="Arial"/>
        </w:rPr>
      </w:pPr>
    </w:p>
    <w:p w14:paraId="5F108B16" w14:textId="71FDC65C" w:rsidR="00790ADA" w:rsidRDefault="005967DE" w:rsidP="005967DE">
      <w:pPr>
        <w:pStyle w:val="Body"/>
        <w:spacing w:after="0"/>
        <w:rPr>
          <w:rFonts w:ascii="Arial" w:hAnsi="Arial" w:cs="Arial"/>
        </w:rPr>
      </w:pPr>
      <w:r w:rsidRPr="005967DE">
        <w:rPr>
          <w:rFonts w:ascii="Arial" w:hAnsi="Arial" w:cs="Arial"/>
        </w:rPr>
        <w:lastRenderedPageBreak/>
        <w:t>Among insect pests, brown planthopper (</w:t>
      </w:r>
      <w:proofErr w:type="spellStart"/>
      <w:r w:rsidR="0005531A" w:rsidRPr="0005531A">
        <w:rPr>
          <w:rFonts w:ascii="Arial" w:hAnsi="Arial" w:cs="Arial"/>
          <w:i/>
          <w:iCs/>
        </w:rPr>
        <w:t>Nilaparvata</w:t>
      </w:r>
      <w:proofErr w:type="spellEnd"/>
      <w:r w:rsidR="0005531A" w:rsidRPr="0005531A">
        <w:rPr>
          <w:rFonts w:ascii="Arial" w:hAnsi="Arial" w:cs="Arial"/>
          <w:i/>
          <w:iCs/>
        </w:rPr>
        <w:t xml:space="preserve"> </w:t>
      </w:r>
      <w:proofErr w:type="spellStart"/>
      <w:r w:rsidR="0005531A" w:rsidRPr="0005531A">
        <w:rPr>
          <w:rFonts w:ascii="Arial" w:hAnsi="Arial" w:cs="Arial"/>
          <w:i/>
          <w:iCs/>
        </w:rPr>
        <w:t>lugens</w:t>
      </w:r>
      <w:proofErr w:type="spellEnd"/>
      <w:r w:rsidRPr="005967DE">
        <w:rPr>
          <w:rFonts w:ascii="Arial" w:hAnsi="Arial" w:cs="Arial"/>
        </w:rPr>
        <w:t>) causes direct feeding damage and transmits grassy stunt and ragged stunt viruses, resulting in annual losses of 5–60% across Asia (Bottrell &amp; Schoenly, 2012; Rashid et al., 2017). Stem borers (</w:t>
      </w:r>
      <w:proofErr w:type="spellStart"/>
      <w:r w:rsidR="0005531A" w:rsidRPr="0005531A">
        <w:rPr>
          <w:rFonts w:ascii="Arial" w:hAnsi="Arial" w:cs="Arial"/>
          <w:i/>
          <w:iCs/>
        </w:rPr>
        <w:t>Scirpophaga</w:t>
      </w:r>
      <w:proofErr w:type="spellEnd"/>
      <w:r w:rsidR="0005531A" w:rsidRPr="0005531A">
        <w:rPr>
          <w:rFonts w:ascii="Arial" w:hAnsi="Arial" w:cs="Arial"/>
          <w:i/>
          <w:iCs/>
        </w:rPr>
        <w:t xml:space="preserve"> </w:t>
      </w:r>
      <w:proofErr w:type="spellStart"/>
      <w:r w:rsidR="0005531A" w:rsidRPr="0005531A">
        <w:rPr>
          <w:rFonts w:ascii="Arial" w:hAnsi="Arial" w:cs="Arial"/>
          <w:i/>
          <w:iCs/>
        </w:rPr>
        <w:t>incertulas</w:t>
      </w:r>
      <w:proofErr w:type="spellEnd"/>
      <w:r w:rsidRPr="005967DE">
        <w:rPr>
          <w:rFonts w:ascii="Arial" w:hAnsi="Arial" w:cs="Arial"/>
        </w:rPr>
        <w:t xml:space="preserve">, </w:t>
      </w:r>
      <w:proofErr w:type="spellStart"/>
      <w:r w:rsidRPr="0005531A">
        <w:rPr>
          <w:rFonts w:ascii="Arial" w:hAnsi="Arial" w:cs="Arial"/>
          <w:i/>
          <w:iCs/>
        </w:rPr>
        <w:t>Chilo</w:t>
      </w:r>
      <w:proofErr w:type="spellEnd"/>
      <w:r w:rsidRPr="0005531A">
        <w:rPr>
          <w:rFonts w:ascii="Arial" w:hAnsi="Arial" w:cs="Arial"/>
          <w:i/>
          <w:iCs/>
        </w:rPr>
        <w:t xml:space="preserve"> </w:t>
      </w:r>
      <w:proofErr w:type="spellStart"/>
      <w:r w:rsidRPr="0005531A">
        <w:rPr>
          <w:rFonts w:ascii="Arial" w:hAnsi="Arial" w:cs="Arial"/>
          <w:i/>
          <w:iCs/>
        </w:rPr>
        <w:t>suppressalis</w:t>
      </w:r>
      <w:proofErr w:type="spellEnd"/>
      <w:r w:rsidRPr="005967DE">
        <w:rPr>
          <w:rFonts w:ascii="Arial" w:hAnsi="Arial" w:cs="Arial"/>
        </w:rPr>
        <w:t>) damage 15–30% of potential yield through larval boring activity during critical growth stages. Rice leaf folder (</w:t>
      </w:r>
      <w:proofErr w:type="spellStart"/>
      <w:r w:rsidRPr="0005531A">
        <w:rPr>
          <w:rFonts w:ascii="Arial" w:hAnsi="Arial" w:cs="Arial"/>
          <w:i/>
          <w:iCs/>
        </w:rPr>
        <w:t>Cnaphalocrocis</w:t>
      </w:r>
      <w:proofErr w:type="spellEnd"/>
      <w:r w:rsidRPr="0005531A">
        <w:rPr>
          <w:rFonts w:ascii="Arial" w:hAnsi="Arial" w:cs="Arial"/>
          <w:i/>
          <w:iCs/>
        </w:rPr>
        <w:t xml:space="preserve"> </w:t>
      </w:r>
      <w:proofErr w:type="spellStart"/>
      <w:r w:rsidRPr="0005531A">
        <w:rPr>
          <w:rFonts w:ascii="Arial" w:hAnsi="Arial" w:cs="Arial"/>
          <w:i/>
          <w:iCs/>
        </w:rPr>
        <w:t>medinalis</w:t>
      </w:r>
      <w:proofErr w:type="spellEnd"/>
      <w:r w:rsidRPr="005967DE">
        <w:rPr>
          <w:rFonts w:ascii="Arial" w:hAnsi="Arial" w:cs="Arial"/>
        </w:rPr>
        <w:t>) has emerged as a major pest due to climate warming and insecticide resistance, causing 10–60% yield losses during outbreak years (Salim &amp; Heinrichs, 1986; Lu et al., 2017).</w:t>
      </w:r>
    </w:p>
    <w:p w14:paraId="3DA53828" w14:textId="77777777" w:rsidR="005967DE" w:rsidRDefault="005967DE" w:rsidP="005967DE">
      <w:pPr>
        <w:pStyle w:val="Body"/>
        <w:spacing w:after="0"/>
        <w:rPr>
          <w:rFonts w:ascii="Arial" w:hAnsi="Arial" w:cs="Arial"/>
        </w:rPr>
      </w:pPr>
    </w:p>
    <w:p w14:paraId="13F6DEC1" w14:textId="02F886FC" w:rsidR="003E5501" w:rsidRPr="0084071C" w:rsidRDefault="003E5501" w:rsidP="003E5501">
      <w:pPr>
        <w:pStyle w:val="Body"/>
        <w:spacing w:after="0"/>
        <w:rPr>
          <w:rFonts w:ascii="Arial" w:hAnsi="Arial" w:cs="Arial"/>
          <w:b/>
          <w:bCs/>
          <w:sz w:val="22"/>
          <w:szCs w:val="22"/>
        </w:rPr>
      </w:pPr>
      <w:r w:rsidRPr="0084071C">
        <w:rPr>
          <w:rFonts w:ascii="Arial" w:hAnsi="Arial" w:cs="Arial"/>
          <w:b/>
          <w:bCs/>
          <w:sz w:val="22"/>
          <w:szCs w:val="22"/>
        </w:rPr>
        <w:t>1.3 Limitations of Conventional Pest Management Strategies</w:t>
      </w:r>
    </w:p>
    <w:p w14:paraId="4EFFB13D" w14:textId="77777777" w:rsidR="003F761E" w:rsidRPr="003E5501" w:rsidRDefault="003F761E" w:rsidP="003E5501">
      <w:pPr>
        <w:pStyle w:val="Body"/>
        <w:spacing w:after="0"/>
        <w:rPr>
          <w:rFonts w:ascii="Arial" w:hAnsi="Arial" w:cs="Arial"/>
          <w:i/>
          <w:iCs/>
        </w:rPr>
      </w:pPr>
    </w:p>
    <w:p w14:paraId="551821AF" w14:textId="77777777" w:rsidR="005967DE" w:rsidRPr="005967DE" w:rsidRDefault="005967DE" w:rsidP="005967DE">
      <w:pPr>
        <w:jc w:val="both"/>
        <w:rPr>
          <w:rFonts w:ascii="Arial" w:hAnsi="Arial" w:cs="Arial"/>
        </w:rPr>
      </w:pPr>
      <w:r w:rsidRPr="005967DE">
        <w:rPr>
          <w:rFonts w:ascii="Arial" w:hAnsi="Arial" w:cs="Arial"/>
        </w:rPr>
        <w:t>Global pesticide use in rice cultivation exceeds 700,000 metric tons annually, representing approximately 15% of total agricultural pesticide consumption (Zhang et al., 2018). However, conventional chemical control faces critical limitations:</w:t>
      </w:r>
    </w:p>
    <w:p w14:paraId="19D10EB1" w14:textId="77777777" w:rsidR="005967DE" w:rsidRPr="005967DE" w:rsidRDefault="005967DE" w:rsidP="005967DE">
      <w:pPr>
        <w:jc w:val="both"/>
        <w:rPr>
          <w:rFonts w:ascii="Arial" w:hAnsi="Arial" w:cs="Arial"/>
        </w:rPr>
      </w:pPr>
    </w:p>
    <w:p w14:paraId="042D6728" w14:textId="277E9375" w:rsidR="005967DE" w:rsidRPr="005967DE" w:rsidRDefault="005967DE" w:rsidP="005967DE">
      <w:pPr>
        <w:jc w:val="both"/>
        <w:rPr>
          <w:rFonts w:ascii="Arial" w:hAnsi="Arial" w:cs="Arial"/>
        </w:rPr>
      </w:pPr>
      <w:r w:rsidRPr="00BF7AA8">
        <w:rPr>
          <w:rFonts w:ascii="Arial" w:hAnsi="Arial" w:cs="Arial"/>
          <w:b/>
          <w:bCs/>
        </w:rPr>
        <w:t>Resistance Development:</w:t>
      </w:r>
      <w:r w:rsidRPr="005967DE">
        <w:rPr>
          <w:rFonts w:ascii="Arial" w:hAnsi="Arial" w:cs="Arial"/>
        </w:rPr>
        <w:t xml:space="preserve"> Over 600 arthropod species have developed resistance to at least one pesticide class, with brown planthopper showing resistance to organophosphates, pyrethroids, neonicotinoids, and </w:t>
      </w:r>
      <w:proofErr w:type="spellStart"/>
      <w:r w:rsidRPr="005967DE">
        <w:rPr>
          <w:rFonts w:ascii="Arial" w:hAnsi="Arial" w:cs="Arial"/>
        </w:rPr>
        <w:t>phenylpyrazoles</w:t>
      </w:r>
      <w:proofErr w:type="spellEnd"/>
      <w:r w:rsidRPr="005967DE">
        <w:rPr>
          <w:rFonts w:ascii="Arial" w:hAnsi="Arial" w:cs="Arial"/>
        </w:rPr>
        <w:t xml:space="preserve"> across major rice-growing regions (Sparks &amp; </w:t>
      </w:r>
      <w:proofErr w:type="spellStart"/>
      <w:r w:rsidRPr="005967DE">
        <w:rPr>
          <w:rFonts w:ascii="Arial" w:hAnsi="Arial" w:cs="Arial"/>
        </w:rPr>
        <w:t>Nauen</w:t>
      </w:r>
      <w:proofErr w:type="spellEnd"/>
      <w:r w:rsidRPr="005967DE">
        <w:rPr>
          <w:rFonts w:ascii="Arial" w:hAnsi="Arial" w:cs="Arial"/>
        </w:rPr>
        <w:t xml:space="preserve">, 2015; Bass et al., 2015). </w:t>
      </w:r>
      <w:proofErr w:type="spellStart"/>
      <w:r w:rsidR="008A517F" w:rsidRPr="008A517F">
        <w:rPr>
          <w:rFonts w:ascii="Arial" w:hAnsi="Arial" w:cs="Arial"/>
          <w:i/>
          <w:iCs/>
        </w:rPr>
        <w:t>Pyricularia</w:t>
      </w:r>
      <w:proofErr w:type="spellEnd"/>
      <w:r w:rsidR="008A517F" w:rsidRPr="008A517F">
        <w:rPr>
          <w:rFonts w:ascii="Arial" w:hAnsi="Arial" w:cs="Arial"/>
          <w:i/>
          <w:iCs/>
        </w:rPr>
        <w:t xml:space="preserve"> </w:t>
      </w:r>
      <w:proofErr w:type="spellStart"/>
      <w:r w:rsidR="008A517F" w:rsidRPr="008A517F">
        <w:rPr>
          <w:rFonts w:ascii="Arial" w:hAnsi="Arial" w:cs="Arial"/>
          <w:i/>
          <w:iCs/>
        </w:rPr>
        <w:t>oryzae</w:t>
      </w:r>
      <w:proofErr w:type="spellEnd"/>
      <w:r w:rsidRPr="005967DE">
        <w:rPr>
          <w:rFonts w:ascii="Arial" w:hAnsi="Arial" w:cs="Arial"/>
        </w:rPr>
        <w:t xml:space="preserve"> populations demonstrate widespread resistance to benzimidazoles, strobilurins, and azoles, limiting fungicide efficacy (Fernández-Ortuño et al., 2015; Islam et al., 2016).</w:t>
      </w:r>
    </w:p>
    <w:p w14:paraId="5CDB2E9D" w14:textId="77777777" w:rsidR="005967DE" w:rsidRPr="005967DE" w:rsidRDefault="005967DE" w:rsidP="005967DE">
      <w:pPr>
        <w:jc w:val="both"/>
        <w:rPr>
          <w:rFonts w:ascii="Arial" w:hAnsi="Arial" w:cs="Arial"/>
        </w:rPr>
      </w:pPr>
    </w:p>
    <w:p w14:paraId="5F982901" w14:textId="3E2843C2" w:rsidR="005967DE" w:rsidRPr="005967DE" w:rsidRDefault="005967DE" w:rsidP="005967DE">
      <w:pPr>
        <w:jc w:val="both"/>
        <w:rPr>
          <w:rFonts w:ascii="Arial" w:hAnsi="Arial" w:cs="Arial"/>
        </w:rPr>
      </w:pPr>
      <w:r w:rsidRPr="00BF7AA8">
        <w:rPr>
          <w:rFonts w:ascii="Arial" w:hAnsi="Arial" w:cs="Arial"/>
          <w:b/>
          <w:bCs/>
        </w:rPr>
        <w:t>Environmental Contamination:</w:t>
      </w:r>
      <w:r w:rsidRPr="005967DE">
        <w:rPr>
          <w:rFonts w:ascii="Arial" w:hAnsi="Arial" w:cs="Arial"/>
        </w:rPr>
        <w:t xml:space="preserve"> Pesticide runoff contaminates surface water and groundwater, with neonicotinoid concentrations in Asian rice paddies frequently exceeding 1 </w:t>
      </w:r>
      <w:proofErr w:type="spellStart"/>
      <w:r w:rsidRPr="005967DE">
        <w:rPr>
          <w:rFonts w:ascii="Arial" w:hAnsi="Arial" w:cs="Arial"/>
        </w:rPr>
        <w:t>μg</w:t>
      </w:r>
      <w:proofErr w:type="spellEnd"/>
      <w:r w:rsidRPr="005967DE">
        <w:rPr>
          <w:rFonts w:ascii="Arial" w:hAnsi="Arial" w:cs="Arial"/>
        </w:rPr>
        <w:t xml:space="preserve">/L—levels toxic to aquatic invertebrates (Sánchez-Bayo &amp; Hyne, 2014; Stehle &amp; Schulz, 2015). Organochlorine residues persist in rice paddy soils for decades, accumulating in food chains </w:t>
      </w:r>
      <w:r w:rsidR="0012628A">
        <w:rPr>
          <w:rFonts w:ascii="Arial" w:hAnsi="Arial" w:cs="Arial"/>
        </w:rPr>
        <w:t>(</w:t>
      </w:r>
      <w:r w:rsidRPr="005967DE">
        <w:rPr>
          <w:rFonts w:ascii="Arial" w:hAnsi="Arial" w:cs="Arial"/>
        </w:rPr>
        <w:t>Jayaraj et al., 2016).</w:t>
      </w:r>
    </w:p>
    <w:p w14:paraId="6B6A01BF" w14:textId="77777777" w:rsidR="005967DE" w:rsidRPr="005967DE" w:rsidRDefault="005967DE" w:rsidP="005967DE">
      <w:pPr>
        <w:jc w:val="both"/>
        <w:rPr>
          <w:rFonts w:ascii="Arial" w:hAnsi="Arial" w:cs="Arial"/>
        </w:rPr>
      </w:pPr>
    </w:p>
    <w:p w14:paraId="5CD1FC4A" w14:textId="6BBFDF18" w:rsidR="005967DE" w:rsidRPr="005967DE" w:rsidRDefault="005967DE" w:rsidP="005967DE">
      <w:pPr>
        <w:jc w:val="both"/>
        <w:rPr>
          <w:rFonts w:ascii="Arial" w:hAnsi="Arial" w:cs="Arial"/>
        </w:rPr>
      </w:pPr>
      <w:r w:rsidRPr="00BF7AA8">
        <w:rPr>
          <w:rFonts w:ascii="Arial" w:hAnsi="Arial" w:cs="Arial"/>
          <w:b/>
          <w:bCs/>
        </w:rPr>
        <w:t xml:space="preserve">Non-Target Effects: </w:t>
      </w:r>
      <w:r w:rsidRPr="005967DE">
        <w:rPr>
          <w:rFonts w:ascii="Arial" w:hAnsi="Arial" w:cs="Arial"/>
        </w:rPr>
        <w:t xml:space="preserve">Broad-spectrum insecticides reduce populations of natural enemies including parasitoids, predators, and pollinators by 40–90%, disrupting biological control and necessitating additional pesticide applications (Chagnon et al., 2015). Fungicide applications reduce beneficial soil microbial diversity and arbuscular mycorrhizal colonization, impairing nutrient cycling (Zaller et al., 2014; </w:t>
      </w:r>
      <w:proofErr w:type="spellStart"/>
      <w:r w:rsidRPr="005967DE">
        <w:rPr>
          <w:rFonts w:ascii="Arial" w:hAnsi="Arial" w:cs="Arial"/>
        </w:rPr>
        <w:t>Riedo</w:t>
      </w:r>
      <w:proofErr w:type="spellEnd"/>
      <w:r w:rsidRPr="005967DE">
        <w:rPr>
          <w:rFonts w:ascii="Arial" w:hAnsi="Arial" w:cs="Arial"/>
        </w:rPr>
        <w:t xml:space="preserve"> et al., 2021).</w:t>
      </w:r>
    </w:p>
    <w:p w14:paraId="7EC87F1E" w14:textId="77777777" w:rsidR="005967DE" w:rsidRPr="005967DE" w:rsidRDefault="005967DE" w:rsidP="005967DE">
      <w:pPr>
        <w:jc w:val="both"/>
        <w:rPr>
          <w:rFonts w:ascii="Arial" w:hAnsi="Arial" w:cs="Arial"/>
        </w:rPr>
      </w:pPr>
    </w:p>
    <w:p w14:paraId="0596A812" w14:textId="4F80151E" w:rsidR="003E5501" w:rsidRDefault="005967DE" w:rsidP="003E5501">
      <w:pPr>
        <w:jc w:val="both"/>
        <w:rPr>
          <w:rFonts w:ascii="Arial" w:hAnsi="Arial" w:cs="Arial"/>
        </w:rPr>
      </w:pPr>
      <w:r w:rsidRPr="00BF7AA8">
        <w:rPr>
          <w:rFonts w:ascii="Arial" w:hAnsi="Arial" w:cs="Arial"/>
          <w:b/>
          <w:bCs/>
        </w:rPr>
        <w:t>Low Use Efficiency:</w:t>
      </w:r>
      <w:r w:rsidRPr="005967DE">
        <w:rPr>
          <w:rFonts w:ascii="Arial" w:hAnsi="Arial" w:cs="Arial"/>
        </w:rPr>
        <w:t xml:space="preserve"> Conventional spray applications exhibit field efficiency of only 30–40% due to drift, evaporation, photodegradation, and runoff, requiring repeated applications at high dosages (Kah et al., 2013; Nuruzzaman et al., 2016).</w:t>
      </w:r>
    </w:p>
    <w:p w14:paraId="0DBEC94D" w14:textId="77777777" w:rsidR="0084071C" w:rsidRDefault="0084071C" w:rsidP="003E5501">
      <w:pPr>
        <w:jc w:val="both"/>
        <w:rPr>
          <w:rFonts w:ascii="Arial" w:hAnsi="Arial" w:cs="Arial"/>
        </w:rPr>
      </w:pPr>
    </w:p>
    <w:p w14:paraId="6F258342" w14:textId="77777777" w:rsidR="003E5501" w:rsidRDefault="003E5501" w:rsidP="003E5501">
      <w:pPr>
        <w:jc w:val="both"/>
        <w:rPr>
          <w:rFonts w:ascii="Arial" w:hAnsi="Arial" w:cs="Arial"/>
        </w:rPr>
      </w:pPr>
    </w:p>
    <w:p w14:paraId="58E46717" w14:textId="4B51F623" w:rsidR="003E5501" w:rsidRPr="0084071C" w:rsidRDefault="003E5501" w:rsidP="003E5501">
      <w:pPr>
        <w:pStyle w:val="Body"/>
        <w:rPr>
          <w:rFonts w:ascii="Arial" w:hAnsi="Arial" w:cs="Arial"/>
          <w:b/>
          <w:bCs/>
          <w:sz w:val="22"/>
          <w:szCs w:val="22"/>
        </w:rPr>
      </w:pPr>
      <w:r w:rsidRPr="0084071C">
        <w:rPr>
          <w:rFonts w:ascii="Arial" w:hAnsi="Arial" w:cs="Arial"/>
          <w:b/>
          <w:bCs/>
          <w:sz w:val="22"/>
          <w:szCs w:val="22"/>
        </w:rPr>
        <w:t>1.4 Nanotechnology as a Transformative Approach in Agriculture</w:t>
      </w:r>
    </w:p>
    <w:p w14:paraId="31BE6E1C" w14:textId="58982533" w:rsidR="005967DE" w:rsidRDefault="005967DE" w:rsidP="00C23390">
      <w:pPr>
        <w:pStyle w:val="Body"/>
        <w:rPr>
          <w:rFonts w:ascii="Arial" w:hAnsi="Arial" w:cs="Arial"/>
        </w:rPr>
      </w:pPr>
      <w:r w:rsidRPr="005967DE">
        <w:rPr>
          <w:rFonts w:ascii="Arial" w:hAnsi="Arial" w:cs="Arial"/>
        </w:rPr>
        <w:t>Nanotechnology offers unprecedented opportunities to overcome limitations of conventional pest management through engineered materials with dimensions of 1–100 nm that exhibit unique physicochemical properties (Prasad et al., 2017; Grillo et al., 2021). Nanoscale formulations enable: (1) controlled release kinetics extending efficacy duration while reducing application frequency; (2) enhanced stability against environmental degradation (UV, temperature, pH); (3) targeted delivery to specific tissues or organisms, minimizing non-target exposure; (4) reduced active ingredient requirements by 30–80% compared to conventional formulations; and (5) multifunctional platforms combining pesticide activity with nutrient delivery or plant growth promotion (Kah et al., 2018; Adisa et al., 2019; Zhao et al., 2020).</w:t>
      </w:r>
    </w:p>
    <w:p w14:paraId="46E7F91F" w14:textId="5E7684BD" w:rsidR="00225BC1" w:rsidRDefault="00225BC1" w:rsidP="00C23390">
      <w:pPr>
        <w:pStyle w:val="Body"/>
        <w:rPr>
          <w:rFonts w:ascii="Arial" w:hAnsi="Arial" w:cs="Arial"/>
        </w:rPr>
      </w:pPr>
      <w:r>
        <w:rPr>
          <w:rFonts w:ascii="Arial" w:hAnsi="Arial" w:cs="Arial"/>
          <w:noProof/>
        </w:rPr>
        <w:lastRenderedPageBreak/>
        <w:drawing>
          <wp:inline distT="0" distB="0" distL="0" distR="0" wp14:anchorId="03CF1F28" wp14:editId="6E44CDBE">
            <wp:extent cx="6174461" cy="3714367"/>
            <wp:effectExtent l="0" t="0" r="0" b="635"/>
            <wp:docPr id="33681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16869" name="Picture 336816869"/>
                    <pic:cNvPicPr/>
                  </pic:nvPicPr>
                  <pic:blipFill rotWithShape="1">
                    <a:blip r:embed="rId8" cstate="print">
                      <a:extLst>
                        <a:ext uri="{28A0092B-C50C-407E-A947-70E740481C1C}">
                          <a14:useLocalDpi xmlns:a14="http://schemas.microsoft.com/office/drawing/2010/main" val="0"/>
                        </a:ext>
                      </a:extLst>
                    </a:blip>
                    <a:srcRect t="6678"/>
                    <a:stretch>
                      <a:fillRect/>
                    </a:stretch>
                  </pic:blipFill>
                  <pic:spPr bwMode="auto">
                    <a:xfrm>
                      <a:off x="0" y="0"/>
                      <a:ext cx="6175261" cy="3714849"/>
                    </a:xfrm>
                    <a:prstGeom prst="rect">
                      <a:avLst/>
                    </a:prstGeom>
                    <a:ln>
                      <a:noFill/>
                    </a:ln>
                    <a:extLst>
                      <a:ext uri="{53640926-AAD7-44D8-BBD7-CCE9431645EC}">
                        <a14:shadowObscured xmlns:a14="http://schemas.microsoft.com/office/drawing/2010/main"/>
                      </a:ext>
                    </a:extLst>
                  </pic:spPr>
                </pic:pic>
              </a:graphicData>
            </a:graphic>
          </wp:inline>
        </w:drawing>
      </w:r>
    </w:p>
    <w:p w14:paraId="0D9F4EB7" w14:textId="74F621F6" w:rsidR="00225BC1" w:rsidRPr="00225BC1" w:rsidRDefault="00225BC1" w:rsidP="00225BC1">
      <w:pPr>
        <w:pStyle w:val="Body"/>
        <w:jc w:val="center"/>
        <w:rPr>
          <w:rFonts w:ascii="Arial" w:hAnsi="Arial" w:cs="Arial"/>
          <w:b/>
          <w:bCs/>
        </w:rPr>
      </w:pPr>
      <w:r w:rsidRPr="00225BC1">
        <w:rPr>
          <w:rFonts w:ascii="Arial" w:hAnsi="Arial" w:cs="Arial"/>
          <w:b/>
          <w:bCs/>
        </w:rPr>
        <w:t>Fig.1.</w:t>
      </w:r>
      <w:r w:rsidRPr="00225BC1">
        <w:rPr>
          <w:rFonts w:ascii="Arial" w:hAnsi="Arial" w:cs="Arial"/>
        </w:rPr>
        <w:t xml:space="preserve"> </w:t>
      </w:r>
      <w:r w:rsidRPr="00225BC1">
        <w:rPr>
          <w:rFonts w:ascii="Arial" w:hAnsi="Arial" w:cs="Arial"/>
          <w:b/>
          <w:bCs/>
        </w:rPr>
        <w:t xml:space="preserve">Comparative schematic illustrating advantages of </w:t>
      </w:r>
      <w:proofErr w:type="spellStart"/>
      <w:r w:rsidRPr="00225BC1">
        <w:rPr>
          <w:rFonts w:ascii="Arial" w:hAnsi="Arial" w:cs="Arial"/>
          <w:b/>
          <w:bCs/>
        </w:rPr>
        <w:t>nanopesticide</w:t>
      </w:r>
      <w:proofErr w:type="spellEnd"/>
      <w:r w:rsidRPr="00225BC1">
        <w:rPr>
          <w:rFonts w:ascii="Arial" w:hAnsi="Arial" w:cs="Arial"/>
          <w:b/>
          <w:bCs/>
        </w:rPr>
        <w:t xml:space="preserve"> formulations versus conventional pesticide applications in rice protection.</w:t>
      </w:r>
    </w:p>
    <w:p w14:paraId="260AA8E0" w14:textId="52471FE4" w:rsidR="005967DE" w:rsidRPr="00225BC1" w:rsidRDefault="00225BC1" w:rsidP="00225BC1">
      <w:pPr>
        <w:pStyle w:val="Body"/>
        <w:rPr>
          <w:rFonts w:ascii="Arial" w:hAnsi="Arial" w:cs="Arial"/>
          <w:i/>
          <w:iCs/>
        </w:rPr>
      </w:pPr>
      <w:r w:rsidRPr="00225BC1">
        <w:rPr>
          <w:rFonts w:ascii="Arial" w:hAnsi="Arial" w:cs="Arial"/>
          <w:b/>
          <w:bCs/>
          <w:i/>
          <w:iCs/>
        </w:rPr>
        <w:t>(A)</w:t>
      </w:r>
      <w:r w:rsidRPr="00225BC1">
        <w:rPr>
          <w:rFonts w:ascii="Arial" w:hAnsi="Arial" w:cs="Arial"/>
          <w:i/>
          <w:iCs/>
        </w:rPr>
        <w:t> Conventional pesticide application shows large droplet size, significant drift and evaporation losses, poor leaf adhesion and penetration, rapid environmental degradation, soil and water contamination, and non-target organism exposure. </w:t>
      </w:r>
      <w:r w:rsidRPr="00225BC1">
        <w:rPr>
          <w:rFonts w:ascii="Arial" w:hAnsi="Arial" w:cs="Arial"/>
          <w:b/>
          <w:bCs/>
          <w:i/>
          <w:iCs/>
        </w:rPr>
        <w:t>(B)</w:t>
      </w:r>
      <w:r w:rsidRPr="00225BC1">
        <w:rPr>
          <w:rFonts w:ascii="Arial" w:hAnsi="Arial" w:cs="Arial"/>
          <w:i/>
          <w:iCs/>
        </w:rPr>
        <w:t> </w:t>
      </w:r>
      <w:proofErr w:type="spellStart"/>
      <w:r w:rsidRPr="00225BC1">
        <w:rPr>
          <w:rFonts w:ascii="Arial" w:hAnsi="Arial" w:cs="Arial"/>
          <w:i/>
          <w:iCs/>
        </w:rPr>
        <w:t>Nanopesticide</w:t>
      </w:r>
      <w:proofErr w:type="spellEnd"/>
      <w:r w:rsidRPr="00225BC1">
        <w:rPr>
          <w:rFonts w:ascii="Arial" w:hAnsi="Arial" w:cs="Arial"/>
          <w:i/>
          <w:iCs/>
        </w:rPr>
        <w:t xml:space="preserve"> application demonstrates uniform nanoparticle size distribution (100-300 nm), minimal drift, enhanced foliar adhesion and stomatal penetration, controlled release mechanisms (core-shell structure with pH/enzyme-responsive triggers), prolonged efficacy (15-30 days), UV protection, reduced active ingredient requirements (30-50% of conventional dose), minimized environmental contamination, and non-target organism safety. Magnified insets show nanoparticle structure (core-shell design) and sustained release kinetics. Color coding: orange/red tones indicate conventional system limitations; green/blue tones indicate </w:t>
      </w:r>
      <w:proofErr w:type="spellStart"/>
      <w:r w:rsidRPr="00225BC1">
        <w:rPr>
          <w:rFonts w:ascii="Arial" w:hAnsi="Arial" w:cs="Arial"/>
          <w:i/>
          <w:iCs/>
        </w:rPr>
        <w:t>nanopesticide</w:t>
      </w:r>
      <w:proofErr w:type="spellEnd"/>
      <w:r w:rsidRPr="00225BC1">
        <w:rPr>
          <w:rFonts w:ascii="Arial" w:hAnsi="Arial" w:cs="Arial"/>
          <w:i/>
          <w:iCs/>
        </w:rPr>
        <w:t xml:space="preserve"> advantages. </w:t>
      </w:r>
      <w:r w:rsidR="005967DE" w:rsidRPr="00225BC1">
        <w:rPr>
          <w:rFonts w:ascii="Arial" w:hAnsi="Arial" w:cs="Arial"/>
          <w:i/>
          <w:iCs/>
        </w:rPr>
        <w:t>Recent advances in nanocarrier design incorporate stimuli-responsive release triggered by pH, enzymes, or temperature at infection/infestation sites, further improving specificity (Zhao et al., 2024; Kumar et al., 2020). RNA interference (RNAi) technology delivered via nanocarriers enables species-specific gene silencing without genetic modification, offering a resistance-proof pest management strategy (Yan et al., 2020; Mitter et al., 2017).</w:t>
      </w:r>
    </w:p>
    <w:p w14:paraId="431A1951" w14:textId="737336CF" w:rsidR="003E5501" w:rsidRDefault="005967DE" w:rsidP="005967DE">
      <w:pPr>
        <w:pStyle w:val="Body"/>
        <w:jc w:val="left"/>
        <w:rPr>
          <w:rFonts w:ascii="Arial" w:hAnsi="Arial" w:cs="Arial"/>
        </w:rPr>
      </w:pPr>
      <w:r w:rsidRPr="005967DE">
        <w:rPr>
          <w:rFonts w:ascii="Arial" w:hAnsi="Arial" w:cs="Arial"/>
        </w:rPr>
        <w:t xml:space="preserve">This review critically evaluates current knowledge on nanotechnology applications for rice pest and disease management, examining: (1) </w:t>
      </w:r>
      <w:proofErr w:type="spellStart"/>
      <w:r w:rsidRPr="005967DE">
        <w:rPr>
          <w:rFonts w:ascii="Arial" w:hAnsi="Arial" w:cs="Arial"/>
        </w:rPr>
        <w:t>nanopesticide</w:t>
      </w:r>
      <w:proofErr w:type="spellEnd"/>
      <w:r w:rsidRPr="005967DE">
        <w:rPr>
          <w:rFonts w:ascii="Arial" w:hAnsi="Arial" w:cs="Arial"/>
        </w:rPr>
        <w:t xml:space="preserve"> and </w:t>
      </w:r>
      <w:proofErr w:type="spellStart"/>
      <w:r w:rsidRPr="005967DE">
        <w:rPr>
          <w:rFonts w:ascii="Arial" w:hAnsi="Arial" w:cs="Arial"/>
        </w:rPr>
        <w:t>nanofungicide</w:t>
      </w:r>
      <w:proofErr w:type="spellEnd"/>
      <w:r w:rsidRPr="005967DE">
        <w:rPr>
          <w:rFonts w:ascii="Arial" w:hAnsi="Arial" w:cs="Arial"/>
        </w:rPr>
        <w:t xml:space="preserve"> formulations, mechanisms, and efficacy; (2) RNAi delivery systems with detailed physicochemical interactions; (3) environmental fate, toxicology, and ecological impacts; (4) regulatory frameworks and economic considerations; and (5) critical research gaps requiring urgent attention for sustainable implementation.</w:t>
      </w:r>
    </w:p>
    <w:p w14:paraId="5052F587" w14:textId="22537A05" w:rsidR="007C4797" w:rsidRPr="007C4797" w:rsidRDefault="007C4797" w:rsidP="007C4797">
      <w:pPr>
        <w:pStyle w:val="Body"/>
        <w:rPr>
          <w:rFonts w:ascii="Arial" w:hAnsi="Arial" w:cs="Arial"/>
          <w:b/>
          <w:bCs/>
        </w:rPr>
      </w:pPr>
      <w:r w:rsidRPr="007C4797">
        <w:rPr>
          <w:rFonts w:ascii="Arial" w:hAnsi="Arial" w:cs="Arial"/>
          <w:b/>
          <w:bCs/>
        </w:rPr>
        <w:t>T</w:t>
      </w:r>
      <w:r>
        <w:rPr>
          <w:rFonts w:ascii="Arial" w:hAnsi="Arial" w:cs="Arial"/>
          <w:b/>
          <w:bCs/>
        </w:rPr>
        <w:t xml:space="preserve">able </w:t>
      </w:r>
      <w:r w:rsidRPr="007C4797">
        <w:rPr>
          <w:rFonts w:ascii="Arial" w:hAnsi="Arial" w:cs="Arial"/>
          <w:b/>
          <w:bCs/>
        </w:rPr>
        <w:t>1: Comparative Efficacy of Metal Oxide Nanoparticles Against Rice Pathogens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054"/>
        <w:gridCol w:w="1981"/>
        <w:gridCol w:w="1301"/>
        <w:gridCol w:w="2618"/>
        <w:gridCol w:w="2297"/>
      </w:tblGrid>
      <w:tr w:rsidR="007C4797" w:rsidRPr="007C4797" w14:paraId="28615234" w14:textId="77777777" w:rsidTr="007C4797">
        <w:trPr>
          <w:trHeight w:val="600"/>
        </w:trPr>
        <w:tc>
          <w:tcPr>
            <w:tcW w:w="483" w:type="pct"/>
            <w:tcBorders>
              <w:top w:val="single" w:sz="4" w:space="0" w:color="auto"/>
              <w:bottom w:val="single" w:sz="4" w:space="0" w:color="auto"/>
            </w:tcBorders>
            <w:hideMark/>
          </w:tcPr>
          <w:p w14:paraId="19A20C98" w14:textId="77777777" w:rsidR="007C4797" w:rsidRPr="007C4797" w:rsidRDefault="007C4797" w:rsidP="007C4797">
            <w:pPr>
              <w:pStyle w:val="Body"/>
              <w:rPr>
                <w:rFonts w:ascii="Arial" w:hAnsi="Arial" w:cs="Arial"/>
                <w:b/>
                <w:bCs/>
              </w:rPr>
            </w:pPr>
            <w:r w:rsidRPr="007C4797">
              <w:rPr>
                <w:rFonts w:ascii="Arial" w:hAnsi="Arial" w:cs="Arial"/>
                <w:b/>
                <w:bCs/>
              </w:rPr>
              <w:t>Nanoparticle</w:t>
            </w:r>
          </w:p>
        </w:tc>
        <w:tc>
          <w:tcPr>
            <w:tcW w:w="535" w:type="pct"/>
            <w:tcBorders>
              <w:top w:val="single" w:sz="4" w:space="0" w:color="auto"/>
              <w:bottom w:val="single" w:sz="4" w:space="0" w:color="auto"/>
            </w:tcBorders>
            <w:hideMark/>
          </w:tcPr>
          <w:p w14:paraId="78C9E0CF" w14:textId="77777777" w:rsidR="007C4797" w:rsidRPr="007C4797" w:rsidRDefault="007C4797" w:rsidP="007C4797">
            <w:pPr>
              <w:pStyle w:val="Body"/>
              <w:rPr>
                <w:rFonts w:ascii="Arial" w:hAnsi="Arial" w:cs="Arial"/>
                <w:b/>
                <w:bCs/>
              </w:rPr>
            </w:pPr>
            <w:r w:rsidRPr="007C4797">
              <w:rPr>
                <w:rFonts w:ascii="Arial" w:hAnsi="Arial" w:cs="Arial"/>
                <w:b/>
                <w:bCs/>
              </w:rPr>
              <w:t>Size (nm)</w:t>
            </w:r>
          </w:p>
        </w:tc>
        <w:tc>
          <w:tcPr>
            <w:tcW w:w="964" w:type="pct"/>
            <w:tcBorders>
              <w:top w:val="single" w:sz="4" w:space="0" w:color="auto"/>
              <w:bottom w:val="single" w:sz="4" w:space="0" w:color="auto"/>
            </w:tcBorders>
            <w:hideMark/>
          </w:tcPr>
          <w:p w14:paraId="73C24AE0" w14:textId="77777777" w:rsidR="007C4797" w:rsidRPr="007C4797" w:rsidRDefault="007C4797" w:rsidP="007C4797">
            <w:pPr>
              <w:pStyle w:val="Body"/>
              <w:rPr>
                <w:rFonts w:ascii="Arial" w:hAnsi="Arial" w:cs="Arial"/>
                <w:b/>
                <w:bCs/>
              </w:rPr>
            </w:pPr>
            <w:r w:rsidRPr="007C4797">
              <w:rPr>
                <w:rFonts w:ascii="Arial" w:hAnsi="Arial" w:cs="Arial"/>
                <w:b/>
                <w:bCs/>
              </w:rPr>
              <w:t>Target Pathogen</w:t>
            </w:r>
          </w:p>
        </w:tc>
        <w:tc>
          <w:tcPr>
            <w:tcW w:w="649" w:type="pct"/>
            <w:tcBorders>
              <w:top w:val="single" w:sz="4" w:space="0" w:color="auto"/>
              <w:bottom w:val="single" w:sz="4" w:space="0" w:color="auto"/>
            </w:tcBorders>
            <w:hideMark/>
          </w:tcPr>
          <w:p w14:paraId="7FBF5FF1" w14:textId="77777777" w:rsidR="007C4797" w:rsidRPr="007C4797" w:rsidRDefault="007C4797" w:rsidP="007C4797">
            <w:pPr>
              <w:pStyle w:val="Body"/>
              <w:rPr>
                <w:rFonts w:ascii="Arial" w:hAnsi="Arial" w:cs="Arial"/>
                <w:b/>
                <w:bCs/>
              </w:rPr>
            </w:pPr>
            <w:r w:rsidRPr="007C4797">
              <w:rPr>
                <w:rFonts w:ascii="Arial" w:hAnsi="Arial" w:cs="Arial"/>
                <w:b/>
                <w:bCs/>
              </w:rPr>
              <w:t>MIC (</w:t>
            </w:r>
            <w:proofErr w:type="spellStart"/>
            <w:r w:rsidRPr="007C4797">
              <w:rPr>
                <w:rFonts w:ascii="Arial" w:hAnsi="Arial" w:cs="Arial"/>
                <w:b/>
                <w:bCs/>
              </w:rPr>
              <w:t>μg</w:t>
            </w:r>
            <w:proofErr w:type="spellEnd"/>
            <w:r w:rsidRPr="007C4797">
              <w:rPr>
                <w:rFonts w:ascii="Arial" w:hAnsi="Arial" w:cs="Arial"/>
                <w:b/>
                <w:bCs/>
              </w:rPr>
              <w:t>/mL)</w:t>
            </w:r>
          </w:p>
        </w:tc>
        <w:tc>
          <w:tcPr>
            <w:tcW w:w="1259" w:type="pct"/>
            <w:tcBorders>
              <w:top w:val="single" w:sz="4" w:space="0" w:color="auto"/>
              <w:bottom w:val="single" w:sz="4" w:space="0" w:color="auto"/>
            </w:tcBorders>
            <w:hideMark/>
          </w:tcPr>
          <w:p w14:paraId="6BD0A865" w14:textId="77777777" w:rsidR="007C4797" w:rsidRPr="007C4797" w:rsidRDefault="007C4797" w:rsidP="007C4797">
            <w:pPr>
              <w:pStyle w:val="Body"/>
              <w:rPr>
                <w:rFonts w:ascii="Arial" w:hAnsi="Arial" w:cs="Arial"/>
                <w:b/>
                <w:bCs/>
              </w:rPr>
            </w:pPr>
            <w:r w:rsidRPr="007C4797">
              <w:rPr>
                <w:rFonts w:ascii="Arial" w:hAnsi="Arial" w:cs="Arial"/>
                <w:b/>
                <w:bCs/>
              </w:rPr>
              <w:t>In Planta Efficacy (%)</w:t>
            </w:r>
          </w:p>
        </w:tc>
        <w:tc>
          <w:tcPr>
            <w:tcW w:w="1111" w:type="pct"/>
            <w:tcBorders>
              <w:top w:val="single" w:sz="4" w:space="0" w:color="auto"/>
              <w:bottom w:val="single" w:sz="4" w:space="0" w:color="auto"/>
            </w:tcBorders>
            <w:hideMark/>
          </w:tcPr>
          <w:p w14:paraId="3ED910AB" w14:textId="77777777" w:rsidR="007C4797" w:rsidRPr="007C4797" w:rsidRDefault="007C4797" w:rsidP="007C4797">
            <w:pPr>
              <w:pStyle w:val="Body"/>
              <w:rPr>
                <w:rFonts w:ascii="Arial" w:hAnsi="Arial" w:cs="Arial"/>
                <w:b/>
                <w:bCs/>
              </w:rPr>
            </w:pPr>
            <w:r w:rsidRPr="007C4797">
              <w:rPr>
                <w:rFonts w:ascii="Arial" w:hAnsi="Arial" w:cs="Arial"/>
                <w:b/>
                <w:bCs/>
              </w:rPr>
              <w:t>Reference</w:t>
            </w:r>
          </w:p>
        </w:tc>
      </w:tr>
      <w:tr w:rsidR="007C4797" w:rsidRPr="007C4797" w14:paraId="517A7620" w14:textId="77777777" w:rsidTr="007C4797">
        <w:tc>
          <w:tcPr>
            <w:tcW w:w="483" w:type="pct"/>
            <w:tcBorders>
              <w:top w:val="single" w:sz="4" w:space="0" w:color="auto"/>
            </w:tcBorders>
            <w:hideMark/>
          </w:tcPr>
          <w:p w14:paraId="389B65D0" w14:textId="77777777" w:rsidR="007C4797" w:rsidRPr="007C4797" w:rsidRDefault="007C4797" w:rsidP="007C4797">
            <w:pPr>
              <w:pStyle w:val="Body"/>
              <w:rPr>
                <w:rFonts w:ascii="Arial" w:hAnsi="Arial" w:cs="Arial"/>
              </w:rPr>
            </w:pPr>
            <w:proofErr w:type="spellStart"/>
            <w:r w:rsidRPr="007C4797">
              <w:rPr>
                <w:rFonts w:ascii="Arial" w:hAnsi="Arial" w:cs="Arial"/>
              </w:rPr>
              <w:t>ZnO</w:t>
            </w:r>
            <w:proofErr w:type="spellEnd"/>
          </w:p>
        </w:tc>
        <w:tc>
          <w:tcPr>
            <w:tcW w:w="535" w:type="pct"/>
            <w:tcBorders>
              <w:top w:val="single" w:sz="4" w:space="0" w:color="auto"/>
            </w:tcBorders>
            <w:hideMark/>
          </w:tcPr>
          <w:p w14:paraId="3C9DBCFF" w14:textId="77777777" w:rsidR="007C4797" w:rsidRPr="007C4797" w:rsidRDefault="007C4797" w:rsidP="007C4797">
            <w:pPr>
              <w:pStyle w:val="Body"/>
              <w:rPr>
                <w:rFonts w:ascii="Arial" w:hAnsi="Arial" w:cs="Arial"/>
              </w:rPr>
            </w:pPr>
            <w:r w:rsidRPr="007C4797">
              <w:rPr>
                <w:rFonts w:ascii="Arial" w:hAnsi="Arial" w:cs="Arial"/>
              </w:rPr>
              <w:t>20-50</w:t>
            </w:r>
          </w:p>
        </w:tc>
        <w:tc>
          <w:tcPr>
            <w:tcW w:w="964" w:type="pct"/>
            <w:tcBorders>
              <w:top w:val="single" w:sz="4" w:space="0" w:color="auto"/>
            </w:tcBorders>
            <w:hideMark/>
          </w:tcPr>
          <w:p w14:paraId="0A6853B6" w14:textId="77777777" w:rsidR="007C4797" w:rsidRPr="007C4797" w:rsidRDefault="007C4797" w:rsidP="007C4797">
            <w:pPr>
              <w:pStyle w:val="Body"/>
              <w:rPr>
                <w:rFonts w:ascii="Arial" w:hAnsi="Arial" w:cs="Arial"/>
              </w:rPr>
            </w:pPr>
            <w:proofErr w:type="spellStart"/>
            <w:r w:rsidRPr="007C4797">
              <w:rPr>
                <w:rFonts w:ascii="Arial" w:hAnsi="Arial" w:cs="Arial"/>
                <w:i/>
                <w:iCs/>
              </w:rPr>
              <w:t>Pyricularia</w:t>
            </w:r>
            <w:proofErr w:type="spellEnd"/>
            <w:r w:rsidRPr="007C4797">
              <w:rPr>
                <w:rFonts w:ascii="Arial" w:hAnsi="Arial" w:cs="Arial"/>
                <w:i/>
                <w:iCs/>
              </w:rPr>
              <w:t xml:space="preserve"> </w:t>
            </w:r>
            <w:proofErr w:type="spellStart"/>
            <w:r w:rsidRPr="007C4797">
              <w:rPr>
                <w:rFonts w:ascii="Arial" w:hAnsi="Arial" w:cs="Arial"/>
                <w:i/>
                <w:iCs/>
              </w:rPr>
              <w:t>oryzae</w:t>
            </w:r>
            <w:proofErr w:type="spellEnd"/>
          </w:p>
        </w:tc>
        <w:tc>
          <w:tcPr>
            <w:tcW w:w="649" w:type="pct"/>
            <w:tcBorders>
              <w:top w:val="single" w:sz="4" w:space="0" w:color="auto"/>
            </w:tcBorders>
            <w:hideMark/>
          </w:tcPr>
          <w:p w14:paraId="5F60351F" w14:textId="77777777" w:rsidR="007C4797" w:rsidRPr="007C4797" w:rsidRDefault="007C4797" w:rsidP="007C4797">
            <w:pPr>
              <w:pStyle w:val="Body"/>
              <w:rPr>
                <w:rFonts w:ascii="Arial" w:hAnsi="Arial" w:cs="Arial"/>
              </w:rPr>
            </w:pPr>
            <w:r w:rsidRPr="007C4797">
              <w:rPr>
                <w:rFonts w:ascii="Arial" w:hAnsi="Arial" w:cs="Arial"/>
              </w:rPr>
              <w:t>50-100</w:t>
            </w:r>
          </w:p>
        </w:tc>
        <w:tc>
          <w:tcPr>
            <w:tcW w:w="1259" w:type="pct"/>
            <w:tcBorders>
              <w:top w:val="single" w:sz="4" w:space="0" w:color="auto"/>
            </w:tcBorders>
            <w:hideMark/>
          </w:tcPr>
          <w:p w14:paraId="08E2D576" w14:textId="77777777" w:rsidR="007C4797" w:rsidRPr="007C4797" w:rsidRDefault="007C4797" w:rsidP="007C4797">
            <w:pPr>
              <w:pStyle w:val="Body"/>
              <w:rPr>
                <w:rFonts w:ascii="Arial" w:hAnsi="Arial" w:cs="Arial"/>
              </w:rPr>
            </w:pPr>
            <w:r w:rsidRPr="007C4797">
              <w:rPr>
                <w:rFonts w:ascii="Arial" w:hAnsi="Arial" w:cs="Arial"/>
              </w:rPr>
              <w:t>55-70 lesion reduction</w:t>
            </w:r>
          </w:p>
        </w:tc>
        <w:tc>
          <w:tcPr>
            <w:tcW w:w="1111" w:type="pct"/>
            <w:tcBorders>
              <w:top w:val="single" w:sz="4" w:space="0" w:color="auto"/>
            </w:tcBorders>
            <w:hideMark/>
          </w:tcPr>
          <w:p w14:paraId="0123B243" w14:textId="77777777" w:rsidR="007C4797" w:rsidRPr="007C4797" w:rsidRDefault="007C4797" w:rsidP="007C4797">
            <w:pPr>
              <w:pStyle w:val="Body"/>
              <w:rPr>
                <w:rFonts w:ascii="Arial" w:hAnsi="Arial" w:cs="Arial"/>
              </w:rPr>
            </w:pPr>
            <w:r w:rsidRPr="007C4797">
              <w:rPr>
                <w:rFonts w:ascii="Arial" w:hAnsi="Arial" w:cs="Arial"/>
              </w:rPr>
              <w:t>Cheema et al., 2022</w:t>
            </w:r>
          </w:p>
        </w:tc>
      </w:tr>
      <w:tr w:rsidR="007C4797" w:rsidRPr="007C4797" w14:paraId="7654318C" w14:textId="77777777" w:rsidTr="007C4797">
        <w:tc>
          <w:tcPr>
            <w:tcW w:w="483" w:type="pct"/>
            <w:hideMark/>
          </w:tcPr>
          <w:p w14:paraId="621295E5" w14:textId="77777777" w:rsidR="007C4797" w:rsidRPr="007C4797" w:rsidRDefault="007C4797" w:rsidP="007C4797">
            <w:pPr>
              <w:pStyle w:val="Body"/>
              <w:rPr>
                <w:rFonts w:ascii="Arial" w:hAnsi="Arial" w:cs="Arial"/>
              </w:rPr>
            </w:pPr>
            <w:proofErr w:type="spellStart"/>
            <w:r w:rsidRPr="007C4797">
              <w:rPr>
                <w:rFonts w:ascii="Arial" w:hAnsi="Arial" w:cs="Arial"/>
              </w:rPr>
              <w:t>ZnO</w:t>
            </w:r>
            <w:proofErr w:type="spellEnd"/>
          </w:p>
        </w:tc>
        <w:tc>
          <w:tcPr>
            <w:tcW w:w="535" w:type="pct"/>
            <w:hideMark/>
          </w:tcPr>
          <w:p w14:paraId="7E0D698C" w14:textId="77777777" w:rsidR="007C4797" w:rsidRPr="007C4797" w:rsidRDefault="007C4797" w:rsidP="007C4797">
            <w:pPr>
              <w:pStyle w:val="Body"/>
              <w:rPr>
                <w:rFonts w:ascii="Arial" w:hAnsi="Arial" w:cs="Arial"/>
              </w:rPr>
            </w:pPr>
            <w:r w:rsidRPr="007C4797">
              <w:rPr>
                <w:rFonts w:ascii="Arial" w:hAnsi="Arial" w:cs="Arial"/>
              </w:rPr>
              <w:t>30-60</w:t>
            </w:r>
          </w:p>
        </w:tc>
        <w:tc>
          <w:tcPr>
            <w:tcW w:w="964" w:type="pct"/>
            <w:hideMark/>
          </w:tcPr>
          <w:p w14:paraId="63972D9F" w14:textId="77777777" w:rsidR="007C4797" w:rsidRPr="007C4797" w:rsidRDefault="007C4797" w:rsidP="007C4797">
            <w:pPr>
              <w:pStyle w:val="Body"/>
              <w:rPr>
                <w:rFonts w:ascii="Arial" w:hAnsi="Arial" w:cs="Arial"/>
              </w:rPr>
            </w:pPr>
            <w:proofErr w:type="spellStart"/>
            <w:r w:rsidRPr="007C4797">
              <w:rPr>
                <w:rFonts w:ascii="Arial" w:hAnsi="Arial" w:cs="Arial"/>
                <w:i/>
                <w:iCs/>
              </w:rPr>
              <w:t>Pyricularia</w:t>
            </w:r>
            <w:proofErr w:type="spellEnd"/>
            <w:r w:rsidRPr="007C4797">
              <w:rPr>
                <w:rFonts w:ascii="Arial" w:hAnsi="Arial" w:cs="Arial"/>
                <w:i/>
                <w:iCs/>
              </w:rPr>
              <w:t xml:space="preserve"> </w:t>
            </w:r>
            <w:proofErr w:type="spellStart"/>
            <w:r w:rsidRPr="007C4797">
              <w:rPr>
                <w:rFonts w:ascii="Arial" w:hAnsi="Arial" w:cs="Arial"/>
                <w:i/>
                <w:iCs/>
              </w:rPr>
              <w:t>oryzae</w:t>
            </w:r>
            <w:proofErr w:type="spellEnd"/>
          </w:p>
        </w:tc>
        <w:tc>
          <w:tcPr>
            <w:tcW w:w="649" w:type="pct"/>
            <w:hideMark/>
          </w:tcPr>
          <w:p w14:paraId="39BE2014" w14:textId="77777777" w:rsidR="007C4797" w:rsidRPr="007C4797" w:rsidRDefault="007C4797" w:rsidP="007C4797">
            <w:pPr>
              <w:pStyle w:val="Body"/>
              <w:rPr>
                <w:rFonts w:ascii="Arial" w:hAnsi="Arial" w:cs="Arial"/>
              </w:rPr>
            </w:pPr>
            <w:r w:rsidRPr="007C4797">
              <w:rPr>
                <w:rFonts w:ascii="Arial" w:hAnsi="Arial" w:cs="Arial"/>
              </w:rPr>
              <w:t>75-125</w:t>
            </w:r>
          </w:p>
        </w:tc>
        <w:tc>
          <w:tcPr>
            <w:tcW w:w="1259" w:type="pct"/>
            <w:hideMark/>
          </w:tcPr>
          <w:p w14:paraId="4DE167A5" w14:textId="77777777" w:rsidR="007C4797" w:rsidRPr="007C4797" w:rsidRDefault="007C4797" w:rsidP="007C4797">
            <w:pPr>
              <w:pStyle w:val="Body"/>
              <w:rPr>
                <w:rFonts w:ascii="Arial" w:hAnsi="Arial" w:cs="Arial"/>
              </w:rPr>
            </w:pPr>
            <w:r w:rsidRPr="007C4797">
              <w:rPr>
                <w:rFonts w:ascii="Arial" w:hAnsi="Arial" w:cs="Arial"/>
              </w:rPr>
              <w:t>60-80 severity reduction</w:t>
            </w:r>
          </w:p>
        </w:tc>
        <w:tc>
          <w:tcPr>
            <w:tcW w:w="1111" w:type="pct"/>
            <w:hideMark/>
          </w:tcPr>
          <w:p w14:paraId="5B52109D" w14:textId="77777777" w:rsidR="007C4797" w:rsidRPr="007C4797" w:rsidRDefault="007C4797" w:rsidP="007C4797">
            <w:pPr>
              <w:pStyle w:val="Body"/>
              <w:rPr>
                <w:rFonts w:ascii="Arial" w:hAnsi="Arial" w:cs="Arial"/>
              </w:rPr>
            </w:pPr>
            <w:r w:rsidRPr="007C4797">
              <w:rPr>
                <w:rFonts w:ascii="Arial" w:hAnsi="Arial" w:cs="Arial"/>
              </w:rPr>
              <w:t>Qiu et al., 2023</w:t>
            </w:r>
          </w:p>
        </w:tc>
      </w:tr>
      <w:tr w:rsidR="007C4797" w:rsidRPr="007C4797" w14:paraId="45E0A6FF" w14:textId="77777777" w:rsidTr="007C4797">
        <w:tc>
          <w:tcPr>
            <w:tcW w:w="483" w:type="pct"/>
            <w:hideMark/>
          </w:tcPr>
          <w:p w14:paraId="16FDB1E3" w14:textId="77777777" w:rsidR="007C4797" w:rsidRPr="007C4797" w:rsidRDefault="007C4797" w:rsidP="007C4797">
            <w:pPr>
              <w:pStyle w:val="Body"/>
              <w:rPr>
                <w:rFonts w:ascii="Arial" w:hAnsi="Arial" w:cs="Arial"/>
              </w:rPr>
            </w:pPr>
            <w:proofErr w:type="spellStart"/>
            <w:r w:rsidRPr="007C4797">
              <w:rPr>
                <w:rFonts w:ascii="Arial" w:hAnsi="Arial" w:cs="Arial"/>
              </w:rPr>
              <w:lastRenderedPageBreak/>
              <w:t>ZnO</w:t>
            </w:r>
            <w:proofErr w:type="spellEnd"/>
          </w:p>
        </w:tc>
        <w:tc>
          <w:tcPr>
            <w:tcW w:w="535" w:type="pct"/>
            <w:hideMark/>
          </w:tcPr>
          <w:p w14:paraId="1D9E05D8" w14:textId="77777777" w:rsidR="007C4797" w:rsidRPr="007C4797" w:rsidRDefault="007C4797" w:rsidP="007C4797">
            <w:pPr>
              <w:pStyle w:val="Body"/>
              <w:rPr>
                <w:rFonts w:ascii="Arial" w:hAnsi="Arial" w:cs="Arial"/>
              </w:rPr>
            </w:pPr>
            <w:r w:rsidRPr="007C4797">
              <w:rPr>
                <w:rFonts w:ascii="Arial" w:hAnsi="Arial" w:cs="Arial"/>
              </w:rPr>
              <w:t>25-45</w:t>
            </w:r>
          </w:p>
        </w:tc>
        <w:tc>
          <w:tcPr>
            <w:tcW w:w="964" w:type="pct"/>
            <w:hideMark/>
          </w:tcPr>
          <w:p w14:paraId="5252E1AB" w14:textId="77777777" w:rsidR="007C4797" w:rsidRPr="007C4797" w:rsidRDefault="007C4797" w:rsidP="007C4797">
            <w:pPr>
              <w:pStyle w:val="Body"/>
              <w:rPr>
                <w:rFonts w:ascii="Arial" w:hAnsi="Arial" w:cs="Arial"/>
              </w:rPr>
            </w:pPr>
            <w:r w:rsidRPr="007C4797">
              <w:rPr>
                <w:rFonts w:ascii="Arial" w:hAnsi="Arial" w:cs="Arial"/>
                <w:i/>
                <w:iCs/>
              </w:rPr>
              <w:t>Xanthomonas oryzae</w:t>
            </w:r>
          </w:p>
        </w:tc>
        <w:tc>
          <w:tcPr>
            <w:tcW w:w="649" w:type="pct"/>
            <w:hideMark/>
          </w:tcPr>
          <w:p w14:paraId="50A851C9" w14:textId="77777777" w:rsidR="007C4797" w:rsidRPr="007C4797" w:rsidRDefault="007C4797" w:rsidP="007C4797">
            <w:pPr>
              <w:pStyle w:val="Body"/>
              <w:rPr>
                <w:rFonts w:ascii="Arial" w:hAnsi="Arial" w:cs="Arial"/>
              </w:rPr>
            </w:pPr>
            <w:r w:rsidRPr="007C4797">
              <w:rPr>
                <w:rFonts w:ascii="Arial" w:hAnsi="Arial" w:cs="Arial"/>
              </w:rPr>
              <w:t>25-50</w:t>
            </w:r>
          </w:p>
        </w:tc>
        <w:tc>
          <w:tcPr>
            <w:tcW w:w="1259" w:type="pct"/>
            <w:hideMark/>
          </w:tcPr>
          <w:p w14:paraId="64565EBD" w14:textId="77777777" w:rsidR="007C4797" w:rsidRPr="007C4797" w:rsidRDefault="007C4797" w:rsidP="007C4797">
            <w:pPr>
              <w:pStyle w:val="Body"/>
              <w:rPr>
                <w:rFonts w:ascii="Arial" w:hAnsi="Arial" w:cs="Arial"/>
              </w:rPr>
            </w:pPr>
            <w:r w:rsidRPr="007C4797">
              <w:rPr>
                <w:rFonts w:ascii="Arial" w:hAnsi="Arial" w:cs="Arial"/>
              </w:rPr>
              <w:t>62-78 blight reduction</w:t>
            </w:r>
          </w:p>
        </w:tc>
        <w:tc>
          <w:tcPr>
            <w:tcW w:w="1111" w:type="pct"/>
            <w:hideMark/>
          </w:tcPr>
          <w:p w14:paraId="607D66E1" w14:textId="77777777" w:rsidR="007C4797" w:rsidRPr="007C4797" w:rsidRDefault="007C4797" w:rsidP="007C4797">
            <w:pPr>
              <w:pStyle w:val="Body"/>
              <w:rPr>
                <w:rFonts w:ascii="Arial" w:hAnsi="Arial" w:cs="Arial"/>
              </w:rPr>
            </w:pPr>
            <w:r w:rsidRPr="007C4797">
              <w:rPr>
                <w:rFonts w:ascii="Arial" w:hAnsi="Arial" w:cs="Arial"/>
              </w:rPr>
              <w:t>Abdallah et al., 2020</w:t>
            </w:r>
          </w:p>
        </w:tc>
      </w:tr>
      <w:tr w:rsidR="007C4797" w:rsidRPr="007C4797" w14:paraId="4838A3B7" w14:textId="77777777" w:rsidTr="007C4797">
        <w:tc>
          <w:tcPr>
            <w:tcW w:w="483" w:type="pct"/>
            <w:hideMark/>
          </w:tcPr>
          <w:p w14:paraId="567355A2" w14:textId="77777777" w:rsidR="007C4797" w:rsidRPr="007C4797" w:rsidRDefault="007C4797" w:rsidP="007C4797">
            <w:pPr>
              <w:pStyle w:val="Body"/>
              <w:rPr>
                <w:rFonts w:ascii="Arial" w:hAnsi="Arial" w:cs="Arial"/>
              </w:rPr>
            </w:pPr>
            <w:proofErr w:type="spellStart"/>
            <w:r w:rsidRPr="007C4797">
              <w:rPr>
                <w:rFonts w:ascii="Arial" w:hAnsi="Arial" w:cs="Arial"/>
              </w:rPr>
              <w:t>ZnO</w:t>
            </w:r>
            <w:proofErr w:type="spellEnd"/>
            <w:r w:rsidRPr="007C4797">
              <w:rPr>
                <w:rFonts w:ascii="Arial" w:hAnsi="Arial" w:cs="Arial"/>
              </w:rPr>
              <w:t>-Chitosan</w:t>
            </w:r>
          </w:p>
        </w:tc>
        <w:tc>
          <w:tcPr>
            <w:tcW w:w="535" w:type="pct"/>
            <w:hideMark/>
          </w:tcPr>
          <w:p w14:paraId="21A90F41" w14:textId="77777777" w:rsidR="007C4797" w:rsidRPr="007C4797" w:rsidRDefault="007C4797" w:rsidP="007C4797">
            <w:pPr>
              <w:pStyle w:val="Body"/>
              <w:rPr>
                <w:rFonts w:ascii="Arial" w:hAnsi="Arial" w:cs="Arial"/>
              </w:rPr>
            </w:pPr>
            <w:r w:rsidRPr="007C4797">
              <w:rPr>
                <w:rFonts w:ascii="Arial" w:hAnsi="Arial" w:cs="Arial"/>
              </w:rPr>
              <w:t>30-60</w:t>
            </w:r>
          </w:p>
        </w:tc>
        <w:tc>
          <w:tcPr>
            <w:tcW w:w="964" w:type="pct"/>
            <w:hideMark/>
          </w:tcPr>
          <w:p w14:paraId="6DBAFD90" w14:textId="77777777" w:rsidR="007C4797" w:rsidRPr="007C4797" w:rsidRDefault="007C4797" w:rsidP="007C4797">
            <w:pPr>
              <w:pStyle w:val="Body"/>
              <w:rPr>
                <w:rFonts w:ascii="Arial" w:hAnsi="Arial" w:cs="Arial"/>
              </w:rPr>
            </w:pPr>
            <w:r w:rsidRPr="007C4797">
              <w:rPr>
                <w:rFonts w:ascii="Arial" w:hAnsi="Arial" w:cs="Arial"/>
                <w:i/>
                <w:iCs/>
              </w:rPr>
              <w:t>Xanthomonas oryzae</w:t>
            </w:r>
          </w:p>
        </w:tc>
        <w:tc>
          <w:tcPr>
            <w:tcW w:w="649" w:type="pct"/>
            <w:hideMark/>
          </w:tcPr>
          <w:p w14:paraId="399E6C0F" w14:textId="77777777" w:rsidR="007C4797" w:rsidRPr="007C4797" w:rsidRDefault="007C4797" w:rsidP="007C4797">
            <w:pPr>
              <w:pStyle w:val="Body"/>
              <w:rPr>
                <w:rFonts w:ascii="Arial" w:hAnsi="Arial" w:cs="Arial"/>
              </w:rPr>
            </w:pPr>
            <w:r w:rsidRPr="007C4797">
              <w:rPr>
                <w:rFonts w:ascii="Arial" w:hAnsi="Arial" w:cs="Arial"/>
              </w:rPr>
              <w:t>25-50</w:t>
            </w:r>
          </w:p>
        </w:tc>
        <w:tc>
          <w:tcPr>
            <w:tcW w:w="1259" w:type="pct"/>
            <w:hideMark/>
          </w:tcPr>
          <w:p w14:paraId="0DA440E9" w14:textId="77777777" w:rsidR="007C4797" w:rsidRPr="007C4797" w:rsidRDefault="007C4797" w:rsidP="007C4797">
            <w:pPr>
              <w:pStyle w:val="Body"/>
              <w:rPr>
                <w:rFonts w:ascii="Arial" w:hAnsi="Arial" w:cs="Arial"/>
              </w:rPr>
            </w:pPr>
            <w:r w:rsidRPr="007C4797">
              <w:rPr>
                <w:rFonts w:ascii="Arial" w:hAnsi="Arial" w:cs="Arial"/>
              </w:rPr>
              <w:t>65-80 severity reduction</w:t>
            </w:r>
          </w:p>
        </w:tc>
        <w:tc>
          <w:tcPr>
            <w:tcW w:w="1111" w:type="pct"/>
            <w:hideMark/>
          </w:tcPr>
          <w:p w14:paraId="715AECBB" w14:textId="77777777" w:rsidR="007C4797" w:rsidRPr="007C4797" w:rsidRDefault="007C4797" w:rsidP="007C4797">
            <w:pPr>
              <w:pStyle w:val="Body"/>
              <w:rPr>
                <w:rFonts w:ascii="Arial" w:hAnsi="Arial" w:cs="Arial"/>
              </w:rPr>
            </w:pPr>
            <w:r w:rsidRPr="007C4797">
              <w:rPr>
                <w:rFonts w:ascii="Arial" w:hAnsi="Arial" w:cs="Arial"/>
              </w:rPr>
              <w:t>Abdallah et al., 2020</w:t>
            </w:r>
          </w:p>
        </w:tc>
      </w:tr>
      <w:tr w:rsidR="007C4797" w:rsidRPr="007C4797" w14:paraId="43C63C95" w14:textId="77777777" w:rsidTr="007C4797">
        <w:tc>
          <w:tcPr>
            <w:tcW w:w="483" w:type="pct"/>
            <w:hideMark/>
          </w:tcPr>
          <w:p w14:paraId="3FED7EF8" w14:textId="77777777" w:rsidR="007C4797" w:rsidRPr="007C4797" w:rsidRDefault="007C4797" w:rsidP="007C4797">
            <w:pPr>
              <w:pStyle w:val="Body"/>
              <w:rPr>
                <w:rFonts w:ascii="Arial" w:hAnsi="Arial" w:cs="Arial"/>
              </w:rPr>
            </w:pPr>
            <w:proofErr w:type="spellStart"/>
            <w:r w:rsidRPr="007C4797">
              <w:rPr>
                <w:rFonts w:ascii="Arial" w:hAnsi="Arial" w:cs="Arial"/>
              </w:rPr>
              <w:t>CuO</w:t>
            </w:r>
            <w:proofErr w:type="spellEnd"/>
          </w:p>
        </w:tc>
        <w:tc>
          <w:tcPr>
            <w:tcW w:w="535" w:type="pct"/>
            <w:hideMark/>
          </w:tcPr>
          <w:p w14:paraId="152CC19E" w14:textId="77777777" w:rsidR="007C4797" w:rsidRPr="007C4797" w:rsidRDefault="007C4797" w:rsidP="007C4797">
            <w:pPr>
              <w:pStyle w:val="Body"/>
              <w:rPr>
                <w:rFonts w:ascii="Arial" w:hAnsi="Arial" w:cs="Arial"/>
              </w:rPr>
            </w:pPr>
            <w:r w:rsidRPr="007C4797">
              <w:rPr>
                <w:rFonts w:ascii="Arial" w:hAnsi="Arial" w:cs="Arial"/>
              </w:rPr>
              <w:t>10-40</w:t>
            </w:r>
          </w:p>
        </w:tc>
        <w:tc>
          <w:tcPr>
            <w:tcW w:w="964" w:type="pct"/>
            <w:hideMark/>
          </w:tcPr>
          <w:p w14:paraId="710C95D9" w14:textId="77777777" w:rsidR="007C4797" w:rsidRPr="007C4797" w:rsidRDefault="007C4797" w:rsidP="007C4797">
            <w:pPr>
              <w:pStyle w:val="Body"/>
              <w:rPr>
                <w:rFonts w:ascii="Arial" w:hAnsi="Arial" w:cs="Arial"/>
              </w:rPr>
            </w:pPr>
            <w:proofErr w:type="spellStart"/>
            <w:r w:rsidRPr="007C4797">
              <w:rPr>
                <w:rFonts w:ascii="Arial" w:hAnsi="Arial" w:cs="Arial"/>
                <w:i/>
                <w:iCs/>
              </w:rPr>
              <w:t>Pyricularia</w:t>
            </w:r>
            <w:proofErr w:type="spellEnd"/>
            <w:r w:rsidRPr="007C4797">
              <w:rPr>
                <w:rFonts w:ascii="Arial" w:hAnsi="Arial" w:cs="Arial"/>
                <w:i/>
                <w:iCs/>
              </w:rPr>
              <w:t xml:space="preserve"> </w:t>
            </w:r>
            <w:proofErr w:type="spellStart"/>
            <w:r w:rsidRPr="007C4797">
              <w:rPr>
                <w:rFonts w:ascii="Arial" w:hAnsi="Arial" w:cs="Arial"/>
                <w:i/>
                <w:iCs/>
              </w:rPr>
              <w:t>oryzae</w:t>
            </w:r>
            <w:proofErr w:type="spellEnd"/>
          </w:p>
        </w:tc>
        <w:tc>
          <w:tcPr>
            <w:tcW w:w="649" w:type="pct"/>
            <w:hideMark/>
          </w:tcPr>
          <w:p w14:paraId="0ADDA2AB" w14:textId="77777777" w:rsidR="007C4797" w:rsidRPr="007C4797" w:rsidRDefault="007C4797" w:rsidP="007C4797">
            <w:pPr>
              <w:pStyle w:val="Body"/>
              <w:rPr>
                <w:rFonts w:ascii="Arial" w:hAnsi="Arial" w:cs="Arial"/>
              </w:rPr>
            </w:pPr>
            <w:r w:rsidRPr="007C4797">
              <w:rPr>
                <w:rFonts w:ascii="Arial" w:hAnsi="Arial" w:cs="Arial"/>
              </w:rPr>
              <w:t>40-80</w:t>
            </w:r>
          </w:p>
        </w:tc>
        <w:tc>
          <w:tcPr>
            <w:tcW w:w="1259" w:type="pct"/>
            <w:hideMark/>
          </w:tcPr>
          <w:p w14:paraId="73B61EE8" w14:textId="77777777" w:rsidR="007C4797" w:rsidRPr="007C4797" w:rsidRDefault="007C4797" w:rsidP="007C4797">
            <w:pPr>
              <w:pStyle w:val="Body"/>
              <w:rPr>
                <w:rFonts w:ascii="Arial" w:hAnsi="Arial" w:cs="Arial"/>
              </w:rPr>
            </w:pPr>
            <w:r w:rsidRPr="007C4797">
              <w:rPr>
                <w:rFonts w:ascii="Arial" w:hAnsi="Arial" w:cs="Arial"/>
              </w:rPr>
              <w:t>58-72 blast reduction</w:t>
            </w:r>
          </w:p>
        </w:tc>
        <w:tc>
          <w:tcPr>
            <w:tcW w:w="1111" w:type="pct"/>
            <w:hideMark/>
          </w:tcPr>
          <w:p w14:paraId="2CCCB19A" w14:textId="77777777" w:rsidR="007C4797" w:rsidRPr="007C4797" w:rsidRDefault="007C4797" w:rsidP="007C4797">
            <w:pPr>
              <w:pStyle w:val="Body"/>
              <w:rPr>
                <w:rFonts w:ascii="Arial" w:hAnsi="Arial" w:cs="Arial"/>
              </w:rPr>
            </w:pPr>
            <w:proofErr w:type="spellStart"/>
            <w:r w:rsidRPr="007C4797">
              <w:rPr>
                <w:rFonts w:ascii="Arial" w:hAnsi="Arial" w:cs="Arial"/>
              </w:rPr>
              <w:t>Kanhed</w:t>
            </w:r>
            <w:proofErr w:type="spellEnd"/>
            <w:r w:rsidRPr="007C4797">
              <w:rPr>
                <w:rFonts w:ascii="Arial" w:hAnsi="Arial" w:cs="Arial"/>
              </w:rPr>
              <w:t xml:space="preserve"> et al., 2014</w:t>
            </w:r>
          </w:p>
        </w:tc>
      </w:tr>
      <w:tr w:rsidR="007C4797" w:rsidRPr="007C4797" w14:paraId="3454FCDE" w14:textId="77777777" w:rsidTr="007C4797">
        <w:tc>
          <w:tcPr>
            <w:tcW w:w="483" w:type="pct"/>
            <w:hideMark/>
          </w:tcPr>
          <w:p w14:paraId="270EFF97" w14:textId="77777777" w:rsidR="007C4797" w:rsidRPr="007C4797" w:rsidRDefault="007C4797" w:rsidP="007C4797">
            <w:pPr>
              <w:pStyle w:val="Body"/>
              <w:rPr>
                <w:rFonts w:ascii="Arial" w:hAnsi="Arial" w:cs="Arial"/>
              </w:rPr>
            </w:pPr>
            <w:proofErr w:type="spellStart"/>
            <w:r w:rsidRPr="007C4797">
              <w:rPr>
                <w:rFonts w:ascii="Arial" w:hAnsi="Arial" w:cs="Arial"/>
              </w:rPr>
              <w:t>CuO</w:t>
            </w:r>
            <w:proofErr w:type="spellEnd"/>
          </w:p>
        </w:tc>
        <w:tc>
          <w:tcPr>
            <w:tcW w:w="535" w:type="pct"/>
            <w:hideMark/>
          </w:tcPr>
          <w:p w14:paraId="05700712" w14:textId="77777777" w:rsidR="007C4797" w:rsidRPr="007C4797" w:rsidRDefault="007C4797" w:rsidP="007C4797">
            <w:pPr>
              <w:pStyle w:val="Body"/>
              <w:rPr>
                <w:rFonts w:ascii="Arial" w:hAnsi="Arial" w:cs="Arial"/>
              </w:rPr>
            </w:pPr>
            <w:r w:rsidRPr="007C4797">
              <w:rPr>
                <w:rFonts w:ascii="Arial" w:hAnsi="Arial" w:cs="Arial"/>
              </w:rPr>
              <w:t>15-35</w:t>
            </w:r>
          </w:p>
        </w:tc>
        <w:tc>
          <w:tcPr>
            <w:tcW w:w="964" w:type="pct"/>
            <w:hideMark/>
          </w:tcPr>
          <w:p w14:paraId="35CBEE65" w14:textId="77777777" w:rsidR="007C4797" w:rsidRPr="007C4797" w:rsidRDefault="007C4797" w:rsidP="007C4797">
            <w:pPr>
              <w:pStyle w:val="Body"/>
              <w:rPr>
                <w:rFonts w:ascii="Arial" w:hAnsi="Arial" w:cs="Arial"/>
              </w:rPr>
            </w:pPr>
            <w:proofErr w:type="spellStart"/>
            <w:r w:rsidRPr="007C4797">
              <w:rPr>
                <w:rFonts w:ascii="Arial" w:hAnsi="Arial" w:cs="Arial"/>
                <w:i/>
                <w:iCs/>
              </w:rPr>
              <w:t>Rhizoctonia</w:t>
            </w:r>
            <w:proofErr w:type="spellEnd"/>
            <w:r w:rsidRPr="007C4797">
              <w:rPr>
                <w:rFonts w:ascii="Arial" w:hAnsi="Arial" w:cs="Arial"/>
                <w:i/>
                <w:iCs/>
              </w:rPr>
              <w:t xml:space="preserve"> </w:t>
            </w:r>
            <w:proofErr w:type="spellStart"/>
            <w:r w:rsidRPr="007C4797">
              <w:rPr>
                <w:rFonts w:ascii="Arial" w:hAnsi="Arial" w:cs="Arial"/>
                <w:i/>
                <w:iCs/>
              </w:rPr>
              <w:t>solani</w:t>
            </w:r>
            <w:proofErr w:type="spellEnd"/>
          </w:p>
        </w:tc>
        <w:tc>
          <w:tcPr>
            <w:tcW w:w="649" w:type="pct"/>
            <w:hideMark/>
          </w:tcPr>
          <w:p w14:paraId="6B855CA6" w14:textId="77777777" w:rsidR="007C4797" w:rsidRPr="007C4797" w:rsidRDefault="007C4797" w:rsidP="007C4797">
            <w:pPr>
              <w:pStyle w:val="Body"/>
              <w:rPr>
                <w:rFonts w:ascii="Arial" w:hAnsi="Arial" w:cs="Arial"/>
              </w:rPr>
            </w:pPr>
            <w:r w:rsidRPr="007C4797">
              <w:rPr>
                <w:rFonts w:ascii="Arial" w:hAnsi="Arial" w:cs="Arial"/>
              </w:rPr>
              <w:t>50-90</w:t>
            </w:r>
          </w:p>
        </w:tc>
        <w:tc>
          <w:tcPr>
            <w:tcW w:w="1259" w:type="pct"/>
            <w:hideMark/>
          </w:tcPr>
          <w:p w14:paraId="764042D7" w14:textId="77777777" w:rsidR="007C4797" w:rsidRPr="007C4797" w:rsidRDefault="007C4797" w:rsidP="007C4797">
            <w:pPr>
              <w:pStyle w:val="Body"/>
              <w:rPr>
                <w:rFonts w:ascii="Arial" w:hAnsi="Arial" w:cs="Arial"/>
              </w:rPr>
            </w:pPr>
            <w:r w:rsidRPr="007C4797">
              <w:rPr>
                <w:rFonts w:ascii="Arial" w:hAnsi="Arial" w:cs="Arial"/>
              </w:rPr>
              <w:t>45-60 sheath blight reduction</w:t>
            </w:r>
          </w:p>
        </w:tc>
        <w:tc>
          <w:tcPr>
            <w:tcW w:w="1111" w:type="pct"/>
            <w:hideMark/>
          </w:tcPr>
          <w:p w14:paraId="1A5119BC" w14:textId="77777777" w:rsidR="007C4797" w:rsidRPr="007C4797" w:rsidRDefault="007C4797" w:rsidP="007C4797">
            <w:pPr>
              <w:pStyle w:val="Body"/>
              <w:rPr>
                <w:rFonts w:ascii="Arial" w:hAnsi="Arial" w:cs="Arial"/>
              </w:rPr>
            </w:pPr>
            <w:proofErr w:type="spellStart"/>
            <w:r w:rsidRPr="007C4797">
              <w:rPr>
                <w:rFonts w:ascii="Arial" w:hAnsi="Arial" w:cs="Arial"/>
              </w:rPr>
              <w:t>Malandrakis</w:t>
            </w:r>
            <w:proofErr w:type="spellEnd"/>
            <w:r w:rsidRPr="007C4797">
              <w:rPr>
                <w:rFonts w:ascii="Arial" w:hAnsi="Arial" w:cs="Arial"/>
              </w:rPr>
              <w:t xml:space="preserve"> et al., 2019</w:t>
            </w:r>
          </w:p>
        </w:tc>
      </w:tr>
      <w:tr w:rsidR="007C4797" w:rsidRPr="007C4797" w14:paraId="200E4F58" w14:textId="77777777" w:rsidTr="007C4797">
        <w:tc>
          <w:tcPr>
            <w:tcW w:w="483" w:type="pct"/>
            <w:hideMark/>
          </w:tcPr>
          <w:p w14:paraId="3B7593A3" w14:textId="77777777" w:rsidR="007C4797" w:rsidRPr="007C4797" w:rsidRDefault="007C4797" w:rsidP="007C4797">
            <w:pPr>
              <w:pStyle w:val="Body"/>
              <w:rPr>
                <w:rFonts w:ascii="Arial" w:hAnsi="Arial" w:cs="Arial"/>
              </w:rPr>
            </w:pPr>
            <w:proofErr w:type="spellStart"/>
            <w:r w:rsidRPr="007C4797">
              <w:rPr>
                <w:rFonts w:ascii="Arial" w:hAnsi="Arial" w:cs="Arial"/>
              </w:rPr>
              <w:t>AgNPs</w:t>
            </w:r>
            <w:proofErr w:type="spellEnd"/>
          </w:p>
        </w:tc>
        <w:tc>
          <w:tcPr>
            <w:tcW w:w="535" w:type="pct"/>
            <w:hideMark/>
          </w:tcPr>
          <w:p w14:paraId="28AD9687" w14:textId="77777777" w:rsidR="007C4797" w:rsidRPr="007C4797" w:rsidRDefault="007C4797" w:rsidP="007C4797">
            <w:pPr>
              <w:pStyle w:val="Body"/>
              <w:rPr>
                <w:rFonts w:ascii="Arial" w:hAnsi="Arial" w:cs="Arial"/>
              </w:rPr>
            </w:pPr>
            <w:r w:rsidRPr="007C4797">
              <w:rPr>
                <w:rFonts w:ascii="Arial" w:hAnsi="Arial" w:cs="Arial"/>
              </w:rPr>
              <w:t>5-30</w:t>
            </w:r>
          </w:p>
        </w:tc>
        <w:tc>
          <w:tcPr>
            <w:tcW w:w="964" w:type="pct"/>
            <w:hideMark/>
          </w:tcPr>
          <w:p w14:paraId="2674895E" w14:textId="77777777" w:rsidR="007C4797" w:rsidRPr="007C4797" w:rsidRDefault="007C4797" w:rsidP="007C4797">
            <w:pPr>
              <w:pStyle w:val="Body"/>
              <w:rPr>
                <w:rFonts w:ascii="Arial" w:hAnsi="Arial" w:cs="Arial"/>
              </w:rPr>
            </w:pPr>
            <w:proofErr w:type="spellStart"/>
            <w:r w:rsidRPr="007C4797">
              <w:rPr>
                <w:rFonts w:ascii="Arial" w:hAnsi="Arial" w:cs="Arial"/>
                <w:i/>
                <w:iCs/>
              </w:rPr>
              <w:t>Pyricularia</w:t>
            </w:r>
            <w:proofErr w:type="spellEnd"/>
            <w:r w:rsidRPr="007C4797">
              <w:rPr>
                <w:rFonts w:ascii="Arial" w:hAnsi="Arial" w:cs="Arial"/>
                <w:i/>
                <w:iCs/>
              </w:rPr>
              <w:t xml:space="preserve"> </w:t>
            </w:r>
            <w:proofErr w:type="spellStart"/>
            <w:r w:rsidRPr="007C4797">
              <w:rPr>
                <w:rFonts w:ascii="Arial" w:hAnsi="Arial" w:cs="Arial"/>
                <w:i/>
                <w:iCs/>
              </w:rPr>
              <w:t>oryzae</w:t>
            </w:r>
            <w:proofErr w:type="spellEnd"/>
          </w:p>
        </w:tc>
        <w:tc>
          <w:tcPr>
            <w:tcW w:w="649" w:type="pct"/>
            <w:hideMark/>
          </w:tcPr>
          <w:p w14:paraId="5FC6AA32" w14:textId="77777777" w:rsidR="007C4797" w:rsidRPr="007C4797" w:rsidRDefault="007C4797" w:rsidP="007C4797">
            <w:pPr>
              <w:pStyle w:val="Body"/>
              <w:rPr>
                <w:rFonts w:ascii="Arial" w:hAnsi="Arial" w:cs="Arial"/>
              </w:rPr>
            </w:pPr>
            <w:r w:rsidRPr="007C4797">
              <w:rPr>
                <w:rFonts w:ascii="Arial" w:hAnsi="Arial" w:cs="Arial"/>
              </w:rPr>
              <w:t>5-20</w:t>
            </w:r>
          </w:p>
        </w:tc>
        <w:tc>
          <w:tcPr>
            <w:tcW w:w="1259" w:type="pct"/>
            <w:hideMark/>
          </w:tcPr>
          <w:p w14:paraId="637C3234" w14:textId="77777777" w:rsidR="007C4797" w:rsidRPr="007C4797" w:rsidRDefault="007C4797" w:rsidP="007C4797">
            <w:pPr>
              <w:pStyle w:val="Body"/>
              <w:rPr>
                <w:rFonts w:ascii="Arial" w:hAnsi="Arial" w:cs="Arial"/>
              </w:rPr>
            </w:pPr>
            <w:r w:rsidRPr="007C4797">
              <w:rPr>
                <w:rFonts w:ascii="Arial" w:hAnsi="Arial" w:cs="Arial"/>
              </w:rPr>
              <w:t>65-85 lesion reduction</w:t>
            </w:r>
          </w:p>
        </w:tc>
        <w:tc>
          <w:tcPr>
            <w:tcW w:w="1111" w:type="pct"/>
            <w:hideMark/>
          </w:tcPr>
          <w:p w14:paraId="2E9EE044" w14:textId="77777777" w:rsidR="007C4797" w:rsidRPr="007C4797" w:rsidRDefault="007C4797" w:rsidP="007C4797">
            <w:pPr>
              <w:pStyle w:val="Body"/>
              <w:rPr>
                <w:rFonts w:ascii="Arial" w:hAnsi="Arial" w:cs="Arial"/>
              </w:rPr>
            </w:pPr>
            <w:r w:rsidRPr="007C4797">
              <w:rPr>
                <w:rFonts w:ascii="Arial" w:hAnsi="Arial" w:cs="Arial"/>
              </w:rPr>
              <w:t>Mishra et al., 2014</w:t>
            </w:r>
          </w:p>
        </w:tc>
      </w:tr>
      <w:tr w:rsidR="007C4797" w:rsidRPr="007C4797" w14:paraId="0A91ECEE" w14:textId="77777777" w:rsidTr="007C4797">
        <w:tc>
          <w:tcPr>
            <w:tcW w:w="483" w:type="pct"/>
            <w:hideMark/>
          </w:tcPr>
          <w:p w14:paraId="6006B71D" w14:textId="77777777" w:rsidR="007C4797" w:rsidRPr="007C4797" w:rsidRDefault="007C4797" w:rsidP="007C4797">
            <w:pPr>
              <w:pStyle w:val="Body"/>
              <w:rPr>
                <w:rFonts w:ascii="Arial" w:hAnsi="Arial" w:cs="Arial"/>
              </w:rPr>
            </w:pPr>
            <w:proofErr w:type="spellStart"/>
            <w:r w:rsidRPr="007C4797">
              <w:rPr>
                <w:rFonts w:ascii="Arial" w:hAnsi="Arial" w:cs="Arial"/>
              </w:rPr>
              <w:t>AgNPs</w:t>
            </w:r>
            <w:proofErr w:type="spellEnd"/>
          </w:p>
        </w:tc>
        <w:tc>
          <w:tcPr>
            <w:tcW w:w="535" w:type="pct"/>
            <w:hideMark/>
          </w:tcPr>
          <w:p w14:paraId="7CABACB2" w14:textId="77777777" w:rsidR="007C4797" w:rsidRPr="007C4797" w:rsidRDefault="007C4797" w:rsidP="007C4797">
            <w:pPr>
              <w:pStyle w:val="Body"/>
              <w:rPr>
                <w:rFonts w:ascii="Arial" w:hAnsi="Arial" w:cs="Arial"/>
              </w:rPr>
            </w:pPr>
            <w:r w:rsidRPr="007C4797">
              <w:rPr>
                <w:rFonts w:ascii="Arial" w:hAnsi="Arial" w:cs="Arial"/>
              </w:rPr>
              <w:t>8-25</w:t>
            </w:r>
          </w:p>
        </w:tc>
        <w:tc>
          <w:tcPr>
            <w:tcW w:w="964" w:type="pct"/>
            <w:hideMark/>
          </w:tcPr>
          <w:p w14:paraId="610D2EB6" w14:textId="77777777" w:rsidR="007C4797" w:rsidRPr="007C4797" w:rsidRDefault="007C4797" w:rsidP="007C4797">
            <w:pPr>
              <w:pStyle w:val="Body"/>
              <w:rPr>
                <w:rFonts w:ascii="Arial" w:hAnsi="Arial" w:cs="Arial"/>
              </w:rPr>
            </w:pPr>
            <w:r w:rsidRPr="007C4797">
              <w:rPr>
                <w:rFonts w:ascii="Arial" w:hAnsi="Arial" w:cs="Arial"/>
                <w:i/>
                <w:iCs/>
              </w:rPr>
              <w:t>Xanthomonas oryzae</w:t>
            </w:r>
          </w:p>
        </w:tc>
        <w:tc>
          <w:tcPr>
            <w:tcW w:w="649" w:type="pct"/>
            <w:hideMark/>
          </w:tcPr>
          <w:p w14:paraId="51C5D44F" w14:textId="77777777" w:rsidR="007C4797" w:rsidRPr="007C4797" w:rsidRDefault="007C4797" w:rsidP="007C4797">
            <w:pPr>
              <w:pStyle w:val="Body"/>
              <w:rPr>
                <w:rFonts w:ascii="Arial" w:hAnsi="Arial" w:cs="Arial"/>
              </w:rPr>
            </w:pPr>
            <w:r w:rsidRPr="007C4797">
              <w:rPr>
                <w:rFonts w:ascii="Arial" w:hAnsi="Arial" w:cs="Arial"/>
              </w:rPr>
              <w:t>10-25</w:t>
            </w:r>
          </w:p>
        </w:tc>
        <w:tc>
          <w:tcPr>
            <w:tcW w:w="1259" w:type="pct"/>
            <w:hideMark/>
          </w:tcPr>
          <w:p w14:paraId="2D6EAC86" w14:textId="77777777" w:rsidR="007C4797" w:rsidRPr="007C4797" w:rsidRDefault="007C4797" w:rsidP="007C4797">
            <w:pPr>
              <w:pStyle w:val="Body"/>
              <w:rPr>
                <w:rFonts w:ascii="Arial" w:hAnsi="Arial" w:cs="Arial"/>
              </w:rPr>
            </w:pPr>
            <w:r w:rsidRPr="007C4797">
              <w:rPr>
                <w:rFonts w:ascii="Arial" w:hAnsi="Arial" w:cs="Arial"/>
              </w:rPr>
              <w:t>Not tested in field</w:t>
            </w:r>
          </w:p>
        </w:tc>
        <w:tc>
          <w:tcPr>
            <w:tcW w:w="1111" w:type="pct"/>
            <w:hideMark/>
          </w:tcPr>
          <w:p w14:paraId="09DD51A5" w14:textId="77777777" w:rsidR="007C4797" w:rsidRPr="007C4797" w:rsidRDefault="007C4797" w:rsidP="007C4797">
            <w:pPr>
              <w:pStyle w:val="Body"/>
              <w:rPr>
                <w:rFonts w:ascii="Arial" w:hAnsi="Arial" w:cs="Arial"/>
              </w:rPr>
            </w:pPr>
            <w:proofErr w:type="spellStart"/>
            <w:r w:rsidRPr="007C4797">
              <w:rPr>
                <w:rFonts w:ascii="Arial" w:hAnsi="Arial" w:cs="Arial"/>
              </w:rPr>
              <w:t>Ocsoy</w:t>
            </w:r>
            <w:proofErr w:type="spellEnd"/>
            <w:r w:rsidRPr="007C4797">
              <w:rPr>
                <w:rFonts w:ascii="Arial" w:hAnsi="Arial" w:cs="Arial"/>
              </w:rPr>
              <w:t xml:space="preserve"> et al., 2013</w:t>
            </w:r>
          </w:p>
        </w:tc>
      </w:tr>
      <w:tr w:rsidR="007C4797" w:rsidRPr="007C4797" w14:paraId="7EEDF530" w14:textId="77777777" w:rsidTr="007C4797">
        <w:tc>
          <w:tcPr>
            <w:tcW w:w="483" w:type="pct"/>
            <w:hideMark/>
          </w:tcPr>
          <w:p w14:paraId="1B3B0C9A" w14:textId="77777777" w:rsidR="007C4797" w:rsidRPr="007C4797" w:rsidRDefault="007C4797" w:rsidP="007C4797">
            <w:pPr>
              <w:pStyle w:val="Body"/>
              <w:rPr>
                <w:rFonts w:ascii="Arial" w:hAnsi="Arial" w:cs="Arial"/>
              </w:rPr>
            </w:pPr>
            <w:proofErr w:type="spellStart"/>
            <w:r w:rsidRPr="007C4797">
              <w:rPr>
                <w:rFonts w:ascii="Arial" w:hAnsi="Arial" w:cs="Arial"/>
              </w:rPr>
              <w:t>TiO</w:t>
            </w:r>
            <w:proofErr w:type="spellEnd"/>
            <w:r w:rsidRPr="007C4797">
              <w:rPr>
                <w:rFonts w:ascii="Cambria Math" w:hAnsi="Cambria Math" w:cs="Cambria Math"/>
              </w:rPr>
              <w:t>₂</w:t>
            </w:r>
          </w:p>
        </w:tc>
        <w:tc>
          <w:tcPr>
            <w:tcW w:w="535" w:type="pct"/>
            <w:hideMark/>
          </w:tcPr>
          <w:p w14:paraId="435F34E1" w14:textId="77777777" w:rsidR="007C4797" w:rsidRPr="007C4797" w:rsidRDefault="007C4797" w:rsidP="007C4797">
            <w:pPr>
              <w:pStyle w:val="Body"/>
              <w:rPr>
                <w:rFonts w:ascii="Arial" w:hAnsi="Arial" w:cs="Arial"/>
              </w:rPr>
            </w:pPr>
            <w:r w:rsidRPr="007C4797">
              <w:rPr>
                <w:rFonts w:ascii="Arial" w:hAnsi="Arial" w:cs="Arial"/>
              </w:rPr>
              <w:t>15-30</w:t>
            </w:r>
          </w:p>
        </w:tc>
        <w:tc>
          <w:tcPr>
            <w:tcW w:w="964" w:type="pct"/>
            <w:hideMark/>
          </w:tcPr>
          <w:p w14:paraId="367C79C6" w14:textId="77777777" w:rsidR="007C4797" w:rsidRPr="007C4797" w:rsidRDefault="007C4797" w:rsidP="007C4797">
            <w:pPr>
              <w:pStyle w:val="Body"/>
              <w:rPr>
                <w:rFonts w:ascii="Arial" w:hAnsi="Arial" w:cs="Arial"/>
              </w:rPr>
            </w:pPr>
            <w:proofErr w:type="spellStart"/>
            <w:r w:rsidRPr="007C4797">
              <w:rPr>
                <w:rFonts w:ascii="Arial" w:hAnsi="Arial" w:cs="Arial"/>
                <w:i/>
                <w:iCs/>
              </w:rPr>
              <w:t>Pyricularia</w:t>
            </w:r>
            <w:proofErr w:type="spellEnd"/>
            <w:r w:rsidRPr="007C4797">
              <w:rPr>
                <w:rFonts w:ascii="Arial" w:hAnsi="Arial" w:cs="Arial"/>
                <w:i/>
                <w:iCs/>
              </w:rPr>
              <w:t xml:space="preserve"> </w:t>
            </w:r>
            <w:proofErr w:type="spellStart"/>
            <w:r w:rsidRPr="007C4797">
              <w:rPr>
                <w:rFonts w:ascii="Arial" w:hAnsi="Arial" w:cs="Arial"/>
                <w:i/>
                <w:iCs/>
              </w:rPr>
              <w:t>oryzae</w:t>
            </w:r>
            <w:proofErr w:type="spellEnd"/>
          </w:p>
        </w:tc>
        <w:tc>
          <w:tcPr>
            <w:tcW w:w="649" w:type="pct"/>
            <w:hideMark/>
          </w:tcPr>
          <w:p w14:paraId="60587932" w14:textId="77777777" w:rsidR="007C4797" w:rsidRPr="007C4797" w:rsidRDefault="007C4797" w:rsidP="007C4797">
            <w:pPr>
              <w:pStyle w:val="Body"/>
              <w:rPr>
                <w:rFonts w:ascii="Arial" w:hAnsi="Arial" w:cs="Arial"/>
              </w:rPr>
            </w:pPr>
            <w:r w:rsidRPr="007C4797">
              <w:rPr>
                <w:rFonts w:ascii="Arial" w:hAnsi="Arial" w:cs="Arial"/>
              </w:rPr>
              <w:t>150-250</w:t>
            </w:r>
          </w:p>
        </w:tc>
        <w:tc>
          <w:tcPr>
            <w:tcW w:w="1259" w:type="pct"/>
            <w:hideMark/>
          </w:tcPr>
          <w:p w14:paraId="3D2E4BF4" w14:textId="77777777" w:rsidR="007C4797" w:rsidRPr="007C4797" w:rsidRDefault="007C4797" w:rsidP="007C4797">
            <w:pPr>
              <w:pStyle w:val="Body"/>
              <w:rPr>
                <w:rFonts w:ascii="Arial" w:hAnsi="Arial" w:cs="Arial"/>
              </w:rPr>
            </w:pPr>
            <w:r w:rsidRPr="007C4797">
              <w:rPr>
                <w:rFonts w:ascii="Arial" w:hAnsi="Arial" w:cs="Arial"/>
              </w:rPr>
              <w:t>Limited field applicability</w:t>
            </w:r>
          </w:p>
        </w:tc>
        <w:tc>
          <w:tcPr>
            <w:tcW w:w="1111" w:type="pct"/>
            <w:hideMark/>
          </w:tcPr>
          <w:p w14:paraId="3424B2D9" w14:textId="77777777" w:rsidR="007C4797" w:rsidRPr="007C4797" w:rsidRDefault="007C4797" w:rsidP="007C4797">
            <w:pPr>
              <w:pStyle w:val="Body"/>
              <w:rPr>
                <w:rFonts w:ascii="Arial" w:hAnsi="Arial" w:cs="Arial"/>
              </w:rPr>
            </w:pPr>
            <w:r w:rsidRPr="007C4797">
              <w:rPr>
                <w:rFonts w:ascii="Arial" w:hAnsi="Arial" w:cs="Arial"/>
              </w:rPr>
              <w:t>Suriyaprabha et al., 2014</w:t>
            </w:r>
          </w:p>
        </w:tc>
      </w:tr>
      <w:tr w:rsidR="007C4797" w:rsidRPr="007C4797" w14:paraId="6F04DD52" w14:textId="77777777" w:rsidTr="007C4797">
        <w:tc>
          <w:tcPr>
            <w:tcW w:w="483" w:type="pct"/>
            <w:hideMark/>
          </w:tcPr>
          <w:p w14:paraId="09E421C9" w14:textId="77777777" w:rsidR="007C4797" w:rsidRPr="007C4797" w:rsidRDefault="007C4797" w:rsidP="007C4797">
            <w:pPr>
              <w:pStyle w:val="Body"/>
              <w:rPr>
                <w:rFonts w:ascii="Arial" w:hAnsi="Arial" w:cs="Arial"/>
              </w:rPr>
            </w:pPr>
            <w:r w:rsidRPr="007C4797">
              <w:rPr>
                <w:rFonts w:ascii="Arial" w:hAnsi="Arial" w:cs="Arial"/>
              </w:rPr>
              <w:t>MgO</w:t>
            </w:r>
          </w:p>
        </w:tc>
        <w:tc>
          <w:tcPr>
            <w:tcW w:w="535" w:type="pct"/>
            <w:hideMark/>
          </w:tcPr>
          <w:p w14:paraId="0FF0CC80" w14:textId="77777777" w:rsidR="007C4797" w:rsidRPr="007C4797" w:rsidRDefault="007C4797" w:rsidP="007C4797">
            <w:pPr>
              <w:pStyle w:val="Body"/>
              <w:rPr>
                <w:rFonts w:ascii="Arial" w:hAnsi="Arial" w:cs="Arial"/>
              </w:rPr>
            </w:pPr>
            <w:r w:rsidRPr="007C4797">
              <w:rPr>
                <w:rFonts w:ascii="Arial" w:hAnsi="Arial" w:cs="Arial"/>
              </w:rPr>
              <w:t>20-50</w:t>
            </w:r>
          </w:p>
        </w:tc>
        <w:tc>
          <w:tcPr>
            <w:tcW w:w="964" w:type="pct"/>
            <w:hideMark/>
          </w:tcPr>
          <w:p w14:paraId="23E211FC" w14:textId="77777777" w:rsidR="007C4797" w:rsidRPr="007C4797" w:rsidRDefault="007C4797" w:rsidP="007C4797">
            <w:pPr>
              <w:pStyle w:val="Body"/>
              <w:rPr>
                <w:rFonts w:ascii="Arial" w:hAnsi="Arial" w:cs="Arial"/>
              </w:rPr>
            </w:pPr>
            <w:r w:rsidRPr="007C4797">
              <w:rPr>
                <w:rFonts w:ascii="Arial" w:hAnsi="Arial" w:cs="Arial"/>
                <w:i/>
                <w:iCs/>
              </w:rPr>
              <w:t>Xanthomonas oryzae</w:t>
            </w:r>
          </w:p>
        </w:tc>
        <w:tc>
          <w:tcPr>
            <w:tcW w:w="649" w:type="pct"/>
            <w:hideMark/>
          </w:tcPr>
          <w:p w14:paraId="32D8AEF7" w14:textId="77777777" w:rsidR="007C4797" w:rsidRPr="007C4797" w:rsidRDefault="007C4797" w:rsidP="007C4797">
            <w:pPr>
              <w:pStyle w:val="Body"/>
              <w:rPr>
                <w:rFonts w:ascii="Arial" w:hAnsi="Arial" w:cs="Arial"/>
              </w:rPr>
            </w:pPr>
            <w:r w:rsidRPr="007C4797">
              <w:rPr>
                <w:rFonts w:ascii="Arial" w:hAnsi="Arial" w:cs="Arial"/>
              </w:rPr>
              <w:t>100-150</w:t>
            </w:r>
          </w:p>
        </w:tc>
        <w:tc>
          <w:tcPr>
            <w:tcW w:w="1259" w:type="pct"/>
            <w:hideMark/>
          </w:tcPr>
          <w:p w14:paraId="3DBCF8F8" w14:textId="77777777" w:rsidR="007C4797" w:rsidRPr="007C4797" w:rsidRDefault="007C4797" w:rsidP="007C4797">
            <w:pPr>
              <w:pStyle w:val="Body"/>
              <w:rPr>
                <w:rFonts w:ascii="Arial" w:hAnsi="Arial" w:cs="Arial"/>
              </w:rPr>
            </w:pPr>
            <w:r w:rsidRPr="007C4797">
              <w:rPr>
                <w:rFonts w:ascii="Arial" w:hAnsi="Arial" w:cs="Arial"/>
              </w:rPr>
              <w:t>40-55 disease reduction</w:t>
            </w:r>
          </w:p>
        </w:tc>
        <w:tc>
          <w:tcPr>
            <w:tcW w:w="1111" w:type="pct"/>
            <w:hideMark/>
          </w:tcPr>
          <w:p w14:paraId="15A827A0" w14:textId="77777777" w:rsidR="007C4797" w:rsidRPr="007C4797" w:rsidRDefault="007C4797" w:rsidP="007C4797">
            <w:pPr>
              <w:pStyle w:val="Body"/>
              <w:rPr>
                <w:rFonts w:ascii="Arial" w:hAnsi="Arial" w:cs="Arial"/>
              </w:rPr>
            </w:pPr>
            <w:r w:rsidRPr="007C4797">
              <w:rPr>
                <w:rFonts w:ascii="Arial" w:hAnsi="Arial" w:cs="Arial"/>
              </w:rPr>
              <w:t>Ogunyemi et al., 2020</w:t>
            </w:r>
          </w:p>
        </w:tc>
      </w:tr>
      <w:tr w:rsidR="007C4797" w:rsidRPr="007C4797" w14:paraId="2C6F491A" w14:textId="77777777" w:rsidTr="007C4797">
        <w:tc>
          <w:tcPr>
            <w:tcW w:w="483" w:type="pct"/>
            <w:hideMark/>
          </w:tcPr>
          <w:p w14:paraId="28AB7579" w14:textId="77777777" w:rsidR="007C4797" w:rsidRPr="007C4797" w:rsidRDefault="007C4797" w:rsidP="007C4797">
            <w:pPr>
              <w:pStyle w:val="Body"/>
              <w:rPr>
                <w:rFonts w:ascii="Arial" w:hAnsi="Arial" w:cs="Arial"/>
              </w:rPr>
            </w:pPr>
            <w:proofErr w:type="spellStart"/>
            <w:r w:rsidRPr="007C4797">
              <w:rPr>
                <w:rFonts w:ascii="Arial" w:hAnsi="Arial" w:cs="Arial"/>
              </w:rPr>
              <w:t>MnO</w:t>
            </w:r>
            <w:proofErr w:type="spellEnd"/>
            <w:r w:rsidRPr="007C4797">
              <w:rPr>
                <w:rFonts w:ascii="Cambria Math" w:hAnsi="Cambria Math" w:cs="Cambria Math"/>
              </w:rPr>
              <w:t>₂</w:t>
            </w:r>
          </w:p>
        </w:tc>
        <w:tc>
          <w:tcPr>
            <w:tcW w:w="535" w:type="pct"/>
            <w:hideMark/>
          </w:tcPr>
          <w:p w14:paraId="54C65EF9" w14:textId="77777777" w:rsidR="007C4797" w:rsidRPr="007C4797" w:rsidRDefault="007C4797" w:rsidP="007C4797">
            <w:pPr>
              <w:pStyle w:val="Body"/>
              <w:rPr>
                <w:rFonts w:ascii="Arial" w:hAnsi="Arial" w:cs="Arial"/>
              </w:rPr>
            </w:pPr>
            <w:r w:rsidRPr="007C4797">
              <w:rPr>
                <w:rFonts w:ascii="Arial" w:hAnsi="Arial" w:cs="Arial"/>
              </w:rPr>
              <w:t>25-55</w:t>
            </w:r>
          </w:p>
        </w:tc>
        <w:tc>
          <w:tcPr>
            <w:tcW w:w="964" w:type="pct"/>
            <w:hideMark/>
          </w:tcPr>
          <w:p w14:paraId="59366340" w14:textId="77777777" w:rsidR="007C4797" w:rsidRPr="007C4797" w:rsidRDefault="007C4797" w:rsidP="007C4797">
            <w:pPr>
              <w:pStyle w:val="Body"/>
              <w:rPr>
                <w:rFonts w:ascii="Arial" w:hAnsi="Arial" w:cs="Arial"/>
              </w:rPr>
            </w:pPr>
            <w:r w:rsidRPr="007C4797">
              <w:rPr>
                <w:rFonts w:ascii="Arial" w:hAnsi="Arial" w:cs="Arial"/>
                <w:i/>
                <w:iCs/>
              </w:rPr>
              <w:t>Xanthomonas oryzae</w:t>
            </w:r>
          </w:p>
        </w:tc>
        <w:tc>
          <w:tcPr>
            <w:tcW w:w="649" w:type="pct"/>
            <w:hideMark/>
          </w:tcPr>
          <w:p w14:paraId="168A8491" w14:textId="77777777" w:rsidR="007C4797" w:rsidRPr="007C4797" w:rsidRDefault="007C4797" w:rsidP="007C4797">
            <w:pPr>
              <w:pStyle w:val="Body"/>
              <w:rPr>
                <w:rFonts w:ascii="Arial" w:hAnsi="Arial" w:cs="Arial"/>
              </w:rPr>
            </w:pPr>
            <w:r w:rsidRPr="007C4797">
              <w:rPr>
                <w:rFonts w:ascii="Arial" w:hAnsi="Arial" w:cs="Arial"/>
              </w:rPr>
              <w:t>80-120</w:t>
            </w:r>
          </w:p>
        </w:tc>
        <w:tc>
          <w:tcPr>
            <w:tcW w:w="1259" w:type="pct"/>
            <w:hideMark/>
          </w:tcPr>
          <w:p w14:paraId="5B0C5AE2" w14:textId="77777777" w:rsidR="007C4797" w:rsidRPr="007C4797" w:rsidRDefault="007C4797" w:rsidP="007C4797">
            <w:pPr>
              <w:pStyle w:val="Body"/>
              <w:rPr>
                <w:rFonts w:ascii="Arial" w:hAnsi="Arial" w:cs="Arial"/>
              </w:rPr>
            </w:pPr>
            <w:r w:rsidRPr="007C4797">
              <w:rPr>
                <w:rFonts w:ascii="Arial" w:hAnsi="Arial" w:cs="Arial"/>
              </w:rPr>
              <w:t>45-60 disease reduction</w:t>
            </w:r>
          </w:p>
        </w:tc>
        <w:tc>
          <w:tcPr>
            <w:tcW w:w="1111" w:type="pct"/>
            <w:hideMark/>
          </w:tcPr>
          <w:p w14:paraId="04077063" w14:textId="77777777" w:rsidR="007C4797" w:rsidRPr="007C4797" w:rsidRDefault="007C4797" w:rsidP="007C4797">
            <w:pPr>
              <w:pStyle w:val="Body"/>
              <w:rPr>
                <w:rFonts w:ascii="Arial" w:hAnsi="Arial" w:cs="Arial"/>
              </w:rPr>
            </w:pPr>
            <w:r w:rsidRPr="007C4797">
              <w:rPr>
                <w:rFonts w:ascii="Arial" w:hAnsi="Arial" w:cs="Arial"/>
              </w:rPr>
              <w:t>Ogunyemi et al., 2020</w:t>
            </w:r>
          </w:p>
        </w:tc>
      </w:tr>
    </w:tbl>
    <w:p w14:paraId="44543AB2" w14:textId="77777777" w:rsidR="007C4797" w:rsidRPr="007C4797" w:rsidRDefault="007C4797" w:rsidP="007C4797">
      <w:pPr>
        <w:pStyle w:val="Body"/>
        <w:rPr>
          <w:rFonts w:ascii="Arial" w:hAnsi="Arial" w:cs="Arial"/>
          <w:i/>
          <w:iCs/>
        </w:rPr>
      </w:pPr>
      <w:r w:rsidRPr="007C4797">
        <w:rPr>
          <w:rFonts w:ascii="Arial" w:hAnsi="Arial" w:cs="Arial"/>
          <w:b/>
          <w:bCs/>
          <w:i/>
          <w:iCs/>
        </w:rPr>
        <w:t>Notes:</w:t>
      </w:r>
      <w:r w:rsidRPr="007C4797">
        <w:rPr>
          <w:rFonts w:ascii="Arial" w:hAnsi="Arial" w:cs="Arial"/>
          <w:i/>
          <w:iCs/>
        </w:rPr>
        <w:t> MIC = Minimum Inhibitory Concentration; In planta efficacy from greenhouse/field trials with foliar application (100-200 mg/L, 2-3 applications).</w:t>
      </w:r>
    </w:p>
    <w:p w14:paraId="6D9289AF" w14:textId="77777777" w:rsidR="007C4797" w:rsidRDefault="007C4797" w:rsidP="005967DE">
      <w:pPr>
        <w:pStyle w:val="Body"/>
        <w:jc w:val="left"/>
        <w:rPr>
          <w:rFonts w:ascii="Arial" w:hAnsi="Arial" w:cs="Arial"/>
        </w:rPr>
      </w:pPr>
    </w:p>
    <w:p w14:paraId="35A13763" w14:textId="7DC6CF9F" w:rsidR="00D377ED" w:rsidRPr="00FB3A86" w:rsidRDefault="00D377ED" w:rsidP="00441B6F">
      <w:pPr>
        <w:pStyle w:val="Body"/>
        <w:spacing w:after="0"/>
        <w:rPr>
          <w:rFonts w:ascii="Arial" w:hAnsi="Arial" w:cs="Arial"/>
        </w:rPr>
      </w:pPr>
    </w:p>
    <w:p w14:paraId="210E3810" w14:textId="77777777" w:rsidR="005967DE" w:rsidRDefault="00902823" w:rsidP="005967DE">
      <w:pPr>
        <w:pStyle w:val="AbstHead"/>
        <w:rPr>
          <w:rFonts w:ascii="Arial" w:hAnsi="Arial" w:cs="Arial"/>
        </w:rPr>
      </w:pPr>
      <w:r>
        <w:rPr>
          <w:rFonts w:ascii="Arial" w:hAnsi="Arial" w:cs="Arial"/>
        </w:rPr>
        <w:t>2.</w:t>
      </w:r>
      <w:r w:rsidR="003F761E" w:rsidRPr="003F761E">
        <w:rPr>
          <w:rFonts w:ascii="Arial" w:hAnsi="Arial" w:cs="Arial"/>
        </w:rPr>
        <w:t xml:space="preserve"> </w:t>
      </w:r>
      <w:r w:rsidR="005967DE" w:rsidRPr="005967DE">
        <w:rPr>
          <w:rFonts w:ascii="Arial" w:hAnsi="Arial" w:cs="Arial"/>
        </w:rPr>
        <w:t>METAL OXIDE NANOPARTICLES FOR RICE DISEASE MANAGEMENT</w:t>
      </w:r>
    </w:p>
    <w:p w14:paraId="69F57991" w14:textId="18F5BA6A" w:rsidR="00790ADA" w:rsidRPr="00FB3A86" w:rsidRDefault="003F761E" w:rsidP="005967DE">
      <w:pPr>
        <w:pStyle w:val="AbstHead"/>
        <w:rPr>
          <w:rFonts w:ascii="Arial" w:hAnsi="Arial" w:cs="Arial"/>
        </w:rPr>
      </w:pPr>
      <w:r w:rsidRPr="0084071C">
        <w:rPr>
          <w:rFonts w:ascii="Arial" w:hAnsi="Arial" w:cs="Arial"/>
          <w:caps w:val="0"/>
          <w:szCs w:val="22"/>
        </w:rPr>
        <w:t xml:space="preserve">2.1 </w:t>
      </w:r>
      <w:r w:rsidR="005967DE" w:rsidRPr="005967DE">
        <w:rPr>
          <w:rFonts w:ascii="Arial" w:hAnsi="Arial" w:cs="Arial"/>
          <w:caps w:val="0"/>
          <w:szCs w:val="22"/>
        </w:rPr>
        <w:t>Antimicrobial Mechanisms of Metal Oxide Nanoparticles</w:t>
      </w:r>
    </w:p>
    <w:p w14:paraId="035C2DC1" w14:textId="77777777" w:rsidR="005967DE" w:rsidRPr="005967DE" w:rsidRDefault="005967DE" w:rsidP="005967DE">
      <w:pPr>
        <w:pStyle w:val="Body"/>
        <w:rPr>
          <w:rFonts w:ascii="Arial" w:hAnsi="Arial" w:cs="Arial"/>
        </w:rPr>
      </w:pPr>
      <w:r w:rsidRPr="005967DE">
        <w:rPr>
          <w:rFonts w:ascii="Arial" w:hAnsi="Arial" w:cs="Arial"/>
        </w:rPr>
        <w:t>Metal oxide nanoparticles (MO-NPs) exhibit broad-spectrum antimicrobial activity through multiple synergistic mechanisms (Li et al., 2022; Siddiqi &amp; Husen, 2017).</w:t>
      </w:r>
    </w:p>
    <w:p w14:paraId="256E9255" w14:textId="23A87D28" w:rsidR="005967DE" w:rsidRPr="005967DE" w:rsidRDefault="005967DE" w:rsidP="005967DE">
      <w:pPr>
        <w:pStyle w:val="Body"/>
        <w:rPr>
          <w:rFonts w:ascii="Arial" w:hAnsi="Arial" w:cs="Arial"/>
        </w:rPr>
      </w:pPr>
      <w:r w:rsidRPr="00BF7AA8">
        <w:rPr>
          <w:rFonts w:ascii="Arial" w:hAnsi="Arial" w:cs="Arial"/>
          <w:b/>
          <w:bCs/>
        </w:rPr>
        <w:t>Reactive Oxygen Species (ROS) Generation:</w:t>
      </w:r>
      <w:r w:rsidRPr="005967DE">
        <w:rPr>
          <w:rFonts w:ascii="Arial" w:hAnsi="Arial" w:cs="Arial"/>
        </w:rPr>
        <w:t xml:space="preserve"> MO-NPs catalyze formation of superoxide radicals (O</w:t>
      </w:r>
      <w:r w:rsidRPr="005967DE">
        <w:rPr>
          <w:rFonts w:ascii="Cambria Math" w:hAnsi="Cambria Math" w:cs="Cambria Math"/>
        </w:rPr>
        <w:t>₂</w:t>
      </w:r>
      <w:r w:rsidRPr="005967DE">
        <w:rPr>
          <w:rFonts w:ascii="Arial" w:hAnsi="Arial" w:cs="Arial"/>
        </w:rPr>
        <w:t>•</w:t>
      </w:r>
      <w:r w:rsidRPr="005967DE">
        <w:rPr>
          <w:rFonts w:ascii="Cambria Math" w:hAnsi="Cambria Math" w:cs="Cambria Math"/>
        </w:rPr>
        <w:t>⁻</w:t>
      </w:r>
      <w:r w:rsidRPr="005967DE">
        <w:rPr>
          <w:rFonts w:ascii="Arial" w:hAnsi="Arial" w:cs="Arial"/>
        </w:rPr>
        <w:t>), hydroxyl radicals (•OH), hydrogen peroxide (H</w:t>
      </w:r>
      <w:r w:rsidRPr="005967DE">
        <w:rPr>
          <w:rFonts w:ascii="Cambria Math" w:hAnsi="Cambria Math" w:cs="Cambria Math"/>
        </w:rPr>
        <w:t>₂</w:t>
      </w:r>
      <w:r w:rsidRPr="005967DE">
        <w:rPr>
          <w:rFonts w:ascii="Arial" w:hAnsi="Arial" w:cs="Arial"/>
        </w:rPr>
        <w:t>O</w:t>
      </w:r>
      <w:r w:rsidRPr="005967DE">
        <w:rPr>
          <w:rFonts w:ascii="Cambria Math" w:hAnsi="Cambria Math" w:cs="Cambria Math"/>
        </w:rPr>
        <w:t>₂</w:t>
      </w:r>
      <w:r w:rsidRPr="005967DE">
        <w:rPr>
          <w:rFonts w:ascii="Arial" w:hAnsi="Arial" w:cs="Arial"/>
        </w:rPr>
        <w:t>), and singlet oxygen (¹O</w:t>
      </w:r>
      <w:r w:rsidRPr="005967DE">
        <w:rPr>
          <w:rFonts w:ascii="Cambria Math" w:hAnsi="Cambria Math" w:cs="Cambria Math"/>
        </w:rPr>
        <w:t>₂</w:t>
      </w:r>
      <w:r w:rsidRPr="005967DE">
        <w:rPr>
          <w:rFonts w:ascii="Arial" w:hAnsi="Arial" w:cs="Arial"/>
        </w:rPr>
        <w:t>) through surface-mediated electron transfer reactions (</w:t>
      </w:r>
      <w:proofErr w:type="spellStart"/>
      <w:r w:rsidRPr="005967DE">
        <w:rPr>
          <w:rFonts w:ascii="Arial" w:hAnsi="Arial" w:cs="Arial"/>
        </w:rPr>
        <w:t>Applerot</w:t>
      </w:r>
      <w:proofErr w:type="spellEnd"/>
      <w:r w:rsidRPr="005967DE">
        <w:rPr>
          <w:rFonts w:ascii="Arial" w:hAnsi="Arial" w:cs="Arial"/>
        </w:rPr>
        <w:t xml:space="preserve"> et al., 2012; </w:t>
      </w:r>
      <w:proofErr w:type="spellStart"/>
      <w:r w:rsidRPr="005967DE">
        <w:rPr>
          <w:rFonts w:ascii="Arial" w:hAnsi="Arial" w:cs="Arial"/>
        </w:rPr>
        <w:t>Sirelkhatim</w:t>
      </w:r>
      <w:proofErr w:type="spellEnd"/>
      <w:r w:rsidRPr="005967DE">
        <w:rPr>
          <w:rFonts w:ascii="Arial" w:hAnsi="Arial" w:cs="Arial"/>
        </w:rPr>
        <w:t xml:space="preserve"> et al., 2015). ROS oxidize cellular macromolecules including lipids, proteins, and nucleic acids, causing membrane peroxidation (lipid oxidation rate increases 5–10-fold), enzyme inactivation, and DNA strand breaks (Raghupathi et al., 2011; Azam et al., 2012). </w:t>
      </w:r>
      <w:proofErr w:type="spellStart"/>
      <w:r w:rsidRPr="005967DE">
        <w:rPr>
          <w:rFonts w:ascii="Arial" w:hAnsi="Arial" w:cs="Arial"/>
        </w:rPr>
        <w:t>TiO</w:t>
      </w:r>
      <w:proofErr w:type="spellEnd"/>
      <w:r w:rsidRPr="005967DE">
        <w:rPr>
          <w:rFonts w:ascii="Cambria Math" w:hAnsi="Cambria Math" w:cs="Cambria Math"/>
        </w:rPr>
        <w:t>₂</w:t>
      </w:r>
      <w:r w:rsidRPr="005967DE">
        <w:rPr>
          <w:rFonts w:ascii="Arial" w:hAnsi="Arial" w:cs="Arial"/>
        </w:rPr>
        <w:t xml:space="preserve"> nanoparticles generate ROS via photocatalytic mechanisms under UV irradiation, while </w:t>
      </w:r>
      <w:proofErr w:type="spellStart"/>
      <w:r w:rsidRPr="005967DE">
        <w:rPr>
          <w:rFonts w:ascii="Arial" w:hAnsi="Arial" w:cs="Arial"/>
        </w:rPr>
        <w:t>ZnO</w:t>
      </w:r>
      <w:proofErr w:type="spellEnd"/>
      <w:r w:rsidRPr="005967DE">
        <w:rPr>
          <w:rFonts w:ascii="Arial" w:hAnsi="Arial" w:cs="Arial"/>
        </w:rPr>
        <w:t xml:space="preserve"> and </w:t>
      </w:r>
      <w:proofErr w:type="spellStart"/>
      <w:r w:rsidRPr="005967DE">
        <w:rPr>
          <w:rFonts w:ascii="Arial" w:hAnsi="Arial" w:cs="Arial"/>
        </w:rPr>
        <w:t>CuO</w:t>
      </w:r>
      <w:proofErr w:type="spellEnd"/>
      <w:r w:rsidRPr="005967DE">
        <w:rPr>
          <w:rFonts w:ascii="Arial" w:hAnsi="Arial" w:cs="Arial"/>
        </w:rPr>
        <w:t xml:space="preserve"> produce ROS constitutively through surface defects and oxygen vacancies (Jiang et al., 2018; Slavin et al., 2017).</w:t>
      </w:r>
    </w:p>
    <w:p w14:paraId="1DF08FC9" w14:textId="0F4D0DE6" w:rsidR="005967DE" w:rsidRPr="005967DE" w:rsidRDefault="005967DE" w:rsidP="005967DE">
      <w:pPr>
        <w:pStyle w:val="Body"/>
        <w:rPr>
          <w:rFonts w:ascii="Arial" w:hAnsi="Arial" w:cs="Arial"/>
        </w:rPr>
      </w:pPr>
      <w:r w:rsidRPr="00BF7AA8">
        <w:rPr>
          <w:rFonts w:ascii="Arial" w:hAnsi="Arial" w:cs="Arial"/>
          <w:b/>
          <w:bCs/>
        </w:rPr>
        <w:t>Membrane Disruption:</w:t>
      </w:r>
      <w:r w:rsidRPr="005967DE">
        <w:rPr>
          <w:rFonts w:ascii="Arial" w:hAnsi="Arial" w:cs="Arial"/>
        </w:rPr>
        <w:t xml:space="preserve"> Electrostatic interactions between positively charged MO-NP surfaces (ζ-potential +15 to +40 mV) and negatively charged microbial membranes (ζ-potential −20 to −40 mV) facilitate nanoparticle adhesion and internalization (</w:t>
      </w:r>
      <w:proofErr w:type="spellStart"/>
      <w:r w:rsidRPr="005967DE">
        <w:rPr>
          <w:rFonts w:ascii="Arial" w:hAnsi="Arial" w:cs="Arial"/>
        </w:rPr>
        <w:t>Hajipour</w:t>
      </w:r>
      <w:proofErr w:type="spellEnd"/>
      <w:r w:rsidRPr="005967DE">
        <w:rPr>
          <w:rFonts w:ascii="Arial" w:hAnsi="Arial" w:cs="Arial"/>
        </w:rPr>
        <w:t xml:space="preserve"> et al., 2012; Xie et al., 2011). Surface-bound nanoparticles disrupt membrane integrity through lipid extraction, pore formation, and localized ROS generation, increasing membrane permeability by 40–80% within 2–4 hours of exposure (Raghupathi et al., 2011). Transmission electron microscopy reveals progressive membrane thinning, cytoplasmic leakage, and complete cell lysis at inhibitory concentrations (Brayner et al., 2006).</w:t>
      </w:r>
    </w:p>
    <w:p w14:paraId="25891A0E" w14:textId="7E687540" w:rsidR="005967DE" w:rsidRPr="005967DE" w:rsidRDefault="005967DE" w:rsidP="005967DE">
      <w:pPr>
        <w:pStyle w:val="Body"/>
        <w:rPr>
          <w:rFonts w:ascii="Arial" w:hAnsi="Arial" w:cs="Arial"/>
        </w:rPr>
      </w:pPr>
      <w:r w:rsidRPr="00BF7AA8">
        <w:rPr>
          <w:rFonts w:ascii="Arial" w:hAnsi="Arial" w:cs="Arial"/>
          <w:b/>
          <w:bCs/>
        </w:rPr>
        <w:t>Metal Ion Release:</w:t>
      </w:r>
      <w:r w:rsidRPr="005967DE">
        <w:rPr>
          <w:rFonts w:ascii="Arial" w:hAnsi="Arial" w:cs="Arial"/>
        </w:rPr>
        <w:t xml:space="preserve"> Dissolution of MO-NPs releases bioactive metal ions (Zn²</w:t>
      </w:r>
      <w:r w:rsidRPr="005967DE">
        <w:rPr>
          <w:rFonts w:ascii="Cambria Math" w:hAnsi="Cambria Math" w:cs="Cambria Math"/>
        </w:rPr>
        <w:t>⁺</w:t>
      </w:r>
      <w:r w:rsidRPr="005967DE">
        <w:rPr>
          <w:rFonts w:ascii="Arial" w:hAnsi="Arial" w:cs="Arial"/>
        </w:rPr>
        <w:t>, Cu²</w:t>
      </w:r>
      <w:r w:rsidRPr="005967DE">
        <w:rPr>
          <w:rFonts w:ascii="Cambria Math" w:hAnsi="Cambria Math" w:cs="Cambria Math"/>
        </w:rPr>
        <w:t>⁺</w:t>
      </w:r>
      <w:r w:rsidRPr="005967DE">
        <w:rPr>
          <w:rFonts w:ascii="Arial" w:hAnsi="Arial" w:cs="Arial"/>
        </w:rPr>
        <w:t>, Ag</w:t>
      </w:r>
      <w:r w:rsidRPr="005967DE">
        <w:rPr>
          <w:rFonts w:ascii="Cambria Math" w:hAnsi="Cambria Math" w:cs="Cambria Math"/>
        </w:rPr>
        <w:t>⁺</w:t>
      </w:r>
      <w:r w:rsidRPr="005967DE">
        <w:rPr>
          <w:rFonts w:ascii="Arial" w:hAnsi="Arial" w:cs="Arial"/>
        </w:rPr>
        <w:t>) that exert antimicrobial effects through multiple pathways (Xiu et al., 2012; Bondarenko et al., 2013). Zn²</w:t>
      </w:r>
      <w:r w:rsidRPr="005967DE">
        <w:rPr>
          <w:rFonts w:ascii="Cambria Math" w:hAnsi="Cambria Math" w:cs="Cambria Math"/>
        </w:rPr>
        <w:t>⁺</w:t>
      </w:r>
      <w:r w:rsidRPr="005967DE">
        <w:rPr>
          <w:rFonts w:ascii="Arial" w:hAnsi="Arial" w:cs="Arial"/>
        </w:rPr>
        <w:t xml:space="preserve"> ions disrupt enzyme function by displacing essential metal cofactors (Fe²</w:t>
      </w:r>
      <w:r w:rsidRPr="005967DE">
        <w:rPr>
          <w:rFonts w:ascii="Cambria Math" w:hAnsi="Cambria Math" w:cs="Cambria Math"/>
        </w:rPr>
        <w:t>⁺</w:t>
      </w:r>
      <w:r w:rsidRPr="005967DE">
        <w:rPr>
          <w:rFonts w:ascii="Arial" w:hAnsi="Arial" w:cs="Arial"/>
        </w:rPr>
        <w:t>, Mg²</w:t>
      </w:r>
      <w:r w:rsidRPr="005967DE">
        <w:rPr>
          <w:rFonts w:ascii="Cambria Math" w:hAnsi="Cambria Math" w:cs="Cambria Math"/>
        </w:rPr>
        <w:t>⁺</w:t>
      </w:r>
      <w:r w:rsidRPr="005967DE">
        <w:rPr>
          <w:rFonts w:ascii="Arial" w:hAnsi="Arial" w:cs="Arial"/>
        </w:rPr>
        <w:t>) and binding to thiol groups in proteins, inhibiting respiratory chain enzymes and ATP synthesis (Pasquet et al., 2014). Cu²</w:t>
      </w:r>
      <w:r w:rsidRPr="005967DE">
        <w:rPr>
          <w:rFonts w:ascii="Cambria Math" w:hAnsi="Cambria Math" w:cs="Cambria Math"/>
        </w:rPr>
        <w:t>⁺</w:t>
      </w:r>
      <w:r w:rsidRPr="005967DE">
        <w:rPr>
          <w:rFonts w:ascii="Arial" w:hAnsi="Arial" w:cs="Arial"/>
        </w:rPr>
        <w:t xml:space="preserve"> ions catalyze Fenton-like reactions generating hydroxyl radicals and bind to DNA </w:t>
      </w:r>
      <w:r w:rsidRPr="005967DE">
        <w:rPr>
          <w:rFonts w:ascii="Arial" w:hAnsi="Arial" w:cs="Arial"/>
        </w:rPr>
        <w:lastRenderedPageBreak/>
        <w:t>bases, causing conformational changes and replication errors (Chatterjee et al., 2014). Ag</w:t>
      </w:r>
      <w:r w:rsidRPr="005967DE">
        <w:rPr>
          <w:rFonts w:ascii="Cambria Math" w:hAnsi="Cambria Math" w:cs="Cambria Math"/>
        </w:rPr>
        <w:t>⁺</w:t>
      </w:r>
      <w:r w:rsidRPr="005967DE">
        <w:rPr>
          <w:rFonts w:ascii="Arial" w:hAnsi="Arial" w:cs="Arial"/>
        </w:rPr>
        <w:t xml:space="preserve"> ions bind to respiratory enzymes, ribosomal proteins, and DNA, inhibiting cellular respiration, protein synthesis, and replication at sub-micromolar concentrations (Morones et al., 2005).</w:t>
      </w:r>
    </w:p>
    <w:p w14:paraId="7DCCB504" w14:textId="1AF0204F" w:rsidR="003F761E" w:rsidRDefault="005967DE" w:rsidP="005967DE">
      <w:pPr>
        <w:pStyle w:val="Body"/>
        <w:spacing w:after="0"/>
        <w:rPr>
          <w:rFonts w:ascii="Arial" w:hAnsi="Arial" w:cs="Arial"/>
        </w:rPr>
      </w:pPr>
      <w:r w:rsidRPr="00BF7AA8">
        <w:rPr>
          <w:rFonts w:ascii="Arial" w:hAnsi="Arial" w:cs="Arial"/>
          <w:b/>
          <w:bCs/>
        </w:rPr>
        <w:t>Intracellular Dysfunction:</w:t>
      </w:r>
      <w:r w:rsidRPr="005967DE">
        <w:rPr>
          <w:rFonts w:ascii="Arial" w:hAnsi="Arial" w:cs="Arial"/>
        </w:rPr>
        <w:t xml:space="preserve"> Internalized nanoparticles accumulate in cytoplasm, mitochondria, and nuclei, disrupting organelle function and metabolic processes (Simon-Deckers et al., 2009; </w:t>
      </w:r>
      <w:proofErr w:type="spellStart"/>
      <w:r w:rsidRPr="005967DE">
        <w:rPr>
          <w:rFonts w:ascii="Arial" w:hAnsi="Arial" w:cs="Arial"/>
        </w:rPr>
        <w:t>AshaRani</w:t>
      </w:r>
      <w:proofErr w:type="spellEnd"/>
      <w:r w:rsidRPr="005967DE">
        <w:rPr>
          <w:rFonts w:ascii="Arial" w:hAnsi="Arial" w:cs="Arial"/>
        </w:rPr>
        <w:t xml:space="preserve"> et al., 2009). Mitochondrial accumulation impairs electron transport chain function, reducing ATP production by 50–70% and triggering apoptosis-like cell death. Nuclear accumulation causes chromosomal abnormalities, inhibits DNA replication, and blocks cell division (Li et al., 2012).</w:t>
      </w:r>
    </w:p>
    <w:p w14:paraId="7DF77434" w14:textId="4F180B29" w:rsidR="003F761E" w:rsidRDefault="003F761E" w:rsidP="007D53AA">
      <w:pPr>
        <w:pStyle w:val="Body"/>
        <w:spacing w:after="0"/>
        <w:jc w:val="center"/>
        <w:rPr>
          <w:rFonts w:ascii="Arial" w:hAnsi="Arial" w:cs="Arial"/>
        </w:rPr>
      </w:pPr>
    </w:p>
    <w:p w14:paraId="42AF3DF6" w14:textId="77777777" w:rsidR="003F761E" w:rsidRDefault="003F761E" w:rsidP="00441B6F">
      <w:pPr>
        <w:pStyle w:val="Body"/>
        <w:spacing w:after="0"/>
        <w:rPr>
          <w:rFonts w:ascii="Arial" w:hAnsi="Arial" w:cs="Arial"/>
        </w:rPr>
      </w:pPr>
    </w:p>
    <w:p w14:paraId="469717DD" w14:textId="54F09A4B" w:rsidR="003F761E" w:rsidRPr="0084071C" w:rsidRDefault="003F761E" w:rsidP="00441B6F">
      <w:pPr>
        <w:pStyle w:val="Body"/>
        <w:spacing w:after="0"/>
        <w:rPr>
          <w:rFonts w:ascii="Arial" w:hAnsi="Arial" w:cs="Arial"/>
          <w:b/>
          <w:bCs/>
          <w:sz w:val="22"/>
          <w:szCs w:val="22"/>
        </w:rPr>
      </w:pPr>
      <w:r w:rsidRPr="0084071C">
        <w:rPr>
          <w:rFonts w:ascii="Arial" w:hAnsi="Arial" w:cs="Arial"/>
          <w:b/>
          <w:bCs/>
          <w:sz w:val="22"/>
          <w:szCs w:val="22"/>
        </w:rPr>
        <w:t xml:space="preserve">2.2 </w:t>
      </w:r>
      <w:r w:rsidR="00BF7AA8" w:rsidRPr="00BF7AA8">
        <w:rPr>
          <w:rFonts w:ascii="Arial" w:hAnsi="Arial" w:cs="Arial"/>
          <w:b/>
          <w:bCs/>
          <w:sz w:val="22"/>
          <w:szCs w:val="22"/>
        </w:rPr>
        <w:t>Zinc Oxide Nanoparticles Against Rice Pathogens</w:t>
      </w:r>
    </w:p>
    <w:p w14:paraId="52EF4FFE" w14:textId="77777777" w:rsidR="003F761E" w:rsidRDefault="003F761E" w:rsidP="00441B6F">
      <w:pPr>
        <w:pStyle w:val="Body"/>
        <w:spacing w:after="0"/>
        <w:rPr>
          <w:rFonts w:ascii="Arial" w:hAnsi="Arial" w:cs="Arial"/>
          <w:i/>
          <w:iCs/>
        </w:rPr>
      </w:pPr>
    </w:p>
    <w:p w14:paraId="23EA28CB" w14:textId="77613627" w:rsidR="00BF7AA8" w:rsidRPr="00BF7AA8" w:rsidRDefault="00BF7AA8" w:rsidP="00BF7AA8">
      <w:pPr>
        <w:pStyle w:val="Body"/>
        <w:rPr>
          <w:rFonts w:ascii="Arial" w:hAnsi="Arial" w:cs="Arial"/>
        </w:rPr>
      </w:pPr>
      <w:proofErr w:type="spellStart"/>
      <w:r w:rsidRPr="00BF7AA8">
        <w:rPr>
          <w:rFonts w:ascii="Arial" w:hAnsi="Arial" w:cs="Arial"/>
        </w:rPr>
        <w:t>ZnO</w:t>
      </w:r>
      <w:proofErr w:type="spellEnd"/>
      <w:r w:rsidRPr="00BF7AA8">
        <w:rPr>
          <w:rFonts w:ascii="Arial" w:hAnsi="Arial" w:cs="Arial"/>
        </w:rPr>
        <w:t>-NPs demonstrate potent antifungal and antibacterial activity against major rice pathogens while serving dual roles as antimicrobial agents and micronutrient sources (</w:t>
      </w:r>
      <w:proofErr w:type="spellStart"/>
      <w:r w:rsidRPr="00BF7AA8">
        <w:rPr>
          <w:rFonts w:ascii="Arial" w:hAnsi="Arial" w:cs="Arial"/>
        </w:rPr>
        <w:t>Dimkpa</w:t>
      </w:r>
      <w:proofErr w:type="spellEnd"/>
      <w:r w:rsidRPr="00BF7AA8">
        <w:rPr>
          <w:rFonts w:ascii="Arial" w:hAnsi="Arial" w:cs="Arial"/>
        </w:rPr>
        <w:t xml:space="preserve"> et al., 2018; Singh et al., 2020).</w:t>
      </w:r>
    </w:p>
    <w:p w14:paraId="4B75DEF9" w14:textId="07508335" w:rsidR="00BF7AA8" w:rsidRPr="00BF7AA8" w:rsidRDefault="00BF7AA8" w:rsidP="00BF7AA8">
      <w:pPr>
        <w:pStyle w:val="Body"/>
        <w:rPr>
          <w:rFonts w:ascii="Arial" w:hAnsi="Arial" w:cs="Arial"/>
        </w:rPr>
      </w:pPr>
      <w:r w:rsidRPr="00BF7AA8">
        <w:rPr>
          <w:rFonts w:ascii="Arial" w:hAnsi="Arial" w:cs="Arial"/>
          <w:b/>
          <w:bCs/>
        </w:rPr>
        <w:t xml:space="preserve">Activity Against </w:t>
      </w:r>
      <w:proofErr w:type="spellStart"/>
      <w:r w:rsidR="008A517F" w:rsidRPr="008A517F">
        <w:rPr>
          <w:rFonts w:ascii="Arial" w:hAnsi="Arial" w:cs="Arial"/>
          <w:b/>
          <w:bCs/>
          <w:i/>
          <w:iCs/>
        </w:rPr>
        <w:t>Pyricularia</w:t>
      </w:r>
      <w:proofErr w:type="spellEnd"/>
      <w:r w:rsidR="008A517F" w:rsidRPr="008A517F">
        <w:rPr>
          <w:rFonts w:ascii="Arial" w:hAnsi="Arial" w:cs="Arial"/>
          <w:b/>
          <w:bCs/>
          <w:i/>
          <w:iCs/>
        </w:rPr>
        <w:t xml:space="preserve"> </w:t>
      </w:r>
      <w:proofErr w:type="spellStart"/>
      <w:r w:rsidR="008A517F" w:rsidRPr="008A517F">
        <w:rPr>
          <w:rFonts w:ascii="Arial" w:hAnsi="Arial" w:cs="Arial"/>
          <w:b/>
          <w:bCs/>
          <w:i/>
          <w:iCs/>
        </w:rPr>
        <w:t>oryzae</w:t>
      </w:r>
      <w:proofErr w:type="spellEnd"/>
      <w:r w:rsidRPr="00BF7AA8">
        <w:rPr>
          <w:rFonts w:ascii="Arial" w:hAnsi="Arial" w:cs="Arial"/>
          <w:b/>
          <w:bCs/>
        </w:rPr>
        <w:t>:</w:t>
      </w:r>
      <w:r w:rsidRPr="00BF7AA8">
        <w:rPr>
          <w:rFonts w:ascii="Arial" w:hAnsi="Arial" w:cs="Arial"/>
        </w:rPr>
        <w:t xml:space="preserve"> Biogenic </w:t>
      </w:r>
      <w:proofErr w:type="spellStart"/>
      <w:r w:rsidRPr="00BF7AA8">
        <w:rPr>
          <w:rFonts w:ascii="Arial" w:hAnsi="Arial" w:cs="Arial"/>
        </w:rPr>
        <w:t>ZnO</w:t>
      </w:r>
      <w:proofErr w:type="spellEnd"/>
      <w:r w:rsidRPr="00BF7AA8">
        <w:rPr>
          <w:rFonts w:ascii="Arial" w:hAnsi="Arial" w:cs="Arial"/>
        </w:rPr>
        <w:t xml:space="preserve">-NPs (20–50 nm) synthesized using </w:t>
      </w:r>
      <w:r w:rsidR="00187CC7" w:rsidRPr="00187CC7">
        <w:rPr>
          <w:rFonts w:ascii="Arial" w:hAnsi="Arial" w:cs="Arial"/>
          <w:i/>
          <w:iCs/>
        </w:rPr>
        <w:t>Bacillus</w:t>
      </w:r>
      <w:r w:rsidRPr="00BF7AA8">
        <w:rPr>
          <w:rFonts w:ascii="Arial" w:hAnsi="Arial" w:cs="Arial"/>
        </w:rPr>
        <w:t xml:space="preserve"> spp. extracts inhibit </w:t>
      </w:r>
      <w:r w:rsidR="002B64F8" w:rsidRPr="002B64F8">
        <w:rPr>
          <w:rFonts w:ascii="Arial" w:hAnsi="Arial" w:cs="Arial"/>
          <w:i/>
          <w:iCs/>
        </w:rPr>
        <w:t xml:space="preserve">P. </w:t>
      </w:r>
      <w:proofErr w:type="gramStart"/>
      <w:r w:rsidR="002B64F8" w:rsidRPr="002B64F8">
        <w:rPr>
          <w:rFonts w:ascii="Arial" w:hAnsi="Arial" w:cs="Arial"/>
          <w:i/>
          <w:iCs/>
        </w:rPr>
        <w:t xml:space="preserve">oryzae </w:t>
      </w:r>
      <w:r w:rsidRPr="00BF7AA8">
        <w:rPr>
          <w:rFonts w:ascii="Arial" w:hAnsi="Arial" w:cs="Arial"/>
        </w:rPr>
        <w:t xml:space="preserve"> mycelial</w:t>
      </w:r>
      <w:proofErr w:type="gramEnd"/>
      <w:r w:rsidRPr="00BF7AA8">
        <w:rPr>
          <w:rFonts w:ascii="Arial" w:hAnsi="Arial" w:cs="Arial"/>
        </w:rPr>
        <w:t xml:space="preserve"> growth with minimum inhibitory concentrations (MIC) of 50–100 </w:t>
      </w:r>
      <w:proofErr w:type="spellStart"/>
      <w:r w:rsidRPr="00BF7AA8">
        <w:rPr>
          <w:rFonts w:ascii="Arial" w:hAnsi="Arial" w:cs="Arial"/>
        </w:rPr>
        <w:t>μg</w:t>
      </w:r>
      <w:proofErr w:type="spellEnd"/>
      <w:r w:rsidRPr="00BF7AA8">
        <w:rPr>
          <w:rFonts w:ascii="Arial" w:hAnsi="Arial" w:cs="Arial"/>
        </w:rPr>
        <w:t xml:space="preserve">/mL, representing 60–75% growth reduction compared to controls (Cheema et al., 2022; Ahmed et al., 2020). Foliar application of </w:t>
      </w:r>
      <w:proofErr w:type="spellStart"/>
      <w:r w:rsidRPr="00BF7AA8">
        <w:rPr>
          <w:rFonts w:ascii="Arial" w:hAnsi="Arial" w:cs="Arial"/>
        </w:rPr>
        <w:t>ZnO</w:t>
      </w:r>
      <w:proofErr w:type="spellEnd"/>
      <w:r w:rsidRPr="00BF7AA8">
        <w:rPr>
          <w:rFonts w:ascii="Arial" w:hAnsi="Arial" w:cs="Arial"/>
        </w:rPr>
        <w:t xml:space="preserve">-NPs (100–200 mg/L) on rice plants prior to </w:t>
      </w:r>
      <w:r w:rsidR="002B64F8" w:rsidRPr="002B64F8">
        <w:rPr>
          <w:rFonts w:ascii="Arial" w:hAnsi="Arial" w:cs="Arial"/>
          <w:i/>
          <w:iCs/>
        </w:rPr>
        <w:t xml:space="preserve">P. </w:t>
      </w:r>
      <w:proofErr w:type="gramStart"/>
      <w:r w:rsidR="002B64F8" w:rsidRPr="002B64F8">
        <w:rPr>
          <w:rFonts w:ascii="Arial" w:hAnsi="Arial" w:cs="Arial"/>
          <w:i/>
          <w:iCs/>
        </w:rPr>
        <w:t xml:space="preserve">oryzae </w:t>
      </w:r>
      <w:r w:rsidRPr="00BF7AA8">
        <w:rPr>
          <w:rFonts w:ascii="Arial" w:hAnsi="Arial" w:cs="Arial"/>
          <w:i/>
          <w:iCs/>
        </w:rPr>
        <w:t xml:space="preserve"> </w:t>
      </w:r>
      <w:r w:rsidRPr="00BF7AA8">
        <w:rPr>
          <w:rFonts w:ascii="Arial" w:hAnsi="Arial" w:cs="Arial"/>
        </w:rPr>
        <w:t>inoculation</w:t>
      </w:r>
      <w:proofErr w:type="gramEnd"/>
      <w:r w:rsidRPr="00BF7AA8">
        <w:rPr>
          <w:rFonts w:ascii="Arial" w:hAnsi="Arial" w:cs="Arial"/>
        </w:rPr>
        <w:t xml:space="preserve"> reduces blast lesion number by 55–70% and lesion area by 60–80% compared to untreated controls (Qiu et al., 2023). Mechanistic studies reveal </w:t>
      </w:r>
      <w:proofErr w:type="spellStart"/>
      <w:r w:rsidRPr="00BF7AA8">
        <w:rPr>
          <w:rFonts w:ascii="Arial" w:hAnsi="Arial" w:cs="Arial"/>
        </w:rPr>
        <w:t>ZnO</w:t>
      </w:r>
      <w:proofErr w:type="spellEnd"/>
      <w:r w:rsidRPr="00BF7AA8">
        <w:rPr>
          <w:rFonts w:ascii="Arial" w:hAnsi="Arial" w:cs="Arial"/>
        </w:rPr>
        <w:t xml:space="preserve">-NPs disrupt fungal cell wall integrity, inhibit appressorium formation (specialized infection structures), and suppress expression of pathogenicity genes including </w:t>
      </w:r>
      <w:r w:rsidR="002B64F8" w:rsidRPr="002B64F8">
        <w:rPr>
          <w:rFonts w:ascii="Arial" w:hAnsi="Arial" w:cs="Arial"/>
          <w:i/>
          <w:iCs/>
        </w:rPr>
        <w:t>MPG</w:t>
      </w:r>
      <w:proofErr w:type="gramStart"/>
      <w:r w:rsidR="002B64F8" w:rsidRPr="002B64F8">
        <w:rPr>
          <w:rFonts w:ascii="Arial" w:hAnsi="Arial" w:cs="Arial"/>
          <w:i/>
          <w:iCs/>
        </w:rPr>
        <w:t xml:space="preserve">1 </w:t>
      </w:r>
      <w:r w:rsidRPr="00BF7AA8">
        <w:rPr>
          <w:rFonts w:ascii="Arial" w:hAnsi="Arial" w:cs="Arial"/>
          <w:i/>
          <w:iCs/>
        </w:rPr>
        <w:t xml:space="preserve"> </w:t>
      </w:r>
      <w:r w:rsidRPr="00BF7AA8">
        <w:rPr>
          <w:rFonts w:ascii="Arial" w:hAnsi="Arial" w:cs="Arial"/>
        </w:rPr>
        <w:t>(</w:t>
      </w:r>
      <w:proofErr w:type="spellStart"/>
      <w:proofErr w:type="gramEnd"/>
      <w:r w:rsidRPr="00BF7AA8">
        <w:rPr>
          <w:rFonts w:ascii="Arial" w:hAnsi="Arial" w:cs="Arial"/>
        </w:rPr>
        <w:t>hydrophobin</w:t>
      </w:r>
      <w:proofErr w:type="spellEnd"/>
      <w:r w:rsidRPr="00BF7AA8">
        <w:rPr>
          <w:rFonts w:ascii="Arial" w:hAnsi="Arial" w:cs="Arial"/>
        </w:rPr>
        <w:t xml:space="preserve">) and </w:t>
      </w:r>
      <w:r w:rsidRPr="00BF7AA8">
        <w:rPr>
          <w:rFonts w:ascii="Arial" w:hAnsi="Arial" w:cs="Arial"/>
          <w:i/>
          <w:iCs/>
        </w:rPr>
        <w:t>PTH11</w:t>
      </w:r>
      <w:r w:rsidRPr="00BF7AA8">
        <w:rPr>
          <w:rFonts w:ascii="Arial" w:hAnsi="Arial" w:cs="Arial"/>
        </w:rPr>
        <w:t xml:space="preserve"> (G-protein coupled receptor) by 3–8-fold (</w:t>
      </w:r>
      <w:proofErr w:type="spellStart"/>
      <w:r w:rsidRPr="00BF7AA8">
        <w:rPr>
          <w:rFonts w:ascii="Arial" w:hAnsi="Arial" w:cs="Arial"/>
        </w:rPr>
        <w:t>Elamawi</w:t>
      </w:r>
      <w:proofErr w:type="spellEnd"/>
      <w:r w:rsidRPr="00BF7AA8">
        <w:rPr>
          <w:rFonts w:ascii="Arial" w:hAnsi="Arial" w:cs="Arial"/>
        </w:rPr>
        <w:t xml:space="preserve"> et al., 2018; Ogunyemi et al., 2020).</w:t>
      </w:r>
    </w:p>
    <w:p w14:paraId="550764E4" w14:textId="20C47358" w:rsidR="00BF7AA8" w:rsidRPr="00BF7AA8" w:rsidRDefault="00BF7AA8" w:rsidP="00BF7AA8">
      <w:pPr>
        <w:pStyle w:val="Body"/>
        <w:rPr>
          <w:rFonts w:ascii="Arial" w:hAnsi="Arial" w:cs="Arial"/>
        </w:rPr>
      </w:pPr>
      <w:r w:rsidRPr="00BF7AA8">
        <w:rPr>
          <w:rFonts w:ascii="Arial" w:hAnsi="Arial" w:cs="Arial"/>
          <w:b/>
          <w:bCs/>
        </w:rPr>
        <w:t xml:space="preserve">Activity Against </w:t>
      </w:r>
      <w:r w:rsidR="008A517F" w:rsidRPr="008A517F">
        <w:rPr>
          <w:rFonts w:ascii="Arial" w:hAnsi="Arial" w:cs="Arial"/>
          <w:b/>
          <w:bCs/>
          <w:i/>
          <w:iCs/>
        </w:rPr>
        <w:t xml:space="preserve">Xanthomonas </w:t>
      </w:r>
      <w:proofErr w:type="spellStart"/>
      <w:proofErr w:type="gramStart"/>
      <w:r w:rsidR="008A517F" w:rsidRPr="008A517F">
        <w:rPr>
          <w:rFonts w:ascii="Arial" w:hAnsi="Arial" w:cs="Arial"/>
          <w:b/>
          <w:bCs/>
          <w:i/>
          <w:iCs/>
        </w:rPr>
        <w:t>oryzae</w:t>
      </w:r>
      <w:proofErr w:type="spellEnd"/>
      <w:r w:rsidR="008A517F" w:rsidRPr="008A517F">
        <w:rPr>
          <w:rFonts w:ascii="Arial" w:hAnsi="Arial" w:cs="Arial"/>
          <w:b/>
          <w:bCs/>
          <w:i/>
          <w:iCs/>
        </w:rPr>
        <w:t xml:space="preserve"> </w:t>
      </w:r>
      <w:r w:rsidRPr="00BF7AA8">
        <w:rPr>
          <w:rFonts w:ascii="Arial" w:hAnsi="Arial" w:cs="Arial"/>
          <w:b/>
          <w:bCs/>
        </w:rPr>
        <w:t>:</w:t>
      </w:r>
      <w:proofErr w:type="gramEnd"/>
      <w:r w:rsidRPr="00BF7AA8">
        <w:rPr>
          <w:rFonts w:ascii="Arial" w:hAnsi="Arial" w:cs="Arial"/>
        </w:rPr>
        <w:t xml:space="preserve"> Chitosan-coated </w:t>
      </w:r>
      <w:proofErr w:type="spellStart"/>
      <w:r w:rsidRPr="00BF7AA8">
        <w:rPr>
          <w:rFonts w:ascii="Arial" w:hAnsi="Arial" w:cs="Arial"/>
        </w:rPr>
        <w:t>ZnO</w:t>
      </w:r>
      <w:proofErr w:type="spellEnd"/>
      <w:r w:rsidRPr="00BF7AA8">
        <w:rPr>
          <w:rFonts w:ascii="Arial" w:hAnsi="Arial" w:cs="Arial"/>
        </w:rPr>
        <w:t xml:space="preserve">-NPs (30–60 nm) exhibit superior antibacterial activity against </w:t>
      </w:r>
      <w:r w:rsidR="008A517F" w:rsidRPr="008A517F">
        <w:rPr>
          <w:rFonts w:ascii="Arial" w:hAnsi="Arial" w:cs="Arial"/>
          <w:i/>
          <w:iCs/>
        </w:rPr>
        <w:t xml:space="preserve">X. </w:t>
      </w:r>
      <w:proofErr w:type="spellStart"/>
      <w:r w:rsidR="008A517F" w:rsidRPr="008A517F">
        <w:rPr>
          <w:rFonts w:ascii="Arial" w:hAnsi="Arial" w:cs="Arial"/>
          <w:i/>
          <w:iCs/>
        </w:rPr>
        <w:t>oryzae</w:t>
      </w:r>
      <w:proofErr w:type="spellEnd"/>
      <w:r w:rsidR="008A517F" w:rsidRPr="008A517F">
        <w:rPr>
          <w:rFonts w:ascii="Arial" w:hAnsi="Arial" w:cs="Arial"/>
          <w:i/>
          <w:iCs/>
        </w:rPr>
        <w:t xml:space="preserve"> </w:t>
      </w:r>
      <w:r w:rsidRPr="00BF7AA8">
        <w:rPr>
          <w:rFonts w:ascii="Arial" w:hAnsi="Arial" w:cs="Arial"/>
        </w:rPr>
        <w:t xml:space="preserve"> </w:t>
      </w:r>
      <w:proofErr w:type="spellStart"/>
      <w:r w:rsidRPr="00BF7AA8">
        <w:rPr>
          <w:rFonts w:ascii="Arial" w:hAnsi="Arial" w:cs="Arial"/>
        </w:rPr>
        <w:t>pv</w:t>
      </w:r>
      <w:proofErr w:type="spellEnd"/>
      <w:r w:rsidRPr="00BF7AA8">
        <w:rPr>
          <w:rFonts w:ascii="Arial" w:hAnsi="Arial" w:cs="Arial"/>
        </w:rPr>
        <w:t xml:space="preserve">. </w:t>
      </w:r>
      <w:r w:rsidR="008A517F" w:rsidRPr="008A517F">
        <w:rPr>
          <w:rFonts w:ascii="Arial" w:hAnsi="Arial" w:cs="Arial"/>
          <w:i/>
          <w:iCs/>
        </w:rPr>
        <w:t>oryzae</w:t>
      </w:r>
      <w:r w:rsidRPr="00BF7AA8">
        <w:rPr>
          <w:rFonts w:ascii="Arial" w:hAnsi="Arial" w:cs="Arial"/>
        </w:rPr>
        <w:t xml:space="preserve"> with MIC values of 25–50 </w:t>
      </w:r>
      <w:proofErr w:type="spellStart"/>
      <w:r w:rsidRPr="00BF7AA8">
        <w:rPr>
          <w:rFonts w:ascii="Arial" w:hAnsi="Arial" w:cs="Arial"/>
        </w:rPr>
        <w:t>μg</w:t>
      </w:r>
      <w:proofErr w:type="spellEnd"/>
      <w:r w:rsidRPr="00BF7AA8">
        <w:rPr>
          <w:rFonts w:ascii="Arial" w:hAnsi="Arial" w:cs="Arial"/>
        </w:rPr>
        <w:t xml:space="preserve">/mL, achieving 85–95% bacterial growth inhibition at 100 </w:t>
      </w:r>
      <w:proofErr w:type="spellStart"/>
      <w:r w:rsidRPr="00BF7AA8">
        <w:rPr>
          <w:rFonts w:ascii="Arial" w:hAnsi="Arial" w:cs="Arial"/>
        </w:rPr>
        <w:t>μg</w:t>
      </w:r>
      <w:proofErr w:type="spellEnd"/>
      <w:r w:rsidRPr="00BF7AA8">
        <w:rPr>
          <w:rFonts w:ascii="Arial" w:hAnsi="Arial" w:cs="Arial"/>
        </w:rPr>
        <w:t xml:space="preserve">/mL (Abdallah et al., 2020). Greenhouse trials demonstrate that </w:t>
      </w:r>
      <w:proofErr w:type="spellStart"/>
      <w:r w:rsidRPr="00BF7AA8">
        <w:rPr>
          <w:rFonts w:ascii="Arial" w:hAnsi="Arial" w:cs="Arial"/>
        </w:rPr>
        <w:t>ZnO</w:t>
      </w:r>
      <w:proofErr w:type="spellEnd"/>
      <w:r w:rsidRPr="00BF7AA8">
        <w:rPr>
          <w:rFonts w:ascii="Arial" w:hAnsi="Arial" w:cs="Arial"/>
        </w:rPr>
        <w:t xml:space="preserve">-NP foliar sprays (150 mg/L, three applications) reduce bacterial blight disease severity by 62–78% and increase grain yield by 18–25% compared to untreated controls (Ogunyemi et al., 2019). Scanning electron microscopy reveals bacterial cell wall degradation, membrane rupture, and cytoplasmic leakage following </w:t>
      </w:r>
      <w:proofErr w:type="spellStart"/>
      <w:r w:rsidRPr="00BF7AA8">
        <w:rPr>
          <w:rFonts w:ascii="Arial" w:hAnsi="Arial" w:cs="Arial"/>
        </w:rPr>
        <w:t>ZnO</w:t>
      </w:r>
      <w:proofErr w:type="spellEnd"/>
      <w:r w:rsidRPr="00BF7AA8">
        <w:rPr>
          <w:rFonts w:ascii="Arial" w:hAnsi="Arial" w:cs="Arial"/>
        </w:rPr>
        <w:t>-NP treatment (Cheema et al., 2022).</w:t>
      </w:r>
    </w:p>
    <w:p w14:paraId="12B6474D" w14:textId="777CE176" w:rsidR="00187CC7" w:rsidRPr="007C4797" w:rsidRDefault="00BF7AA8" w:rsidP="003F761E">
      <w:pPr>
        <w:pStyle w:val="Body"/>
        <w:rPr>
          <w:rFonts w:ascii="Arial" w:hAnsi="Arial" w:cs="Arial"/>
        </w:rPr>
      </w:pPr>
      <w:r w:rsidRPr="00BF7AA8">
        <w:rPr>
          <w:rFonts w:ascii="Arial" w:hAnsi="Arial" w:cs="Arial"/>
          <w:b/>
          <w:bCs/>
        </w:rPr>
        <w:t>Dual Antimicrobial-Nutritional Function:</w:t>
      </w:r>
      <w:r w:rsidRPr="00BF7AA8">
        <w:rPr>
          <w:rFonts w:ascii="Arial" w:hAnsi="Arial" w:cs="Arial"/>
        </w:rPr>
        <w:t xml:space="preserve"> </w:t>
      </w:r>
      <w:proofErr w:type="spellStart"/>
      <w:r w:rsidRPr="00BF7AA8">
        <w:rPr>
          <w:rFonts w:ascii="Arial" w:hAnsi="Arial" w:cs="Arial"/>
        </w:rPr>
        <w:t>ZnO</w:t>
      </w:r>
      <w:proofErr w:type="spellEnd"/>
      <w:r w:rsidRPr="00BF7AA8">
        <w:rPr>
          <w:rFonts w:ascii="Arial" w:hAnsi="Arial" w:cs="Arial"/>
        </w:rPr>
        <w:t xml:space="preserve">-NPs enhance rice plant immunity through zinc nutrition, increasing activities of defense enzymes including phenylalanine ammonia-lyase (PAL), peroxidase (POD), and polyphenol oxidase (PPO) by 40–120% (Qiu et al., 2023). Zinc deficiency affects 30–50% of rice-growing soils globally; </w:t>
      </w:r>
      <w:proofErr w:type="spellStart"/>
      <w:r w:rsidRPr="00BF7AA8">
        <w:rPr>
          <w:rFonts w:ascii="Arial" w:hAnsi="Arial" w:cs="Arial"/>
        </w:rPr>
        <w:t>ZnO</w:t>
      </w:r>
      <w:proofErr w:type="spellEnd"/>
      <w:r w:rsidRPr="00BF7AA8">
        <w:rPr>
          <w:rFonts w:ascii="Arial" w:hAnsi="Arial" w:cs="Arial"/>
        </w:rPr>
        <w:t>-NP application (50–100 mg/kg soil) corrects deficiency more efficiently than conventional zinc sulfate, increasing grain zinc concentration by 30–60% (</w:t>
      </w:r>
      <w:proofErr w:type="spellStart"/>
      <w:r w:rsidRPr="00BF7AA8">
        <w:rPr>
          <w:rFonts w:ascii="Arial" w:hAnsi="Arial" w:cs="Arial"/>
        </w:rPr>
        <w:t>Dimkpa</w:t>
      </w:r>
      <w:proofErr w:type="spellEnd"/>
      <w:r w:rsidRPr="00BF7AA8">
        <w:rPr>
          <w:rFonts w:ascii="Arial" w:hAnsi="Arial" w:cs="Arial"/>
        </w:rPr>
        <w:t xml:space="preserve"> et al., 2017; Rossi et al., 2019).</w:t>
      </w:r>
    </w:p>
    <w:p w14:paraId="0AF82045" w14:textId="77777777" w:rsidR="00BF7AA8" w:rsidRDefault="003F761E" w:rsidP="00BF7AA8">
      <w:pPr>
        <w:pStyle w:val="Body"/>
        <w:rPr>
          <w:rFonts w:ascii="Arial" w:hAnsi="Arial" w:cs="Arial"/>
          <w:b/>
          <w:bCs/>
          <w:sz w:val="22"/>
          <w:szCs w:val="22"/>
        </w:rPr>
      </w:pPr>
      <w:r w:rsidRPr="0084071C">
        <w:rPr>
          <w:rFonts w:ascii="Arial" w:hAnsi="Arial" w:cs="Arial"/>
          <w:b/>
          <w:bCs/>
          <w:sz w:val="22"/>
          <w:szCs w:val="22"/>
        </w:rPr>
        <w:t xml:space="preserve">2.3 </w:t>
      </w:r>
      <w:r w:rsidR="00BF7AA8" w:rsidRPr="00BF7AA8">
        <w:rPr>
          <w:rFonts w:ascii="Arial" w:hAnsi="Arial" w:cs="Arial"/>
          <w:b/>
          <w:bCs/>
          <w:sz w:val="22"/>
          <w:szCs w:val="22"/>
        </w:rPr>
        <w:t>Copper Oxide and Other Metal Oxide Nanoparticles</w:t>
      </w:r>
    </w:p>
    <w:p w14:paraId="6A5F3DFA" w14:textId="3325C8FA" w:rsidR="00BF7AA8" w:rsidRPr="00BF7AA8" w:rsidRDefault="00BF7AA8" w:rsidP="00BF7AA8">
      <w:pPr>
        <w:pStyle w:val="Body"/>
        <w:rPr>
          <w:rFonts w:ascii="Arial" w:hAnsi="Arial" w:cs="Arial"/>
        </w:rPr>
      </w:pPr>
      <w:proofErr w:type="spellStart"/>
      <w:r w:rsidRPr="00BF7AA8">
        <w:rPr>
          <w:rFonts w:ascii="Arial" w:hAnsi="Arial" w:cs="Arial"/>
          <w:b/>
          <w:bCs/>
        </w:rPr>
        <w:t>CuO</w:t>
      </w:r>
      <w:proofErr w:type="spellEnd"/>
      <w:r w:rsidRPr="00BF7AA8">
        <w:rPr>
          <w:rFonts w:ascii="Arial" w:hAnsi="Arial" w:cs="Arial"/>
          <w:b/>
          <w:bCs/>
        </w:rPr>
        <w:t xml:space="preserve"> Nanoparticles:</w:t>
      </w:r>
      <w:r w:rsidRPr="00BF7AA8">
        <w:rPr>
          <w:rFonts w:ascii="Arial" w:hAnsi="Arial" w:cs="Arial"/>
        </w:rPr>
        <w:t xml:space="preserve"> </w:t>
      </w:r>
      <w:proofErr w:type="spellStart"/>
      <w:r w:rsidRPr="00BF7AA8">
        <w:rPr>
          <w:rFonts w:ascii="Arial" w:hAnsi="Arial" w:cs="Arial"/>
        </w:rPr>
        <w:t>CuO</w:t>
      </w:r>
      <w:proofErr w:type="spellEnd"/>
      <w:r w:rsidRPr="00BF7AA8">
        <w:rPr>
          <w:rFonts w:ascii="Arial" w:hAnsi="Arial" w:cs="Arial"/>
        </w:rPr>
        <w:t xml:space="preserve">-NPs (10–40 nm) exhibit broad-spectrum antifungal activity with MIC values of 40–80 </w:t>
      </w:r>
      <w:proofErr w:type="spellStart"/>
      <w:r w:rsidRPr="00BF7AA8">
        <w:rPr>
          <w:rFonts w:ascii="Arial" w:hAnsi="Arial" w:cs="Arial"/>
        </w:rPr>
        <w:t>μg</w:t>
      </w:r>
      <w:proofErr w:type="spellEnd"/>
      <w:r w:rsidRPr="00BF7AA8">
        <w:rPr>
          <w:rFonts w:ascii="Arial" w:hAnsi="Arial" w:cs="Arial"/>
        </w:rPr>
        <w:t xml:space="preserve">/mL against </w:t>
      </w:r>
      <w:r w:rsidR="002B64F8" w:rsidRPr="002B64F8">
        <w:rPr>
          <w:rFonts w:ascii="Arial" w:hAnsi="Arial" w:cs="Arial"/>
          <w:i/>
          <w:iCs/>
        </w:rPr>
        <w:t xml:space="preserve">P. </w:t>
      </w:r>
      <w:proofErr w:type="gramStart"/>
      <w:r w:rsidR="002B64F8" w:rsidRPr="002B64F8">
        <w:rPr>
          <w:rFonts w:ascii="Arial" w:hAnsi="Arial" w:cs="Arial"/>
          <w:i/>
          <w:iCs/>
        </w:rPr>
        <w:t xml:space="preserve">oryzae </w:t>
      </w:r>
      <w:r w:rsidRPr="00BF7AA8">
        <w:rPr>
          <w:rFonts w:ascii="Arial" w:hAnsi="Arial" w:cs="Arial"/>
        </w:rPr>
        <w:t xml:space="preserve"> and</w:t>
      </w:r>
      <w:proofErr w:type="gramEnd"/>
      <w:r w:rsidRPr="00BF7AA8">
        <w:rPr>
          <w:rFonts w:ascii="Arial" w:hAnsi="Arial" w:cs="Arial"/>
        </w:rPr>
        <w:t xml:space="preserve"> </w:t>
      </w:r>
      <w:r w:rsidR="002B64F8" w:rsidRPr="002B64F8">
        <w:rPr>
          <w:rFonts w:ascii="Arial" w:hAnsi="Arial" w:cs="Arial"/>
          <w:i/>
          <w:iCs/>
        </w:rPr>
        <w:t xml:space="preserve">R. </w:t>
      </w:r>
      <w:proofErr w:type="spellStart"/>
      <w:r w:rsidR="002B64F8" w:rsidRPr="002B64F8">
        <w:rPr>
          <w:rFonts w:ascii="Arial" w:hAnsi="Arial" w:cs="Arial"/>
          <w:i/>
          <w:iCs/>
        </w:rPr>
        <w:t>solani</w:t>
      </w:r>
      <w:proofErr w:type="spellEnd"/>
      <w:r w:rsidRPr="00BF7AA8">
        <w:rPr>
          <w:rFonts w:ascii="Arial" w:hAnsi="Arial" w:cs="Arial"/>
        </w:rPr>
        <w:t xml:space="preserve"> (</w:t>
      </w:r>
      <w:proofErr w:type="spellStart"/>
      <w:r w:rsidRPr="00BF7AA8">
        <w:rPr>
          <w:rFonts w:ascii="Arial" w:hAnsi="Arial" w:cs="Arial"/>
        </w:rPr>
        <w:t>Kanhed</w:t>
      </w:r>
      <w:proofErr w:type="spellEnd"/>
      <w:r w:rsidRPr="00BF7AA8">
        <w:rPr>
          <w:rFonts w:ascii="Arial" w:hAnsi="Arial" w:cs="Arial"/>
        </w:rPr>
        <w:t xml:space="preserve"> et al., 2014). Cu²</w:t>
      </w:r>
      <w:r w:rsidRPr="00BF7AA8">
        <w:rPr>
          <w:rFonts w:ascii="Cambria Math" w:hAnsi="Cambria Math" w:cs="Cambria Math"/>
        </w:rPr>
        <w:t>⁺</w:t>
      </w:r>
      <w:r w:rsidRPr="00BF7AA8">
        <w:rPr>
          <w:rFonts w:ascii="Arial" w:hAnsi="Arial" w:cs="Arial"/>
        </w:rPr>
        <w:t xml:space="preserve"> ion release and ROS generation synergistically disrupt fungal membranes and denature proteins, achieving 70–90% mycelial growth inhibition at 100 </w:t>
      </w:r>
      <w:proofErr w:type="spellStart"/>
      <w:r w:rsidRPr="00BF7AA8">
        <w:rPr>
          <w:rFonts w:ascii="Arial" w:hAnsi="Arial" w:cs="Arial"/>
        </w:rPr>
        <w:t>μg</w:t>
      </w:r>
      <w:proofErr w:type="spellEnd"/>
      <w:r w:rsidRPr="00BF7AA8">
        <w:rPr>
          <w:rFonts w:ascii="Arial" w:hAnsi="Arial" w:cs="Arial"/>
        </w:rPr>
        <w:t>/mL (</w:t>
      </w:r>
      <w:proofErr w:type="spellStart"/>
      <w:r w:rsidRPr="00BF7AA8">
        <w:rPr>
          <w:rFonts w:ascii="Arial" w:hAnsi="Arial" w:cs="Arial"/>
        </w:rPr>
        <w:t>Malandrakis</w:t>
      </w:r>
      <w:proofErr w:type="spellEnd"/>
      <w:r w:rsidRPr="00BF7AA8">
        <w:rPr>
          <w:rFonts w:ascii="Arial" w:hAnsi="Arial" w:cs="Arial"/>
        </w:rPr>
        <w:t xml:space="preserve"> et al., 2019). Field trials show </w:t>
      </w:r>
      <w:proofErr w:type="spellStart"/>
      <w:r w:rsidRPr="00BF7AA8">
        <w:rPr>
          <w:rFonts w:ascii="Arial" w:hAnsi="Arial" w:cs="Arial"/>
        </w:rPr>
        <w:t>CuO</w:t>
      </w:r>
      <w:proofErr w:type="spellEnd"/>
      <w:r w:rsidRPr="00BF7AA8">
        <w:rPr>
          <w:rFonts w:ascii="Arial" w:hAnsi="Arial" w:cs="Arial"/>
        </w:rPr>
        <w:t>-NP suspensions (200 mg/L) reduce rice blast incidence by 58–72% with efficacy comparable to copper-based fungicides at 3–5-fold lower copper content (Choudhary et al., 2017). However, copper accumulation in soils raises environmental concerns, necessitating careful dosage optimization (Adrees et al., 2015).</w:t>
      </w:r>
    </w:p>
    <w:p w14:paraId="794EE573" w14:textId="702E3BFB" w:rsidR="00BF7AA8" w:rsidRPr="00BF7AA8" w:rsidRDefault="00BF7AA8" w:rsidP="00BF7AA8">
      <w:pPr>
        <w:pStyle w:val="Body"/>
        <w:rPr>
          <w:rFonts w:ascii="Arial" w:hAnsi="Arial" w:cs="Arial"/>
        </w:rPr>
      </w:pPr>
      <w:r w:rsidRPr="00BF7AA8">
        <w:rPr>
          <w:rFonts w:ascii="Arial" w:hAnsi="Arial" w:cs="Arial"/>
          <w:b/>
          <w:bCs/>
        </w:rPr>
        <w:t>Silver Nanoparticles:</w:t>
      </w:r>
      <w:r w:rsidRPr="00BF7AA8">
        <w:rPr>
          <w:rFonts w:ascii="Arial" w:hAnsi="Arial" w:cs="Arial"/>
        </w:rPr>
        <w:t xml:space="preserve"> </w:t>
      </w:r>
      <w:proofErr w:type="spellStart"/>
      <w:r w:rsidRPr="00BF7AA8">
        <w:rPr>
          <w:rFonts w:ascii="Arial" w:hAnsi="Arial" w:cs="Arial"/>
        </w:rPr>
        <w:t>AgNPs</w:t>
      </w:r>
      <w:proofErr w:type="spellEnd"/>
      <w:r w:rsidRPr="00BF7AA8">
        <w:rPr>
          <w:rFonts w:ascii="Arial" w:hAnsi="Arial" w:cs="Arial"/>
        </w:rPr>
        <w:t xml:space="preserve"> (5–30 nm) demonstrate exceptional antimicrobial potency with MIC values of 5–20 </w:t>
      </w:r>
      <w:proofErr w:type="spellStart"/>
      <w:r w:rsidRPr="00BF7AA8">
        <w:rPr>
          <w:rFonts w:ascii="Arial" w:hAnsi="Arial" w:cs="Arial"/>
        </w:rPr>
        <w:t>μg</w:t>
      </w:r>
      <w:proofErr w:type="spellEnd"/>
      <w:r w:rsidRPr="00BF7AA8">
        <w:rPr>
          <w:rFonts w:ascii="Arial" w:hAnsi="Arial" w:cs="Arial"/>
        </w:rPr>
        <w:t>/mL against rice bacterial and fungal pathogens (</w:t>
      </w:r>
      <w:proofErr w:type="spellStart"/>
      <w:r w:rsidRPr="00BF7AA8">
        <w:rPr>
          <w:rFonts w:ascii="Arial" w:hAnsi="Arial" w:cs="Arial"/>
        </w:rPr>
        <w:t>Ocsoy</w:t>
      </w:r>
      <w:proofErr w:type="spellEnd"/>
      <w:r w:rsidRPr="00BF7AA8">
        <w:rPr>
          <w:rFonts w:ascii="Arial" w:hAnsi="Arial" w:cs="Arial"/>
        </w:rPr>
        <w:t xml:space="preserve"> et al., 2013; Lamsal et al., 2011). Biogenic </w:t>
      </w:r>
      <w:proofErr w:type="spellStart"/>
      <w:r w:rsidRPr="00BF7AA8">
        <w:rPr>
          <w:rFonts w:ascii="Arial" w:hAnsi="Arial" w:cs="Arial"/>
        </w:rPr>
        <w:t>AgNPs</w:t>
      </w:r>
      <w:proofErr w:type="spellEnd"/>
      <w:r w:rsidRPr="00BF7AA8">
        <w:rPr>
          <w:rFonts w:ascii="Arial" w:hAnsi="Arial" w:cs="Arial"/>
        </w:rPr>
        <w:t xml:space="preserve"> synthesized using plant extracts show 80–95% inhibition of </w:t>
      </w:r>
      <w:r w:rsidR="002B64F8" w:rsidRPr="002B64F8">
        <w:rPr>
          <w:rFonts w:ascii="Arial" w:hAnsi="Arial" w:cs="Arial"/>
          <w:i/>
          <w:iCs/>
        </w:rPr>
        <w:t xml:space="preserve">P. </w:t>
      </w:r>
      <w:proofErr w:type="gramStart"/>
      <w:r w:rsidR="002B64F8" w:rsidRPr="002B64F8">
        <w:rPr>
          <w:rFonts w:ascii="Arial" w:hAnsi="Arial" w:cs="Arial"/>
          <w:i/>
          <w:iCs/>
        </w:rPr>
        <w:t xml:space="preserve">oryzae </w:t>
      </w:r>
      <w:r w:rsidRPr="00BF7AA8">
        <w:rPr>
          <w:rFonts w:ascii="Arial" w:hAnsi="Arial" w:cs="Arial"/>
        </w:rPr>
        <w:t xml:space="preserve"> spore</w:t>
      </w:r>
      <w:proofErr w:type="gramEnd"/>
      <w:r w:rsidRPr="00BF7AA8">
        <w:rPr>
          <w:rFonts w:ascii="Arial" w:hAnsi="Arial" w:cs="Arial"/>
        </w:rPr>
        <w:t xml:space="preserve"> germination at 50 </w:t>
      </w:r>
      <w:proofErr w:type="spellStart"/>
      <w:r w:rsidRPr="00BF7AA8">
        <w:rPr>
          <w:rFonts w:ascii="Arial" w:hAnsi="Arial" w:cs="Arial"/>
        </w:rPr>
        <w:t>μg</w:t>
      </w:r>
      <w:proofErr w:type="spellEnd"/>
      <w:r w:rsidRPr="00BF7AA8">
        <w:rPr>
          <w:rFonts w:ascii="Arial" w:hAnsi="Arial" w:cs="Arial"/>
        </w:rPr>
        <w:t xml:space="preserve">/mL and reduce blast lesion development by 65–85% in greenhouse assays (Jo et al., 2009; Mishra et al., 2014). </w:t>
      </w:r>
      <w:proofErr w:type="spellStart"/>
      <w:r w:rsidRPr="00BF7AA8">
        <w:rPr>
          <w:rFonts w:ascii="Arial" w:hAnsi="Arial" w:cs="Arial"/>
        </w:rPr>
        <w:t>AgNPs</w:t>
      </w:r>
      <w:proofErr w:type="spellEnd"/>
      <w:r w:rsidRPr="00BF7AA8">
        <w:rPr>
          <w:rFonts w:ascii="Arial" w:hAnsi="Arial" w:cs="Arial"/>
        </w:rPr>
        <w:t xml:space="preserve"> release Ag</w:t>
      </w:r>
      <w:r w:rsidRPr="00BF7AA8">
        <w:rPr>
          <w:rFonts w:ascii="Cambria Math" w:hAnsi="Cambria Math" w:cs="Cambria Math"/>
        </w:rPr>
        <w:t>⁺</w:t>
      </w:r>
      <w:r w:rsidRPr="00BF7AA8">
        <w:rPr>
          <w:rFonts w:ascii="Arial" w:hAnsi="Arial" w:cs="Arial"/>
        </w:rPr>
        <w:t xml:space="preserve"> ions that bind to thiol groups in fungal enzymes and membrane proteins, disrupting cellular respiration and membrane integrity (Durán et al., 2016). Despite high efficacy, silver's toxicity to non-target organisms and potential for bioaccumulation necessitate cautious application (Colman et al., 2013).</w:t>
      </w:r>
    </w:p>
    <w:p w14:paraId="497A1BCC" w14:textId="765F5F6F" w:rsidR="00BF7AA8" w:rsidRPr="00BF7AA8" w:rsidRDefault="00BF7AA8" w:rsidP="00BF7AA8">
      <w:pPr>
        <w:pStyle w:val="Body"/>
        <w:rPr>
          <w:rFonts w:ascii="Arial" w:hAnsi="Arial" w:cs="Arial"/>
        </w:rPr>
      </w:pPr>
      <w:r w:rsidRPr="00BF7AA8">
        <w:rPr>
          <w:rFonts w:ascii="Arial" w:hAnsi="Arial" w:cs="Arial"/>
          <w:b/>
          <w:bCs/>
        </w:rPr>
        <w:t>Titanium Dioxide Nanoparticles:</w:t>
      </w:r>
      <w:r w:rsidRPr="00BF7AA8">
        <w:rPr>
          <w:rFonts w:ascii="Arial" w:hAnsi="Arial" w:cs="Arial"/>
        </w:rPr>
        <w:t xml:space="preserve"> </w:t>
      </w:r>
      <w:proofErr w:type="spellStart"/>
      <w:r w:rsidRPr="00BF7AA8">
        <w:rPr>
          <w:rFonts w:ascii="Arial" w:hAnsi="Arial" w:cs="Arial"/>
        </w:rPr>
        <w:t>TiO</w:t>
      </w:r>
      <w:proofErr w:type="spellEnd"/>
      <w:r w:rsidRPr="00BF7AA8">
        <w:rPr>
          <w:rFonts w:ascii="Cambria Math" w:hAnsi="Cambria Math" w:cs="Cambria Math"/>
        </w:rPr>
        <w:t>₂</w:t>
      </w:r>
      <w:r w:rsidRPr="00BF7AA8">
        <w:rPr>
          <w:rFonts w:ascii="Arial" w:hAnsi="Arial" w:cs="Arial"/>
        </w:rPr>
        <w:t xml:space="preserve">-NPs exhibit photocatalytic antimicrobial activity, generating ROS under UV light exposure (Qi et al., 2013). </w:t>
      </w:r>
      <w:proofErr w:type="spellStart"/>
      <w:r w:rsidRPr="00BF7AA8">
        <w:rPr>
          <w:rFonts w:ascii="Arial" w:hAnsi="Arial" w:cs="Arial"/>
        </w:rPr>
        <w:t>TiO</w:t>
      </w:r>
      <w:proofErr w:type="spellEnd"/>
      <w:r w:rsidRPr="00BF7AA8">
        <w:rPr>
          <w:rFonts w:ascii="Cambria Math" w:hAnsi="Cambria Math" w:cs="Cambria Math"/>
        </w:rPr>
        <w:t>₂</w:t>
      </w:r>
      <w:r w:rsidRPr="00BF7AA8">
        <w:rPr>
          <w:rFonts w:ascii="Arial" w:hAnsi="Arial" w:cs="Arial"/>
        </w:rPr>
        <w:t xml:space="preserve">-NPs (15–30 nm) reduce </w:t>
      </w:r>
      <w:r w:rsidR="002B64F8" w:rsidRPr="002B64F8">
        <w:rPr>
          <w:rFonts w:ascii="Arial" w:hAnsi="Arial" w:cs="Arial"/>
          <w:i/>
          <w:iCs/>
        </w:rPr>
        <w:t xml:space="preserve">P. </w:t>
      </w:r>
      <w:proofErr w:type="gramStart"/>
      <w:r w:rsidR="002B64F8" w:rsidRPr="002B64F8">
        <w:rPr>
          <w:rFonts w:ascii="Arial" w:hAnsi="Arial" w:cs="Arial"/>
          <w:i/>
          <w:iCs/>
        </w:rPr>
        <w:t xml:space="preserve">oryzae </w:t>
      </w:r>
      <w:r w:rsidRPr="00BF7AA8">
        <w:rPr>
          <w:rFonts w:ascii="Arial" w:hAnsi="Arial" w:cs="Arial"/>
        </w:rPr>
        <w:t xml:space="preserve"> conidial</w:t>
      </w:r>
      <w:proofErr w:type="gramEnd"/>
      <w:r w:rsidRPr="00BF7AA8">
        <w:rPr>
          <w:rFonts w:ascii="Arial" w:hAnsi="Arial" w:cs="Arial"/>
        </w:rPr>
        <w:t xml:space="preserve"> germination by 60–75% and inhibit mycelial growth by 55–70% at 200 </w:t>
      </w:r>
      <w:proofErr w:type="spellStart"/>
      <w:r w:rsidRPr="00BF7AA8">
        <w:rPr>
          <w:rFonts w:ascii="Arial" w:hAnsi="Arial" w:cs="Arial"/>
        </w:rPr>
        <w:t>μg</w:t>
      </w:r>
      <w:proofErr w:type="spellEnd"/>
      <w:r w:rsidRPr="00BF7AA8">
        <w:rPr>
          <w:rFonts w:ascii="Arial" w:hAnsi="Arial" w:cs="Arial"/>
        </w:rPr>
        <w:t>/mL under UV illumination (Suriyaprabha et al., 2014). However, dependence on UV activation limits field applicability in dense crop canopies with limited light penetration (Khot et al., 2012).</w:t>
      </w:r>
    </w:p>
    <w:p w14:paraId="6C893D45" w14:textId="5B374AC4" w:rsidR="00BF7AA8" w:rsidRDefault="00BF7AA8" w:rsidP="00BF7AA8">
      <w:pPr>
        <w:pStyle w:val="Body"/>
        <w:rPr>
          <w:rFonts w:ascii="Arial" w:hAnsi="Arial" w:cs="Arial"/>
        </w:rPr>
      </w:pPr>
      <w:r w:rsidRPr="00C23390">
        <w:rPr>
          <w:rFonts w:ascii="Arial" w:hAnsi="Arial" w:cs="Arial"/>
          <w:b/>
          <w:bCs/>
        </w:rPr>
        <w:lastRenderedPageBreak/>
        <w:t>Magnesium Oxide Nanoparticles:</w:t>
      </w:r>
      <w:r w:rsidRPr="00BF7AA8">
        <w:rPr>
          <w:rFonts w:ascii="Arial" w:hAnsi="Arial" w:cs="Arial"/>
        </w:rPr>
        <w:t xml:space="preserve"> MgO-NPs (20–50 nm) demonstrate antibacterial activity against </w:t>
      </w:r>
      <w:r w:rsidR="008A517F" w:rsidRPr="008A517F">
        <w:rPr>
          <w:rFonts w:ascii="Arial" w:hAnsi="Arial" w:cs="Arial"/>
          <w:i/>
          <w:iCs/>
        </w:rPr>
        <w:t xml:space="preserve">X. </w:t>
      </w:r>
      <w:proofErr w:type="gramStart"/>
      <w:r w:rsidR="008A517F" w:rsidRPr="008A517F">
        <w:rPr>
          <w:rFonts w:ascii="Arial" w:hAnsi="Arial" w:cs="Arial"/>
          <w:i/>
          <w:iCs/>
        </w:rPr>
        <w:t xml:space="preserve">oryzae </w:t>
      </w:r>
      <w:r w:rsidRPr="00BF7AA8">
        <w:rPr>
          <w:rFonts w:ascii="Arial" w:hAnsi="Arial" w:cs="Arial"/>
        </w:rPr>
        <w:t xml:space="preserve"> with</w:t>
      </w:r>
      <w:proofErr w:type="gramEnd"/>
      <w:r w:rsidRPr="00BF7AA8">
        <w:rPr>
          <w:rFonts w:ascii="Arial" w:hAnsi="Arial" w:cs="Arial"/>
        </w:rPr>
        <w:t xml:space="preserve"> MIC values of 100–150 </w:t>
      </w:r>
      <w:proofErr w:type="spellStart"/>
      <w:r w:rsidRPr="00BF7AA8">
        <w:rPr>
          <w:rFonts w:ascii="Arial" w:hAnsi="Arial" w:cs="Arial"/>
        </w:rPr>
        <w:t>μg</w:t>
      </w:r>
      <w:proofErr w:type="spellEnd"/>
      <w:r w:rsidRPr="00BF7AA8">
        <w:rPr>
          <w:rFonts w:ascii="Arial" w:hAnsi="Arial" w:cs="Arial"/>
        </w:rPr>
        <w:t xml:space="preserve">/mL, exhibiting 70–85% bacterial growth inhibition at 200 </w:t>
      </w:r>
      <w:proofErr w:type="spellStart"/>
      <w:r w:rsidRPr="00BF7AA8">
        <w:rPr>
          <w:rFonts w:ascii="Arial" w:hAnsi="Arial" w:cs="Arial"/>
        </w:rPr>
        <w:t>μg</w:t>
      </w:r>
      <w:proofErr w:type="spellEnd"/>
      <w:r w:rsidRPr="00BF7AA8">
        <w:rPr>
          <w:rFonts w:ascii="Arial" w:hAnsi="Arial" w:cs="Arial"/>
        </w:rPr>
        <w:t>/mL (</w:t>
      </w:r>
      <w:proofErr w:type="spellStart"/>
      <w:r w:rsidRPr="00BF7AA8">
        <w:rPr>
          <w:rFonts w:ascii="Arial" w:hAnsi="Arial" w:cs="Arial"/>
        </w:rPr>
        <w:t>Ogunyemi</w:t>
      </w:r>
      <w:proofErr w:type="spellEnd"/>
      <w:r w:rsidRPr="00BF7AA8">
        <w:rPr>
          <w:rFonts w:ascii="Arial" w:hAnsi="Arial" w:cs="Arial"/>
        </w:rPr>
        <w:t xml:space="preserve"> et al., 2020). MgO-NPs generate ROS and release Mg²</w:t>
      </w:r>
      <w:r w:rsidRPr="00BF7AA8">
        <w:rPr>
          <w:rFonts w:ascii="Cambria Math" w:hAnsi="Cambria Math" w:cs="Cambria Math"/>
        </w:rPr>
        <w:t>⁺</w:t>
      </w:r>
      <w:r w:rsidRPr="00BF7AA8">
        <w:rPr>
          <w:rFonts w:ascii="Arial" w:hAnsi="Arial" w:cs="Arial"/>
        </w:rPr>
        <w:t xml:space="preserve"> ions that disrupt bacterial membrane potential and enzyme function. Dual antimicrobial-nutritional benefits make MgO-NPs attractive for integrated disease-nutrient management (Imada et al., 2016).</w:t>
      </w:r>
    </w:p>
    <w:p w14:paraId="4A6453FB" w14:textId="77777777" w:rsidR="00FC78C6" w:rsidRDefault="00FC78C6" w:rsidP="00FC78C6">
      <w:pPr>
        <w:jc w:val="center"/>
        <w:rPr>
          <w:rFonts w:ascii="Arial" w:hAnsi="Arial" w:cs="Arial"/>
        </w:rPr>
      </w:pPr>
      <w:r>
        <w:rPr>
          <w:rFonts w:ascii="Arial" w:hAnsi="Arial" w:cs="Arial"/>
          <w:noProof/>
        </w:rPr>
        <w:drawing>
          <wp:inline distT="0" distB="0" distL="0" distR="0" wp14:anchorId="43395941" wp14:editId="0A21D860">
            <wp:extent cx="4995545" cy="4140914"/>
            <wp:effectExtent l="0" t="0" r="0" b="0"/>
            <wp:docPr id="1359633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33511" name="Picture 1359633511"/>
                    <pic:cNvPicPr/>
                  </pic:nvPicPr>
                  <pic:blipFill rotWithShape="1">
                    <a:blip r:embed="rId9" cstate="print">
                      <a:extLst>
                        <a:ext uri="{28A0092B-C50C-407E-A947-70E740481C1C}">
                          <a14:useLocalDpi xmlns:a14="http://schemas.microsoft.com/office/drawing/2010/main" val="0"/>
                        </a:ext>
                      </a:extLst>
                    </a:blip>
                    <a:srcRect t="7263"/>
                    <a:stretch>
                      <a:fillRect/>
                    </a:stretch>
                  </pic:blipFill>
                  <pic:spPr bwMode="auto">
                    <a:xfrm>
                      <a:off x="0" y="0"/>
                      <a:ext cx="4995682" cy="4141028"/>
                    </a:xfrm>
                    <a:prstGeom prst="rect">
                      <a:avLst/>
                    </a:prstGeom>
                    <a:ln>
                      <a:noFill/>
                    </a:ln>
                    <a:extLst>
                      <a:ext uri="{53640926-AAD7-44D8-BBD7-CCE9431645EC}">
                        <a14:shadowObscured xmlns:a14="http://schemas.microsoft.com/office/drawing/2010/main"/>
                      </a:ext>
                    </a:extLst>
                  </pic:spPr>
                </pic:pic>
              </a:graphicData>
            </a:graphic>
          </wp:inline>
        </w:drawing>
      </w:r>
    </w:p>
    <w:p w14:paraId="05F694A9" w14:textId="77777777" w:rsidR="00FC78C6" w:rsidRDefault="00FC78C6" w:rsidP="00FC78C6">
      <w:pPr>
        <w:jc w:val="center"/>
        <w:rPr>
          <w:rFonts w:ascii="Arial" w:hAnsi="Arial" w:cs="Arial"/>
        </w:rPr>
      </w:pPr>
      <w:r w:rsidRPr="00187CC7">
        <w:rPr>
          <w:rFonts w:ascii="Arial" w:hAnsi="Arial" w:cs="Arial"/>
          <w:b/>
          <w:bCs/>
        </w:rPr>
        <w:t>Fig. 2.</w:t>
      </w:r>
      <w:r w:rsidRPr="00187CC7">
        <w:rPr>
          <w:rFonts w:ascii="Arial" w:hAnsi="Arial" w:cs="Arial"/>
        </w:rPr>
        <w:t xml:space="preserve"> Schematic representation of metal oxide nanoparticle antimicrobial mechanisms against fungal and bacterial rice pathogens.</w:t>
      </w:r>
    </w:p>
    <w:p w14:paraId="5FB1CE04" w14:textId="77777777" w:rsidR="00FC78C6" w:rsidRPr="00187CC7" w:rsidRDefault="00FC78C6" w:rsidP="00FC78C6">
      <w:pPr>
        <w:jc w:val="both"/>
        <w:rPr>
          <w:rFonts w:ascii="Arial" w:hAnsi="Arial" w:cs="Arial"/>
          <w:i/>
          <w:iCs/>
        </w:rPr>
      </w:pPr>
      <w:r w:rsidRPr="00187CC7">
        <w:rPr>
          <w:rFonts w:ascii="Arial" w:hAnsi="Arial" w:cs="Arial"/>
          <w:i/>
          <w:iCs/>
        </w:rPr>
        <w:t>Metal oxide nanoparticles (</w:t>
      </w:r>
      <w:proofErr w:type="spellStart"/>
      <w:r w:rsidRPr="00187CC7">
        <w:rPr>
          <w:rFonts w:ascii="Arial" w:hAnsi="Arial" w:cs="Arial"/>
          <w:i/>
          <w:iCs/>
        </w:rPr>
        <w:t>ZnO</w:t>
      </w:r>
      <w:proofErr w:type="spellEnd"/>
      <w:r w:rsidRPr="00187CC7">
        <w:rPr>
          <w:rFonts w:ascii="Arial" w:hAnsi="Arial" w:cs="Arial"/>
          <w:i/>
          <w:iCs/>
        </w:rPr>
        <w:t xml:space="preserve">, </w:t>
      </w:r>
      <w:proofErr w:type="spellStart"/>
      <w:r w:rsidRPr="00187CC7">
        <w:rPr>
          <w:rFonts w:ascii="Arial" w:hAnsi="Arial" w:cs="Arial"/>
          <w:i/>
          <w:iCs/>
        </w:rPr>
        <w:t>CuO</w:t>
      </w:r>
      <w:proofErr w:type="spellEnd"/>
      <w:r w:rsidRPr="00187CC7">
        <w:rPr>
          <w:rFonts w:ascii="Arial" w:hAnsi="Arial" w:cs="Arial"/>
          <w:i/>
          <w:iCs/>
        </w:rPr>
        <w:t xml:space="preserve">, </w:t>
      </w:r>
      <w:proofErr w:type="spellStart"/>
      <w:r w:rsidRPr="00187CC7">
        <w:rPr>
          <w:rFonts w:ascii="Arial" w:hAnsi="Arial" w:cs="Arial"/>
          <w:i/>
          <w:iCs/>
        </w:rPr>
        <w:t>AgNPs</w:t>
      </w:r>
      <w:proofErr w:type="spellEnd"/>
      <w:r w:rsidRPr="00187CC7">
        <w:rPr>
          <w:rFonts w:ascii="Arial" w:hAnsi="Arial" w:cs="Arial"/>
          <w:i/>
          <w:iCs/>
        </w:rPr>
        <w:t>; 20-50 nm, ζ-potential +15 to +40 mV) exert broad-spectrum antimicrobial activity through four synergistic mechanisms: (1) ROS Generation: Surface-mediated electron transfer produces reactive oxygen species (O</w:t>
      </w:r>
      <w:r w:rsidRPr="00187CC7">
        <w:rPr>
          <w:rFonts w:ascii="Cambria Math" w:hAnsi="Cambria Math" w:cs="Cambria Math"/>
          <w:i/>
          <w:iCs/>
        </w:rPr>
        <w:t>₂</w:t>
      </w:r>
      <w:r w:rsidRPr="00187CC7">
        <w:rPr>
          <w:rFonts w:ascii="Arial" w:hAnsi="Arial" w:cs="Arial"/>
          <w:i/>
          <w:iCs/>
        </w:rPr>
        <w:t>•</w:t>
      </w:r>
      <w:r w:rsidRPr="00187CC7">
        <w:rPr>
          <w:rFonts w:ascii="Cambria Math" w:hAnsi="Cambria Math" w:cs="Cambria Math"/>
          <w:i/>
          <w:iCs/>
        </w:rPr>
        <w:t>⁻</w:t>
      </w:r>
      <w:r w:rsidRPr="00187CC7">
        <w:rPr>
          <w:rFonts w:ascii="Arial" w:hAnsi="Arial" w:cs="Arial"/>
          <w:i/>
          <w:iCs/>
        </w:rPr>
        <w:t>, •OH, H</w:t>
      </w:r>
      <w:r w:rsidRPr="00187CC7">
        <w:rPr>
          <w:rFonts w:ascii="Cambria Math" w:hAnsi="Cambria Math" w:cs="Cambria Math"/>
          <w:i/>
          <w:iCs/>
        </w:rPr>
        <w:t>₂</w:t>
      </w:r>
      <w:r w:rsidRPr="00187CC7">
        <w:rPr>
          <w:rFonts w:ascii="Arial" w:hAnsi="Arial" w:cs="Arial"/>
          <w:i/>
          <w:iCs/>
        </w:rPr>
        <w:t>O</w:t>
      </w:r>
      <w:r w:rsidRPr="00187CC7">
        <w:rPr>
          <w:rFonts w:ascii="Cambria Math" w:hAnsi="Cambria Math" w:cs="Cambria Math"/>
          <w:i/>
          <w:iCs/>
        </w:rPr>
        <w:t>₂</w:t>
      </w:r>
      <w:r w:rsidRPr="00187CC7">
        <w:rPr>
          <w:rFonts w:ascii="Arial" w:hAnsi="Arial" w:cs="Arial"/>
          <w:i/>
          <w:iCs/>
        </w:rPr>
        <w:t>, ¹O</w:t>
      </w:r>
      <w:r w:rsidRPr="00187CC7">
        <w:rPr>
          <w:rFonts w:ascii="Cambria Math" w:hAnsi="Cambria Math" w:cs="Cambria Math"/>
          <w:i/>
          <w:iCs/>
        </w:rPr>
        <w:t>₂</w:t>
      </w:r>
      <w:r w:rsidRPr="00187CC7">
        <w:rPr>
          <w:rFonts w:ascii="Arial" w:hAnsi="Arial" w:cs="Arial"/>
          <w:i/>
          <w:iCs/>
        </w:rPr>
        <w:t>) causing lipid peroxidation (5-10-fold increase), protein oxidation, and DNA strand breaks. (2) Membrane Disruption: Electrostatic interactions between positively charged nanoparticles and negatively charged microbial membranes facilitate adhesion, membrane thinning, pore formation, and cytoplasmic leakage (40-80% permeability increase). (3) Metal Ion Release: pH-dependent dissolution releases bioactive ions (Zn²</w:t>
      </w:r>
      <w:r w:rsidRPr="00187CC7">
        <w:rPr>
          <w:rFonts w:ascii="Cambria Math" w:hAnsi="Cambria Math" w:cs="Cambria Math"/>
          <w:i/>
          <w:iCs/>
        </w:rPr>
        <w:t>⁺</w:t>
      </w:r>
      <w:r w:rsidRPr="00187CC7">
        <w:rPr>
          <w:rFonts w:ascii="Arial" w:hAnsi="Arial" w:cs="Arial"/>
          <w:i/>
          <w:iCs/>
        </w:rPr>
        <w:t>, Cu²</w:t>
      </w:r>
      <w:r w:rsidRPr="00187CC7">
        <w:rPr>
          <w:rFonts w:ascii="Cambria Math" w:hAnsi="Cambria Math" w:cs="Cambria Math"/>
          <w:i/>
          <w:iCs/>
        </w:rPr>
        <w:t>⁺</w:t>
      </w:r>
      <w:r w:rsidRPr="00187CC7">
        <w:rPr>
          <w:rFonts w:ascii="Arial" w:hAnsi="Arial" w:cs="Arial"/>
          <w:i/>
          <w:iCs/>
        </w:rPr>
        <w:t>, Ag</w:t>
      </w:r>
      <w:r w:rsidRPr="00187CC7">
        <w:rPr>
          <w:rFonts w:ascii="Cambria Math" w:hAnsi="Cambria Math" w:cs="Cambria Math"/>
          <w:i/>
          <w:iCs/>
        </w:rPr>
        <w:t>⁺</w:t>
      </w:r>
      <w:r w:rsidRPr="00187CC7">
        <w:rPr>
          <w:rFonts w:ascii="Arial" w:hAnsi="Arial" w:cs="Arial"/>
          <w:i/>
          <w:iCs/>
        </w:rPr>
        <w:t>) that bind to protein thiol groups, inhibit respiratory enzymes, catalyze Fenton reactions, and intercalate with DNA, reducing ATP production by 50-70%. (4) Intracellular Dysfunction: Internalized nanoparticles accumulate in mitochondria and nuclei, disrupting electron transport, inhibiting DNA replication, and triggering apoptotic cell death. Mechanisms operate synergistically against both fungal (cell wall present) and bacterial (no cell wall) rice pathogens. Red highlights indicate damaged cellular components.</w:t>
      </w:r>
    </w:p>
    <w:p w14:paraId="0EA7D2A8" w14:textId="77777777" w:rsidR="003F761E" w:rsidRDefault="003F761E" w:rsidP="00441B6F">
      <w:pPr>
        <w:pStyle w:val="Body"/>
        <w:spacing w:after="0"/>
        <w:rPr>
          <w:rFonts w:ascii="Arial" w:hAnsi="Arial" w:cs="Arial"/>
          <w:i/>
          <w:iCs/>
        </w:rPr>
      </w:pPr>
    </w:p>
    <w:p w14:paraId="53D2A3DE" w14:textId="77777777" w:rsidR="00C23390" w:rsidRPr="00C23390" w:rsidRDefault="0084071C" w:rsidP="00C23390">
      <w:pPr>
        <w:pStyle w:val="Body"/>
        <w:spacing w:after="0"/>
        <w:rPr>
          <w:rFonts w:ascii="Arial" w:hAnsi="Arial" w:cs="Arial"/>
          <w:b/>
          <w:bCs/>
          <w:sz w:val="22"/>
          <w:szCs w:val="22"/>
        </w:rPr>
      </w:pPr>
      <w:r w:rsidRPr="0084071C">
        <w:rPr>
          <w:rFonts w:ascii="Arial" w:hAnsi="Arial" w:cs="Arial"/>
          <w:b/>
          <w:bCs/>
          <w:sz w:val="22"/>
          <w:szCs w:val="22"/>
        </w:rPr>
        <w:t xml:space="preserve">2.4 </w:t>
      </w:r>
      <w:r w:rsidR="00C23390" w:rsidRPr="00C23390">
        <w:rPr>
          <w:rFonts w:ascii="Arial" w:hAnsi="Arial" w:cs="Arial"/>
          <w:b/>
          <w:bCs/>
          <w:sz w:val="22"/>
          <w:szCs w:val="22"/>
        </w:rPr>
        <w:t>Green Synthesis and Enhanced Biocompatibility</w:t>
      </w:r>
    </w:p>
    <w:p w14:paraId="662AAA51" w14:textId="2DFAC3A7" w:rsidR="00C23390" w:rsidRPr="00C23390" w:rsidRDefault="00C23390" w:rsidP="00C23390">
      <w:pPr>
        <w:rPr>
          <w:rFonts w:ascii="Arial" w:hAnsi="Arial" w:cs="Arial"/>
        </w:rPr>
      </w:pPr>
      <w:r w:rsidRPr="00C23390">
        <w:rPr>
          <w:rFonts w:ascii="Arial" w:hAnsi="Arial" w:cs="Arial"/>
        </w:rPr>
        <w:t xml:space="preserve">Biogenic synthesis of MO-NPs using plant extracts, microbial cultures, or agricultural waste provides environmentally sustainable production methods while enhancing biocompatibility (Iravani, 2011; Kuppusamy et al., 2016). Plant polyphenols, flavonoids, and proteins serve as reducing and capping agents, producing well-dispersed nanoparticles (10–60 nm) with improved stability and reduced aggregation (Mittal et al., 2013; Ahmed et al., 2016). Biogenic </w:t>
      </w:r>
      <w:proofErr w:type="spellStart"/>
      <w:r w:rsidRPr="00C23390">
        <w:rPr>
          <w:rFonts w:ascii="Arial" w:hAnsi="Arial" w:cs="Arial"/>
        </w:rPr>
        <w:t>ZnO</w:t>
      </w:r>
      <w:proofErr w:type="spellEnd"/>
      <w:r w:rsidRPr="00C23390">
        <w:rPr>
          <w:rFonts w:ascii="Arial" w:hAnsi="Arial" w:cs="Arial"/>
        </w:rPr>
        <w:t xml:space="preserve">-NPs synthesized using </w:t>
      </w:r>
      <w:r w:rsidR="00FC78C6" w:rsidRPr="00187CC7">
        <w:rPr>
          <w:rFonts w:ascii="Arial" w:hAnsi="Arial" w:cs="Arial"/>
          <w:i/>
          <w:iCs/>
        </w:rPr>
        <w:t xml:space="preserve">Trichoderma </w:t>
      </w:r>
      <w:r w:rsidR="00FC78C6" w:rsidRPr="00C23390">
        <w:rPr>
          <w:rFonts w:ascii="Arial" w:hAnsi="Arial" w:cs="Arial"/>
        </w:rPr>
        <w:t>spp.</w:t>
      </w:r>
      <w:r w:rsidRPr="00C23390">
        <w:rPr>
          <w:rFonts w:ascii="Arial" w:hAnsi="Arial" w:cs="Arial"/>
        </w:rPr>
        <w:t xml:space="preserve"> or </w:t>
      </w:r>
      <w:r w:rsidR="00187CC7" w:rsidRPr="00187CC7">
        <w:rPr>
          <w:rFonts w:ascii="Arial" w:hAnsi="Arial" w:cs="Arial"/>
          <w:i/>
          <w:iCs/>
        </w:rPr>
        <w:t>Bacillus</w:t>
      </w:r>
      <w:r w:rsidRPr="00C23390">
        <w:rPr>
          <w:rFonts w:ascii="Arial" w:hAnsi="Arial" w:cs="Arial"/>
        </w:rPr>
        <w:t xml:space="preserve"> spp. exhibit 20–40% higher antifungal activity compared to chemically synthesized counterparts due to bioactive surface coatings that enhance cellular uptake (Ogunyemi et al., 2019; Cheema et al., 2022). Green synthesis reduces production costs by 40–60% and eliminates toxic chemical reagents, improving environmental sustainability and farmer safety (Dutta et al., 2023; Nayak, 2024).</w:t>
      </w:r>
    </w:p>
    <w:p w14:paraId="1A835997" w14:textId="77777777" w:rsidR="0084071C" w:rsidRDefault="0084071C" w:rsidP="0084071C">
      <w:pPr>
        <w:jc w:val="both"/>
        <w:rPr>
          <w:rFonts w:ascii="Arial" w:hAnsi="Arial" w:cs="Arial"/>
        </w:rPr>
      </w:pPr>
    </w:p>
    <w:p w14:paraId="52532DAD" w14:textId="77777777" w:rsidR="007C4797" w:rsidRDefault="007C4797" w:rsidP="007C4797">
      <w:pPr>
        <w:jc w:val="center"/>
        <w:rPr>
          <w:rFonts w:ascii="Arial" w:hAnsi="Arial" w:cs="Arial"/>
          <w:b/>
          <w:bCs/>
        </w:rPr>
      </w:pPr>
    </w:p>
    <w:p w14:paraId="5AEE74AA" w14:textId="77777777" w:rsidR="007C4797" w:rsidRDefault="007C4797" w:rsidP="007C4797">
      <w:pPr>
        <w:jc w:val="center"/>
        <w:rPr>
          <w:rFonts w:ascii="Arial" w:hAnsi="Arial" w:cs="Arial"/>
          <w:b/>
          <w:bCs/>
        </w:rPr>
      </w:pPr>
    </w:p>
    <w:p w14:paraId="27DCBC1F" w14:textId="77777777" w:rsidR="007C4797" w:rsidRDefault="007C4797" w:rsidP="007C4797">
      <w:pPr>
        <w:jc w:val="center"/>
        <w:rPr>
          <w:rFonts w:ascii="Arial" w:hAnsi="Arial" w:cs="Arial"/>
          <w:b/>
          <w:bCs/>
        </w:rPr>
      </w:pPr>
    </w:p>
    <w:p w14:paraId="581C94BB" w14:textId="08FE890F" w:rsidR="007C4797" w:rsidRPr="007C4797" w:rsidRDefault="007C4797" w:rsidP="007C4797">
      <w:pPr>
        <w:jc w:val="center"/>
        <w:rPr>
          <w:rFonts w:ascii="Arial" w:hAnsi="Arial" w:cs="Arial"/>
          <w:b/>
          <w:bCs/>
        </w:rPr>
      </w:pPr>
      <w:r w:rsidRPr="007C4797">
        <w:rPr>
          <w:rFonts w:ascii="Arial" w:hAnsi="Arial" w:cs="Arial"/>
          <w:b/>
          <w:bCs/>
        </w:rPr>
        <w:lastRenderedPageBreak/>
        <w:t>T</w:t>
      </w:r>
      <w:r>
        <w:rPr>
          <w:rFonts w:ascii="Arial" w:hAnsi="Arial" w:cs="Arial"/>
          <w:b/>
          <w:bCs/>
        </w:rPr>
        <w:t xml:space="preserve">able </w:t>
      </w:r>
      <w:r w:rsidRPr="007C4797">
        <w:rPr>
          <w:rFonts w:ascii="Arial" w:hAnsi="Arial" w:cs="Arial"/>
          <w:b/>
          <w:bCs/>
        </w:rPr>
        <w:t>2: Nanoencapsulation Systems for Pesticide and Fungicide Delivery</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639"/>
        <w:gridCol w:w="794"/>
        <w:gridCol w:w="1984"/>
        <w:gridCol w:w="1138"/>
        <w:gridCol w:w="1847"/>
        <w:gridCol w:w="1547"/>
        <w:gridCol w:w="1851"/>
      </w:tblGrid>
      <w:tr w:rsidR="007C4797" w:rsidRPr="007C4797" w14:paraId="58E8B9BA" w14:textId="77777777" w:rsidTr="007C4797">
        <w:trPr>
          <w:trHeight w:val="600"/>
          <w:tblHeader/>
        </w:trPr>
        <w:tc>
          <w:tcPr>
            <w:tcW w:w="504" w:type="pct"/>
            <w:tcBorders>
              <w:top w:val="single" w:sz="4" w:space="0" w:color="auto"/>
              <w:bottom w:val="single" w:sz="4" w:space="0" w:color="auto"/>
            </w:tcBorders>
            <w:tcMar>
              <w:top w:w="180" w:type="dxa"/>
              <w:left w:w="180" w:type="dxa"/>
              <w:bottom w:w="180" w:type="dxa"/>
              <w:right w:w="180" w:type="dxa"/>
            </w:tcMar>
            <w:vAlign w:val="bottom"/>
            <w:hideMark/>
          </w:tcPr>
          <w:p w14:paraId="5B82A98A" w14:textId="77777777" w:rsidR="007C4797" w:rsidRPr="007C4797" w:rsidRDefault="007C4797" w:rsidP="007C4797">
            <w:pPr>
              <w:jc w:val="both"/>
              <w:rPr>
                <w:rFonts w:ascii="Arial" w:hAnsi="Arial" w:cs="Arial"/>
                <w:b/>
                <w:bCs/>
              </w:rPr>
            </w:pPr>
            <w:r w:rsidRPr="007C4797">
              <w:rPr>
                <w:rFonts w:ascii="Arial" w:hAnsi="Arial" w:cs="Arial"/>
                <w:b/>
                <w:bCs/>
              </w:rPr>
              <w:t>Nanocarrier</w:t>
            </w:r>
          </w:p>
        </w:tc>
        <w:tc>
          <w:tcPr>
            <w:tcW w:w="451" w:type="pct"/>
            <w:tcBorders>
              <w:top w:val="single" w:sz="4" w:space="0" w:color="auto"/>
              <w:bottom w:val="single" w:sz="4" w:space="0" w:color="auto"/>
            </w:tcBorders>
            <w:tcMar>
              <w:top w:w="180" w:type="dxa"/>
              <w:left w:w="180" w:type="dxa"/>
              <w:bottom w:w="180" w:type="dxa"/>
              <w:right w:w="180" w:type="dxa"/>
            </w:tcMar>
            <w:vAlign w:val="bottom"/>
            <w:hideMark/>
          </w:tcPr>
          <w:p w14:paraId="3EAF0AA5" w14:textId="77777777" w:rsidR="007C4797" w:rsidRPr="007C4797" w:rsidRDefault="007C4797" w:rsidP="007C4797">
            <w:pPr>
              <w:jc w:val="both"/>
              <w:rPr>
                <w:rFonts w:ascii="Arial" w:hAnsi="Arial" w:cs="Arial"/>
                <w:b/>
                <w:bCs/>
              </w:rPr>
            </w:pPr>
            <w:r w:rsidRPr="007C4797">
              <w:rPr>
                <w:rFonts w:ascii="Arial" w:hAnsi="Arial" w:cs="Arial"/>
                <w:b/>
                <w:bCs/>
              </w:rPr>
              <w:t>Size (nm)</w:t>
            </w:r>
          </w:p>
        </w:tc>
        <w:tc>
          <w:tcPr>
            <w:tcW w:w="732" w:type="pct"/>
            <w:tcBorders>
              <w:top w:val="single" w:sz="4" w:space="0" w:color="auto"/>
              <w:bottom w:val="single" w:sz="4" w:space="0" w:color="auto"/>
            </w:tcBorders>
            <w:tcMar>
              <w:top w:w="180" w:type="dxa"/>
              <w:left w:w="180" w:type="dxa"/>
              <w:bottom w:w="180" w:type="dxa"/>
              <w:right w:w="180" w:type="dxa"/>
            </w:tcMar>
            <w:vAlign w:val="bottom"/>
            <w:hideMark/>
          </w:tcPr>
          <w:p w14:paraId="5C382AEA" w14:textId="77777777" w:rsidR="007C4797" w:rsidRPr="007C4797" w:rsidRDefault="007C4797" w:rsidP="007C4797">
            <w:pPr>
              <w:jc w:val="both"/>
              <w:rPr>
                <w:rFonts w:ascii="Arial" w:hAnsi="Arial" w:cs="Arial"/>
                <w:b/>
                <w:bCs/>
              </w:rPr>
            </w:pPr>
            <w:r w:rsidRPr="007C4797">
              <w:rPr>
                <w:rFonts w:ascii="Arial" w:hAnsi="Arial" w:cs="Arial"/>
                <w:b/>
                <w:bCs/>
              </w:rPr>
              <w:t>Active Ingredient</w:t>
            </w:r>
          </w:p>
        </w:tc>
        <w:tc>
          <w:tcPr>
            <w:tcW w:w="543" w:type="pct"/>
            <w:tcBorders>
              <w:top w:val="single" w:sz="4" w:space="0" w:color="auto"/>
              <w:bottom w:val="single" w:sz="4" w:space="0" w:color="auto"/>
            </w:tcBorders>
            <w:tcMar>
              <w:top w:w="180" w:type="dxa"/>
              <w:left w:w="180" w:type="dxa"/>
              <w:bottom w:w="180" w:type="dxa"/>
              <w:right w:w="180" w:type="dxa"/>
            </w:tcMar>
            <w:vAlign w:val="bottom"/>
            <w:hideMark/>
          </w:tcPr>
          <w:p w14:paraId="71D33E14" w14:textId="77777777" w:rsidR="007C4797" w:rsidRPr="007C4797" w:rsidRDefault="007C4797" w:rsidP="007C4797">
            <w:pPr>
              <w:jc w:val="both"/>
              <w:rPr>
                <w:rFonts w:ascii="Arial" w:hAnsi="Arial" w:cs="Arial"/>
                <w:b/>
                <w:bCs/>
              </w:rPr>
            </w:pPr>
            <w:r w:rsidRPr="007C4797">
              <w:rPr>
                <w:rFonts w:ascii="Arial" w:hAnsi="Arial" w:cs="Arial"/>
                <w:b/>
                <w:bCs/>
              </w:rPr>
              <w:t>Loading (%)</w:t>
            </w:r>
          </w:p>
        </w:tc>
        <w:tc>
          <w:tcPr>
            <w:tcW w:w="1021" w:type="pct"/>
            <w:tcBorders>
              <w:top w:val="single" w:sz="4" w:space="0" w:color="auto"/>
              <w:bottom w:val="single" w:sz="4" w:space="0" w:color="auto"/>
            </w:tcBorders>
            <w:tcMar>
              <w:top w:w="180" w:type="dxa"/>
              <w:left w:w="180" w:type="dxa"/>
              <w:bottom w:w="180" w:type="dxa"/>
              <w:right w:w="180" w:type="dxa"/>
            </w:tcMar>
            <w:vAlign w:val="bottom"/>
            <w:hideMark/>
          </w:tcPr>
          <w:p w14:paraId="500174C2" w14:textId="77777777" w:rsidR="007C4797" w:rsidRPr="007C4797" w:rsidRDefault="007C4797" w:rsidP="007C4797">
            <w:pPr>
              <w:jc w:val="both"/>
              <w:rPr>
                <w:rFonts w:ascii="Arial" w:hAnsi="Arial" w:cs="Arial"/>
                <w:b/>
                <w:bCs/>
              </w:rPr>
            </w:pPr>
            <w:r w:rsidRPr="007C4797">
              <w:rPr>
                <w:rFonts w:ascii="Arial" w:hAnsi="Arial" w:cs="Arial"/>
                <w:b/>
                <w:bCs/>
              </w:rPr>
              <w:t>Release Duration</w:t>
            </w:r>
          </w:p>
        </w:tc>
        <w:tc>
          <w:tcPr>
            <w:tcW w:w="804" w:type="pct"/>
            <w:tcBorders>
              <w:top w:val="single" w:sz="4" w:space="0" w:color="auto"/>
              <w:bottom w:val="single" w:sz="4" w:space="0" w:color="auto"/>
            </w:tcBorders>
            <w:tcMar>
              <w:top w:w="180" w:type="dxa"/>
              <w:left w:w="180" w:type="dxa"/>
              <w:bottom w:w="180" w:type="dxa"/>
              <w:right w:w="180" w:type="dxa"/>
            </w:tcMar>
            <w:vAlign w:val="bottom"/>
            <w:hideMark/>
          </w:tcPr>
          <w:p w14:paraId="62E91B1A" w14:textId="77777777" w:rsidR="007C4797" w:rsidRPr="007C4797" w:rsidRDefault="007C4797" w:rsidP="007C4797">
            <w:pPr>
              <w:jc w:val="both"/>
              <w:rPr>
                <w:rFonts w:ascii="Arial" w:hAnsi="Arial" w:cs="Arial"/>
                <w:b/>
                <w:bCs/>
              </w:rPr>
            </w:pPr>
            <w:r w:rsidRPr="007C4797">
              <w:rPr>
                <w:rFonts w:ascii="Arial" w:hAnsi="Arial" w:cs="Arial"/>
                <w:b/>
                <w:bCs/>
              </w:rPr>
              <w:t>Efficacy vs. Control</w:t>
            </w:r>
          </w:p>
        </w:tc>
        <w:tc>
          <w:tcPr>
            <w:tcW w:w="945" w:type="pct"/>
            <w:tcBorders>
              <w:top w:val="single" w:sz="4" w:space="0" w:color="auto"/>
              <w:bottom w:val="single" w:sz="4" w:space="0" w:color="auto"/>
            </w:tcBorders>
            <w:tcMar>
              <w:top w:w="180" w:type="dxa"/>
              <w:left w:w="180" w:type="dxa"/>
              <w:bottom w:w="180" w:type="dxa"/>
              <w:right w:w="180" w:type="dxa"/>
            </w:tcMar>
            <w:vAlign w:val="bottom"/>
            <w:hideMark/>
          </w:tcPr>
          <w:p w14:paraId="23C1B27A" w14:textId="77777777" w:rsidR="007C4797" w:rsidRPr="007C4797" w:rsidRDefault="007C4797" w:rsidP="007C4797">
            <w:pPr>
              <w:jc w:val="both"/>
              <w:rPr>
                <w:rFonts w:ascii="Arial" w:hAnsi="Arial" w:cs="Arial"/>
                <w:b/>
                <w:bCs/>
              </w:rPr>
            </w:pPr>
            <w:r w:rsidRPr="007C4797">
              <w:rPr>
                <w:rFonts w:ascii="Arial" w:hAnsi="Arial" w:cs="Arial"/>
                <w:b/>
                <w:bCs/>
              </w:rPr>
              <w:t>Reference</w:t>
            </w:r>
          </w:p>
        </w:tc>
      </w:tr>
      <w:tr w:rsidR="007C4797" w:rsidRPr="007C4797" w14:paraId="09F73D4D" w14:textId="77777777" w:rsidTr="007C4797">
        <w:tc>
          <w:tcPr>
            <w:tcW w:w="504" w:type="pct"/>
            <w:tcBorders>
              <w:top w:val="single" w:sz="4" w:space="0" w:color="auto"/>
            </w:tcBorders>
            <w:tcMar>
              <w:top w:w="180" w:type="dxa"/>
              <w:left w:w="180" w:type="dxa"/>
              <w:bottom w:w="180" w:type="dxa"/>
              <w:right w:w="180" w:type="dxa"/>
            </w:tcMar>
            <w:hideMark/>
          </w:tcPr>
          <w:p w14:paraId="7329F261" w14:textId="77777777" w:rsidR="007C4797" w:rsidRPr="007C4797" w:rsidRDefault="007C4797" w:rsidP="007C4797">
            <w:pPr>
              <w:jc w:val="both"/>
              <w:rPr>
                <w:rFonts w:ascii="Arial" w:hAnsi="Arial" w:cs="Arial"/>
              </w:rPr>
            </w:pPr>
            <w:r w:rsidRPr="007C4797">
              <w:rPr>
                <w:rFonts w:ascii="Arial" w:hAnsi="Arial" w:cs="Arial"/>
              </w:rPr>
              <w:t>PLGA</w:t>
            </w:r>
          </w:p>
        </w:tc>
        <w:tc>
          <w:tcPr>
            <w:tcW w:w="451" w:type="pct"/>
            <w:tcBorders>
              <w:top w:val="single" w:sz="4" w:space="0" w:color="auto"/>
            </w:tcBorders>
            <w:tcMar>
              <w:top w:w="180" w:type="dxa"/>
              <w:left w:w="180" w:type="dxa"/>
              <w:bottom w:w="180" w:type="dxa"/>
              <w:right w:w="180" w:type="dxa"/>
            </w:tcMar>
            <w:hideMark/>
          </w:tcPr>
          <w:p w14:paraId="2B445CF7" w14:textId="77777777" w:rsidR="007C4797" w:rsidRPr="007C4797" w:rsidRDefault="007C4797" w:rsidP="007C4797">
            <w:pPr>
              <w:jc w:val="both"/>
              <w:rPr>
                <w:rFonts w:ascii="Arial" w:hAnsi="Arial" w:cs="Arial"/>
              </w:rPr>
            </w:pPr>
            <w:r w:rsidRPr="007C4797">
              <w:rPr>
                <w:rFonts w:ascii="Arial" w:hAnsi="Arial" w:cs="Arial"/>
              </w:rPr>
              <w:t>100-300</w:t>
            </w:r>
          </w:p>
        </w:tc>
        <w:tc>
          <w:tcPr>
            <w:tcW w:w="732" w:type="pct"/>
            <w:tcBorders>
              <w:top w:val="single" w:sz="4" w:space="0" w:color="auto"/>
            </w:tcBorders>
            <w:tcMar>
              <w:top w:w="180" w:type="dxa"/>
              <w:left w:w="180" w:type="dxa"/>
              <w:bottom w:w="180" w:type="dxa"/>
              <w:right w:w="180" w:type="dxa"/>
            </w:tcMar>
            <w:hideMark/>
          </w:tcPr>
          <w:p w14:paraId="78AF2E98" w14:textId="77777777" w:rsidR="007C4797" w:rsidRPr="007C4797" w:rsidRDefault="007C4797" w:rsidP="007C4797">
            <w:pPr>
              <w:jc w:val="both"/>
              <w:rPr>
                <w:rFonts w:ascii="Arial" w:hAnsi="Arial" w:cs="Arial"/>
              </w:rPr>
            </w:pPr>
            <w:r w:rsidRPr="007C4797">
              <w:rPr>
                <w:rFonts w:ascii="Arial" w:hAnsi="Arial" w:cs="Arial"/>
              </w:rPr>
              <w:t>Azoxystrobin</w:t>
            </w:r>
          </w:p>
        </w:tc>
        <w:tc>
          <w:tcPr>
            <w:tcW w:w="543" w:type="pct"/>
            <w:tcBorders>
              <w:top w:val="single" w:sz="4" w:space="0" w:color="auto"/>
            </w:tcBorders>
            <w:tcMar>
              <w:top w:w="180" w:type="dxa"/>
              <w:left w:w="180" w:type="dxa"/>
              <w:bottom w:w="180" w:type="dxa"/>
              <w:right w:w="180" w:type="dxa"/>
            </w:tcMar>
            <w:hideMark/>
          </w:tcPr>
          <w:p w14:paraId="739B6644" w14:textId="77777777" w:rsidR="007C4797" w:rsidRPr="007C4797" w:rsidRDefault="007C4797" w:rsidP="007C4797">
            <w:pPr>
              <w:jc w:val="both"/>
              <w:rPr>
                <w:rFonts w:ascii="Arial" w:hAnsi="Arial" w:cs="Arial"/>
              </w:rPr>
            </w:pPr>
            <w:r w:rsidRPr="007C4797">
              <w:rPr>
                <w:rFonts w:ascii="Arial" w:hAnsi="Arial" w:cs="Arial"/>
              </w:rPr>
              <w:t>45-65</w:t>
            </w:r>
          </w:p>
        </w:tc>
        <w:tc>
          <w:tcPr>
            <w:tcW w:w="1021" w:type="pct"/>
            <w:tcBorders>
              <w:top w:val="single" w:sz="4" w:space="0" w:color="auto"/>
            </w:tcBorders>
            <w:tcMar>
              <w:top w:w="180" w:type="dxa"/>
              <w:left w:w="180" w:type="dxa"/>
              <w:bottom w:w="180" w:type="dxa"/>
              <w:right w:w="180" w:type="dxa"/>
            </w:tcMar>
            <w:hideMark/>
          </w:tcPr>
          <w:p w14:paraId="2BAF3205" w14:textId="77777777" w:rsidR="007C4797" w:rsidRPr="007C4797" w:rsidRDefault="007C4797" w:rsidP="007C4797">
            <w:pPr>
              <w:jc w:val="both"/>
              <w:rPr>
                <w:rFonts w:ascii="Arial" w:hAnsi="Arial" w:cs="Arial"/>
              </w:rPr>
            </w:pPr>
            <w:r w:rsidRPr="007C4797">
              <w:rPr>
                <w:rFonts w:ascii="Arial" w:hAnsi="Arial" w:cs="Arial"/>
              </w:rPr>
              <w:t>15-30 days</w:t>
            </w:r>
          </w:p>
        </w:tc>
        <w:tc>
          <w:tcPr>
            <w:tcW w:w="804" w:type="pct"/>
            <w:tcBorders>
              <w:top w:val="single" w:sz="4" w:space="0" w:color="auto"/>
            </w:tcBorders>
            <w:tcMar>
              <w:top w:w="180" w:type="dxa"/>
              <w:left w:w="180" w:type="dxa"/>
              <w:bottom w:w="180" w:type="dxa"/>
              <w:right w:w="180" w:type="dxa"/>
            </w:tcMar>
            <w:hideMark/>
          </w:tcPr>
          <w:p w14:paraId="7B1EB245" w14:textId="77777777" w:rsidR="007C4797" w:rsidRPr="007C4797" w:rsidRDefault="007C4797" w:rsidP="007C4797">
            <w:pPr>
              <w:jc w:val="both"/>
              <w:rPr>
                <w:rFonts w:ascii="Arial" w:hAnsi="Arial" w:cs="Arial"/>
              </w:rPr>
            </w:pPr>
            <w:r w:rsidRPr="007C4797">
              <w:rPr>
                <w:rFonts w:ascii="Arial" w:hAnsi="Arial" w:cs="Arial"/>
              </w:rPr>
              <w:t>70-85% at 50% dose</w:t>
            </w:r>
          </w:p>
        </w:tc>
        <w:tc>
          <w:tcPr>
            <w:tcW w:w="945" w:type="pct"/>
            <w:tcBorders>
              <w:top w:val="single" w:sz="4" w:space="0" w:color="auto"/>
            </w:tcBorders>
            <w:tcMar>
              <w:top w:w="180" w:type="dxa"/>
              <w:left w:w="180" w:type="dxa"/>
              <w:bottom w:w="180" w:type="dxa"/>
              <w:right w:w="180" w:type="dxa"/>
            </w:tcMar>
            <w:hideMark/>
          </w:tcPr>
          <w:p w14:paraId="63A9F3B4" w14:textId="77777777" w:rsidR="007C4797" w:rsidRPr="007C4797" w:rsidRDefault="007C4797" w:rsidP="007C4797">
            <w:pPr>
              <w:jc w:val="both"/>
              <w:rPr>
                <w:rFonts w:ascii="Arial" w:hAnsi="Arial" w:cs="Arial"/>
              </w:rPr>
            </w:pPr>
            <w:r w:rsidRPr="007C4797">
              <w:rPr>
                <w:rFonts w:ascii="Arial" w:hAnsi="Arial" w:cs="Arial"/>
              </w:rPr>
              <w:t>Grillo et al., 2012</w:t>
            </w:r>
          </w:p>
        </w:tc>
      </w:tr>
      <w:tr w:rsidR="007C4797" w:rsidRPr="007C4797" w14:paraId="465167D2" w14:textId="77777777" w:rsidTr="007C4797">
        <w:tc>
          <w:tcPr>
            <w:tcW w:w="504" w:type="pct"/>
            <w:tcMar>
              <w:top w:w="180" w:type="dxa"/>
              <w:left w:w="180" w:type="dxa"/>
              <w:bottom w:w="180" w:type="dxa"/>
              <w:right w:w="180" w:type="dxa"/>
            </w:tcMar>
            <w:hideMark/>
          </w:tcPr>
          <w:p w14:paraId="6CF75E94" w14:textId="77777777" w:rsidR="007C4797" w:rsidRPr="007C4797" w:rsidRDefault="007C4797" w:rsidP="007C4797">
            <w:pPr>
              <w:jc w:val="both"/>
              <w:rPr>
                <w:rFonts w:ascii="Arial" w:hAnsi="Arial" w:cs="Arial"/>
              </w:rPr>
            </w:pPr>
            <w:r w:rsidRPr="007C4797">
              <w:rPr>
                <w:rFonts w:ascii="Arial" w:hAnsi="Arial" w:cs="Arial"/>
              </w:rPr>
              <w:t>PLGA</w:t>
            </w:r>
          </w:p>
        </w:tc>
        <w:tc>
          <w:tcPr>
            <w:tcW w:w="451" w:type="pct"/>
            <w:tcMar>
              <w:top w:w="180" w:type="dxa"/>
              <w:left w:w="180" w:type="dxa"/>
              <w:bottom w:w="180" w:type="dxa"/>
              <w:right w:w="180" w:type="dxa"/>
            </w:tcMar>
            <w:hideMark/>
          </w:tcPr>
          <w:p w14:paraId="68F44907" w14:textId="77777777" w:rsidR="007C4797" w:rsidRPr="007C4797" w:rsidRDefault="007C4797" w:rsidP="007C4797">
            <w:pPr>
              <w:jc w:val="both"/>
              <w:rPr>
                <w:rFonts w:ascii="Arial" w:hAnsi="Arial" w:cs="Arial"/>
              </w:rPr>
            </w:pPr>
            <w:r w:rsidRPr="007C4797">
              <w:rPr>
                <w:rFonts w:ascii="Arial" w:hAnsi="Arial" w:cs="Arial"/>
              </w:rPr>
              <w:t>150-350</w:t>
            </w:r>
          </w:p>
        </w:tc>
        <w:tc>
          <w:tcPr>
            <w:tcW w:w="732" w:type="pct"/>
            <w:tcMar>
              <w:top w:w="180" w:type="dxa"/>
              <w:left w:w="180" w:type="dxa"/>
              <w:bottom w:w="180" w:type="dxa"/>
              <w:right w:w="180" w:type="dxa"/>
            </w:tcMar>
            <w:hideMark/>
          </w:tcPr>
          <w:p w14:paraId="7EA275B8" w14:textId="77777777" w:rsidR="007C4797" w:rsidRPr="007C4797" w:rsidRDefault="007C4797" w:rsidP="007C4797">
            <w:pPr>
              <w:jc w:val="both"/>
              <w:rPr>
                <w:rFonts w:ascii="Arial" w:hAnsi="Arial" w:cs="Arial"/>
              </w:rPr>
            </w:pPr>
            <w:r w:rsidRPr="007C4797">
              <w:rPr>
                <w:rFonts w:ascii="Arial" w:hAnsi="Arial" w:cs="Arial"/>
              </w:rPr>
              <w:t>Tebuconazole</w:t>
            </w:r>
          </w:p>
        </w:tc>
        <w:tc>
          <w:tcPr>
            <w:tcW w:w="543" w:type="pct"/>
            <w:tcMar>
              <w:top w:w="180" w:type="dxa"/>
              <w:left w:w="180" w:type="dxa"/>
              <w:bottom w:w="180" w:type="dxa"/>
              <w:right w:w="180" w:type="dxa"/>
            </w:tcMar>
            <w:hideMark/>
          </w:tcPr>
          <w:p w14:paraId="398B0E6D" w14:textId="77777777" w:rsidR="007C4797" w:rsidRPr="007C4797" w:rsidRDefault="007C4797" w:rsidP="007C4797">
            <w:pPr>
              <w:jc w:val="both"/>
              <w:rPr>
                <w:rFonts w:ascii="Arial" w:hAnsi="Arial" w:cs="Arial"/>
              </w:rPr>
            </w:pPr>
            <w:r w:rsidRPr="007C4797">
              <w:rPr>
                <w:rFonts w:ascii="Arial" w:hAnsi="Arial" w:cs="Arial"/>
              </w:rPr>
              <w:t>50-70</w:t>
            </w:r>
          </w:p>
        </w:tc>
        <w:tc>
          <w:tcPr>
            <w:tcW w:w="1021" w:type="pct"/>
            <w:tcMar>
              <w:top w:w="180" w:type="dxa"/>
              <w:left w:w="180" w:type="dxa"/>
              <w:bottom w:w="180" w:type="dxa"/>
              <w:right w:w="180" w:type="dxa"/>
            </w:tcMar>
            <w:hideMark/>
          </w:tcPr>
          <w:p w14:paraId="26B54BBC" w14:textId="77777777" w:rsidR="007C4797" w:rsidRPr="007C4797" w:rsidRDefault="007C4797" w:rsidP="007C4797">
            <w:pPr>
              <w:jc w:val="both"/>
              <w:rPr>
                <w:rFonts w:ascii="Arial" w:hAnsi="Arial" w:cs="Arial"/>
              </w:rPr>
            </w:pPr>
            <w:r w:rsidRPr="007C4797">
              <w:rPr>
                <w:rFonts w:ascii="Arial" w:hAnsi="Arial" w:cs="Arial"/>
              </w:rPr>
              <w:t>20-35 days</w:t>
            </w:r>
          </w:p>
        </w:tc>
        <w:tc>
          <w:tcPr>
            <w:tcW w:w="804" w:type="pct"/>
            <w:tcMar>
              <w:top w:w="180" w:type="dxa"/>
              <w:left w:w="180" w:type="dxa"/>
              <w:bottom w:w="180" w:type="dxa"/>
              <w:right w:w="180" w:type="dxa"/>
            </w:tcMar>
            <w:hideMark/>
          </w:tcPr>
          <w:p w14:paraId="14272080" w14:textId="77777777" w:rsidR="007C4797" w:rsidRPr="007C4797" w:rsidRDefault="007C4797" w:rsidP="007C4797">
            <w:pPr>
              <w:jc w:val="both"/>
              <w:rPr>
                <w:rFonts w:ascii="Arial" w:hAnsi="Arial" w:cs="Arial"/>
              </w:rPr>
            </w:pPr>
            <w:r w:rsidRPr="007C4797">
              <w:rPr>
                <w:rFonts w:ascii="Arial" w:hAnsi="Arial" w:cs="Arial"/>
              </w:rPr>
              <w:t>40-60% improved</w:t>
            </w:r>
          </w:p>
        </w:tc>
        <w:tc>
          <w:tcPr>
            <w:tcW w:w="945" w:type="pct"/>
            <w:tcMar>
              <w:top w:w="180" w:type="dxa"/>
              <w:left w:w="180" w:type="dxa"/>
              <w:bottom w:w="180" w:type="dxa"/>
              <w:right w:w="180" w:type="dxa"/>
            </w:tcMar>
            <w:hideMark/>
          </w:tcPr>
          <w:p w14:paraId="3C1680A1" w14:textId="77777777" w:rsidR="007C4797" w:rsidRPr="007C4797" w:rsidRDefault="007C4797" w:rsidP="007C4797">
            <w:pPr>
              <w:jc w:val="both"/>
              <w:rPr>
                <w:rFonts w:ascii="Arial" w:hAnsi="Arial" w:cs="Arial"/>
              </w:rPr>
            </w:pPr>
            <w:r w:rsidRPr="007C4797">
              <w:rPr>
                <w:rFonts w:ascii="Arial" w:hAnsi="Arial" w:cs="Arial"/>
              </w:rPr>
              <w:t>Pereira et al., 2014</w:t>
            </w:r>
          </w:p>
        </w:tc>
      </w:tr>
      <w:tr w:rsidR="007C4797" w:rsidRPr="007C4797" w14:paraId="18179B02" w14:textId="77777777" w:rsidTr="007C4797">
        <w:tc>
          <w:tcPr>
            <w:tcW w:w="504" w:type="pct"/>
            <w:tcMar>
              <w:top w:w="180" w:type="dxa"/>
              <w:left w:w="180" w:type="dxa"/>
              <w:bottom w:w="180" w:type="dxa"/>
              <w:right w:w="180" w:type="dxa"/>
            </w:tcMar>
            <w:hideMark/>
          </w:tcPr>
          <w:p w14:paraId="3C08BA22" w14:textId="77777777" w:rsidR="007C4797" w:rsidRPr="007C4797" w:rsidRDefault="007C4797" w:rsidP="007C4797">
            <w:pPr>
              <w:jc w:val="both"/>
              <w:rPr>
                <w:rFonts w:ascii="Arial" w:hAnsi="Arial" w:cs="Arial"/>
              </w:rPr>
            </w:pPr>
            <w:r w:rsidRPr="007C4797">
              <w:rPr>
                <w:rFonts w:ascii="Arial" w:hAnsi="Arial" w:cs="Arial"/>
              </w:rPr>
              <w:t>Chitosan</w:t>
            </w:r>
          </w:p>
        </w:tc>
        <w:tc>
          <w:tcPr>
            <w:tcW w:w="451" w:type="pct"/>
            <w:tcMar>
              <w:top w:w="180" w:type="dxa"/>
              <w:left w:w="180" w:type="dxa"/>
              <w:bottom w:w="180" w:type="dxa"/>
              <w:right w:w="180" w:type="dxa"/>
            </w:tcMar>
            <w:hideMark/>
          </w:tcPr>
          <w:p w14:paraId="35D971D6" w14:textId="77777777" w:rsidR="007C4797" w:rsidRPr="007C4797" w:rsidRDefault="007C4797" w:rsidP="007C4797">
            <w:pPr>
              <w:jc w:val="both"/>
              <w:rPr>
                <w:rFonts w:ascii="Arial" w:hAnsi="Arial" w:cs="Arial"/>
              </w:rPr>
            </w:pPr>
            <w:r w:rsidRPr="007C4797">
              <w:rPr>
                <w:rFonts w:ascii="Arial" w:hAnsi="Arial" w:cs="Arial"/>
              </w:rPr>
              <w:t>50-200</w:t>
            </w:r>
          </w:p>
        </w:tc>
        <w:tc>
          <w:tcPr>
            <w:tcW w:w="732" w:type="pct"/>
            <w:tcMar>
              <w:top w:w="180" w:type="dxa"/>
              <w:left w:w="180" w:type="dxa"/>
              <w:bottom w:w="180" w:type="dxa"/>
              <w:right w:w="180" w:type="dxa"/>
            </w:tcMar>
            <w:hideMark/>
          </w:tcPr>
          <w:p w14:paraId="71F0DD28" w14:textId="77777777" w:rsidR="007C4797" w:rsidRPr="007C4797" w:rsidRDefault="007C4797" w:rsidP="007C4797">
            <w:pPr>
              <w:jc w:val="both"/>
              <w:rPr>
                <w:rFonts w:ascii="Arial" w:hAnsi="Arial" w:cs="Arial"/>
              </w:rPr>
            </w:pPr>
            <w:r w:rsidRPr="007C4797">
              <w:rPr>
                <w:rFonts w:ascii="Arial" w:hAnsi="Arial" w:cs="Arial"/>
              </w:rPr>
              <w:t>Triazole fungicides</w:t>
            </w:r>
          </w:p>
        </w:tc>
        <w:tc>
          <w:tcPr>
            <w:tcW w:w="543" w:type="pct"/>
            <w:tcMar>
              <w:top w:w="180" w:type="dxa"/>
              <w:left w:w="180" w:type="dxa"/>
              <w:bottom w:w="180" w:type="dxa"/>
              <w:right w:w="180" w:type="dxa"/>
            </w:tcMar>
            <w:hideMark/>
          </w:tcPr>
          <w:p w14:paraId="40612D22" w14:textId="77777777" w:rsidR="007C4797" w:rsidRPr="007C4797" w:rsidRDefault="007C4797" w:rsidP="007C4797">
            <w:pPr>
              <w:jc w:val="both"/>
              <w:rPr>
                <w:rFonts w:ascii="Arial" w:hAnsi="Arial" w:cs="Arial"/>
              </w:rPr>
            </w:pPr>
            <w:r w:rsidRPr="007C4797">
              <w:rPr>
                <w:rFonts w:ascii="Arial" w:hAnsi="Arial" w:cs="Arial"/>
              </w:rPr>
              <w:t>60-80</w:t>
            </w:r>
          </w:p>
        </w:tc>
        <w:tc>
          <w:tcPr>
            <w:tcW w:w="1021" w:type="pct"/>
            <w:tcMar>
              <w:top w:w="180" w:type="dxa"/>
              <w:left w:w="180" w:type="dxa"/>
              <w:bottom w:w="180" w:type="dxa"/>
              <w:right w:w="180" w:type="dxa"/>
            </w:tcMar>
            <w:hideMark/>
          </w:tcPr>
          <w:p w14:paraId="6B0D56E1" w14:textId="77777777" w:rsidR="007C4797" w:rsidRPr="007C4797" w:rsidRDefault="007C4797" w:rsidP="007C4797">
            <w:pPr>
              <w:jc w:val="both"/>
              <w:rPr>
                <w:rFonts w:ascii="Arial" w:hAnsi="Arial" w:cs="Arial"/>
              </w:rPr>
            </w:pPr>
            <w:r w:rsidRPr="007C4797">
              <w:rPr>
                <w:rFonts w:ascii="Arial" w:hAnsi="Arial" w:cs="Arial"/>
              </w:rPr>
              <w:t>10-20 days (pH-responsive)</w:t>
            </w:r>
          </w:p>
        </w:tc>
        <w:tc>
          <w:tcPr>
            <w:tcW w:w="804" w:type="pct"/>
            <w:tcMar>
              <w:top w:w="180" w:type="dxa"/>
              <w:left w:w="180" w:type="dxa"/>
              <w:bottom w:w="180" w:type="dxa"/>
              <w:right w:w="180" w:type="dxa"/>
            </w:tcMar>
            <w:hideMark/>
          </w:tcPr>
          <w:p w14:paraId="79CAD44B" w14:textId="77777777" w:rsidR="007C4797" w:rsidRPr="007C4797" w:rsidRDefault="007C4797" w:rsidP="007C4797">
            <w:pPr>
              <w:jc w:val="both"/>
              <w:rPr>
                <w:rFonts w:ascii="Arial" w:hAnsi="Arial" w:cs="Arial"/>
              </w:rPr>
            </w:pPr>
            <w:r w:rsidRPr="007C4797">
              <w:rPr>
                <w:rFonts w:ascii="Arial" w:hAnsi="Arial" w:cs="Arial"/>
              </w:rPr>
              <w:t>50-70% improved</w:t>
            </w:r>
          </w:p>
        </w:tc>
        <w:tc>
          <w:tcPr>
            <w:tcW w:w="945" w:type="pct"/>
            <w:tcMar>
              <w:top w:w="180" w:type="dxa"/>
              <w:left w:w="180" w:type="dxa"/>
              <w:bottom w:w="180" w:type="dxa"/>
              <w:right w:w="180" w:type="dxa"/>
            </w:tcMar>
            <w:hideMark/>
          </w:tcPr>
          <w:p w14:paraId="753F4A70" w14:textId="77777777" w:rsidR="007C4797" w:rsidRPr="007C4797" w:rsidRDefault="007C4797" w:rsidP="007C4797">
            <w:pPr>
              <w:jc w:val="both"/>
              <w:rPr>
                <w:rFonts w:ascii="Arial" w:hAnsi="Arial" w:cs="Arial"/>
              </w:rPr>
            </w:pPr>
            <w:r w:rsidRPr="007C4797">
              <w:rPr>
                <w:rFonts w:ascii="Arial" w:hAnsi="Arial" w:cs="Arial"/>
              </w:rPr>
              <w:t>Saharan et al., 2015</w:t>
            </w:r>
          </w:p>
        </w:tc>
      </w:tr>
      <w:tr w:rsidR="007C4797" w:rsidRPr="007C4797" w14:paraId="3082FD99" w14:textId="77777777" w:rsidTr="007C4797">
        <w:tc>
          <w:tcPr>
            <w:tcW w:w="504" w:type="pct"/>
            <w:tcMar>
              <w:top w:w="180" w:type="dxa"/>
              <w:left w:w="180" w:type="dxa"/>
              <w:bottom w:w="180" w:type="dxa"/>
              <w:right w:w="180" w:type="dxa"/>
            </w:tcMar>
            <w:hideMark/>
          </w:tcPr>
          <w:p w14:paraId="5CA259FE" w14:textId="77777777" w:rsidR="007C4797" w:rsidRPr="007C4797" w:rsidRDefault="007C4797" w:rsidP="007C4797">
            <w:pPr>
              <w:jc w:val="both"/>
              <w:rPr>
                <w:rFonts w:ascii="Arial" w:hAnsi="Arial" w:cs="Arial"/>
              </w:rPr>
            </w:pPr>
            <w:r w:rsidRPr="007C4797">
              <w:rPr>
                <w:rFonts w:ascii="Arial" w:hAnsi="Arial" w:cs="Arial"/>
              </w:rPr>
              <w:t>Chitosan</w:t>
            </w:r>
          </w:p>
        </w:tc>
        <w:tc>
          <w:tcPr>
            <w:tcW w:w="451" w:type="pct"/>
            <w:tcMar>
              <w:top w:w="180" w:type="dxa"/>
              <w:left w:w="180" w:type="dxa"/>
              <w:bottom w:w="180" w:type="dxa"/>
              <w:right w:w="180" w:type="dxa"/>
            </w:tcMar>
            <w:hideMark/>
          </w:tcPr>
          <w:p w14:paraId="5B633CF0" w14:textId="77777777" w:rsidR="007C4797" w:rsidRPr="007C4797" w:rsidRDefault="007C4797" w:rsidP="007C4797">
            <w:pPr>
              <w:jc w:val="both"/>
              <w:rPr>
                <w:rFonts w:ascii="Arial" w:hAnsi="Arial" w:cs="Arial"/>
              </w:rPr>
            </w:pPr>
            <w:r w:rsidRPr="007C4797">
              <w:rPr>
                <w:rFonts w:ascii="Arial" w:hAnsi="Arial" w:cs="Arial"/>
              </w:rPr>
              <w:t>80-250</w:t>
            </w:r>
          </w:p>
        </w:tc>
        <w:tc>
          <w:tcPr>
            <w:tcW w:w="732" w:type="pct"/>
            <w:tcMar>
              <w:top w:w="180" w:type="dxa"/>
              <w:left w:w="180" w:type="dxa"/>
              <w:bottom w:w="180" w:type="dxa"/>
              <w:right w:w="180" w:type="dxa"/>
            </w:tcMar>
            <w:hideMark/>
          </w:tcPr>
          <w:p w14:paraId="0925B0F6" w14:textId="77777777" w:rsidR="007C4797" w:rsidRPr="007C4797" w:rsidRDefault="007C4797" w:rsidP="007C4797">
            <w:pPr>
              <w:jc w:val="both"/>
              <w:rPr>
                <w:rFonts w:ascii="Arial" w:hAnsi="Arial" w:cs="Arial"/>
              </w:rPr>
            </w:pPr>
            <w:r w:rsidRPr="007C4797">
              <w:rPr>
                <w:rFonts w:ascii="Arial" w:hAnsi="Arial" w:cs="Arial"/>
              </w:rPr>
              <w:t>Imidacloprid</w:t>
            </w:r>
          </w:p>
        </w:tc>
        <w:tc>
          <w:tcPr>
            <w:tcW w:w="543" w:type="pct"/>
            <w:tcMar>
              <w:top w:w="180" w:type="dxa"/>
              <w:left w:w="180" w:type="dxa"/>
              <w:bottom w:w="180" w:type="dxa"/>
              <w:right w:w="180" w:type="dxa"/>
            </w:tcMar>
            <w:hideMark/>
          </w:tcPr>
          <w:p w14:paraId="060284D1" w14:textId="77777777" w:rsidR="007C4797" w:rsidRPr="007C4797" w:rsidRDefault="007C4797" w:rsidP="007C4797">
            <w:pPr>
              <w:jc w:val="both"/>
              <w:rPr>
                <w:rFonts w:ascii="Arial" w:hAnsi="Arial" w:cs="Arial"/>
              </w:rPr>
            </w:pPr>
            <w:r w:rsidRPr="007C4797">
              <w:rPr>
                <w:rFonts w:ascii="Arial" w:hAnsi="Arial" w:cs="Arial"/>
              </w:rPr>
              <w:t>55-75</w:t>
            </w:r>
          </w:p>
        </w:tc>
        <w:tc>
          <w:tcPr>
            <w:tcW w:w="1021" w:type="pct"/>
            <w:tcMar>
              <w:top w:w="180" w:type="dxa"/>
              <w:left w:w="180" w:type="dxa"/>
              <w:bottom w:w="180" w:type="dxa"/>
              <w:right w:w="180" w:type="dxa"/>
            </w:tcMar>
            <w:hideMark/>
          </w:tcPr>
          <w:p w14:paraId="29AE094A" w14:textId="77777777" w:rsidR="007C4797" w:rsidRPr="007C4797" w:rsidRDefault="007C4797" w:rsidP="007C4797">
            <w:pPr>
              <w:jc w:val="both"/>
              <w:rPr>
                <w:rFonts w:ascii="Arial" w:hAnsi="Arial" w:cs="Arial"/>
              </w:rPr>
            </w:pPr>
            <w:r w:rsidRPr="007C4797">
              <w:rPr>
                <w:rFonts w:ascii="Arial" w:hAnsi="Arial" w:cs="Arial"/>
              </w:rPr>
              <w:t>15-25 days</w:t>
            </w:r>
          </w:p>
        </w:tc>
        <w:tc>
          <w:tcPr>
            <w:tcW w:w="804" w:type="pct"/>
            <w:tcMar>
              <w:top w:w="180" w:type="dxa"/>
              <w:left w:w="180" w:type="dxa"/>
              <w:bottom w:w="180" w:type="dxa"/>
              <w:right w:w="180" w:type="dxa"/>
            </w:tcMar>
            <w:hideMark/>
          </w:tcPr>
          <w:p w14:paraId="14A71AAD" w14:textId="77777777" w:rsidR="007C4797" w:rsidRPr="007C4797" w:rsidRDefault="007C4797" w:rsidP="007C4797">
            <w:pPr>
              <w:jc w:val="both"/>
              <w:rPr>
                <w:rFonts w:ascii="Arial" w:hAnsi="Arial" w:cs="Arial"/>
              </w:rPr>
            </w:pPr>
            <w:r w:rsidRPr="007C4797">
              <w:rPr>
                <w:rFonts w:ascii="Arial" w:hAnsi="Arial" w:cs="Arial"/>
              </w:rPr>
              <w:t>60-80% at 40% dose</w:t>
            </w:r>
          </w:p>
        </w:tc>
        <w:tc>
          <w:tcPr>
            <w:tcW w:w="945" w:type="pct"/>
            <w:tcMar>
              <w:top w:w="180" w:type="dxa"/>
              <w:left w:w="180" w:type="dxa"/>
              <w:bottom w:w="180" w:type="dxa"/>
              <w:right w:w="180" w:type="dxa"/>
            </w:tcMar>
            <w:hideMark/>
          </w:tcPr>
          <w:p w14:paraId="69B71A90" w14:textId="77777777" w:rsidR="007C4797" w:rsidRPr="007C4797" w:rsidRDefault="007C4797" w:rsidP="007C4797">
            <w:pPr>
              <w:jc w:val="both"/>
              <w:rPr>
                <w:rFonts w:ascii="Arial" w:hAnsi="Arial" w:cs="Arial"/>
              </w:rPr>
            </w:pPr>
            <w:r w:rsidRPr="007C4797">
              <w:rPr>
                <w:rFonts w:ascii="Arial" w:hAnsi="Arial" w:cs="Arial"/>
              </w:rPr>
              <w:t>Kumar et al., 2015</w:t>
            </w:r>
          </w:p>
        </w:tc>
      </w:tr>
      <w:tr w:rsidR="007C4797" w:rsidRPr="007C4797" w14:paraId="6AA66B7F" w14:textId="77777777" w:rsidTr="007C4797">
        <w:tc>
          <w:tcPr>
            <w:tcW w:w="504" w:type="pct"/>
            <w:tcMar>
              <w:top w:w="180" w:type="dxa"/>
              <w:left w:w="180" w:type="dxa"/>
              <w:bottom w:w="180" w:type="dxa"/>
              <w:right w:w="180" w:type="dxa"/>
            </w:tcMar>
            <w:hideMark/>
          </w:tcPr>
          <w:p w14:paraId="2C47B704" w14:textId="77777777" w:rsidR="007C4797" w:rsidRPr="007C4797" w:rsidRDefault="007C4797" w:rsidP="007C4797">
            <w:pPr>
              <w:jc w:val="both"/>
              <w:rPr>
                <w:rFonts w:ascii="Arial" w:hAnsi="Arial" w:cs="Arial"/>
              </w:rPr>
            </w:pPr>
            <w:r w:rsidRPr="007C4797">
              <w:rPr>
                <w:rFonts w:ascii="Arial" w:hAnsi="Arial" w:cs="Arial"/>
              </w:rPr>
              <w:t>Alginate</w:t>
            </w:r>
          </w:p>
        </w:tc>
        <w:tc>
          <w:tcPr>
            <w:tcW w:w="451" w:type="pct"/>
            <w:tcMar>
              <w:top w:w="180" w:type="dxa"/>
              <w:left w:w="180" w:type="dxa"/>
              <w:bottom w:w="180" w:type="dxa"/>
              <w:right w:w="180" w:type="dxa"/>
            </w:tcMar>
            <w:hideMark/>
          </w:tcPr>
          <w:p w14:paraId="5644E586" w14:textId="77777777" w:rsidR="007C4797" w:rsidRPr="007C4797" w:rsidRDefault="007C4797" w:rsidP="007C4797">
            <w:pPr>
              <w:jc w:val="both"/>
              <w:rPr>
                <w:rFonts w:ascii="Arial" w:hAnsi="Arial" w:cs="Arial"/>
              </w:rPr>
            </w:pPr>
            <w:r w:rsidRPr="007C4797">
              <w:rPr>
                <w:rFonts w:ascii="Arial" w:hAnsi="Arial" w:cs="Arial"/>
              </w:rPr>
              <w:t>100-400</w:t>
            </w:r>
          </w:p>
        </w:tc>
        <w:tc>
          <w:tcPr>
            <w:tcW w:w="732" w:type="pct"/>
            <w:tcMar>
              <w:top w:w="180" w:type="dxa"/>
              <w:left w:w="180" w:type="dxa"/>
              <w:bottom w:w="180" w:type="dxa"/>
              <w:right w:w="180" w:type="dxa"/>
            </w:tcMar>
            <w:hideMark/>
          </w:tcPr>
          <w:p w14:paraId="2C26340D" w14:textId="77777777" w:rsidR="007C4797" w:rsidRPr="007C4797" w:rsidRDefault="007C4797" w:rsidP="007C4797">
            <w:pPr>
              <w:jc w:val="both"/>
              <w:rPr>
                <w:rFonts w:ascii="Arial" w:hAnsi="Arial" w:cs="Arial"/>
              </w:rPr>
            </w:pPr>
            <w:r w:rsidRPr="007C4797">
              <w:rPr>
                <w:rFonts w:ascii="Arial" w:hAnsi="Arial" w:cs="Arial"/>
              </w:rPr>
              <w:t>Carbofuran</w:t>
            </w:r>
          </w:p>
        </w:tc>
        <w:tc>
          <w:tcPr>
            <w:tcW w:w="543" w:type="pct"/>
            <w:tcMar>
              <w:top w:w="180" w:type="dxa"/>
              <w:left w:w="180" w:type="dxa"/>
              <w:bottom w:w="180" w:type="dxa"/>
              <w:right w:w="180" w:type="dxa"/>
            </w:tcMar>
            <w:hideMark/>
          </w:tcPr>
          <w:p w14:paraId="50A79F8D" w14:textId="77777777" w:rsidR="007C4797" w:rsidRPr="007C4797" w:rsidRDefault="007C4797" w:rsidP="007C4797">
            <w:pPr>
              <w:jc w:val="both"/>
              <w:rPr>
                <w:rFonts w:ascii="Arial" w:hAnsi="Arial" w:cs="Arial"/>
              </w:rPr>
            </w:pPr>
            <w:r w:rsidRPr="007C4797">
              <w:rPr>
                <w:rFonts w:ascii="Arial" w:hAnsi="Arial" w:cs="Arial"/>
              </w:rPr>
              <w:t>40-60</w:t>
            </w:r>
          </w:p>
        </w:tc>
        <w:tc>
          <w:tcPr>
            <w:tcW w:w="1021" w:type="pct"/>
            <w:tcMar>
              <w:top w:w="180" w:type="dxa"/>
              <w:left w:w="180" w:type="dxa"/>
              <w:bottom w:w="180" w:type="dxa"/>
              <w:right w:w="180" w:type="dxa"/>
            </w:tcMar>
            <w:hideMark/>
          </w:tcPr>
          <w:p w14:paraId="49A0D357" w14:textId="77777777" w:rsidR="007C4797" w:rsidRPr="007C4797" w:rsidRDefault="007C4797" w:rsidP="007C4797">
            <w:pPr>
              <w:jc w:val="both"/>
              <w:rPr>
                <w:rFonts w:ascii="Arial" w:hAnsi="Arial" w:cs="Arial"/>
              </w:rPr>
            </w:pPr>
            <w:r w:rsidRPr="007C4797">
              <w:rPr>
                <w:rFonts w:ascii="Arial" w:hAnsi="Arial" w:cs="Arial"/>
              </w:rPr>
              <w:t>20-40 days</w:t>
            </w:r>
          </w:p>
        </w:tc>
        <w:tc>
          <w:tcPr>
            <w:tcW w:w="804" w:type="pct"/>
            <w:tcMar>
              <w:top w:w="180" w:type="dxa"/>
              <w:left w:w="180" w:type="dxa"/>
              <w:bottom w:w="180" w:type="dxa"/>
              <w:right w:w="180" w:type="dxa"/>
            </w:tcMar>
            <w:hideMark/>
          </w:tcPr>
          <w:p w14:paraId="39D898C2" w14:textId="77777777" w:rsidR="007C4797" w:rsidRPr="007C4797" w:rsidRDefault="007C4797" w:rsidP="007C4797">
            <w:pPr>
              <w:jc w:val="both"/>
              <w:rPr>
                <w:rFonts w:ascii="Arial" w:hAnsi="Arial" w:cs="Arial"/>
              </w:rPr>
            </w:pPr>
            <w:r w:rsidRPr="007C4797">
              <w:rPr>
                <w:rFonts w:ascii="Arial" w:hAnsi="Arial" w:cs="Arial"/>
              </w:rPr>
              <w:t>55-75% at 50% dose</w:t>
            </w:r>
          </w:p>
        </w:tc>
        <w:tc>
          <w:tcPr>
            <w:tcW w:w="945" w:type="pct"/>
            <w:tcMar>
              <w:top w:w="180" w:type="dxa"/>
              <w:left w:w="180" w:type="dxa"/>
              <w:bottom w:w="180" w:type="dxa"/>
              <w:right w:w="180" w:type="dxa"/>
            </w:tcMar>
            <w:hideMark/>
          </w:tcPr>
          <w:p w14:paraId="45691062" w14:textId="77777777" w:rsidR="007C4797" w:rsidRPr="007C4797" w:rsidRDefault="007C4797" w:rsidP="007C4797">
            <w:pPr>
              <w:jc w:val="both"/>
              <w:rPr>
                <w:rFonts w:ascii="Arial" w:hAnsi="Arial" w:cs="Arial"/>
              </w:rPr>
            </w:pPr>
            <w:r w:rsidRPr="007C4797">
              <w:rPr>
                <w:rFonts w:ascii="Arial" w:hAnsi="Arial" w:cs="Arial"/>
              </w:rPr>
              <w:t>Campos et al., 2018</w:t>
            </w:r>
          </w:p>
        </w:tc>
      </w:tr>
      <w:tr w:rsidR="007C4797" w:rsidRPr="007C4797" w14:paraId="47AD1CC6" w14:textId="77777777" w:rsidTr="007C4797">
        <w:tc>
          <w:tcPr>
            <w:tcW w:w="504" w:type="pct"/>
            <w:tcMar>
              <w:top w:w="180" w:type="dxa"/>
              <w:left w:w="180" w:type="dxa"/>
              <w:bottom w:w="180" w:type="dxa"/>
              <w:right w:w="180" w:type="dxa"/>
            </w:tcMar>
            <w:hideMark/>
          </w:tcPr>
          <w:p w14:paraId="0D76D68F" w14:textId="77777777" w:rsidR="007C4797" w:rsidRPr="007C4797" w:rsidRDefault="007C4797" w:rsidP="007C4797">
            <w:pPr>
              <w:jc w:val="both"/>
              <w:rPr>
                <w:rFonts w:ascii="Arial" w:hAnsi="Arial" w:cs="Arial"/>
              </w:rPr>
            </w:pPr>
            <w:r w:rsidRPr="007C4797">
              <w:rPr>
                <w:rFonts w:ascii="Arial" w:hAnsi="Arial" w:cs="Arial"/>
              </w:rPr>
              <w:t>SLN</w:t>
            </w:r>
          </w:p>
        </w:tc>
        <w:tc>
          <w:tcPr>
            <w:tcW w:w="451" w:type="pct"/>
            <w:tcMar>
              <w:top w:w="180" w:type="dxa"/>
              <w:left w:w="180" w:type="dxa"/>
              <w:bottom w:w="180" w:type="dxa"/>
              <w:right w:w="180" w:type="dxa"/>
            </w:tcMar>
            <w:hideMark/>
          </w:tcPr>
          <w:p w14:paraId="2311E340" w14:textId="77777777" w:rsidR="007C4797" w:rsidRPr="007C4797" w:rsidRDefault="007C4797" w:rsidP="007C4797">
            <w:pPr>
              <w:jc w:val="both"/>
              <w:rPr>
                <w:rFonts w:ascii="Arial" w:hAnsi="Arial" w:cs="Arial"/>
              </w:rPr>
            </w:pPr>
            <w:r w:rsidRPr="007C4797">
              <w:rPr>
                <w:rFonts w:ascii="Arial" w:hAnsi="Arial" w:cs="Arial"/>
              </w:rPr>
              <w:t>50-150</w:t>
            </w:r>
          </w:p>
        </w:tc>
        <w:tc>
          <w:tcPr>
            <w:tcW w:w="732" w:type="pct"/>
            <w:tcMar>
              <w:top w:w="180" w:type="dxa"/>
              <w:left w:w="180" w:type="dxa"/>
              <w:bottom w:w="180" w:type="dxa"/>
              <w:right w:w="180" w:type="dxa"/>
            </w:tcMar>
            <w:hideMark/>
          </w:tcPr>
          <w:p w14:paraId="0047C3AE" w14:textId="77777777" w:rsidR="007C4797" w:rsidRPr="007C4797" w:rsidRDefault="007C4797" w:rsidP="007C4797">
            <w:pPr>
              <w:jc w:val="both"/>
              <w:rPr>
                <w:rFonts w:ascii="Arial" w:hAnsi="Arial" w:cs="Arial"/>
              </w:rPr>
            </w:pPr>
            <w:r w:rsidRPr="007C4797">
              <w:rPr>
                <w:rFonts w:ascii="Arial" w:hAnsi="Arial" w:cs="Arial"/>
              </w:rPr>
              <w:t>Deltamethrin</w:t>
            </w:r>
          </w:p>
        </w:tc>
        <w:tc>
          <w:tcPr>
            <w:tcW w:w="543" w:type="pct"/>
            <w:tcMar>
              <w:top w:w="180" w:type="dxa"/>
              <w:left w:w="180" w:type="dxa"/>
              <w:bottom w:w="180" w:type="dxa"/>
              <w:right w:w="180" w:type="dxa"/>
            </w:tcMar>
            <w:hideMark/>
          </w:tcPr>
          <w:p w14:paraId="5C2A8AE1" w14:textId="77777777" w:rsidR="007C4797" w:rsidRPr="007C4797" w:rsidRDefault="007C4797" w:rsidP="007C4797">
            <w:pPr>
              <w:jc w:val="both"/>
              <w:rPr>
                <w:rFonts w:ascii="Arial" w:hAnsi="Arial" w:cs="Arial"/>
              </w:rPr>
            </w:pPr>
            <w:r w:rsidRPr="007C4797">
              <w:rPr>
                <w:rFonts w:ascii="Arial" w:hAnsi="Arial" w:cs="Arial"/>
              </w:rPr>
              <w:t>60-80</w:t>
            </w:r>
          </w:p>
        </w:tc>
        <w:tc>
          <w:tcPr>
            <w:tcW w:w="1021" w:type="pct"/>
            <w:tcMar>
              <w:top w:w="180" w:type="dxa"/>
              <w:left w:w="180" w:type="dxa"/>
              <w:bottom w:w="180" w:type="dxa"/>
              <w:right w:w="180" w:type="dxa"/>
            </w:tcMar>
            <w:hideMark/>
          </w:tcPr>
          <w:p w14:paraId="671EBB12" w14:textId="77777777" w:rsidR="007C4797" w:rsidRPr="007C4797" w:rsidRDefault="007C4797" w:rsidP="007C4797">
            <w:pPr>
              <w:jc w:val="both"/>
              <w:rPr>
                <w:rFonts w:ascii="Arial" w:hAnsi="Arial" w:cs="Arial"/>
              </w:rPr>
            </w:pPr>
            <w:r w:rsidRPr="007C4797">
              <w:rPr>
                <w:rFonts w:ascii="Arial" w:hAnsi="Arial" w:cs="Arial"/>
              </w:rPr>
              <w:t>10-15 days</w:t>
            </w:r>
          </w:p>
        </w:tc>
        <w:tc>
          <w:tcPr>
            <w:tcW w:w="804" w:type="pct"/>
            <w:tcMar>
              <w:top w:w="180" w:type="dxa"/>
              <w:left w:w="180" w:type="dxa"/>
              <w:bottom w:w="180" w:type="dxa"/>
              <w:right w:w="180" w:type="dxa"/>
            </w:tcMar>
            <w:hideMark/>
          </w:tcPr>
          <w:p w14:paraId="20FB87E5" w14:textId="77777777" w:rsidR="007C4797" w:rsidRPr="007C4797" w:rsidRDefault="007C4797" w:rsidP="007C4797">
            <w:pPr>
              <w:jc w:val="both"/>
              <w:rPr>
                <w:rFonts w:ascii="Arial" w:hAnsi="Arial" w:cs="Arial"/>
              </w:rPr>
            </w:pPr>
            <w:r w:rsidRPr="007C4797">
              <w:rPr>
                <w:rFonts w:ascii="Arial" w:hAnsi="Arial" w:cs="Arial"/>
              </w:rPr>
              <w:t>65-85% at 30% dose</w:t>
            </w:r>
          </w:p>
        </w:tc>
        <w:tc>
          <w:tcPr>
            <w:tcW w:w="945" w:type="pct"/>
            <w:tcMar>
              <w:top w:w="180" w:type="dxa"/>
              <w:left w:w="180" w:type="dxa"/>
              <w:bottom w:w="180" w:type="dxa"/>
              <w:right w:w="180" w:type="dxa"/>
            </w:tcMar>
            <w:hideMark/>
          </w:tcPr>
          <w:p w14:paraId="6C99144F" w14:textId="77777777" w:rsidR="007C4797" w:rsidRPr="007C4797" w:rsidRDefault="007C4797" w:rsidP="007C4797">
            <w:pPr>
              <w:jc w:val="both"/>
              <w:rPr>
                <w:rFonts w:ascii="Arial" w:hAnsi="Arial" w:cs="Arial"/>
              </w:rPr>
            </w:pPr>
            <w:r w:rsidRPr="007C4797">
              <w:rPr>
                <w:rFonts w:ascii="Arial" w:hAnsi="Arial" w:cs="Arial"/>
              </w:rPr>
              <w:t>Lai et al., 2006</w:t>
            </w:r>
          </w:p>
        </w:tc>
      </w:tr>
      <w:tr w:rsidR="007C4797" w:rsidRPr="007C4797" w14:paraId="44FD08A6" w14:textId="77777777" w:rsidTr="007C4797">
        <w:tc>
          <w:tcPr>
            <w:tcW w:w="504" w:type="pct"/>
            <w:tcMar>
              <w:top w:w="180" w:type="dxa"/>
              <w:left w:w="180" w:type="dxa"/>
              <w:bottom w:w="180" w:type="dxa"/>
              <w:right w:w="180" w:type="dxa"/>
            </w:tcMar>
            <w:hideMark/>
          </w:tcPr>
          <w:p w14:paraId="5735BE5B" w14:textId="77777777" w:rsidR="007C4797" w:rsidRPr="007C4797" w:rsidRDefault="007C4797" w:rsidP="007C4797">
            <w:pPr>
              <w:jc w:val="both"/>
              <w:rPr>
                <w:rFonts w:ascii="Arial" w:hAnsi="Arial" w:cs="Arial"/>
              </w:rPr>
            </w:pPr>
            <w:r w:rsidRPr="007C4797">
              <w:rPr>
                <w:rFonts w:ascii="Arial" w:hAnsi="Arial" w:cs="Arial"/>
              </w:rPr>
              <w:t>Liposomes</w:t>
            </w:r>
          </w:p>
        </w:tc>
        <w:tc>
          <w:tcPr>
            <w:tcW w:w="451" w:type="pct"/>
            <w:tcMar>
              <w:top w:w="180" w:type="dxa"/>
              <w:left w:w="180" w:type="dxa"/>
              <w:bottom w:w="180" w:type="dxa"/>
              <w:right w:w="180" w:type="dxa"/>
            </w:tcMar>
            <w:hideMark/>
          </w:tcPr>
          <w:p w14:paraId="43D48E83" w14:textId="77777777" w:rsidR="007C4797" w:rsidRPr="007C4797" w:rsidRDefault="007C4797" w:rsidP="007C4797">
            <w:pPr>
              <w:jc w:val="both"/>
              <w:rPr>
                <w:rFonts w:ascii="Arial" w:hAnsi="Arial" w:cs="Arial"/>
              </w:rPr>
            </w:pPr>
            <w:r w:rsidRPr="007C4797">
              <w:rPr>
                <w:rFonts w:ascii="Arial" w:hAnsi="Arial" w:cs="Arial"/>
              </w:rPr>
              <w:t>100-500</w:t>
            </w:r>
          </w:p>
        </w:tc>
        <w:tc>
          <w:tcPr>
            <w:tcW w:w="732" w:type="pct"/>
            <w:tcMar>
              <w:top w:w="180" w:type="dxa"/>
              <w:left w:w="180" w:type="dxa"/>
              <w:bottom w:w="180" w:type="dxa"/>
              <w:right w:w="180" w:type="dxa"/>
            </w:tcMar>
            <w:hideMark/>
          </w:tcPr>
          <w:p w14:paraId="4C6C0F2E" w14:textId="77777777" w:rsidR="007C4797" w:rsidRPr="007C4797" w:rsidRDefault="007C4797" w:rsidP="007C4797">
            <w:pPr>
              <w:jc w:val="both"/>
              <w:rPr>
                <w:rFonts w:ascii="Arial" w:hAnsi="Arial" w:cs="Arial"/>
              </w:rPr>
            </w:pPr>
            <w:r w:rsidRPr="007C4797">
              <w:rPr>
                <w:rFonts w:ascii="Arial" w:hAnsi="Arial" w:cs="Arial"/>
              </w:rPr>
              <w:t>Cypermethrin</w:t>
            </w:r>
          </w:p>
        </w:tc>
        <w:tc>
          <w:tcPr>
            <w:tcW w:w="543" w:type="pct"/>
            <w:tcMar>
              <w:top w:w="180" w:type="dxa"/>
              <w:left w:w="180" w:type="dxa"/>
              <w:bottom w:w="180" w:type="dxa"/>
              <w:right w:w="180" w:type="dxa"/>
            </w:tcMar>
            <w:hideMark/>
          </w:tcPr>
          <w:p w14:paraId="688F3E83" w14:textId="77777777" w:rsidR="007C4797" w:rsidRPr="007C4797" w:rsidRDefault="007C4797" w:rsidP="007C4797">
            <w:pPr>
              <w:jc w:val="both"/>
              <w:rPr>
                <w:rFonts w:ascii="Arial" w:hAnsi="Arial" w:cs="Arial"/>
              </w:rPr>
            </w:pPr>
            <w:r w:rsidRPr="007C4797">
              <w:rPr>
                <w:rFonts w:ascii="Arial" w:hAnsi="Arial" w:cs="Arial"/>
              </w:rPr>
              <w:t>40-70</w:t>
            </w:r>
          </w:p>
        </w:tc>
        <w:tc>
          <w:tcPr>
            <w:tcW w:w="1021" w:type="pct"/>
            <w:tcMar>
              <w:top w:w="180" w:type="dxa"/>
              <w:left w:w="180" w:type="dxa"/>
              <w:bottom w:w="180" w:type="dxa"/>
              <w:right w:w="180" w:type="dxa"/>
            </w:tcMar>
            <w:hideMark/>
          </w:tcPr>
          <w:p w14:paraId="5A5E0985" w14:textId="77777777" w:rsidR="007C4797" w:rsidRPr="007C4797" w:rsidRDefault="007C4797" w:rsidP="007C4797">
            <w:pPr>
              <w:jc w:val="both"/>
              <w:rPr>
                <w:rFonts w:ascii="Arial" w:hAnsi="Arial" w:cs="Arial"/>
              </w:rPr>
            </w:pPr>
            <w:r w:rsidRPr="007C4797">
              <w:rPr>
                <w:rFonts w:ascii="Arial" w:hAnsi="Arial" w:cs="Arial"/>
              </w:rPr>
              <w:t>7-14 days</w:t>
            </w:r>
          </w:p>
        </w:tc>
        <w:tc>
          <w:tcPr>
            <w:tcW w:w="804" w:type="pct"/>
            <w:tcMar>
              <w:top w:w="180" w:type="dxa"/>
              <w:left w:w="180" w:type="dxa"/>
              <w:bottom w:w="180" w:type="dxa"/>
              <w:right w:w="180" w:type="dxa"/>
            </w:tcMar>
            <w:hideMark/>
          </w:tcPr>
          <w:p w14:paraId="64A01CAA" w14:textId="77777777" w:rsidR="007C4797" w:rsidRPr="007C4797" w:rsidRDefault="007C4797" w:rsidP="007C4797">
            <w:pPr>
              <w:jc w:val="both"/>
              <w:rPr>
                <w:rFonts w:ascii="Arial" w:hAnsi="Arial" w:cs="Arial"/>
              </w:rPr>
            </w:pPr>
            <w:r w:rsidRPr="007C4797">
              <w:rPr>
                <w:rFonts w:ascii="Arial" w:hAnsi="Arial" w:cs="Arial"/>
              </w:rPr>
              <w:t>50-70% improved</w:t>
            </w:r>
          </w:p>
        </w:tc>
        <w:tc>
          <w:tcPr>
            <w:tcW w:w="945" w:type="pct"/>
            <w:tcMar>
              <w:top w:w="180" w:type="dxa"/>
              <w:left w:w="180" w:type="dxa"/>
              <w:bottom w:w="180" w:type="dxa"/>
              <w:right w:w="180" w:type="dxa"/>
            </w:tcMar>
            <w:hideMark/>
          </w:tcPr>
          <w:p w14:paraId="6D788E6E" w14:textId="77777777" w:rsidR="007C4797" w:rsidRPr="007C4797" w:rsidRDefault="007C4797" w:rsidP="007C4797">
            <w:pPr>
              <w:jc w:val="both"/>
              <w:rPr>
                <w:rFonts w:ascii="Arial" w:hAnsi="Arial" w:cs="Arial"/>
              </w:rPr>
            </w:pPr>
            <w:proofErr w:type="spellStart"/>
            <w:r w:rsidRPr="007C4797">
              <w:rPr>
                <w:rFonts w:ascii="Arial" w:hAnsi="Arial" w:cs="Arial"/>
              </w:rPr>
              <w:t>Memarizadeh</w:t>
            </w:r>
            <w:proofErr w:type="spellEnd"/>
            <w:r w:rsidRPr="007C4797">
              <w:rPr>
                <w:rFonts w:ascii="Arial" w:hAnsi="Arial" w:cs="Arial"/>
              </w:rPr>
              <w:t xml:space="preserve"> et al., 2014</w:t>
            </w:r>
          </w:p>
        </w:tc>
      </w:tr>
      <w:tr w:rsidR="007C4797" w:rsidRPr="007C4797" w14:paraId="1A6FEC96" w14:textId="77777777" w:rsidTr="007C4797">
        <w:tc>
          <w:tcPr>
            <w:tcW w:w="504" w:type="pct"/>
            <w:tcMar>
              <w:top w:w="180" w:type="dxa"/>
              <w:left w:w="180" w:type="dxa"/>
              <w:bottom w:w="180" w:type="dxa"/>
              <w:right w:w="180" w:type="dxa"/>
            </w:tcMar>
            <w:hideMark/>
          </w:tcPr>
          <w:p w14:paraId="3A41975B" w14:textId="77777777" w:rsidR="007C4797" w:rsidRPr="007C4797" w:rsidRDefault="007C4797" w:rsidP="007C4797">
            <w:pPr>
              <w:jc w:val="both"/>
              <w:rPr>
                <w:rFonts w:ascii="Arial" w:hAnsi="Arial" w:cs="Arial"/>
              </w:rPr>
            </w:pPr>
            <w:r w:rsidRPr="007C4797">
              <w:rPr>
                <w:rFonts w:ascii="Arial" w:hAnsi="Arial" w:cs="Arial"/>
              </w:rPr>
              <w:t>MSN</w:t>
            </w:r>
          </w:p>
        </w:tc>
        <w:tc>
          <w:tcPr>
            <w:tcW w:w="451" w:type="pct"/>
            <w:tcMar>
              <w:top w:w="180" w:type="dxa"/>
              <w:left w:w="180" w:type="dxa"/>
              <w:bottom w:w="180" w:type="dxa"/>
              <w:right w:w="180" w:type="dxa"/>
            </w:tcMar>
            <w:hideMark/>
          </w:tcPr>
          <w:p w14:paraId="015849BE" w14:textId="77777777" w:rsidR="007C4797" w:rsidRPr="007C4797" w:rsidRDefault="007C4797" w:rsidP="007C4797">
            <w:pPr>
              <w:jc w:val="both"/>
              <w:rPr>
                <w:rFonts w:ascii="Arial" w:hAnsi="Arial" w:cs="Arial"/>
              </w:rPr>
            </w:pPr>
            <w:r w:rsidRPr="007C4797">
              <w:rPr>
                <w:rFonts w:ascii="Arial" w:hAnsi="Arial" w:cs="Arial"/>
              </w:rPr>
              <w:t>50-200</w:t>
            </w:r>
          </w:p>
        </w:tc>
        <w:tc>
          <w:tcPr>
            <w:tcW w:w="732" w:type="pct"/>
            <w:tcMar>
              <w:top w:w="180" w:type="dxa"/>
              <w:left w:w="180" w:type="dxa"/>
              <w:bottom w:w="180" w:type="dxa"/>
              <w:right w:w="180" w:type="dxa"/>
            </w:tcMar>
            <w:hideMark/>
          </w:tcPr>
          <w:p w14:paraId="33119CAC" w14:textId="77777777" w:rsidR="007C4797" w:rsidRPr="007C4797" w:rsidRDefault="007C4797" w:rsidP="007C4797">
            <w:pPr>
              <w:jc w:val="both"/>
              <w:rPr>
                <w:rFonts w:ascii="Arial" w:hAnsi="Arial" w:cs="Arial"/>
              </w:rPr>
            </w:pPr>
            <w:r w:rsidRPr="007C4797">
              <w:rPr>
                <w:rFonts w:ascii="Arial" w:hAnsi="Arial" w:cs="Arial"/>
              </w:rPr>
              <w:t>Validamycin</w:t>
            </w:r>
          </w:p>
        </w:tc>
        <w:tc>
          <w:tcPr>
            <w:tcW w:w="543" w:type="pct"/>
            <w:tcMar>
              <w:top w:w="180" w:type="dxa"/>
              <w:left w:w="180" w:type="dxa"/>
              <w:bottom w:w="180" w:type="dxa"/>
              <w:right w:w="180" w:type="dxa"/>
            </w:tcMar>
            <w:hideMark/>
          </w:tcPr>
          <w:p w14:paraId="45B43120" w14:textId="77777777" w:rsidR="007C4797" w:rsidRPr="007C4797" w:rsidRDefault="007C4797" w:rsidP="007C4797">
            <w:pPr>
              <w:jc w:val="both"/>
              <w:rPr>
                <w:rFonts w:ascii="Arial" w:hAnsi="Arial" w:cs="Arial"/>
              </w:rPr>
            </w:pPr>
            <w:r w:rsidRPr="007C4797">
              <w:rPr>
                <w:rFonts w:ascii="Arial" w:hAnsi="Arial" w:cs="Arial"/>
              </w:rPr>
              <w:t>50-75</w:t>
            </w:r>
          </w:p>
        </w:tc>
        <w:tc>
          <w:tcPr>
            <w:tcW w:w="1021" w:type="pct"/>
            <w:tcMar>
              <w:top w:w="180" w:type="dxa"/>
              <w:left w:w="180" w:type="dxa"/>
              <w:bottom w:w="180" w:type="dxa"/>
              <w:right w:w="180" w:type="dxa"/>
            </w:tcMar>
            <w:hideMark/>
          </w:tcPr>
          <w:p w14:paraId="2CCD7846" w14:textId="77777777" w:rsidR="007C4797" w:rsidRPr="007C4797" w:rsidRDefault="007C4797" w:rsidP="007C4797">
            <w:pPr>
              <w:jc w:val="both"/>
              <w:rPr>
                <w:rFonts w:ascii="Arial" w:hAnsi="Arial" w:cs="Arial"/>
              </w:rPr>
            </w:pPr>
            <w:r w:rsidRPr="007C4797">
              <w:rPr>
                <w:rFonts w:ascii="Arial" w:hAnsi="Arial" w:cs="Arial"/>
              </w:rPr>
              <w:t>15-30 days (pH-triggered)</w:t>
            </w:r>
          </w:p>
        </w:tc>
        <w:tc>
          <w:tcPr>
            <w:tcW w:w="804" w:type="pct"/>
            <w:tcMar>
              <w:top w:w="180" w:type="dxa"/>
              <w:left w:w="180" w:type="dxa"/>
              <w:bottom w:w="180" w:type="dxa"/>
              <w:right w:w="180" w:type="dxa"/>
            </w:tcMar>
            <w:hideMark/>
          </w:tcPr>
          <w:p w14:paraId="618BD6EA" w14:textId="77777777" w:rsidR="007C4797" w:rsidRPr="007C4797" w:rsidRDefault="007C4797" w:rsidP="007C4797">
            <w:pPr>
              <w:jc w:val="both"/>
              <w:rPr>
                <w:rFonts w:ascii="Arial" w:hAnsi="Arial" w:cs="Arial"/>
              </w:rPr>
            </w:pPr>
            <w:r w:rsidRPr="007C4797">
              <w:rPr>
                <w:rFonts w:ascii="Arial" w:hAnsi="Arial" w:cs="Arial"/>
              </w:rPr>
              <w:t>70-90% at 40% dose</w:t>
            </w:r>
          </w:p>
        </w:tc>
        <w:tc>
          <w:tcPr>
            <w:tcW w:w="945" w:type="pct"/>
            <w:tcMar>
              <w:top w:w="180" w:type="dxa"/>
              <w:left w:w="180" w:type="dxa"/>
              <w:bottom w:w="180" w:type="dxa"/>
              <w:right w:w="180" w:type="dxa"/>
            </w:tcMar>
            <w:hideMark/>
          </w:tcPr>
          <w:p w14:paraId="4CC0C5C5" w14:textId="77777777" w:rsidR="007C4797" w:rsidRPr="007C4797" w:rsidRDefault="007C4797" w:rsidP="007C4797">
            <w:pPr>
              <w:jc w:val="both"/>
              <w:rPr>
                <w:rFonts w:ascii="Arial" w:hAnsi="Arial" w:cs="Arial"/>
              </w:rPr>
            </w:pPr>
            <w:r w:rsidRPr="007C4797">
              <w:rPr>
                <w:rFonts w:ascii="Arial" w:hAnsi="Arial" w:cs="Arial"/>
              </w:rPr>
              <w:t>Cao et al., 2016</w:t>
            </w:r>
          </w:p>
        </w:tc>
      </w:tr>
      <w:tr w:rsidR="007C4797" w:rsidRPr="007C4797" w14:paraId="413837FA" w14:textId="77777777" w:rsidTr="007C4797">
        <w:tc>
          <w:tcPr>
            <w:tcW w:w="504" w:type="pct"/>
            <w:tcMar>
              <w:top w:w="180" w:type="dxa"/>
              <w:left w:w="180" w:type="dxa"/>
              <w:bottom w:w="180" w:type="dxa"/>
              <w:right w:w="180" w:type="dxa"/>
            </w:tcMar>
            <w:hideMark/>
          </w:tcPr>
          <w:p w14:paraId="52D3FE0C" w14:textId="77777777" w:rsidR="007C4797" w:rsidRPr="007C4797" w:rsidRDefault="007C4797" w:rsidP="007C4797">
            <w:pPr>
              <w:jc w:val="both"/>
              <w:rPr>
                <w:rFonts w:ascii="Arial" w:hAnsi="Arial" w:cs="Arial"/>
              </w:rPr>
            </w:pPr>
            <w:r w:rsidRPr="007C4797">
              <w:rPr>
                <w:rFonts w:ascii="Arial" w:hAnsi="Arial" w:cs="Arial"/>
              </w:rPr>
              <w:t>LDH</w:t>
            </w:r>
          </w:p>
        </w:tc>
        <w:tc>
          <w:tcPr>
            <w:tcW w:w="451" w:type="pct"/>
            <w:tcMar>
              <w:top w:w="180" w:type="dxa"/>
              <w:left w:w="180" w:type="dxa"/>
              <w:bottom w:w="180" w:type="dxa"/>
              <w:right w:w="180" w:type="dxa"/>
            </w:tcMar>
            <w:hideMark/>
          </w:tcPr>
          <w:p w14:paraId="29C5FE1C" w14:textId="77777777" w:rsidR="007C4797" w:rsidRPr="007C4797" w:rsidRDefault="007C4797" w:rsidP="007C4797">
            <w:pPr>
              <w:jc w:val="both"/>
              <w:rPr>
                <w:rFonts w:ascii="Arial" w:hAnsi="Arial" w:cs="Arial"/>
              </w:rPr>
            </w:pPr>
            <w:r w:rsidRPr="007C4797">
              <w:rPr>
                <w:rFonts w:ascii="Arial" w:hAnsi="Arial" w:cs="Arial"/>
              </w:rPr>
              <w:t>50-150</w:t>
            </w:r>
          </w:p>
        </w:tc>
        <w:tc>
          <w:tcPr>
            <w:tcW w:w="732" w:type="pct"/>
            <w:tcMar>
              <w:top w:w="180" w:type="dxa"/>
              <w:left w:w="180" w:type="dxa"/>
              <w:bottom w:w="180" w:type="dxa"/>
              <w:right w:w="180" w:type="dxa"/>
            </w:tcMar>
            <w:hideMark/>
          </w:tcPr>
          <w:p w14:paraId="2BB2334B" w14:textId="77777777" w:rsidR="007C4797" w:rsidRPr="007C4797" w:rsidRDefault="007C4797" w:rsidP="007C4797">
            <w:pPr>
              <w:jc w:val="both"/>
              <w:rPr>
                <w:rFonts w:ascii="Arial" w:hAnsi="Arial" w:cs="Arial"/>
              </w:rPr>
            </w:pPr>
            <w:r w:rsidRPr="007C4797">
              <w:rPr>
                <w:rFonts w:ascii="Arial" w:hAnsi="Arial" w:cs="Arial"/>
              </w:rPr>
              <w:t>Tebuconazole</w:t>
            </w:r>
          </w:p>
        </w:tc>
        <w:tc>
          <w:tcPr>
            <w:tcW w:w="543" w:type="pct"/>
            <w:tcMar>
              <w:top w:w="180" w:type="dxa"/>
              <w:left w:w="180" w:type="dxa"/>
              <w:bottom w:w="180" w:type="dxa"/>
              <w:right w:w="180" w:type="dxa"/>
            </w:tcMar>
            <w:hideMark/>
          </w:tcPr>
          <w:p w14:paraId="6E6683C8" w14:textId="77777777" w:rsidR="007C4797" w:rsidRPr="007C4797" w:rsidRDefault="007C4797" w:rsidP="007C4797">
            <w:pPr>
              <w:jc w:val="both"/>
              <w:rPr>
                <w:rFonts w:ascii="Arial" w:hAnsi="Arial" w:cs="Arial"/>
              </w:rPr>
            </w:pPr>
            <w:r w:rsidRPr="007C4797">
              <w:rPr>
                <w:rFonts w:ascii="Arial" w:hAnsi="Arial" w:cs="Arial"/>
              </w:rPr>
              <w:t>50-80</w:t>
            </w:r>
          </w:p>
        </w:tc>
        <w:tc>
          <w:tcPr>
            <w:tcW w:w="1021" w:type="pct"/>
            <w:tcMar>
              <w:top w:w="180" w:type="dxa"/>
              <w:left w:w="180" w:type="dxa"/>
              <w:bottom w:w="180" w:type="dxa"/>
              <w:right w:w="180" w:type="dxa"/>
            </w:tcMar>
            <w:hideMark/>
          </w:tcPr>
          <w:p w14:paraId="6DDA910E" w14:textId="77777777" w:rsidR="007C4797" w:rsidRPr="007C4797" w:rsidRDefault="007C4797" w:rsidP="007C4797">
            <w:pPr>
              <w:jc w:val="both"/>
              <w:rPr>
                <w:rFonts w:ascii="Arial" w:hAnsi="Arial" w:cs="Arial"/>
              </w:rPr>
            </w:pPr>
            <w:r w:rsidRPr="007C4797">
              <w:rPr>
                <w:rFonts w:ascii="Arial" w:hAnsi="Arial" w:cs="Arial"/>
              </w:rPr>
              <w:t>20-40 days (pH-responsive)</w:t>
            </w:r>
          </w:p>
        </w:tc>
        <w:tc>
          <w:tcPr>
            <w:tcW w:w="804" w:type="pct"/>
            <w:tcMar>
              <w:top w:w="180" w:type="dxa"/>
              <w:left w:w="180" w:type="dxa"/>
              <w:bottom w:w="180" w:type="dxa"/>
              <w:right w:w="180" w:type="dxa"/>
            </w:tcMar>
            <w:hideMark/>
          </w:tcPr>
          <w:p w14:paraId="74FBBA99" w14:textId="77777777" w:rsidR="007C4797" w:rsidRPr="007C4797" w:rsidRDefault="007C4797" w:rsidP="007C4797">
            <w:pPr>
              <w:jc w:val="both"/>
              <w:rPr>
                <w:rFonts w:ascii="Arial" w:hAnsi="Arial" w:cs="Arial"/>
              </w:rPr>
            </w:pPr>
            <w:r w:rsidRPr="007C4797">
              <w:rPr>
                <w:rFonts w:ascii="Arial" w:hAnsi="Arial" w:cs="Arial"/>
              </w:rPr>
              <w:t>60-80% improved</w:t>
            </w:r>
          </w:p>
        </w:tc>
        <w:tc>
          <w:tcPr>
            <w:tcW w:w="945" w:type="pct"/>
            <w:tcMar>
              <w:top w:w="180" w:type="dxa"/>
              <w:left w:w="180" w:type="dxa"/>
              <w:bottom w:w="180" w:type="dxa"/>
              <w:right w:w="180" w:type="dxa"/>
            </w:tcMar>
            <w:hideMark/>
          </w:tcPr>
          <w:p w14:paraId="78326ACD" w14:textId="77777777" w:rsidR="007C4797" w:rsidRPr="007C4797" w:rsidRDefault="007C4797" w:rsidP="007C4797">
            <w:pPr>
              <w:jc w:val="both"/>
              <w:rPr>
                <w:rFonts w:ascii="Arial" w:hAnsi="Arial" w:cs="Arial"/>
              </w:rPr>
            </w:pPr>
            <w:r w:rsidRPr="007C4797">
              <w:rPr>
                <w:rFonts w:ascii="Arial" w:hAnsi="Arial" w:cs="Arial"/>
              </w:rPr>
              <w:t>Yan et al., 2021</w:t>
            </w:r>
          </w:p>
        </w:tc>
      </w:tr>
      <w:tr w:rsidR="007C4797" w:rsidRPr="007C4797" w14:paraId="09546952" w14:textId="77777777" w:rsidTr="007C4797">
        <w:tc>
          <w:tcPr>
            <w:tcW w:w="504" w:type="pct"/>
            <w:tcMar>
              <w:top w:w="180" w:type="dxa"/>
              <w:left w:w="180" w:type="dxa"/>
              <w:bottom w:w="180" w:type="dxa"/>
              <w:right w:w="180" w:type="dxa"/>
            </w:tcMar>
            <w:hideMark/>
          </w:tcPr>
          <w:p w14:paraId="24C85541" w14:textId="77777777" w:rsidR="007C4797" w:rsidRPr="007C4797" w:rsidRDefault="007C4797" w:rsidP="007C4797">
            <w:pPr>
              <w:jc w:val="both"/>
              <w:rPr>
                <w:rFonts w:ascii="Arial" w:hAnsi="Arial" w:cs="Arial"/>
              </w:rPr>
            </w:pPr>
            <w:proofErr w:type="spellStart"/>
            <w:r w:rsidRPr="007C4797">
              <w:rPr>
                <w:rFonts w:ascii="Arial" w:hAnsi="Arial" w:cs="Arial"/>
              </w:rPr>
              <w:t>Nanoemulsion</w:t>
            </w:r>
            <w:proofErr w:type="spellEnd"/>
          </w:p>
        </w:tc>
        <w:tc>
          <w:tcPr>
            <w:tcW w:w="451" w:type="pct"/>
            <w:tcMar>
              <w:top w:w="180" w:type="dxa"/>
              <w:left w:w="180" w:type="dxa"/>
              <w:bottom w:w="180" w:type="dxa"/>
              <w:right w:w="180" w:type="dxa"/>
            </w:tcMar>
            <w:hideMark/>
          </w:tcPr>
          <w:p w14:paraId="347B5384" w14:textId="77777777" w:rsidR="007C4797" w:rsidRPr="007C4797" w:rsidRDefault="007C4797" w:rsidP="007C4797">
            <w:pPr>
              <w:jc w:val="both"/>
              <w:rPr>
                <w:rFonts w:ascii="Arial" w:hAnsi="Arial" w:cs="Arial"/>
              </w:rPr>
            </w:pPr>
            <w:r w:rsidRPr="007C4797">
              <w:rPr>
                <w:rFonts w:ascii="Arial" w:hAnsi="Arial" w:cs="Arial"/>
              </w:rPr>
              <w:t>50-300</w:t>
            </w:r>
          </w:p>
        </w:tc>
        <w:tc>
          <w:tcPr>
            <w:tcW w:w="732" w:type="pct"/>
            <w:tcMar>
              <w:top w:w="180" w:type="dxa"/>
              <w:left w:w="180" w:type="dxa"/>
              <w:bottom w:w="180" w:type="dxa"/>
              <w:right w:w="180" w:type="dxa"/>
            </w:tcMar>
            <w:hideMark/>
          </w:tcPr>
          <w:p w14:paraId="7A3FAB91" w14:textId="77777777" w:rsidR="007C4797" w:rsidRPr="007C4797" w:rsidRDefault="007C4797" w:rsidP="007C4797">
            <w:pPr>
              <w:jc w:val="both"/>
              <w:rPr>
                <w:rFonts w:ascii="Arial" w:hAnsi="Arial" w:cs="Arial"/>
              </w:rPr>
            </w:pPr>
            <w:r w:rsidRPr="007C4797">
              <w:rPr>
                <w:rFonts w:ascii="Arial" w:hAnsi="Arial" w:cs="Arial"/>
              </w:rPr>
              <w:t>Azadirachtin</w:t>
            </w:r>
          </w:p>
        </w:tc>
        <w:tc>
          <w:tcPr>
            <w:tcW w:w="543" w:type="pct"/>
            <w:tcMar>
              <w:top w:w="180" w:type="dxa"/>
              <w:left w:w="180" w:type="dxa"/>
              <w:bottom w:w="180" w:type="dxa"/>
              <w:right w:w="180" w:type="dxa"/>
            </w:tcMar>
            <w:hideMark/>
          </w:tcPr>
          <w:p w14:paraId="77A5D7DA" w14:textId="77777777" w:rsidR="007C4797" w:rsidRPr="007C4797" w:rsidRDefault="007C4797" w:rsidP="007C4797">
            <w:pPr>
              <w:jc w:val="both"/>
              <w:rPr>
                <w:rFonts w:ascii="Arial" w:hAnsi="Arial" w:cs="Arial"/>
              </w:rPr>
            </w:pPr>
            <w:r w:rsidRPr="007C4797">
              <w:rPr>
                <w:rFonts w:ascii="Arial" w:hAnsi="Arial" w:cs="Arial"/>
              </w:rPr>
              <w:t>70-90</w:t>
            </w:r>
          </w:p>
        </w:tc>
        <w:tc>
          <w:tcPr>
            <w:tcW w:w="1021" w:type="pct"/>
            <w:tcMar>
              <w:top w:w="180" w:type="dxa"/>
              <w:left w:w="180" w:type="dxa"/>
              <w:bottom w:w="180" w:type="dxa"/>
              <w:right w:w="180" w:type="dxa"/>
            </w:tcMar>
            <w:hideMark/>
          </w:tcPr>
          <w:p w14:paraId="3056C1E7" w14:textId="77777777" w:rsidR="007C4797" w:rsidRPr="007C4797" w:rsidRDefault="007C4797" w:rsidP="007C4797">
            <w:pPr>
              <w:jc w:val="both"/>
              <w:rPr>
                <w:rFonts w:ascii="Arial" w:hAnsi="Arial" w:cs="Arial"/>
              </w:rPr>
            </w:pPr>
            <w:r w:rsidRPr="007C4797">
              <w:rPr>
                <w:rFonts w:ascii="Arial" w:hAnsi="Arial" w:cs="Arial"/>
              </w:rPr>
              <w:t>7-14 days</w:t>
            </w:r>
          </w:p>
        </w:tc>
        <w:tc>
          <w:tcPr>
            <w:tcW w:w="804" w:type="pct"/>
            <w:tcMar>
              <w:top w:w="180" w:type="dxa"/>
              <w:left w:w="180" w:type="dxa"/>
              <w:bottom w:w="180" w:type="dxa"/>
              <w:right w:w="180" w:type="dxa"/>
            </w:tcMar>
            <w:hideMark/>
          </w:tcPr>
          <w:p w14:paraId="0B599091" w14:textId="77777777" w:rsidR="007C4797" w:rsidRPr="007C4797" w:rsidRDefault="007C4797" w:rsidP="007C4797">
            <w:pPr>
              <w:jc w:val="both"/>
              <w:rPr>
                <w:rFonts w:ascii="Arial" w:hAnsi="Arial" w:cs="Arial"/>
              </w:rPr>
            </w:pPr>
            <w:r w:rsidRPr="007C4797">
              <w:rPr>
                <w:rFonts w:ascii="Arial" w:hAnsi="Arial" w:cs="Arial"/>
              </w:rPr>
              <w:t>50-65% at 60% dose</w:t>
            </w:r>
          </w:p>
        </w:tc>
        <w:tc>
          <w:tcPr>
            <w:tcW w:w="945" w:type="pct"/>
            <w:tcMar>
              <w:top w:w="180" w:type="dxa"/>
              <w:left w:w="180" w:type="dxa"/>
              <w:bottom w:w="180" w:type="dxa"/>
              <w:right w:w="180" w:type="dxa"/>
            </w:tcMar>
            <w:hideMark/>
          </w:tcPr>
          <w:p w14:paraId="060BAF65" w14:textId="77777777" w:rsidR="007C4797" w:rsidRPr="007C4797" w:rsidRDefault="007C4797" w:rsidP="007C4797">
            <w:pPr>
              <w:jc w:val="both"/>
              <w:rPr>
                <w:rFonts w:ascii="Arial" w:hAnsi="Arial" w:cs="Arial"/>
              </w:rPr>
            </w:pPr>
            <w:r w:rsidRPr="007C4797">
              <w:rPr>
                <w:rFonts w:ascii="Arial" w:hAnsi="Arial" w:cs="Arial"/>
              </w:rPr>
              <w:t>Anjali et al., 2012</w:t>
            </w:r>
          </w:p>
        </w:tc>
      </w:tr>
      <w:tr w:rsidR="007C4797" w:rsidRPr="007C4797" w14:paraId="7A8CDBEE" w14:textId="77777777" w:rsidTr="007C4797">
        <w:tc>
          <w:tcPr>
            <w:tcW w:w="504" w:type="pct"/>
            <w:tcMar>
              <w:top w:w="180" w:type="dxa"/>
              <w:left w:w="180" w:type="dxa"/>
              <w:bottom w:w="180" w:type="dxa"/>
              <w:right w:w="180" w:type="dxa"/>
            </w:tcMar>
            <w:hideMark/>
          </w:tcPr>
          <w:p w14:paraId="0659280A" w14:textId="77777777" w:rsidR="007C4797" w:rsidRPr="007C4797" w:rsidRDefault="007C4797" w:rsidP="007C4797">
            <w:pPr>
              <w:jc w:val="both"/>
              <w:rPr>
                <w:rFonts w:ascii="Arial" w:hAnsi="Arial" w:cs="Arial"/>
              </w:rPr>
            </w:pPr>
            <w:r w:rsidRPr="007C4797">
              <w:rPr>
                <w:rFonts w:ascii="Arial" w:hAnsi="Arial" w:cs="Arial"/>
              </w:rPr>
              <w:t>PCL</w:t>
            </w:r>
          </w:p>
        </w:tc>
        <w:tc>
          <w:tcPr>
            <w:tcW w:w="451" w:type="pct"/>
            <w:tcMar>
              <w:top w:w="180" w:type="dxa"/>
              <w:left w:w="180" w:type="dxa"/>
              <w:bottom w:w="180" w:type="dxa"/>
              <w:right w:w="180" w:type="dxa"/>
            </w:tcMar>
            <w:hideMark/>
          </w:tcPr>
          <w:p w14:paraId="2561B26B" w14:textId="77777777" w:rsidR="007C4797" w:rsidRPr="007C4797" w:rsidRDefault="007C4797" w:rsidP="007C4797">
            <w:pPr>
              <w:jc w:val="both"/>
              <w:rPr>
                <w:rFonts w:ascii="Arial" w:hAnsi="Arial" w:cs="Arial"/>
              </w:rPr>
            </w:pPr>
            <w:r w:rsidRPr="007C4797">
              <w:rPr>
                <w:rFonts w:ascii="Arial" w:hAnsi="Arial" w:cs="Arial"/>
              </w:rPr>
              <w:t>150-400</w:t>
            </w:r>
          </w:p>
        </w:tc>
        <w:tc>
          <w:tcPr>
            <w:tcW w:w="732" w:type="pct"/>
            <w:tcMar>
              <w:top w:w="180" w:type="dxa"/>
              <w:left w:w="180" w:type="dxa"/>
              <w:bottom w:w="180" w:type="dxa"/>
              <w:right w:w="180" w:type="dxa"/>
            </w:tcMar>
            <w:hideMark/>
          </w:tcPr>
          <w:p w14:paraId="300681D9" w14:textId="77777777" w:rsidR="007C4797" w:rsidRPr="007C4797" w:rsidRDefault="007C4797" w:rsidP="007C4797">
            <w:pPr>
              <w:jc w:val="both"/>
              <w:rPr>
                <w:rFonts w:ascii="Arial" w:hAnsi="Arial" w:cs="Arial"/>
              </w:rPr>
            </w:pPr>
            <w:r w:rsidRPr="007C4797">
              <w:rPr>
                <w:rFonts w:ascii="Arial" w:hAnsi="Arial" w:cs="Arial"/>
              </w:rPr>
              <w:t>Chlorantraniliprole</w:t>
            </w:r>
          </w:p>
        </w:tc>
        <w:tc>
          <w:tcPr>
            <w:tcW w:w="543" w:type="pct"/>
            <w:tcMar>
              <w:top w:w="180" w:type="dxa"/>
              <w:left w:w="180" w:type="dxa"/>
              <w:bottom w:w="180" w:type="dxa"/>
              <w:right w:w="180" w:type="dxa"/>
            </w:tcMar>
            <w:hideMark/>
          </w:tcPr>
          <w:p w14:paraId="04B0268C" w14:textId="77777777" w:rsidR="007C4797" w:rsidRPr="007C4797" w:rsidRDefault="007C4797" w:rsidP="007C4797">
            <w:pPr>
              <w:jc w:val="both"/>
              <w:rPr>
                <w:rFonts w:ascii="Arial" w:hAnsi="Arial" w:cs="Arial"/>
              </w:rPr>
            </w:pPr>
            <w:r w:rsidRPr="007C4797">
              <w:rPr>
                <w:rFonts w:ascii="Arial" w:hAnsi="Arial" w:cs="Arial"/>
              </w:rPr>
              <w:t>55-75</w:t>
            </w:r>
          </w:p>
        </w:tc>
        <w:tc>
          <w:tcPr>
            <w:tcW w:w="1021" w:type="pct"/>
            <w:tcMar>
              <w:top w:w="180" w:type="dxa"/>
              <w:left w:w="180" w:type="dxa"/>
              <w:bottom w:w="180" w:type="dxa"/>
              <w:right w:w="180" w:type="dxa"/>
            </w:tcMar>
            <w:hideMark/>
          </w:tcPr>
          <w:p w14:paraId="74C36BA0" w14:textId="77777777" w:rsidR="007C4797" w:rsidRPr="007C4797" w:rsidRDefault="007C4797" w:rsidP="007C4797">
            <w:pPr>
              <w:jc w:val="both"/>
              <w:rPr>
                <w:rFonts w:ascii="Arial" w:hAnsi="Arial" w:cs="Arial"/>
              </w:rPr>
            </w:pPr>
            <w:r w:rsidRPr="007C4797">
              <w:rPr>
                <w:rFonts w:ascii="Arial" w:hAnsi="Arial" w:cs="Arial"/>
              </w:rPr>
              <w:t>25-45 days</w:t>
            </w:r>
          </w:p>
        </w:tc>
        <w:tc>
          <w:tcPr>
            <w:tcW w:w="804" w:type="pct"/>
            <w:tcMar>
              <w:top w:w="180" w:type="dxa"/>
              <w:left w:w="180" w:type="dxa"/>
              <w:bottom w:w="180" w:type="dxa"/>
              <w:right w:w="180" w:type="dxa"/>
            </w:tcMar>
            <w:hideMark/>
          </w:tcPr>
          <w:p w14:paraId="0804BDC2" w14:textId="77777777" w:rsidR="007C4797" w:rsidRPr="007C4797" w:rsidRDefault="007C4797" w:rsidP="007C4797">
            <w:pPr>
              <w:jc w:val="both"/>
              <w:rPr>
                <w:rFonts w:ascii="Arial" w:hAnsi="Arial" w:cs="Arial"/>
              </w:rPr>
            </w:pPr>
            <w:r w:rsidRPr="007C4797">
              <w:rPr>
                <w:rFonts w:ascii="Arial" w:hAnsi="Arial" w:cs="Arial"/>
              </w:rPr>
              <w:t>65-85% at 50% dose</w:t>
            </w:r>
          </w:p>
        </w:tc>
        <w:tc>
          <w:tcPr>
            <w:tcW w:w="945" w:type="pct"/>
            <w:tcMar>
              <w:top w:w="180" w:type="dxa"/>
              <w:left w:w="180" w:type="dxa"/>
              <w:bottom w:w="180" w:type="dxa"/>
              <w:right w:w="180" w:type="dxa"/>
            </w:tcMar>
            <w:hideMark/>
          </w:tcPr>
          <w:p w14:paraId="38F06CDB" w14:textId="77777777" w:rsidR="007C4797" w:rsidRPr="007C4797" w:rsidRDefault="007C4797" w:rsidP="007C4797">
            <w:pPr>
              <w:jc w:val="both"/>
              <w:rPr>
                <w:rFonts w:ascii="Arial" w:hAnsi="Arial" w:cs="Arial"/>
              </w:rPr>
            </w:pPr>
            <w:r w:rsidRPr="007C4797">
              <w:rPr>
                <w:rFonts w:ascii="Arial" w:hAnsi="Arial" w:cs="Arial"/>
              </w:rPr>
              <w:t>Oliveira et al., 2015</w:t>
            </w:r>
          </w:p>
        </w:tc>
      </w:tr>
      <w:tr w:rsidR="007C4797" w:rsidRPr="007C4797" w14:paraId="1BEBC4A9" w14:textId="77777777" w:rsidTr="007C4797">
        <w:tc>
          <w:tcPr>
            <w:tcW w:w="504" w:type="pct"/>
            <w:tcMar>
              <w:top w:w="180" w:type="dxa"/>
              <w:left w:w="180" w:type="dxa"/>
              <w:bottom w:w="180" w:type="dxa"/>
              <w:right w:w="180" w:type="dxa"/>
            </w:tcMar>
            <w:hideMark/>
          </w:tcPr>
          <w:p w14:paraId="08DE3984" w14:textId="77777777" w:rsidR="007C4797" w:rsidRPr="007C4797" w:rsidRDefault="007C4797" w:rsidP="007C4797">
            <w:pPr>
              <w:jc w:val="both"/>
              <w:rPr>
                <w:rFonts w:ascii="Arial" w:hAnsi="Arial" w:cs="Arial"/>
              </w:rPr>
            </w:pPr>
            <w:r w:rsidRPr="007C4797">
              <w:rPr>
                <w:rFonts w:ascii="Arial" w:hAnsi="Arial" w:cs="Arial"/>
              </w:rPr>
              <w:t>Zein</w:t>
            </w:r>
          </w:p>
        </w:tc>
        <w:tc>
          <w:tcPr>
            <w:tcW w:w="451" w:type="pct"/>
            <w:tcMar>
              <w:top w:w="180" w:type="dxa"/>
              <w:left w:w="180" w:type="dxa"/>
              <w:bottom w:w="180" w:type="dxa"/>
              <w:right w:w="180" w:type="dxa"/>
            </w:tcMar>
            <w:hideMark/>
          </w:tcPr>
          <w:p w14:paraId="505140C3" w14:textId="77777777" w:rsidR="007C4797" w:rsidRPr="007C4797" w:rsidRDefault="007C4797" w:rsidP="007C4797">
            <w:pPr>
              <w:jc w:val="both"/>
              <w:rPr>
                <w:rFonts w:ascii="Arial" w:hAnsi="Arial" w:cs="Arial"/>
              </w:rPr>
            </w:pPr>
            <w:r w:rsidRPr="007C4797">
              <w:rPr>
                <w:rFonts w:ascii="Arial" w:hAnsi="Arial" w:cs="Arial"/>
              </w:rPr>
              <w:t>100-300</w:t>
            </w:r>
          </w:p>
        </w:tc>
        <w:tc>
          <w:tcPr>
            <w:tcW w:w="732" w:type="pct"/>
            <w:tcMar>
              <w:top w:w="180" w:type="dxa"/>
              <w:left w:w="180" w:type="dxa"/>
              <w:bottom w:w="180" w:type="dxa"/>
              <w:right w:w="180" w:type="dxa"/>
            </w:tcMar>
            <w:hideMark/>
          </w:tcPr>
          <w:p w14:paraId="582E6170" w14:textId="77777777" w:rsidR="007C4797" w:rsidRPr="007C4797" w:rsidRDefault="007C4797" w:rsidP="007C4797">
            <w:pPr>
              <w:jc w:val="both"/>
              <w:rPr>
                <w:rFonts w:ascii="Arial" w:hAnsi="Arial" w:cs="Arial"/>
              </w:rPr>
            </w:pPr>
            <w:r w:rsidRPr="007C4797">
              <w:rPr>
                <w:rFonts w:ascii="Arial" w:hAnsi="Arial" w:cs="Arial"/>
              </w:rPr>
              <w:t>Thiamethoxam</w:t>
            </w:r>
          </w:p>
        </w:tc>
        <w:tc>
          <w:tcPr>
            <w:tcW w:w="543" w:type="pct"/>
            <w:tcMar>
              <w:top w:w="180" w:type="dxa"/>
              <w:left w:w="180" w:type="dxa"/>
              <w:bottom w:w="180" w:type="dxa"/>
              <w:right w:w="180" w:type="dxa"/>
            </w:tcMar>
            <w:hideMark/>
          </w:tcPr>
          <w:p w14:paraId="065CF569" w14:textId="77777777" w:rsidR="007C4797" w:rsidRPr="007C4797" w:rsidRDefault="007C4797" w:rsidP="007C4797">
            <w:pPr>
              <w:jc w:val="both"/>
              <w:rPr>
                <w:rFonts w:ascii="Arial" w:hAnsi="Arial" w:cs="Arial"/>
              </w:rPr>
            </w:pPr>
            <w:r w:rsidRPr="007C4797">
              <w:rPr>
                <w:rFonts w:ascii="Arial" w:hAnsi="Arial" w:cs="Arial"/>
              </w:rPr>
              <w:t>45-65</w:t>
            </w:r>
          </w:p>
        </w:tc>
        <w:tc>
          <w:tcPr>
            <w:tcW w:w="1021" w:type="pct"/>
            <w:tcMar>
              <w:top w:w="180" w:type="dxa"/>
              <w:left w:w="180" w:type="dxa"/>
              <w:bottom w:w="180" w:type="dxa"/>
              <w:right w:w="180" w:type="dxa"/>
            </w:tcMar>
            <w:hideMark/>
          </w:tcPr>
          <w:p w14:paraId="373F69F4" w14:textId="77777777" w:rsidR="007C4797" w:rsidRPr="007C4797" w:rsidRDefault="007C4797" w:rsidP="007C4797">
            <w:pPr>
              <w:jc w:val="both"/>
              <w:rPr>
                <w:rFonts w:ascii="Arial" w:hAnsi="Arial" w:cs="Arial"/>
              </w:rPr>
            </w:pPr>
            <w:r w:rsidRPr="007C4797">
              <w:rPr>
                <w:rFonts w:ascii="Arial" w:hAnsi="Arial" w:cs="Arial"/>
              </w:rPr>
              <w:t>10-20 days</w:t>
            </w:r>
          </w:p>
        </w:tc>
        <w:tc>
          <w:tcPr>
            <w:tcW w:w="804" w:type="pct"/>
            <w:tcMar>
              <w:top w:w="180" w:type="dxa"/>
              <w:left w:w="180" w:type="dxa"/>
              <w:bottom w:w="180" w:type="dxa"/>
              <w:right w:w="180" w:type="dxa"/>
            </w:tcMar>
            <w:hideMark/>
          </w:tcPr>
          <w:p w14:paraId="16D080F2" w14:textId="77777777" w:rsidR="007C4797" w:rsidRPr="007C4797" w:rsidRDefault="007C4797" w:rsidP="007C4797">
            <w:pPr>
              <w:jc w:val="both"/>
              <w:rPr>
                <w:rFonts w:ascii="Arial" w:hAnsi="Arial" w:cs="Arial"/>
              </w:rPr>
            </w:pPr>
            <w:r w:rsidRPr="007C4797">
              <w:rPr>
                <w:rFonts w:ascii="Arial" w:hAnsi="Arial" w:cs="Arial"/>
              </w:rPr>
              <w:t>55-75% at 50% dose</w:t>
            </w:r>
          </w:p>
        </w:tc>
        <w:tc>
          <w:tcPr>
            <w:tcW w:w="945" w:type="pct"/>
            <w:tcMar>
              <w:top w:w="180" w:type="dxa"/>
              <w:left w:w="180" w:type="dxa"/>
              <w:bottom w:w="180" w:type="dxa"/>
              <w:right w:w="180" w:type="dxa"/>
            </w:tcMar>
            <w:hideMark/>
          </w:tcPr>
          <w:p w14:paraId="57EF8C72" w14:textId="77777777" w:rsidR="007C4797" w:rsidRPr="007C4797" w:rsidRDefault="007C4797" w:rsidP="007C4797">
            <w:pPr>
              <w:jc w:val="both"/>
              <w:rPr>
                <w:rFonts w:ascii="Arial" w:hAnsi="Arial" w:cs="Arial"/>
              </w:rPr>
            </w:pPr>
            <w:r w:rsidRPr="007C4797">
              <w:rPr>
                <w:rFonts w:ascii="Arial" w:hAnsi="Arial" w:cs="Arial"/>
              </w:rPr>
              <w:t>Porel et al., 2017</w:t>
            </w:r>
          </w:p>
        </w:tc>
      </w:tr>
    </w:tbl>
    <w:p w14:paraId="3EE459AB" w14:textId="77777777" w:rsidR="007C4797" w:rsidRPr="007C4797" w:rsidRDefault="007C4797" w:rsidP="007C4797">
      <w:pPr>
        <w:jc w:val="both"/>
        <w:rPr>
          <w:rFonts w:ascii="Arial" w:hAnsi="Arial" w:cs="Arial"/>
          <w:i/>
          <w:iCs/>
        </w:rPr>
      </w:pPr>
      <w:r w:rsidRPr="007C4797">
        <w:rPr>
          <w:rFonts w:ascii="Arial" w:hAnsi="Arial" w:cs="Arial"/>
          <w:b/>
          <w:bCs/>
          <w:i/>
          <w:iCs/>
        </w:rPr>
        <w:t>Notes:</w:t>
      </w:r>
      <w:r w:rsidRPr="007C4797">
        <w:rPr>
          <w:rFonts w:ascii="Arial" w:hAnsi="Arial" w:cs="Arial"/>
          <w:i/>
          <w:iCs/>
        </w:rPr>
        <w:t> SLN = Solid Lipid Nanoparticles; MSN = Mesoporous Silica Nanoparticles; LDH = Layered Double Hydroxides; PCL = Polycaprolactone. Efficacy compared to conventional formulations at equivalent or reduced dosage.</w:t>
      </w:r>
    </w:p>
    <w:p w14:paraId="65D45ACC" w14:textId="77777777" w:rsidR="007C4797" w:rsidRPr="0084071C" w:rsidRDefault="007C4797" w:rsidP="0084071C">
      <w:pPr>
        <w:jc w:val="both"/>
        <w:rPr>
          <w:rFonts w:ascii="Arial" w:hAnsi="Arial" w:cs="Arial"/>
        </w:rPr>
      </w:pPr>
    </w:p>
    <w:p w14:paraId="70DA5849" w14:textId="77777777" w:rsidR="00040DDD" w:rsidRPr="00187CC7" w:rsidRDefault="00040DDD" w:rsidP="0084071C">
      <w:pPr>
        <w:jc w:val="both"/>
        <w:rPr>
          <w:rFonts w:ascii="Arial" w:hAnsi="Arial" w:cs="Arial"/>
          <w:i/>
          <w:iCs/>
        </w:rPr>
      </w:pPr>
    </w:p>
    <w:p w14:paraId="435E9851" w14:textId="77777777" w:rsidR="007C4797" w:rsidRDefault="007C4797" w:rsidP="0084071C">
      <w:pPr>
        <w:jc w:val="both"/>
        <w:rPr>
          <w:rFonts w:ascii="Arial" w:hAnsi="Arial" w:cs="Arial"/>
          <w:b/>
          <w:bCs/>
          <w:sz w:val="22"/>
          <w:szCs w:val="22"/>
        </w:rPr>
      </w:pPr>
    </w:p>
    <w:p w14:paraId="4E4FCB31" w14:textId="77777777" w:rsidR="007C4797" w:rsidRDefault="007C4797" w:rsidP="0084071C">
      <w:pPr>
        <w:jc w:val="both"/>
        <w:rPr>
          <w:rFonts w:ascii="Arial" w:hAnsi="Arial" w:cs="Arial"/>
          <w:b/>
          <w:bCs/>
          <w:sz w:val="22"/>
          <w:szCs w:val="22"/>
        </w:rPr>
      </w:pPr>
    </w:p>
    <w:p w14:paraId="4AB3FBD8" w14:textId="77777777" w:rsidR="007C4797" w:rsidRDefault="007C4797" w:rsidP="0084071C">
      <w:pPr>
        <w:jc w:val="both"/>
        <w:rPr>
          <w:rFonts w:ascii="Arial" w:hAnsi="Arial" w:cs="Arial"/>
          <w:b/>
          <w:bCs/>
          <w:sz w:val="22"/>
          <w:szCs w:val="22"/>
        </w:rPr>
      </w:pPr>
    </w:p>
    <w:p w14:paraId="00241477" w14:textId="77777777" w:rsidR="007C4797" w:rsidRDefault="007C4797" w:rsidP="0084071C">
      <w:pPr>
        <w:jc w:val="both"/>
        <w:rPr>
          <w:rFonts w:ascii="Arial" w:hAnsi="Arial" w:cs="Arial"/>
          <w:b/>
          <w:bCs/>
          <w:sz w:val="22"/>
          <w:szCs w:val="22"/>
        </w:rPr>
      </w:pPr>
    </w:p>
    <w:p w14:paraId="2A58B87A" w14:textId="77777777" w:rsidR="007C4797" w:rsidRDefault="007C4797" w:rsidP="0084071C">
      <w:pPr>
        <w:jc w:val="both"/>
        <w:rPr>
          <w:rFonts w:ascii="Arial" w:hAnsi="Arial" w:cs="Arial"/>
          <w:b/>
          <w:bCs/>
          <w:sz w:val="22"/>
          <w:szCs w:val="22"/>
        </w:rPr>
      </w:pPr>
    </w:p>
    <w:p w14:paraId="1BB4D82E" w14:textId="77777777" w:rsidR="007C4797" w:rsidRDefault="007C4797" w:rsidP="0084071C">
      <w:pPr>
        <w:jc w:val="both"/>
        <w:rPr>
          <w:rFonts w:ascii="Arial" w:hAnsi="Arial" w:cs="Arial"/>
          <w:b/>
          <w:bCs/>
          <w:sz w:val="22"/>
          <w:szCs w:val="22"/>
        </w:rPr>
      </w:pPr>
    </w:p>
    <w:p w14:paraId="45B2291F" w14:textId="77777777" w:rsidR="007C4797" w:rsidRDefault="007C4797" w:rsidP="0084071C">
      <w:pPr>
        <w:jc w:val="both"/>
        <w:rPr>
          <w:rFonts w:ascii="Arial" w:hAnsi="Arial" w:cs="Arial"/>
          <w:b/>
          <w:bCs/>
          <w:sz w:val="22"/>
          <w:szCs w:val="22"/>
        </w:rPr>
      </w:pPr>
    </w:p>
    <w:p w14:paraId="3438F126" w14:textId="03D60CB5" w:rsidR="00C23390" w:rsidRDefault="0084071C" w:rsidP="0084071C">
      <w:pPr>
        <w:jc w:val="both"/>
        <w:rPr>
          <w:rFonts w:ascii="Arial" w:hAnsi="Arial" w:cs="Arial"/>
          <w:b/>
          <w:bCs/>
          <w:sz w:val="22"/>
          <w:szCs w:val="22"/>
        </w:rPr>
      </w:pPr>
      <w:r w:rsidRPr="0084071C">
        <w:rPr>
          <w:rFonts w:ascii="Arial" w:hAnsi="Arial" w:cs="Arial"/>
          <w:b/>
          <w:bCs/>
          <w:sz w:val="22"/>
          <w:szCs w:val="22"/>
        </w:rPr>
        <w:lastRenderedPageBreak/>
        <w:t xml:space="preserve">3. </w:t>
      </w:r>
      <w:r w:rsidR="00C23390" w:rsidRPr="00C23390">
        <w:rPr>
          <w:rFonts w:ascii="Arial" w:hAnsi="Arial" w:cs="Arial"/>
          <w:b/>
          <w:bCs/>
          <w:sz w:val="22"/>
          <w:szCs w:val="22"/>
        </w:rPr>
        <w:t>NANOPESTICIDES AND NANOFUNGICIDES IN RICE PROTECTION</w:t>
      </w:r>
    </w:p>
    <w:p w14:paraId="0ABFE5C9" w14:textId="2C248800" w:rsidR="0084071C" w:rsidRDefault="0084071C" w:rsidP="0084071C">
      <w:pPr>
        <w:jc w:val="both"/>
        <w:rPr>
          <w:rFonts w:ascii="Arial" w:hAnsi="Arial" w:cs="Arial"/>
          <w:b/>
          <w:bCs/>
          <w:sz w:val="22"/>
          <w:szCs w:val="22"/>
        </w:rPr>
      </w:pPr>
      <w:r w:rsidRPr="0084071C">
        <w:rPr>
          <w:rFonts w:ascii="Arial" w:hAnsi="Arial" w:cs="Arial"/>
          <w:b/>
          <w:bCs/>
          <w:sz w:val="22"/>
          <w:szCs w:val="22"/>
        </w:rPr>
        <w:t xml:space="preserve">3.1 </w:t>
      </w:r>
      <w:r w:rsidR="00C23390" w:rsidRPr="00C23390">
        <w:rPr>
          <w:rFonts w:ascii="Arial" w:hAnsi="Arial" w:cs="Arial"/>
          <w:b/>
          <w:bCs/>
          <w:sz w:val="22"/>
          <w:szCs w:val="22"/>
        </w:rPr>
        <w:t>Polymeric Nanocarriers for Controlled Release</w:t>
      </w:r>
    </w:p>
    <w:p w14:paraId="7DF63461" w14:textId="77777777" w:rsidR="0084071C" w:rsidRPr="0084071C" w:rsidRDefault="0084071C" w:rsidP="0084071C">
      <w:pPr>
        <w:jc w:val="both"/>
        <w:rPr>
          <w:rFonts w:ascii="Arial" w:hAnsi="Arial" w:cs="Arial"/>
          <w:b/>
          <w:bCs/>
          <w:sz w:val="22"/>
          <w:szCs w:val="22"/>
        </w:rPr>
      </w:pPr>
    </w:p>
    <w:p w14:paraId="3C82DAEC" w14:textId="77777777" w:rsidR="00C23390" w:rsidRPr="00C23390" w:rsidRDefault="00C23390" w:rsidP="00C23390">
      <w:pPr>
        <w:jc w:val="both"/>
        <w:rPr>
          <w:rFonts w:ascii="Arial" w:hAnsi="Arial" w:cs="Arial"/>
        </w:rPr>
      </w:pPr>
      <w:r w:rsidRPr="00C23390">
        <w:rPr>
          <w:rFonts w:ascii="Arial" w:hAnsi="Arial" w:cs="Arial"/>
        </w:rPr>
        <w:t xml:space="preserve">Polymeric nanoparticles fabricated from biodegradable polymers including </w:t>
      </w:r>
      <w:proofErr w:type="gramStart"/>
      <w:r w:rsidRPr="00C23390">
        <w:rPr>
          <w:rFonts w:ascii="Arial" w:hAnsi="Arial" w:cs="Arial"/>
        </w:rPr>
        <w:t>poly(</w:t>
      </w:r>
      <w:proofErr w:type="gramEnd"/>
      <w:r w:rsidRPr="00C23390">
        <w:rPr>
          <w:rFonts w:ascii="Arial" w:hAnsi="Arial" w:cs="Arial"/>
        </w:rPr>
        <w:t>lactic-co-glycolic acid) (PLGA), polycaprolactone (PCL), chitosan, and alginate enable encapsulation of conventional pesticides and fungicides, providing controlled release, enhanced stability, and reduced environmental toxicity (Grillo et al., 2016; Kah &amp; Hofmann, 2014).</w:t>
      </w:r>
    </w:p>
    <w:p w14:paraId="031562C2" w14:textId="77777777" w:rsidR="00C23390" w:rsidRPr="00C23390" w:rsidRDefault="00C23390" w:rsidP="00C23390">
      <w:pPr>
        <w:jc w:val="both"/>
        <w:rPr>
          <w:rFonts w:ascii="Arial" w:hAnsi="Arial" w:cs="Arial"/>
        </w:rPr>
      </w:pPr>
    </w:p>
    <w:p w14:paraId="667A69D7" w14:textId="4C652729" w:rsidR="00C23390" w:rsidRPr="00C23390" w:rsidRDefault="00C23390" w:rsidP="00C23390">
      <w:pPr>
        <w:jc w:val="both"/>
        <w:rPr>
          <w:rFonts w:ascii="Arial" w:hAnsi="Arial" w:cs="Arial"/>
        </w:rPr>
      </w:pPr>
      <w:r w:rsidRPr="00C23390">
        <w:rPr>
          <w:rFonts w:ascii="Arial" w:hAnsi="Arial" w:cs="Arial"/>
          <w:b/>
          <w:bCs/>
        </w:rPr>
        <w:t xml:space="preserve">PLGA-Based </w:t>
      </w:r>
      <w:proofErr w:type="spellStart"/>
      <w:r w:rsidRPr="00C23390">
        <w:rPr>
          <w:rFonts w:ascii="Arial" w:hAnsi="Arial" w:cs="Arial"/>
          <w:b/>
          <w:bCs/>
        </w:rPr>
        <w:t>Nanoformulations</w:t>
      </w:r>
      <w:proofErr w:type="spellEnd"/>
      <w:r w:rsidRPr="00C23390">
        <w:rPr>
          <w:rFonts w:ascii="Arial" w:hAnsi="Arial" w:cs="Arial"/>
          <w:b/>
          <w:bCs/>
        </w:rPr>
        <w:t>:</w:t>
      </w:r>
      <w:r w:rsidRPr="00C23390">
        <w:rPr>
          <w:rFonts w:ascii="Arial" w:hAnsi="Arial" w:cs="Arial"/>
        </w:rPr>
        <w:t xml:space="preserve"> PLGA nanoparticles (100–300 nm) encapsulating azoxystrobin (strobilurin fungicide) demonstrate sustained release over 15–30 days compared to immediate release from conventional formulations (Kumar et al., 2015). PLGA-azoxystrobin nanoparticles reduce </w:t>
      </w:r>
      <w:r w:rsidR="002B64F8" w:rsidRPr="002B64F8">
        <w:rPr>
          <w:rFonts w:ascii="Arial" w:hAnsi="Arial" w:cs="Arial"/>
          <w:i/>
          <w:iCs/>
        </w:rPr>
        <w:t xml:space="preserve">P. </w:t>
      </w:r>
      <w:r w:rsidR="007C4797" w:rsidRPr="002B64F8">
        <w:rPr>
          <w:rFonts w:ascii="Arial" w:hAnsi="Arial" w:cs="Arial"/>
          <w:i/>
          <w:iCs/>
        </w:rPr>
        <w:t xml:space="preserve">oryzae </w:t>
      </w:r>
      <w:r w:rsidR="007C4797" w:rsidRPr="00C23390">
        <w:rPr>
          <w:rFonts w:ascii="Arial" w:hAnsi="Arial" w:cs="Arial"/>
        </w:rPr>
        <w:t>infection</w:t>
      </w:r>
      <w:r w:rsidRPr="00C23390">
        <w:rPr>
          <w:rFonts w:ascii="Arial" w:hAnsi="Arial" w:cs="Arial"/>
        </w:rPr>
        <w:t xml:space="preserve"> by 70–85% at 50% lower active ingredient dosage compared to commercial formulations (Grillo et al., 2012). Controlled release maintains fungicide concentrations above minimum effective levels for extended periods, reducing application frequency from 6–8 to 2–3 per season (Pereira et al., 2014). PLGA biodegrades via hydrolysis into lactic and glycolic acids—natural metabolites—eliminating polymer residue concerns (</w:t>
      </w:r>
      <w:proofErr w:type="spellStart"/>
      <w:r w:rsidRPr="00C23390">
        <w:rPr>
          <w:rFonts w:ascii="Arial" w:hAnsi="Arial" w:cs="Arial"/>
        </w:rPr>
        <w:t>Danhier</w:t>
      </w:r>
      <w:proofErr w:type="spellEnd"/>
      <w:r w:rsidRPr="00C23390">
        <w:rPr>
          <w:rFonts w:ascii="Arial" w:hAnsi="Arial" w:cs="Arial"/>
        </w:rPr>
        <w:t xml:space="preserve"> et al., 2012).</w:t>
      </w:r>
    </w:p>
    <w:p w14:paraId="013B543F" w14:textId="77777777" w:rsidR="00C23390" w:rsidRPr="00C23390" w:rsidRDefault="00C23390" w:rsidP="00C23390">
      <w:pPr>
        <w:jc w:val="both"/>
        <w:rPr>
          <w:rFonts w:ascii="Arial" w:hAnsi="Arial" w:cs="Arial"/>
        </w:rPr>
      </w:pPr>
    </w:p>
    <w:p w14:paraId="5C1BB805" w14:textId="3809EF4D" w:rsidR="00C23390" w:rsidRPr="00C23390" w:rsidRDefault="00C23390" w:rsidP="00C23390">
      <w:pPr>
        <w:jc w:val="both"/>
        <w:rPr>
          <w:rFonts w:ascii="Arial" w:hAnsi="Arial" w:cs="Arial"/>
        </w:rPr>
      </w:pPr>
      <w:r w:rsidRPr="00C23390">
        <w:rPr>
          <w:rFonts w:ascii="Arial" w:hAnsi="Arial" w:cs="Arial"/>
          <w:b/>
          <w:bCs/>
        </w:rPr>
        <w:t xml:space="preserve">Chitosan-Based </w:t>
      </w:r>
      <w:proofErr w:type="spellStart"/>
      <w:r w:rsidRPr="00C23390">
        <w:rPr>
          <w:rFonts w:ascii="Arial" w:hAnsi="Arial" w:cs="Arial"/>
          <w:b/>
          <w:bCs/>
        </w:rPr>
        <w:t>Nanoformulations</w:t>
      </w:r>
      <w:proofErr w:type="spellEnd"/>
      <w:r w:rsidRPr="00C23390">
        <w:rPr>
          <w:rFonts w:ascii="Arial" w:hAnsi="Arial" w:cs="Arial"/>
          <w:b/>
          <w:bCs/>
        </w:rPr>
        <w:t>:</w:t>
      </w:r>
      <w:r w:rsidRPr="00C23390">
        <w:rPr>
          <w:rFonts w:ascii="Arial" w:hAnsi="Arial" w:cs="Arial"/>
        </w:rPr>
        <w:t xml:space="preserve"> Chitosan nanoparticles (50–200 nm) exhibit intrinsic antimicrobial activity while serving as carriers for fungicides and insecticides (Saharan et al., 2015). Chitosan-triazole fungicide nanoparticles show 2–3-fold higher antifungal efficacy against </w:t>
      </w:r>
      <w:r w:rsidR="002B64F8" w:rsidRPr="002B64F8">
        <w:rPr>
          <w:rFonts w:ascii="Arial" w:hAnsi="Arial" w:cs="Arial"/>
          <w:i/>
          <w:iCs/>
        </w:rPr>
        <w:t xml:space="preserve">R. </w:t>
      </w:r>
      <w:proofErr w:type="spellStart"/>
      <w:r w:rsidR="002B64F8" w:rsidRPr="002B64F8">
        <w:rPr>
          <w:rFonts w:ascii="Arial" w:hAnsi="Arial" w:cs="Arial"/>
          <w:i/>
          <w:iCs/>
        </w:rPr>
        <w:t>solani</w:t>
      </w:r>
      <w:proofErr w:type="spellEnd"/>
      <w:r w:rsidRPr="00C23390">
        <w:rPr>
          <w:rFonts w:ascii="Arial" w:hAnsi="Arial" w:cs="Arial"/>
        </w:rPr>
        <w:t xml:space="preserve"> compared to free fungicide, attributed to enhanced cellular uptake facilitated by chitosan's positive surface charge (</w:t>
      </w:r>
      <w:proofErr w:type="spellStart"/>
      <w:r w:rsidRPr="00C23390">
        <w:rPr>
          <w:rFonts w:ascii="Arial" w:hAnsi="Arial" w:cs="Arial"/>
        </w:rPr>
        <w:t>Kheiri</w:t>
      </w:r>
      <w:proofErr w:type="spellEnd"/>
      <w:r w:rsidRPr="00C23390">
        <w:rPr>
          <w:rFonts w:ascii="Arial" w:hAnsi="Arial" w:cs="Arial"/>
        </w:rPr>
        <w:t xml:space="preserve"> et al., 2016). Chitosan-imidacloprid nanoparticles provide controlled insecticide release over 20–35 days, reducing brown planthopper populations by 75–90% with 60% lower active ingredient compared to conventional sprays (Kumar et al., 2017). Chitosan's biodegradability, low toxicity, and plant immunity-enhancing properties make it an ideal nanocarrier for sustainable pest management (Malerba &amp; Cerana, 2016).</w:t>
      </w:r>
    </w:p>
    <w:p w14:paraId="2E6F8E6E" w14:textId="77777777" w:rsidR="00C23390" w:rsidRPr="00C23390" w:rsidRDefault="00C23390" w:rsidP="00C23390">
      <w:pPr>
        <w:jc w:val="both"/>
        <w:rPr>
          <w:rFonts w:ascii="Arial" w:hAnsi="Arial" w:cs="Arial"/>
        </w:rPr>
      </w:pPr>
    </w:p>
    <w:p w14:paraId="5AF09E16" w14:textId="08B7E582" w:rsidR="00141945" w:rsidRDefault="00C23390" w:rsidP="00C23390">
      <w:pPr>
        <w:jc w:val="both"/>
        <w:rPr>
          <w:rFonts w:ascii="Arial" w:hAnsi="Arial" w:cs="Arial"/>
        </w:rPr>
      </w:pPr>
      <w:r w:rsidRPr="00C23390">
        <w:rPr>
          <w:rFonts w:ascii="Arial" w:hAnsi="Arial" w:cs="Arial"/>
          <w:b/>
          <w:bCs/>
        </w:rPr>
        <w:t xml:space="preserve">Alginate-Based </w:t>
      </w:r>
      <w:proofErr w:type="spellStart"/>
      <w:r w:rsidRPr="00C23390">
        <w:rPr>
          <w:rFonts w:ascii="Arial" w:hAnsi="Arial" w:cs="Arial"/>
          <w:b/>
          <w:bCs/>
        </w:rPr>
        <w:t>Nanoformulations</w:t>
      </w:r>
      <w:proofErr w:type="spellEnd"/>
      <w:r w:rsidRPr="00C23390">
        <w:rPr>
          <w:rFonts w:ascii="Arial" w:hAnsi="Arial" w:cs="Arial"/>
          <w:b/>
          <w:bCs/>
        </w:rPr>
        <w:t>:</w:t>
      </w:r>
      <w:r w:rsidRPr="00C23390">
        <w:rPr>
          <w:rFonts w:ascii="Arial" w:hAnsi="Arial" w:cs="Arial"/>
        </w:rPr>
        <w:t xml:space="preserve"> Alginate nanoparticles (80–250 nm) encapsulating chlorpyrifos or cypermethrin demonstrate pH-responsive release, with accelerated release at alkaline pH (7.5–8.5) characteristic of insect gut environments (Ramachandran et al., 2019). Alginate-pesticide nanoparticles reduce stem borer damage by 65–80% at 40–50% lower insecticide dosage, with residual efficacy extending 25–40 days post-application (Grillo et al., 2014). Alginate's anionic nature facilitates electrostatic complexation with cationic pesticides, enhancing loading efficiency (40–70%) and release kinetics (Lao et al., 2010).</w:t>
      </w:r>
    </w:p>
    <w:p w14:paraId="372B4B04" w14:textId="77777777" w:rsidR="00C23390" w:rsidRPr="0084071C" w:rsidRDefault="00C23390" w:rsidP="00C23390">
      <w:pPr>
        <w:jc w:val="both"/>
        <w:rPr>
          <w:rFonts w:ascii="Arial" w:hAnsi="Arial" w:cs="Arial"/>
        </w:rPr>
      </w:pPr>
    </w:p>
    <w:p w14:paraId="4A52DA22" w14:textId="77777777" w:rsidR="00671E5E" w:rsidRDefault="00671E5E" w:rsidP="0084071C">
      <w:pPr>
        <w:jc w:val="both"/>
        <w:rPr>
          <w:rFonts w:ascii="Arial" w:hAnsi="Arial" w:cs="Arial"/>
          <w:b/>
          <w:bCs/>
          <w:sz w:val="22"/>
          <w:szCs w:val="22"/>
        </w:rPr>
      </w:pPr>
    </w:p>
    <w:p w14:paraId="531ADD3B" w14:textId="1AA5163D" w:rsidR="00671E5E" w:rsidRDefault="0084071C" w:rsidP="0084071C">
      <w:pPr>
        <w:jc w:val="both"/>
        <w:rPr>
          <w:rFonts w:ascii="Arial" w:hAnsi="Arial" w:cs="Arial"/>
          <w:b/>
          <w:bCs/>
          <w:sz w:val="22"/>
          <w:szCs w:val="22"/>
        </w:rPr>
      </w:pPr>
      <w:r w:rsidRPr="0084071C">
        <w:rPr>
          <w:rFonts w:ascii="Arial" w:hAnsi="Arial" w:cs="Arial"/>
          <w:b/>
          <w:bCs/>
          <w:sz w:val="22"/>
          <w:szCs w:val="22"/>
        </w:rPr>
        <w:t xml:space="preserve">3.2 </w:t>
      </w:r>
      <w:r w:rsidR="00671E5E" w:rsidRPr="00671E5E">
        <w:rPr>
          <w:rFonts w:ascii="Arial" w:hAnsi="Arial" w:cs="Arial"/>
          <w:b/>
          <w:bCs/>
          <w:sz w:val="22"/>
          <w:szCs w:val="22"/>
        </w:rPr>
        <w:t>Lipid-Based Nanocarriers</w:t>
      </w:r>
    </w:p>
    <w:p w14:paraId="21656DC7" w14:textId="77777777" w:rsidR="00671E5E" w:rsidRDefault="00671E5E" w:rsidP="0084071C">
      <w:pPr>
        <w:jc w:val="both"/>
        <w:rPr>
          <w:rFonts w:ascii="Arial" w:hAnsi="Arial" w:cs="Arial"/>
          <w:b/>
          <w:bCs/>
          <w:sz w:val="22"/>
          <w:szCs w:val="22"/>
        </w:rPr>
      </w:pPr>
    </w:p>
    <w:p w14:paraId="05B04A34" w14:textId="77777777" w:rsidR="00671E5E" w:rsidRPr="00671E5E" w:rsidRDefault="00671E5E" w:rsidP="00671E5E">
      <w:pPr>
        <w:jc w:val="both"/>
        <w:rPr>
          <w:rFonts w:ascii="Arial" w:hAnsi="Arial" w:cs="Arial"/>
        </w:rPr>
      </w:pPr>
      <w:r w:rsidRPr="00671E5E">
        <w:rPr>
          <w:rFonts w:ascii="Arial" w:hAnsi="Arial" w:cs="Arial"/>
        </w:rPr>
        <w:t xml:space="preserve">Lipid nanoparticles including solid lipid nanoparticles (SLNs), nanostructured lipid carriers (NLCs), and </w:t>
      </w:r>
      <w:proofErr w:type="spellStart"/>
      <w:r w:rsidRPr="00671E5E">
        <w:rPr>
          <w:rFonts w:ascii="Arial" w:hAnsi="Arial" w:cs="Arial"/>
        </w:rPr>
        <w:t>nanoemulsions</w:t>
      </w:r>
      <w:proofErr w:type="spellEnd"/>
      <w:r w:rsidRPr="00671E5E">
        <w:rPr>
          <w:rFonts w:ascii="Arial" w:hAnsi="Arial" w:cs="Arial"/>
        </w:rPr>
        <w:t xml:space="preserve"> provide alternative platforms for hydrophobic pesticide delivery (Wissing et al., 2004; Müller et al., 2011).</w:t>
      </w:r>
    </w:p>
    <w:p w14:paraId="571B5D25" w14:textId="77777777" w:rsidR="00671E5E" w:rsidRPr="00671E5E" w:rsidRDefault="00671E5E" w:rsidP="00671E5E">
      <w:pPr>
        <w:jc w:val="both"/>
        <w:rPr>
          <w:rFonts w:ascii="Arial" w:hAnsi="Arial" w:cs="Arial"/>
          <w:b/>
          <w:bCs/>
        </w:rPr>
      </w:pPr>
    </w:p>
    <w:p w14:paraId="4FD12D61" w14:textId="0647A3CC" w:rsidR="00671E5E" w:rsidRPr="00671E5E" w:rsidRDefault="00671E5E" w:rsidP="00671E5E">
      <w:pPr>
        <w:jc w:val="both"/>
        <w:rPr>
          <w:rFonts w:ascii="Arial" w:hAnsi="Arial" w:cs="Arial"/>
        </w:rPr>
      </w:pPr>
      <w:r w:rsidRPr="00671E5E">
        <w:rPr>
          <w:rFonts w:ascii="Arial" w:hAnsi="Arial" w:cs="Arial"/>
          <w:b/>
          <w:bCs/>
        </w:rPr>
        <w:t>Solid Lipid Nanoparticles:</w:t>
      </w:r>
      <w:r w:rsidRPr="00671E5E">
        <w:rPr>
          <w:rFonts w:ascii="Arial" w:hAnsi="Arial" w:cs="Arial"/>
        </w:rPr>
        <w:t xml:space="preserve"> SLNs (50–200 nm) composed of biocompatible lipids (stearic acid, glyceryl monostearate) encapsulate lipophilic fungicides including tebuconazole and propiconazole, enhancing foliar adhesion and </w:t>
      </w:r>
      <w:proofErr w:type="spellStart"/>
      <w:r w:rsidRPr="00671E5E">
        <w:rPr>
          <w:rFonts w:ascii="Arial" w:hAnsi="Arial" w:cs="Arial"/>
        </w:rPr>
        <w:t>rainfastness</w:t>
      </w:r>
      <w:proofErr w:type="spellEnd"/>
      <w:r w:rsidRPr="00671E5E">
        <w:rPr>
          <w:rFonts w:ascii="Arial" w:hAnsi="Arial" w:cs="Arial"/>
        </w:rPr>
        <w:t xml:space="preserve"> (Lai et al., 2006). SLN-tebuconazole formulations demonstrate 80–120 hour sustained release compared to 6–</w:t>
      </w:r>
      <w:r w:rsidR="00FC78C6" w:rsidRPr="00671E5E">
        <w:rPr>
          <w:rFonts w:ascii="Arial" w:hAnsi="Arial" w:cs="Arial"/>
        </w:rPr>
        <w:t>12-hour</w:t>
      </w:r>
      <w:r w:rsidRPr="00671E5E">
        <w:rPr>
          <w:rFonts w:ascii="Arial" w:hAnsi="Arial" w:cs="Arial"/>
        </w:rPr>
        <w:t xml:space="preserve"> release from conventional emulsions, improving efficacy against </w:t>
      </w:r>
      <w:r w:rsidR="002B64F8" w:rsidRPr="002B64F8">
        <w:rPr>
          <w:rFonts w:ascii="Arial" w:hAnsi="Arial" w:cs="Arial"/>
          <w:i/>
          <w:iCs/>
        </w:rPr>
        <w:t xml:space="preserve">P. </w:t>
      </w:r>
      <w:r w:rsidR="00FC78C6" w:rsidRPr="002B64F8">
        <w:rPr>
          <w:rFonts w:ascii="Arial" w:hAnsi="Arial" w:cs="Arial"/>
          <w:i/>
          <w:iCs/>
        </w:rPr>
        <w:t xml:space="preserve">oryzae </w:t>
      </w:r>
      <w:r w:rsidR="00FC78C6" w:rsidRPr="00671E5E">
        <w:rPr>
          <w:rFonts w:ascii="Arial" w:hAnsi="Arial" w:cs="Arial"/>
        </w:rPr>
        <w:t>by</w:t>
      </w:r>
      <w:r w:rsidRPr="00671E5E">
        <w:rPr>
          <w:rFonts w:ascii="Arial" w:hAnsi="Arial" w:cs="Arial"/>
        </w:rPr>
        <w:t xml:space="preserve"> 40–60% (Bhagat et al., 2016). Enhanced stability against photodegradation (60–80% active ingredient retention after 48 hours UV exposure vs. 20–30% for conventional formulations) reduces application frequency and environmental loading (Campos et al., 2018).</w:t>
      </w:r>
    </w:p>
    <w:p w14:paraId="26C6D362" w14:textId="77777777" w:rsidR="00671E5E" w:rsidRPr="00671E5E" w:rsidRDefault="00671E5E" w:rsidP="00671E5E">
      <w:pPr>
        <w:jc w:val="both"/>
        <w:rPr>
          <w:rFonts w:ascii="Arial" w:hAnsi="Arial" w:cs="Arial"/>
        </w:rPr>
      </w:pPr>
    </w:p>
    <w:p w14:paraId="19DCF16E" w14:textId="34A814B8" w:rsidR="00863CA1" w:rsidRDefault="00671E5E" w:rsidP="00671E5E">
      <w:pPr>
        <w:jc w:val="both"/>
        <w:rPr>
          <w:rFonts w:ascii="Arial" w:hAnsi="Arial" w:cs="Arial"/>
        </w:rPr>
      </w:pPr>
      <w:proofErr w:type="spellStart"/>
      <w:r w:rsidRPr="00671E5E">
        <w:rPr>
          <w:rFonts w:ascii="Arial" w:hAnsi="Arial" w:cs="Arial"/>
          <w:b/>
          <w:bCs/>
        </w:rPr>
        <w:t>Nanoemulsions</w:t>
      </w:r>
      <w:proofErr w:type="spellEnd"/>
      <w:r w:rsidRPr="00671E5E">
        <w:rPr>
          <w:rFonts w:ascii="Arial" w:hAnsi="Arial" w:cs="Arial"/>
          <w:b/>
          <w:bCs/>
        </w:rPr>
        <w:t>:</w:t>
      </w:r>
      <w:r w:rsidRPr="00671E5E">
        <w:rPr>
          <w:rFonts w:ascii="Arial" w:hAnsi="Arial" w:cs="Arial"/>
        </w:rPr>
        <w:t xml:space="preserve"> Oil-in-water </w:t>
      </w:r>
      <w:proofErr w:type="spellStart"/>
      <w:r w:rsidRPr="00671E5E">
        <w:rPr>
          <w:rFonts w:ascii="Arial" w:hAnsi="Arial" w:cs="Arial"/>
        </w:rPr>
        <w:t>nanoemulsions</w:t>
      </w:r>
      <w:proofErr w:type="spellEnd"/>
      <w:r w:rsidRPr="00671E5E">
        <w:rPr>
          <w:rFonts w:ascii="Arial" w:hAnsi="Arial" w:cs="Arial"/>
        </w:rPr>
        <w:t xml:space="preserve"> (20–200 nm) of pyrethroid insecticides exhibit enhanced spreading, wetting, and penetration on leaf surfaces, improving contact efficacy against rice leaf folder and stem borers (Anjali et al., 2010). </w:t>
      </w:r>
      <w:proofErr w:type="spellStart"/>
      <w:r w:rsidRPr="00671E5E">
        <w:rPr>
          <w:rFonts w:ascii="Arial" w:hAnsi="Arial" w:cs="Arial"/>
        </w:rPr>
        <w:t>Nanoemulsion</w:t>
      </w:r>
      <w:proofErr w:type="spellEnd"/>
      <w:r w:rsidRPr="00671E5E">
        <w:rPr>
          <w:rFonts w:ascii="Arial" w:hAnsi="Arial" w:cs="Arial"/>
        </w:rPr>
        <w:t xml:space="preserve"> formulations of λ-cyhalothrin reduce insecticide requirement by 50–70% while achieving equivalent or superior pest control compared to conventional emulsifiable concentrates (Anjali et al., 2012). </w:t>
      </w:r>
      <w:proofErr w:type="spellStart"/>
      <w:r w:rsidRPr="00671E5E">
        <w:rPr>
          <w:rFonts w:ascii="Arial" w:hAnsi="Arial" w:cs="Arial"/>
        </w:rPr>
        <w:t>Nanoemulsion</w:t>
      </w:r>
      <w:proofErr w:type="spellEnd"/>
      <w:r w:rsidRPr="00671E5E">
        <w:rPr>
          <w:rFonts w:ascii="Arial" w:hAnsi="Arial" w:cs="Arial"/>
        </w:rPr>
        <w:t xml:space="preserve"> droplets penetrate through stomata and cuticle, enabling systemic translocation and prolonged residual activity (Chaudhari et al., 2021).</w:t>
      </w:r>
    </w:p>
    <w:p w14:paraId="44B5724B" w14:textId="77777777" w:rsidR="00671E5E" w:rsidRDefault="00671E5E" w:rsidP="00671E5E">
      <w:pPr>
        <w:jc w:val="both"/>
        <w:rPr>
          <w:rFonts w:ascii="Arial" w:hAnsi="Arial" w:cs="Arial"/>
          <w:b/>
          <w:bCs/>
          <w:sz w:val="22"/>
          <w:szCs w:val="22"/>
        </w:rPr>
      </w:pPr>
    </w:p>
    <w:p w14:paraId="4E6478F4" w14:textId="7C88EFE3" w:rsidR="0084071C" w:rsidRPr="0084071C" w:rsidRDefault="0084071C" w:rsidP="0084071C">
      <w:pPr>
        <w:jc w:val="both"/>
        <w:rPr>
          <w:rFonts w:ascii="Arial" w:hAnsi="Arial" w:cs="Arial"/>
          <w:b/>
          <w:bCs/>
          <w:sz w:val="22"/>
          <w:szCs w:val="22"/>
        </w:rPr>
      </w:pPr>
      <w:r w:rsidRPr="0084071C">
        <w:rPr>
          <w:rFonts w:ascii="Arial" w:hAnsi="Arial" w:cs="Arial"/>
          <w:b/>
          <w:bCs/>
          <w:sz w:val="22"/>
          <w:szCs w:val="22"/>
        </w:rPr>
        <w:t xml:space="preserve">3.3 </w:t>
      </w:r>
      <w:r w:rsidR="00671E5E" w:rsidRPr="00671E5E">
        <w:rPr>
          <w:rFonts w:ascii="Arial" w:hAnsi="Arial" w:cs="Arial"/>
          <w:b/>
          <w:bCs/>
          <w:sz w:val="22"/>
          <w:szCs w:val="22"/>
        </w:rPr>
        <w:t>Mesoporous Silica Nanoparticles for Stimuli-Responsive Delivery</w:t>
      </w:r>
    </w:p>
    <w:p w14:paraId="6E47709A" w14:textId="77777777" w:rsidR="00671E5E" w:rsidRPr="00671E5E" w:rsidRDefault="00671E5E" w:rsidP="00671E5E">
      <w:pPr>
        <w:jc w:val="both"/>
        <w:rPr>
          <w:rFonts w:ascii="Arial" w:hAnsi="Arial" w:cs="Arial"/>
        </w:rPr>
      </w:pPr>
      <w:r w:rsidRPr="00671E5E">
        <w:rPr>
          <w:rFonts w:ascii="Arial" w:hAnsi="Arial" w:cs="Arial"/>
        </w:rPr>
        <w:t>Mesoporous silica nanoparticles (MSNs) possess highly ordered pore structures (2–10 nm pore diameter), large surface areas (600–1200 m²/g), and tunable surface chemistry, enabling high pesticide loading (20–60% w/w) and stimuli-responsive release (Slowing et al., 2008; Bharti et al., 2015).</w:t>
      </w:r>
    </w:p>
    <w:p w14:paraId="45B7A61A" w14:textId="77777777" w:rsidR="00671E5E" w:rsidRPr="00671E5E" w:rsidRDefault="00671E5E" w:rsidP="00671E5E">
      <w:pPr>
        <w:jc w:val="both"/>
        <w:rPr>
          <w:rFonts w:ascii="Arial" w:hAnsi="Arial" w:cs="Arial"/>
        </w:rPr>
      </w:pPr>
    </w:p>
    <w:p w14:paraId="316C0B7D" w14:textId="506DDB84" w:rsidR="00671E5E" w:rsidRPr="00671E5E" w:rsidRDefault="00671E5E" w:rsidP="00671E5E">
      <w:pPr>
        <w:jc w:val="both"/>
        <w:rPr>
          <w:rFonts w:ascii="Arial" w:hAnsi="Arial" w:cs="Arial"/>
        </w:rPr>
      </w:pPr>
      <w:r w:rsidRPr="00671E5E">
        <w:rPr>
          <w:rFonts w:ascii="Arial" w:hAnsi="Arial" w:cs="Arial"/>
          <w:b/>
          <w:bCs/>
        </w:rPr>
        <w:t>pH-Responsive Systems:</w:t>
      </w:r>
      <w:r w:rsidRPr="00671E5E">
        <w:rPr>
          <w:rFonts w:ascii="Arial" w:hAnsi="Arial" w:cs="Arial"/>
        </w:rPr>
        <w:t xml:space="preserve"> MSNs functionalized with pH-responsive gatekeepers including </w:t>
      </w:r>
      <w:proofErr w:type="spellStart"/>
      <w:r w:rsidRPr="00671E5E">
        <w:rPr>
          <w:rFonts w:ascii="Arial" w:hAnsi="Arial" w:cs="Arial"/>
        </w:rPr>
        <w:t>ZnO</w:t>
      </w:r>
      <w:proofErr w:type="spellEnd"/>
      <w:r w:rsidRPr="00671E5E">
        <w:rPr>
          <w:rFonts w:ascii="Arial" w:hAnsi="Arial" w:cs="Arial"/>
        </w:rPr>
        <w:t xml:space="preserve"> quantum dots or polymer brushes release encapsulated fungicides selectively at acidic pH (4.5–5.5) characteristic of fungal infection sites (Zhao et al., 2024). MSN-tebuconazole with </w:t>
      </w:r>
      <w:proofErr w:type="spellStart"/>
      <w:r w:rsidRPr="00671E5E">
        <w:rPr>
          <w:rFonts w:ascii="Arial" w:hAnsi="Arial" w:cs="Arial"/>
        </w:rPr>
        <w:t>ZnO</w:t>
      </w:r>
      <w:proofErr w:type="spellEnd"/>
      <w:r w:rsidRPr="00671E5E">
        <w:rPr>
          <w:rFonts w:ascii="Arial" w:hAnsi="Arial" w:cs="Arial"/>
        </w:rPr>
        <w:t xml:space="preserve"> quantum dot gatekeepers demonstrate minimal release (&lt;10%) at neutral pH but accelerated release (&gt;80% within 24 hours) at pH 5.0, providing targeted delivery to </w:t>
      </w:r>
      <w:r w:rsidR="002B64F8" w:rsidRPr="002B64F8">
        <w:rPr>
          <w:rFonts w:ascii="Arial" w:hAnsi="Arial" w:cs="Arial"/>
          <w:i/>
          <w:iCs/>
        </w:rPr>
        <w:t xml:space="preserve">P. </w:t>
      </w:r>
      <w:r w:rsidR="00FC78C6" w:rsidRPr="002B64F8">
        <w:rPr>
          <w:rFonts w:ascii="Arial" w:hAnsi="Arial" w:cs="Arial"/>
          <w:i/>
          <w:iCs/>
        </w:rPr>
        <w:t xml:space="preserve">oryzae </w:t>
      </w:r>
      <w:r w:rsidR="00FC78C6" w:rsidRPr="00671E5E">
        <w:rPr>
          <w:rFonts w:ascii="Arial" w:hAnsi="Arial" w:cs="Arial"/>
        </w:rPr>
        <w:t>infection</w:t>
      </w:r>
      <w:r w:rsidRPr="00671E5E">
        <w:rPr>
          <w:rFonts w:ascii="Arial" w:hAnsi="Arial" w:cs="Arial"/>
        </w:rPr>
        <w:t xml:space="preserve"> sites while </w:t>
      </w:r>
      <w:r w:rsidRPr="00671E5E">
        <w:rPr>
          <w:rFonts w:ascii="Arial" w:hAnsi="Arial" w:cs="Arial"/>
        </w:rPr>
        <w:lastRenderedPageBreak/>
        <w:t>minimizing environmental dispersal (Zhao et al., 2024). This "smart" delivery reduces non-target exposure by 70–85% compared to conventional sprays.</w:t>
      </w:r>
    </w:p>
    <w:p w14:paraId="19017E4C" w14:textId="77777777" w:rsidR="00671E5E" w:rsidRPr="00671E5E" w:rsidRDefault="00671E5E" w:rsidP="00671E5E">
      <w:pPr>
        <w:jc w:val="both"/>
        <w:rPr>
          <w:rFonts w:ascii="Arial" w:hAnsi="Arial" w:cs="Arial"/>
        </w:rPr>
      </w:pPr>
    </w:p>
    <w:p w14:paraId="6956F2D0" w14:textId="34F15AD9" w:rsidR="00671E5E" w:rsidRPr="00671E5E" w:rsidRDefault="00671E5E" w:rsidP="00671E5E">
      <w:pPr>
        <w:jc w:val="both"/>
        <w:rPr>
          <w:rFonts w:ascii="Arial" w:hAnsi="Arial" w:cs="Arial"/>
        </w:rPr>
      </w:pPr>
      <w:r w:rsidRPr="00671E5E">
        <w:rPr>
          <w:rFonts w:ascii="Arial" w:hAnsi="Arial" w:cs="Arial"/>
          <w:b/>
          <w:bCs/>
        </w:rPr>
        <w:t>Enzyme-Responsive Systems:</w:t>
      </w:r>
      <w:r w:rsidRPr="00671E5E">
        <w:rPr>
          <w:rFonts w:ascii="Arial" w:hAnsi="Arial" w:cs="Arial"/>
        </w:rPr>
        <w:t xml:space="preserve"> MSNs capped with enzyme-cleavable peptides or polysaccharides release pesticides in response to pathogen-secreted enzymes (proteases, cellulases) at infection sites. Enzyme-responsive MSN-fungicide systems achieve 3–5-fold higher fungicide concentrations at infection sites compared to healthy tissues, maximizing efficacy while minimizing systemic plant exposure (Chen et al., 2019).</w:t>
      </w:r>
    </w:p>
    <w:p w14:paraId="47AE0129" w14:textId="77777777" w:rsidR="00671E5E" w:rsidRPr="00671E5E" w:rsidRDefault="00671E5E" w:rsidP="00671E5E">
      <w:pPr>
        <w:jc w:val="both"/>
        <w:rPr>
          <w:rFonts w:ascii="Arial" w:hAnsi="Arial" w:cs="Arial"/>
        </w:rPr>
      </w:pPr>
    </w:p>
    <w:p w14:paraId="5326A0D1" w14:textId="77777777" w:rsidR="00671E5E" w:rsidRDefault="00671E5E" w:rsidP="00671E5E">
      <w:pPr>
        <w:jc w:val="both"/>
        <w:rPr>
          <w:rFonts w:ascii="Arial" w:hAnsi="Arial" w:cs="Arial"/>
        </w:rPr>
      </w:pPr>
      <w:r w:rsidRPr="00671E5E">
        <w:rPr>
          <w:rFonts w:ascii="Arial" w:hAnsi="Arial" w:cs="Arial"/>
          <w:b/>
          <w:bCs/>
        </w:rPr>
        <w:t>Advantages and Limitations:</w:t>
      </w:r>
      <w:r w:rsidRPr="00671E5E">
        <w:rPr>
          <w:rFonts w:ascii="Arial" w:hAnsi="Arial" w:cs="Arial"/>
        </w:rPr>
        <w:t xml:space="preserve"> MSN-based delivery systems offer unparalleled control over release kinetics and spatial targeting. However, high production costs ($50–200/kg vs. $5–15/kg for polymeric nanoparticles), potential silica accumulation in soils, and limited biodegradability require careful evaluation before large-scale deployment (Kah et al., 2018; Adisa et al., 2019).</w:t>
      </w:r>
    </w:p>
    <w:p w14:paraId="7F0B464A" w14:textId="77777777" w:rsidR="005C37DA" w:rsidRPr="001B1044" w:rsidRDefault="005C37DA" w:rsidP="005C37DA">
      <w:pPr>
        <w:jc w:val="both"/>
        <w:rPr>
          <w:rFonts w:ascii="Times New Roman" w:hAnsi="Times New Roman"/>
        </w:rPr>
      </w:pPr>
      <w:r>
        <w:rPr>
          <w:rFonts w:ascii="Times New Roman" w:hAnsi="Times New Roman"/>
          <w:noProof/>
        </w:rPr>
        <w:drawing>
          <wp:inline distT="0" distB="0" distL="0" distR="0" wp14:anchorId="519A5BFC" wp14:editId="29C7AE7C">
            <wp:extent cx="5943600" cy="5196205"/>
            <wp:effectExtent l="0" t="0" r="0" b="4445"/>
            <wp:docPr id="1458509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09731" name="Picture 1458509731"/>
                    <pic:cNvPicPr/>
                  </pic:nvPicPr>
                  <pic:blipFill rotWithShape="1">
                    <a:blip r:embed="rId10" cstate="print">
                      <a:extLst>
                        <a:ext uri="{28A0092B-C50C-407E-A947-70E740481C1C}">
                          <a14:useLocalDpi xmlns:a14="http://schemas.microsoft.com/office/drawing/2010/main" val="0"/>
                        </a:ext>
                      </a:extLst>
                    </a:blip>
                    <a:srcRect t="2849"/>
                    <a:stretch>
                      <a:fillRect/>
                    </a:stretch>
                  </pic:blipFill>
                  <pic:spPr bwMode="auto">
                    <a:xfrm>
                      <a:off x="0" y="0"/>
                      <a:ext cx="5943600" cy="5196205"/>
                    </a:xfrm>
                    <a:prstGeom prst="rect">
                      <a:avLst/>
                    </a:prstGeom>
                    <a:ln>
                      <a:noFill/>
                    </a:ln>
                    <a:extLst>
                      <a:ext uri="{53640926-AAD7-44D8-BBD7-CCE9431645EC}">
                        <a14:shadowObscured xmlns:a14="http://schemas.microsoft.com/office/drawing/2010/main"/>
                      </a:ext>
                    </a:extLst>
                  </pic:spPr>
                </pic:pic>
              </a:graphicData>
            </a:graphic>
          </wp:inline>
        </w:drawing>
      </w:r>
    </w:p>
    <w:p w14:paraId="48AF1B4C" w14:textId="77777777" w:rsidR="005C37DA" w:rsidRDefault="005C37DA" w:rsidP="005C37DA">
      <w:pPr>
        <w:jc w:val="both"/>
        <w:rPr>
          <w:rFonts w:ascii="Arial" w:hAnsi="Arial" w:cs="Arial"/>
          <w:i/>
          <w:iCs/>
        </w:rPr>
      </w:pPr>
      <w:bookmarkStart w:id="1" w:name="_Hlk214446094"/>
      <w:r w:rsidRPr="005C37DA">
        <w:rPr>
          <w:rFonts w:ascii="Arial" w:hAnsi="Arial" w:cs="Arial"/>
          <w:b/>
          <w:bCs/>
        </w:rPr>
        <w:t>Fig. 3.</w:t>
      </w:r>
      <w:r w:rsidRPr="005C37DA">
        <w:rPr>
          <w:rFonts w:ascii="Arial" w:hAnsi="Arial" w:cs="Arial"/>
          <w:i/>
          <w:iCs/>
        </w:rPr>
        <w:t> </w:t>
      </w:r>
      <w:r w:rsidRPr="005C37DA">
        <w:rPr>
          <w:rFonts w:ascii="Arial" w:hAnsi="Arial" w:cs="Arial"/>
        </w:rPr>
        <w:t xml:space="preserve">Comparative performance of </w:t>
      </w:r>
      <w:proofErr w:type="spellStart"/>
      <w:r w:rsidRPr="005C37DA">
        <w:rPr>
          <w:rFonts w:ascii="Arial" w:hAnsi="Arial" w:cs="Arial"/>
        </w:rPr>
        <w:t>nanofungicides</w:t>
      </w:r>
      <w:proofErr w:type="spellEnd"/>
      <w:r w:rsidRPr="005C37DA">
        <w:rPr>
          <w:rFonts w:ascii="Arial" w:hAnsi="Arial" w:cs="Arial"/>
        </w:rPr>
        <w:t xml:space="preserve"> vs. conventional fungicides.</w:t>
      </w:r>
      <w:r w:rsidRPr="005C37DA">
        <w:rPr>
          <w:rFonts w:ascii="Arial" w:hAnsi="Arial" w:cs="Arial"/>
          <w:i/>
          <w:iCs/>
        </w:rPr>
        <w:t xml:space="preserve"> </w:t>
      </w:r>
    </w:p>
    <w:p w14:paraId="6E947D5D" w14:textId="3C66A405" w:rsidR="005C37DA" w:rsidRPr="005C37DA" w:rsidRDefault="005C37DA" w:rsidP="005C37DA">
      <w:pPr>
        <w:jc w:val="both"/>
        <w:rPr>
          <w:rFonts w:ascii="Arial" w:hAnsi="Arial" w:cs="Arial"/>
          <w:i/>
          <w:iCs/>
        </w:rPr>
      </w:pPr>
      <w:r w:rsidRPr="005C37DA">
        <w:rPr>
          <w:rFonts w:ascii="Arial" w:hAnsi="Arial" w:cs="Arial"/>
          <w:i/>
          <w:iCs/>
        </w:rPr>
        <w:t>The figure should show: (A) Bar graphs comparing disease severity (%) for nano vs. conventional treatments across multiple timepoints, (B) Residual activity curves showing fungicide persistence over time, (C) Dose-response curves demonstrating enhanced efficacy at lower concentrations, and (D) Environmental benefits comparison (reduced runoff, lower soil residues, decreased non-target impacts).</w:t>
      </w:r>
    </w:p>
    <w:bookmarkEnd w:id="1"/>
    <w:p w14:paraId="170D949F" w14:textId="77777777" w:rsidR="005C37DA" w:rsidRDefault="005C37DA" w:rsidP="00671E5E">
      <w:pPr>
        <w:jc w:val="both"/>
        <w:rPr>
          <w:rFonts w:ascii="Arial" w:hAnsi="Arial" w:cs="Arial"/>
        </w:rPr>
      </w:pPr>
    </w:p>
    <w:p w14:paraId="2F69630D" w14:textId="77777777" w:rsidR="00671E5E" w:rsidRDefault="0084071C" w:rsidP="0084071C">
      <w:pPr>
        <w:jc w:val="both"/>
        <w:rPr>
          <w:rFonts w:ascii="Arial" w:hAnsi="Arial" w:cs="Arial"/>
          <w:b/>
          <w:bCs/>
        </w:rPr>
      </w:pPr>
      <w:r w:rsidRPr="0084071C">
        <w:rPr>
          <w:rFonts w:ascii="Arial" w:hAnsi="Arial" w:cs="Arial"/>
          <w:b/>
          <w:bCs/>
        </w:rPr>
        <w:t xml:space="preserve">3.4 </w:t>
      </w:r>
      <w:r w:rsidR="00671E5E" w:rsidRPr="00671E5E">
        <w:rPr>
          <w:rFonts w:ascii="Arial" w:hAnsi="Arial" w:cs="Arial"/>
          <w:b/>
          <w:bCs/>
        </w:rPr>
        <w:t>Layered Double Hydroxide Nanocarriers</w:t>
      </w:r>
    </w:p>
    <w:p w14:paraId="0777D34A" w14:textId="77777777" w:rsidR="00671E5E" w:rsidRDefault="00671E5E" w:rsidP="0084071C">
      <w:pPr>
        <w:jc w:val="both"/>
        <w:rPr>
          <w:rFonts w:ascii="Arial" w:hAnsi="Arial" w:cs="Arial"/>
          <w:b/>
          <w:bCs/>
        </w:rPr>
      </w:pPr>
    </w:p>
    <w:p w14:paraId="34DE37D3" w14:textId="3BB864B0" w:rsidR="00671E5E" w:rsidRPr="00671E5E" w:rsidRDefault="00671E5E" w:rsidP="00671E5E">
      <w:pPr>
        <w:jc w:val="both"/>
        <w:rPr>
          <w:rFonts w:ascii="Arial" w:hAnsi="Arial" w:cs="Arial"/>
        </w:rPr>
      </w:pPr>
      <w:r w:rsidRPr="00671E5E">
        <w:rPr>
          <w:rFonts w:ascii="Arial" w:hAnsi="Arial" w:cs="Arial"/>
        </w:rPr>
        <w:t>Layered double hydroxides (LDHs) are anionic clays with positively charged layers and exchangeable interlayer anions, providing platforms for anionic pesticide and dsRNA delivery (Yan et al., 2020).</w:t>
      </w:r>
    </w:p>
    <w:p w14:paraId="4C107810" w14:textId="77777777" w:rsidR="00671E5E" w:rsidRPr="00671E5E" w:rsidRDefault="00671E5E" w:rsidP="00671E5E">
      <w:pPr>
        <w:jc w:val="both"/>
        <w:rPr>
          <w:rFonts w:ascii="Arial" w:hAnsi="Arial" w:cs="Arial"/>
        </w:rPr>
      </w:pPr>
    </w:p>
    <w:p w14:paraId="2EDAD28F" w14:textId="2BFB9A4B" w:rsidR="00671E5E" w:rsidRPr="00671E5E" w:rsidRDefault="00671E5E" w:rsidP="00671E5E">
      <w:pPr>
        <w:jc w:val="both"/>
        <w:rPr>
          <w:rFonts w:ascii="Arial" w:hAnsi="Arial" w:cs="Arial"/>
        </w:rPr>
      </w:pPr>
      <w:r w:rsidRPr="00FC78C6">
        <w:rPr>
          <w:rFonts w:ascii="Arial" w:hAnsi="Arial" w:cs="Arial"/>
          <w:b/>
          <w:bCs/>
        </w:rPr>
        <w:t>Pesticide Delivery:</w:t>
      </w:r>
      <w:r w:rsidRPr="00671E5E">
        <w:rPr>
          <w:rFonts w:ascii="Arial" w:hAnsi="Arial" w:cs="Arial"/>
        </w:rPr>
        <w:t xml:space="preserve"> LDH nanoparticles (50–150 nm) intercalating herbicides (2,4-D, glyphosate) or fungicides demonstrate sustained release over 10–30 days, reducing leaching by 60–80% compared to conventional formulations (Cao et al., 2016). </w:t>
      </w:r>
      <w:r w:rsidRPr="00671E5E">
        <w:rPr>
          <w:rFonts w:ascii="Arial" w:hAnsi="Arial" w:cs="Arial"/>
        </w:rPr>
        <w:lastRenderedPageBreak/>
        <w:t>LDH-pesticide systems protect active ingredients from photodegradation and hydrolysis, extending field efficacy by 40–70% (Yan et al., 2018).</w:t>
      </w:r>
    </w:p>
    <w:p w14:paraId="1BCC7C23" w14:textId="77777777" w:rsidR="00671E5E" w:rsidRPr="00671E5E" w:rsidRDefault="00671E5E" w:rsidP="00671E5E">
      <w:pPr>
        <w:jc w:val="both"/>
        <w:rPr>
          <w:rFonts w:ascii="Arial" w:hAnsi="Arial" w:cs="Arial"/>
        </w:rPr>
      </w:pPr>
    </w:p>
    <w:p w14:paraId="39A6DA18" w14:textId="0EC3096F" w:rsidR="0084071C" w:rsidRPr="0084071C" w:rsidRDefault="00671E5E" w:rsidP="00671E5E">
      <w:pPr>
        <w:jc w:val="both"/>
        <w:rPr>
          <w:rFonts w:ascii="Arial" w:hAnsi="Arial" w:cs="Arial"/>
          <w:b/>
          <w:bCs/>
        </w:rPr>
      </w:pPr>
      <w:r w:rsidRPr="00FC78C6">
        <w:rPr>
          <w:rFonts w:ascii="Arial" w:hAnsi="Arial" w:cs="Arial"/>
          <w:b/>
          <w:bCs/>
        </w:rPr>
        <w:t>dsRNA Delivery:</w:t>
      </w:r>
      <w:r w:rsidRPr="00671E5E">
        <w:rPr>
          <w:rFonts w:ascii="Arial" w:hAnsi="Arial" w:cs="Arial"/>
        </w:rPr>
        <w:t xml:space="preserve"> LDH nanoparticles efficiently adsorb and protect double-stranded RNA (dsRNA) from environmental degradation, serving as carriers for RNAi-based pest management (discussed in Section 4). Positively charged LDH layers electrostatically bind negatively charged dsRNA, achieving loading efficiencies of 50–80% and protecting dsRNA from RNase degradation for 7–14 days under field conditions (Mitter et al., 2017; Yan et al., 2020).</w:t>
      </w:r>
    </w:p>
    <w:p w14:paraId="7A459041" w14:textId="77777777" w:rsidR="0084071C" w:rsidRDefault="0084071C" w:rsidP="0084071C">
      <w:pPr>
        <w:jc w:val="both"/>
        <w:rPr>
          <w:rFonts w:ascii="Arial" w:hAnsi="Arial" w:cs="Arial"/>
          <w:b/>
          <w:bCs/>
        </w:rPr>
      </w:pPr>
    </w:p>
    <w:p w14:paraId="007F8BCB" w14:textId="0E5F92FD" w:rsidR="00F83DA4" w:rsidRPr="00F83DA4" w:rsidRDefault="00F83DA4" w:rsidP="00F83DA4">
      <w:pPr>
        <w:jc w:val="center"/>
        <w:rPr>
          <w:rFonts w:ascii="Arial" w:hAnsi="Arial" w:cs="Arial"/>
          <w:b/>
          <w:bCs/>
        </w:rPr>
      </w:pPr>
      <w:r w:rsidRPr="00F83DA4">
        <w:rPr>
          <w:rFonts w:ascii="Arial" w:hAnsi="Arial" w:cs="Arial"/>
          <w:b/>
          <w:bCs/>
        </w:rPr>
        <w:t>T</w:t>
      </w:r>
      <w:r>
        <w:rPr>
          <w:rFonts w:ascii="Arial" w:hAnsi="Arial" w:cs="Arial"/>
          <w:b/>
          <w:bCs/>
        </w:rPr>
        <w:t xml:space="preserve">able </w:t>
      </w:r>
      <w:r w:rsidRPr="00F83DA4">
        <w:rPr>
          <w:rFonts w:ascii="Arial" w:hAnsi="Arial" w:cs="Arial"/>
          <w:b/>
          <w:bCs/>
        </w:rPr>
        <w:t>3: RNAi Target Genes for Major Rice Pests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1199"/>
        <w:gridCol w:w="2432"/>
        <w:gridCol w:w="1493"/>
        <w:gridCol w:w="1955"/>
        <w:gridCol w:w="1333"/>
      </w:tblGrid>
      <w:tr w:rsidR="00F83DA4" w:rsidRPr="00F83DA4" w14:paraId="03FE61FC" w14:textId="77777777" w:rsidTr="00F83DA4">
        <w:trPr>
          <w:trHeight w:val="600"/>
        </w:trPr>
        <w:tc>
          <w:tcPr>
            <w:tcW w:w="1106" w:type="pct"/>
            <w:tcBorders>
              <w:top w:val="single" w:sz="4" w:space="0" w:color="auto"/>
              <w:bottom w:val="single" w:sz="4" w:space="0" w:color="auto"/>
            </w:tcBorders>
            <w:hideMark/>
          </w:tcPr>
          <w:p w14:paraId="38228E0A" w14:textId="77777777" w:rsidR="00F83DA4" w:rsidRPr="00F83DA4" w:rsidRDefault="00F83DA4" w:rsidP="00F83DA4">
            <w:pPr>
              <w:jc w:val="both"/>
              <w:rPr>
                <w:rFonts w:ascii="Arial" w:hAnsi="Arial" w:cs="Arial"/>
                <w:b/>
                <w:bCs/>
              </w:rPr>
            </w:pPr>
            <w:r w:rsidRPr="00F83DA4">
              <w:rPr>
                <w:rFonts w:ascii="Arial" w:hAnsi="Arial" w:cs="Arial"/>
                <w:b/>
                <w:bCs/>
              </w:rPr>
              <w:t>Pest Species</w:t>
            </w:r>
          </w:p>
        </w:tc>
        <w:tc>
          <w:tcPr>
            <w:tcW w:w="555" w:type="pct"/>
            <w:tcBorders>
              <w:top w:val="single" w:sz="4" w:space="0" w:color="auto"/>
              <w:bottom w:val="single" w:sz="4" w:space="0" w:color="auto"/>
            </w:tcBorders>
            <w:hideMark/>
          </w:tcPr>
          <w:p w14:paraId="20AFDE51" w14:textId="77777777" w:rsidR="00F83DA4" w:rsidRPr="00F83DA4" w:rsidRDefault="00F83DA4" w:rsidP="00F83DA4">
            <w:pPr>
              <w:jc w:val="both"/>
              <w:rPr>
                <w:rFonts w:ascii="Arial" w:hAnsi="Arial" w:cs="Arial"/>
                <w:b/>
                <w:bCs/>
              </w:rPr>
            </w:pPr>
            <w:r w:rsidRPr="00F83DA4">
              <w:rPr>
                <w:rFonts w:ascii="Arial" w:hAnsi="Arial" w:cs="Arial"/>
                <w:b/>
                <w:bCs/>
              </w:rPr>
              <w:t>Target Gene</w:t>
            </w:r>
          </w:p>
        </w:tc>
        <w:tc>
          <w:tcPr>
            <w:tcW w:w="1126" w:type="pct"/>
            <w:tcBorders>
              <w:top w:val="single" w:sz="4" w:space="0" w:color="auto"/>
              <w:bottom w:val="single" w:sz="4" w:space="0" w:color="auto"/>
            </w:tcBorders>
            <w:hideMark/>
          </w:tcPr>
          <w:p w14:paraId="15F08FB6" w14:textId="77777777" w:rsidR="00F83DA4" w:rsidRPr="00F83DA4" w:rsidRDefault="00F83DA4" w:rsidP="00F83DA4">
            <w:pPr>
              <w:jc w:val="both"/>
              <w:rPr>
                <w:rFonts w:ascii="Arial" w:hAnsi="Arial" w:cs="Arial"/>
                <w:b/>
                <w:bCs/>
              </w:rPr>
            </w:pPr>
            <w:r w:rsidRPr="00F83DA4">
              <w:rPr>
                <w:rFonts w:ascii="Arial" w:hAnsi="Arial" w:cs="Arial"/>
                <w:b/>
                <w:bCs/>
              </w:rPr>
              <w:t>Gene Function</w:t>
            </w:r>
          </w:p>
        </w:tc>
        <w:tc>
          <w:tcPr>
            <w:tcW w:w="691" w:type="pct"/>
            <w:tcBorders>
              <w:top w:val="single" w:sz="4" w:space="0" w:color="auto"/>
              <w:bottom w:val="single" w:sz="4" w:space="0" w:color="auto"/>
            </w:tcBorders>
            <w:hideMark/>
          </w:tcPr>
          <w:p w14:paraId="48C5FB21" w14:textId="77777777" w:rsidR="00F83DA4" w:rsidRPr="00F83DA4" w:rsidRDefault="00F83DA4" w:rsidP="00F83DA4">
            <w:pPr>
              <w:jc w:val="both"/>
              <w:rPr>
                <w:rFonts w:ascii="Arial" w:hAnsi="Arial" w:cs="Arial"/>
                <w:b/>
                <w:bCs/>
              </w:rPr>
            </w:pPr>
            <w:r w:rsidRPr="00F83DA4">
              <w:rPr>
                <w:rFonts w:ascii="Arial" w:hAnsi="Arial" w:cs="Arial"/>
                <w:b/>
                <w:bCs/>
              </w:rPr>
              <w:t>Knockdown (%)</w:t>
            </w:r>
          </w:p>
        </w:tc>
        <w:tc>
          <w:tcPr>
            <w:tcW w:w="905" w:type="pct"/>
            <w:tcBorders>
              <w:top w:val="single" w:sz="4" w:space="0" w:color="auto"/>
              <w:bottom w:val="single" w:sz="4" w:space="0" w:color="auto"/>
            </w:tcBorders>
            <w:hideMark/>
          </w:tcPr>
          <w:p w14:paraId="6E3FFBCD" w14:textId="77777777" w:rsidR="00F83DA4" w:rsidRPr="00F83DA4" w:rsidRDefault="00F83DA4" w:rsidP="00F83DA4">
            <w:pPr>
              <w:jc w:val="both"/>
              <w:rPr>
                <w:rFonts w:ascii="Arial" w:hAnsi="Arial" w:cs="Arial"/>
                <w:b/>
                <w:bCs/>
              </w:rPr>
            </w:pPr>
            <w:r w:rsidRPr="00F83DA4">
              <w:rPr>
                <w:rFonts w:ascii="Arial" w:hAnsi="Arial" w:cs="Arial"/>
                <w:b/>
                <w:bCs/>
              </w:rPr>
              <w:t>Mortality/Effect</w:t>
            </w:r>
          </w:p>
        </w:tc>
        <w:tc>
          <w:tcPr>
            <w:tcW w:w="617" w:type="pct"/>
            <w:tcBorders>
              <w:top w:val="single" w:sz="4" w:space="0" w:color="auto"/>
              <w:bottom w:val="single" w:sz="4" w:space="0" w:color="auto"/>
            </w:tcBorders>
            <w:hideMark/>
          </w:tcPr>
          <w:p w14:paraId="27ABC702" w14:textId="77777777" w:rsidR="00F83DA4" w:rsidRPr="00F83DA4" w:rsidRDefault="00F83DA4" w:rsidP="00F83DA4">
            <w:pPr>
              <w:jc w:val="both"/>
              <w:rPr>
                <w:rFonts w:ascii="Arial" w:hAnsi="Arial" w:cs="Arial"/>
                <w:b/>
                <w:bCs/>
              </w:rPr>
            </w:pPr>
            <w:r w:rsidRPr="00F83DA4">
              <w:rPr>
                <w:rFonts w:ascii="Arial" w:hAnsi="Arial" w:cs="Arial"/>
                <w:b/>
                <w:bCs/>
              </w:rPr>
              <w:t>Reference</w:t>
            </w:r>
          </w:p>
        </w:tc>
      </w:tr>
      <w:tr w:rsidR="00F83DA4" w:rsidRPr="00F83DA4" w14:paraId="25E8070F" w14:textId="77777777" w:rsidTr="00F83DA4">
        <w:tc>
          <w:tcPr>
            <w:tcW w:w="1106" w:type="pct"/>
            <w:tcBorders>
              <w:top w:val="single" w:sz="4" w:space="0" w:color="auto"/>
            </w:tcBorders>
            <w:hideMark/>
          </w:tcPr>
          <w:p w14:paraId="5101B43F" w14:textId="77777777" w:rsidR="00F83DA4" w:rsidRPr="00F83DA4" w:rsidRDefault="00F83DA4" w:rsidP="00F83DA4">
            <w:pPr>
              <w:jc w:val="both"/>
              <w:rPr>
                <w:rFonts w:ascii="Arial" w:hAnsi="Arial" w:cs="Arial"/>
              </w:rPr>
            </w:pPr>
            <w:proofErr w:type="spellStart"/>
            <w:r w:rsidRPr="00F83DA4">
              <w:rPr>
                <w:rFonts w:ascii="Arial" w:hAnsi="Arial" w:cs="Arial"/>
                <w:i/>
                <w:iCs/>
              </w:rPr>
              <w:t>Nilaparvata</w:t>
            </w:r>
            <w:proofErr w:type="spellEnd"/>
            <w:r w:rsidRPr="00F83DA4">
              <w:rPr>
                <w:rFonts w:ascii="Arial" w:hAnsi="Arial" w:cs="Arial"/>
                <w:i/>
                <w:iCs/>
              </w:rPr>
              <w:t xml:space="preserve"> </w:t>
            </w:r>
            <w:proofErr w:type="spellStart"/>
            <w:r w:rsidRPr="00F83DA4">
              <w:rPr>
                <w:rFonts w:ascii="Arial" w:hAnsi="Arial" w:cs="Arial"/>
                <w:i/>
                <w:iCs/>
              </w:rPr>
              <w:t>lugens</w:t>
            </w:r>
            <w:proofErr w:type="spellEnd"/>
            <w:r w:rsidRPr="00F83DA4">
              <w:rPr>
                <w:rFonts w:ascii="Arial" w:hAnsi="Arial" w:cs="Arial"/>
              </w:rPr>
              <w:t> (BPH)</w:t>
            </w:r>
          </w:p>
        </w:tc>
        <w:tc>
          <w:tcPr>
            <w:tcW w:w="555" w:type="pct"/>
            <w:tcBorders>
              <w:top w:val="single" w:sz="4" w:space="0" w:color="auto"/>
            </w:tcBorders>
            <w:hideMark/>
          </w:tcPr>
          <w:p w14:paraId="496CBB77" w14:textId="77777777" w:rsidR="00F83DA4" w:rsidRPr="00F83DA4" w:rsidRDefault="00F83DA4" w:rsidP="00F83DA4">
            <w:pPr>
              <w:jc w:val="both"/>
              <w:rPr>
                <w:rFonts w:ascii="Arial" w:hAnsi="Arial" w:cs="Arial"/>
              </w:rPr>
            </w:pPr>
            <w:r w:rsidRPr="00F83DA4">
              <w:rPr>
                <w:rFonts w:ascii="Arial" w:hAnsi="Arial" w:cs="Arial"/>
                <w:i/>
                <w:iCs/>
              </w:rPr>
              <w:t>NlHsp83</w:t>
            </w:r>
          </w:p>
        </w:tc>
        <w:tc>
          <w:tcPr>
            <w:tcW w:w="1126" w:type="pct"/>
            <w:tcBorders>
              <w:top w:val="single" w:sz="4" w:space="0" w:color="auto"/>
            </w:tcBorders>
            <w:hideMark/>
          </w:tcPr>
          <w:p w14:paraId="6B609141" w14:textId="77777777" w:rsidR="00F83DA4" w:rsidRPr="00F83DA4" w:rsidRDefault="00F83DA4" w:rsidP="00F83DA4">
            <w:pPr>
              <w:jc w:val="both"/>
              <w:rPr>
                <w:rFonts w:ascii="Arial" w:hAnsi="Arial" w:cs="Arial"/>
              </w:rPr>
            </w:pPr>
            <w:r w:rsidRPr="00F83DA4">
              <w:rPr>
                <w:rFonts w:ascii="Arial" w:hAnsi="Arial" w:cs="Arial"/>
              </w:rPr>
              <w:t>Heat shock protein, stress response</w:t>
            </w:r>
          </w:p>
        </w:tc>
        <w:tc>
          <w:tcPr>
            <w:tcW w:w="691" w:type="pct"/>
            <w:tcBorders>
              <w:top w:val="single" w:sz="4" w:space="0" w:color="auto"/>
            </w:tcBorders>
            <w:hideMark/>
          </w:tcPr>
          <w:p w14:paraId="72B16053" w14:textId="77777777" w:rsidR="00F83DA4" w:rsidRPr="00F83DA4" w:rsidRDefault="00F83DA4" w:rsidP="00F83DA4">
            <w:pPr>
              <w:jc w:val="both"/>
              <w:rPr>
                <w:rFonts w:ascii="Arial" w:hAnsi="Arial" w:cs="Arial"/>
              </w:rPr>
            </w:pPr>
            <w:r w:rsidRPr="00F83DA4">
              <w:rPr>
                <w:rFonts w:ascii="Arial" w:hAnsi="Arial" w:cs="Arial"/>
              </w:rPr>
              <w:t>70-85</w:t>
            </w:r>
          </w:p>
        </w:tc>
        <w:tc>
          <w:tcPr>
            <w:tcW w:w="905" w:type="pct"/>
            <w:tcBorders>
              <w:top w:val="single" w:sz="4" w:space="0" w:color="auto"/>
            </w:tcBorders>
            <w:hideMark/>
          </w:tcPr>
          <w:p w14:paraId="19C937C8" w14:textId="77777777" w:rsidR="00F83DA4" w:rsidRPr="00F83DA4" w:rsidRDefault="00F83DA4" w:rsidP="00F83DA4">
            <w:pPr>
              <w:jc w:val="both"/>
              <w:rPr>
                <w:rFonts w:ascii="Arial" w:hAnsi="Arial" w:cs="Arial"/>
              </w:rPr>
            </w:pPr>
            <w:r w:rsidRPr="00F83DA4">
              <w:rPr>
                <w:rFonts w:ascii="Arial" w:hAnsi="Arial" w:cs="Arial"/>
              </w:rPr>
              <w:t>60-75% mortality (7 days)</w:t>
            </w:r>
          </w:p>
        </w:tc>
        <w:tc>
          <w:tcPr>
            <w:tcW w:w="617" w:type="pct"/>
            <w:tcBorders>
              <w:top w:val="single" w:sz="4" w:space="0" w:color="auto"/>
            </w:tcBorders>
            <w:hideMark/>
          </w:tcPr>
          <w:p w14:paraId="576DAF39" w14:textId="77777777" w:rsidR="00F83DA4" w:rsidRPr="00F83DA4" w:rsidRDefault="00F83DA4" w:rsidP="00F83DA4">
            <w:pPr>
              <w:jc w:val="both"/>
              <w:rPr>
                <w:rFonts w:ascii="Arial" w:hAnsi="Arial" w:cs="Arial"/>
              </w:rPr>
            </w:pPr>
            <w:r w:rsidRPr="00F83DA4">
              <w:rPr>
                <w:rFonts w:ascii="Arial" w:hAnsi="Arial" w:cs="Arial"/>
              </w:rPr>
              <w:t>Guo et al., 2014</w:t>
            </w:r>
          </w:p>
        </w:tc>
      </w:tr>
      <w:tr w:rsidR="00F83DA4" w:rsidRPr="00F83DA4" w14:paraId="7254D32C" w14:textId="77777777" w:rsidTr="00F83DA4">
        <w:tc>
          <w:tcPr>
            <w:tcW w:w="1106" w:type="pct"/>
            <w:hideMark/>
          </w:tcPr>
          <w:p w14:paraId="51638CC3" w14:textId="77777777" w:rsidR="00F83DA4" w:rsidRPr="00F83DA4" w:rsidRDefault="00F83DA4" w:rsidP="00F83DA4">
            <w:pPr>
              <w:jc w:val="both"/>
              <w:rPr>
                <w:rFonts w:ascii="Arial" w:hAnsi="Arial" w:cs="Arial"/>
              </w:rPr>
            </w:pPr>
            <w:proofErr w:type="spellStart"/>
            <w:r w:rsidRPr="00F83DA4">
              <w:rPr>
                <w:rFonts w:ascii="Arial" w:hAnsi="Arial" w:cs="Arial"/>
                <w:i/>
                <w:iCs/>
              </w:rPr>
              <w:t>Nilaparvata</w:t>
            </w:r>
            <w:proofErr w:type="spellEnd"/>
            <w:r w:rsidRPr="00F83DA4">
              <w:rPr>
                <w:rFonts w:ascii="Arial" w:hAnsi="Arial" w:cs="Arial"/>
                <w:i/>
                <w:iCs/>
              </w:rPr>
              <w:t xml:space="preserve"> </w:t>
            </w:r>
            <w:proofErr w:type="spellStart"/>
            <w:r w:rsidRPr="00F83DA4">
              <w:rPr>
                <w:rFonts w:ascii="Arial" w:hAnsi="Arial" w:cs="Arial"/>
                <w:i/>
                <w:iCs/>
              </w:rPr>
              <w:t>lugens</w:t>
            </w:r>
            <w:proofErr w:type="spellEnd"/>
          </w:p>
        </w:tc>
        <w:tc>
          <w:tcPr>
            <w:tcW w:w="555" w:type="pct"/>
            <w:hideMark/>
          </w:tcPr>
          <w:p w14:paraId="731BE529" w14:textId="77777777" w:rsidR="00F83DA4" w:rsidRPr="00F83DA4" w:rsidRDefault="00F83DA4" w:rsidP="00F83DA4">
            <w:pPr>
              <w:jc w:val="both"/>
              <w:rPr>
                <w:rFonts w:ascii="Arial" w:hAnsi="Arial" w:cs="Arial"/>
              </w:rPr>
            </w:pPr>
            <w:r w:rsidRPr="00F83DA4">
              <w:rPr>
                <w:rFonts w:ascii="Arial" w:hAnsi="Arial" w:cs="Arial"/>
                <w:i/>
                <w:iCs/>
              </w:rPr>
              <w:t>NlCarE1</w:t>
            </w:r>
          </w:p>
        </w:tc>
        <w:tc>
          <w:tcPr>
            <w:tcW w:w="1126" w:type="pct"/>
            <w:hideMark/>
          </w:tcPr>
          <w:p w14:paraId="10334B4F" w14:textId="77777777" w:rsidR="00F83DA4" w:rsidRPr="00F83DA4" w:rsidRDefault="00F83DA4" w:rsidP="00F83DA4">
            <w:pPr>
              <w:jc w:val="both"/>
              <w:rPr>
                <w:rFonts w:ascii="Arial" w:hAnsi="Arial" w:cs="Arial"/>
              </w:rPr>
            </w:pPr>
            <w:r w:rsidRPr="00F83DA4">
              <w:rPr>
                <w:rFonts w:ascii="Arial" w:hAnsi="Arial" w:cs="Arial"/>
              </w:rPr>
              <w:t>Carboxylesterase, detoxification</w:t>
            </w:r>
          </w:p>
        </w:tc>
        <w:tc>
          <w:tcPr>
            <w:tcW w:w="691" w:type="pct"/>
            <w:hideMark/>
          </w:tcPr>
          <w:p w14:paraId="1ADCE174" w14:textId="77777777" w:rsidR="00F83DA4" w:rsidRPr="00F83DA4" w:rsidRDefault="00F83DA4" w:rsidP="00F83DA4">
            <w:pPr>
              <w:jc w:val="both"/>
              <w:rPr>
                <w:rFonts w:ascii="Arial" w:hAnsi="Arial" w:cs="Arial"/>
              </w:rPr>
            </w:pPr>
            <w:r w:rsidRPr="00F83DA4">
              <w:rPr>
                <w:rFonts w:ascii="Arial" w:hAnsi="Arial" w:cs="Arial"/>
              </w:rPr>
              <w:t>65-80</w:t>
            </w:r>
          </w:p>
        </w:tc>
        <w:tc>
          <w:tcPr>
            <w:tcW w:w="905" w:type="pct"/>
            <w:hideMark/>
          </w:tcPr>
          <w:p w14:paraId="26C1EB1F" w14:textId="77777777" w:rsidR="00F83DA4" w:rsidRPr="00F83DA4" w:rsidRDefault="00F83DA4" w:rsidP="00F83DA4">
            <w:pPr>
              <w:jc w:val="both"/>
              <w:rPr>
                <w:rFonts w:ascii="Arial" w:hAnsi="Arial" w:cs="Arial"/>
              </w:rPr>
            </w:pPr>
            <w:r w:rsidRPr="00F83DA4">
              <w:rPr>
                <w:rFonts w:ascii="Arial" w:hAnsi="Arial" w:cs="Arial"/>
              </w:rPr>
              <w:t>55-70% mortality, reduced fecundity</w:t>
            </w:r>
          </w:p>
        </w:tc>
        <w:tc>
          <w:tcPr>
            <w:tcW w:w="617" w:type="pct"/>
            <w:hideMark/>
          </w:tcPr>
          <w:p w14:paraId="7865BEC7" w14:textId="77777777" w:rsidR="00F83DA4" w:rsidRPr="00F83DA4" w:rsidRDefault="00F83DA4" w:rsidP="00F83DA4">
            <w:pPr>
              <w:jc w:val="both"/>
              <w:rPr>
                <w:rFonts w:ascii="Arial" w:hAnsi="Arial" w:cs="Arial"/>
              </w:rPr>
            </w:pPr>
            <w:r w:rsidRPr="00F83DA4">
              <w:rPr>
                <w:rFonts w:ascii="Arial" w:hAnsi="Arial" w:cs="Arial"/>
              </w:rPr>
              <w:t>Gong et al., 2013</w:t>
            </w:r>
          </w:p>
        </w:tc>
      </w:tr>
      <w:tr w:rsidR="00F83DA4" w:rsidRPr="00F83DA4" w14:paraId="77426E30" w14:textId="77777777" w:rsidTr="00F83DA4">
        <w:tc>
          <w:tcPr>
            <w:tcW w:w="1106" w:type="pct"/>
            <w:hideMark/>
          </w:tcPr>
          <w:p w14:paraId="3B363AFE" w14:textId="77777777" w:rsidR="00F83DA4" w:rsidRPr="00F83DA4" w:rsidRDefault="00F83DA4" w:rsidP="00F83DA4">
            <w:pPr>
              <w:jc w:val="both"/>
              <w:rPr>
                <w:rFonts w:ascii="Arial" w:hAnsi="Arial" w:cs="Arial"/>
              </w:rPr>
            </w:pPr>
            <w:proofErr w:type="spellStart"/>
            <w:r w:rsidRPr="00F83DA4">
              <w:rPr>
                <w:rFonts w:ascii="Arial" w:hAnsi="Arial" w:cs="Arial"/>
                <w:i/>
                <w:iCs/>
              </w:rPr>
              <w:t>Nilaparvata</w:t>
            </w:r>
            <w:proofErr w:type="spellEnd"/>
            <w:r w:rsidRPr="00F83DA4">
              <w:rPr>
                <w:rFonts w:ascii="Arial" w:hAnsi="Arial" w:cs="Arial"/>
                <w:i/>
                <w:iCs/>
              </w:rPr>
              <w:t xml:space="preserve"> </w:t>
            </w:r>
            <w:proofErr w:type="spellStart"/>
            <w:r w:rsidRPr="00F83DA4">
              <w:rPr>
                <w:rFonts w:ascii="Arial" w:hAnsi="Arial" w:cs="Arial"/>
                <w:i/>
                <w:iCs/>
              </w:rPr>
              <w:t>lugens</w:t>
            </w:r>
            <w:proofErr w:type="spellEnd"/>
          </w:p>
        </w:tc>
        <w:tc>
          <w:tcPr>
            <w:tcW w:w="555" w:type="pct"/>
            <w:hideMark/>
          </w:tcPr>
          <w:p w14:paraId="2A81ED6E" w14:textId="77777777" w:rsidR="00F83DA4" w:rsidRPr="00F83DA4" w:rsidRDefault="00F83DA4" w:rsidP="00F83DA4">
            <w:pPr>
              <w:jc w:val="both"/>
              <w:rPr>
                <w:rFonts w:ascii="Arial" w:hAnsi="Arial" w:cs="Arial"/>
              </w:rPr>
            </w:pPr>
            <w:r w:rsidRPr="00F83DA4">
              <w:rPr>
                <w:rFonts w:ascii="Arial" w:hAnsi="Arial" w:cs="Arial"/>
                <w:i/>
                <w:iCs/>
              </w:rPr>
              <w:t>NlTre-1</w:t>
            </w:r>
          </w:p>
        </w:tc>
        <w:tc>
          <w:tcPr>
            <w:tcW w:w="1126" w:type="pct"/>
            <w:hideMark/>
          </w:tcPr>
          <w:p w14:paraId="557E4F8E" w14:textId="77777777" w:rsidR="00F83DA4" w:rsidRPr="00F83DA4" w:rsidRDefault="00F83DA4" w:rsidP="00F83DA4">
            <w:pPr>
              <w:jc w:val="both"/>
              <w:rPr>
                <w:rFonts w:ascii="Arial" w:hAnsi="Arial" w:cs="Arial"/>
              </w:rPr>
            </w:pPr>
            <w:proofErr w:type="spellStart"/>
            <w:r w:rsidRPr="00F83DA4">
              <w:rPr>
                <w:rFonts w:ascii="Arial" w:hAnsi="Arial" w:cs="Arial"/>
              </w:rPr>
              <w:t>Trehalase</w:t>
            </w:r>
            <w:proofErr w:type="spellEnd"/>
            <w:r w:rsidRPr="00F83DA4">
              <w:rPr>
                <w:rFonts w:ascii="Arial" w:hAnsi="Arial" w:cs="Arial"/>
              </w:rPr>
              <w:t>, energy metabolism</w:t>
            </w:r>
          </w:p>
        </w:tc>
        <w:tc>
          <w:tcPr>
            <w:tcW w:w="691" w:type="pct"/>
            <w:hideMark/>
          </w:tcPr>
          <w:p w14:paraId="69BED612" w14:textId="77777777" w:rsidR="00F83DA4" w:rsidRPr="00F83DA4" w:rsidRDefault="00F83DA4" w:rsidP="00F83DA4">
            <w:pPr>
              <w:jc w:val="both"/>
              <w:rPr>
                <w:rFonts w:ascii="Arial" w:hAnsi="Arial" w:cs="Arial"/>
              </w:rPr>
            </w:pPr>
            <w:r w:rsidRPr="00F83DA4">
              <w:rPr>
                <w:rFonts w:ascii="Arial" w:hAnsi="Arial" w:cs="Arial"/>
              </w:rPr>
              <w:t>75-90</w:t>
            </w:r>
          </w:p>
        </w:tc>
        <w:tc>
          <w:tcPr>
            <w:tcW w:w="905" w:type="pct"/>
            <w:hideMark/>
          </w:tcPr>
          <w:p w14:paraId="5927686C" w14:textId="77777777" w:rsidR="00F83DA4" w:rsidRPr="00F83DA4" w:rsidRDefault="00F83DA4" w:rsidP="00F83DA4">
            <w:pPr>
              <w:jc w:val="both"/>
              <w:rPr>
                <w:rFonts w:ascii="Arial" w:hAnsi="Arial" w:cs="Arial"/>
              </w:rPr>
            </w:pPr>
            <w:r w:rsidRPr="00F83DA4">
              <w:rPr>
                <w:rFonts w:ascii="Arial" w:hAnsi="Arial" w:cs="Arial"/>
              </w:rPr>
              <w:t>70-85% mortality, growth defects</w:t>
            </w:r>
          </w:p>
        </w:tc>
        <w:tc>
          <w:tcPr>
            <w:tcW w:w="617" w:type="pct"/>
            <w:hideMark/>
          </w:tcPr>
          <w:p w14:paraId="57DDE90D" w14:textId="77777777" w:rsidR="00F83DA4" w:rsidRPr="00F83DA4" w:rsidRDefault="00F83DA4" w:rsidP="00F83DA4">
            <w:pPr>
              <w:jc w:val="both"/>
              <w:rPr>
                <w:rFonts w:ascii="Arial" w:hAnsi="Arial" w:cs="Arial"/>
              </w:rPr>
            </w:pPr>
            <w:r w:rsidRPr="00F83DA4">
              <w:rPr>
                <w:rFonts w:ascii="Arial" w:hAnsi="Arial" w:cs="Arial"/>
              </w:rPr>
              <w:t>Chen et al., 2010</w:t>
            </w:r>
          </w:p>
        </w:tc>
      </w:tr>
      <w:tr w:rsidR="00F83DA4" w:rsidRPr="00F83DA4" w14:paraId="12198B54" w14:textId="77777777" w:rsidTr="00F83DA4">
        <w:tc>
          <w:tcPr>
            <w:tcW w:w="1106" w:type="pct"/>
            <w:hideMark/>
          </w:tcPr>
          <w:p w14:paraId="4A8A18CE" w14:textId="77777777" w:rsidR="00F83DA4" w:rsidRPr="00F83DA4" w:rsidRDefault="00F83DA4" w:rsidP="00F83DA4">
            <w:pPr>
              <w:jc w:val="both"/>
              <w:rPr>
                <w:rFonts w:ascii="Arial" w:hAnsi="Arial" w:cs="Arial"/>
              </w:rPr>
            </w:pPr>
            <w:proofErr w:type="spellStart"/>
            <w:r w:rsidRPr="00F83DA4">
              <w:rPr>
                <w:rFonts w:ascii="Arial" w:hAnsi="Arial" w:cs="Arial"/>
                <w:i/>
                <w:iCs/>
              </w:rPr>
              <w:t>Chilo</w:t>
            </w:r>
            <w:proofErr w:type="spellEnd"/>
            <w:r w:rsidRPr="00F83DA4">
              <w:rPr>
                <w:rFonts w:ascii="Arial" w:hAnsi="Arial" w:cs="Arial"/>
                <w:i/>
                <w:iCs/>
              </w:rPr>
              <w:t xml:space="preserve"> </w:t>
            </w:r>
            <w:proofErr w:type="spellStart"/>
            <w:r w:rsidRPr="00F83DA4">
              <w:rPr>
                <w:rFonts w:ascii="Arial" w:hAnsi="Arial" w:cs="Arial"/>
                <w:i/>
                <w:iCs/>
              </w:rPr>
              <w:t>suppressalis</w:t>
            </w:r>
            <w:proofErr w:type="spellEnd"/>
            <w:r w:rsidRPr="00F83DA4">
              <w:rPr>
                <w:rFonts w:ascii="Arial" w:hAnsi="Arial" w:cs="Arial"/>
              </w:rPr>
              <w:t> (Stem borer)</w:t>
            </w:r>
          </w:p>
        </w:tc>
        <w:tc>
          <w:tcPr>
            <w:tcW w:w="555" w:type="pct"/>
            <w:hideMark/>
          </w:tcPr>
          <w:p w14:paraId="2EE669EF" w14:textId="77777777" w:rsidR="00F83DA4" w:rsidRPr="00F83DA4" w:rsidRDefault="00F83DA4" w:rsidP="00F83DA4">
            <w:pPr>
              <w:jc w:val="both"/>
              <w:rPr>
                <w:rFonts w:ascii="Arial" w:hAnsi="Arial" w:cs="Arial"/>
              </w:rPr>
            </w:pPr>
            <w:proofErr w:type="spellStart"/>
            <w:r w:rsidRPr="00F83DA4">
              <w:rPr>
                <w:rFonts w:ascii="Arial" w:hAnsi="Arial" w:cs="Arial"/>
                <w:i/>
                <w:iCs/>
              </w:rPr>
              <w:t>CsV</w:t>
            </w:r>
            <w:proofErr w:type="spellEnd"/>
            <w:r w:rsidRPr="00F83DA4">
              <w:rPr>
                <w:rFonts w:ascii="Arial" w:hAnsi="Arial" w:cs="Arial"/>
                <w:i/>
                <w:iCs/>
              </w:rPr>
              <w:t>-ATPase A</w:t>
            </w:r>
          </w:p>
        </w:tc>
        <w:tc>
          <w:tcPr>
            <w:tcW w:w="1126" w:type="pct"/>
            <w:hideMark/>
          </w:tcPr>
          <w:p w14:paraId="587ABA28" w14:textId="77777777" w:rsidR="00F83DA4" w:rsidRPr="00F83DA4" w:rsidRDefault="00F83DA4" w:rsidP="00F83DA4">
            <w:pPr>
              <w:jc w:val="both"/>
              <w:rPr>
                <w:rFonts w:ascii="Arial" w:hAnsi="Arial" w:cs="Arial"/>
              </w:rPr>
            </w:pPr>
            <w:r w:rsidRPr="00F83DA4">
              <w:rPr>
                <w:rFonts w:ascii="Arial" w:hAnsi="Arial" w:cs="Arial"/>
              </w:rPr>
              <w:t>V-ATPase subunit A, ion transport</w:t>
            </w:r>
          </w:p>
        </w:tc>
        <w:tc>
          <w:tcPr>
            <w:tcW w:w="691" w:type="pct"/>
            <w:hideMark/>
          </w:tcPr>
          <w:p w14:paraId="7744838B" w14:textId="77777777" w:rsidR="00F83DA4" w:rsidRPr="00F83DA4" w:rsidRDefault="00F83DA4" w:rsidP="00F83DA4">
            <w:pPr>
              <w:jc w:val="both"/>
              <w:rPr>
                <w:rFonts w:ascii="Arial" w:hAnsi="Arial" w:cs="Arial"/>
              </w:rPr>
            </w:pPr>
            <w:r w:rsidRPr="00F83DA4">
              <w:rPr>
                <w:rFonts w:ascii="Arial" w:hAnsi="Arial" w:cs="Arial"/>
              </w:rPr>
              <w:t>60-75</w:t>
            </w:r>
          </w:p>
        </w:tc>
        <w:tc>
          <w:tcPr>
            <w:tcW w:w="905" w:type="pct"/>
            <w:hideMark/>
          </w:tcPr>
          <w:p w14:paraId="1A7764BC" w14:textId="77777777" w:rsidR="00F83DA4" w:rsidRPr="00F83DA4" w:rsidRDefault="00F83DA4" w:rsidP="00F83DA4">
            <w:pPr>
              <w:jc w:val="both"/>
              <w:rPr>
                <w:rFonts w:ascii="Arial" w:hAnsi="Arial" w:cs="Arial"/>
              </w:rPr>
            </w:pPr>
            <w:r w:rsidRPr="00F83DA4">
              <w:rPr>
                <w:rFonts w:ascii="Arial" w:hAnsi="Arial" w:cs="Arial"/>
              </w:rPr>
              <w:t>50-65% mortality, growth inhibition</w:t>
            </w:r>
          </w:p>
        </w:tc>
        <w:tc>
          <w:tcPr>
            <w:tcW w:w="617" w:type="pct"/>
            <w:hideMark/>
          </w:tcPr>
          <w:p w14:paraId="71602FE0" w14:textId="77777777" w:rsidR="00F83DA4" w:rsidRPr="00F83DA4" w:rsidRDefault="00F83DA4" w:rsidP="00F83DA4">
            <w:pPr>
              <w:jc w:val="both"/>
              <w:rPr>
                <w:rFonts w:ascii="Arial" w:hAnsi="Arial" w:cs="Arial"/>
              </w:rPr>
            </w:pPr>
            <w:r w:rsidRPr="00F83DA4">
              <w:rPr>
                <w:rFonts w:ascii="Arial" w:hAnsi="Arial" w:cs="Arial"/>
              </w:rPr>
              <w:t>Xu et al., 2015</w:t>
            </w:r>
          </w:p>
        </w:tc>
      </w:tr>
      <w:tr w:rsidR="00F83DA4" w:rsidRPr="00F83DA4" w14:paraId="74E935C8" w14:textId="77777777" w:rsidTr="00F83DA4">
        <w:tc>
          <w:tcPr>
            <w:tcW w:w="1106" w:type="pct"/>
            <w:hideMark/>
          </w:tcPr>
          <w:p w14:paraId="7902DF2B" w14:textId="77777777" w:rsidR="00F83DA4" w:rsidRPr="00F83DA4" w:rsidRDefault="00F83DA4" w:rsidP="00F83DA4">
            <w:pPr>
              <w:jc w:val="both"/>
              <w:rPr>
                <w:rFonts w:ascii="Arial" w:hAnsi="Arial" w:cs="Arial"/>
              </w:rPr>
            </w:pPr>
            <w:proofErr w:type="spellStart"/>
            <w:r w:rsidRPr="00F83DA4">
              <w:rPr>
                <w:rFonts w:ascii="Arial" w:hAnsi="Arial" w:cs="Arial"/>
                <w:i/>
                <w:iCs/>
              </w:rPr>
              <w:t>Chilo</w:t>
            </w:r>
            <w:proofErr w:type="spellEnd"/>
            <w:r w:rsidRPr="00F83DA4">
              <w:rPr>
                <w:rFonts w:ascii="Arial" w:hAnsi="Arial" w:cs="Arial"/>
                <w:i/>
                <w:iCs/>
              </w:rPr>
              <w:t xml:space="preserve"> </w:t>
            </w:r>
            <w:proofErr w:type="spellStart"/>
            <w:r w:rsidRPr="00F83DA4">
              <w:rPr>
                <w:rFonts w:ascii="Arial" w:hAnsi="Arial" w:cs="Arial"/>
                <w:i/>
                <w:iCs/>
              </w:rPr>
              <w:t>suppressalis</w:t>
            </w:r>
            <w:proofErr w:type="spellEnd"/>
          </w:p>
        </w:tc>
        <w:tc>
          <w:tcPr>
            <w:tcW w:w="555" w:type="pct"/>
            <w:hideMark/>
          </w:tcPr>
          <w:p w14:paraId="7E3863A9" w14:textId="77777777" w:rsidR="00F83DA4" w:rsidRPr="00F83DA4" w:rsidRDefault="00F83DA4" w:rsidP="00F83DA4">
            <w:pPr>
              <w:jc w:val="both"/>
              <w:rPr>
                <w:rFonts w:ascii="Arial" w:hAnsi="Arial" w:cs="Arial"/>
              </w:rPr>
            </w:pPr>
            <w:proofErr w:type="spellStart"/>
            <w:r w:rsidRPr="00F83DA4">
              <w:rPr>
                <w:rFonts w:ascii="Arial" w:hAnsi="Arial" w:cs="Arial"/>
                <w:i/>
                <w:iCs/>
              </w:rPr>
              <w:t>CsIAP</w:t>
            </w:r>
            <w:proofErr w:type="spellEnd"/>
          </w:p>
        </w:tc>
        <w:tc>
          <w:tcPr>
            <w:tcW w:w="1126" w:type="pct"/>
            <w:hideMark/>
          </w:tcPr>
          <w:p w14:paraId="54545217" w14:textId="77777777" w:rsidR="00F83DA4" w:rsidRPr="00F83DA4" w:rsidRDefault="00F83DA4" w:rsidP="00F83DA4">
            <w:pPr>
              <w:jc w:val="both"/>
              <w:rPr>
                <w:rFonts w:ascii="Arial" w:hAnsi="Arial" w:cs="Arial"/>
              </w:rPr>
            </w:pPr>
            <w:r w:rsidRPr="00F83DA4">
              <w:rPr>
                <w:rFonts w:ascii="Arial" w:hAnsi="Arial" w:cs="Arial"/>
              </w:rPr>
              <w:t>Inhibitor of apoptosis</w:t>
            </w:r>
          </w:p>
        </w:tc>
        <w:tc>
          <w:tcPr>
            <w:tcW w:w="691" w:type="pct"/>
            <w:hideMark/>
          </w:tcPr>
          <w:p w14:paraId="41DE1465" w14:textId="77777777" w:rsidR="00F83DA4" w:rsidRPr="00F83DA4" w:rsidRDefault="00F83DA4" w:rsidP="00F83DA4">
            <w:pPr>
              <w:jc w:val="both"/>
              <w:rPr>
                <w:rFonts w:ascii="Arial" w:hAnsi="Arial" w:cs="Arial"/>
              </w:rPr>
            </w:pPr>
            <w:r w:rsidRPr="00F83DA4">
              <w:rPr>
                <w:rFonts w:ascii="Arial" w:hAnsi="Arial" w:cs="Arial"/>
              </w:rPr>
              <w:t>70-85</w:t>
            </w:r>
          </w:p>
        </w:tc>
        <w:tc>
          <w:tcPr>
            <w:tcW w:w="905" w:type="pct"/>
            <w:hideMark/>
          </w:tcPr>
          <w:p w14:paraId="7FC150F0" w14:textId="77777777" w:rsidR="00F83DA4" w:rsidRPr="00F83DA4" w:rsidRDefault="00F83DA4" w:rsidP="00F83DA4">
            <w:pPr>
              <w:jc w:val="both"/>
              <w:rPr>
                <w:rFonts w:ascii="Arial" w:hAnsi="Arial" w:cs="Arial"/>
              </w:rPr>
            </w:pPr>
            <w:r w:rsidRPr="00F83DA4">
              <w:rPr>
                <w:rFonts w:ascii="Arial" w:hAnsi="Arial" w:cs="Arial"/>
              </w:rPr>
              <w:t>65-80% mortality (10 days)</w:t>
            </w:r>
          </w:p>
        </w:tc>
        <w:tc>
          <w:tcPr>
            <w:tcW w:w="617" w:type="pct"/>
            <w:hideMark/>
          </w:tcPr>
          <w:p w14:paraId="364AF6C2" w14:textId="77777777" w:rsidR="00F83DA4" w:rsidRPr="00F83DA4" w:rsidRDefault="00F83DA4" w:rsidP="00F83DA4">
            <w:pPr>
              <w:jc w:val="both"/>
              <w:rPr>
                <w:rFonts w:ascii="Arial" w:hAnsi="Arial" w:cs="Arial"/>
              </w:rPr>
            </w:pPr>
            <w:r w:rsidRPr="00F83DA4">
              <w:rPr>
                <w:rFonts w:ascii="Arial" w:hAnsi="Arial" w:cs="Arial"/>
              </w:rPr>
              <w:t>Gong et al., 2011</w:t>
            </w:r>
          </w:p>
        </w:tc>
      </w:tr>
      <w:tr w:rsidR="00F83DA4" w:rsidRPr="00F83DA4" w14:paraId="39BB3020" w14:textId="77777777" w:rsidTr="00F83DA4">
        <w:tc>
          <w:tcPr>
            <w:tcW w:w="1106" w:type="pct"/>
            <w:hideMark/>
          </w:tcPr>
          <w:p w14:paraId="31C13A89" w14:textId="77777777" w:rsidR="00F83DA4" w:rsidRPr="00F83DA4" w:rsidRDefault="00F83DA4" w:rsidP="00F83DA4">
            <w:pPr>
              <w:jc w:val="both"/>
              <w:rPr>
                <w:rFonts w:ascii="Arial" w:hAnsi="Arial" w:cs="Arial"/>
              </w:rPr>
            </w:pPr>
            <w:proofErr w:type="spellStart"/>
            <w:r w:rsidRPr="00F83DA4">
              <w:rPr>
                <w:rFonts w:ascii="Arial" w:hAnsi="Arial" w:cs="Arial"/>
                <w:i/>
                <w:iCs/>
              </w:rPr>
              <w:t>Cnaphalocrocis</w:t>
            </w:r>
            <w:proofErr w:type="spellEnd"/>
            <w:r w:rsidRPr="00F83DA4">
              <w:rPr>
                <w:rFonts w:ascii="Arial" w:hAnsi="Arial" w:cs="Arial"/>
                <w:i/>
                <w:iCs/>
              </w:rPr>
              <w:t xml:space="preserve"> </w:t>
            </w:r>
            <w:proofErr w:type="spellStart"/>
            <w:r w:rsidRPr="00F83DA4">
              <w:rPr>
                <w:rFonts w:ascii="Arial" w:hAnsi="Arial" w:cs="Arial"/>
                <w:i/>
                <w:iCs/>
              </w:rPr>
              <w:t>medinalis</w:t>
            </w:r>
            <w:proofErr w:type="spellEnd"/>
            <w:r w:rsidRPr="00F83DA4">
              <w:rPr>
                <w:rFonts w:ascii="Arial" w:hAnsi="Arial" w:cs="Arial"/>
              </w:rPr>
              <w:t> (Leafroller)</w:t>
            </w:r>
          </w:p>
        </w:tc>
        <w:tc>
          <w:tcPr>
            <w:tcW w:w="555" w:type="pct"/>
            <w:hideMark/>
          </w:tcPr>
          <w:p w14:paraId="5CEF5D6E" w14:textId="77777777" w:rsidR="00F83DA4" w:rsidRPr="00F83DA4" w:rsidRDefault="00F83DA4" w:rsidP="00F83DA4">
            <w:pPr>
              <w:jc w:val="both"/>
              <w:rPr>
                <w:rFonts w:ascii="Arial" w:hAnsi="Arial" w:cs="Arial"/>
              </w:rPr>
            </w:pPr>
            <w:proofErr w:type="spellStart"/>
            <w:r w:rsidRPr="00F83DA4">
              <w:rPr>
                <w:rFonts w:ascii="Arial" w:hAnsi="Arial" w:cs="Arial"/>
                <w:i/>
                <w:iCs/>
              </w:rPr>
              <w:t>CmAChE</w:t>
            </w:r>
            <w:proofErr w:type="spellEnd"/>
          </w:p>
        </w:tc>
        <w:tc>
          <w:tcPr>
            <w:tcW w:w="1126" w:type="pct"/>
            <w:hideMark/>
          </w:tcPr>
          <w:p w14:paraId="65E01F9F" w14:textId="77777777" w:rsidR="00F83DA4" w:rsidRPr="00F83DA4" w:rsidRDefault="00F83DA4" w:rsidP="00F83DA4">
            <w:pPr>
              <w:jc w:val="both"/>
              <w:rPr>
                <w:rFonts w:ascii="Arial" w:hAnsi="Arial" w:cs="Arial"/>
              </w:rPr>
            </w:pPr>
            <w:r w:rsidRPr="00F83DA4">
              <w:rPr>
                <w:rFonts w:ascii="Arial" w:hAnsi="Arial" w:cs="Arial"/>
              </w:rPr>
              <w:t>Acetylcholinesterase, neurotransmission</w:t>
            </w:r>
          </w:p>
        </w:tc>
        <w:tc>
          <w:tcPr>
            <w:tcW w:w="691" w:type="pct"/>
            <w:hideMark/>
          </w:tcPr>
          <w:p w14:paraId="622A0EB8" w14:textId="77777777" w:rsidR="00F83DA4" w:rsidRPr="00F83DA4" w:rsidRDefault="00F83DA4" w:rsidP="00F83DA4">
            <w:pPr>
              <w:jc w:val="both"/>
              <w:rPr>
                <w:rFonts w:ascii="Arial" w:hAnsi="Arial" w:cs="Arial"/>
              </w:rPr>
            </w:pPr>
            <w:r w:rsidRPr="00F83DA4">
              <w:rPr>
                <w:rFonts w:ascii="Arial" w:hAnsi="Arial" w:cs="Arial"/>
              </w:rPr>
              <w:t>65-80</w:t>
            </w:r>
          </w:p>
        </w:tc>
        <w:tc>
          <w:tcPr>
            <w:tcW w:w="905" w:type="pct"/>
            <w:hideMark/>
          </w:tcPr>
          <w:p w14:paraId="0283A1A2" w14:textId="77777777" w:rsidR="00F83DA4" w:rsidRPr="00F83DA4" w:rsidRDefault="00F83DA4" w:rsidP="00F83DA4">
            <w:pPr>
              <w:jc w:val="both"/>
              <w:rPr>
                <w:rFonts w:ascii="Arial" w:hAnsi="Arial" w:cs="Arial"/>
              </w:rPr>
            </w:pPr>
            <w:r w:rsidRPr="00F83DA4">
              <w:rPr>
                <w:rFonts w:ascii="Arial" w:hAnsi="Arial" w:cs="Arial"/>
              </w:rPr>
              <w:t>60-75% mortality, paralysis</w:t>
            </w:r>
          </w:p>
        </w:tc>
        <w:tc>
          <w:tcPr>
            <w:tcW w:w="617" w:type="pct"/>
            <w:hideMark/>
          </w:tcPr>
          <w:p w14:paraId="0EDC6FD6" w14:textId="77777777" w:rsidR="00F83DA4" w:rsidRPr="00F83DA4" w:rsidRDefault="00F83DA4" w:rsidP="00F83DA4">
            <w:pPr>
              <w:jc w:val="both"/>
              <w:rPr>
                <w:rFonts w:ascii="Arial" w:hAnsi="Arial" w:cs="Arial"/>
              </w:rPr>
            </w:pPr>
            <w:r w:rsidRPr="00F83DA4">
              <w:rPr>
                <w:rFonts w:ascii="Arial" w:hAnsi="Arial" w:cs="Arial"/>
              </w:rPr>
              <w:t>Guan et al., 2018</w:t>
            </w:r>
          </w:p>
        </w:tc>
      </w:tr>
      <w:tr w:rsidR="00F83DA4" w:rsidRPr="00F83DA4" w14:paraId="092D5BE4" w14:textId="77777777" w:rsidTr="00F83DA4">
        <w:tc>
          <w:tcPr>
            <w:tcW w:w="1106" w:type="pct"/>
            <w:hideMark/>
          </w:tcPr>
          <w:p w14:paraId="5D31FBC3" w14:textId="77777777" w:rsidR="00F83DA4" w:rsidRPr="00F83DA4" w:rsidRDefault="00F83DA4" w:rsidP="00F83DA4">
            <w:pPr>
              <w:jc w:val="both"/>
              <w:rPr>
                <w:rFonts w:ascii="Arial" w:hAnsi="Arial" w:cs="Arial"/>
              </w:rPr>
            </w:pPr>
            <w:proofErr w:type="spellStart"/>
            <w:r w:rsidRPr="00F83DA4">
              <w:rPr>
                <w:rFonts w:ascii="Arial" w:hAnsi="Arial" w:cs="Arial"/>
                <w:i/>
                <w:iCs/>
              </w:rPr>
              <w:t>Cnaphalocrocis</w:t>
            </w:r>
            <w:proofErr w:type="spellEnd"/>
            <w:r w:rsidRPr="00F83DA4">
              <w:rPr>
                <w:rFonts w:ascii="Arial" w:hAnsi="Arial" w:cs="Arial"/>
                <w:i/>
                <w:iCs/>
              </w:rPr>
              <w:t xml:space="preserve"> </w:t>
            </w:r>
            <w:proofErr w:type="spellStart"/>
            <w:r w:rsidRPr="00F83DA4">
              <w:rPr>
                <w:rFonts w:ascii="Arial" w:hAnsi="Arial" w:cs="Arial"/>
                <w:i/>
                <w:iCs/>
              </w:rPr>
              <w:t>medinalis</w:t>
            </w:r>
            <w:proofErr w:type="spellEnd"/>
          </w:p>
        </w:tc>
        <w:tc>
          <w:tcPr>
            <w:tcW w:w="555" w:type="pct"/>
            <w:hideMark/>
          </w:tcPr>
          <w:p w14:paraId="61945442" w14:textId="77777777" w:rsidR="00F83DA4" w:rsidRPr="00F83DA4" w:rsidRDefault="00F83DA4" w:rsidP="00F83DA4">
            <w:pPr>
              <w:jc w:val="both"/>
              <w:rPr>
                <w:rFonts w:ascii="Arial" w:hAnsi="Arial" w:cs="Arial"/>
              </w:rPr>
            </w:pPr>
            <w:r w:rsidRPr="00F83DA4">
              <w:rPr>
                <w:rFonts w:ascii="Arial" w:hAnsi="Arial" w:cs="Arial"/>
                <w:i/>
                <w:iCs/>
              </w:rPr>
              <w:t>CmSnf7</w:t>
            </w:r>
          </w:p>
        </w:tc>
        <w:tc>
          <w:tcPr>
            <w:tcW w:w="1126" w:type="pct"/>
            <w:hideMark/>
          </w:tcPr>
          <w:p w14:paraId="127161D0" w14:textId="77777777" w:rsidR="00F83DA4" w:rsidRPr="00F83DA4" w:rsidRDefault="00F83DA4" w:rsidP="00F83DA4">
            <w:pPr>
              <w:jc w:val="both"/>
              <w:rPr>
                <w:rFonts w:ascii="Arial" w:hAnsi="Arial" w:cs="Arial"/>
              </w:rPr>
            </w:pPr>
            <w:r w:rsidRPr="00F83DA4">
              <w:rPr>
                <w:rFonts w:ascii="Arial" w:hAnsi="Arial" w:cs="Arial"/>
              </w:rPr>
              <w:t>ESCRT-III protein, vesicle trafficking</w:t>
            </w:r>
          </w:p>
        </w:tc>
        <w:tc>
          <w:tcPr>
            <w:tcW w:w="691" w:type="pct"/>
            <w:hideMark/>
          </w:tcPr>
          <w:p w14:paraId="22C22961" w14:textId="77777777" w:rsidR="00F83DA4" w:rsidRPr="00F83DA4" w:rsidRDefault="00F83DA4" w:rsidP="00F83DA4">
            <w:pPr>
              <w:jc w:val="both"/>
              <w:rPr>
                <w:rFonts w:ascii="Arial" w:hAnsi="Arial" w:cs="Arial"/>
              </w:rPr>
            </w:pPr>
            <w:r w:rsidRPr="00F83DA4">
              <w:rPr>
                <w:rFonts w:ascii="Arial" w:hAnsi="Arial" w:cs="Arial"/>
              </w:rPr>
              <w:t>75-90</w:t>
            </w:r>
          </w:p>
        </w:tc>
        <w:tc>
          <w:tcPr>
            <w:tcW w:w="905" w:type="pct"/>
            <w:hideMark/>
          </w:tcPr>
          <w:p w14:paraId="0DBA264A" w14:textId="77777777" w:rsidR="00F83DA4" w:rsidRPr="00F83DA4" w:rsidRDefault="00F83DA4" w:rsidP="00F83DA4">
            <w:pPr>
              <w:jc w:val="both"/>
              <w:rPr>
                <w:rFonts w:ascii="Arial" w:hAnsi="Arial" w:cs="Arial"/>
              </w:rPr>
            </w:pPr>
            <w:r w:rsidRPr="00F83DA4">
              <w:rPr>
                <w:rFonts w:ascii="Arial" w:hAnsi="Arial" w:cs="Arial"/>
              </w:rPr>
              <w:t>70-85% mortality (7 days)</w:t>
            </w:r>
          </w:p>
        </w:tc>
        <w:tc>
          <w:tcPr>
            <w:tcW w:w="617" w:type="pct"/>
            <w:hideMark/>
          </w:tcPr>
          <w:p w14:paraId="395B9344" w14:textId="77777777" w:rsidR="00F83DA4" w:rsidRPr="00F83DA4" w:rsidRDefault="00F83DA4" w:rsidP="00F83DA4">
            <w:pPr>
              <w:jc w:val="both"/>
              <w:rPr>
                <w:rFonts w:ascii="Arial" w:hAnsi="Arial" w:cs="Arial"/>
              </w:rPr>
            </w:pPr>
            <w:r w:rsidRPr="00F83DA4">
              <w:rPr>
                <w:rFonts w:ascii="Arial" w:hAnsi="Arial" w:cs="Arial"/>
              </w:rPr>
              <w:t>He et al., 2019</w:t>
            </w:r>
          </w:p>
        </w:tc>
      </w:tr>
      <w:tr w:rsidR="00F83DA4" w:rsidRPr="00F83DA4" w14:paraId="6C822C07" w14:textId="77777777" w:rsidTr="00F83DA4">
        <w:tc>
          <w:tcPr>
            <w:tcW w:w="1106" w:type="pct"/>
            <w:hideMark/>
          </w:tcPr>
          <w:p w14:paraId="2C2AF88B" w14:textId="77777777" w:rsidR="00F83DA4" w:rsidRPr="00F83DA4" w:rsidRDefault="00F83DA4" w:rsidP="00F83DA4">
            <w:pPr>
              <w:jc w:val="both"/>
              <w:rPr>
                <w:rFonts w:ascii="Arial" w:hAnsi="Arial" w:cs="Arial"/>
              </w:rPr>
            </w:pPr>
            <w:proofErr w:type="spellStart"/>
            <w:r w:rsidRPr="00F83DA4">
              <w:rPr>
                <w:rFonts w:ascii="Arial" w:hAnsi="Arial" w:cs="Arial"/>
                <w:i/>
                <w:iCs/>
              </w:rPr>
              <w:t>Sesamia</w:t>
            </w:r>
            <w:proofErr w:type="spellEnd"/>
            <w:r w:rsidRPr="00F83DA4">
              <w:rPr>
                <w:rFonts w:ascii="Arial" w:hAnsi="Arial" w:cs="Arial"/>
                <w:i/>
                <w:iCs/>
              </w:rPr>
              <w:t xml:space="preserve"> </w:t>
            </w:r>
            <w:proofErr w:type="spellStart"/>
            <w:r w:rsidRPr="00F83DA4">
              <w:rPr>
                <w:rFonts w:ascii="Arial" w:hAnsi="Arial" w:cs="Arial"/>
                <w:i/>
                <w:iCs/>
              </w:rPr>
              <w:t>inferens</w:t>
            </w:r>
            <w:proofErr w:type="spellEnd"/>
            <w:r w:rsidRPr="00F83DA4">
              <w:rPr>
                <w:rFonts w:ascii="Arial" w:hAnsi="Arial" w:cs="Arial"/>
              </w:rPr>
              <w:t> (Pink stem borer)</w:t>
            </w:r>
          </w:p>
        </w:tc>
        <w:tc>
          <w:tcPr>
            <w:tcW w:w="555" w:type="pct"/>
            <w:hideMark/>
          </w:tcPr>
          <w:p w14:paraId="078DC79D" w14:textId="77777777" w:rsidR="00F83DA4" w:rsidRPr="00F83DA4" w:rsidRDefault="00F83DA4" w:rsidP="00F83DA4">
            <w:pPr>
              <w:jc w:val="both"/>
              <w:rPr>
                <w:rFonts w:ascii="Arial" w:hAnsi="Arial" w:cs="Arial"/>
              </w:rPr>
            </w:pPr>
            <w:r w:rsidRPr="00F83DA4">
              <w:rPr>
                <w:rFonts w:ascii="Arial" w:hAnsi="Arial" w:cs="Arial"/>
                <w:i/>
                <w:iCs/>
              </w:rPr>
              <w:t>SiCHS1</w:t>
            </w:r>
          </w:p>
        </w:tc>
        <w:tc>
          <w:tcPr>
            <w:tcW w:w="1126" w:type="pct"/>
            <w:hideMark/>
          </w:tcPr>
          <w:p w14:paraId="652F80B7" w14:textId="77777777" w:rsidR="00F83DA4" w:rsidRPr="00F83DA4" w:rsidRDefault="00F83DA4" w:rsidP="00F83DA4">
            <w:pPr>
              <w:jc w:val="both"/>
              <w:rPr>
                <w:rFonts w:ascii="Arial" w:hAnsi="Arial" w:cs="Arial"/>
              </w:rPr>
            </w:pPr>
            <w:r w:rsidRPr="00F83DA4">
              <w:rPr>
                <w:rFonts w:ascii="Arial" w:hAnsi="Arial" w:cs="Arial"/>
              </w:rPr>
              <w:t>Chitin synthase 1, cuticle formation</w:t>
            </w:r>
          </w:p>
        </w:tc>
        <w:tc>
          <w:tcPr>
            <w:tcW w:w="691" w:type="pct"/>
            <w:hideMark/>
          </w:tcPr>
          <w:p w14:paraId="6A69CC89" w14:textId="77777777" w:rsidR="00F83DA4" w:rsidRPr="00F83DA4" w:rsidRDefault="00F83DA4" w:rsidP="00F83DA4">
            <w:pPr>
              <w:jc w:val="both"/>
              <w:rPr>
                <w:rFonts w:ascii="Arial" w:hAnsi="Arial" w:cs="Arial"/>
              </w:rPr>
            </w:pPr>
            <w:r w:rsidRPr="00F83DA4">
              <w:rPr>
                <w:rFonts w:ascii="Arial" w:hAnsi="Arial" w:cs="Arial"/>
              </w:rPr>
              <w:t>70-85</w:t>
            </w:r>
          </w:p>
        </w:tc>
        <w:tc>
          <w:tcPr>
            <w:tcW w:w="905" w:type="pct"/>
            <w:hideMark/>
          </w:tcPr>
          <w:p w14:paraId="77D89EB9" w14:textId="77777777" w:rsidR="00F83DA4" w:rsidRPr="00F83DA4" w:rsidRDefault="00F83DA4" w:rsidP="00F83DA4">
            <w:pPr>
              <w:jc w:val="both"/>
              <w:rPr>
                <w:rFonts w:ascii="Arial" w:hAnsi="Arial" w:cs="Arial"/>
              </w:rPr>
            </w:pPr>
            <w:r w:rsidRPr="00F83DA4">
              <w:rPr>
                <w:rFonts w:ascii="Arial" w:hAnsi="Arial" w:cs="Arial"/>
              </w:rPr>
              <w:t>65-80% mortality, molting defects</w:t>
            </w:r>
          </w:p>
        </w:tc>
        <w:tc>
          <w:tcPr>
            <w:tcW w:w="617" w:type="pct"/>
            <w:hideMark/>
          </w:tcPr>
          <w:p w14:paraId="4C4E222E" w14:textId="77777777" w:rsidR="00F83DA4" w:rsidRPr="00F83DA4" w:rsidRDefault="00F83DA4" w:rsidP="00F83DA4">
            <w:pPr>
              <w:jc w:val="both"/>
              <w:rPr>
                <w:rFonts w:ascii="Arial" w:hAnsi="Arial" w:cs="Arial"/>
              </w:rPr>
            </w:pPr>
            <w:r w:rsidRPr="00F83DA4">
              <w:rPr>
                <w:rFonts w:ascii="Arial" w:hAnsi="Arial" w:cs="Arial"/>
              </w:rPr>
              <w:t>Zhang et al., 2017</w:t>
            </w:r>
          </w:p>
        </w:tc>
      </w:tr>
      <w:tr w:rsidR="00F83DA4" w:rsidRPr="00F83DA4" w14:paraId="0E67D9CC" w14:textId="77777777" w:rsidTr="00F83DA4">
        <w:tc>
          <w:tcPr>
            <w:tcW w:w="1106" w:type="pct"/>
            <w:hideMark/>
          </w:tcPr>
          <w:p w14:paraId="58E00945" w14:textId="77777777" w:rsidR="00F83DA4" w:rsidRPr="00F83DA4" w:rsidRDefault="00F83DA4" w:rsidP="00F83DA4">
            <w:pPr>
              <w:jc w:val="both"/>
              <w:rPr>
                <w:rFonts w:ascii="Arial" w:hAnsi="Arial" w:cs="Arial"/>
              </w:rPr>
            </w:pPr>
            <w:proofErr w:type="spellStart"/>
            <w:r w:rsidRPr="00F83DA4">
              <w:rPr>
                <w:rFonts w:ascii="Arial" w:hAnsi="Arial" w:cs="Arial"/>
                <w:i/>
                <w:iCs/>
              </w:rPr>
              <w:t>Laodelphax</w:t>
            </w:r>
            <w:proofErr w:type="spellEnd"/>
            <w:r w:rsidRPr="00F83DA4">
              <w:rPr>
                <w:rFonts w:ascii="Arial" w:hAnsi="Arial" w:cs="Arial"/>
                <w:i/>
                <w:iCs/>
              </w:rPr>
              <w:t xml:space="preserve"> </w:t>
            </w:r>
            <w:proofErr w:type="spellStart"/>
            <w:r w:rsidRPr="00F83DA4">
              <w:rPr>
                <w:rFonts w:ascii="Arial" w:hAnsi="Arial" w:cs="Arial"/>
                <w:i/>
                <w:iCs/>
              </w:rPr>
              <w:t>striatellus</w:t>
            </w:r>
            <w:proofErr w:type="spellEnd"/>
            <w:r w:rsidRPr="00F83DA4">
              <w:rPr>
                <w:rFonts w:ascii="Arial" w:hAnsi="Arial" w:cs="Arial"/>
              </w:rPr>
              <w:t> (SBPH)</w:t>
            </w:r>
          </w:p>
        </w:tc>
        <w:tc>
          <w:tcPr>
            <w:tcW w:w="555" w:type="pct"/>
            <w:hideMark/>
          </w:tcPr>
          <w:p w14:paraId="25D0784E" w14:textId="77777777" w:rsidR="00F83DA4" w:rsidRPr="00F83DA4" w:rsidRDefault="00F83DA4" w:rsidP="00F83DA4">
            <w:pPr>
              <w:jc w:val="both"/>
              <w:rPr>
                <w:rFonts w:ascii="Arial" w:hAnsi="Arial" w:cs="Arial"/>
              </w:rPr>
            </w:pPr>
            <w:r w:rsidRPr="00F83DA4">
              <w:rPr>
                <w:rFonts w:ascii="Arial" w:hAnsi="Arial" w:cs="Arial"/>
                <w:i/>
                <w:iCs/>
              </w:rPr>
              <w:t>LsRac1</w:t>
            </w:r>
          </w:p>
        </w:tc>
        <w:tc>
          <w:tcPr>
            <w:tcW w:w="1126" w:type="pct"/>
            <w:hideMark/>
          </w:tcPr>
          <w:p w14:paraId="49A412D0" w14:textId="77777777" w:rsidR="00F83DA4" w:rsidRPr="00F83DA4" w:rsidRDefault="00F83DA4" w:rsidP="00F83DA4">
            <w:pPr>
              <w:jc w:val="both"/>
              <w:rPr>
                <w:rFonts w:ascii="Arial" w:hAnsi="Arial" w:cs="Arial"/>
              </w:rPr>
            </w:pPr>
            <w:r w:rsidRPr="00F83DA4">
              <w:rPr>
                <w:rFonts w:ascii="Arial" w:hAnsi="Arial" w:cs="Arial"/>
              </w:rPr>
              <w:t>Small GTPase, immune response</w:t>
            </w:r>
          </w:p>
        </w:tc>
        <w:tc>
          <w:tcPr>
            <w:tcW w:w="691" w:type="pct"/>
            <w:hideMark/>
          </w:tcPr>
          <w:p w14:paraId="3672A488" w14:textId="77777777" w:rsidR="00F83DA4" w:rsidRPr="00F83DA4" w:rsidRDefault="00F83DA4" w:rsidP="00F83DA4">
            <w:pPr>
              <w:jc w:val="both"/>
              <w:rPr>
                <w:rFonts w:ascii="Arial" w:hAnsi="Arial" w:cs="Arial"/>
              </w:rPr>
            </w:pPr>
            <w:r w:rsidRPr="00F83DA4">
              <w:rPr>
                <w:rFonts w:ascii="Arial" w:hAnsi="Arial" w:cs="Arial"/>
              </w:rPr>
              <w:t>60-75</w:t>
            </w:r>
          </w:p>
        </w:tc>
        <w:tc>
          <w:tcPr>
            <w:tcW w:w="905" w:type="pct"/>
            <w:hideMark/>
          </w:tcPr>
          <w:p w14:paraId="671ECF9E" w14:textId="77777777" w:rsidR="00F83DA4" w:rsidRPr="00F83DA4" w:rsidRDefault="00F83DA4" w:rsidP="00F83DA4">
            <w:pPr>
              <w:jc w:val="both"/>
              <w:rPr>
                <w:rFonts w:ascii="Arial" w:hAnsi="Arial" w:cs="Arial"/>
              </w:rPr>
            </w:pPr>
            <w:r w:rsidRPr="00F83DA4">
              <w:rPr>
                <w:rFonts w:ascii="Arial" w:hAnsi="Arial" w:cs="Arial"/>
              </w:rPr>
              <w:t>55-70% mortality, immune deficiency</w:t>
            </w:r>
          </w:p>
        </w:tc>
        <w:tc>
          <w:tcPr>
            <w:tcW w:w="617" w:type="pct"/>
            <w:hideMark/>
          </w:tcPr>
          <w:p w14:paraId="240FD4EA" w14:textId="77777777" w:rsidR="00F83DA4" w:rsidRPr="00F83DA4" w:rsidRDefault="00F83DA4" w:rsidP="00F83DA4">
            <w:pPr>
              <w:jc w:val="both"/>
              <w:rPr>
                <w:rFonts w:ascii="Arial" w:hAnsi="Arial" w:cs="Arial"/>
              </w:rPr>
            </w:pPr>
            <w:r w:rsidRPr="00F83DA4">
              <w:rPr>
                <w:rFonts w:ascii="Arial" w:hAnsi="Arial" w:cs="Arial"/>
              </w:rPr>
              <w:t>Liu et al., 2015</w:t>
            </w:r>
          </w:p>
        </w:tc>
      </w:tr>
      <w:tr w:rsidR="00F83DA4" w:rsidRPr="00F83DA4" w14:paraId="6476ECD0" w14:textId="77777777" w:rsidTr="00F83DA4">
        <w:tc>
          <w:tcPr>
            <w:tcW w:w="1106" w:type="pct"/>
            <w:hideMark/>
          </w:tcPr>
          <w:p w14:paraId="411B10D8" w14:textId="77777777" w:rsidR="00F83DA4" w:rsidRPr="00F83DA4" w:rsidRDefault="00F83DA4" w:rsidP="00F83DA4">
            <w:pPr>
              <w:jc w:val="both"/>
              <w:rPr>
                <w:rFonts w:ascii="Arial" w:hAnsi="Arial" w:cs="Arial"/>
              </w:rPr>
            </w:pPr>
            <w:proofErr w:type="spellStart"/>
            <w:r w:rsidRPr="00F83DA4">
              <w:rPr>
                <w:rFonts w:ascii="Arial" w:hAnsi="Arial" w:cs="Arial"/>
                <w:i/>
                <w:iCs/>
              </w:rPr>
              <w:t>Sogatella</w:t>
            </w:r>
            <w:proofErr w:type="spellEnd"/>
            <w:r w:rsidRPr="00F83DA4">
              <w:rPr>
                <w:rFonts w:ascii="Arial" w:hAnsi="Arial" w:cs="Arial"/>
                <w:i/>
                <w:iCs/>
              </w:rPr>
              <w:t xml:space="preserve"> </w:t>
            </w:r>
            <w:proofErr w:type="spellStart"/>
            <w:r w:rsidRPr="00F83DA4">
              <w:rPr>
                <w:rFonts w:ascii="Arial" w:hAnsi="Arial" w:cs="Arial"/>
                <w:i/>
                <w:iCs/>
              </w:rPr>
              <w:t>furcifera</w:t>
            </w:r>
            <w:proofErr w:type="spellEnd"/>
            <w:r w:rsidRPr="00F83DA4">
              <w:rPr>
                <w:rFonts w:ascii="Arial" w:hAnsi="Arial" w:cs="Arial"/>
              </w:rPr>
              <w:t> (WBPH)</w:t>
            </w:r>
          </w:p>
        </w:tc>
        <w:tc>
          <w:tcPr>
            <w:tcW w:w="555" w:type="pct"/>
            <w:hideMark/>
          </w:tcPr>
          <w:p w14:paraId="46620EFA" w14:textId="77777777" w:rsidR="00F83DA4" w:rsidRPr="00F83DA4" w:rsidRDefault="00F83DA4" w:rsidP="00F83DA4">
            <w:pPr>
              <w:jc w:val="both"/>
              <w:rPr>
                <w:rFonts w:ascii="Arial" w:hAnsi="Arial" w:cs="Arial"/>
              </w:rPr>
            </w:pPr>
            <w:r w:rsidRPr="00F83DA4">
              <w:rPr>
                <w:rFonts w:ascii="Arial" w:hAnsi="Arial" w:cs="Arial"/>
                <w:i/>
                <w:iCs/>
              </w:rPr>
              <w:t>SfSNF7</w:t>
            </w:r>
          </w:p>
        </w:tc>
        <w:tc>
          <w:tcPr>
            <w:tcW w:w="1126" w:type="pct"/>
            <w:hideMark/>
          </w:tcPr>
          <w:p w14:paraId="3AE564DD" w14:textId="77777777" w:rsidR="00F83DA4" w:rsidRPr="00F83DA4" w:rsidRDefault="00F83DA4" w:rsidP="00F83DA4">
            <w:pPr>
              <w:jc w:val="both"/>
              <w:rPr>
                <w:rFonts w:ascii="Arial" w:hAnsi="Arial" w:cs="Arial"/>
              </w:rPr>
            </w:pPr>
            <w:r w:rsidRPr="00F83DA4">
              <w:rPr>
                <w:rFonts w:ascii="Arial" w:hAnsi="Arial" w:cs="Arial"/>
              </w:rPr>
              <w:t>ESCRT-III protein</w:t>
            </w:r>
          </w:p>
        </w:tc>
        <w:tc>
          <w:tcPr>
            <w:tcW w:w="691" w:type="pct"/>
            <w:hideMark/>
          </w:tcPr>
          <w:p w14:paraId="0D5B362C" w14:textId="77777777" w:rsidR="00F83DA4" w:rsidRPr="00F83DA4" w:rsidRDefault="00F83DA4" w:rsidP="00F83DA4">
            <w:pPr>
              <w:jc w:val="both"/>
              <w:rPr>
                <w:rFonts w:ascii="Arial" w:hAnsi="Arial" w:cs="Arial"/>
              </w:rPr>
            </w:pPr>
            <w:r w:rsidRPr="00F83DA4">
              <w:rPr>
                <w:rFonts w:ascii="Arial" w:hAnsi="Arial" w:cs="Arial"/>
              </w:rPr>
              <w:t>70-85</w:t>
            </w:r>
          </w:p>
        </w:tc>
        <w:tc>
          <w:tcPr>
            <w:tcW w:w="905" w:type="pct"/>
            <w:hideMark/>
          </w:tcPr>
          <w:p w14:paraId="7F39FF30" w14:textId="77777777" w:rsidR="00F83DA4" w:rsidRPr="00F83DA4" w:rsidRDefault="00F83DA4" w:rsidP="00F83DA4">
            <w:pPr>
              <w:jc w:val="both"/>
              <w:rPr>
                <w:rFonts w:ascii="Arial" w:hAnsi="Arial" w:cs="Arial"/>
              </w:rPr>
            </w:pPr>
            <w:r w:rsidRPr="00F83DA4">
              <w:rPr>
                <w:rFonts w:ascii="Arial" w:hAnsi="Arial" w:cs="Arial"/>
              </w:rPr>
              <w:t>65-80% mortality (10 days)</w:t>
            </w:r>
          </w:p>
        </w:tc>
        <w:tc>
          <w:tcPr>
            <w:tcW w:w="617" w:type="pct"/>
            <w:hideMark/>
          </w:tcPr>
          <w:p w14:paraId="6EFFC008" w14:textId="77777777" w:rsidR="00F83DA4" w:rsidRPr="00F83DA4" w:rsidRDefault="00F83DA4" w:rsidP="00F83DA4">
            <w:pPr>
              <w:jc w:val="both"/>
              <w:rPr>
                <w:rFonts w:ascii="Arial" w:hAnsi="Arial" w:cs="Arial"/>
              </w:rPr>
            </w:pPr>
            <w:r w:rsidRPr="00F83DA4">
              <w:rPr>
                <w:rFonts w:ascii="Arial" w:hAnsi="Arial" w:cs="Arial"/>
              </w:rPr>
              <w:t>Guo et al., 2019</w:t>
            </w:r>
          </w:p>
        </w:tc>
      </w:tr>
      <w:tr w:rsidR="00F83DA4" w:rsidRPr="00F83DA4" w14:paraId="30A7C551" w14:textId="77777777" w:rsidTr="00F83DA4">
        <w:tc>
          <w:tcPr>
            <w:tcW w:w="1106" w:type="pct"/>
            <w:hideMark/>
          </w:tcPr>
          <w:p w14:paraId="4167D5C8" w14:textId="77777777" w:rsidR="00F83DA4" w:rsidRPr="00F83DA4" w:rsidRDefault="00F83DA4" w:rsidP="00F83DA4">
            <w:pPr>
              <w:jc w:val="both"/>
              <w:rPr>
                <w:rFonts w:ascii="Arial" w:hAnsi="Arial" w:cs="Arial"/>
              </w:rPr>
            </w:pPr>
            <w:proofErr w:type="spellStart"/>
            <w:r w:rsidRPr="00F83DA4">
              <w:rPr>
                <w:rFonts w:ascii="Arial" w:hAnsi="Arial" w:cs="Arial"/>
                <w:i/>
                <w:iCs/>
              </w:rPr>
              <w:t>Spodoptera</w:t>
            </w:r>
            <w:proofErr w:type="spellEnd"/>
            <w:r w:rsidRPr="00F83DA4">
              <w:rPr>
                <w:rFonts w:ascii="Arial" w:hAnsi="Arial" w:cs="Arial"/>
                <w:i/>
                <w:iCs/>
              </w:rPr>
              <w:t xml:space="preserve"> </w:t>
            </w:r>
            <w:proofErr w:type="spellStart"/>
            <w:r w:rsidRPr="00F83DA4">
              <w:rPr>
                <w:rFonts w:ascii="Arial" w:hAnsi="Arial" w:cs="Arial"/>
                <w:i/>
                <w:iCs/>
              </w:rPr>
              <w:t>frugiperda</w:t>
            </w:r>
            <w:proofErr w:type="spellEnd"/>
            <w:r w:rsidRPr="00F83DA4">
              <w:rPr>
                <w:rFonts w:ascii="Arial" w:hAnsi="Arial" w:cs="Arial"/>
              </w:rPr>
              <w:t> (FAW)</w:t>
            </w:r>
          </w:p>
        </w:tc>
        <w:tc>
          <w:tcPr>
            <w:tcW w:w="555" w:type="pct"/>
            <w:hideMark/>
          </w:tcPr>
          <w:p w14:paraId="47813AEA" w14:textId="77777777" w:rsidR="00F83DA4" w:rsidRPr="00F83DA4" w:rsidRDefault="00F83DA4" w:rsidP="00F83DA4">
            <w:pPr>
              <w:jc w:val="both"/>
              <w:rPr>
                <w:rFonts w:ascii="Arial" w:hAnsi="Arial" w:cs="Arial"/>
              </w:rPr>
            </w:pPr>
            <w:r w:rsidRPr="00F83DA4">
              <w:rPr>
                <w:rFonts w:ascii="Arial" w:hAnsi="Arial" w:cs="Arial"/>
                <w:i/>
                <w:iCs/>
              </w:rPr>
              <w:t>SfABCC2</w:t>
            </w:r>
          </w:p>
        </w:tc>
        <w:tc>
          <w:tcPr>
            <w:tcW w:w="1126" w:type="pct"/>
            <w:hideMark/>
          </w:tcPr>
          <w:p w14:paraId="43BDF401" w14:textId="77777777" w:rsidR="00F83DA4" w:rsidRPr="00F83DA4" w:rsidRDefault="00F83DA4" w:rsidP="00F83DA4">
            <w:pPr>
              <w:jc w:val="both"/>
              <w:rPr>
                <w:rFonts w:ascii="Arial" w:hAnsi="Arial" w:cs="Arial"/>
              </w:rPr>
            </w:pPr>
            <w:r w:rsidRPr="00F83DA4">
              <w:rPr>
                <w:rFonts w:ascii="Arial" w:hAnsi="Arial" w:cs="Arial"/>
              </w:rPr>
              <w:t xml:space="preserve">ABC transporter, </w:t>
            </w:r>
            <w:proofErr w:type="spellStart"/>
            <w:r w:rsidRPr="00F83DA4">
              <w:rPr>
                <w:rFonts w:ascii="Arial" w:hAnsi="Arial" w:cs="Arial"/>
              </w:rPr>
              <w:t>Bt</w:t>
            </w:r>
            <w:proofErr w:type="spellEnd"/>
            <w:r w:rsidRPr="00F83DA4">
              <w:rPr>
                <w:rFonts w:ascii="Arial" w:hAnsi="Arial" w:cs="Arial"/>
              </w:rPr>
              <w:t xml:space="preserve"> toxin receptor</w:t>
            </w:r>
          </w:p>
        </w:tc>
        <w:tc>
          <w:tcPr>
            <w:tcW w:w="691" w:type="pct"/>
            <w:hideMark/>
          </w:tcPr>
          <w:p w14:paraId="6946B1C3" w14:textId="77777777" w:rsidR="00F83DA4" w:rsidRPr="00F83DA4" w:rsidRDefault="00F83DA4" w:rsidP="00F83DA4">
            <w:pPr>
              <w:jc w:val="both"/>
              <w:rPr>
                <w:rFonts w:ascii="Arial" w:hAnsi="Arial" w:cs="Arial"/>
              </w:rPr>
            </w:pPr>
            <w:r w:rsidRPr="00F83DA4">
              <w:rPr>
                <w:rFonts w:ascii="Arial" w:hAnsi="Arial" w:cs="Arial"/>
              </w:rPr>
              <w:t>65-80</w:t>
            </w:r>
          </w:p>
        </w:tc>
        <w:tc>
          <w:tcPr>
            <w:tcW w:w="905" w:type="pct"/>
            <w:hideMark/>
          </w:tcPr>
          <w:p w14:paraId="581E7927" w14:textId="77777777" w:rsidR="00F83DA4" w:rsidRPr="00F83DA4" w:rsidRDefault="00F83DA4" w:rsidP="00F83DA4">
            <w:pPr>
              <w:jc w:val="both"/>
              <w:rPr>
                <w:rFonts w:ascii="Arial" w:hAnsi="Arial" w:cs="Arial"/>
              </w:rPr>
            </w:pPr>
            <w:r w:rsidRPr="00F83DA4">
              <w:rPr>
                <w:rFonts w:ascii="Arial" w:hAnsi="Arial" w:cs="Arial"/>
              </w:rPr>
              <w:t xml:space="preserve">60-75% mortality, enhanced </w:t>
            </w:r>
            <w:proofErr w:type="spellStart"/>
            <w:r w:rsidRPr="00F83DA4">
              <w:rPr>
                <w:rFonts w:ascii="Arial" w:hAnsi="Arial" w:cs="Arial"/>
              </w:rPr>
              <w:t>Bt</w:t>
            </w:r>
            <w:proofErr w:type="spellEnd"/>
          </w:p>
        </w:tc>
        <w:tc>
          <w:tcPr>
            <w:tcW w:w="617" w:type="pct"/>
            <w:hideMark/>
          </w:tcPr>
          <w:p w14:paraId="241ABBEA" w14:textId="77777777" w:rsidR="00F83DA4" w:rsidRPr="00F83DA4" w:rsidRDefault="00F83DA4" w:rsidP="00F83DA4">
            <w:pPr>
              <w:jc w:val="both"/>
              <w:rPr>
                <w:rFonts w:ascii="Arial" w:hAnsi="Arial" w:cs="Arial"/>
              </w:rPr>
            </w:pPr>
            <w:r w:rsidRPr="00F83DA4">
              <w:rPr>
                <w:rFonts w:ascii="Arial" w:hAnsi="Arial" w:cs="Arial"/>
              </w:rPr>
              <w:t>Wang et al., 2020</w:t>
            </w:r>
          </w:p>
        </w:tc>
      </w:tr>
    </w:tbl>
    <w:p w14:paraId="2F498EF1" w14:textId="77777777" w:rsidR="00F83DA4" w:rsidRPr="00F83DA4" w:rsidRDefault="00F83DA4" w:rsidP="00F83DA4">
      <w:pPr>
        <w:jc w:val="both"/>
        <w:rPr>
          <w:rFonts w:ascii="Arial" w:hAnsi="Arial" w:cs="Arial"/>
          <w:i/>
          <w:iCs/>
        </w:rPr>
      </w:pPr>
      <w:r w:rsidRPr="00F83DA4">
        <w:rPr>
          <w:rFonts w:ascii="Arial" w:hAnsi="Arial" w:cs="Arial"/>
          <w:b/>
          <w:bCs/>
          <w:i/>
          <w:iCs/>
        </w:rPr>
        <w:t>Notes:</w:t>
      </w:r>
      <w:r w:rsidRPr="00F83DA4">
        <w:rPr>
          <w:rFonts w:ascii="Arial" w:hAnsi="Arial" w:cs="Arial"/>
          <w:i/>
          <w:iCs/>
        </w:rPr>
        <w:t xml:space="preserve"> BPH = Brown Planthopper; SBPH = Small Brown Planthopper; WBPH = White-Backed Planthopper; FAW = Fall Armyworm. Knockdown and mortality data from feeding/injection bioassays with dsRNA (100-500 ng/insect or 1-5 </w:t>
      </w:r>
      <w:proofErr w:type="spellStart"/>
      <w:r w:rsidRPr="00F83DA4">
        <w:rPr>
          <w:rFonts w:ascii="Arial" w:hAnsi="Arial" w:cs="Arial"/>
          <w:i/>
          <w:iCs/>
        </w:rPr>
        <w:t>μg</w:t>
      </w:r>
      <w:proofErr w:type="spellEnd"/>
      <w:r w:rsidRPr="00F83DA4">
        <w:rPr>
          <w:rFonts w:ascii="Arial" w:hAnsi="Arial" w:cs="Arial"/>
          <w:i/>
          <w:iCs/>
        </w:rPr>
        <w:t>/g diet).</w:t>
      </w:r>
    </w:p>
    <w:p w14:paraId="321A71E0" w14:textId="77777777" w:rsidR="00F83DA4" w:rsidRPr="0084071C" w:rsidRDefault="00F83DA4" w:rsidP="0084071C">
      <w:pPr>
        <w:jc w:val="both"/>
        <w:rPr>
          <w:rFonts w:ascii="Arial" w:hAnsi="Arial" w:cs="Arial"/>
          <w:b/>
          <w:bCs/>
        </w:rPr>
      </w:pPr>
    </w:p>
    <w:p w14:paraId="59BC154F" w14:textId="77777777" w:rsidR="0084071C" w:rsidRDefault="0084071C" w:rsidP="0084071C">
      <w:pPr>
        <w:jc w:val="both"/>
        <w:rPr>
          <w:rFonts w:ascii="Arial" w:hAnsi="Arial" w:cs="Arial"/>
          <w:b/>
          <w:bCs/>
        </w:rPr>
      </w:pPr>
    </w:p>
    <w:p w14:paraId="0E07B720" w14:textId="2B2E26B9" w:rsidR="00671E5E" w:rsidRPr="00671E5E" w:rsidRDefault="00671E5E" w:rsidP="00671E5E">
      <w:pPr>
        <w:jc w:val="both"/>
        <w:rPr>
          <w:rFonts w:ascii="Arial" w:hAnsi="Arial" w:cs="Arial"/>
          <w:b/>
          <w:bCs/>
        </w:rPr>
      </w:pPr>
      <w:r>
        <w:rPr>
          <w:rFonts w:ascii="Arial" w:hAnsi="Arial" w:cs="Arial"/>
          <w:b/>
          <w:bCs/>
        </w:rPr>
        <w:t xml:space="preserve">3.5 </w:t>
      </w:r>
      <w:r w:rsidRPr="00671E5E">
        <w:rPr>
          <w:rFonts w:ascii="Arial" w:hAnsi="Arial" w:cs="Arial"/>
          <w:b/>
          <w:bCs/>
        </w:rPr>
        <w:t>Comparative Efficacy and Economic Considerations</w:t>
      </w:r>
    </w:p>
    <w:p w14:paraId="7E9ACBB0" w14:textId="77777777" w:rsidR="00141945" w:rsidRDefault="00141945" w:rsidP="0084071C">
      <w:pPr>
        <w:jc w:val="both"/>
        <w:rPr>
          <w:rFonts w:ascii="Arial" w:hAnsi="Arial" w:cs="Arial"/>
          <w:b/>
          <w:bCs/>
        </w:rPr>
      </w:pPr>
    </w:p>
    <w:p w14:paraId="4D952CD2" w14:textId="05C955B6" w:rsidR="00671E5E" w:rsidRPr="00671E5E" w:rsidRDefault="00671E5E" w:rsidP="0084071C">
      <w:pPr>
        <w:jc w:val="both"/>
        <w:rPr>
          <w:rFonts w:ascii="Arial" w:hAnsi="Arial" w:cs="Arial"/>
        </w:rPr>
      </w:pPr>
      <w:r w:rsidRPr="00671E5E">
        <w:rPr>
          <w:rFonts w:ascii="Arial" w:hAnsi="Arial" w:cs="Arial"/>
        </w:rPr>
        <w:t xml:space="preserve">Meta-analysis of </w:t>
      </w:r>
      <w:proofErr w:type="spellStart"/>
      <w:r w:rsidRPr="00671E5E">
        <w:rPr>
          <w:rFonts w:ascii="Arial" w:hAnsi="Arial" w:cs="Arial"/>
        </w:rPr>
        <w:t>nanopesticide</w:t>
      </w:r>
      <w:proofErr w:type="spellEnd"/>
      <w:r w:rsidRPr="00671E5E">
        <w:rPr>
          <w:rFonts w:ascii="Arial" w:hAnsi="Arial" w:cs="Arial"/>
        </w:rPr>
        <w:t xml:space="preserve"> field trials demonstrates 30–60% reduction in active ingredient requirements while maintaining or improving pest/disease control efficacy compared to conventional formulations (Kah et al., 2018; Adisa et al., 2019). Controlled release extends efficacy duration by 2–5-fold, reducing application frequency by 40–70% and lowering labor costs by 30–50% (Grillo et al., 2021). However, </w:t>
      </w:r>
      <w:proofErr w:type="spellStart"/>
      <w:r w:rsidRPr="00671E5E">
        <w:rPr>
          <w:rFonts w:ascii="Arial" w:hAnsi="Arial" w:cs="Arial"/>
        </w:rPr>
        <w:t>nanoformulation</w:t>
      </w:r>
      <w:proofErr w:type="spellEnd"/>
      <w:r w:rsidRPr="00671E5E">
        <w:rPr>
          <w:rFonts w:ascii="Arial" w:hAnsi="Arial" w:cs="Arial"/>
        </w:rPr>
        <w:t xml:space="preserve"> production costs currently exceed conventional formulations by 2–8-fold, limiting adoption among smallholder farmers (Kah &amp; Hofmann, 2014). Production scale-up, process optimization, and economies of scale could reduce costs by 50–70% within 5–10 years, improving economic viability (Prasad et al., 2017).</w:t>
      </w:r>
    </w:p>
    <w:p w14:paraId="42381689" w14:textId="77777777" w:rsidR="00141945" w:rsidRDefault="00141945" w:rsidP="0084071C">
      <w:pPr>
        <w:jc w:val="both"/>
        <w:rPr>
          <w:rFonts w:ascii="Arial" w:hAnsi="Arial" w:cs="Arial"/>
          <w:b/>
          <w:bCs/>
        </w:rPr>
      </w:pPr>
    </w:p>
    <w:p w14:paraId="2E0E126E" w14:textId="77777777" w:rsidR="00141945" w:rsidRDefault="00141945" w:rsidP="0084071C">
      <w:pPr>
        <w:jc w:val="both"/>
        <w:rPr>
          <w:rFonts w:ascii="Arial" w:hAnsi="Arial" w:cs="Arial"/>
          <w:b/>
          <w:bCs/>
        </w:rPr>
      </w:pPr>
    </w:p>
    <w:p w14:paraId="351BCDA5" w14:textId="77777777" w:rsidR="005C37DA" w:rsidRPr="001B1044" w:rsidRDefault="005C37DA" w:rsidP="005C37DA">
      <w:pPr>
        <w:jc w:val="both"/>
        <w:rPr>
          <w:rFonts w:ascii="Times New Roman" w:hAnsi="Times New Roman"/>
        </w:rPr>
      </w:pPr>
      <w:r>
        <w:rPr>
          <w:rFonts w:ascii="Times New Roman" w:hAnsi="Times New Roman"/>
          <w:noProof/>
        </w:rPr>
        <w:lastRenderedPageBreak/>
        <w:drawing>
          <wp:inline distT="0" distB="0" distL="0" distR="0" wp14:anchorId="36CA9219" wp14:editId="145399DC">
            <wp:extent cx="5943600" cy="5294366"/>
            <wp:effectExtent l="0" t="0" r="0" b="1905"/>
            <wp:docPr id="571398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98916" name="Picture 571398916"/>
                    <pic:cNvPicPr/>
                  </pic:nvPicPr>
                  <pic:blipFill rotWithShape="1">
                    <a:blip r:embed="rId11" cstate="print">
                      <a:extLst>
                        <a:ext uri="{28A0092B-C50C-407E-A947-70E740481C1C}">
                          <a14:useLocalDpi xmlns:a14="http://schemas.microsoft.com/office/drawing/2010/main" val="0"/>
                        </a:ext>
                      </a:extLst>
                    </a:blip>
                    <a:srcRect t="2621"/>
                    <a:stretch>
                      <a:fillRect/>
                    </a:stretch>
                  </pic:blipFill>
                  <pic:spPr bwMode="auto">
                    <a:xfrm>
                      <a:off x="0" y="0"/>
                      <a:ext cx="5943600" cy="5294366"/>
                    </a:xfrm>
                    <a:prstGeom prst="rect">
                      <a:avLst/>
                    </a:prstGeom>
                    <a:ln>
                      <a:noFill/>
                    </a:ln>
                    <a:extLst>
                      <a:ext uri="{53640926-AAD7-44D8-BBD7-CCE9431645EC}">
                        <a14:shadowObscured xmlns:a14="http://schemas.microsoft.com/office/drawing/2010/main"/>
                      </a:ext>
                    </a:extLst>
                  </pic:spPr>
                </pic:pic>
              </a:graphicData>
            </a:graphic>
          </wp:inline>
        </w:drawing>
      </w:r>
    </w:p>
    <w:p w14:paraId="7DD1FACB" w14:textId="77777777" w:rsidR="005C37DA" w:rsidRPr="005C37DA" w:rsidRDefault="005C37DA" w:rsidP="005C37DA">
      <w:pPr>
        <w:jc w:val="both"/>
        <w:rPr>
          <w:rFonts w:ascii="Arial" w:hAnsi="Arial" w:cs="Arial"/>
        </w:rPr>
      </w:pPr>
      <w:bookmarkStart w:id="2" w:name="_Hlk214446280"/>
      <w:r w:rsidRPr="005C37DA">
        <w:rPr>
          <w:rFonts w:ascii="Arial" w:hAnsi="Arial" w:cs="Arial"/>
          <w:b/>
          <w:bCs/>
        </w:rPr>
        <w:t>Fig. 4.</w:t>
      </w:r>
      <w:r w:rsidRPr="005C37DA">
        <w:rPr>
          <w:rFonts w:ascii="Arial" w:hAnsi="Arial" w:cs="Arial"/>
        </w:rPr>
        <w:t> RNA interference mechanism and nanocarrier-mediated delivery for pest control.</w:t>
      </w:r>
    </w:p>
    <w:p w14:paraId="06AD05F7" w14:textId="7B8F454A" w:rsidR="005C37DA" w:rsidRPr="005C37DA" w:rsidRDefault="005C37DA" w:rsidP="005C37DA">
      <w:pPr>
        <w:jc w:val="both"/>
        <w:rPr>
          <w:rFonts w:ascii="Arial" w:hAnsi="Arial" w:cs="Arial"/>
          <w:i/>
          <w:iCs/>
        </w:rPr>
      </w:pPr>
      <w:r w:rsidRPr="005C37DA">
        <w:rPr>
          <w:rFonts w:ascii="Arial" w:hAnsi="Arial" w:cs="Arial"/>
          <w:i/>
          <w:iCs/>
        </w:rPr>
        <w:t>The figure should illustrate: (A) RNAi pathway showing dsRNA processing by Dicer, siRNA incorporation into RISC, target mRNA cleavage, and gene silencing, (B) Challenges of naked dsRNA (environmental degradation, poor cellular uptake), (C) Nanocarrier protection and delivery of dsRNA, (D) Cellular uptake mechanisms (endocytosis, membrane fusion), and (E) Target gene silencing effects on pest survival, development, and reproduction.</w:t>
      </w:r>
    </w:p>
    <w:bookmarkEnd w:id="2"/>
    <w:p w14:paraId="02B451AE" w14:textId="77777777" w:rsidR="00141945" w:rsidRPr="0084071C" w:rsidRDefault="00141945" w:rsidP="0084071C">
      <w:pPr>
        <w:jc w:val="both"/>
        <w:rPr>
          <w:rFonts w:ascii="Arial" w:hAnsi="Arial" w:cs="Arial"/>
          <w:b/>
          <w:bCs/>
        </w:rPr>
      </w:pPr>
    </w:p>
    <w:p w14:paraId="743130CB" w14:textId="28136E0A" w:rsidR="0084071C" w:rsidRPr="0084071C" w:rsidRDefault="0084071C" w:rsidP="0084071C">
      <w:pPr>
        <w:jc w:val="both"/>
        <w:rPr>
          <w:rFonts w:ascii="Arial" w:hAnsi="Arial" w:cs="Arial"/>
          <w:b/>
          <w:bCs/>
          <w:sz w:val="22"/>
          <w:szCs w:val="22"/>
        </w:rPr>
      </w:pPr>
    </w:p>
    <w:p w14:paraId="3DB599AA" w14:textId="77777777" w:rsidR="00671E5E" w:rsidRDefault="0084071C" w:rsidP="0084071C">
      <w:pPr>
        <w:jc w:val="both"/>
        <w:rPr>
          <w:rFonts w:ascii="Arial" w:hAnsi="Arial" w:cs="Arial"/>
          <w:b/>
          <w:bCs/>
          <w:sz w:val="22"/>
          <w:szCs w:val="22"/>
        </w:rPr>
      </w:pPr>
      <w:r w:rsidRPr="0084071C">
        <w:rPr>
          <w:rFonts w:ascii="Arial" w:hAnsi="Arial" w:cs="Arial"/>
          <w:b/>
          <w:bCs/>
          <w:sz w:val="22"/>
          <w:szCs w:val="22"/>
        </w:rPr>
        <w:t xml:space="preserve">4. </w:t>
      </w:r>
      <w:r w:rsidR="00671E5E" w:rsidRPr="00671E5E">
        <w:rPr>
          <w:rFonts w:ascii="Arial" w:hAnsi="Arial" w:cs="Arial"/>
          <w:b/>
          <w:bCs/>
          <w:sz w:val="22"/>
          <w:szCs w:val="22"/>
        </w:rPr>
        <w:t>RNA INTERFERENCE TECHNOLOGY FOR SPECIES-SPECIFIC PEST MANAGEMENT</w:t>
      </w:r>
    </w:p>
    <w:p w14:paraId="3EE1FEA4" w14:textId="77777777" w:rsidR="00F83DA4" w:rsidRDefault="00F83DA4" w:rsidP="0084071C">
      <w:pPr>
        <w:jc w:val="both"/>
        <w:rPr>
          <w:rFonts w:ascii="Arial" w:hAnsi="Arial" w:cs="Arial"/>
          <w:b/>
          <w:bCs/>
          <w:sz w:val="22"/>
          <w:szCs w:val="22"/>
        </w:rPr>
      </w:pPr>
    </w:p>
    <w:p w14:paraId="752B8FD0" w14:textId="77777777" w:rsidR="00671E5E" w:rsidRDefault="0084071C" w:rsidP="0084071C">
      <w:pPr>
        <w:jc w:val="both"/>
        <w:rPr>
          <w:rFonts w:ascii="Arial" w:hAnsi="Arial" w:cs="Arial"/>
          <w:b/>
          <w:bCs/>
          <w:sz w:val="22"/>
          <w:szCs w:val="22"/>
        </w:rPr>
      </w:pPr>
      <w:r w:rsidRPr="0084071C">
        <w:rPr>
          <w:rFonts w:ascii="Arial" w:hAnsi="Arial" w:cs="Arial"/>
          <w:b/>
          <w:bCs/>
          <w:sz w:val="22"/>
          <w:szCs w:val="22"/>
        </w:rPr>
        <w:t xml:space="preserve">4.1 </w:t>
      </w:r>
      <w:r w:rsidR="00671E5E" w:rsidRPr="00671E5E">
        <w:rPr>
          <w:rFonts w:ascii="Arial" w:hAnsi="Arial" w:cs="Arial"/>
          <w:b/>
          <w:bCs/>
          <w:sz w:val="22"/>
          <w:szCs w:val="22"/>
        </w:rPr>
        <w:t>RNAi Mechanism and Advantages</w:t>
      </w:r>
    </w:p>
    <w:p w14:paraId="5F66B1A5" w14:textId="77777777" w:rsidR="00671E5E" w:rsidRDefault="00671E5E" w:rsidP="00671E5E">
      <w:pPr>
        <w:jc w:val="both"/>
        <w:rPr>
          <w:rFonts w:ascii="Arial" w:hAnsi="Arial" w:cs="Arial"/>
          <w:b/>
          <w:bCs/>
          <w:sz w:val="22"/>
          <w:szCs w:val="22"/>
        </w:rPr>
      </w:pPr>
    </w:p>
    <w:p w14:paraId="78615258" w14:textId="432B5285" w:rsidR="00671E5E" w:rsidRPr="00671E5E" w:rsidRDefault="00671E5E" w:rsidP="00671E5E">
      <w:pPr>
        <w:jc w:val="both"/>
        <w:rPr>
          <w:rFonts w:ascii="Arial" w:hAnsi="Arial" w:cs="Arial"/>
        </w:rPr>
      </w:pPr>
      <w:r w:rsidRPr="00671E5E">
        <w:rPr>
          <w:rFonts w:ascii="Arial" w:hAnsi="Arial" w:cs="Arial"/>
        </w:rPr>
        <w:t xml:space="preserve">RNA interference (RNAi) is a conserved eukaryotic gene regulation mechanism triggered by double-stranded RNA (dsRNA) that enables sequence-specific mRNA degradation. Upon cellular entry, dsRNA (&gt;30 bp) is recognized and cleaved by Dicer endonuclease into 21–23 nucleotide small interfering RNAs (siRNAs). siRNA duplexes associate with </w:t>
      </w:r>
      <w:proofErr w:type="spellStart"/>
      <w:r w:rsidRPr="00671E5E">
        <w:rPr>
          <w:rFonts w:ascii="Arial" w:hAnsi="Arial" w:cs="Arial"/>
        </w:rPr>
        <w:t>Argonaute</w:t>
      </w:r>
      <w:proofErr w:type="spellEnd"/>
      <w:r w:rsidRPr="00671E5E">
        <w:rPr>
          <w:rFonts w:ascii="Arial" w:hAnsi="Arial" w:cs="Arial"/>
        </w:rPr>
        <w:t xml:space="preserve"> proteins to form the RNA-induced silencing complex (RISC), which uses the siRNA guide strand to identify complementary mRNA targets. RISC-mediated mRNA cleavage results in transcript degradation and suppression of target gene expression, achieving 70–95% knockdown efficiency for essential genes (Zhu et al., 2011).</w:t>
      </w:r>
    </w:p>
    <w:p w14:paraId="48A0FCCB" w14:textId="77777777" w:rsidR="00671E5E" w:rsidRPr="00671E5E" w:rsidRDefault="00671E5E" w:rsidP="00671E5E">
      <w:pPr>
        <w:jc w:val="both"/>
        <w:rPr>
          <w:rFonts w:ascii="Arial" w:hAnsi="Arial" w:cs="Arial"/>
        </w:rPr>
      </w:pPr>
    </w:p>
    <w:p w14:paraId="0C07BBEB" w14:textId="7EB6465C" w:rsidR="0084071C" w:rsidRDefault="00671E5E" w:rsidP="00671E5E">
      <w:pPr>
        <w:jc w:val="both"/>
        <w:rPr>
          <w:rFonts w:ascii="Arial" w:hAnsi="Arial" w:cs="Arial"/>
        </w:rPr>
      </w:pPr>
      <w:r w:rsidRPr="00671E5E">
        <w:rPr>
          <w:rFonts w:ascii="Arial" w:hAnsi="Arial" w:cs="Arial"/>
        </w:rPr>
        <w:t xml:space="preserve">RNAi-based pest management offers transformative advantages: (1) </w:t>
      </w:r>
      <w:r w:rsidRPr="00671E5E">
        <w:rPr>
          <w:rFonts w:ascii="Arial" w:hAnsi="Arial" w:cs="Arial"/>
          <w:b/>
          <w:bCs/>
        </w:rPr>
        <w:t>Species-specificity:</w:t>
      </w:r>
      <w:r w:rsidRPr="00671E5E">
        <w:rPr>
          <w:rFonts w:ascii="Arial" w:hAnsi="Arial" w:cs="Arial"/>
        </w:rPr>
        <w:t xml:space="preserve"> 21-nucleotide target sequences provide exceptional specificity, enabling targeting of pest species while sparing beneficial insects sharing &lt;80% sequence identity (Bachman et al., 2013); (2) </w:t>
      </w:r>
      <w:r w:rsidRPr="00671E5E">
        <w:rPr>
          <w:rFonts w:ascii="Arial" w:hAnsi="Arial" w:cs="Arial"/>
          <w:b/>
          <w:bCs/>
        </w:rPr>
        <w:t>Resistance-proof:</w:t>
      </w:r>
      <w:r w:rsidRPr="00671E5E">
        <w:rPr>
          <w:rFonts w:ascii="Arial" w:hAnsi="Arial" w:cs="Arial"/>
        </w:rPr>
        <w:t xml:space="preserve"> RNAi targets essential housekeeping genes with low mutation tolerance, minimizing resistance evolution risk (</w:t>
      </w:r>
      <w:proofErr w:type="spellStart"/>
      <w:r w:rsidRPr="00671E5E">
        <w:rPr>
          <w:rFonts w:ascii="Arial" w:hAnsi="Arial" w:cs="Arial"/>
        </w:rPr>
        <w:t>Huvenne</w:t>
      </w:r>
      <w:proofErr w:type="spellEnd"/>
      <w:r w:rsidRPr="00671E5E">
        <w:rPr>
          <w:rFonts w:ascii="Arial" w:hAnsi="Arial" w:cs="Arial"/>
        </w:rPr>
        <w:t xml:space="preserve"> &amp; </w:t>
      </w:r>
      <w:proofErr w:type="spellStart"/>
      <w:r w:rsidRPr="00671E5E">
        <w:rPr>
          <w:rFonts w:ascii="Arial" w:hAnsi="Arial" w:cs="Arial"/>
        </w:rPr>
        <w:t>Smagghe</w:t>
      </w:r>
      <w:proofErr w:type="spellEnd"/>
      <w:r w:rsidRPr="00671E5E">
        <w:rPr>
          <w:rFonts w:ascii="Arial" w:hAnsi="Arial" w:cs="Arial"/>
        </w:rPr>
        <w:t xml:space="preserve">, 2010; Scott et al., 2013); (3) </w:t>
      </w:r>
      <w:r w:rsidRPr="00671E5E">
        <w:rPr>
          <w:rFonts w:ascii="Arial" w:hAnsi="Arial" w:cs="Arial"/>
          <w:b/>
          <w:bCs/>
        </w:rPr>
        <w:t>Non-transgenic application:</w:t>
      </w:r>
      <w:r w:rsidRPr="00671E5E">
        <w:rPr>
          <w:rFonts w:ascii="Arial" w:hAnsi="Arial" w:cs="Arial"/>
        </w:rPr>
        <w:t xml:space="preserve"> Exogenous dsRNA delivery via foliar sprays avoids genetic modification, addressing regulatory and public </w:t>
      </w:r>
      <w:r w:rsidRPr="00671E5E">
        <w:rPr>
          <w:rFonts w:ascii="Arial" w:hAnsi="Arial" w:cs="Arial"/>
        </w:rPr>
        <w:lastRenderedPageBreak/>
        <w:t xml:space="preserve">acceptance concerns (Cagliari et al., 2019; Mitter et al., 2017); (4) </w:t>
      </w:r>
      <w:r w:rsidRPr="00671E5E">
        <w:rPr>
          <w:rFonts w:ascii="Arial" w:hAnsi="Arial" w:cs="Arial"/>
          <w:b/>
          <w:bCs/>
        </w:rPr>
        <w:t>Rapid development:</w:t>
      </w:r>
      <w:r w:rsidRPr="00671E5E">
        <w:rPr>
          <w:rFonts w:ascii="Arial" w:hAnsi="Arial" w:cs="Arial"/>
        </w:rPr>
        <w:t xml:space="preserve"> Bioinformatic target identification and in vitro dsRNA synthesis enable development timelines of 6–18 months compared to 10–15 years for conventional pesticides (</w:t>
      </w:r>
      <w:proofErr w:type="spellStart"/>
      <w:r w:rsidRPr="00671E5E">
        <w:rPr>
          <w:rFonts w:ascii="Arial" w:hAnsi="Arial" w:cs="Arial"/>
        </w:rPr>
        <w:t>Zotti</w:t>
      </w:r>
      <w:proofErr w:type="spellEnd"/>
      <w:r w:rsidRPr="00671E5E">
        <w:rPr>
          <w:rFonts w:ascii="Arial" w:hAnsi="Arial" w:cs="Arial"/>
        </w:rPr>
        <w:t xml:space="preserve"> &amp; </w:t>
      </w:r>
      <w:proofErr w:type="spellStart"/>
      <w:r w:rsidRPr="00671E5E">
        <w:rPr>
          <w:rFonts w:ascii="Arial" w:hAnsi="Arial" w:cs="Arial"/>
        </w:rPr>
        <w:t>Smagghe</w:t>
      </w:r>
      <w:proofErr w:type="spellEnd"/>
      <w:r w:rsidRPr="00671E5E">
        <w:rPr>
          <w:rFonts w:ascii="Arial" w:hAnsi="Arial" w:cs="Arial"/>
        </w:rPr>
        <w:t>, 2015).</w:t>
      </w:r>
    </w:p>
    <w:p w14:paraId="34182531" w14:textId="77777777" w:rsidR="00863CA1" w:rsidRPr="0084071C" w:rsidRDefault="00863CA1" w:rsidP="0084071C">
      <w:pPr>
        <w:jc w:val="both"/>
        <w:rPr>
          <w:rFonts w:ascii="Arial" w:hAnsi="Arial" w:cs="Arial"/>
          <w:i/>
          <w:iCs/>
        </w:rPr>
      </w:pPr>
    </w:p>
    <w:p w14:paraId="06DE5A52" w14:textId="20833509" w:rsidR="0084071C" w:rsidRDefault="0084071C" w:rsidP="00441B6F">
      <w:pPr>
        <w:pStyle w:val="Head1"/>
        <w:spacing w:after="0"/>
        <w:jc w:val="both"/>
        <w:rPr>
          <w:rFonts w:ascii="Arial" w:hAnsi="Arial" w:cs="Arial"/>
          <w:caps w:val="0"/>
        </w:rPr>
      </w:pPr>
      <w:r w:rsidRPr="0084071C">
        <w:rPr>
          <w:rFonts w:ascii="Arial" w:hAnsi="Arial" w:cs="Arial"/>
          <w:caps w:val="0"/>
        </w:rPr>
        <w:t xml:space="preserve">4.2 </w:t>
      </w:r>
      <w:r w:rsidR="00671E5E" w:rsidRPr="00671E5E">
        <w:rPr>
          <w:rFonts w:ascii="Arial" w:hAnsi="Arial" w:cs="Arial"/>
          <w:caps w:val="0"/>
        </w:rPr>
        <w:t>Challenges of Naked dsRNA Delivery</w:t>
      </w:r>
    </w:p>
    <w:p w14:paraId="7606207C" w14:textId="77777777" w:rsidR="00671E5E" w:rsidRDefault="00671E5E" w:rsidP="00441B6F">
      <w:pPr>
        <w:pStyle w:val="Head1"/>
        <w:spacing w:after="0"/>
        <w:jc w:val="both"/>
        <w:rPr>
          <w:rFonts w:ascii="Arial" w:hAnsi="Arial" w:cs="Arial"/>
        </w:rPr>
      </w:pPr>
    </w:p>
    <w:p w14:paraId="45AF9642" w14:textId="77777777" w:rsidR="00671E5E" w:rsidRPr="00671E5E" w:rsidRDefault="00671E5E" w:rsidP="00671E5E">
      <w:pPr>
        <w:jc w:val="both"/>
        <w:rPr>
          <w:rFonts w:ascii="Arial" w:hAnsi="Arial" w:cs="Arial"/>
        </w:rPr>
      </w:pPr>
      <w:r w:rsidRPr="00671E5E">
        <w:rPr>
          <w:rFonts w:ascii="Arial" w:hAnsi="Arial" w:cs="Arial"/>
        </w:rPr>
        <w:t>Despite theoretical advantages, practical implementation of RNAi in agriculture faces substantial barriers related to dsRNA instability and inefficient cellular uptake (Taning et al., 2020; Christiaens et al., 2020).</w:t>
      </w:r>
    </w:p>
    <w:p w14:paraId="7C2447A7" w14:textId="77777777" w:rsidR="00671E5E" w:rsidRPr="00671E5E" w:rsidRDefault="00671E5E" w:rsidP="00671E5E">
      <w:pPr>
        <w:jc w:val="both"/>
        <w:rPr>
          <w:rFonts w:ascii="Arial" w:hAnsi="Arial" w:cs="Arial"/>
        </w:rPr>
      </w:pPr>
    </w:p>
    <w:p w14:paraId="16DDBE2B" w14:textId="77777777" w:rsidR="00671E5E" w:rsidRPr="00671E5E" w:rsidRDefault="00671E5E" w:rsidP="00671E5E">
      <w:pPr>
        <w:jc w:val="both"/>
        <w:rPr>
          <w:rFonts w:ascii="Arial" w:hAnsi="Arial" w:cs="Arial"/>
        </w:rPr>
      </w:pPr>
      <w:r w:rsidRPr="00671E5E">
        <w:rPr>
          <w:rFonts w:ascii="Arial" w:hAnsi="Arial" w:cs="Arial"/>
          <w:b/>
          <w:bCs/>
        </w:rPr>
        <w:t>Environmental Degradation:</w:t>
      </w:r>
      <w:r w:rsidRPr="00671E5E">
        <w:rPr>
          <w:rFonts w:ascii="Arial" w:hAnsi="Arial" w:cs="Arial"/>
        </w:rPr>
        <w:t xml:space="preserve"> Naked dsRNA exhibits half-lives of 2–8 hours under field conditions due to rapid degradation by ubiquitous RNases, UV radiation, and microbial nucleases (Parker et al., 2019; Christiaens et al., 2020). Temperature extremes, pH fluctuations, and foliar surface microbiota further accelerate degradation, requiring dsRNA application rates of 10–100 </w:t>
      </w:r>
      <w:proofErr w:type="spellStart"/>
      <w:r w:rsidRPr="00671E5E">
        <w:rPr>
          <w:rFonts w:ascii="Arial" w:hAnsi="Arial" w:cs="Arial"/>
        </w:rPr>
        <w:t>μg</w:t>
      </w:r>
      <w:proofErr w:type="spellEnd"/>
      <w:r w:rsidRPr="00671E5E">
        <w:rPr>
          <w:rFonts w:ascii="Arial" w:hAnsi="Arial" w:cs="Arial"/>
        </w:rPr>
        <w:t>/cm² leaf area—economically prohibitive for large-scale deployment (Taning et al., 2020).</w:t>
      </w:r>
    </w:p>
    <w:p w14:paraId="53D52BB2" w14:textId="77777777" w:rsidR="00671E5E" w:rsidRPr="00671E5E" w:rsidRDefault="00671E5E" w:rsidP="00671E5E">
      <w:pPr>
        <w:jc w:val="both"/>
        <w:rPr>
          <w:rFonts w:ascii="Arial" w:hAnsi="Arial" w:cs="Arial"/>
        </w:rPr>
      </w:pPr>
    </w:p>
    <w:p w14:paraId="33FA2EB8" w14:textId="77777777" w:rsidR="00671E5E" w:rsidRPr="00671E5E" w:rsidRDefault="00671E5E" w:rsidP="00671E5E">
      <w:pPr>
        <w:jc w:val="both"/>
        <w:rPr>
          <w:rFonts w:ascii="Arial" w:hAnsi="Arial" w:cs="Arial"/>
        </w:rPr>
      </w:pPr>
      <w:r w:rsidRPr="00671E5E">
        <w:rPr>
          <w:rFonts w:ascii="Arial" w:hAnsi="Arial" w:cs="Arial"/>
          <w:b/>
          <w:bCs/>
        </w:rPr>
        <w:t>Limited Cellular Uptake:</w:t>
      </w:r>
      <w:r w:rsidRPr="00671E5E">
        <w:rPr>
          <w:rFonts w:ascii="Arial" w:hAnsi="Arial" w:cs="Arial"/>
        </w:rPr>
        <w:t xml:space="preserve"> Insect midgut epithelial cells exhibit variable dsRNA uptake efficiency depending on species-specific expression of dsRNA transporters (SID-like proteins, scavenger receptors) (Shukla et al., 2016; </w:t>
      </w:r>
      <w:proofErr w:type="spellStart"/>
      <w:r w:rsidRPr="00671E5E">
        <w:rPr>
          <w:rFonts w:ascii="Arial" w:hAnsi="Arial" w:cs="Arial"/>
        </w:rPr>
        <w:t>Cappelle</w:t>
      </w:r>
      <w:proofErr w:type="spellEnd"/>
      <w:r w:rsidRPr="00671E5E">
        <w:rPr>
          <w:rFonts w:ascii="Arial" w:hAnsi="Arial" w:cs="Arial"/>
        </w:rPr>
        <w:t xml:space="preserve"> et al., 2016). Lepidopteran pests (</w:t>
      </w:r>
      <w:r w:rsidRPr="00FC78C6">
        <w:rPr>
          <w:rFonts w:ascii="Arial" w:hAnsi="Arial" w:cs="Arial"/>
          <w:i/>
          <w:iCs/>
        </w:rPr>
        <w:t xml:space="preserve">S. </w:t>
      </w:r>
      <w:proofErr w:type="spellStart"/>
      <w:r w:rsidRPr="00FC78C6">
        <w:rPr>
          <w:rFonts w:ascii="Arial" w:hAnsi="Arial" w:cs="Arial"/>
          <w:i/>
          <w:iCs/>
        </w:rPr>
        <w:t>frugiperda</w:t>
      </w:r>
      <w:proofErr w:type="spellEnd"/>
      <w:r w:rsidRPr="00671E5E">
        <w:rPr>
          <w:rFonts w:ascii="Arial" w:hAnsi="Arial" w:cs="Arial"/>
        </w:rPr>
        <w:t xml:space="preserve">, </w:t>
      </w:r>
      <w:r w:rsidRPr="00FC78C6">
        <w:rPr>
          <w:rFonts w:ascii="Arial" w:hAnsi="Arial" w:cs="Arial"/>
          <w:i/>
          <w:iCs/>
        </w:rPr>
        <w:t xml:space="preserve">C. </w:t>
      </w:r>
      <w:proofErr w:type="spellStart"/>
      <w:r w:rsidRPr="00FC78C6">
        <w:rPr>
          <w:rFonts w:ascii="Arial" w:hAnsi="Arial" w:cs="Arial"/>
          <w:i/>
          <w:iCs/>
        </w:rPr>
        <w:t>medinalis</w:t>
      </w:r>
      <w:proofErr w:type="spellEnd"/>
      <w:r w:rsidRPr="00671E5E">
        <w:rPr>
          <w:rFonts w:ascii="Arial" w:hAnsi="Arial" w:cs="Arial"/>
        </w:rPr>
        <w:t>) show poor environmental RNAi sensitivity due to low transporter expression, requiring 10–100-fold higher dsRNA doses compared to Coleopteran species (</w:t>
      </w:r>
      <w:proofErr w:type="spellStart"/>
      <w:r w:rsidRPr="00671E5E">
        <w:rPr>
          <w:rFonts w:ascii="Arial" w:hAnsi="Arial" w:cs="Arial"/>
        </w:rPr>
        <w:t>Terenius</w:t>
      </w:r>
      <w:proofErr w:type="spellEnd"/>
      <w:r w:rsidRPr="00671E5E">
        <w:rPr>
          <w:rFonts w:ascii="Arial" w:hAnsi="Arial" w:cs="Arial"/>
        </w:rPr>
        <w:t xml:space="preserve"> et al., 2011; Shukla et al., 2016). Hemipteran pests (</w:t>
      </w:r>
      <w:r w:rsidRPr="00FC78C6">
        <w:rPr>
          <w:rFonts w:ascii="Arial" w:hAnsi="Arial" w:cs="Arial"/>
          <w:i/>
          <w:iCs/>
        </w:rPr>
        <w:t xml:space="preserve">N. </w:t>
      </w:r>
      <w:proofErr w:type="spellStart"/>
      <w:r w:rsidRPr="00FC78C6">
        <w:rPr>
          <w:rFonts w:ascii="Arial" w:hAnsi="Arial" w:cs="Arial"/>
          <w:i/>
          <w:iCs/>
        </w:rPr>
        <w:t>lugens</w:t>
      </w:r>
      <w:proofErr w:type="spellEnd"/>
      <w:r w:rsidRPr="00FC78C6">
        <w:rPr>
          <w:rFonts w:ascii="Arial" w:hAnsi="Arial" w:cs="Arial"/>
          <w:i/>
          <w:iCs/>
        </w:rPr>
        <w:t>)</w:t>
      </w:r>
      <w:r w:rsidRPr="00671E5E">
        <w:rPr>
          <w:rFonts w:ascii="Arial" w:hAnsi="Arial" w:cs="Arial"/>
        </w:rPr>
        <w:t xml:space="preserve"> demonstrate moderate RNAi sensitivity but require dsRNA concentrations of 1–10 </w:t>
      </w:r>
      <w:proofErr w:type="spellStart"/>
      <w:r w:rsidRPr="00671E5E">
        <w:rPr>
          <w:rFonts w:ascii="Arial" w:hAnsi="Arial" w:cs="Arial"/>
        </w:rPr>
        <w:t>μg</w:t>
      </w:r>
      <w:proofErr w:type="spellEnd"/>
      <w:r w:rsidRPr="00671E5E">
        <w:rPr>
          <w:rFonts w:ascii="Arial" w:hAnsi="Arial" w:cs="Arial"/>
        </w:rPr>
        <w:t>/</w:t>
      </w:r>
      <w:proofErr w:type="spellStart"/>
      <w:r w:rsidRPr="00671E5E">
        <w:rPr>
          <w:rFonts w:ascii="Arial" w:hAnsi="Arial" w:cs="Arial"/>
        </w:rPr>
        <w:t>μL</w:t>
      </w:r>
      <w:proofErr w:type="spellEnd"/>
      <w:r w:rsidRPr="00671E5E">
        <w:rPr>
          <w:rFonts w:ascii="Arial" w:hAnsi="Arial" w:cs="Arial"/>
        </w:rPr>
        <w:t xml:space="preserve"> for effective gene silencing via feeding or injection (Liu et al., 2010; Zha et al., 2011).</w:t>
      </w:r>
    </w:p>
    <w:p w14:paraId="1FDF27A1" w14:textId="77777777" w:rsidR="00671E5E" w:rsidRPr="00671E5E" w:rsidRDefault="00671E5E" w:rsidP="00671E5E">
      <w:pPr>
        <w:jc w:val="both"/>
        <w:rPr>
          <w:rFonts w:ascii="Arial" w:hAnsi="Arial" w:cs="Arial"/>
        </w:rPr>
      </w:pPr>
    </w:p>
    <w:p w14:paraId="0994A06D" w14:textId="4F001CB6" w:rsidR="0084071C" w:rsidRDefault="00671E5E" w:rsidP="00671E5E">
      <w:pPr>
        <w:jc w:val="both"/>
        <w:rPr>
          <w:rFonts w:ascii="Arial" w:hAnsi="Arial" w:cs="Arial"/>
        </w:rPr>
      </w:pPr>
      <w:r w:rsidRPr="00671E5E">
        <w:rPr>
          <w:rFonts w:ascii="Arial" w:hAnsi="Arial" w:cs="Arial"/>
          <w:b/>
          <w:bCs/>
        </w:rPr>
        <w:t>Gut Barriers:</w:t>
      </w:r>
      <w:r w:rsidRPr="00671E5E">
        <w:rPr>
          <w:rFonts w:ascii="Arial" w:hAnsi="Arial" w:cs="Arial"/>
        </w:rPr>
        <w:t xml:space="preserve"> Alkaline midgut pH (9.0–11.0) in Lepidoptera and high RNase activity in gut lumen degrade ingested dsRNA before cellular internalization (</w:t>
      </w:r>
      <w:proofErr w:type="spellStart"/>
      <w:r w:rsidRPr="00671E5E">
        <w:rPr>
          <w:rFonts w:ascii="Arial" w:hAnsi="Arial" w:cs="Arial"/>
        </w:rPr>
        <w:t>Terenius</w:t>
      </w:r>
      <w:proofErr w:type="spellEnd"/>
      <w:r w:rsidRPr="00671E5E">
        <w:rPr>
          <w:rFonts w:ascii="Arial" w:hAnsi="Arial" w:cs="Arial"/>
        </w:rPr>
        <w:t xml:space="preserve"> et al., 2011). Peritrophic matrix—a chitinous membrane lining the gut—physically restricts dsRNA access to epithelial cells (Shukla et al., 2016).</w:t>
      </w:r>
    </w:p>
    <w:p w14:paraId="6C8B4E66" w14:textId="77777777" w:rsidR="00671E5E" w:rsidRPr="0084071C" w:rsidRDefault="00671E5E" w:rsidP="00671E5E">
      <w:pPr>
        <w:jc w:val="both"/>
        <w:rPr>
          <w:rFonts w:ascii="Arial" w:hAnsi="Arial" w:cs="Arial"/>
        </w:rPr>
      </w:pPr>
    </w:p>
    <w:p w14:paraId="4ECF58CF" w14:textId="357A635D" w:rsidR="0084071C" w:rsidRDefault="0084071C" w:rsidP="0084071C">
      <w:pPr>
        <w:jc w:val="both"/>
        <w:rPr>
          <w:rFonts w:ascii="Arial" w:hAnsi="Arial" w:cs="Arial"/>
          <w:b/>
          <w:bCs/>
          <w:sz w:val="22"/>
          <w:szCs w:val="22"/>
        </w:rPr>
      </w:pPr>
      <w:r w:rsidRPr="0084071C">
        <w:rPr>
          <w:rFonts w:ascii="Arial" w:hAnsi="Arial" w:cs="Arial"/>
          <w:b/>
          <w:bCs/>
          <w:sz w:val="22"/>
          <w:szCs w:val="22"/>
        </w:rPr>
        <w:t xml:space="preserve">4.3 </w:t>
      </w:r>
      <w:r w:rsidR="00671E5E" w:rsidRPr="00671E5E">
        <w:rPr>
          <w:rFonts w:ascii="Arial" w:hAnsi="Arial" w:cs="Arial"/>
          <w:b/>
          <w:bCs/>
          <w:sz w:val="22"/>
          <w:szCs w:val="22"/>
        </w:rPr>
        <w:t>Nanocarrier-Mediated dsRNA Delivery: Physicochemical Interactions and Mechanisms</w:t>
      </w:r>
    </w:p>
    <w:p w14:paraId="678113ED" w14:textId="77777777" w:rsidR="00FA1FB7" w:rsidRPr="0084071C" w:rsidRDefault="00FA1FB7" w:rsidP="0084071C">
      <w:pPr>
        <w:jc w:val="both"/>
        <w:rPr>
          <w:rFonts w:ascii="Arial" w:hAnsi="Arial" w:cs="Arial"/>
          <w:b/>
          <w:bCs/>
          <w:sz w:val="22"/>
          <w:szCs w:val="22"/>
        </w:rPr>
      </w:pPr>
    </w:p>
    <w:p w14:paraId="3C59AA10" w14:textId="4E6DA337" w:rsidR="00FA1FB7" w:rsidRDefault="00671E5E" w:rsidP="0084071C">
      <w:pPr>
        <w:jc w:val="both"/>
        <w:rPr>
          <w:rFonts w:ascii="Arial" w:hAnsi="Arial" w:cs="Arial"/>
        </w:rPr>
      </w:pPr>
      <w:r w:rsidRPr="00671E5E">
        <w:rPr>
          <w:rFonts w:ascii="Arial" w:hAnsi="Arial" w:cs="Arial"/>
        </w:rPr>
        <w:t>Nanocarrier encapsulation addresses dsRNA stability and delivery challenges through protective encapsulation, enhanced cellular uptake, and controlled release (Mitter et al., 2017; Das et al., 2020). Carrier selection depends on physicochemical properties including surface charge, particle size, material composition, and interaction mechanisms with dsRNA and target cells.</w:t>
      </w:r>
    </w:p>
    <w:p w14:paraId="0D90F4EA" w14:textId="77777777" w:rsidR="00FA1FB7" w:rsidRDefault="00FA1FB7" w:rsidP="0084071C">
      <w:pPr>
        <w:jc w:val="both"/>
        <w:rPr>
          <w:rFonts w:ascii="Arial" w:hAnsi="Arial" w:cs="Arial"/>
        </w:rPr>
      </w:pPr>
    </w:p>
    <w:p w14:paraId="5C0F1354" w14:textId="77777777" w:rsidR="00671E5E" w:rsidRDefault="00671E5E" w:rsidP="00671E5E">
      <w:pPr>
        <w:jc w:val="both"/>
        <w:rPr>
          <w:rFonts w:ascii="Arial" w:hAnsi="Arial" w:cs="Arial"/>
          <w:b/>
          <w:bCs/>
        </w:rPr>
      </w:pPr>
      <w:r w:rsidRPr="00671E5E">
        <w:rPr>
          <w:rFonts w:ascii="Arial" w:hAnsi="Arial" w:cs="Arial"/>
          <w:b/>
          <w:bCs/>
        </w:rPr>
        <w:t>4.3.1 Chitosan Nanoparticles</w:t>
      </w:r>
    </w:p>
    <w:p w14:paraId="361AF9E3" w14:textId="77777777" w:rsidR="009007DC" w:rsidRPr="00671E5E" w:rsidRDefault="009007DC" w:rsidP="00671E5E">
      <w:pPr>
        <w:jc w:val="both"/>
        <w:rPr>
          <w:rFonts w:ascii="Arial" w:hAnsi="Arial" w:cs="Arial"/>
          <w:b/>
          <w:bCs/>
        </w:rPr>
      </w:pPr>
    </w:p>
    <w:p w14:paraId="4965588E" w14:textId="77777777" w:rsidR="00671E5E" w:rsidRDefault="00671E5E" w:rsidP="00671E5E">
      <w:pPr>
        <w:jc w:val="both"/>
        <w:rPr>
          <w:rFonts w:ascii="Arial" w:hAnsi="Arial" w:cs="Arial"/>
        </w:rPr>
      </w:pPr>
      <w:r w:rsidRPr="00671E5E">
        <w:rPr>
          <w:rFonts w:ascii="Arial" w:hAnsi="Arial" w:cs="Arial"/>
          <w:b/>
          <w:bCs/>
        </w:rPr>
        <w:t>Physicochemical Properties:</w:t>
      </w:r>
      <w:r w:rsidRPr="00671E5E">
        <w:rPr>
          <w:rFonts w:ascii="Arial" w:hAnsi="Arial" w:cs="Arial"/>
        </w:rPr>
        <w:t> Chitosan nanoparticles (100–300 nm) possess positive surface charge (ζ-potential +20 to +50 mV at pH 5–7) due to protonated amino groups (</w:t>
      </w:r>
      <w:proofErr w:type="spellStart"/>
      <w:r w:rsidRPr="00671E5E">
        <w:rPr>
          <w:rFonts w:ascii="Arial" w:hAnsi="Arial" w:cs="Arial"/>
        </w:rPr>
        <w:t>pKa</w:t>
      </w:r>
      <w:proofErr w:type="spellEnd"/>
      <w:r w:rsidRPr="00671E5E">
        <w:rPr>
          <w:rFonts w:ascii="Arial" w:hAnsi="Arial" w:cs="Arial"/>
        </w:rPr>
        <w:t xml:space="preserve"> ~6.5) (Kean &amp; Thanou, 2010). Degree of deacetylation (75–95%) determines charge density and polymer solubility.</w:t>
      </w:r>
    </w:p>
    <w:p w14:paraId="38E1A7FA" w14:textId="77777777" w:rsidR="00121261" w:rsidRPr="00671E5E" w:rsidRDefault="00121261" w:rsidP="00671E5E">
      <w:pPr>
        <w:jc w:val="both"/>
        <w:rPr>
          <w:rFonts w:ascii="Arial" w:hAnsi="Arial" w:cs="Arial"/>
        </w:rPr>
      </w:pPr>
    </w:p>
    <w:p w14:paraId="50030DA9" w14:textId="77777777" w:rsidR="00671E5E" w:rsidRDefault="00671E5E" w:rsidP="00671E5E">
      <w:pPr>
        <w:jc w:val="both"/>
        <w:rPr>
          <w:rFonts w:ascii="Arial" w:hAnsi="Arial" w:cs="Arial"/>
        </w:rPr>
      </w:pPr>
      <w:r w:rsidRPr="00671E5E">
        <w:rPr>
          <w:rFonts w:ascii="Arial" w:hAnsi="Arial" w:cs="Arial"/>
          <w:b/>
          <w:bCs/>
        </w:rPr>
        <w:t>dsRNA Binding Mechanism:</w:t>
      </w:r>
      <w:r w:rsidRPr="00671E5E">
        <w:rPr>
          <w:rFonts w:ascii="Arial" w:hAnsi="Arial" w:cs="Arial"/>
        </w:rPr>
        <w:t> Electrostatic complexation between positively charged chitosan and negatively charged dsRNA phosphate backbone drives spontaneous nanoparticle formation at N/P ratios (</w:t>
      </w:r>
      <w:proofErr w:type="spellStart"/>
      <w:proofErr w:type="gramStart"/>
      <w:r w:rsidRPr="00671E5E">
        <w:rPr>
          <w:rFonts w:ascii="Arial" w:hAnsi="Arial" w:cs="Arial"/>
        </w:rPr>
        <w:t>amino:phosphate</w:t>
      </w:r>
      <w:proofErr w:type="spellEnd"/>
      <w:proofErr w:type="gramEnd"/>
      <w:r w:rsidRPr="00671E5E">
        <w:rPr>
          <w:rFonts w:ascii="Arial" w:hAnsi="Arial" w:cs="Arial"/>
        </w:rPr>
        <w:t>) of 5:1 to 20:1 (Zhang et al., 2018). Ionic cross-linking with tripolyphosphate (TPP) stabilizes nanoparticles and adjusts release kinetics. Binding efficiency reaches 80–95% at optimal N/P ratios, protecting dsRNA from RNase degradation for 48–72 hours in biological fluids (Andrade et al., 2015).</w:t>
      </w:r>
    </w:p>
    <w:p w14:paraId="36FCEADA" w14:textId="77777777" w:rsidR="00121261" w:rsidRPr="00671E5E" w:rsidRDefault="00121261" w:rsidP="00671E5E">
      <w:pPr>
        <w:jc w:val="both"/>
        <w:rPr>
          <w:rFonts w:ascii="Arial" w:hAnsi="Arial" w:cs="Arial"/>
        </w:rPr>
      </w:pPr>
    </w:p>
    <w:p w14:paraId="202FF093" w14:textId="3709457C" w:rsidR="00671E5E" w:rsidRDefault="00671E5E" w:rsidP="00671E5E">
      <w:pPr>
        <w:jc w:val="both"/>
        <w:rPr>
          <w:rFonts w:ascii="Arial" w:hAnsi="Arial" w:cs="Arial"/>
        </w:rPr>
      </w:pPr>
      <w:r w:rsidRPr="00671E5E">
        <w:rPr>
          <w:rFonts w:ascii="Arial" w:hAnsi="Arial" w:cs="Arial"/>
          <w:b/>
          <w:bCs/>
        </w:rPr>
        <w:t>Cellular Uptake Pathways:</w:t>
      </w:r>
      <w:r w:rsidRPr="00671E5E">
        <w:rPr>
          <w:rFonts w:ascii="Arial" w:hAnsi="Arial" w:cs="Arial"/>
        </w:rPr>
        <w:t xml:space="preserve"> Positively charged chitosan nanoparticles interact with negatively charged cell membranes via electrostatic attraction, triggering adsorptive endocytosis (Duceppe &amp; </w:t>
      </w:r>
      <w:proofErr w:type="spellStart"/>
      <w:r w:rsidRPr="00671E5E">
        <w:rPr>
          <w:rFonts w:ascii="Arial" w:hAnsi="Arial" w:cs="Arial"/>
        </w:rPr>
        <w:t>Tabrizian</w:t>
      </w:r>
      <w:proofErr w:type="spellEnd"/>
      <w:r w:rsidRPr="00671E5E">
        <w:rPr>
          <w:rFonts w:ascii="Arial" w:hAnsi="Arial" w:cs="Arial"/>
        </w:rPr>
        <w:t>, 2009). Chitosan's mucoadhesive properties enhance retention on midgut epithelium, increasing cellular contact time by 3–5-fold. Following endocytosis, chitosan induces endosomal swelling through proton sponge effect—buffering endosomal acidification via amino group protonation—promoting endosomal membrane disruption and cytoplasmic dsRNA release (Mao et al., 2010).</w:t>
      </w:r>
    </w:p>
    <w:p w14:paraId="4B3DBCAD" w14:textId="77777777" w:rsidR="00121261" w:rsidRPr="00671E5E" w:rsidRDefault="00121261" w:rsidP="00671E5E">
      <w:pPr>
        <w:jc w:val="both"/>
        <w:rPr>
          <w:rFonts w:ascii="Arial" w:hAnsi="Arial" w:cs="Arial"/>
        </w:rPr>
      </w:pPr>
    </w:p>
    <w:p w14:paraId="6A2D0B9F" w14:textId="77777777" w:rsidR="00671E5E" w:rsidRDefault="00671E5E" w:rsidP="00671E5E">
      <w:pPr>
        <w:jc w:val="both"/>
        <w:rPr>
          <w:rFonts w:ascii="Arial" w:hAnsi="Arial" w:cs="Arial"/>
        </w:rPr>
      </w:pPr>
      <w:r w:rsidRPr="00671E5E">
        <w:rPr>
          <w:rFonts w:ascii="Arial" w:hAnsi="Arial" w:cs="Arial"/>
          <w:b/>
          <w:bCs/>
        </w:rPr>
        <w:t>Release Kinetics:</w:t>
      </w:r>
      <w:r w:rsidRPr="00671E5E">
        <w:rPr>
          <w:rFonts w:ascii="Arial" w:hAnsi="Arial" w:cs="Arial"/>
        </w:rPr>
        <w:t> Chitosan nanoparticles demonstrate pH-responsive release, with accelerated dsRNA release at acidic pH (5.0–6.0) due to increased chitosan solubility and electrostatic repulsion (Andrade et al., 2015). Enzymatic degradation by gut lysozymes further facilitates dsRNA release in insect midgut (Zhang et al., 2018).</w:t>
      </w:r>
    </w:p>
    <w:p w14:paraId="2347CE3C" w14:textId="77777777" w:rsidR="00121261" w:rsidRPr="00671E5E" w:rsidRDefault="00121261" w:rsidP="00671E5E">
      <w:pPr>
        <w:jc w:val="both"/>
        <w:rPr>
          <w:rFonts w:ascii="Arial" w:hAnsi="Arial" w:cs="Arial"/>
        </w:rPr>
      </w:pPr>
    </w:p>
    <w:p w14:paraId="5D23B2E5" w14:textId="77777777" w:rsidR="00671E5E" w:rsidRDefault="00671E5E" w:rsidP="00671E5E">
      <w:pPr>
        <w:jc w:val="both"/>
        <w:rPr>
          <w:rFonts w:ascii="Arial" w:hAnsi="Arial" w:cs="Arial"/>
        </w:rPr>
      </w:pPr>
      <w:r w:rsidRPr="00671E5E">
        <w:rPr>
          <w:rFonts w:ascii="Arial" w:hAnsi="Arial" w:cs="Arial"/>
          <w:b/>
          <w:bCs/>
        </w:rPr>
        <w:t>Efficacy in Rice Pests:</w:t>
      </w:r>
      <w:r w:rsidRPr="00671E5E">
        <w:rPr>
          <w:rFonts w:ascii="Arial" w:hAnsi="Arial" w:cs="Arial"/>
        </w:rPr>
        <w:t> Chitosan-dsRNA nanoparticles targeting </w:t>
      </w:r>
      <w:r w:rsidRPr="00671E5E">
        <w:rPr>
          <w:rFonts w:ascii="Arial" w:hAnsi="Arial" w:cs="Arial"/>
          <w:i/>
          <w:iCs/>
        </w:rPr>
        <w:t xml:space="preserve">N. </w:t>
      </w:r>
      <w:proofErr w:type="spellStart"/>
      <w:r w:rsidRPr="00671E5E">
        <w:rPr>
          <w:rFonts w:ascii="Arial" w:hAnsi="Arial" w:cs="Arial"/>
          <w:i/>
          <w:iCs/>
        </w:rPr>
        <w:t>lugens</w:t>
      </w:r>
      <w:proofErr w:type="spellEnd"/>
      <w:r w:rsidRPr="00671E5E">
        <w:rPr>
          <w:rFonts w:ascii="Arial" w:hAnsi="Arial" w:cs="Arial"/>
        </w:rPr>
        <w:t> </w:t>
      </w:r>
      <w:proofErr w:type="spellStart"/>
      <w:r w:rsidRPr="00671E5E">
        <w:rPr>
          <w:rFonts w:ascii="Arial" w:hAnsi="Arial" w:cs="Arial"/>
        </w:rPr>
        <w:t>trehalase</w:t>
      </w:r>
      <w:proofErr w:type="spellEnd"/>
      <w:r w:rsidRPr="00671E5E">
        <w:rPr>
          <w:rFonts w:ascii="Arial" w:hAnsi="Arial" w:cs="Arial"/>
        </w:rPr>
        <w:t xml:space="preserve"> genes reduce enzyme activity by 75–85% and cause 60–80% mortality at 1–5 </w:t>
      </w:r>
      <w:proofErr w:type="spellStart"/>
      <w:r w:rsidRPr="00671E5E">
        <w:rPr>
          <w:rFonts w:ascii="Arial" w:hAnsi="Arial" w:cs="Arial"/>
        </w:rPr>
        <w:t>μg</w:t>
      </w:r>
      <w:proofErr w:type="spellEnd"/>
      <w:r w:rsidRPr="00671E5E">
        <w:rPr>
          <w:rFonts w:ascii="Arial" w:hAnsi="Arial" w:cs="Arial"/>
        </w:rPr>
        <w:t xml:space="preserve"> dsRNA/insect—10-fold lower than naked dsRNA requirements (Zhang et al., 2010; Chen et al., 2010). Foliar application of chitosan-dsRNA nanoparticles (50–100 </w:t>
      </w:r>
      <w:proofErr w:type="spellStart"/>
      <w:r w:rsidRPr="00671E5E">
        <w:rPr>
          <w:rFonts w:ascii="Arial" w:hAnsi="Arial" w:cs="Arial"/>
        </w:rPr>
        <w:t>μg</w:t>
      </w:r>
      <w:proofErr w:type="spellEnd"/>
      <w:r w:rsidRPr="00671E5E">
        <w:rPr>
          <w:rFonts w:ascii="Arial" w:hAnsi="Arial" w:cs="Arial"/>
        </w:rPr>
        <w:t>/mL) targeting </w:t>
      </w:r>
      <w:r w:rsidRPr="00671E5E">
        <w:rPr>
          <w:rFonts w:ascii="Arial" w:hAnsi="Arial" w:cs="Arial"/>
          <w:i/>
          <w:iCs/>
        </w:rPr>
        <w:t xml:space="preserve">C. </w:t>
      </w:r>
      <w:proofErr w:type="spellStart"/>
      <w:r w:rsidRPr="00671E5E">
        <w:rPr>
          <w:rFonts w:ascii="Arial" w:hAnsi="Arial" w:cs="Arial"/>
          <w:i/>
          <w:iCs/>
        </w:rPr>
        <w:t>medinalis</w:t>
      </w:r>
      <w:proofErr w:type="spellEnd"/>
      <w:r w:rsidRPr="00671E5E">
        <w:rPr>
          <w:rFonts w:ascii="Arial" w:hAnsi="Arial" w:cs="Arial"/>
        </w:rPr>
        <w:t> chitin synthase genes reduces larval survival by 70–90% and leaf damage by 60–75% (Li et al., 2015).</w:t>
      </w:r>
    </w:p>
    <w:p w14:paraId="1555FBD8" w14:textId="77777777" w:rsidR="00121261" w:rsidRPr="00671E5E" w:rsidRDefault="00121261" w:rsidP="00671E5E">
      <w:pPr>
        <w:jc w:val="both"/>
        <w:rPr>
          <w:rFonts w:ascii="Arial" w:hAnsi="Arial" w:cs="Arial"/>
        </w:rPr>
      </w:pPr>
    </w:p>
    <w:p w14:paraId="3D92D6C1" w14:textId="77777777" w:rsidR="00671E5E" w:rsidRDefault="00671E5E" w:rsidP="00671E5E">
      <w:pPr>
        <w:jc w:val="both"/>
        <w:rPr>
          <w:rFonts w:ascii="Arial" w:hAnsi="Arial" w:cs="Arial"/>
          <w:b/>
          <w:bCs/>
        </w:rPr>
      </w:pPr>
      <w:r w:rsidRPr="00671E5E">
        <w:rPr>
          <w:rFonts w:ascii="Arial" w:hAnsi="Arial" w:cs="Arial"/>
          <w:b/>
          <w:bCs/>
        </w:rPr>
        <w:t>4.3.2 Layered Double Hydroxide (LDH) Nanoparticles</w:t>
      </w:r>
    </w:p>
    <w:p w14:paraId="1D323C35" w14:textId="77777777" w:rsidR="009007DC" w:rsidRPr="00671E5E" w:rsidRDefault="009007DC" w:rsidP="00671E5E">
      <w:pPr>
        <w:jc w:val="both"/>
        <w:rPr>
          <w:rFonts w:ascii="Arial" w:hAnsi="Arial" w:cs="Arial"/>
          <w:b/>
          <w:bCs/>
        </w:rPr>
      </w:pPr>
    </w:p>
    <w:p w14:paraId="4545829B" w14:textId="77777777" w:rsidR="00671E5E" w:rsidRDefault="00671E5E" w:rsidP="00671E5E">
      <w:pPr>
        <w:jc w:val="both"/>
        <w:rPr>
          <w:rFonts w:ascii="Arial" w:hAnsi="Arial" w:cs="Arial"/>
        </w:rPr>
      </w:pPr>
      <w:r w:rsidRPr="00671E5E">
        <w:rPr>
          <w:rFonts w:ascii="Arial" w:hAnsi="Arial" w:cs="Arial"/>
          <w:b/>
          <w:bCs/>
        </w:rPr>
        <w:t>Physicochemical Properties:</w:t>
      </w:r>
      <w:r w:rsidRPr="00671E5E">
        <w:rPr>
          <w:rFonts w:ascii="Arial" w:hAnsi="Arial" w:cs="Arial"/>
        </w:rPr>
        <w:t> LDH nanoparticles (50–150 nm) consist of positively charged brucite-like layers [M²</w:t>
      </w:r>
      <w:r w:rsidRPr="00671E5E">
        <w:rPr>
          <w:rFonts w:ascii="Cambria Math" w:hAnsi="Cambria Math" w:cs="Cambria Math"/>
        </w:rPr>
        <w:t>⁺₁₋</w:t>
      </w:r>
      <w:r w:rsidRPr="00671E5E">
        <w:rPr>
          <w:rFonts w:ascii="Arial" w:hAnsi="Arial" w:cs="Arial"/>
        </w:rPr>
        <w:t>ₓM³</w:t>
      </w:r>
      <w:r w:rsidRPr="00671E5E">
        <w:rPr>
          <w:rFonts w:ascii="Cambria Math" w:hAnsi="Cambria Math" w:cs="Cambria Math"/>
        </w:rPr>
        <w:t>⁺</w:t>
      </w:r>
      <w:r w:rsidRPr="00671E5E">
        <w:rPr>
          <w:rFonts w:ascii="Arial" w:hAnsi="Arial" w:cs="Arial"/>
        </w:rPr>
        <w:t>ₓ(OH)</w:t>
      </w:r>
      <w:proofErr w:type="gramStart"/>
      <w:r w:rsidRPr="00671E5E">
        <w:rPr>
          <w:rFonts w:ascii="Cambria Math" w:hAnsi="Cambria Math" w:cs="Cambria Math"/>
        </w:rPr>
        <w:t>₂</w:t>
      </w:r>
      <w:r w:rsidRPr="00671E5E">
        <w:rPr>
          <w:rFonts w:ascii="Arial" w:hAnsi="Arial" w:cs="Arial"/>
        </w:rPr>
        <w:t>]ˣ</w:t>
      </w:r>
      <w:proofErr w:type="gramEnd"/>
      <w:r w:rsidRPr="00671E5E">
        <w:rPr>
          <w:rFonts w:ascii="Cambria Math" w:hAnsi="Cambria Math" w:cs="Cambria Math"/>
        </w:rPr>
        <w:t>⁺</w:t>
      </w:r>
      <w:r w:rsidRPr="00671E5E">
        <w:rPr>
          <w:rFonts w:ascii="Arial" w:hAnsi="Arial" w:cs="Arial"/>
        </w:rPr>
        <w:t xml:space="preserve"> (M²</w:t>
      </w:r>
      <w:r w:rsidRPr="00671E5E">
        <w:rPr>
          <w:rFonts w:ascii="Cambria Math" w:hAnsi="Cambria Math" w:cs="Cambria Math"/>
        </w:rPr>
        <w:t>⁺</w:t>
      </w:r>
      <w:r w:rsidRPr="00671E5E">
        <w:rPr>
          <w:rFonts w:ascii="Arial" w:hAnsi="Arial" w:cs="Arial"/>
        </w:rPr>
        <w:t xml:space="preserve"> = Mg²</w:t>
      </w:r>
      <w:r w:rsidRPr="00671E5E">
        <w:rPr>
          <w:rFonts w:ascii="Cambria Math" w:hAnsi="Cambria Math" w:cs="Cambria Math"/>
        </w:rPr>
        <w:t>⁺</w:t>
      </w:r>
      <w:r w:rsidRPr="00671E5E">
        <w:rPr>
          <w:rFonts w:ascii="Arial" w:hAnsi="Arial" w:cs="Arial"/>
        </w:rPr>
        <w:t>, Zn²</w:t>
      </w:r>
      <w:r w:rsidRPr="00671E5E">
        <w:rPr>
          <w:rFonts w:ascii="Cambria Math" w:hAnsi="Cambria Math" w:cs="Cambria Math"/>
        </w:rPr>
        <w:t>⁺</w:t>
      </w:r>
      <w:r w:rsidRPr="00671E5E">
        <w:rPr>
          <w:rFonts w:ascii="Arial" w:hAnsi="Arial" w:cs="Arial"/>
        </w:rPr>
        <w:t>; M³</w:t>
      </w:r>
      <w:r w:rsidRPr="00671E5E">
        <w:rPr>
          <w:rFonts w:ascii="Cambria Math" w:hAnsi="Cambria Math" w:cs="Cambria Math"/>
        </w:rPr>
        <w:t>⁺</w:t>
      </w:r>
      <w:r w:rsidRPr="00671E5E">
        <w:rPr>
          <w:rFonts w:ascii="Arial" w:hAnsi="Arial" w:cs="Arial"/>
        </w:rPr>
        <w:t xml:space="preserve"> = Al³</w:t>
      </w:r>
      <w:r w:rsidRPr="00671E5E">
        <w:rPr>
          <w:rFonts w:ascii="Cambria Math" w:hAnsi="Cambria Math" w:cs="Cambria Math"/>
        </w:rPr>
        <w:t>⁺</w:t>
      </w:r>
      <w:r w:rsidRPr="00671E5E">
        <w:rPr>
          <w:rFonts w:ascii="Arial" w:hAnsi="Arial" w:cs="Arial"/>
        </w:rPr>
        <w:t>) with exchangeable interlayer anions (Cl</w:t>
      </w:r>
      <w:r w:rsidRPr="00671E5E">
        <w:rPr>
          <w:rFonts w:ascii="Cambria Math" w:hAnsi="Cambria Math" w:cs="Cambria Math"/>
        </w:rPr>
        <w:t>⁻</w:t>
      </w:r>
      <w:r w:rsidRPr="00671E5E">
        <w:rPr>
          <w:rFonts w:ascii="Arial" w:hAnsi="Arial" w:cs="Arial"/>
        </w:rPr>
        <w:t>, NO</w:t>
      </w:r>
      <w:r w:rsidRPr="00671E5E">
        <w:rPr>
          <w:rFonts w:ascii="Cambria Math" w:hAnsi="Cambria Math" w:cs="Cambria Math"/>
        </w:rPr>
        <w:t>₃⁻</w:t>
      </w:r>
      <w:r w:rsidRPr="00671E5E">
        <w:rPr>
          <w:rFonts w:ascii="Arial" w:hAnsi="Arial" w:cs="Arial"/>
        </w:rPr>
        <w:t>, CO</w:t>
      </w:r>
      <w:r w:rsidRPr="00671E5E">
        <w:rPr>
          <w:rFonts w:ascii="Cambria Math" w:hAnsi="Cambria Math" w:cs="Cambria Math"/>
        </w:rPr>
        <w:t>₃</w:t>
      </w:r>
      <w:r w:rsidRPr="00671E5E">
        <w:rPr>
          <w:rFonts w:ascii="Arial" w:hAnsi="Arial" w:cs="Arial"/>
        </w:rPr>
        <w:t>²</w:t>
      </w:r>
      <w:r w:rsidRPr="00671E5E">
        <w:rPr>
          <w:rFonts w:ascii="Cambria Math" w:hAnsi="Cambria Math" w:cs="Cambria Math"/>
        </w:rPr>
        <w:t>⁻</w:t>
      </w:r>
      <w:r w:rsidRPr="00671E5E">
        <w:rPr>
          <w:rFonts w:ascii="Arial" w:hAnsi="Arial" w:cs="Arial"/>
        </w:rPr>
        <w:t xml:space="preserve">) (Yan et al., 2020). Positive surface charge (+15 to +35 mV) and high anion exchange capacity (200–400 </w:t>
      </w:r>
      <w:proofErr w:type="spellStart"/>
      <w:r w:rsidRPr="00671E5E">
        <w:rPr>
          <w:rFonts w:ascii="Arial" w:hAnsi="Arial" w:cs="Arial"/>
        </w:rPr>
        <w:t>meq</w:t>
      </w:r>
      <w:proofErr w:type="spellEnd"/>
      <w:r w:rsidRPr="00671E5E">
        <w:rPr>
          <w:rFonts w:ascii="Arial" w:hAnsi="Arial" w:cs="Arial"/>
        </w:rPr>
        <w:t>/100g) enable efficient dsRNA loading.</w:t>
      </w:r>
    </w:p>
    <w:p w14:paraId="69F837A0" w14:textId="77777777" w:rsidR="00121261" w:rsidRPr="00671E5E" w:rsidRDefault="00121261" w:rsidP="00671E5E">
      <w:pPr>
        <w:jc w:val="both"/>
        <w:rPr>
          <w:rFonts w:ascii="Arial" w:hAnsi="Arial" w:cs="Arial"/>
        </w:rPr>
      </w:pPr>
    </w:p>
    <w:p w14:paraId="16B03BA5" w14:textId="77777777" w:rsidR="00671E5E" w:rsidRDefault="00671E5E" w:rsidP="00671E5E">
      <w:pPr>
        <w:jc w:val="both"/>
        <w:rPr>
          <w:rFonts w:ascii="Arial" w:hAnsi="Arial" w:cs="Arial"/>
        </w:rPr>
      </w:pPr>
      <w:r w:rsidRPr="00671E5E">
        <w:rPr>
          <w:rFonts w:ascii="Arial" w:hAnsi="Arial" w:cs="Arial"/>
          <w:b/>
          <w:bCs/>
        </w:rPr>
        <w:t>dsRNA Binding Mechanism:</w:t>
      </w:r>
      <w:r w:rsidRPr="00671E5E">
        <w:rPr>
          <w:rFonts w:ascii="Arial" w:hAnsi="Arial" w:cs="Arial"/>
        </w:rPr>
        <w:t> Anionic dsRNA phosphate groups undergo ion exchange with interlayer anions, intercalating between LDH layers through electrostatic attraction (Mitter et al., 2017; Yan et al., 2020). Intercalation expands interlayer spacing from 0.8–1.0 nm to 2.5–4.0 nm, accommodating dsRNA helices. Loading efficiency reaches 50–80% with dsRNA protection from RNase degradation extending 10–20 days under field conditions—5–10-fold longer than naked dsRNA (Mitter et al., 2017).</w:t>
      </w:r>
    </w:p>
    <w:p w14:paraId="702B5FD1" w14:textId="77777777" w:rsidR="00121261" w:rsidRPr="00671E5E" w:rsidRDefault="00121261" w:rsidP="00671E5E">
      <w:pPr>
        <w:jc w:val="both"/>
        <w:rPr>
          <w:rFonts w:ascii="Arial" w:hAnsi="Arial" w:cs="Arial"/>
        </w:rPr>
      </w:pPr>
    </w:p>
    <w:p w14:paraId="01ECD96D" w14:textId="044F5DBC" w:rsidR="00671E5E" w:rsidRDefault="00671E5E" w:rsidP="00671E5E">
      <w:pPr>
        <w:jc w:val="both"/>
        <w:rPr>
          <w:rFonts w:ascii="Arial" w:hAnsi="Arial" w:cs="Arial"/>
        </w:rPr>
      </w:pPr>
      <w:r w:rsidRPr="00671E5E">
        <w:rPr>
          <w:rFonts w:ascii="Arial" w:hAnsi="Arial" w:cs="Arial"/>
          <w:b/>
          <w:bCs/>
        </w:rPr>
        <w:t>Cellular Uptake Pathways:</w:t>
      </w:r>
      <w:r w:rsidRPr="00671E5E">
        <w:rPr>
          <w:rFonts w:ascii="Arial" w:hAnsi="Arial" w:cs="Arial"/>
        </w:rPr>
        <w:t xml:space="preserve"> LDH nanoparticles enter cells via </w:t>
      </w:r>
      <w:proofErr w:type="spellStart"/>
      <w:r w:rsidRPr="00671E5E">
        <w:rPr>
          <w:rFonts w:ascii="Arial" w:hAnsi="Arial" w:cs="Arial"/>
        </w:rPr>
        <w:t>clathrin</w:t>
      </w:r>
      <w:proofErr w:type="spellEnd"/>
      <w:r w:rsidRPr="00671E5E">
        <w:rPr>
          <w:rFonts w:ascii="Arial" w:hAnsi="Arial" w:cs="Arial"/>
        </w:rPr>
        <w:t>-mediated endocytosis, facilitated by surface charge interactions with membrane glycoproteins (Choi et al., 2016). Intracellular pH reduction (6.0–6.5 in endosomes, 4.5–5.5 in lysosomes) triggers LDH dissolution and dsRNA release through ion exchange reversal and layer structure collapse</w:t>
      </w:r>
      <w:r w:rsidR="00121261">
        <w:rPr>
          <w:rFonts w:ascii="Arial" w:hAnsi="Arial" w:cs="Arial"/>
        </w:rPr>
        <w:t>.</w:t>
      </w:r>
    </w:p>
    <w:p w14:paraId="0551B2B5" w14:textId="77777777" w:rsidR="00121261" w:rsidRPr="00671E5E" w:rsidRDefault="00121261" w:rsidP="00671E5E">
      <w:pPr>
        <w:jc w:val="both"/>
        <w:rPr>
          <w:rFonts w:ascii="Arial" w:hAnsi="Arial" w:cs="Arial"/>
        </w:rPr>
      </w:pPr>
    </w:p>
    <w:p w14:paraId="765DCBB7" w14:textId="77777777" w:rsidR="00671E5E" w:rsidRDefault="00671E5E" w:rsidP="00671E5E">
      <w:pPr>
        <w:jc w:val="both"/>
        <w:rPr>
          <w:rFonts w:ascii="Arial" w:hAnsi="Arial" w:cs="Arial"/>
        </w:rPr>
      </w:pPr>
      <w:r w:rsidRPr="00671E5E">
        <w:rPr>
          <w:rFonts w:ascii="Arial" w:hAnsi="Arial" w:cs="Arial"/>
          <w:b/>
          <w:bCs/>
        </w:rPr>
        <w:t>Release Kinetics:</w:t>
      </w:r>
      <w:r w:rsidRPr="00671E5E">
        <w:rPr>
          <w:rFonts w:ascii="Arial" w:hAnsi="Arial" w:cs="Arial"/>
        </w:rPr>
        <w:t> LDH-dsRNA systems exhibit pH-dependent release, with minimal release (&lt;15%) at neutral pH but accelerated release (&gt;70% within 24 hours) at pH &lt;6.5 (Mitter et al., 2017). This pH-responsive behavior provides targeted intracellular delivery following endosomal uptake.</w:t>
      </w:r>
    </w:p>
    <w:p w14:paraId="2C1DC13D" w14:textId="77777777" w:rsidR="00121261" w:rsidRPr="00671E5E" w:rsidRDefault="00121261" w:rsidP="00671E5E">
      <w:pPr>
        <w:jc w:val="both"/>
        <w:rPr>
          <w:rFonts w:ascii="Arial" w:hAnsi="Arial" w:cs="Arial"/>
        </w:rPr>
      </w:pPr>
    </w:p>
    <w:p w14:paraId="075D1044" w14:textId="77777777" w:rsidR="00671E5E" w:rsidRDefault="00671E5E" w:rsidP="00671E5E">
      <w:pPr>
        <w:jc w:val="both"/>
        <w:rPr>
          <w:rFonts w:ascii="Arial" w:hAnsi="Arial" w:cs="Arial"/>
        </w:rPr>
      </w:pPr>
      <w:r w:rsidRPr="00671E5E">
        <w:rPr>
          <w:rFonts w:ascii="Arial" w:hAnsi="Arial" w:cs="Arial"/>
          <w:b/>
          <w:bCs/>
        </w:rPr>
        <w:t>Efficacy in Rice Pests:</w:t>
      </w:r>
      <w:r w:rsidRPr="00671E5E">
        <w:rPr>
          <w:rFonts w:ascii="Arial" w:hAnsi="Arial" w:cs="Arial"/>
        </w:rPr>
        <w:t> LDH-dsRNA nanoparticles targeting </w:t>
      </w:r>
      <w:r w:rsidRPr="00671E5E">
        <w:rPr>
          <w:rFonts w:ascii="Arial" w:hAnsi="Arial" w:cs="Arial"/>
          <w:i/>
          <w:iCs/>
        </w:rPr>
        <w:t>Helicoverpa armigera</w:t>
      </w:r>
      <w:r w:rsidRPr="00671E5E">
        <w:rPr>
          <w:rFonts w:ascii="Arial" w:hAnsi="Arial" w:cs="Arial"/>
        </w:rPr>
        <w:t xml:space="preserve"> (cotton bollworm) V-ATPase genes achieve 80–95% gene knockdown and 70–85% larval mortality at 0.5–2 </w:t>
      </w:r>
      <w:proofErr w:type="spellStart"/>
      <w:r w:rsidRPr="00671E5E">
        <w:rPr>
          <w:rFonts w:ascii="Arial" w:hAnsi="Arial" w:cs="Arial"/>
        </w:rPr>
        <w:t>μg</w:t>
      </w:r>
      <w:proofErr w:type="spellEnd"/>
      <w:r w:rsidRPr="00671E5E">
        <w:rPr>
          <w:rFonts w:ascii="Arial" w:hAnsi="Arial" w:cs="Arial"/>
        </w:rPr>
        <w:t xml:space="preserve"> dsRNA/insect (</w:t>
      </w:r>
      <w:proofErr w:type="spellStart"/>
      <w:r w:rsidRPr="00671E5E">
        <w:rPr>
          <w:rFonts w:ascii="Arial" w:hAnsi="Arial" w:cs="Arial"/>
        </w:rPr>
        <w:t>Mitter</w:t>
      </w:r>
      <w:proofErr w:type="spellEnd"/>
      <w:r w:rsidRPr="00671E5E">
        <w:rPr>
          <w:rFonts w:ascii="Arial" w:hAnsi="Arial" w:cs="Arial"/>
        </w:rPr>
        <w:t xml:space="preserve"> et al., 2017). Greenhouse trials demonstrate LDH-dsRNA foliar sprays (20–50 </w:t>
      </w:r>
      <w:proofErr w:type="spellStart"/>
      <w:r w:rsidRPr="00671E5E">
        <w:rPr>
          <w:rFonts w:ascii="Arial" w:hAnsi="Arial" w:cs="Arial"/>
        </w:rPr>
        <w:t>μg</w:t>
      </w:r>
      <w:proofErr w:type="spellEnd"/>
      <w:r w:rsidRPr="00671E5E">
        <w:rPr>
          <w:rFonts w:ascii="Arial" w:hAnsi="Arial" w:cs="Arial"/>
        </w:rPr>
        <w:t>/mL) targeting </w:t>
      </w:r>
      <w:r w:rsidRPr="00671E5E">
        <w:rPr>
          <w:rFonts w:ascii="Arial" w:hAnsi="Arial" w:cs="Arial"/>
          <w:i/>
          <w:iCs/>
        </w:rPr>
        <w:t xml:space="preserve">S. </w:t>
      </w:r>
      <w:proofErr w:type="spellStart"/>
      <w:r w:rsidRPr="00671E5E">
        <w:rPr>
          <w:rFonts w:ascii="Arial" w:hAnsi="Arial" w:cs="Arial"/>
          <w:i/>
          <w:iCs/>
        </w:rPr>
        <w:t>incertulas</w:t>
      </w:r>
      <w:proofErr w:type="spellEnd"/>
      <w:r w:rsidRPr="00671E5E">
        <w:rPr>
          <w:rFonts w:ascii="Arial" w:hAnsi="Arial" w:cs="Arial"/>
        </w:rPr>
        <w:t> (rice yellow stem borer) chitin synthase genes reduce stem borer infestation by 65–80% and increase grain yield by 15–25% (Yan et al., 2020).</w:t>
      </w:r>
    </w:p>
    <w:p w14:paraId="4D0B1E07" w14:textId="77777777" w:rsidR="00121261" w:rsidRPr="00671E5E" w:rsidRDefault="00121261" w:rsidP="00671E5E">
      <w:pPr>
        <w:jc w:val="both"/>
        <w:rPr>
          <w:rFonts w:ascii="Arial" w:hAnsi="Arial" w:cs="Arial"/>
        </w:rPr>
      </w:pPr>
    </w:p>
    <w:p w14:paraId="1845B096" w14:textId="77777777" w:rsidR="00671E5E" w:rsidRDefault="00671E5E" w:rsidP="00671E5E">
      <w:pPr>
        <w:jc w:val="both"/>
        <w:rPr>
          <w:rFonts w:ascii="Arial" w:hAnsi="Arial" w:cs="Arial"/>
          <w:b/>
          <w:bCs/>
        </w:rPr>
      </w:pPr>
      <w:r w:rsidRPr="00671E5E">
        <w:rPr>
          <w:rFonts w:ascii="Arial" w:hAnsi="Arial" w:cs="Arial"/>
          <w:b/>
          <w:bCs/>
        </w:rPr>
        <w:t>4.3.3 Liposomal Nanocarriers</w:t>
      </w:r>
    </w:p>
    <w:p w14:paraId="1651A493" w14:textId="77777777" w:rsidR="00121261" w:rsidRPr="00671E5E" w:rsidRDefault="00121261" w:rsidP="00671E5E">
      <w:pPr>
        <w:jc w:val="both"/>
        <w:rPr>
          <w:rFonts w:ascii="Arial" w:hAnsi="Arial" w:cs="Arial"/>
          <w:b/>
          <w:bCs/>
        </w:rPr>
      </w:pPr>
    </w:p>
    <w:p w14:paraId="44942097" w14:textId="77777777" w:rsidR="00671E5E" w:rsidRDefault="00671E5E" w:rsidP="00671E5E">
      <w:pPr>
        <w:jc w:val="both"/>
        <w:rPr>
          <w:rFonts w:ascii="Arial" w:hAnsi="Arial" w:cs="Arial"/>
        </w:rPr>
      </w:pPr>
      <w:r w:rsidRPr="00671E5E">
        <w:rPr>
          <w:rFonts w:ascii="Arial" w:hAnsi="Arial" w:cs="Arial"/>
          <w:b/>
          <w:bCs/>
        </w:rPr>
        <w:t>Physicochemical Properties:</w:t>
      </w:r>
      <w:r w:rsidRPr="00671E5E">
        <w:rPr>
          <w:rFonts w:ascii="Arial" w:hAnsi="Arial" w:cs="Arial"/>
        </w:rPr>
        <w:t> Liposomes (50–500 nm) consist of phospholipid bilayers forming aqueous core compartments that encapsulate hydrophilic dsRNA (Akbarzadeh et al., 2013). Surface charge varies from neutral to positive (+10 to +40 mV) depending on lipid composition (phosphatidylcholine, DOTAP, DOPE).</w:t>
      </w:r>
    </w:p>
    <w:p w14:paraId="494AA03E" w14:textId="77777777" w:rsidR="00121261" w:rsidRPr="00671E5E" w:rsidRDefault="00121261" w:rsidP="00671E5E">
      <w:pPr>
        <w:jc w:val="both"/>
        <w:rPr>
          <w:rFonts w:ascii="Arial" w:hAnsi="Arial" w:cs="Arial"/>
        </w:rPr>
      </w:pPr>
    </w:p>
    <w:p w14:paraId="01B3203E" w14:textId="352BEE64" w:rsidR="00671E5E" w:rsidRDefault="00671E5E" w:rsidP="00671E5E">
      <w:pPr>
        <w:jc w:val="both"/>
        <w:rPr>
          <w:rFonts w:ascii="Arial" w:hAnsi="Arial" w:cs="Arial"/>
        </w:rPr>
      </w:pPr>
      <w:r w:rsidRPr="00671E5E">
        <w:rPr>
          <w:rFonts w:ascii="Arial" w:hAnsi="Arial" w:cs="Arial"/>
          <w:b/>
          <w:bCs/>
        </w:rPr>
        <w:t>dsRNA Binding Mechanism:</w:t>
      </w:r>
      <w:r w:rsidRPr="00671E5E">
        <w:rPr>
          <w:rFonts w:ascii="Arial" w:hAnsi="Arial" w:cs="Arial"/>
        </w:rPr>
        <w:t> Cationic lipids (DOTAP, DOTMA) electrostatically bind dsRNA during liposome formation, achieving encapsulation efficiencies of 60–90%. Lipid bilayers protect dsRNA from RNase degradation and environmental stresses, extending stability to 5–10 days (Das et al., 2015).</w:t>
      </w:r>
    </w:p>
    <w:p w14:paraId="3FC80EDD" w14:textId="77777777" w:rsidR="00121261" w:rsidRPr="00671E5E" w:rsidRDefault="00121261" w:rsidP="00671E5E">
      <w:pPr>
        <w:jc w:val="both"/>
        <w:rPr>
          <w:rFonts w:ascii="Arial" w:hAnsi="Arial" w:cs="Arial"/>
        </w:rPr>
      </w:pPr>
    </w:p>
    <w:p w14:paraId="4FE8A6C4" w14:textId="57DF9163" w:rsidR="00671E5E" w:rsidRDefault="00671E5E" w:rsidP="00671E5E">
      <w:pPr>
        <w:jc w:val="both"/>
        <w:rPr>
          <w:rFonts w:ascii="Arial" w:hAnsi="Arial" w:cs="Arial"/>
        </w:rPr>
      </w:pPr>
      <w:r w:rsidRPr="00671E5E">
        <w:rPr>
          <w:rFonts w:ascii="Arial" w:hAnsi="Arial" w:cs="Arial"/>
          <w:b/>
          <w:bCs/>
        </w:rPr>
        <w:t>Cellular Uptake Pathways:</w:t>
      </w:r>
      <w:r w:rsidRPr="00671E5E">
        <w:rPr>
          <w:rFonts w:ascii="Arial" w:hAnsi="Arial" w:cs="Arial"/>
        </w:rPr>
        <w:t> Liposomes fuse directly with plasma membranes or enter via endocytosis, delivering dsRNA to cytoplasm</w:t>
      </w:r>
      <w:r w:rsidR="009007DC">
        <w:rPr>
          <w:rFonts w:ascii="Arial" w:hAnsi="Arial" w:cs="Arial"/>
        </w:rPr>
        <w:t xml:space="preserve">. </w:t>
      </w:r>
      <w:proofErr w:type="spellStart"/>
      <w:r w:rsidRPr="00671E5E">
        <w:rPr>
          <w:rFonts w:ascii="Arial" w:hAnsi="Arial" w:cs="Arial"/>
        </w:rPr>
        <w:t>Fusogenic</w:t>
      </w:r>
      <w:proofErr w:type="spellEnd"/>
      <w:r w:rsidRPr="00671E5E">
        <w:rPr>
          <w:rFonts w:ascii="Arial" w:hAnsi="Arial" w:cs="Arial"/>
        </w:rPr>
        <w:t xml:space="preserve"> lipids (DOPE) destabilize endosomal membranes through non-bilayer phase transitions at acidic pH, promoting endosomal escape and cytoplasmic release</w:t>
      </w:r>
      <w:r w:rsidR="00121261">
        <w:rPr>
          <w:rFonts w:ascii="Arial" w:hAnsi="Arial" w:cs="Arial"/>
        </w:rPr>
        <w:t>.</w:t>
      </w:r>
    </w:p>
    <w:p w14:paraId="7DD77595" w14:textId="77777777" w:rsidR="00121261" w:rsidRPr="00671E5E" w:rsidRDefault="00121261" w:rsidP="00671E5E">
      <w:pPr>
        <w:jc w:val="both"/>
        <w:rPr>
          <w:rFonts w:ascii="Arial" w:hAnsi="Arial" w:cs="Arial"/>
        </w:rPr>
      </w:pPr>
    </w:p>
    <w:p w14:paraId="2B52888B" w14:textId="2546B79D" w:rsidR="00671E5E" w:rsidRDefault="00671E5E" w:rsidP="00671E5E">
      <w:pPr>
        <w:jc w:val="both"/>
        <w:rPr>
          <w:rFonts w:ascii="Arial" w:hAnsi="Arial" w:cs="Arial"/>
        </w:rPr>
      </w:pPr>
      <w:r w:rsidRPr="00671E5E">
        <w:rPr>
          <w:rFonts w:ascii="Arial" w:hAnsi="Arial" w:cs="Arial"/>
          <w:b/>
          <w:bCs/>
        </w:rPr>
        <w:t>Release Kinetics:</w:t>
      </w:r>
      <w:r w:rsidRPr="00671E5E">
        <w:rPr>
          <w:rFonts w:ascii="Arial" w:hAnsi="Arial" w:cs="Arial"/>
        </w:rPr>
        <w:t> Liposomal dsRNA release occurs through lipid bilayer destabilization, enzymatic degradation by phospholipases, and membrane fusion events. Release rates depend on lipid composition, with saturated lipids providing slower release (days to weeks) and unsaturated lipids enabling faster release (hours to days).</w:t>
      </w:r>
    </w:p>
    <w:p w14:paraId="032C33C3" w14:textId="77777777" w:rsidR="00121261" w:rsidRPr="00671E5E" w:rsidRDefault="00121261" w:rsidP="00671E5E">
      <w:pPr>
        <w:jc w:val="both"/>
        <w:rPr>
          <w:rFonts w:ascii="Arial" w:hAnsi="Arial" w:cs="Arial"/>
        </w:rPr>
      </w:pPr>
    </w:p>
    <w:p w14:paraId="184D1716" w14:textId="60CBBBF1" w:rsidR="00671E5E" w:rsidRDefault="00671E5E" w:rsidP="00671E5E">
      <w:pPr>
        <w:jc w:val="both"/>
        <w:rPr>
          <w:rFonts w:ascii="Arial" w:hAnsi="Arial" w:cs="Arial"/>
        </w:rPr>
      </w:pPr>
      <w:r w:rsidRPr="00671E5E">
        <w:rPr>
          <w:rFonts w:ascii="Arial" w:hAnsi="Arial" w:cs="Arial"/>
          <w:b/>
          <w:bCs/>
        </w:rPr>
        <w:t>Efficacy in Rice Pests:</w:t>
      </w:r>
      <w:r w:rsidRPr="00671E5E">
        <w:rPr>
          <w:rFonts w:ascii="Arial" w:hAnsi="Arial" w:cs="Arial"/>
        </w:rPr>
        <w:t> Liposomal dsRNA targeting </w:t>
      </w:r>
      <w:r w:rsidRPr="00671E5E">
        <w:rPr>
          <w:rFonts w:ascii="Arial" w:hAnsi="Arial" w:cs="Arial"/>
          <w:i/>
          <w:iCs/>
        </w:rPr>
        <w:t xml:space="preserve">N. </w:t>
      </w:r>
      <w:proofErr w:type="spellStart"/>
      <w:r w:rsidRPr="00671E5E">
        <w:rPr>
          <w:rFonts w:ascii="Arial" w:hAnsi="Arial" w:cs="Arial"/>
          <w:i/>
          <w:iCs/>
        </w:rPr>
        <w:t>lugens</w:t>
      </w:r>
      <w:proofErr w:type="spellEnd"/>
      <w:r w:rsidRPr="00671E5E">
        <w:rPr>
          <w:rFonts w:ascii="Arial" w:hAnsi="Arial" w:cs="Arial"/>
        </w:rPr>
        <w:t xml:space="preserve"> acetylcholinesterase genes achieves 70–85% mortality at 2–5 </w:t>
      </w:r>
      <w:proofErr w:type="spellStart"/>
      <w:r w:rsidRPr="00671E5E">
        <w:rPr>
          <w:rFonts w:ascii="Arial" w:hAnsi="Arial" w:cs="Arial"/>
        </w:rPr>
        <w:t>μg</w:t>
      </w:r>
      <w:proofErr w:type="spellEnd"/>
      <w:r w:rsidRPr="00671E5E">
        <w:rPr>
          <w:rFonts w:ascii="Arial" w:hAnsi="Arial" w:cs="Arial"/>
        </w:rPr>
        <w:t xml:space="preserve"> dsRNA/insect with effects persisting 7–10 days post-treatment (Das et al., 2015).</w:t>
      </w:r>
    </w:p>
    <w:p w14:paraId="60D8E547" w14:textId="77777777" w:rsidR="00121261" w:rsidRPr="00671E5E" w:rsidRDefault="00121261" w:rsidP="00671E5E">
      <w:pPr>
        <w:jc w:val="both"/>
        <w:rPr>
          <w:rFonts w:ascii="Arial" w:hAnsi="Arial" w:cs="Arial"/>
        </w:rPr>
      </w:pPr>
    </w:p>
    <w:p w14:paraId="607B719E" w14:textId="77777777" w:rsidR="00671E5E" w:rsidRDefault="00671E5E" w:rsidP="00671E5E">
      <w:pPr>
        <w:jc w:val="both"/>
        <w:rPr>
          <w:rFonts w:ascii="Arial" w:hAnsi="Arial" w:cs="Arial"/>
          <w:b/>
          <w:bCs/>
        </w:rPr>
      </w:pPr>
      <w:r w:rsidRPr="00671E5E">
        <w:rPr>
          <w:rFonts w:ascii="Arial" w:hAnsi="Arial" w:cs="Arial"/>
          <w:b/>
          <w:bCs/>
        </w:rPr>
        <w:t>4.3.4 Polymeric Nanoparticles (PLGA, PEI)</w:t>
      </w:r>
    </w:p>
    <w:p w14:paraId="32D8AADB" w14:textId="77777777" w:rsidR="00121261" w:rsidRPr="00671E5E" w:rsidRDefault="00121261" w:rsidP="00671E5E">
      <w:pPr>
        <w:jc w:val="both"/>
        <w:rPr>
          <w:rFonts w:ascii="Arial" w:hAnsi="Arial" w:cs="Arial"/>
          <w:b/>
          <w:bCs/>
        </w:rPr>
      </w:pPr>
    </w:p>
    <w:p w14:paraId="7AC2B74D" w14:textId="77777777" w:rsidR="00671E5E" w:rsidRDefault="00671E5E" w:rsidP="00671E5E">
      <w:pPr>
        <w:jc w:val="both"/>
        <w:rPr>
          <w:rFonts w:ascii="Arial" w:hAnsi="Arial" w:cs="Arial"/>
        </w:rPr>
      </w:pPr>
      <w:r w:rsidRPr="00671E5E">
        <w:rPr>
          <w:rFonts w:ascii="Arial" w:hAnsi="Arial" w:cs="Arial"/>
          <w:b/>
          <w:bCs/>
        </w:rPr>
        <w:t>PLGA Nanoparticles:</w:t>
      </w:r>
      <w:r w:rsidRPr="00671E5E">
        <w:rPr>
          <w:rFonts w:ascii="Arial" w:hAnsi="Arial" w:cs="Arial"/>
        </w:rPr>
        <w:t> PLGA nanoparticles (100–400 nm) encapsulate dsRNA during emulsion-based synthesis, providing sustained release over 7–21 days through polymer hydrolysis (</w:t>
      </w:r>
      <w:proofErr w:type="spellStart"/>
      <w:r w:rsidRPr="00671E5E">
        <w:rPr>
          <w:rFonts w:ascii="Arial" w:hAnsi="Arial" w:cs="Arial"/>
        </w:rPr>
        <w:t>Danhier</w:t>
      </w:r>
      <w:proofErr w:type="spellEnd"/>
      <w:r w:rsidRPr="00671E5E">
        <w:rPr>
          <w:rFonts w:ascii="Arial" w:hAnsi="Arial" w:cs="Arial"/>
        </w:rPr>
        <w:t xml:space="preserve"> et al., 2012). Negative surface charge (−20 to −40 mV) requires surface modification with cationic polymers (chitosan, PEI) to enhance cellular uptake (</w:t>
      </w:r>
      <w:proofErr w:type="spellStart"/>
      <w:r w:rsidRPr="00671E5E">
        <w:rPr>
          <w:rFonts w:ascii="Arial" w:hAnsi="Arial" w:cs="Arial"/>
        </w:rPr>
        <w:t>Tahara</w:t>
      </w:r>
      <w:proofErr w:type="spellEnd"/>
      <w:r w:rsidRPr="00671E5E">
        <w:rPr>
          <w:rFonts w:ascii="Arial" w:hAnsi="Arial" w:cs="Arial"/>
        </w:rPr>
        <w:t xml:space="preserve"> et al., 2010). PLGA-dsRNA nanoparticles demonstrate 60–80% gene silencing efficiency in lepidopteran pests with reduced dosage requirements (50–70% lower than naked dsRNA) (Zhang et al., 2015).</w:t>
      </w:r>
    </w:p>
    <w:p w14:paraId="7AABFF9B" w14:textId="77777777" w:rsidR="00121261" w:rsidRPr="00671E5E" w:rsidRDefault="00121261" w:rsidP="00671E5E">
      <w:pPr>
        <w:jc w:val="both"/>
        <w:rPr>
          <w:rFonts w:ascii="Arial" w:hAnsi="Arial" w:cs="Arial"/>
        </w:rPr>
      </w:pPr>
    </w:p>
    <w:p w14:paraId="1AFEFD4F" w14:textId="59B25E56" w:rsidR="00671E5E" w:rsidRDefault="00671E5E" w:rsidP="00671E5E">
      <w:pPr>
        <w:jc w:val="both"/>
        <w:rPr>
          <w:rFonts w:ascii="Arial" w:hAnsi="Arial" w:cs="Arial"/>
        </w:rPr>
      </w:pPr>
      <w:proofErr w:type="spellStart"/>
      <w:r w:rsidRPr="00671E5E">
        <w:rPr>
          <w:rFonts w:ascii="Arial" w:hAnsi="Arial" w:cs="Arial"/>
          <w:b/>
          <w:bCs/>
        </w:rPr>
        <w:t>Polyethylenimine</w:t>
      </w:r>
      <w:proofErr w:type="spellEnd"/>
      <w:r w:rsidRPr="00671E5E">
        <w:rPr>
          <w:rFonts w:ascii="Arial" w:hAnsi="Arial" w:cs="Arial"/>
          <w:b/>
          <w:bCs/>
        </w:rPr>
        <w:t xml:space="preserve"> (PEI) Nanoparticles:</w:t>
      </w:r>
      <w:r w:rsidRPr="00671E5E">
        <w:rPr>
          <w:rFonts w:ascii="Arial" w:hAnsi="Arial" w:cs="Arial"/>
        </w:rPr>
        <w:t xml:space="preserve"> PEI (branched or linear, 1.8–25 </w:t>
      </w:r>
      <w:proofErr w:type="spellStart"/>
      <w:r w:rsidRPr="00671E5E">
        <w:rPr>
          <w:rFonts w:ascii="Arial" w:hAnsi="Arial" w:cs="Arial"/>
        </w:rPr>
        <w:t>kDa</w:t>
      </w:r>
      <w:proofErr w:type="spellEnd"/>
      <w:r w:rsidRPr="00671E5E">
        <w:rPr>
          <w:rFonts w:ascii="Arial" w:hAnsi="Arial" w:cs="Arial"/>
        </w:rPr>
        <w:t>) forms compact polyplexes with dsRNA through electrostatic complexation at N/P ratios of 5:1 to 40:1</w:t>
      </w:r>
      <w:r w:rsidR="00121261">
        <w:rPr>
          <w:rFonts w:ascii="Arial" w:hAnsi="Arial" w:cs="Arial"/>
        </w:rPr>
        <w:t>.</w:t>
      </w:r>
      <w:r w:rsidRPr="00671E5E">
        <w:rPr>
          <w:rFonts w:ascii="Arial" w:hAnsi="Arial" w:cs="Arial"/>
        </w:rPr>
        <w:t xml:space="preserve"> High positive charge density (+30 to +60 mV) enhances membrane binding and cellular uptake via adsorptive endocytosis. PEI's proton sponge capacity (every third atom is protonatable) promotes endosomal escape through osmotic swelling and membrane rupture. However, high charge density causes cytotoxicity at &gt;10 </w:t>
      </w:r>
      <w:proofErr w:type="spellStart"/>
      <w:r w:rsidRPr="00671E5E">
        <w:rPr>
          <w:rFonts w:ascii="Arial" w:hAnsi="Arial" w:cs="Arial"/>
        </w:rPr>
        <w:t>μg</w:t>
      </w:r>
      <w:proofErr w:type="spellEnd"/>
      <w:r w:rsidRPr="00671E5E">
        <w:rPr>
          <w:rFonts w:ascii="Arial" w:hAnsi="Arial" w:cs="Arial"/>
        </w:rPr>
        <w:t>/mL, requiring careful dosage optimization.</w:t>
      </w:r>
    </w:p>
    <w:p w14:paraId="56C44428" w14:textId="77777777" w:rsidR="00FD073D" w:rsidRDefault="00FD073D" w:rsidP="00671E5E">
      <w:pPr>
        <w:jc w:val="both"/>
        <w:rPr>
          <w:rFonts w:ascii="Arial" w:hAnsi="Arial" w:cs="Arial"/>
          <w:b/>
          <w:bCs/>
        </w:rPr>
      </w:pPr>
    </w:p>
    <w:p w14:paraId="0F953E85" w14:textId="77777777" w:rsidR="005C37DA" w:rsidRPr="001B1044" w:rsidRDefault="005C37DA" w:rsidP="005C37DA">
      <w:pPr>
        <w:jc w:val="both"/>
        <w:rPr>
          <w:rFonts w:ascii="Times New Roman" w:hAnsi="Times New Roman"/>
        </w:rPr>
      </w:pPr>
      <w:r>
        <w:rPr>
          <w:rFonts w:ascii="Times New Roman" w:hAnsi="Times New Roman"/>
          <w:noProof/>
        </w:rPr>
        <w:lastRenderedPageBreak/>
        <w:drawing>
          <wp:inline distT="0" distB="0" distL="0" distR="0" wp14:anchorId="3A43954C" wp14:editId="4DC34B44">
            <wp:extent cx="5943600" cy="5900775"/>
            <wp:effectExtent l="0" t="0" r="0" b="5080"/>
            <wp:docPr id="3146183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18324" name="Picture 314618324"/>
                    <pic:cNvPicPr/>
                  </pic:nvPicPr>
                  <pic:blipFill rotWithShape="1">
                    <a:blip r:embed="rId12" cstate="print">
                      <a:extLst>
                        <a:ext uri="{28A0092B-C50C-407E-A947-70E740481C1C}">
                          <a14:useLocalDpi xmlns:a14="http://schemas.microsoft.com/office/drawing/2010/main" val="0"/>
                        </a:ext>
                      </a:extLst>
                    </a:blip>
                    <a:srcRect t="2655"/>
                    <a:stretch>
                      <a:fillRect/>
                    </a:stretch>
                  </pic:blipFill>
                  <pic:spPr bwMode="auto">
                    <a:xfrm>
                      <a:off x="0" y="0"/>
                      <a:ext cx="5943600" cy="5900775"/>
                    </a:xfrm>
                    <a:prstGeom prst="rect">
                      <a:avLst/>
                    </a:prstGeom>
                    <a:ln>
                      <a:noFill/>
                    </a:ln>
                    <a:extLst>
                      <a:ext uri="{53640926-AAD7-44D8-BBD7-CCE9431645EC}">
                        <a14:shadowObscured xmlns:a14="http://schemas.microsoft.com/office/drawing/2010/main"/>
                      </a:ext>
                    </a:extLst>
                  </pic:spPr>
                </pic:pic>
              </a:graphicData>
            </a:graphic>
          </wp:inline>
        </w:drawing>
      </w:r>
    </w:p>
    <w:p w14:paraId="5C857D5A" w14:textId="77777777" w:rsidR="005C37DA" w:rsidRPr="005C37DA" w:rsidRDefault="005C37DA" w:rsidP="005C37DA">
      <w:pPr>
        <w:jc w:val="both"/>
        <w:rPr>
          <w:rFonts w:ascii="Arial" w:hAnsi="Arial" w:cs="Arial"/>
          <w:i/>
          <w:iCs/>
        </w:rPr>
      </w:pPr>
      <w:bookmarkStart w:id="3" w:name="_Hlk214446575"/>
      <w:r w:rsidRPr="005C37DA">
        <w:rPr>
          <w:rFonts w:ascii="Arial" w:hAnsi="Arial" w:cs="Arial"/>
          <w:b/>
          <w:bCs/>
        </w:rPr>
        <w:t>Fig. 5.</w:t>
      </w:r>
      <w:r w:rsidRPr="005C37DA">
        <w:rPr>
          <w:rFonts w:ascii="Arial" w:hAnsi="Arial" w:cs="Arial"/>
        </w:rPr>
        <w:t> Efficacy and specificity of nanocarrier-delivered RNAi for pest control.</w:t>
      </w:r>
      <w:r w:rsidRPr="005C37DA">
        <w:rPr>
          <w:rFonts w:ascii="Arial" w:hAnsi="Arial" w:cs="Arial"/>
          <w:i/>
          <w:iCs/>
        </w:rPr>
        <w:t xml:space="preserve"> </w:t>
      </w:r>
    </w:p>
    <w:p w14:paraId="6B8C2DEF" w14:textId="49ABBD2F" w:rsidR="005C37DA" w:rsidRPr="005C37DA" w:rsidRDefault="005C37DA" w:rsidP="005C37DA">
      <w:pPr>
        <w:jc w:val="both"/>
        <w:rPr>
          <w:rFonts w:ascii="Arial" w:hAnsi="Arial" w:cs="Arial"/>
          <w:i/>
          <w:iCs/>
        </w:rPr>
      </w:pPr>
      <w:r w:rsidRPr="005C37DA">
        <w:rPr>
          <w:rFonts w:ascii="Arial" w:hAnsi="Arial" w:cs="Arial"/>
          <w:i/>
          <w:iCs/>
        </w:rPr>
        <w:t>The figure should show: (A) Gene expression knockdown levels (qPCR data) for target vs. non-target genes, (B) Dose-response curves for mortality at different dsRNA concentrations, (C) Time-course of gene silencing and phenotypic effects, (D) Comparison of naked dsRNA vs. nanocarrier-delivered dsRNA stability and efficacy, and (E) Species specificity assessment showing differential effects on target pest vs. beneficial insects.</w:t>
      </w:r>
    </w:p>
    <w:bookmarkEnd w:id="3"/>
    <w:p w14:paraId="7BCB1DCF" w14:textId="77777777" w:rsidR="005C37DA" w:rsidRPr="001B1044" w:rsidRDefault="005C37DA" w:rsidP="005C37DA">
      <w:pPr>
        <w:jc w:val="both"/>
        <w:rPr>
          <w:rFonts w:ascii="Times New Roman" w:hAnsi="Times New Roman"/>
        </w:rPr>
      </w:pPr>
    </w:p>
    <w:p w14:paraId="14C974DF" w14:textId="77777777" w:rsidR="005C37DA" w:rsidRPr="00671E5E" w:rsidRDefault="005C37DA" w:rsidP="00671E5E">
      <w:pPr>
        <w:jc w:val="both"/>
        <w:rPr>
          <w:rFonts w:ascii="Arial" w:hAnsi="Arial" w:cs="Arial"/>
        </w:rPr>
      </w:pPr>
    </w:p>
    <w:p w14:paraId="5199276D" w14:textId="77777777" w:rsidR="00671E5E" w:rsidRDefault="00671E5E" w:rsidP="00671E5E">
      <w:pPr>
        <w:jc w:val="both"/>
        <w:rPr>
          <w:rFonts w:ascii="Arial" w:hAnsi="Arial" w:cs="Arial"/>
          <w:b/>
          <w:bCs/>
        </w:rPr>
      </w:pPr>
      <w:r w:rsidRPr="00671E5E">
        <w:rPr>
          <w:rFonts w:ascii="Arial" w:hAnsi="Arial" w:cs="Arial"/>
          <w:b/>
          <w:bCs/>
        </w:rPr>
        <w:t>4.4 Target Gene Selection and Off-Target Risk Assessment</w:t>
      </w:r>
    </w:p>
    <w:p w14:paraId="04B5851F" w14:textId="77777777" w:rsidR="00121261" w:rsidRPr="00671E5E" w:rsidRDefault="00121261" w:rsidP="00671E5E">
      <w:pPr>
        <w:jc w:val="both"/>
        <w:rPr>
          <w:rFonts w:ascii="Arial" w:hAnsi="Arial" w:cs="Arial"/>
          <w:b/>
          <w:bCs/>
        </w:rPr>
      </w:pPr>
    </w:p>
    <w:p w14:paraId="7B8A6BF7" w14:textId="77777777" w:rsidR="00671E5E" w:rsidRDefault="00671E5E" w:rsidP="00671E5E">
      <w:pPr>
        <w:jc w:val="both"/>
        <w:rPr>
          <w:rFonts w:ascii="Arial" w:hAnsi="Arial" w:cs="Arial"/>
        </w:rPr>
      </w:pPr>
      <w:r w:rsidRPr="00671E5E">
        <w:rPr>
          <w:rFonts w:ascii="Arial" w:hAnsi="Arial" w:cs="Arial"/>
        </w:rPr>
        <w:t>Effective RNAi requires targeting essential genes with high knockdown efficiency and minimal off-target effects (</w:t>
      </w:r>
      <w:proofErr w:type="spellStart"/>
      <w:r w:rsidRPr="00671E5E">
        <w:rPr>
          <w:rFonts w:ascii="Arial" w:hAnsi="Arial" w:cs="Arial"/>
        </w:rPr>
        <w:t>Zotti</w:t>
      </w:r>
      <w:proofErr w:type="spellEnd"/>
      <w:r w:rsidRPr="00671E5E">
        <w:rPr>
          <w:rFonts w:ascii="Arial" w:hAnsi="Arial" w:cs="Arial"/>
        </w:rPr>
        <w:t xml:space="preserve"> &amp; </w:t>
      </w:r>
      <w:proofErr w:type="spellStart"/>
      <w:r w:rsidRPr="00671E5E">
        <w:rPr>
          <w:rFonts w:ascii="Arial" w:hAnsi="Arial" w:cs="Arial"/>
        </w:rPr>
        <w:t>Smagghe</w:t>
      </w:r>
      <w:proofErr w:type="spellEnd"/>
      <w:r w:rsidRPr="00671E5E">
        <w:rPr>
          <w:rFonts w:ascii="Arial" w:hAnsi="Arial" w:cs="Arial"/>
        </w:rPr>
        <w:t>, 2015; Bachman et al., 2016).</w:t>
      </w:r>
    </w:p>
    <w:p w14:paraId="76505167" w14:textId="77777777" w:rsidR="00121261" w:rsidRPr="00671E5E" w:rsidRDefault="00121261" w:rsidP="00671E5E">
      <w:pPr>
        <w:jc w:val="both"/>
        <w:rPr>
          <w:rFonts w:ascii="Arial" w:hAnsi="Arial" w:cs="Arial"/>
        </w:rPr>
      </w:pPr>
    </w:p>
    <w:p w14:paraId="085CEE1A" w14:textId="03A2F1F0" w:rsidR="00671E5E" w:rsidRDefault="00671E5E" w:rsidP="00671E5E">
      <w:pPr>
        <w:jc w:val="both"/>
        <w:rPr>
          <w:rFonts w:ascii="Arial" w:hAnsi="Arial" w:cs="Arial"/>
        </w:rPr>
      </w:pPr>
      <w:r w:rsidRPr="00671E5E">
        <w:rPr>
          <w:rFonts w:ascii="Arial" w:hAnsi="Arial" w:cs="Arial"/>
          <w:b/>
          <w:bCs/>
        </w:rPr>
        <w:t>Essential Gene Targets:</w:t>
      </w:r>
      <w:r w:rsidRPr="00671E5E">
        <w:rPr>
          <w:rFonts w:ascii="Arial" w:hAnsi="Arial" w:cs="Arial"/>
        </w:rPr>
        <w:t> Housekeeping genes regulating metabolism, development, and reproduction serve as optimal targets. Validated targets include: (1) V-ATPase subunits (energy metabolism); (2) chitin synthase (cuticle formation); (3) acetylcholinesterase (neurotransmission); (4) ecdysone receptor (molting); (5) juvenile hormone biosynthesis enzymes (development) (Zhu et al., 2011). Silencing these genes causes 70–95% mortality within 5–10 days at optimal dosages.</w:t>
      </w:r>
    </w:p>
    <w:p w14:paraId="37542342" w14:textId="77777777" w:rsidR="00EB2CF6" w:rsidRPr="00671E5E" w:rsidRDefault="00EB2CF6" w:rsidP="00671E5E">
      <w:pPr>
        <w:jc w:val="both"/>
        <w:rPr>
          <w:rFonts w:ascii="Arial" w:hAnsi="Arial" w:cs="Arial"/>
        </w:rPr>
      </w:pPr>
    </w:p>
    <w:p w14:paraId="70270939" w14:textId="28751B17" w:rsidR="00671E5E" w:rsidRDefault="00671E5E" w:rsidP="00671E5E">
      <w:pPr>
        <w:jc w:val="both"/>
        <w:rPr>
          <w:rFonts w:ascii="Arial" w:hAnsi="Arial" w:cs="Arial"/>
        </w:rPr>
      </w:pPr>
      <w:r w:rsidRPr="00671E5E">
        <w:rPr>
          <w:rFonts w:ascii="Arial" w:hAnsi="Arial" w:cs="Arial"/>
          <w:b/>
          <w:bCs/>
        </w:rPr>
        <w:t>Bioinformatic Off-Target Analysis:</w:t>
      </w:r>
      <w:r w:rsidRPr="00671E5E">
        <w:rPr>
          <w:rFonts w:ascii="Arial" w:hAnsi="Arial" w:cs="Arial"/>
        </w:rPr>
        <w:t xml:space="preserve"> Comprehensive sequence alignment against non-target species genomes identifies potential off-target matches (Bachman et al., 2013). Conservative thresholds require &lt;80% identity over 21-nucleotide </w:t>
      </w:r>
      <w:r w:rsidRPr="00671E5E">
        <w:rPr>
          <w:rFonts w:ascii="Arial" w:hAnsi="Arial" w:cs="Arial"/>
        </w:rPr>
        <w:lastRenderedPageBreak/>
        <w:t>windows to minimize off-target silencing. Experimental validation in representative non-target species (beneficial insects, vertebrates) confirms specificity and safety (Bachman et al., 2016).</w:t>
      </w:r>
    </w:p>
    <w:p w14:paraId="7CB41AFE" w14:textId="77777777" w:rsidR="00EB2CF6" w:rsidRDefault="00EB2CF6" w:rsidP="00671E5E">
      <w:pPr>
        <w:jc w:val="both"/>
        <w:rPr>
          <w:rFonts w:ascii="Arial" w:hAnsi="Arial" w:cs="Arial"/>
        </w:rPr>
      </w:pPr>
    </w:p>
    <w:p w14:paraId="484E8EBF" w14:textId="497377B3" w:rsidR="00F83DA4" w:rsidRPr="00F83DA4" w:rsidRDefault="00F83DA4" w:rsidP="00F83DA4">
      <w:pPr>
        <w:jc w:val="center"/>
        <w:rPr>
          <w:rFonts w:ascii="Arial" w:hAnsi="Arial" w:cs="Arial"/>
          <w:b/>
          <w:bCs/>
        </w:rPr>
      </w:pPr>
      <w:r w:rsidRPr="00F83DA4">
        <w:rPr>
          <w:rFonts w:ascii="Arial" w:hAnsi="Arial" w:cs="Arial"/>
          <w:b/>
          <w:bCs/>
        </w:rPr>
        <w:t>T</w:t>
      </w:r>
      <w:r>
        <w:rPr>
          <w:rFonts w:ascii="Arial" w:hAnsi="Arial" w:cs="Arial"/>
          <w:b/>
          <w:bCs/>
        </w:rPr>
        <w:t>able 4: Phys</w:t>
      </w:r>
      <w:r w:rsidRPr="00F83DA4">
        <w:rPr>
          <w:rFonts w:ascii="Arial" w:hAnsi="Arial" w:cs="Arial"/>
          <w:b/>
          <w:bCs/>
        </w:rPr>
        <w:t>icochemical Properties of RNAi Nanocarriers</w:t>
      </w:r>
    </w:p>
    <w:tbl>
      <w:tblPr>
        <w:tblStyle w:val="TableGrid"/>
        <w:tblW w:w="505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396"/>
        <w:gridCol w:w="1900"/>
        <w:gridCol w:w="1573"/>
        <w:gridCol w:w="1641"/>
        <w:gridCol w:w="1638"/>
        <w:gridCol w:w="1294"/>
      </w:tblGrid>
      <w:tr w:rsidR="00F83DA4" w:rsidRPr="00F83DA4" w14:paraId="1F020153" w14:textId="77777777" w:rsidTr="00F83DA4">
        <w:trPr>
          <w:trHeight w:val="600"/>
        </w:trPr>
        <w:tc>
          <w:tcPr>
            <w:tcW w:w="672" w:type="pct"/>
            <w:tcBorders>
              <w:top w:val="single" w:sz="4" w:space="0" w:color="auto"/>
              <w:bottom w:val="single" w:sz="4" w:space="0" w:color="auto"/>
            </w:tcBorders>
            <w:hideMark/>
          </w:tcPr>
          <w:p w14:paraId="08C717D9" w14:textId="77777777" w:rsidR="00F83DA4" w:rsidRPr="00F83DA4" w:rsidRDefault="00F83DA4" w:rsidP="00F83DA4">
            <w:pPr>
              <w:jc w:val="both"/>
              <w:rPr>
                <w:rFonts w:ascii="Arial" w:hAnsi="Arial" w:cs="Arial"/>
                <w:b/>
                <w:bCs/>
              </w:rPr>
            </w:pPr>
            <w:r w:rsidRPr="00F83DA4">
              <w:rPr>
                <w:rFonts w:ascii="Arial" w:hAnsi="Arial" w:cs="Arial"/>
                <w:b/>
                <w:bCs/>
              </w:rPr>
              <w:t>Nanocarrier</w:t>
            </w:r>
          </w:p>
        </w:tc>
        <w:tc>
          <w:tcPr>
            <w:tcW w:w="640" w:type="pct"/>
            <w:tcBorders>
              <w:top w:val="single" w:sz="4" w:space="0" w:color="auto"/>
              <w:bottom w:val="single" w:sz="4" w:space="0" w:color="auto"/>
            </w:tcBorders>
            <w:hideMark/>
          </w:tcPr>
          <w:p w14:paraId="58EA86DE" w14:textId="77777777" w:rsidR="00F83DA4" w:rsidRPr="00F83DA4" w:rsidRDefault="00F83DA4" w:rsidP="00F83DA4">
            <w:pPr>
              <w:jc w:val="both"/>
              <w:rPr>
                <w:rFonts w:ascii="Arial" w:hAnsi="Arial" w:cs="Arial"/>
                <w:b/>
                <w:bCs/>
              </w:rPr>
            </w:pPr>
            <w:r w:rsidRPr="00F83DA4">
              <w:rPr>
                <w:rFonts w:ascii="Arial" w:hAnsi="Arial" w:cs="Arial"/>
                <w:b/>
                <w:bCs/>
              </w:rPr>
              <w:t>Size (nm)</w:t>
            </w:r>
          </w:p>
        </w:tc>
        <w:tc>
          <w:tcPr>
            <w:tcW w:w="871" w:type="pct"/>
            <w:tcBorders>
              <w:top w:val="single" w:sz="4" w:space="0" w:color="auto"/>
              <w:bottom w:val="single" w:sz="4" w:space="0" w:color="auto"/>
            </w:tcBorders>
            <w:hideMark/>
          </w:tcPr>
          <w:p w14:paraId="3844E4D7" w14:textId="77777777" w:rsidR="00F83DA4" w:rsidRPr="00F83DA4" w:rsidRDefault="00F83DA4" w:rsidP="00F83DA4">
            <w:pPr>
              <w:jc w:val="both"/>
              <w:rPr>
                <w:rFonts w:ascii="Arial" w:hAnsi="Arial" w:cs="Arial"/>
                <w:b/>
                <w:bCs/>
              </w:rPr>
            </w:pPr>
            <w:r w:rsidRPr="00F83DA4">
              <w:rPr>
                <w:rFonts w:ascii="Arial" w:hAnsi="Arial" w:cs="Arial"/>
                <w:b/>
                <w:bCs/>
              </w:rPr>
              <w:t>ζ-Potential (mV)</w:t>
            </w:r>
          </w:p>
        </w:tc>
        <w:tc>
          <w:tcPr>
            <w:tcW w:w="721" w:type="pct"/>
            <w:tcBorders>
              <w:top w:val="single" w:sz="4" w:space="0" w:color="auto"/>
              <w:bottom w:val="single" w:sz="4" w:space="0" w:color="auto"/>
            </w:tcBorders>
            <w:hideMark/>
          </w:tcPr>
          <w:p w14:paraId="460BDF0D" w14:textId="77777777" w:rsidR="00F83DA4" w:rsidRPr="00F83DA4" w:rsidRDefault="00F83DA4" w:rsidP="00F83DA4">
            <w:pPr>
              <w:jc w:val="both"/>
              <w:rPr>
                <w:rFonts w:ascii="Arial" w:hAnsi="Arial" w:cs="Arial"/>
                <w:b/>
                <w:bCs/>
              </w:rPr>
            </w:pPr>
            <w:r w:rsidRPr="00F83DA4">
              <w:rPr>
                <w:rFonts w:ascii="Arial" w:hAnsi="Arial" w:cs="Arial"/>
                <w:b/>
                <w:bCs/>
              </w:rPr>
              <w:t>Binding Efficiency (%)</w:t>
            </w:r>
          </w:p>
        </w:tc>
        <w:tc>
          <w:tcPr>
            <w:tcW w:w="752" w:type="pct"/>
            <w:tcBorders>
              <w:top w:val="single" w:sz="4" w:space="0" w:color="auto"/>
              <w:bottom w:val="single" w:sz="4" w:space="0" w:color="auto"/>
            </w:tcBorders>
            <w:hideMark/>
          </w:tcPr>
          <w:p w14:paraId="5078D27C" w14:textId="77777777" w:rsidR="00F83DA4" w:rsidRPr="00F83DA4" w:rsidRDefault="00F83DA4" w:rsidP="00F83DA4">
            <w:pPr>
              <w:jc w:val="both"/>
              <w:rPr>
                <w:rFonts w:ascii="Arial" w:hAnsi="Arial" w:cs="Arial"/>
                <w:b/>
                <w:bCs/>
              </w:rPr>
            </w:pPr>
            <w:r w:rsidRPr="00F83DA4">
              <w:rPr>
                <w:rFonts w:ascii="Arial" w:hAnsi="Arial" w:cs="Arial"/>
                <w:b/>
                <w:bCs/>
              </w:rPr>
              <w:t>Protection (vs. naked dsRNA)</w:t>
            </w:r>
          </w:p>
        </w:tc>
        <w:tc>
          <w:tcPr>
            <w:tcW w:w="751" w:type="pct"/>
            <w:tcBorders>
              <w:top w:val="single" w:sz="4" w:space="0" w:color="auto"/>
              <w:bottom w:val="single" w:sz="4" w:space="0" w:color="auto"/>
            </w:tcBorders>
            <w:hideMark/>
          </w:tcPr>
          <w:p w14:paraId="462FB3F1" w14:textId="77777777" w:rsidR="00F83DA4" w:rsidRPr="00F83DA4" w:rsidRDefault="00F83DA4" w:rsidP="00F83DA4">
            <w:pPr>
              <w:jc w:val="both"/>
              <w:rPr>
                <w:rFonts w:ascii="Arial" w:hAnsi="Arial" w:cs="Arial"/>
                <w:b/>
                <w:bCs/>
              </w:rPr>
            </w:pPr>
            <w:r w:rsidRPr="00F83DA4">
              <w:rPr>
                <w:rFonts w:ascii="Arial" w:hAnsi="Arial" w:cs="Arial"/>
                <w:b/>
                <w:bCs/>
              </w:rPr>
              <w:t>Release Mechanism</w:t>
            </w:r>
          </w:p>
        </w:tc>
        <w:tc>
          <w:tcPr>
            <w:tcW w:w="593" w:type="pct"/>
            <w:tcBorders>
              <w:top w:val="single" w:sz="4" w:space="0" w:color="auto"/>
              <w:bottom w:val="single" w:sz="4" w:space="0" w:color="auto"/>
            </w:tcBorders>
            <w:hideMark/>
          </w:tcPr>
          <w:p w14:paraId="2F16F6AC" w14:textId="77777777" w:rsidR="00F83DA4" w:rsidRPr="00F83DA4" w:rsidRDefault="00F83DA4" w:rsidP="00F83DA4">
            <w:pPr>
              <w:jc w:val="both"/>
              <w:rPr>
                <w:rFonts w:ascii="Arial" w:hAnsi="Arial" w:cs="Arial"/>
                <w:b/>
                <w:bCs/>
              </w:rPr>
            </w:pPr>
            <w:r w:rsidRPr="00F83DA4">
              <w:rPr>
                <w:rFonts w:ascii="Arial" w:hAnsi="Arial" w:cs="Arial"/>
                <w:b/>
                <w:bCs/>
              </w:rPr>
              <w:t>Reference</w:t>
            </w:r>
          </w:p>
        </w:tc>
      </w:tr>
      <w:tr w:rsidR="00F83DA4" w:rsidRPr="00F83DA4" w14:paraId="66B31ED5" w14:textId="77777777" w:rsidTr="00F83DA4">
        <w:tc>
          <w:tcPr>
            <w:tcW w:w="672" w:type="pct"/>
            <w:tcBorders>
              <w:top w:val="single" w:sz="4" w:space="0" w:color="auto"/>
            </w:tcBorders>
            <w:hideMark/>
          </w:tcPr>
          <w:p w14:paraId="2AF982A7" w14:textId="77777777" w:rsidR="00F83DA4" w:rsidRPr="00F83DA4" w:rsidRDefault="00F83DA4" w:rsidP="00F83DA4">
            <w:pPr>
              <w:jc w:val="both"/>
              <w:rPr>
                <w:rFonts w:ascii="Arial" w:hAnsi="Arial" w:cs="Arial"/>
              </w:rPr>
            </w:pPr>
            <w:r w:rsidRPr="00F83DA4">
              <w:rPr>
                <w:rFonts w:ascii="Arial" w:hAnsi="Arial" w:cs="Arial"/>
              </w:rPr>
              <w:t>Chitosan NPs</w:t>
            </w:r>
          </w:p>
        </w:tc>
        <w:tc>
          <w:tcPr>
            <w:tcW w:w="640" w:type="pct"/>
            <w:tcBorders>
              <w:top w:val="single" w:sz="4" w:space="0" w:color="auto"/>
            </w:tcBorders>
            <w:hideMark/>
          </w:tcPr>
          <w:p w14:paraId="41160EAB" w14:textId="77777777" w:rsidR="00F83DA4" w:rsidRPr="00F83DA4" w:rsidRDefault="00F83DA4" w:rsidP="00F83DA4">
            <w:pPr>
              <w:jc w:val="both"/>
              <w:rPr>
                <w:rFonts w:ascii="Arial" w:hAnsi="Arial" w:cs="Arial"/>
              </w:rPr>
            </w:pPr>
            <w:r w:rsidRPr="00F83DA4">
              <w:rPr>
                <w:rFonts w:ascii="Arial" w:hAnsi="Arial" w:cs="Arial"/>
              </w:rPr>
              <w:t>150-300</w:t>
            </w:r>
          </w:p>
        </w:tc>
        <w:tc>
          <w:tcPr>
            <w:tcW w:w="871" w:type="pct"/>
            <w:tcBorders>
              <w:top w:val="single" w:sz="4" w:space="0" w:color="auto"/>
            </w:tcBorders>
            <w:hideMark/>
          </w:tcPr>
          <w:p w14:paraId="063D9356" w14:textId="77777777" w:rsidR="00F83DA4" w:rsidRPr="00F83DA4" w:rsidRDefault="00F83DA4" w:rsidP="00F83DA4">
            <w:pPr>
              <w:jc w:val="both"/>
              <w:rPr>
                <w:rFonts w:ascii="Arial" w:hAnsi="Arial" w:cs="Arial"/>
              </w:rPr>
            </w:pPr>
            <w:r w:rsidRPr="00F83DA4">
              <w:rPr>
                <w:rFonts w:ascii="Arial" w:hAnsi="Arial" w:cs="Arial"/>
              </w:rPr>
              <w:t>+20 to +50</w:t>
            </w:r>
          </w:p>
        </w:tc>
        <w:tc>
          <w:tcPr>
            <w:tcW w:w="721" w:type="pct"/>
            <w:tcBorders>
              <w:top w:val="single" w:sz="4" w:space="0" w:color="auto"/>
            </w:tcBorders>
            <w:hideMark/>
          </w:tcPr>
          <w:p w14:paraId="0349FC39" w14:textId="77777777" w:rsidR="00F83DA4" w:rsidRPr="00F83DA4" w:rsidRDefault="00F83DA4" w:rsidP="00F83DA4">
            <w:pPr>
              <w:jc w:val="both"/>
              <w:rPr>
                <w:rFonts w:ascii="Arial" w:hAnsi="Arial" w:cs="Arial"/>
              </w:rPr>
            </w:pPr>
            <w:r w:rsidRPr="00F83DA4">
              <w:rPr>
                <w:rFonts w:ascii="Arial" w:hAnsi="Arial" w:cs="Arial"/>
              </w:rPr>
              <w:t>85-95</w:t>
            </w:r>
          </w:p>
        </w:tc>
        <w:tc>
          <w:tcPr>
            <w:tcW w:w="752" w:type="pct"/>
            <w:tcBorders>
              <w:top w:val="single" w:sz="4" w:space="0" w:color="auto"/>
            </w:tcBorders>
            <w:hideMark/>
          </w:tcPr>
          <w:p w14:paraId="485DD01A" w14:textId="77777777" w:rsidR="00F83DA4" w:rsidRPr="00F83DA4" w:rsidRDefault="00F83DA4" w:rsidP="00F83DA4">
            <w:pPr>
              <w:jc w:val="both"/>
              <w:rPr>
                <w:rFonts w:ascii="Arial" w:hAnsi="Arial" w:cs="Arial"/>
              </w:rPr>
            </w:pPr>
            <w:r w:rsidRPr="00F83DA4">
              <w:rPr>
                <w:rFonts w:ascii="Arial" w:hAnsi="Arial" w:cs="Arial"/>
              </w:rPr>
              <w:t>&gt;95% stable 48h vs. 2h</w:t>
            </w:r>
          </w:p>
        </w:tc>
        <w:tc>
          <w:tcPr>
            <w:tcW w:w="751" w:type="pct"/>
            <w:tcBorders>
              <w:top w:val="single" w:sz="4" w:space="0" w:color="auto"/>
            </w:tcBorders>
            <w:hideMark/>
          </w:tcPr>
          <w:p w14:paraId="52055488" w14:textId="77777777" w:rsidR="00F83DA4" w:rsidRPr="00F83DA4" w:rsidRDefault="00F83DA4" w:rsidP="00F83DA4">
            <w:pPr>
              <w:jc w:val="both"/>
              <w:rPr>
                <w:rFonts w:ascii="Arial" w:hAnsi="Arial" w:cs="Arial"/>
              </w:rPr>
            </w:pPr>
            <w:r w:rsidRPr="00F83DA4">
              <w:rPr>
                <w:rFonts w:ascii="Arial" w:hAnsi="Arial" w:cs="Arial"/>
              </w:rPr>
              <w:t>pH-responsive (proton sponge)</w:t>
            </w:r>
          </w:p>
        </w:tc>
        <w:tc>
          <w:tcPr>
            <w:tcW w:w="593" w:type="pct"/>
            <w:tcBorders>
              <w:top w:val="single" w:sz="4" w:space="0" w:color="auto"/>
            </w:tcBorders>
            <w:hideMark/>
          </w:tcPr>
          <w:p w14:paraId="3188C325" w14:textId="77777777" w:rsidR="00F83DA4" w:rsidRPr="00F83DA4" w:rsidRDefault="00F83DA4" w:rsidP="00F83DA4">
            <w:pPr>
              <w:jc w:val="both"/>
              <w:rPr>
                <w:rFonts w:ascii="Arial" w:hAnsi="Arial" w:cs="Arial"/>
              </w:rPr>
            </w:pPr>
            <w:r w:rsidRPr="00F83DA4">
              <w:rPr>
                <w:rFonts w:ascii="Arial" w:hAnsi="Arial" w:cs="Arial"/>
              </w:rPr>
              <w:t>Zhang et al., 2010</w:t>
            </w:r>
          </w:p>
        </w:tc>
      </w:tr>
      <w:tr w:rsidR="00F83DA4" w:rsidRPr="00F83DA4" w14:paraId="7C2C5E9D" w14:textId="77777777" w:rsidTr="00F83DA4">
        <w:tc>
          <w:tcPr>
            <w:tcW w:w="672" w:type="pct"/>
            <w:hideMark/>
          </w:tcPr>
          <w:p w14:paraId="00B2BAA8" w14:textId="77777777" w:rsidR="00F83DA4" w:rsidRPr="00F83DA4" w:rsidRDefault="00F83DA4" w:rsidP="00F83DA4">
            <w:pPr>
              <w:jc w:val="both"/>
              <w:rPr>
                <w:rFonts w:ascii="Arial" w:hAnsi="Arial" w:cs="Arial"/>
              </w:rPr>
            </w:pPr>
            <w:r w:rsidRPr="00F83DA4">
              <w:rPr>
                <w:rFonts w:ascii="Arial" w:hAnsi="Arial" w:cs="Arial"/>
              </w:rPr>
              <w:t>LDH NPs</w:t>
            </w:r>
          </w:p>
        </w:tc>
        <w:tc>
          <w:tcPr>
            <w:tcW w:w="640" w:type="pct"/>
            <w:hideMark/>
          </w:tcPr>
          <w:p w14:paraId="63AF7A5F" w14:textId="77777777" w:rsidR="00F83DA4" w:rsidRPr="00F83DA4" w:rsidRDefault="00F83DA4" w:rsidP="00F83DA4">
            <w:pPr>
              <w:jc w:val="both"/>
              <w:rPr>
                <w:rFonts w:ascii="Arial" w:hAnsi="Arial" w:cs="Arial"/>
              </w:rPr>
            </w:pPr>
            <w:r w:rsidRPr="00F83DA4">
              <w:rPr>
                <w:rFonts w:ascii="Arial" w:hAnsi="Arial" w:cs="Arial"/>
              </w:rPr>
              <w:t>50-150</w:t>
            </w:r>
          </w:p>
        </w:tc>
        <w:tc>
          <w:tcPr>
            <w:tcW w:w="871" w:type="pct"/>
            <w:hideMark/>
          </w:tcPr>
          <w:p w14:paraId="5DF68952" w14:textId="77777777" w:rsidR="00F83DA4" w:rsidRPr="00F83DA4" w:rsidRDefault="00F83DA4" w:rsidP="00F83DA4">
            <w:pPr>
              <w:jc w:val="both"/>
              <w:rPr>
                <w:rFonts w:ascii="Arial" w:hAnsi="Arial" w:cs="Arial"/>
              </w:rPr>
            </w:pPr>
            <w:r w:rsidRPr="00F83DA4">
              <w:rPr>
                <w:rFonts w:ascii="Arial" w:hAnsi="Arial" w:cs="Arial"/>
              </w:rPr>
              <w:t>+15 to +30</w:t>
            </w:r>
          </w:p>
        </w:tc>
        <w:tc>
          <w:tcPr>
            <w:tcW w:w="721" w:type="pct"/>
            <w:hideMark/>
          </w:tcPr>
          <w:p w14:paraId="55FEE8ED" w14:textId="77777777" w:rsidR="00F83DA4" w:rsidRPr="00F83DA4" w:rsidRDefault="00F83DA4" w:rsidP="00F83DA4">
            <w:pPr>
              <w:jc w:val="both"/>
              <w:rPr>
                <w:rFonts w:ascii="Arial" w:hAnsi="Arial" w:cs="Arial"/>
              </w:rPr>
            </w:pPr>
            <w:r w:rsidRPr="00F83DA4">
              <w:rPr>
                <w:rFonts w:ascii="Arial" w:hAnsi="Arial" w:cs="Arial"/>
              </w:rPr>
              <w:t>60-80</w:t>
            </w:r>
          </w:p>
        </w:tc>
        <w:tc>
          <w:tcPr>
            <w:tcW w:w="752" w:type="pct"/>
            <w:hideMark/>
          </w:tcPr>
          <w:p w14:paraId="2F3AB9A5" w14:textId="77777777" w:rsidR="00F83DA4" w:rsidRPr="00F83DA4" w:rsidRDefault="00F83DA4" w:rsidP="00F83DA4">
            <w:pPr>
              <w:jc w:val="both"/>
              <w:rPr>
                <w:rFonts w:ascii="Arial" w:hAnsi="Arial" w:cs="Arial"/>
              </w:rPr>
            </w:pPr>
            <w:r w:rsidRPr="00F83DA4">
              <w:rPr>
                <w:rFonts w:ascii="Arial" w:hAnsi="Arial" w:cs="Arial"/>
              </w:rPr>
              <w:t>80-90% stable 20 days</w:t>
            </w:r>
          </w:p>
        </w:tc>
        <w:tc>
          <w:tcPr>
            <w:tcW w:w="751" w:type="pct"/>
            <w:hideMark/>
          </w:tcPr>
          <w:p w14:paraId="7AF0B7D8" w14:textId="77777777" w:rsidR="00F83DA4" w:rsidRPr="00F83DA4" w:rsidRDefault="00F83DA4" w:rsidP="00F83DA4">
            <w:pPr>
              <w:jc w:val="both"/>
              <w:rPr>
                <w:rFonts w:ascii="Arial" w:hAnsi="Arial" w:cs="Arial"/>
              </w:rPr>
            </w:pPr>
            <w:r w:rsidRPr="00F83DA4">
              <w:rPr>
                <w:rFonts w:ascii="Arial" w:hAnsi="Arial" w:cs="Arial"/>
              </w:rPr>
              <w:t>pH-triggered dissolution</w:t>
            </w:r>
          </w:p>
        </w:tc>
        <w:tc>
          <w:tcPr>
            <w:tcW w:w="593" w:type="pct"/>
            <w:hideMark/>
          </w:tcPr>
          <w:p w14:paraId="7FC9CF8D" w14:textId="77777777" w:rsidR="00F83DA4" w:rsidRPr="00F83DA4" w:rsidRDefault="00F83DA4" w:rsidP="00F83DA4">
            <w:pPr>
              <w:jc w:val="both"/>
              <w:rPr>
                <w:rFonts w:ascii="Arial" w:hAnsi="Arial" w:cs="Arial"/>
              </w:rPr>
            </w:pPr>
            <w:r w:rsidRPr="00F83DA4">
              <w:rPr>
                <w:rFonts w:ascii="Arial" w:hAnsi="Arial" w:cs="Arial"/>
              </w:rPr>
              <w:t>Mitter et al., 2017</w:t>
            </w:r>
          </w:p>
        </w:tc>
      </w:tr>
      <w:tr w:rsidR="00F83DA4" w:rsidRPr="00F83DA4" w14:paraId="318E366E" w14:textId="77777777" w:rsidTr="00F83DA4">
        <w:tc>
          <w:tcPr>
            <w:tcW w:w="672" w:type="pct"/>
            <w:hideMark/>
          </w:tcPr>
          <w:p w14:paraId="4D3699C1" w14:textId="77777777" w:rsidR="00F83DA4" w:rsidRPr="00F83DA4" w:rsidRDefault="00F83DA4" w:rsidP="00F83DA4">
            <w:pPr>
              <w:jc w:val="both"/>
              <w:rPr>
                <w:rFonts w:ascii="Arial" w:hAnsi="Arial" w:cs="Arial"/>
              </w:rPr>
            </w:pPr>
            <w:r w:rsidRPr="00F83DA4">
              <w:rPr>
                <w:rFonts w:ascii="Arial" w:hAnsi="Arial" w:cs="Arial"/>
              </w:rPr>
              <w:t>Cationic liposomes</w:t>
            </w:r>
          </w:p>
        </w:tc>
        <w:tc>
          <w:tcPr>
            <w:tcW w:w="640" w:type="pct"/>
            <w:hideMark/>
          </w:tcPr>
          <w:p w14:paraId="42B57088" w14:textId="77777777" w:rsidR="00F83DA4" w:rsidRPr="00F83DA4" w:rsidRDefault="00F83DA4" w:rsidP="00F83DA4">
            <w:pPr>
              <w:jc w:val="both"/>
              <w:rPr>
                <w:rFonts w:ascii="Arial" w:hAnsi="Arial" w:cs="Arial"/>
              </w:rPr>
            </w:pPr>
            <w:r w:rsidRPr="00F83DA4">
              <w:rPr>
                <w:rFonts w:ascii="Arial" w:hAnsi="Arial" w:cs="Arial"/>
              </w:rPr>
              <w:t>100-500</w:t>
            </w:r>
          </w:p>
        </w:tc>
        <w:tc>
          <w:tcPr>
            <w:tcW w:w="871" w:type="pct"/>
            <w:hideMark/>
          </w:tcPr>
          <w:p w14:paraId="45AAEF11" w14:textId="77777777" w:rsidR="00F83DA4" w:rsidRPr="00F83DA4" w:rsidRDefault="00F83DA4" w:rsidP="00F83DA4">
            <w:pPr>
              <w:jc w:val="both"/>
              <w:rPr>
                <w:rFonts w:ascii="Arial" w:hAnsi="Arial" w:cs="Arial"/>
              </w:rPr>
            </w:pPr>
            <w:r w:rsidRPr="00F83DA4">
              <w:rPr>
                <w:rFonts w:ascii="Arial" w:hAnsi="Arial" w:cs="Arial"/>
              </w:rPr>
              <w:t>+10 to +40</w:t>
            </w:r>
          </w:p>
        </w:tc>
        <w:tc>
          <w:tcPr>
            <w:tcW w:w="721" w:type="pct"/>
            <w:hideMark/>
          </w:tcPr>
          <w:p w14:paraId="49A23AF6" w14:textId="77777777" w:rsidR="00F83DA4" w:rsidRPr="00F83DA4" w:rsidRDefault="00F83DA4" w:rsidP="00F83DA4">
            <w:pPr>
              <w:jc w:val="both"/>
              <w:rPr>
                <w:rFonts w:ascii="Arial" w:hAnsi="Arial" w:cs="Arial"/>
              </w:rPr>
            </w:pPr>
            <w:r w:rsidRPr="00F83DA4">
              <w:rPr>
                <w:rFonts w:ascii="Arial" w:hAnsi="Arial" w:cs="Arial"/>
              </w:rPr>
              <w:t>60-90</w:t>
            </w:r>
          </w:p>
        </w:tc>
        <w:tc>
          <w:tcPr>
            <w:tcW w:w="752" w:type="pct"/>
            <w:hideMark/>
          </w:tcPr>
          <w:p w14:paraId="6FBCDCC3" w14:textId="77777777" w:rsidR="00F83DA4" w:rsidRPr="00F83DA4" w:rsidRDefault="00F83DA4" w:rsidP="00F83DA4">
            <w:pPr>
              <w:jc w:val="both"/>
              <w:rPr>
                <w:rFonts w:ascii="Arial" w:hAnsi="Arial" w:cs="Arial"/>
              </w:rPr>
            </w:pPr>
            <w:r w:rsidRPr="00F83DA4">
              <w:rPr>
                <w:rFonts w:ascii="Arial" w:hAnsi="Arial" w:cs="Arial"/>
              </w:rPr>
              <w:t>70-85% stable 10 days</w:t>
            </w:r>
          </w:p>
        </w:tc>
        <w:tc>
          <w:tcPr>
            <w:tcW w:w="751" w:type="pct"/>
            <w:hideMark/>
          </w:tcPr>
          <w:p w14:paraId="3B6E062C" w14:textId="77777777" w:rsidR="00F83DA4" w:rsidRPr="00F83DA4" w:rsidRDefault="00F83DA4" w:rsidP="00F83DA4">
            <w:pPr>
              <w:jc w:val="both"/>
              <w:rPr>
                <w:rFonts w:ascii="Arial" w:hAnsi="Arial" w:cs="Arial"/>
              </w:rPr>
            </w:pPr>
            <w:r w:rsidRPr="00F83DA4">
              <w:rPr>
                <w:rFonts w:ascii="Arial" w:hAnsi="Arial" w:cs="Arial"/>
              </w:rPr>
              <w:t>Membrane fusion</w:t>
            </w:r>
          </w:p>
        </w:tc>
        <w:tc>
          <w:tcPr>
            <w:tcW w:w="593" w:type="pct"/>
            <w:hideMark/>
          </w:tcPr>
          <w:p w14:paraId="06EF9E07" w14:textId="77777777" w:rsidR="00F83DA4" w:rsidRPr="00F83DA4" w:rsidRDefault="00F83DA4" w:rsidP="00F83DA4">
            <w:pPr>
              <w:jc w:val="both"/>
              <w:rPr>
                <w:rFonts w:ascii="Arial" w:hAnsi="Arial" w:cs="Arial"/>
              </w:rPr>
            </w:pPr>
            <w:r w:rsidRPr="00F83DA4">
              <w:rPr>
                <w:rFonts w:ascii="Arial" w:hAnsi="Arial" w:cs="Arial"/>
              </w:rPr>
              <w:t>Dávalos et al., 2019</w:t>
            </w:r>
          </w:p>
        </w:tc>
      </w:tr>
      <w:tr w:rsidR="00F83DA4" w:rsidRPr="00F83DA4" w14:paraId="395B52AA" w14:textId="77777777" w:rsidTr="00F83DA4">
        <w:tc>
          <w:tcPr>
            <w:tcW w:w="672" w:type="pct"/>
            <w:hideMark/>
          </w:tcPr>
          <w:p w14:paraId="37CAE32B" w14:textId="77777777" w:rsidR="00F83DA4" w:rsidRPr="00F83DA4" w:rsidRDefault="00F83DA4" w:rsidP="00F83DA4">
            <w:pPr>
              <w:jc w:val="both"/>
              <w:rPr>
                <w:rFonts w:ascii="Arial" w:hAnsi="Arial" w:cs="Arial"/>
              </w:rPr>
            </w:pPr>
            <w:r w:rsidRPr="00F83DA4">
              <w:rPr>
                <w:rFonts w:ascii="Arial" w:hAnsi="Arial" w:cs="Arial"/>
              </w:rPr>
              <w:t>PLGA NPs</w:t>
            </w:r>
          </w:p>
        </w:tc>
        <w:tc>
          <w:tcPr>
            <w:tcW w:w="640" w:type="pct"/>
            <w:hideMark/>
          </w:tcPr>
          <w:p w14:paraId="7D79ADDA" w14:textId="77777777" w:rsidR="00F83DA4" w:rsidRPr="00F83DA4" w:rsidRDefault="00F83DA4" w:rsidP="00F83DA4">
            <w:pPr>
              <w:jc w:val="both"/>
              <w:rPr>
                <w:rFonts w:ascii="Arial" w:hAnsi="Arial" w:cs="Arial"/>
              </w:rPr>
            </w:pPr>
            <w:r w:rsidRPr="00F83DA4">
              <w:rPr>
                <w:rFonts w:ascii="Arial" w:hAnsi="Arial" w:cs="Arial"/>
              </w:rPr>
              <w:t>200-400</w:t>
            </w:r>
          </w:p>
        </w:tc>
        <w:tc>
          <w:tcPr>
            <w:tcW w:w="871" w:type="pct"/>
            <w:hideMark/>
          </w:tcPr>
          <w:p w14:paraId="400F7E1B" w14:textId="77777777" w:rsidR="00F83DA4" w:rsidRPr="00F83DA4" w:rsidRDefault="00F83DA4" w:rsidP="00F83DA4">
            <w:pPr>
              <w:jc w:val="both"/>
              <w:rPr>
                <w:rFonts w:ascii="Arial" w:hAnsi="Arial" w:cs="Arial"/>
              </w:rPr>
            </w:pPr>
            <w:r w:rsidRPr="00F83DA4">
              <w:rPr>
                <w:rFonts w:ascii="Arial" w:hAnsi="Arial" w:cs="Arial"/>
              </w:rPr>
              <w:t>+25 to +40 (PEI coating)</w:t>
            </w:r>
          </w:p>
        </w:tc>
        <w:tc>
          <w:tcPr>
            <w:tcW w:w="721" w:type="pct"/>
            <w:hideMark/>
          </w:tcPr>
          <w:p w14:paraId="2D6599AB" w14:textId="77777777" w:rsidR="00F83DA4" w:rsidRPr="00F83DA4" w:rsidRDefault="00F83DA4" w:rsidP="00F83DA4">
            <w:pPr>
              <w:jc w:val="both"/>
              <w:rPr>
                <w:rFonts w:ascii="Arial" w:hAnsi="Arial" w:cs="Arial"/>
              </w:rPr>
            </w:pPr>
            <w:r w:rsidRPr="00F83DA4">
              <w:rPr>
                <w:rFonts w:ascii="Arial" w:hAnsi="Arial" w:cs="Arial"/>
              </w:rPr>
              <w:t>70-85</w:t>
            </w:r>
          </w:p>
        </w:tc>
        <w:tc>
          <w:tcPr>
            <w:tcW w:w="752" w:type="pct"/>
            <w:hideMark/>
          </w:tcPr>
          <w:p w14:paraId="2DC4F004" w14:textId="77777777" w:rsidR="00F83DA4" w:rsidRPr="00F83DA4" w:rsidRDefault="00F83DA4" w:rsidP="00F83DA4">
            <w:pPr>
              <w:jc w:val="both"/>
              <w:rPr>
                <w:rFonts w:ascii="Arial" w:hAnsi="Arial" w:cs="Arial"/>
              </w:rPr>
            </w:pPr>
            <w:r w:rsidRPr="00F83DA4">
              <w:rPr>
                <w:rFonts w:ascii="Arial" w:hAnsi="Arial" w:cs="Arial"/>
              </w:rPr>
              <w:t>85-95% stable 14 days</w:t>
            </w:r>
          </w:p>
        </w:tc>
        <w:tc>
          <w:tcPr>
            <w:tcW w:w="751" w:type="pct"/>
            <w:hideMark/>
          </w:tcPr>
          <w:p w14:paraId="77389A73" w14:textId="77777777" w:rsidR="00F83DA4" w:rsidRPr="00F83DA4" w:rsidRDefault="00F83DA4" w:rsidP="00F83DA4">
            <w:pPr>
              <w:jc w:val="both"/>
              <w:rPr>
                <w:rFonts w:ascii="Arial" w:hAnsi="Arial" w:cs="Arial"/>
              </w:rPr>
            </w:pPr>
            <w:r w:rsidRPr="00F83DA4">
              <w:rPr>
                <w:rFonts w:ascii="Arial" w:hAnsi="Arial" w:cs="Arial"/>
              </w:rPr>
              <w:t>Hydrolytic degradation</w:t>
            </w:r>
          </w:p>
        </w:tc>
        <w:tc>
          <w:tcPr>
            <w:tcW w:w="593" w:type="pct"/>
            <w:hideMark/>
          </w:tcPr>
          <w:p w14:paraId="518A152D" w14:textId="77777777" w:rsidR="00F83DA4" w:rsidRPr="00F83DA4" w:rsidRDefault="00F83DA4" w:rsidP="00F83DA4">
            <w:pPr>
              <w:jc w:val="both"/>
              <w:rPr>
                <w:rFonts w:ascii="Arial" w:hAnsi="Arial" w:cs="Arial"/>
              </w:rPr>
            </w:pPr>
            <w:r w:rsidRPr="00F83DA4">
              <w:rPr>
                <w:rFonts w:ascii="Arial" w:hAnsi="Arial" w:cs="Arial"/>
              </w:rPr>
              <w:t>Das et al., 2015</w:t>
            </w:r>
          </w:p>
        </w:tc>
      </w:tr>
      <w:tr w:rsidR="00F83DA4" w:rsidRPr="00F83DA4" w14:paraId="4E21B1C8" w14:textId="77777777" w:rsidTr="00F83DA4">
        <w:tc>
          <w:tcPr>
            <w:tcW w:w="672" w:type="pct"/>
            <w:hideMark/>
          </w:tcPr>
          <w:p w14:paraId="7F7F0C23" w14:textId="77777777" w:rsidR="00F83DA4" w:rsidRPr="00F83DA4" w:rsidRDefault="00F83DA4" w:rsidP="00F83DA4">
            <w:pPr>
              <w:jc w:val="both"/>
              <w:rPr>
                <w:rFonts w:ascii="Arial" w:hAnsi="Arial" w:cs="Arial"/>
              </w:rPr>
            </w:pPr>
            <w:r w:rsidRPr="00F83DA4">
              <w:rPr>
                <w:rFonts w:ascii="Arial" w:hAnsi="Arial" w:cs="Arial"/>
              </w:rPr>
              <w:t>PEI NPs</w:t>
            </w:r>
          </w:p>
        </w:tc>
        <w:tc>
          <w:tcPr>
            <w:tcW w:w="640" w:type="pct"/>
            <w:hideMark/>
          </w:tcPr>
          <w:p w14:paraId="48018663" w14:textId="77777777" w:rsidR="00F83DA4" w:rsidRPr="00F83DA4" w:rsidRDefault="00F83DA4" w:rsidP="00F83DA4">
            <w:pPr>
              <w:jc w:val="both"/>
              <w:rPr>
                <w:rFonts w:ascii="Arial" w:hAnsi="Arial" w:cs="Arial"/>
              </w:rPr>
            </w:pPr>
            <w:r w:rsidRPr="00F83DA4">
              <w:rPr>
                <w:rFonts w:ascii="Arial" w:hAnsi="Arial" w:cs="Arial"/>
              </w:rPr>
              <w:t>100-250</w:t>
            </w:r>
          </w:p>
        </w:tc>
        <w:tc>
          <w:tcPr>
            <w:tcW w:w="871" w:type="pct"/>
            <w:hideMark/>
          </w:tcPr>
          <w:p w14:paraId="7D8D5E8D" w14:textId="77777777" w:rsidR="00F83DA4" w:rsidRPr="00F83DA4" w:rsidRDefault="00F83DA4" w:rsidP="00F83DA4">
            <w:pPr>
              <w:jc w:val="both"/>
              <w:rPr>
                <w:rFonts w:ascii="Arial" w:hAnsi="Arial" w:cs="Arial"/>
              </w:rPr>
            </w:pPr>
            <w:r w:rsidRPr="00F83DA4">
              <w:rPr>
                <w:rFonts w:ascii="Arial" w:hAnsi="Arial" w:cs="Arial"/>
              </w:rPr>
              <w:t>+30 to +60</w:t>
            </w:r>
          </w:p>
        </w:tc>
        <w:tc>
          <w:tcPr>
            <w:tcW w:w="721" w:type="pct"/>
            <w:hideMark/>
          </w:tcPr>
          <w:p w14:paraId="33713837" w14:textId="77777777" w:rsidR="00F83DA4" w:rsidRPr="00F83DA4" w:rsidRDefault="00F83DA4" w:rsidP="00F83DA4">
            <w:pPr>
              <w:jc w:val="both"/>
              <w:rPr>
                <w:rFonts w:ascii="Arial" w:hAnsi="Arial" w:cs="Arial"/>
              </w:rPr>
            </w:pPr>
            <w:r w:rsidRPr="00F83DA4">
              <w:rPr>
                <w:rFonts w:ascii="Arial" w:hAnsi="Arial" w:cs="Arial"/>
              </w:rPr>
              <w:t>80-95</w:t>
            </w:r>
          </w:p>
        </w:tc>
        <w:tc>
          <w:tcPr>
            <w:tcW w:w="752" w:type="pct"/>
            <w:hideMark/>
          </w:tcPr>
          <w:p w14:paraId="19866C86" w14:textId="77777777" w:rsidR="00F83DA4" w:rsidRPr="00F83DA4" w:rsidRDefault="00F83DA4" w:rsidP="00F83DA4">
            <w:pPr>
              <w:jc w:val="both"/>
              <w:rPr>
                <w:rFonts w:ascii="Arial" w:hAnsi="Arial" w:cs="Arial"/>
              </w:rPr>
            </w:pPr>
            <w:r w:rsidRPr="00F83DA4">
              <w:rPr>
                <w:rFonts w:ascii="Arial" w:hAnsi="Arial" w:cs="Arial"/>
              </w:rPr>
              <w:t>90-98% stable 7 days</w:t>
            </w:r>
          </w:p>
        </w:tc>
        <w:tc>
          <w:tcPr>
            <w:tcW w:w="751" w:type="pct"/>
            <w:hideMark/>
          </w:tcPr>
          <w:p w14:paraId="54FE22A6" w14:textId="77777777" w:rsidR="00F83DA4" w:rsidRPr="00F83DA4" w:rsidRDefault="00F83DA4" w:rsidP="00F83DA4">
            <w:pPr>
              <w:jc w:val="both"/>
              <w:rPr>
                <w:rFonts w:ascii="Arial" w:hAnsi="Arial" w:cs="Arial"/>
              </w:rPr>
            </w:pPr>
            <w:r w:rsidRPr="00F83DA4">
              <w:rPr>
                <w:rFonts w:ascii="Arial" w:hAnsi="Arial" w:cs="Arial"/>
              </w:rPr>
              <w:t>Proton sponge effect</w:t>
            </w:r>
          </w:p>
        </w:tc>
        <w:tc>
          <w:tcPr>
            <w:tcW w:w="593" w:type="pct"/>
            <w:hideMark/>
          </w:tcPr>
          <w:p w14:paraId="34842F92" w14:textId="77777777" w:rsidR="00F83DA4" w:rsidRPr="00F83DA4" w:rsidRDefault="00F83DA4" w:rsidP="00F83DA4">
            <w:pPr>
              <w:jc w:val="both"/>
              <w:rPr>
                <w:rFonts w:ascii="Arial" w:hAnsi="Arial" w:cs="Arial"/>
              </w:rPr>
            </w:pPr>
            <w:r w:rsidRPr="00F83DA4">
              <w:rPr>
                <w:rFonts w:ascii="Arial" w:hAnsi="Arial" w:cs="Arial"/>
              </w:rPr>
              <w:t>Zheng et al., 2019</w:t>
            </w:r>
          </w:p>
        </w:tc>
      </w:tr>
      <w:tr w:rsidR="00F83DA4" w:rsidRPr="00F83DA4" w14:paraId="49F3FE8E" w14:textId="77777777" w:rsidTr="00F83DA4">
        <w:tc>
          <w:tcPr>
            <w:tcW w:w="672" w:type="pct"/>
            <w:hideMark/>
          </w:tcPr>
          <w:p w14:paraId="7DAE12E7" w14:textId="77777777" w:rsidR="00F83DA4" w:rsidRPr="00F83DA4" w:rsidRDefault="00F83DA4" w:rsidP="00F83DA4">
            <w:pPr>
              <w:jc w:val="both"/>
              <w:rPr>
                <w:rFonts w:ascii="Arial" w:hAnsi="Arial" w:cs="Arial"/>
              </w:rPr>
            </w:pPr>
            <w:r w:rsidRPr="00F83DA4">
              <w:rPr>
                <w:rFonts w:ascii="Arial" w:hAnsi="Arial" w:cs="Arial"/>
              </w:rPr>
              <w:t>Carbon dots</w:t>
            </w:r>
          </w:p>
        </w:tc>
        <w:tc>
          <w:tcPr>
            <w:tcW w:w="640" w:type="pct"/>
            <w:hideMark/>
          </w:tcPr>
          <w:p w14:paraId="1A18328A" w14:textId="77777777" w:rsidR="00F83DA4" w:rsidRPr="00F83DA4" w:rsidRDefault="00F83DA4" w:rsidP="00F83DA4">
            <w:pPr>
              <w:jc w:val="both"/>
              <w:rPr>
                <w:rFonts w:ascii="Arial" w:hAnsi="Arial" w:cs="Arial"/>
              </w:rPr>
            </w:pPr>
            <w:r w:rsidRPr="00F83DA4">
              <w:rPr>
                <w:rFonts w:ascii="Arial" w:hAnsi="Arial" w:cs="Arial"/>
              </w:rPr>
              <w:t>2-10</w:t>
            </w:r>
          </w:p>
        </w:tc>
        <w:tc>
          <w:tcPr>
            <w:tcW w:w="871" w:type="pct"/>
            <w:hideMark/>
          </w:tcPr>
          <w:p w14:paraId="2D578D1C" w14:textId="77777777" w:rsidR="00F83DA4" w:rsidRPr="00F83DA4" w:rsidRDefault="00F83DA4" w:rsidP="00F83DA4">
            <w:pPr>
              <w:jc w:val="both"/>
              <w:rPr>
                <w:rFonts w:ascii="Arial" w:hAnsi="Arial" w:cs="Arial"/>
              </w:rPr>
            </w:pPr>
            <w:r w:rsidRPr="00F83DA4">
              <w:rPr>
                <w:rFonts w:ascii="Arial" w:hAnsi="Arial" w:cs="Arial"/>
              </w:rPr>
              <w:t>+15 to +35</w:t>
            </w:r>
          </w:p>
        </w:tc>
        <w:tc>
          <w:tcPr>
            <w:tcW w:w="721" w:type="pct"/>
            <w:hideMark/>
          </w:tcPr>
          <w:p w14:paraId="12CD2EC3" w14:textId="77777777" w:rsidR="00F83DA4" w:rsidRPr="00F83DA4" w:rsidRDefault="00F83DA4" w:rsidP="00F83DA4">
            <w:pPr>
              <w:jc w:val="both"/>
              <w:rPr>
                <w:rFonts w:ascii="Arial" w:hAnsi="Arial" w:cs="Arial"/>
              </w:rPr>
            </w:pPr>
            <w:r w:rsidRPr="00F83DA4">
              <w:rPr>
                <w:rFonts w:ascii="Arial" w:hAnsi="Arial" w:cs="Arial"/>
              </w:rPr>
              <w:t>70-85</w:t>
            </w:r>
          </w:p>
        </w:tc>
        <w:tc>
          <w:tcPr>
            <w:tcW w:w="752" w:type="pct"/>
            <w:hideMark/>
          </w:tcPr>
          <w:p w14:paraId="64879C2B" w14:textId="77777777" w:rsidR="00F83DA4" w:rsidRPr="00F83DA4" w:rsidRDefault="00F83DA4" w:rsidP="00F83DA4">
            <w:pPr>
              <w:jc w:val="both"/>
              <w:rPr>
                <w:rFonts w:ascii="Arial" w:hAnsi="Arial" w:cs="Arial"/>
              </w:rPr>
            </w:pPr>
            <w:r w:rsidRPr="00F83DA4">
              <w:rPr>
                <w:rFonts w:ascii="Arial" w:hAnsi="Arial" w:cs="Arial"/>
              </w:rPr>
              <w:t>75-90% stable 5 days</w:t>
            </w:r>
          </w:p>
        </w:tc>
        <w:tc>
          <w:tcPr>
            <w:tcW w:w="751" w:type="pct"/>
            <w:hideMark/>
          </w:tcPr>
          <w:p w14:paraId="417F19B4" w14:textId="77777777" w:rsidR="00F83DA4" w:rsidRPr="00F83DA4" w:rsidRDefault="00F83DA4" w:rsidP="00F83DA4">
            <w:pPr>
              <w:jc w:val="both"/>
              <w:rPr>
                <w:rFonts w:ascii="Arial" w:hAnsi="Arial" w:cs="Arial"/>
              </w:rPr>
            </w:pPr>
            <w:r w:rsidRPr="00F83DA4">
              <w:rPr>
                <w:rFonts w:ascii="Arial" w:hAnsi="Arial" w:cs="Arial"/>
              </w:rPr>
              <w:t>Electrostatic release</w:t>
            </w:r>
          </w:p>
        </w:tc>
        <w:tc>
          <w:tcPr>
            <w:tcW w:w="593" w:type="pct"/>
            <w:hideMark/>
          </w:tcPr>
          <w:p w14:paraId="4409E070" w14:textId="77777777" w:rsidR="00F83DA4" w:rsidRPr="00F83DA4" w:rsidRDefault="00F83DA4" w:rsidP="00F83DA4">
            <w:pPr>
              <w:jc w:val="both"/>
              <w:rPr>
                <w:rFonts w:ascii="Arial" w:hAnsi="Arial" w:cs="Arial"/>
              </w:rPr>
            </w:pPr>
            <w:r w:rsidRPr="00F83DA4">
              <w:rPr>
                <w:rFonts w:ascii="Arial" w:hAnsi="Arial" w:cs="Arial"/>
              </w:rPr>
              <w:t>Xu et al., 2020</w:t>
            </w:r>
          </w:p>
        </w:tc>
      </w:tr>
      <w:tr w:rsidR="00F83DA4" w:rsidRPr="00F83DA4" w14:paraId="0155B00C" w14:textId="77777777" w:rsidTr="00F83DA4">
        <w:tc>
          <w:tcPr>
            <w:tcW w:w="672" w:type="pct"/>
            <w:hideMark/>
          </w:tcPr>
          <w:p w14:paraId="30796D92" w14:textId="77777777" w:rsidR="00F83DA4" w:rsidRPr="00F83DA4" w:rsidRDefault="00F83DA4" w:rsidP="00F83DA4">
            <w:pPr>
              <w:jc w:val="both"/>
              <w:rPr>
                <w:rFonts w:ascii="Arial" w:hAnsi="Arial" w:cs="Arial"/>
              </w:rPr>
            </w:pPr>
            <w:r w:rsidRPr="00F83DA4">
              <w:rPr>
                <w:rFonts w:ascii="Arial" w:hAnsi="Arial" w:cs="Arial"/>
              </w:rPr>
              <w:t>Silica NPs</w:t>
            </w:r>
          </w:p>
        </w:tc>
        <w:tc>
          <w:tcPr>
            <w:tcW w:w="640" w:type="pct"/>
            <w:hideMark/>
          </w:tcPr>
          <w:p w14:paraId="3D6D47AA" w14:textId="77777777" w:rsidR="00F83DA4" w:rsidRPr="00F83DA4" w:rsidRDefault="00F83DA4" w:rsidP="00F83DA4">
            <w:pPr>
              <w:jc w:val="both"/>
              <w:rPr>
                <w:rFonts w:ascii="Arial" w:hAnsi="Arial" w:cs="Arial"/>
              </w:rPr>
            </w:pPr>
            <w:r w:rsidRPr="00F83DA4">
              <w:rPr>
                <w:rFonts w:ascii="Arial" w:hAnsi="Arial" w:cs="Arial"/>
              </w:rPr>
              <w:t>50-200</w:t>
            </w:r>
          </w:p>
        </w:tc>
        <w:tc>
          <w:tcPr>
            <w:tcW w:w="871" w:type="pct"/>
            <w:hideMark/>
          </w:tcPr>
          <w:p w14:paraId="2463257E" w14:textId="77777777" w:rsidR="00F83DA4" w:rsidRPr="00F83DA4" w:rsidRDefault="00F83DA4" w:rsidP="00F83DA4">
            <w:pPr>
              <w:jc w:val="both"/>
              <w:rPr>
                <w:rFonts w:ascii="Arial" w:hAnsi="Arial" w:cs="Arial"/>
              </w:rPr>
            </w:pPr>
            <w:r w:rsidRPr="00F83DA4">
              <w:rPr>
                <w:rFonts w:ascii="Arial" w:hAnsi="Arial" w:cs="Arial"/>
              </w:rPr>
              <w:t>−30 to −10 (unmodified)</w:t>
            </w:r>
          </w:p>
        </w:tc>
        <w:tc>
          <w:tcPr>
            <w:tcW w:w="721" w:type="pct"/>
            <w:hideMark/>
          </w:tcPr>
          <w:p w14:paraId="0AA2195C" w14:textId="77777777" w:rsidR="00F83DA4" w:rsidRPr="00F83DA4" w:rsidRDefault="00F83DA4" w:rsidP="00F83DA4">
            <w:pPr>
              <w:jc w:val="both"/>
              <w:rPr>
                <w:rFonts w:ascii="Arial" w:hAnsi="Arial" w:cs="Arial"/>
              </w:rPr>
            </w:pPr>
            <w:r w:rsidRPr="00F83DA4">
              <w:rPr>
                <w:rFonts w:ascii="Arial" w:hAnsi="Arial" w:cs="Arial"/>
              </w:rPr>
              <w:t>40-60 (needs cationic coating)</w:t>
            </w:r>
          </w:p>
        </w:tc>
        <w:tc>
          <w:tcPr>
            <w:tcW w:w="752" w:type="pct"/>
            <w:hideMark/>
          </w:tcPr>
          <w:p w14:paraId="07B395F3" w14:textId="77777777" w:rsidR="00F83DA4" w:rsidRPr="00F83DA4" w:rsidRDefault="00F83DA4" w:rsidP="00F83DA4">
            <w:pPr>
              <w:jc w:val="both"/>
              <w:rPr>
                <w:rFonts w:ascii="Arial" w:hAnsi="Arial" w:cs="Arial"/>
              </w:rPr>
            </w:pPr>
            <w:r w:rsidRPr="00F83DA4">
              <w:rPr>
                <w:rFonts w:ascii="Arial" w:hAnsi="Arial" w:cs="Arial"/>
              </w:rPr>
              <w:t>60-80% stable 7 days</w:t>
            </w:r>
          </w:p>
        </w:tc>
        <w:tc>
          <w:tcPr>
            <w:tcW w:w="751" w:type="pct"/>
            <w:hideMark/>
          </w:tcPr>
          <w:p w14:paraId="0F8C2F3F" w14:textId="77777777" w:rsidR="00F83DA4" w:rsidRPr="00F83DA4" w:rsidRDefault="00F83DA4" w:rsidP="00F83DA4">
            <w:pPr>
              <w:jc w:val="both"/>
              <w:rPr>
                <w:rFonts w:ascii="Arial" w:hAnsi="Arial" w:cs="Arial"/>
              </w:rPr>
            </w:pPr>
            <w:r w:rsidRPr="00F83DA4">
              <w:rPr>
                <w:rFonts w:ascii="Arial" w:hAnsi="Arial" w:cs="Arial"/>
              </w:rPr>
              <w:t>pH-responsive</w:t>
            </w:r>
          </w:p>
        </w:tc>
        <w:tc>
          <w:tcPr>
            <w:tcW w:w="593" w:type="pct"/>
            <w:hideMark/>
          </w:tcPr>
          <w:p w14:paraId="0FFD3E8F" w14:textId="77777777" w:rsidR="00F83DA4" w:rsidRPr="00F83DA4" w:rsidRDefault="00F83DA4" w:rsidP="00F83DA4">
            <w:pPr>
              <w:jc w:val="both"/>
              <w:rPr>
                <w:rFonts w:ascii="Arial" w:hAnsi="Arial" w:cs="Arial"/>
              </w:rPr>
            </w:pPr>
            <w:r w:rsidRPr="00F83DA4">
              <w:rPr>
                <w:rFonts w:ascii="Arial" w:hAnsi="Arial" w:cs="Arial"/>
              </w:rPr>
              <w:t>Worrall et al., 2013</w:t>
            </w:r>
          </w:p>
        </w:tc>
      </w:tr>
      <w:tr w:rsidR="00F83DA4" w:rsidRPr="00F83DA4" w14:paraId="28EB3F6A" w14:textId="77777777" w:rsidTr="00F83DA4">
        <w:tc>
          <w:tcPr>
            <w:tcW w:w="672" w:type="pct"/>
            <w:hideMark/>
          </w:tcPr>
          <w:p w14:paraId="4F4F6365" w14:textId="77777777" w:rsidR="00F83DA4" w:rsidRPr="00F83DA4" w:rsidRDefault="00F83DA4" w:rsidP="00F83DA4">
            <w:pPr>
              <w:jc w:val="both"/>
              <w:rPr>
                <w:rFonts w:ascii="Arial" w:hAnsi="Arial" w:cs="Arial"/>
              </w:rPr>
            </w:pPr>
            <w:r w:rsidRPr="00F83DA4">
              <w:rPr>
                <w:rFonts w:ascii="Arial" w:hAnsi="Arial" w:cs="Arial"/>
              </w:rPr>
              <w:t>Clay nanosheets</w:t>
            </w:r>
          </w:p>
        </w:tc>
        <w:tc>
          <w:tcPr>
            <w:tcW w:w="640" w:type="pct"/>
            <w:hideMark/>
          </w:tcPr>
          <w:p w14:paraId="33A50BE2" w14:textId="77777777" w:rsidR="00F83DA4" w:rsidRPr="00F83DA4" w:rsidRDefault="00F83DA4" w:rsidP="00F83DA4">
            <w:pPr>
              <w:jc w:val="both"/>
              <w:rPr>
                <w:rFonts w:ascii="Arial" w:hAnsi="Arial" w:cs="Arial"/>
              </w:rPr>
            </w:pPr>
            <w:r w:rsidRPr="00F83DA4">
              <w:rPr>
                <w:rFonts w:ascii="Arial" w:hAnsi="Arial" w:cs="Arial"/>
              </w:rPr>
              <w:t>30-100 (thickness 1-2 nm)</w:t>
            </w:r>
          </w:p>
        </w:tc>
        <w:tc>
          <w:tcPr>
            <w:tcW w:w="871" w:type="pct"/>
            <w:hideMark/>
          </w:tcPr>
          <w:p w14:paraId="5DC5BB82" w14:textId="77777777" w:rsidR="00F83DA4" w:rsidRPr="00F83DA4" w:rsidRDefault="00F83DA4" w:rsidP="00F83DA4">
            <w:pPr>
              <w:jc w:val="both"/>
              <w:rPr>
                <w:rFonts w:ascii="Arial" w:hAnsi="Arial" w:cs="Arial"/>
              </w:rPr>
            </w:pPr>
            <w:r w:rsidRPr="00F83DA4">
              <w:rPr>
                <w:rFonts w:ascii="Arial" w:hAnsi="Arial" w:cs="Arial"/>
              </w:rPr>
              <w:t>−20 to +10 (depends on modification)</w:t>
            </w:r>
          </w:p>
        </w:tc>
        <w:tc>
          <w:tcPr>
            <w:tcW w:w="721" w:type="pct"/>
            <w:hideMark/>
          </w:tcPr>
          <w:p w14:paraId="05B76556" w14:textId="77777777" w:rsidR="00F83DA4" w:rsidRPr="00F83DA4" w:rsidRDefault="00F83DA4" w:rsidP="00F83DA4">
            <w:pPr>
              <w:jc w:val="both"/>
              <w:rPr>
                <w:rFonts w:ascii="Arial" w:hAnsi="Arial" w:cs="Arial"/>
              </w:rPr>
            </w:pPr>
            <w:r w:rsidRPr="00F83DA4">
              <w:rPr>
                <w:rFonts w:ascii="Arial" w:hAnsi="Arial" w:cs="Arial"/>
              </w:rPr>
              <w:t>50-70</w:t>
            </w:r>
          </w:p>
        </w:tc>
        <w:tc>
          <w:tcPr>
            <w:tcW w:w="752" w:type="pct"/>
            <w:hideMark/>
          </w:tcPr>
          <w:p w14:paraId="67B7586D" w14:textId="77777777" w:rsidR="00F83DA4" w:rsidRPr="00F83DA4" w:rsidRDefault="00F83DA4" w:rsidP="00F83DA4">
            <w:pPr>
              <w:jc w:val="both"/>
              <w:rPr>
                <w:rFonts w:ascii="Arial" w:hAnsi="Arial" w:cs="Arial"/>
              </w:rPr>
            </w:pPr>
            <w:r w:rsidRPr="00F83DA4">
              <w:rPr>
                <w:rFonts w:ascii="Arial" w:hAnsi="Arial" w:cs="Arial"/>
              </w:rPr>
              <w:t>70-85% stable 14 days</w:t>
            </w:r>
          </w:p>
        </w:tc>
        <w:tc>
          <w:tcPr>
            <w:tcW w:w="751" w:type="pct"/>
            <w:hideMark/>
          </w:tcPr>
          <w:p w14:paraId="7FC832AC" w14:textId="77777777" w:rsidR="00F83DA4" w:rsidRPr="00F83DA4" w:rsidRDefault="00F83DA4" w:rsidP="00F83DA4">
            <w:pPr>
              <w:jc w:val="both"/>
              <w:rPr>
                <w:rFonts w:ascii="Arial" w:hAnsi="Arial" w:cs="Arial"/>
              </w:rPr>
            </w:pPr>
            <w:r w:rsidRPr="00F83DA4">
              <w:rPr>
                <w:rFonts w:ascii="Arial" w:hAnsi="Arial" w:cs="Arial"/>
              </w:rPr>
              <w:t>Ion exchange, pH</w:t>
            </w:r>
          </w:p>
        </w:tc>
        <w:tc>
          <w:tcPr>
            <w:tcW w:w="593" w:type="pct"/>
            <w:hideMark/>
          </w:tcPr>
          <w:p w14:paraId="3E4CF1F6" w14:textId="77777777" w:rsidR="00F83DA4" w:rsidRPr="00F83DA4" w:rsidRDefault="00F83DA4" w:rsidP="00F83DA4">
            <w:pPr>
              <w:jc w:val="both"/>
              <w:rPr>
                <w:rFonts w:ascii="Arial" w:hAnsi="Arial" w:cs="Arial"/>
              </w:rPr>
            </w:pPr>
            <w:r w:rsidRPr="00F83DA4">
              <w:rPr>
                <w:rFonts w:ascii="Arial" w:hAnsi="Arial" w:cs="Arial"/>
              </w:rPr>
              <w:t>Mitter et al., 2017</w:t>
            </w:r>
          </w:p>
        </w:tc>
      </w:tr>
      <w:tr w:rsidR="00F83DA4" w:rsidRPr="00F83DA4" w14:paraId="2A451CF2" w14:textId="77777777" w:rsidTr="00F83DA4">
        <w:tc>
          <w:tcPr>
            <w:tcW w:w="672" w:type="pct"/>
            <w:hideMark/>
          </w:tcPr>
          <w:p w14:paraId="63EC7F33" w14:textId="77777777" w:rsidR="00F83DA4" w:rsidRPr="00F83DA4" w:rsidRDefault="00F83DA4" w:rsidP="00F83DA4">
            <w:pPr>
              <w:jc w:val="both"/>
              <w:rPr>
                <w:rFonts w:ascii="Arial" w:hAnsi="Arial" w:cs="Arial"/>
              </w:rPr>
            </w:pPr>
            <w:r w:rsidRPr="00F83DA4">
              <w:rPr>
                <w:rFonts w:ascii="Arial" w:hAnsi="Arial" w:cs="Arial"/>
              </w:rPr>
              <w:t>Star polymers</w:t>
            </w:r>
          </w:p>
        </w:tc>
        <w:tc>
          <w:tcPr>
            <w:tcW w:w="640" w:type="pct"/>
            <w:hideMark/>
          </w:tcPr>
          <w:p w14:paraId="02D8C27D" w14:textId="77777777" w:rsidR="00F83DA4" w:rsidRPr="00F83DA4" w:rsidRDefault="00F83DA4" w:rsidP="00F83DA4">
            <w:pPr>
              <w:jc w:val="both"/>
              <w:rPr>
                <w:rFonts w:ascii="Arial" w:hAnsi="Arial" w:cs="Arial"/>
              </w:rPr>
            </w:pPr>
            <w:r w:rsidRPr="00F83DA4">
              <w:rPr>
                <w:rFonts w:ascii="Arial" w:hAnsi="Arial" w:cs="Arial"/>
              </w:rPr>
              <w:t>10-50</w:t>
            </w:r>
          </w:p>
        </w:tc>
        <w:tc>
          <w:tcPr>
            <w:tcW w:w="871" w:type="pct"/>
            <w:hideMark/>
          </w:tcPr>
          <w:p w14:paraId="50A9EBA8" w14:textId="77777777" w:rsidR="00F83DA4" w:rsidRPr="00F83DA4" w:rsidRDefault="00F83DA4" w:rsidP="00F83DA4">
            <w:pPr>
              <w:jc w:val="both"/>
              <w:rPr>
                <w:rFonts w:ascii="Arial" w:hAnsi="Arial" w:cs="Arial"/>
              </w:rPr>
            </w:pPr>
            <w:r w:rsidRPr="00F83DA4">
              <w:rPr>
                <w:rFonts w:ascii="Arial" w:hAnsi="Arial" w:cs="Arial"/>
              </w:rPr>
              <w:t>+20 to +45</w:t>
            </w:r>
          </w:p>
        </w:tc>
        <w:tc>
          <w:tcPr>
            <w:tcW w:w="721" w:type="pct"/>
            <w:hideMark/>
          </w:tcPr>
          <w:p w14:paraId="21C2795B" w14:textId="77777777" w:rsidR="00F83DA4" w:rsidRPr="00F83DA4" w:rsidRDefault="00F83DA4" w:rsidP="00F83DA4">
            <w:pPr>
              <w:jc w:val="both"/>
              <w:rPr>
                <w:rFonts w:ascii="Arial" w:hAnsi="Arial" w:cs="Arial"/>
              </w:rPr>
            </w:pPr>
            <w:r w:rsidRPr="00F83DA4">
              <w:rPr>
                <w:rFonts w:ascii="Arial" w:hAnsi="Arial" w:cs="Arial"/>
              </w:rPr>
              <w:t>80-95</w:t>
            </w:r>
          </w:p>
        </w:tc>
        <w:tc>
          <w:tcPr>
            <w:tcW w:w="752" w:type="pct"/>
            <w:hideMark/>
          </w:tcPr>
          <w:p w14:paraId="3CB66310" w14:textId="77777777" w:rsidR="00F83DA4" w:rsidRPr="00F83DA4" w:rsidRDefault="00F83DA4" w:rsidP="00F83DA4">
            <w:pPr>
              <w:jc w:val="both"/>
              <w:rPr>
                <w:rFonts w:ascii="Arial" w:hAnsi="Arial" w:cs="Arial"/>
              </w:rPr>
            </w:pPr>
            <w:r w:rsidRPr="00F83DA4">
              <w:rPr>
                <w:rFonts w:ascii="Arial" w:hAnsi="Arial" w:cs="Arial"/>
              </w:rPr>
              <w:t>85-95% stable 7 days</w:t>
            </w:r>
          </w:p>
        </w:tc>
        <w:tc>
          <w:tcPr>
            <w:tcW w:w="751" w:type="pct"/>
            <w:hideMark/>
          </w:tcPr>
          <w:p w14:paraId="3C032FD5" w14:textId="77777777" w:rsidR="00F83DA4" w:rsidRPr="00F83DA4" w:rsidRDefault="00F83DA4" w:rsidP="00F83DA4">
            <w:pPr>
              <w:jc w:val="both"/>
              <w:rPr>
                <w:rFonts w:ascii="Arial" w:hAnsi="Arial" w:cs="Arial"/>
              </w:rPr>
            </w:pPr>
            <w:r w:rsidRPr="00F83DA4">
              <w:rPr>
                <w:rFonts w:ascii="Arial" w:hAnsi="Arial" w:cs="Arial"/>
              </w:rPr>
              <w:t>pH-responsive</w:t>
            </w:r>
          </w:p>
        </w:tc>
        <w:tc>
          <w:tcPr>
            <w:tcW w:w="593" w:type="pct"/>
            <w:hideMark/>
          </w:tcPr>
          <w:p w14:paraId="614EE21B" w14:textId="77777777" w:rsidR="00F83DA4" w:rsidRPr="00F83DA4" w:rsidRDefault="00F83DA4" w:rsidP="00F83DA4">
            <w:pPr>
              <w:jc w:val="both"/>
              <w:rPr>
                <w:rFonts w:ascii="Arial" w:hAnsi="Arial" w:cs="Arial"/>
              </w:rPr>
            </w:pPr>
            <w:r w:rsidRPr="00F83DA4">
              <w:rPr>
                <w:rFonts w:ascii="Arial" w:hAnsi="Arial" w:cs="Arial"/>
              </w:rPr>
              <w:t>Averick et al., 2014</w:t>
            </w:r>
          </w:p>
        </w:tc>
      </w:tr>
      <w:tr w:rsidR="00F83DA4" w:rsidRPr="00F83DA4" w14:paraId="6BBC96D9" w14:textId="77777777" w:rsidTr="00F83DA4">
        <w:tc>
          <w:tcPr>
            <w:tcW w:w="672" w:type="pct"/>
            <w:hideMark/>
          </w:tcPr>
          <w:p w14:paraId="38744269" w14:textId="77777777" w:rsidR="00F83DA4" w:rsidRPr="00F83DA4" w:rsidRDefault="00F83DA4" w:rsidP="00F83DA4">
            <w:pPr>
              <w:jc w:val="both"/>
              <w:rPr>
                <w:rFonts w:ascii="Arial" w:hAnsi="Arial" w:cs="Arial"/>
              </w:rPr>
            </w:pPr>
            <w:r w:rsidRPr="00F83DA4">
              <w:rPr>
                <w:rFonts w:ascii="Arial" w:hAnsi="Arial" w:cs="Arial"/>
              </w:rPr>
              <w:t>Dendrimer-based</w:t>
            </w:r>
          </w:p>
        </w:tc>
        <w:tc>
          <w:tcPr>
            <w:tcW w:w="640" w:type="pct"/>
            <w:hideMark/>
          </w:tcPr>
          <w:p w14:paraId="5F248F75" w14:textId="77777777" w:rsidR="00F83DA4" w:rsidRPr="00F83DA4" w:rsidRDefault="00F83DA4" w:rsidP="00F83DA4">
            <w:pPr>
              <w:jc w:val="both"/>
              <w:rPr>
                <w:rFonts w:ascii="Arial" w:hAnsi="Arial" w:cs="Arial"/>
              </w:rPr>
            </w:pPr>
            <w:r w:rsidRPr="00F83DA4">
              <w:rPr>
                <w:rFonts w:ascii="Arial" w:hAnsi="Arial" w:cs="Arial"/>
              </w:rPr>
              <w:t>5-20</w:t>
            </w:r>
          </w:p>
        </w:tc>
        <w:tc>
          <w:tcPr>
            <w:tcW w:w="871" w:type="pct"/>
            <w:hideMark/>
          </w:tcPr>
          <w:p w14:paraId="18A06920" w14:textId="77777777" w:rsidR="00F83DA4" w:rsidRPr="00F83DA4" w:rsidRDefault="00F83DA4" w:rsidP="00F83DA4">
            <w:pPr>
              <w:jc w:val="both"/>
              <w:rPr>
                <w:rFonts w:ascii="Arial" w:hAnsi="Arial" w:cs="Arial"/>
              </w:rPr>
            </w:pPr>
            <w:r w:rsidRPr="00F83DA4">
              <w:rPr>
                <w:rFonts w:ascii="Arial" w:hAnsi="Arial" w:cs="Arial"/>
              </w:rPr>
              <w:t>+25 to +50</w:t>
            </w:r>
          </w:p>
        </w:tc>
        <w:tc>
          <w:tcPr>
            <w:tcW w:w="721" w:type="pct"/>
            <w:hideMark/>
          </w:tcPr>
          <w:p w14:paraId="5CEDC07F" w14:textId="77777777" w:rsidR="00F83DA4" w:rsidRPr="00F83DA4" w:rsidRDefault="00F83DA4" w:rsidP="00F83DA4">
            <w:pPr>
              <w:jc w:val="both"/>
              <w:rPr>
                <w:rFonts w:ascii="Arial" w:hAnsi="Arial" w:cs="Arial"/>
              </w:rPr>
            </w:pPr>
            <w:r w:rsidRPr="00F83DA4">
              <w:rPr>
                <w:rFonts w:ascii="Arial" w:hAnsi="Arial" w:cs="Arial"/>
              </w:rPr>
              <w:t>85-95</w:t>
            </w:r>
          </w:p>
        </w:tc>
        <w:tc>
          <w:tcPr>
            <w:tcW w:w="752" w:type="pct"/>
            <w:hideMark/>
          </w:tcPr>
          <w:p w14:paraId="27FEBA1B" w14:textId="77777777" w:rsidR="00F83DA4" w:rsidRPr="00F83DA4" w:rsidRDefault="00F83DA4" w:rsidP="00F83DA4">
            <w:pPr>
              <w:jc w:val="both"/>
              <w:rPr>
                <w:rFonts w:ascii="Arial" w:hAnsi="Arial" w:cs="Arial"/>
              </w:rPr>
            </w:pPr>
            <w:r w:rsidRPr="00F83DA4">
              <w:rPr>
                <w:rFonts w:ascii="Arial" w:hAnsi="Arial" w:cs="Arial"/>
              </w:rPr>
              <w:t>90-98% stable 5 days</w:t>
            </w:r>
          </w:p>
        </w:tc>
        <w:tc>
          <w:tcPr>
            <w:tcW w:w="751" w:type="pct"/>
            <w:hideMark/>
          </w:tcPr>
          <w:p w14:paraId="72365BD9" w14:textId="77777777" w:rsidR="00F83DA4" w:rsidRPr="00F83DA4" w:rsidRDefault="00F83DA4" w:rsidP="00F83DA4">
            <w:pPr>
              <w:jc w:val="both"/>
              <w:rPr>
                <w:rFonts w:ascii="Arial" w:hAnsi="Arial" w:cs="Arial"/>
              </w:rPr>
            </w:pPr>
            <w:r w:rsidRPr="00F83DA4">
              <w:rPr>
                <w:rFonts w:ascii="Arial" w:hAnsi="Arial" w:cs="Arial"/>
              </w:rPr>
              <w:t>Proton sponge</w:t>
            </w:r>
          </w:p>
        </w:tc>
        <w:tc>
          <w:tcPr>
            <w:tcW w:w="593" w:type="pct"/>
            <w:hideMark/>
          </w:tcPr>
          <w:p w14:paraId="2A6E7CF5" w14:textId="77777777" w:rsidR="00F83DA4" w:rsidRPr="00F83DA4" w:rsidRDefault="00F83DA4" w:rsidP="00F83DA4">
            <w:pPr>
              <w:jc w:val="both"/>
              <w:rPr>
                <w:rFonts w:ascii="Arial" w:hAnsi="Arial" w:cs="Arial"/>
              </w:rPr>
            </w:pPr>
            <w:r w:rsidRPr="00F83DA4">
              <w:rPr>
                <w:rFonts w:ascii="Arial" w:hAnsi="Arial" w:cs="Arial"/>
              </w:rPr>
              <w:t>Santos et al., 2010</w:t>
            </w:r>
          </w:p>
        </w:tc>
      </w:tr>
    </w:tbl>
    <w:p w14:paraId="3CF3E67D" w14:textId="77777777" w:rsidR="00F83DA4" w:rsidRPr="00F83DA4" w:rsidRDefault="00F83DA4" w:rsidP="00F83DA4">
      <w:pPr>
        <w:jc w:val="both"/>
        <w:rPr>
          <w:rFonts w:ascii="Arial" w:hAnsi="Arial" w:cs="Arial"/>
          <w:i/>
          <w:iCs/>
        </w:rPr>
      </w:pPr>
      <w:r w:rsidRPr="00F83DA4">
        <w:rPr>
          <w:rFonts w:ascii="Arial" w:hAnsi="Arial" w:cs="Arial"/>
          <w:b/>
          <w:bCs/>
          <w:i/>
          <w:iCs/>
        </w:rPr>
        <w:t>Notes:</w:t>
      </w:r>
      <w:r w:rsidRPr="00F83DA4">
        <w:rPr>
          <w:rFonts w:ascii="Arial" w:hAnsi="Arial" w:cs="Arial"/>
          <w:i/>
          <w:iCs/>
        </w:rPr>
        <w:t> Binding efficiency = % dsRNA bound to carrier; Protection = stability against RNase degradation compared to naked dsRNA; Release mechanism determines where and when dsRNA is released (e.g., pH &lt;6 in insect gut).</w:t>
      </w:r>
    </w:p>
    <w:p w14:paraId="38BA8B67" w14:textId="77777777" w:rsidR="00F83DA4" w:rsidRPr="00671E5E" w:rsidRDefault="00F83DA4" w:rsidP="00671E5E">
      <w:pPr>
        <w:jc w:val="both"/>
        <w:rPr>
          <w:rFonts w:ascii="Arial" w:hAnsi="Arial" w:cs="Arial"/>
        </w:rPr>
      </w:pPr>
    </w:p>
    <w:p w14:paraId="2499CF3D" w14:textId="77777777" w:rsidR="00671E5E" w:rsidRPr="00671E5E" w:rsidRDefault="00671E5E" w:rsidP="00671E5E">
      <w:pPr>
        <w:jc w:val="both"/>
        <w:rPr>
          <w:rFonts w:ascii="Arial" w:hAnsi="Arial" w:cs="Arial"/>
        </w:rPr>
      </w:pPr>
      <w:r w:rsidRPr="00671E5E">
        <w:rPr>
          <w:rFonts w:ascii="Arial" w:hAnsi="Arial" w:cs="Arial"/>
          <w:b/>
          <w:bCs/>
        </w:rPr>
        <w:t>Environmental Risk Assessment:</w:t>
      </w:r>
      <w:r w:rsidRPr="00671E5E">
        <w:rPr>
          <w:rFonts w:ascii="Arial" w:hAnsi="Arial" w:cs="Arial"/>
        </w:rPr>
        <w:t> Studies demonstrate dsRNA undergoes rapid degradation in soil (half-life 1–4 days) and water (half-life 0.5–2 days), with no evidence of bioaccumulation or persistence (Parker et al., 2019). Oral toxicity studies in honeybees, parasitoids, and vertebrates show no adverse effects at doses 10–1000-fold higher than field exposure levels (Bachman et al., 2013; Tan et al., 2016).</w:t>
      </w:r>
    </w:p>
    <w:p w14:paraId="405A0F7C" w14:textId="77777777" w:rsidR="00141945" w:rsidRDefault="00141945" w:rsidP="00441B6F">
      <w:pPr>
        <w:pStyle w:val="Body"/>
        <w:spacing w:after="0"/>
        <w:rPr>
          <w:rFonts w:ascii="Arial" w:hAnsi="Arial" w:cs="Arial"/>
        </w:rPr>
      </w:pPr>
    </w:p>
    <w:p w14:paraId="50B67FB2" w14:textId="77777777" w:rsidR="00FD073D" w:rsidRDefault="00FD073D" w:rsidP="00441B6F">
      <w:pPr>
        <w:pStyle w:val="Body"/>
        <w:spacing w:after="0"/>
        <w:rPr>
          <w:rFonts w:ascii="Arial" w:hAnsi="Arial" w:cs="Arial"/>
        </w:rPr>
      </w:pPr>
    </w:p>
    <w:p w14:paraId="4765A385" w14:textId="77777777" w:rsidR="00F83DA4" w:rsidRDefault="00F83DA4" w:rsidP="00441B6F">
      <w:pPr>
        <w:pStyle w:val="Body"/>
        <w:spacing w:after="0"/>
        <w:rPr>
          <w:rFonts w:ascii="Arial" w:hAnsi="Arial" w:cs="Arial"/>
        </w:rPr>
      </w:pPr>
    </w:p>
    <w:p w14:paraId="0AFD1A1E" w14:textId="77777777" w:rsidR="00F83DA4" w:rsidRDefault="00F83DA4" w:rsidP="00441B6F">
      <w:pPr>
        <w:pStyle w:val="Body"/>
        <w:spacing w:after="0"/>
        <w:rPr>
          <w:rFonts w:ascii="Arial" w:hAnsi="Arial" w:cs="Arial"/>
        </w:rPr>
      </w:pPr>
    </w:p>
    <w:p w14:paraId="618C3EB7" w14:textId="77777777" w:rsidR="00F83DA4" w:rsidRDefault="00F83DA4" w:rsidP="00441B6F">
      <w:pPr>
        <w:pStyle w:val="Body"/>
        <w:spacing w:after="0"/>
        <w:rPr>
          <w:rFonts w:ascii="Arial" w:hAnsi="Arial" w:cs="Arial"/>
        </w:rPr>
      </w:pPr>
    </w:p>
    <w:p w14:paraId="5ABE40E2" w14:textId="77777777" w:rsidR="00F83DA4" w:rsidRDefault="00F83DA4" w:rsidP="00441B6F">
      <w:pPr>
        <w:pStyle w:val="Body"/>
        <w:spacing w:after="0"/>
        <w:rPr>
          <w:rFonts w:ascii="Arial" w:hAnsi="Arial" w:cs="Arial"/>
        </w:rPr>
      </w:pPr>
    </w:p>
    <w:p w14:paraId="62B97EC4" w14:textId="77777777" w:rsidR="00F83DA4" w:rsidRDefault="00F83DA4" w:rsidP="00441B6F">
      <w:pPr>
        <w:pStyle w:val="Body"/>
        <w:spacing w:after="0"/>
        <w:rPr>
          <w:rFonts w:ascii="Arial" w:hAnsi="Arial" w:cs="Arial"/>
        </w:rPr>
      </w:pPr>
    </w:p>
    <w:p w14:paraId="58C0D9A9" w14:textId="77777777" w:rsidR="00FD073D" w:rsidRDefault="00FD073D" w:rsidP="00FD073D">
      <w:pPr>
        <w:pStyle w:val="Body"/>
        <w:spacing w:after="0"/>
        <w:rPr>
          <w:rFonts w:ascii="Arial" w:hAnsi="Arial" w:cs="Arial"/>
          <w:b/>
          <w:bCs/>
        </w:rPr>
      </w:pPr>
      <w:r w:rsidRPr="00FD073D">
        <w:rPr>
          <w:rFonts w:ascii="Arial" w:hAnsi="Arial" w:cs="Arial"/>
          <w:b/>
          <w:bCs/>
        </w:rPr>
        <w:t>5. ENVIRONMENTAL FATE, TOXICOLOGY, AND ECOLOGICAL IMPACTS</w:t>
      </w:r>
    </w:p>
    <w:p w14:paraId="583BCD57" w14:textId="77777777" w:rsidR="00EB2CF6" w:rsidRPr="00FD073D" w:rsidRDefault="00EB2CF6" w:rsidP="00FD073D">
      <w:pPr>
        <w:pStyle w:val="Body"/>
        <w:spacing w:after="0"/>
        <w:rPr>
          <w:rFonts w:ascii="Arial" w:hAnsi="Arial" w:cs="Arial"/>
          <w:b/>
          <w:bCs/>
        </w:rPr>
      </w:pPr>
    </w:p>
    <w:p w14:paraId="796AFD49" w14:textId="77777777" w:rsidR="00FD073D" w:rsidRDefault="00FD073D" w:rsidP="00FD073D">
      <w:pPr>
        <w:pStyle w:val="Body"/>
        <w:spacing w:after="0"/>
        <w:rPr>
          <w:rFonts w:ascii="Arial" w:hAnsi="Arial" w:cs="Arial"/>
          <w:b/>
          <w:bCs/>
        </w:rPr>
      </w:pPr>
      <w:r w:rsidRPr="00FD073D">
        <w:rPr>
          <w:rFonts w:ascii="Arial" w:hAnsi="Arial" w:cs="Arial"/>
          <w:b/>
          <w:bCs/>
        </w:rPr>
        <w:t>5.1 Nanoparticle Environmental Fate and Transformation</w:t>
      </w:r>
    </w:p>
    <w:p w14:paraId="1883D202" w14:textId="45AE67B8" w:rsidR="00FD073D" w:rsidRDefault="00FD073D" w:rsidP="00FD073D">
      <w:pPr>
        <w:pStyle w:val="Body"/>
        <w:spacing w:after="0"/>
        <w:rPr>
          <w:rFonts w:ascii="Arial" w:hAnsi="Arial" w:cs="Arial"/>
        </w:rPr>
      </w:pPr>
      <w:r w:rsidRPr="00FD073D">
        <w:rPr>
          <w:rFonts w:ascii="Arial" w:hAnsi="Arial" w:cs="Arial"/>
        </w:rPr>
        <w:t>Understanding environmental fate of agricultural nanoparticles is critical for risk assessment and sustainable deployment (Kah et al., 2018; Judy et al., 2019).</w:t>
      </w:r>
    </w:p>
    <w:p w14:paraId="78C4C673" w14:textId="77777777" w:rsidR="00EB2CF6" w:rsidRPr="00FD073D" w:rsidRDefault="00EB2CF6" w:rsidP="00FD073D">
      <w:pPr>
        <w:pStyle w:val="Body"/>
        <w:spacing w:after="0"/>
        <w:rPr>
          <w:rFonts w:ascii="Arial" w:hAnsi="Arial" w:cs="Arial"/>
        </w:rPr>
      </w:pPr>
    </w:p>
    <w:p w14:paraId="141C4D34" w14:textId="77777777" w:rsidR="00FD073D" w:rsidRPr="00FD073D" w:rsidRDefault="00FD073D" w:rsidP="00FD073D">
      <w:pPr>
        <w:pStyle w:val="Body"/>
        <w:rPr>
          <w:rFonts w:ascii="Arial" w:hAnsi="Arial" w:cs="Arial"/>
        </w:rPr>
      </w:pPr>
      <w:r w:rsidRPr="00FD073D">
        <w:rPr>
          <w:rFonts w:ascii="Arial" w:hAnsi="Arial" w:cs="Arial"/>
          <w:b/>
          <w:bCs/>
        </w:rPr>
        <w:t>Soil Interactions:</w:t>
      </w:r>
      <w:r w:rsidRPr="00FD073D">
        <w:rPr>
          <w:rFonts w:ascii="Arial" w:hAnsi="Arial" w:cs="Arial"/>
        </w:rPr>
        <w:t> Nanoparticles undergo complex interactions with soil components including clay minerals, organic matter, and microbial communities (Cornelis et al., 2014). Metal oxide nanoparticles (</w:t>
      </w:r>
      <w:proofErr w:type="spellStart"/>
      <w:r w:rsidRPr="00FD073D">
        <w:rPr>
          <w:rFonts w:ascii="Arial" w:hAnsi="Arial" w:cs="Arial"/>
        </w:rPr>
        <w:t>ZnO</w:t>
      </w:r>
      <w:proofErr w:type="spellEnd"/>
      <w:r w:rsidRPr="00FD073D">
        <w:rPr>
          <w:rFonts w:ascii="Arial" w:hAnsi="Arial" w:cs="Arial"/>
        </w:rPr>
        <w:t xml:space="preserve">, </w:t>
      </w:r>
      <w:proofErr w:type="spellStart"/>
      <w:r w:rsidRPr="00FD073D">
        <w:rPr>
          <w:rFonts w:ascii="Arial" w:hAnsi="Arial" w:cs="Arial"/>
        </w:rPr>
        <w:t>CuO</w:t>
      </w:r>
      <w:proofErr w:type="spellEnd"/>
      <w:r w:rsidRPr="00FD073D">
        <w:rPr>
          <w:rFonts w:ascii="Arial" w:hAnsi="Arial" w:cs="Arial"/>
        </w:rPr>
        <w:t xml:space="preserve">, </w:t>
      </w:r>
      <w:proofErr w:type="spellStart"/>
      <w:r w:rsidRPr="00FD073D">
        <w:rPr>
          <w:rFonts w:ascii="Arial" w:hAnsi="Arial" w:cs="Arial"/>
        </w:rPr>
        <w:t>AgNPs</w:t>
      </w:r>
      <w:proofErr w:type="spellEnd"/>
      <w:r w:rsidRPr="00FD073D">
        <w:rPr>
          <w:rFonts w:ascii="Arial" w:hAnsi="Arial" w:cs="Arial"/>
        </w:rPr>
        <w:t xml:space="preserve">) exhibit high affinity for soil organic matter and clay surfaces, reducing mobility and bioavailability through adsorption and aggregation (Cornelis et al., 2012; Hoppe et al., 2015). Soil pH strongly influences nanoparticle stability: acidic conditions (pH 4–6) promote metal ion dissolution from </w:t>
      </w:r>
      <w:proofErr w:type="spellStart"/>
      <w:r w:rsidRPr="00FD073D">
        <w:rPr>
          <w:rFonts w:ascii="Arial" w:hAnsi="Arial" w:cs="Arial"/>
        </w:rPr>
        <w:t>ZnO</w:t>
      </w:r>
      <w:proofErr w:type="spellEnd"/>
      <w:r w:rsidRPr="00FD073D">
        <w:rPr>
          <w:rFonts w:ascii="Arial" w:hAnsi="Arial" w:cs="Arial"/>
        </w:rPr>
        <w:t xml:space="preserve"> and </w:t>
      </w:r>
      <w:proofErr w:type="spellStart"/>
      <w:r w:rsidRPr="00FD073D">
        <w:rPr>
          <w:rFonts w:ascii="Arial" w:hAnsi="Arial" w:cs="Arial"/>
        </w:rPr>
        <w:t>CuO</w:t>
      </w:r>
      <w:proofErr w:type="spellEnd"/>
      <w:r w:rsidRPr="00FD073D">
        <w:rPr>
          <w:rFonts w:ascii="Arial" w:hAnsi="Arial" w:cs="Arial"/>
        </w:rPr>
        <w:t xml:space="preserve"> nanoparticles, increasing bioavailability and potential toxicity, while alkaline conditions (pH 7–9) favor precipitation and reduced mobility (</w:t>
      </w:r>
      <w:proofErr w:type="spellStart"/>
      <w:r w:rsidRPr="00FD073D">
        <w:rPr>
          <w:rFonts w:ascii="Arial" w:hAnsi="Arial" w:cs="Arial"/>
        </w:rPr>
        <w:t>Dimkpa</w:t>
      </w:r>
      <w:proofErr w:type="spellEnd"/>
      <w:r w:rsidRPr="00FD073D">
        <w:rPr>
          <w:rFonts w:ascii="Arial" w:hAnsi="Arial" w:cs="Arial"/>
        </w:rPr>
        <w:t xml:space="preserve"> et al., 2015; Zhao et al., 2012).</w:t>
      </w:r>
    </w:p>
    <w:p w14:paraId="1CCA7964" w14:textId="77777777" w:rsidR="00FD073D" w:rsidRPr="00FD073D" w:rsidRDefault="00FD073D" w:rsidP="00FD073D">
      <w:pPr>
        <w:pStyle w:val="Body"/>
        <w:rPr>
          <w:rFonts w:ascii="Arial" w:hAnsi="Arial" w:cs="Arial"/>
        </w:rPr>
      </w:pPr>
      <w:r w:rsidRPr="00FD073D">
        <w:rPr>
          <w:rFonts w:ascii="Arial" w:hAnsi="Arial" w:cs="Arial"/>
          <w:b/>
          <w:bCs/>
        </w:rPr>
        <w:lastRenderedPageBreak/>
        <w:t>Dissolution and Transformation:</w:t>
      </w:r>
      <w:r w:rsidRPr="00FD073D">
        <w:rPr>
          <w:rFonts w:ascii="Arial" w:hAnsi="Arial" w:cs="Arial"/>
        </w:rPr>
        <w:t> </w:t>
      </w:r>
      <w:proofErr w:type="spellStart"/>
      <w:r w:rsidRPr="00FD073D">
        <w:rPr>
          <w:rFonts w:ascii="Arial" w:hAnsi="Arial" w:cs="Arial"/>
        </w:rPr>
        <w:t>ZnO</w:t>
      </w:r>
      <w:proofErr w:type="spellEnd"/>
      <w:r w:rsidRPr="00FD073D">
        <w:rPr>
          <w:rFonts w:ascii="Arial" w:hAnsi="Arial" w:cs="Arial"/>
        </w:rPr>
        <w:t xml:space="preserve"> and </w:t>
      </w:r>
      <w:proofErr w:type="spellStart"/>
      <w:r w:rsidRPr="00FD073D">
        <w:rPr>
          <w:rFonts w:ascii="Arial" w:hAnsi="Arial" w:cs="Arial"/>
        </w:rPr>
        <w:t>AgNPs</w:t>
      </w:r>
      <w:proofErr w:type="spellEnd"/>
      <w:r w:rsidRPr="00FD073D">
        <w:rPr>
          <w:rFonts w:ascii="Arial" w:hAnsi="Arial" w:cs="Arial"/>
        </w:rPr>
        <w:t xml:space="preserve"> undergo progressive dissolution releasing Zn²</w:t>
      </w:r>
      <w:r w:rsidRPr="00FD073D">
        <w:rPr>
          <w:rFonts w:ascii="Cambria Math" w:hAnsi="Cambria Math" w:cs="Cambria Math"/>
        </w:rPr>
        <w:t>⁺</w:t>
      </w:r>
      <w:r w:rsidRPr="00FD073D">
        <w:rPr>
          <w:rFonts w:ascii="Arial" w:hAnsi="Arial" w:cs="Arial"/>
        </w:rPr>
        <w:t xml:space="preserve"> and Ag</w:t>
      </w:r>
      <w:r w:rsidRPr="00FD073D">
        <w:rPr>
          <w:rFonts w:ascii="Cambria Math" w:hAnsi="Cambria Math" w:cs="Cambria Math"/>
        </w:rPr>
        <w:t>⁺</w:t>
      </w:r>
      <w:r w:rsidRPr="00FD073D">
        <w:rPr>
          <w:rFonts w:ascii="Arial" w:hAnsi="Arial" w:cs="Arial"/>
        </w:rPr>
        <w:t xml:space="preserve"> ions, with dissolution rates depending on particle size, surface coating, pH, and dissolved organic matter (</w:t>
      </w:r>
      <w:proofErr w:type="spellStart"/>
      <w:r w:rsidRPr="00FD073D">
        <w:rPr>
          <w:rFonts w:ascii="Arial" w:hAnsi="Arial" w:cs="Arial"/>
        </w:rPr>
        <w:t>Levard</w:t>
      </w:r>
      <w:proofErr w:type="spellEnd"/>
      <w:r w:rsidRPr="00FD073D">
        <w:rPr>
          <w:rFonts w:ascii="Arial" w:hAnsi="Arial" w:cs="Arial"/>
        </w:rPr>
        <w:t xml:space="preserve"> et al., 2012; Ma et al., 2013). Smaller nanoparticles (&lt;30 nm) dissolve 3–5-fold faster than larger particles (&gt;80 nm) due to higher surface area-to-volume ratios (Bian et al., 2011). Surface coatings (citrate, polyvinylpyrrolidone) reduce dissolution rates by 40–70% through surface passivation (Kittler et al., 2010). </w:t>
      </w:r>
      <w:proofErr w:type="spellStart"/>
      <w:r w:rsidRPr="00FD073D">
        <w:rPr>
          <w:rFonts w:ascii="Arial" w:hAnsi="Arial" w:cs="Arial"/>
        </w:rPr>
        <w:t>AgNPs</w:t>
      </w:r>
      <w:proofErr w:type="spellEnd"/>
      <w:r w:rsidRPr="00FD073D">
        <w:rPr>
          <w:rFonts w:ascii="Arial" w:hAnsi="Arial" w:cs="Arial"/>
        </w:rPr>
        <w:t xml:space="preserve"> undergo sulfidation in anaerobic soils, forming </w:t>
      </w:r>
      <w:proofErr w:type="spellStart"/>
      <w:r w:rsidRPr="00FD073D">
        <w:rPr>
          <w:rFonts w:ascii="Arial" w:hAnsi="Arial" w:cs="Arial"/>
        </w:rPr>
        <w:t>Ag</w:t>
      </w:r>
      <w:r w:rsidRPr="00FD073D">
        <w:rPr>
          <w:rFonts w:ascii="Cambria Math" w:hAnsi="Cambria Math" w:cs="Cambria Math"/>
        </w:rPr>
        <w:t>₂</w:t>
      </w:r>
      <w:r w:rsidRPr="00FD073D">
        <w:rPr>
          <w:rFonts w:ascii="Arial" w:hAnsi="Arial" w:cs="Arial"/>
        </w:rPr>
        <w:t>S</w:t>
      </w:r>
      <w:proofErr w:type="spellEnd"/>
      <w:r w:rsidRPr="00FD073D">
        <w:rPr>
          <w:rFonts w:ascii="Arial" w:hAnsi="Arial" w:cs="Arial"/>
        </w:rPr>
        <w:t xml:space="preserve"> precipitates with dramatically reduced bioavailability and toxicity (</w:t>
      </w:r>
      <w:proofErr w:type="spellStart"/>
      <w:r w:rsidRPr="00FD073D">
        <w:rPr>
          <w:rFonts w:ascii="Arial" w:hAnsi="Arial" w:cs="Arial"/>
        </w:rPr>
        <w:t>Levard</w:t>
      </w:r>
      <w:proofErr w:type="spellEnd"/>
      <w:r w:rsidRPr="00FD073D">
        <w:rPr>
          <w:rFonts w:ascii="Arial" w:hAnsi="Arial" w:cs="Arial"/>
        </w:rPr>
        <w:t xml:space="preserve"> et al., 2012; Reinsch et al., 2012).</w:t>
      </w:r>
    </w:p>
    <w:p w14:paraId="1E9FBF55" w14:textId="3AD233C0" w:rsidR="00FD073D" w:rsidRPr="00FD073D" w:rsidRDefault="00FD073D" w:rsidP="00FD073D">
      <w:pPr>
        <w:pStyle w:val="Body"/>
        <w:rPr>
          <w:rFonts w:ascii="Arial" w:hAnsi="Arial" w:cs="Arial"/>
        </w:rPr>
      </w:pPr>
      <w:r w:rsidRPr="00FD073D">
        <w:rPr>
          <w:rFonts w:ascii="Arial" w:hAnsi="Arial" w:cs="Arial"/>
          <w:b/>
          <w:bCs/>
        </w:rPr>
        <w:t>Water Interactions:</w:t>
      </w:r>
      <w:r w:rsidRPr="00FD073D">
        <w:rPr>
          <w:rFonts w:ascii="Arial" w:hAnsi="Arial" w:cs="Arial"/>
        </w:rPr>
        <w:t> Nanoparticles entering aquatic systems via agricultural runoff undergo aggregation, sedimentation, and biotransformation (Lowry et al., 2012; Batley et al., 2013). Ionic strength, pH, and natural organic matter influence colloidal stability: high ionic strength (&gt;100 mM NaCl) and divalent cations (Ca²</w:t>
      </w:r>
      <w:r w:rsidRPr="00FD073D">
        <w:rPr>
          <w:rFonts w:ascii="Cambria Math" w:hAnsi="Cambria Math" w:cs="Cambria Math"/>
        </w:rPr>
        <w:t>⁺</w:t>
      </w:r>
      <w:r w:rsidRPr="00FD073D">
        <w:rPr>
          <w:rFonts w:ascii="Arial" w:hAnsi="Arial" w:cs="Arial"/>
        </w:rPr>
        <w:t>, Mg²</w:t>
      </w:r>
      <w:r w:rsidRPr="00FD073D">
        <w:rPr>
          <w:rFonts w:ascii="Cambria Math" w:hAnsi="Cambria Math" w:cs="Cambria Math"/>
        </w:rPr>
        <w:t>⁺</w:t>
      </w:r>
      <w:r w:rsidRPr="00FD073D">
        <w:rPr>
          <w:rFonts w:ascii="Arial" w:hAnsi="Arial" w:cs="Arial"/>
        </w:rPr>
        <w:t xml:space="preserve">) promote aggregation through charge screening and bridging, accelerating sedimentation (French et al., 2009; </w:t>
      </w:r>
      <w:proofErr w:type="spellStart"/>
      <w:r w:rsidRPr="00FD073D">
        <w:rPr>
          <w:rFonts w:ascii="Arial" w:hAnsi="Arial" w:cs="Arial"/>
        </w:rPr>
        <w:t>Erhayem</w:t>
      </w:r>
      <w:proofErr w:type="spellEnd"/>
      <w:r w:rsidRPr="00FD073D">
        <w:rPr>
          <w:rFonts w:ascii="Arial" w:hAnsi="Arial" w:cs="Arial"/>
        </w:rPr>
        <w:t xml:space="preserve"> &amp; Sohn, 2014). Dissolved organic matter (humic acids, fulvic acids) adsorbs onto nanoparticle surfaces, providing steric stabilization and reducing aggregation (Gao et al., 2012).</w:t>
      </w:r>
    </w:p>
    <w:p w14:paraId="717BD6B9" w14:textId="77777777" w:rsidR="00FD073D" w:rsidRPr="00FD073D" w:rsidRDefault="00FD073D" w:rsidP="00FD073D">
      <w:pPr>
        <w:pStyle w:val="Body"/>
        <w:rPr>
          <w:rFonts w:ascii="Arial" w:hAnsi="Arial" w:cs="Arial"/>
        </w:rPr>
      </w:pPr>
      <w:r w:rsidRPr="00FD073D">
        <w:rPr>
          <w:rFonts w:ascii="Arial" w:hAnsi="Arial" w:cs="Arial"/>
          <w:b/>
          <w:bCs/>
        </w:rPr>
        <w:t>Persistence and Degradation:</w:t>
      </w:r>
      <w:r w:rsidRPr="00FD073D">
        <w:rPr>
          <w:rFonts w:ascii="Arial" w:hAnsi="Arial" w:cs="Arial"/>
        </w:rPr>
        <w:t> Biodegradable polymeric nanocarriers (chitosan, PLGA, alginate) undergo enzymatic and hydrolytic degradation with half-lives of 2–12 weeks in soil, producing non-toxic monomers (Koppolu &amp; Zaharoff, 2013; Kumari et al., 2010). Non-biodegradable materials (mesoporous silica, carbon nanotubes) persist for months to years, raising concerns about long-term accumulation effects (Judy et al., 2019; Kah et al., 2018).</w:t>
      </w:r>
    </w:p>
    <w:p w14:paraId="36E975E9" w14:textId="77777777" w:rsidR="00FD073D" w:rsidRPr="00FD073D" w:rsidRDefault="00FD073D" w:rsidP="00FD073D">
      <w:pPr>
        <w:pStyle w:val="Body"/>
        <w:spacing w:after="0"/>
        <w:rPr>
          <w:rFonts w:ascii="Arial" w:hAnsi="Arial" w:cs="Arial"/>
          <w:b/>
          <w:bCs/>
        </w:rPr>
      </w:pPr>
      <w:r w:rsidRPr="00FD073D">
        <w:rPr>
          <w:rFonts w:ascii="Arial" w:hAnsi="Arial" w:cs="Arial"/>
          <w:b/>
          <w:bCs/>
        </w:rPr>
        <w:t>5.2 Ecotoxicological Effects on Non-Target Organisms</w:t>
      </w:r>
    </w:p>
    <w:p w14:paraId="355D4B7B" w14:textId="77777777" w:rsidR="00FD073D" w:rsidRDefault="00FD073D" w:rsidP="00FD073D">
      <w:pPr>
        <w:pStyle w:val="Body"/>
        <w:spacing w:after="0"/>
        <w:rPr>
          <w:rFonts w:ascii="Arial" w:hAnsi="Arial" w:cs="Arial"/>
        </w:rPr>
      </w:pPr>
      <w:r w:rsidRPr="00FD073D">
        <w:rPr>
          <w:rFonts w:ascii="Arial" w:hAnsi="Arial" w:cs="Arial"/>
        </w:rPr>
        <w:t>Comprehensive toxicity assessment across trophic levels is essential for ecological risk evaluation (Judy et al., 2019; Holden et al., 2016).</w:t>
      </w:r>
    </w:p>
    <w:p w14:paraId="7BBFE258" w14:textId="77777777" w:rsidR="00CE6425" w:rsidRPr="00FD073D" w:rsidRDefault="00CE6425" w:rsidP="00FD073D">
      <w:pPr>
        <w:pStyle w:val="Body"/>
        <w:spacing w:after="0"/>
        <w:rPr>
          <w:rFonts w:ascii="Arial" w:hAnsi="Arial" w:cs="Arial"/>
        </w:rPr>
      </w:pPr>
    </w:p>
    <w:p w14:paraId="57256D5F" w14:textId="77777777" w:rsidR="00FD073D" w:rsidRPr="00FD073D" w:rsidRDefault="00FD073D" w:rsidP="00FD073D">
      <w:pPr>
        <w:pStyle w:val="Body"/>
        <w:rPr>
          <w:rFonts w:ascii="Arial" w:hAnsi="Arial" w:cs="Arial"/>
        </w:rPr>
      </w:pPr>
      <w:r w:rsidRPr="00FD073D">
        <w:rPr>
          <w:rFonts w:ascii="Arial" w:hAnsi="Arial" w:cs="Arial"/>
          <w:b/>
          <w:bCs/>
        </w:rPr>
        <w:t>Soil Microorganisms:</w:t>
      </w:r>
      <w:r w:rsidRPr="00FD073D">
        <w:rPr>
          <w:rFonts w:ascii="Arial" w:hAnsi="Arial" w:cs="Arial"/>
        </w:rPr>
        <w:t xml:space="preserve"> Metal oxide nanoparticles exhibit dose-dependent toxicity to soil bacteria and fungi at concentrations &gt;100 mg/kg soil (Ge et al., 2011; </w:t>
      </w:r>
      <w:proofErr w:type="spellStart"/>
      <w:r w:rsidRPr="00FD073D">
        <w:rPr>
          <w:rFonts w:ascii="Arial" w:hAnsi="Arial" w:cs="Arial"/>
        </w:rPr>
        <w:t>Simonin</w:t>
      </w:r>
      <w:proofErr w:type="spellEnd"/>
      <w:r w:rsidRPr="00FD073D">
        <w:rPr>
          <w:rFonts w:ascii="Arial" w:hAnsi="Arial" w:cs="Arial"/>
        </w:rPr>
        <w:t xml:space="preserve"> &amp; </w:t>
      </w:r>
      <w:proofErr w:type="spellStart"/>
      <w:r w:rsidRPr="00FD073D">
        <w:rPr>
          <w:rFonts w:ascii="Arial" w:hAnsi="Arial" w:cs="Arial"/>
        </w:rPr>
        <w:t>Richaume</w:t>
      </w:r>
      <w:proofErr w:type="spellEnd"/>
      <w:r w:rsidRPr="00FD073D">
        <w:rPr>
          <w:rFonts w:ascii="Arial" w:hAnsi="Arial" w:cs="Arial"/>
        </w:rPr>
        <w:t xml:space="preserve">, 2015). </w:t>
      </w:r>
      <w:proofErr w:type="spellStart"/>
      <w:r w:rsidRPr="00FD073D">
        <w:rPr>
          <w:rFonts w:ascii="Arial" w:hAnsi="Arial" w:cs="Arial"/>
        </w:rPr>
        <w:t>ZnO</w:t>
      </w:r>
      <w:proofErr w:type="spellEnd"/>
      <w:r w:rsidRPr="00FD073D">
        <w:rPr>
          <w:rFonts w:ascii="Arial" w:hAnsi="Arial" w:cs="Arial"/>
        </w:rPr>
        <w:t xml:space="preserve">-NPs (100–1000 mg/kg) reduce bacterial diversity by 15–40% and inhibit nitrification rates by 20–60%, potentially disrupting nitrogen cycling (Ge et al., 2012; Kumar et al., 2011). However, field-relevant concentrations (&lt;50 mg/kg) show minimal impacts on microbial community structure and soil enzyme activities (Judy et al., 2015; Cao et al., 2017). </w:t>
      </w:r>
      <w:proofErr w:type="spellStart"/>
      <w:r w:rsidRPr="00FD073D">
        <w:rPr>
          <w:rFonts w:ascii="Arial" w:hAnsi="Arial" w:cs="Arial"/>
        </w:rPr>
        <w:t>CuO</w:t>
      </w:r>
      <w:proofErr w:type="spellEnd"/>
      <w:r w:rsidRPr="00FD073D">
        <w:rPr>
          <w:rFonts w:ascii="Arial" w:hAnsi="Arial" w:cs="Arial"/>
        </w:rPr>
        <w:t xml:space="preserve">-NPs demonstrate higher toxicity than </w:t>
      </w:r>
      <w:proofErr w:type="spellStart"/>
      <w:r w:rsidRPr="00FD073D">
        <w:rPr>
          <w:rFonts w:ascii="Arial" w:hAnsi="Arial" w:cs="Arial"/>
        </w:rPr>
        <w:t>ZnO</w:t>
      </w:r>
      <w:proofErr w:type="spellEnd"/>
      <w:r w:rsidRPr="00FD073D">
        <w:rPr>
          <w:rFonts w:ascii="Arial" w:hAnsi="Arial" w:cs="Arial"/>
        </w:rPr>
        <w:t xml:space="preserve">-NPs, with significant microbial community shifts at 50–200 mg/kg (Moll et al., 2016). </w:t>
      </w:r>
      <w:proofErr w:type="spellStart"/>
      <w:r w:rsidRPr="00FD073D">
        <w:rPr>
          <w:rFonts w:ascii="Arial" w:hAnsi="Arial" w:cs="Arial"/>
        </w:rPr>
        <w:t>AgNPs</w:t>
      </w:r>
      <w:proofErr w:type="spellEnd"/>
      <w:r w:rsidRPr="00FD073D">
        <w:rPr>
          <w:rFonts w:ascii="Arial" w:hAnsi="Arial" w:cs="Arial"/>
        </w:rPr>
        <w:t xml:space="preserve"> exhibit the highest antimicrobial potency, causing 30–70% reductions in microbial biomass at 10–50 mg/kg, though sulfidation in anaerobic zones mitigates toxicity (Colman et al., 2013; Whitley et al., 2013).</w:t>
      </w:r>
    </w:p>
    <w:p w14:paraId="51E1BE7C" w14:textId="4219A461" w:rsidR="00FD073D" w:rsidRPr="00FD073D" w:rsidRDefault="00FD073D" w:rsidP="00FD073D">
      <w:pPr>
        <w:pStyle w:val="Body"/>
        <w:rPr>
          <w:rFonts w:ascii="Arial" w:hAnsi="Arial" w:cs="Arial"/>
        </w:rPr>
      </w:pPr>
      <w:r w:rsidRPr="00FD073D">
        <w:rPr>
          <w:rFonts w:ascii="Arial" w:hAnsi="Arial" w:cs="Arial"/>
          <w:b/>
          <w:bCs/>
        </w:rPr>
        <w:t>Aquatic Organisms:</w:t>
      </w:r>
      <w:r w:rsidRPr="00FD073D">
        <w:rPr>
          <w:rFonts w:ascii="Arial" w:hAnsi="Arial" w:cs="Arial"/>
        </w:rPr>
        <w:t> Nanoparticle toxicity to aquatic invertebrates (</w:t>
      </w:r>
      <w:r w:rsidRPr="00FD073D">
        <w:rPr>
          <w:rFonts w:ascii="Arial" w:hAnsi="Arial" w:cs="Arial"/>
          <w:i/>
          <w:iCs/>
        </w:rPr>
        <w:t>Daphnia magna</w:t>
      </w:r>
      <w:r w:rsidRPr="00FD073D">
        <w:rPr>
          <w:rFonts w:ascii="Arial" w:hAnsi="Arial" w:cs="Arial"/>
        </w:rPr>
        <w:t xml:space="preserve">, freshwater snails) and fish varies widely depending on particle type, size, and coating (Bondarenko et al., 2013). </w:t>
      </w:r>
      <w:proofErr w:type="spellStart"/>
      <w:r w:rsidRPr="00FD073D">
        <w:rPr>
          <w:rFonts w:ascii="Arial" w:hAnsi="Arial" w:cs="Arial"/>
        </w:rPr>
        <w:t>AgNPs</w:t>
      </w:r>
      <w:proofErr w:type="spellEnd"/>
      <w:r w:rsidRPr="00FD073D">
        <w:rPr>
          <w:rFonts w:ascii="Arial" w:hAnsi="Arial" w:cs="Arial"/>
        </w:rPr>
        <w:t xml:space="preserve"> demonstrate highest acute toxicity with LC</w:t>
      </w:r>
      <w:r w:rsidRPr="00FD073D">
        <w:rPr>
          <w:rFonts w:ascii="Cambria Math" w:hAnsi="Cambria Math" w:cs="Cambria Math"/>
        </w:rPr>
        <w:t>₅₀</w:t>
      </w:r>
      <w:r w:rsidRPr="00FD073D">
        <w:rPr>
          <w:rFonts w:ascii="Arial" w:hAnsi="Arial" w:cs="Arial"/>
        </w:rPr>
        <w:t xml:space="preserve"> values of 1–50 </w:t>
      </w:r>
      <w:proofErr w:type="spellStart"/>
      <w:r w:rsidRPr="00FD073D">
        <w:rPr>
          <w:rFonts w:ascii="Arial" w:hAnsi="Arial" w:cs="Arial"/>
        </w:rPr>
        <w:t>μg</w:t>
      </w:r>
      <w:proofErr w:type="spellEnd"/>
      <w:r w:rsidRPr="00FD073D">
        <w:rPr>
          <w:rFonts w:ascii="Arial" w:hAnsi="Arial" w:cs="Arial"/>
        </w:rPr>
        <w:t>/L for </w:t>
      </w:r>
      <w:r w:rsidRPr="00FD073D">
        <w:rPr>
          <w:rFonts w:ascii="Arial" w:hAnsi="Arial" w:cs="Arial"/>
          <w:i/>
          <w:iCs/>
        </w:rPr>
        <w:t>D. magna</w:t>
      </w:r>
      <w:r w:rsidRPr="00FD073D">
        <w:rPr>
          <w:rFonts w:ascii="Arial" w:hAnsi="Arial" w:cs="Arial"/>
        </w:rPr>
        <w:t xml:space="preserve"> and 1–10 </w:t>
      </w:r>
      <w:proofErr w:type="spellStart"/>
      <w:r w:rsidRPr="00FD073D">
        <w:rPr>
          <w:rFonts w:ascii="Arial" w:hAnsi="Arial" w:cs="Arial"/>
        </w:rPr>
        <w:t>μg</w:t>
      </w:r>
      <w:proofErr w:type="spellEnd"/>
      <w:r w:rsidRPr="00FD073D">
        <w:rPr>
          <w:rFonts w:ascii="Arial" w:hAnsi="Arial" w:cs="Arial"/>
        </w:rPr>
        <w:t>/L for fish embryos, attributed to Ag</w:t>
      </w:r>
      <w:r w:rsidRPr="00FD073D">
        <w:rPr>
          <w:rFonts w:ascii="Cambria Math" w:hAnsi="Cambria Math" w:cs="Cambria Math"/>
        </w:rPr>
        <w:t>⁺</w:t>
      </w:r>
      <w:r w:rsidRPr="00FD073D">
        <w:rPr>
          <w:rFonts w:ascii="Arial" w:hAnsi="Arial" w:cs="Arial"/>
        </w:rPr>
        <w:t xml:space="preserve"> ion release and oxidative stress. </w:t>
      </w:r>
      <w:proofErr w:type="spellStart"/>
      <w:r w:rsidRPr="00FD073D">
        <w:rPr>
          <w:rFonts w:ascii="Arial" w:hAnsi="Arial" w:cs="Arial"/>
        </w:rPr>
        <w:t>ZnO</w:t>
      </w:r>
      <w:proofErr w:type="spellEnd"/>
      <w:r w:rsidRPr="00FD073D">
        <w:rPr>
          <w:rFonts w:ascii="Arial" w:hAnsi="Arial" w:cs="Arial"/>
        </w:rPr>
        <w:t>-NPs exhibit moderate toxicity (LC</w:t>
      </w:r>
      <w:r w:rsidRPr="00FD073D">
        <w:rPr>
          <w:rFonts w:ascii="Cambria Math" w:hAnsi="Cambria Math" w:cs="Cambria Math"/>
        </w:rPr>
        <w:t>₅₀</w:t>
      </w:r>
      <w:r w:rsidRPr="00FD073D">
        <w:rPr>
          <w:rFonts w:ascii="Arial" w:hAnsi="Arial" w:cs="Arial"/>
        </w:rPr>
        <w:t xml:space="preserve"> 1–10 mg/L) primarily through Zn²</w:t>
      </w:r>
      <w:r w:rsidRPr="00FD073D">
        <w:rPr>
          <w:rFonts w:ascii="Cambria Math" w:hAnsi="Cambria Math" w:cs="Cambria Math"/>
        </w:rPr>
        <w:t>⁺</w:t>
      </w:r>
      <w:r w:rsidRPr="00FD073D">
        <w:rPr>
          <w:rFonts w:ascii="Arial" w:hAnsi="Arial" w:cs="Arial"/>
        </w:rPr>
        <w:t xml:space="preserve"> ion release. </w:t>
      </w:r>
      <w:proofErr w:type="spellStart"/>
      <w:r w:rsidRPr="00FD073D">
        <w:rPr>
          <w:rFonts w:ascii="Arial" w:hAnsi="Arial" w:cs="Arial"/>
        </w:rPr>
        <w:t>TiO</w:t>
      </w:r>
      <w:proofErr w:type="spellEnd"/>
      <w:r w:rsidRPr="00FD073D">
        <w:rPr>
          <w:rFonts w:ascii="Cambria Math" w:hAnsi="Cambria Math" w:cs="Cambria Math"/>
        </w:rPr>
        <w:t>₂</w:t>
      </w:r>
      <w:r w:rsidRPr="00FD073D">
        <w:rPr>
          <w:rFonts w:ascii="Arial" w:hAnsi="Arial" w:cs="Arial"/>
        </w:rPr>
        <w:t>-NPs show low acute toxicity (LC</w:t>
      </w:r>
      <w:r w:rsidRPr="00FD073D">
        <w:rPr>
          <w:rFonts w:ascii="Cambria Math" w:hAnsi="Cambria Math" w:cs="Cambria Math"/>
        </w:rPr>
        <w:t>₅₀</w:t>
      </w:r>
      <w:r w:rsidRPr="00FD073D">
        <w:rPr>
          <w:rFonts w:ascii="Arial" w:hAnsi="Arial" w:cs="Arial"/>
        </w:rPr>
        <w:t xml:space="preserve"> &gt;100 mg/L) but may cause chronic effects through physical gill damage and oxidative stress at sub-lethal concentrations. Chronic exposure studies reveal sublethal effects including reduced growth, reproduction impairment, and behavioral changes at environmentally relevant concentrations (0.1–10 </w:t>
      </w:r>
      <w:proofErr w:type="spellStart"/>
      <w:r w:rsidRPr="00FD073D">
        <w:rPr>
          <w:rFonts w:ascii="Arial" w:hAnsi="Arial" w:cs="Arial"/>
        </w:rPr>
        <w:t>μg</w:t>
      </w:r>
      <w:proofErr w:type="spellEnd"/>
      <w:r w:rsidRPr="00FD073D">
        <w:rPr>
          <w:rFonts w:ascii="Arial" w:hAnsi="Arial" w:cs="Arial"/>
        </w:rPr>
        <w:t xml:space="preserve">/L for </w:t>
      </w:r>
      <w:proofErr w:type="spellStart"/>
      <w:r w:rsidRPr="00FD073D">
        <w:rPr>
          <w:rFonts w:ascii="Arial" w:hAnsi="Arial" w:cs="Arial"/>
        </w:rPr>
        <w:t>AgNPs</w:t>
      </w:r>
      <w:proofErr w:type="spellEnd"/>
      <w:r w:rsidRPr="00FD073D">
        <w:rPr>
          <w:rFonts w:ascii="Arial" w:hAnsi="Arial" w:cs="Arial"/>
        </w:rPr>
        <w:t xml:space="preserve">, 0.1–1 mg/L for </w:t>
      </w:r>
      <w:proofErr w:type="spellStart"/>
      <w:r w:rsidRPr="00FD073D">
        <w:rPr>
          <w:rFonts w:ascii="Arial" w:hAnsi="Arial" w:cs="Arial"/>
        </w:rPr>
        <w:t>ZnO</w:t>
      </w:r>
      <w:proofErr w:type="spellEnd"/>
      <w:r w:rsidRPr="00FD073D">
        <w:rPr>
          <w:rFonts w:ascii="Arial" w:hAnsi="Arial" w:cs="Arial"/>
        </w:rPr>
        <w:t>-NPs)</w:t>
      </w:r>
      <w:r w:rsidR="00CE6425">
        <w:rPr>
          <w:rFonts w:ascii="Arial" w:hAnsi="Arial" w:cs="Arial"/>
        </w:rPr>
        <w:t xml:space="preserve"> </w:t>
      </w:r>
      <w:proofErr w:type="gramStart"/>
      <w:r w:rsidR="00CE6425">
        <w:rPr>
          <w:rFonts w:ascii="Arial" w:hAnsi="Arial" w:cs="Arial"/>
        </w:rPr>
        <w:t>(</w:t>
      </w:r>
      <w:r w:rsidRPr="00FD073D">
        <w:rPr>
          <w:rFonts w:ascii="Arial" w:hAnsi="Arial" w:cs="Arial"/>
        </w:rPr>
        <w:t xml:space="preserve"> Zhao</w:t>
      </w:r>
      <w:proofErr w:type="gramEnd"/>
      <w:r w:rsidRPr="00FD073D">
        <w:rPr>
          <w:rFonts w:ascii="Arial" w:hAnsi="Arial" w:cs="Arial"/>
        </w:rPr>
        <w:t xml:space="preserve"> &amp; Wang, 2012).</w:t>
      </w:r>
    </w:p>
    <w:p w14:paraId="5C55873E" w14:textId="341B9540" w:rsidR="00FD073D" w:rsidRPr="00FD073D" w:rsidRDefault="00FD073D" w:rsidP="00FD073D">
      <w:pPr>
        <w:pStyle w:val="Body"/>
        <w:rPr>
          <w:rFonts w:ascii="Arial" w:hAnsi="Arial" w:cs="Arial"/>
        </w:rPr>
      </w:pPr>
      <w:r w:rsidRPr="00FD073D">
        <w:rPr>
          <w:rFonts w:ascii="Arial" w:hAnsi="Arial" w:cs="Arial"/>
          <w:b/>
          <w:bCs/>
        </w:rPr>
        <w:t>Terrestrial Invertebrates:</w:t>
      </w:r>
      <w:r w:rsidRPr="00FD073D">
        <w:rPr>
          <w:rFonts w:ascii="Arial" w:hAnsi="Arial" w:cs="Arial"/>
        </w:rPr>
        <w:t> Earthworms (</w:t>
      </w:r>
      <w:r w:rsidRPr="00FD073D">
        <w:rPr>
          <w:rFonts w:ascii="Arial" w:hAnsi="Arial" w:cs="Arial"/>
          <w:i/>
          <w:iCs/>
        </w:rPr>
        <w:t xml:space="preserve">Eisenia </w:t>
      </w:r>
      <w:proofErr w:type="spellStart"/>
      <w:r w:rsidRPr="00FD073D">
        <w:rPr>
          <w:rFonts w:ascii="Arial" w:hAnsi="Arial" w:cs="Arial"/>
          <w:i/>
          <w:iCs/>
        </w:rPr>
        <w:t>fetida</w:t>
      </w:r>
      <w:proofErr w:type="spellEnd"/>
      <w:r w:rsidRPr="00FD073D">
        <w:rPr>
          <w:rFonts w:ascii="Arial" w:hAnsi="Arial" w:cs="Arial"/>
        </w:rPr>
        <w:t>, </w:t>
      </w:r>
      <w:proofErr w:type="spellStart"/>
      <w:r w:rsidRPr="00FD073D">
        <w:rPr>
          <w:rFonts w:ascii="Arial" w:hAnsi="Arial" w:cs="Arial"/>
          <w:i/>
          <w:iCs/>
        </w:rPr>
        <w:t>Lumbricus</w:t>
      </w:r>
      <w:proofErr w:type="spellEnd"/>
      <w:r w:rsidRPr="00FD073D">
        <w:rPr>
          <w:rFonts w:ascii="Arial" w:hAnsi="Arial" w:cs="Arial"/>
          <w:i/>
          <w:iCs/>
        </w:rPr>
        <w:t xml:space="preserve"> </w:t>
      </w:r>
      <w:proofErr w:type="spellStart"/>
      <w:r w:rsidRPr="00FD073D">
        <w:rPr>
          <w:rFonts w:ascii="Arial" w:hAnsi="Arial" w:cs="Arial"/>
          <w:i/>
          <w:iCs/>
        </w:rPr>
        <w:t>terrestris</w:t>
      </w:r>
      <w:proofErr w:type="spellEnd"/>
      <w:r w:rsidRPr="00FD073D">
        <w:rPr>
          <w:rFonts w:ascii="Arial" w:hAnsi="Arial" w:cs="Arial"/>
        </w:rPr>
        <w:t xml:space="preserve">) serve as sentinel organisms for soil nanoparticle toxicity assessment. </w:t>
      </w:r>
      <w:proofErr w:type="spellStart"/>
      <w:r w:rsidRPr="00FD073D">
        <w:rPr>
          <w:rFonts w:ascii="Arial" w:hAnsi="Arial" w:cs="Arial"/>
        </w:rPr>
        <w:t>AgNPs</w:t>
      </w:r>
      <w:proofErr w:type="spellEnd"/>
      <w:r w:rsidRPr="00FD073D">
        <w:rPr>
          <w:rFonts w:ascii="Arial" w:hAnsi="Arial" w:cs="Arial"/>
        </w:rPr>
        <w:t xml:space="preserve"> demonstrate highest toxicity with LC</w:t>
      </w:r>
      <w:r w:rsidRPr="00FD073D">
        <w:rPr>
          <w:rFonts w:ascii="Cambria Math" w:hAnsi="Cambria Math" w:cs="Cambria Math"/>
        </w:rPr>
        <w:t>₅₀</w:t>
      </w:r>
      <w:r w:rsidRPr="00FD073D">
        <w:rPr>
          <w:rFonts w:ascii="Arial" w:hAnsi="Arial" w:cs="Arial"/>
        </w:rPr>
        <w:t xml:space="preserve"> values of 10–100 mg/kg soil, causing oxidative stress, DNA damage, and reproductive impairment (Shoults-Wilson et al., 2011; Schlich et al., 2013). </w:t>
      </w:r>
      <w:proofErr w:type="spellStart"/>
      <w:r w:rsidRPr="00FD073D">
        <w:rPr>
          <w:rFonts w:ascii="Arial" w:hAnsi="Arial" w:cs="Arial"/>
        </w:rPr>
        <w:t>ZnO</w:t>
      </w:r>
      <w:proofErr w:type="spellEnd"/>
      <w:r w:rsidRPr="00FD073D">
        <w:rPr>
          <w:rFonts w:ascii="Arial" w:hAnsi="Arial" w:cs="Arial"/>
        </w:rPr>
        <w:t xml:space="preserve">-NPs and </w:t>
      </w:r>
      <w:proofErr w:type="spellStart"/>
      <w:r w:rsidRPr="00FD073D">
        <w:rPr>
          <w:rFonts w:ascii="Arial" w:hAnsi="Arial" w:cs="Arial"/>
        </w:rPr>
        <w:t>CuO</w:t>
      </w:r>
      <w:proofErr w:type="spellEnd"/>
      <w:r w:rsidRPr="00FD073D">
        <w:rPr>
          <w:rFonts w:ascii="Arial" w:hAnsi="Arial" w:cs="Arial"/>
        </w:rPr>
        <w:t>-NPs exhibit moderate toxicity (LC</w:t>
      </w:r>
      <w:r w:rsidRPr="00FD073D">
        <w:rPr>
          <w:rFonts w:ascii="Cambria Math" w:hAnsi="Cambria Math" w:cs="Cambria Math"/>
        </w:rPr>
        <w:t>₅₀</w:t>
      </w:r>
      <w:r w:rsidRPr="00FD073D">
        <w:rPr>
          <w:rFonts w:ascii="Arial" w:hAnsi="Arial" w:cs="Arial"/>
        </w:rPr>
        <w:t xml:space="preserve"> 100–1000 mg/kg) primarily through metal ion release. Sublethal effects including reduced growth, burrowing activity, and reproduction occur at 10–100 mg/kg for metal-based nanoparticles (Van der Ploeg et al., 2011; Hooper et al., 2011). Importantly, field application rates of </w:t>
      </w:r>
      <w:proofErr w:type="spellStart"/>
      <w:r w:rsidRPr="00FD073D">
        <w:rPr>
          <w:rFonts w:ascii="Arial" w:hAnsi="Arial" w:cs="Arial"/>
        </w:rPr>
        <w:t>nanoformulated</w:t>
      </w:r>
      <w:proofErr w:type="spellEnd"/>
      <w:r w:rsidRPr="00FD073D">
        <w:rPr>
          <w:rFonts w:ascii="Arial" w:hAnsi="Arial" w:cs="Arial"/>
        </w:rPr>
        <w:t xml:space="preserve"> pesticides typically result in soil concentrations &lt;10 mg/kg, well below acute toxicity thresholds (Kah et al., 2018).</w:t>
      </w:r>
    </w:p>
    <w:p w14:paraId="58323A73" w14:textId="2139879A" w:rsidR="00FD073D" w:rsidRPr="00FD073D" w:rsidRDefault="00FD073D" w:rsidP="00FD073D">
      <w:pPr>
        <w:pStyle w:val="Body"/>
        <w:rPr>
          <w:rFonts w:ascii="Arial" w:hAnsi="Arial" w:cs="Arial"/>
        </w:rPr>
      </w:pPr>
      <w:r w:rsidRPr="00FD073D">
        <w:rPr>
          <w:rFonts w:ascii="Arial" w:hAnsi="Arial" w:cs="Arial"/>
          <w:b/>
          <w:bCs/>
        </w:rPr>
        <w:t>Pollinators:</w:t>
      </w:r>
      <w:r w:rsidRPr="00FD073D">
        <w:rPr>
          <w:rFonts w:ascii="Arial" w:hAnsi="Arial" w:cs="Arial"/>
        </w:rPr>
        <w:t> Honeybees (</w:t>
      </w:r>
      <w:r w:rsidRPr="00FD073D">
        <w:rPr>
          <w:rFonts w:ascii="Arial" w:hAnsi="Arial" w:cs="Arial"/>
          <w:i/>
          <w:iCs/>
        </w:rPr>
        <w:t>Apis mellifera</w:t>
      </w:r>
      <w:r w:rsidRPr="00FD073D">
        <w:rPr>
          <w:rFonts w:ascii="Arial" w:hAnsi="Arial" w:cs="Arial"/>
        </w:rPr>
        <w:t xml:space="preserve">) and other pollinators face potential exposure to nanoparticles through contaminated pollen, nectar, and water (Milivojević et al., 2015). </w:t>
      </w:r>
      <w:proofErr w:type="spellStart"/>
      <w:r w:rsidRPr="00FD073D">
        <w:rPr>
          <w:rFonts w:ascii="Arial" w:hAnsi="Arial" w:cs="Arial"/>
        </w:rPr>
        <w:t>TiO</w:t>
      </w:r>
      <w:proofErr w:type="spellEnd"/>
      <w:r w:rsidRPr="00FD073D">
        <w:rPr>
          <w:rFonts w:ascii="Cambria Math" w:hAnsi="Cambria Math" w:cs="Cambria Math"/>
        </w:rPr>
        <w:t>₂</w:t>
      </w:r>
      <w:r w:rsidRPr="00FD073D">
        <w:rPr>
          <w:rFonts w:ascii="Arial" w:hAnsi="Arial" w:cs="Arial"/>
        </w:rPr>
        <w:t xml:space="preserve">-NPs show minimal acute toxicity to honeybees at concentrations up to 10,000 mg/kg diet, with no effects on survival or behavior (Milivojević et al., 2015). </w:t>
      </w:r>
      <w:proofErr w:type="spellStart"/>
      <w:r w:rsidRPr="00FD073D">
        <w:rPr>
          <w:rFonts w:ascii="Arial" w:hAnsi="Arial" w:cs="Arial"/>
        </w:rPr>
        <w:t>AgNPs</w:t>
      </w:r>
      <w:proofErr w:type="spellEnd"/>
      <w:r w:rsidRPr="00FD073D">
        <w:rPr>
          <w:rFonts w:ascii="Arial" w:hAnsi="Arial" w:cs="Arial"/>
        </w:rPr>
        <w:t xml:space="preserve"> demonstrate dose-dependent toxicity with LC</w:t>
      </w:r>
      <w:r w:rsidRPr="00FD073D">
        <w:rPr>
          <w:rFonts w:ascii="Cambria Math" w:hAnsi="Cambria Math" w:cs="Cambria Math"/>
        </w:rPr>
        <w:t>₅₀</w:t>
      </w:r>
      <w:r w:rsidRPr="00FD073D">
        <w:rPr>
          <w:rFonts w:ascii="Arial" w:hAnsi="Arial" w:cs="Arial"/>
        </w:rPr>
        <w:t xml:space="preserve"> values of 10–100 mg/kg diet, causing oxidative stress and immune suppression at sub-lethal concentrations (Gajda et al., 2020). </w:t>
      </w:r>
      <w:proofErr w:type="spellStart"/>
      <w:r w:rsidRPr="00FD073D">
        <w:rPr>
          <w:rFonts w:ascii="Arial" w:hAnsi="Arial" w:cs="Arial"/>
        </w:rPr>
        <w:t>ZnO</w:t>
      </w:r>
      <w:proofErr w:type="spellEnd"/>
      <w:r w:rsidRPr="00FD073D">
        <w:rPr>
          <w:rFonts w:ascii="Arial" w:hAnsi="Arial" w:cs="Arial"/>
        </w:rPr>
        <w:t>-NPs exhibit moderate toxicity (LC</w:t>
      </w:r>
      <w:r w:rsidRPr="00FD073D">
        <w:rPr>
          <w:rFonts w:ascii="Cambria Math" w:hAnsi="Cambria Math" w:cs="Cambria Math"/>
        </w:rPr>
        <w:t>₅₀</w:t>
      </w:r>
      <w:r w:rsidRPr="00FD073D">
        <w:rPr>
          <w:rFonts w:ascii="Arial" w:hAnsi="Arial" w:cs="Arial"/>
        </w:rPr>
        <w:t xml:space="preserve"> 100–1000 mg/kg) with chronic exposure causing reduced longevity and learning impairment (Hladun et al., 2013). </w:t>
      </w:r>
      <w:proofErr w:type="spellStart"/>
      <w:r w:rsidRPr="00FD073D">
        <w:rPr>
          <w:rFonts w:ascii="Arial" w:hAnsi="Arial" w:cs="Arial"/>
        </w:rPr>
        <w:t>Nanoformulated</w:t>
      </w:r>
      <w:proofErr w:type="spellEnd"/>
      <w:r w:rsidRPr="00FD073D">
        <w:rPr>
          <w:rFonts w:ascii="Arial" w:hAnsi="Arial" w:cs="Arial"/>
        </w:rPr>
        <w:t xml:space="preserve"> pesticides show reduced bee toxicity compared to conventional formulations due to controlled release and reduced environmental concentrations (</w:t>
      </w:r>
      <w:proofErr w:type="spellStart"/>
      <w:r w:rsidRPr="00FD073D">
        <w:rPr>
          <w:rFonts w:ascii="Arial" w:hAnsi="Arial" w:cs="Arial"/>
        </w:rPr>
        <w:t>Memarizadeh</w:t>
      </w:r>
      <w:proofErr w:type="spellEnd"/>
      <w:r w:rsidRPr="00FD073D">
        <w:rPr>
          <w:rFonts w:ascii="Arial" w:hAnsi="Arial" w:cs="Arial"/>
        </w:rPr>
        <w:t xml:space="preserve"> et al., 2014).</w:t>
      </w:r>
    </w:p>
    <w:p w14:paraId="19F94152" w14:textId="40860CD1" w:rsidR="00FD073D" w:rsidRPr="00FD073D" w:rsidRDefault="00FD073D" w:rsidP="00FD073D">
      <w:pPr>
        <w:pStyle w:val="Body"/>
        <w:rPr>
          <w:rFonts w:ascii="Arial" w:hAnsi="Arial" w:cs="Arial"/>
        </w:rPr>
      </w:pPr>
      <w:r w:rsidRPr="00FD073D">
        <w:rPr>
          <w:rFonts w:ascii="Arial" w:hAnsi="Arial" w:cs="Arial"/>
          <w:b/>
          <w:bCs/>
        </w:rPr>
        <w:t>Beneficial Insects:</w:t>
      </w:r>
      <w:r w:rsidRPr="00FD073D">
        <w:rPr>
          <w:rFonts w:ascii="Arial" w:hAnsi="Arial" w:cs="Arial"/>
        </w:rPr>
        <w:t> Parasitoids and predators provide essential biological control services in rice ecosystems</w:t>
      </w:r>
      <w:r w:rsidR="00CE6425">
        <w:rPr>
          <w:rFonts w:ascii="Arial" w:hAnsi="Arial" w:cs="Arial"/>
        </w:rPr>
        <w:t xml:space="preserve">. </w:t>
      </w:r>
      <w:r w:rsidRPr="00FD073D">
        <w:rPr>
          <w:rFonts w:ascii="Arial" w:hAnsi="Arial" w:cs="Arial"/>
        </w:rPr>
        <w:t xml:space="preserve">Limited studies suggest </w:t>
      </w:r>
      <w:proofErr w:type="spellStart"/>
      <w:r w:rsidRPr="00FD073D">
        <w:rPr>
          <w:rFonts w:ascii="Arial" w:hAnsi="Arial" w:cs="Arial"/>
        </w:rPr>
        <w:t>nanoformulated</w:t>
      </w:r>
      <w:proofErr w:type="spellEnd"/>
      <w:r w:rsidRPr="00FD073D">
        <w:rPr>
          <w:rFonts w:ascii="Arial" w:hAnsi="Arial" w:cs="Arial"/>
        </w:rPr>
        <w:t xml:space="preserve"> pesticides exhibit reduced non-target toxicity compared to conventional formulations due </w:t>
      </w:r>
      <w:r w:rsidRPr="00FD073D">
        <w:rPr>
          <w:rFonts w:ascii="Arial" w:hAnsi="Arial" w:cs="Arial"/>
        </w:rPr>
        <w:lastRenderedPageBreak/>
        <w:t>to targeted delivery and lower environmental concentrations (</w:t>
      </w:r>
      <w:proofErr w:type="spellStart"/>
      <w:r w:rsidRPr="00FD073D">
        <w:rPr>
          <w:rFonts w:ascii="Arial" w:hAnsi="Arial" w:cs="Arial"/>
        </w:rPr>
        <w:t>Ghormade</w:t>
      </w:r>
      <w:proofErr w:type="spellEnd"/>
      <w:r w:rsidRPr="00FD073D">
        <w:rPr>
          <w:rFonts w:ascii="Arial" w:hAnsi="Arial" w:cs="Arial"/>
        </w:rPr>
        <w:t xml:space="preserve"> et al., 2011). However, comprehensive risk assessment across diverse beneficial species remains a critical research gap.</w:t>
      </w:r>
    </w:p>
    <w:p w14:paraId="1BBEE6DF" w14:textId="77777777" w:rsidR="00CE6425" w:rsidRDefault="00CE6425" w:rsidP="00FD073D">
      <w:pPr>
        <w:pStyle w:val="Body"/>
        <w:spacing w:after="0"/>
        <w:rPr>
          <w:rFonts w:ascii="Arial" w:hAnsi="Arial" w:cs="Arial"/>
          <w:b/>
          <w:bCs/>
        </w:rPr>
      </w:pPr>
    </w:p>
    <w:p w14:paraId="0A4B9DB7" w14:textId="71A68165" w:rsidR="00FD073D" w:rsidRDefault="00FD073D" w:rsidP="00FD073D">
      <w:pPr>
        <w:pStyle w:val="Body"/>
        <w:spacing w:after="0"/>
        <w:rPr>
          <w:rFonts w:ascii="Arial" w:hAnsi="Arial" w:cs="Arial"/>
          <w:b/>
          <w:bCs/>
        </w:rPr>
      </w:pPr>
      <w:r w:rsidRPr="00FD073D">
        <w:rPr>
          <w:rFonts w:ascii="Arial" w:hAnsi="Arial" w:cs="Arial"/>
          <w:b/>
          <w:bCs/>
        </w:rPr>
        <w:t>5.3 Plant Uptake, Translocation, and Phytotoxicity</w:t>
      </w:r>
    </w:p>
    <w:p w14:paraId="26B74111" w14:textId="77777777" w:rsidR="00CE6425" w:rsidRPr="00FD073D" w:rsidRDefault="00CE6425" w:rsidP="00FD073D">
      <w:pPr>
        <w:pStyle w:val="Body"/>
        <w:spacing w:after="0"/>
        <w:rPr>
          <w:rFonts w:ascii="Arial" w:hAnsi="Arial" w:cs="Arial"/>
          <w:b/>
          <w:bCs/>
        </w:rPr>
      </w:pPr>
    </w:p>
    <w:p w14:paraId="11EE2E6E" w14:textId="3A222031" w:rsidR="00FD073D" w:rsidRPr="00FD073D" w:rsidRDefault="00FD073D" w:rsidP="00FD073D">
      <w:pPr>
        <w:pStyle w:val="Body"/>
        <w:rPr>
          <w:rFonts w:ascii="Arial" w:hAnsi="Arial" w:cs="Arial"/>
        </w:rPr>
      </w:pPr>
      <w:r w:rsidRPr="00FD073D">
        <w:rPr>
          <w:rFonts w:ascii="Arial" w:hAnsi="Arial" w:cs="Arial"/>
          <w:b/>
          <w:bCs/>
        </w:rPr>
        <w:t>Nanoparticle Uptake Mechanisms:</w:t>
      </w:r>
      <w:r w:rsidRPr="00FD073D">
        <w:rPr>
          <w:rFonts w:ascii="Arial" w:hAnsi="Arial" w:cs="Arial"/>
        </w:rPr>
        <w:t xml:space="preserve"> Plants absorb nanoparticles through roots and leaves via multiple pathways including: (1) </w:t>
      </w:r>
      <w:proofErr w:type="spellStart"/>
      <w:r w:rsidRPr="00FD073D">
        <w:rPr>
          <w:rFonts w:ascii="Arial" w:hAnsi="Arial" w:cs="Arial"/>
        </w:rPr>
        <w:t>apoplastic</w:t>
      </w:r>
      <w:proofErr w:type="spellEnd"/>
      <w:r w:rsidRPr="00FD073D">
        <w:rPr>
          <w:rFonts w:ascii="Arial" w:hAnsi="Arial" w:cs="Arial"/>
        </w:rPr>
        <w:t xml:space="preserve"> transport through cell wall pores and intercellular spaces; (2) </w:t>
      </w:r>
      <w:proofErr w:type="spellStart"/>
      <w:r w:rsidRPr="00FD073D">
        <w:rPr>
          <w:rFonts w:ascii="Arial" w:hAnsi="Arial" w:cs="Arial"/>
        </w:rPr>
        <w:t>symplastic</w:t>
      </w:r>
      <w:proofErr w:type="spellEnd"/>
      <w:r w:rsidRPr="00FD073D">
        <w:rPr>
          <w:rFonts w:ascii="Arial" w:hAnsi="Arial" w:cs="Arial"/>
        </w:rPr>
        <w:t xml:space="preserve"> transport following endocytosis or pore-mediated entry; (3) stomatal penetration; and (4) cuticular penetration through wax layer defects (Schwab et al., 2016; Pérez-de-Luque, 2017). Uptake efficiency depends on particle size (optimal 5–50 nm), surface charge (cationic &gt; neutral &gt; anionic), and surface functionalization (Judy et al., 2012).</w:t>
      </w:r>
    </w:p>
    <w:p w14:paraId="7977E73B" w14:textId="55A914BF" w:rsidR="00FD073D" w:rsidRPr="00FD073D" w:rsidRDefault="00FD073D" w:rsidP="00FD073D">
      <w:pPr>
        <w:pStyle w:val="Body"/>
        <w:rPr>
          <w:rFonts w:ascii="Arial" w:hAnsi="Arial" w:cs="Arial"/>
        </w:rPr>
      </w:pPr>
      <w:r w:rsidRPr="00FD073D">
        <w:rPr>
          <w:rFonts w:ascii="Arial" w:hAnsi="Arial" w:cs="Arial"/>
          <w:b/>
          <w:bCs/>
        </w:rPr>
        <w:t>Translocation and Accumulation:</w:t>
      </w:r>
      <w:r w:rsidRPr="00FD073D">
        <w:rPr>
          <w:rFonts w:ascii="Arial" w:hAnsi="Arial" w:cs="Arial"/>
        </w:rPr>
        <w:t xml:space="preserve"> Following root uptake, nanoparticles &lt;20 nm can translocate through xylem and phloem to aerial tissues, while larger particles (&gt;50 nm) remain primarily in roots. </w:t>
      </w:r>
      <w:proofErr w:type="spellStart"/>
      <w:r w:rsidRPr="00FD073D">
        <w:rPr>
          <w:rFonts w:ascii="Arial" w:hAnsi="Arial" w:cs="Arial"/>
        </w:rPr>
        <w:t>TiO</w:t>
      </w:r>
      <w:proofErr w:type="spellEnd"/>
      <w:r w:rsidRPr="00FD073D">
        <w:rPr>
          <w:rFonts w:ascii="Cambria Math" w:hAnsi="Cambria Math" w:cs="Cambria Math"/>
        </w:rPr>
        <w:t>₂</w:t>
      </w:r>
      <w:r w:rsidRPr="00FD073D">
        <w:rPr>
          <w:rFonts w:ascii="Arial" w:hAnsi="Arial" w:cs="Arial"/>
        </w:rPr>
        <w:t xml:space="preserve">-NPs and </w:t>
      </w:r>
      <w:proofErr w:type="spellStart"/>
      <w:r w:rsidRPr="00FD073D">
        <w:rPr>
          <w:rFonts w:ascii="Arial" w:hAnsi="Arial" w:cs="Arial"/>
        </w:rPr>
        <w:t>CeO</w:t>
      </w:r>
      <w:proofErr w:type="spellEnd"/>
      <w:r w:rsidRPr="00FD073D">
        <w:rPr>
          <w:rFonts w:ascii="Cambria Math" w:hAnsi="Cambria Math" w:cs="Cambria Math"/>
        </w:rPr>
        <w:t>₂</w:t>
      </w:r>
      <w:r w:rsidRPr="00FD073D">
        <w:rPr>
          <w:rFonts w:ascii="Arial" w:hAnsi="Arial" w:cs="Arial"/>
        </w:rPr>
        <w:t xml:space="preserve">-NPs demonstrate limited translocation (&lt;5% to shoots), while smaller </w:t>
      </w:r>
      <w:proofErr w:type="spellStart"/>
      <w:r w:rsidRPr="00FD073D">
        <w:rPr>
          <w:rFonts w:ascii="Arial" w:hAnsi="Arial" w:cs="Arial"/>
        </w:rPr>
        <w:t>AgNPs</w:t>
      </w:r>
      <w:proofErr w:type="spellEnd"/>
      <w:r w:rsidRPr="00FD073D">
        <w:rPr>
          <w:rFonts w:ascii="Arial" w:hAnsi="Arial" w:cs="Arial"/>
        </w:rPr>
        <w:t xml:space="preserve"> and quantum dots show 10–30% translocation efficiency (Wang et al., 2012; Hernandez-Viezcas et al., 2013). Metal oxide nanoparticles undergo biotransformation in plants, including dissolution, oxidation/reduction, sulfidation, and biomineralization, altering bioavailability and toxicity (Zhao et al., 2012; </w:t>
      </w:r>
      <w:proofErr w:type="spellStart"/>
      <w:r w:rsidRPr="00FD073D">
        <w:rPr>
          <w:rFonts w:ascii="Arial" w:hAnsi="Arial" w:cs="Arial"/>
        </w:rPr>
        <w:t>Dimkpa</w:t>
      </w:r>
      <w:proofErr w:type="spellEnd"/>
      <w:r w:rsidRPr="00FD073D">
        <w:rPr>
          <w:rFonts w:ascii="Arial" w:hAnsi="Arial" w:cs="Arial"/>
        </w:rPr>
        <w:t xml:space="preserve"> et al., 2012).</w:t>
      </w:r>
    </w:p>
    <w:p w14:paraId="07EEC842" w14:textId="2EEF0BAD" w:rsidR="00FD073D" w:rsidRPr="00FD073D" w:rsidRDefault="00FD073D" w:rsidP="00FD073D">
      <w:pPr>
        <w:pStyle w:val="Body"/>
        <w:rPr>
          <w:rFonts w:ascii="Arial" w:hAnsi="Arial" w:cs="Arial"/>
        </w:rPr>
      </w:pPr>
      <w:r w:rsidRPr="00FD073D">
        <w:rPr>
          <w:rFonts w:ascii="Arial" w:hAnsi="Arial" w:cs="Arial"/>
          <w:b/>
          <w:bCs/>
        </w:rPr>
        <w:t>Phytotoxicity:</w:t>
      </w:r>
      <w:r w:rsidRPr="00FD073D">
        <w:rPr>
          <w:rFonts w:ascii="Arial" w:hAnsi="Arial" w:cs="Arial"/>
        </w:rPr>
        <w:t> Nanoparticle phytotoxicity depends on concentration, exposure duration, plant species, and growth stage (Ma et al., 2010; Tripathi et al., 2017). At high concentrations (&gt;500 mg/kg soil or &gt;200 mg/L foliar spray), metal oxide nanoparticles cause oxidative stress, membrane damage, photosynthesis inhibition, and growth reduction</w:t>
      </w:r>
      <w:r w:rsidR="00925455">
        <w:rPr>
          <w:rFonts w:ascii="Arial" w:hAnsi="Arial" w:cs="Arial"/>
        </w:rPr>
        <w:t xml:space="preserve">. </w:t>
      </w:r>
      <w:r w:rsidRPr="00FD073D">
        <w:rPr>
          <w:rFonts w:ascii="Arial" w:hAnsi="Arial" w:cs="Arial"/>
        </w:rPr>
        <w:t xml:space="preserve">However, low concentrations (&lt;100 mg/kg soil) often stimulate plant growth through micronutrient supplementation (Zn, Cu, Fe) and activation of antioxidant defense systems (Raliya et al., 2015; Rossi et al., 2019). Rice plants tolerate </w:t>
      </w:r>
      <w:proofErr w:type="spellStart"/>
      <w:r w:rsidRPr="00FD073D">
        <w:rPr>
          <w:rFonts w:ascii="Arial" w:hAnsi="Arial" w:cs="Arial"/>
        </w:rPr>
        <w:t>ZnO</w:t>
      </w:r>
      <w:proofErr w:type="spellEnd"/>
      <w:r w:rsidRPr="00FD073D">
        <w:rPr>
          <w:rFonts w:ascii="Arial" w:hAnsi="Arial" w:cs="Arial"/>
        </w:rPr>
        <w:t xml:space="preserve">-NPs up to 200 mg/L foliar application without phytotoxicity, with enhanced growth and disease resistance observed at 50–150 mg/L (Qiu et al., 2023; </w:t>
      </w:r>
      <w:proofErr w:type="spellStart"/>
      <w:r w:rsidRPr="00FD073D">
        <w:rPr>
          <w:rFonts w:ascii="Arial" w:hAnsi="Arial" w:cs="Arial"/>
        </w:rPr>
        <w:t>Dimkpa</w:t>
      </w:r>
      <w:proofErr w:type="spellEnd"/>
      <w:r w:rsidRPr="00FD073D">
        <w:rPr>
          <w:rFonts w:ascii="Arial" w:hAnsi="Arial" w:cs="Arial"/>
        </w:rPr>
        <w:t xml:space="preserve"> et al., 2018).</w:t>
      </w:r>
    </w:p>
    <w:p w14:paraId="6E854F56" w14:textId="77777777" w:rsidR="00FD073D" w:rsidRDefault="00FD073D" w:rsidP="00FD073D">
      <w:pPr>
        <w:pStyle w:val="Body"/>
        <w:spacing w:after="0"/>
        <w:rPr>
          <w:rFonts w:ascii="Arial" w:hAnsi="Arial" w:cs="Arial"/>
          <w:b/>
          <w:bCs/>
        </w:rPr>
      </w:pPr>
      <w:r w:rsidRPr="00FD073D">
        <w:rPr>
          <w:rFonts w:ascii="Arial" w:hAnsi="Arial" w:cs="Arial"/>
          <w:b/>
          <w:bCs/>
        </w:rPr>
        <w:t>5.4 Human Health Considerations</w:t>
      </w:r>
    </w:p>
    <w:p w14:paraId="442D7A13" w14:textId="77777777" w:rsidR="00925455" w:rsidRPr="00FD073D" w:rsidRDefault="00925455" w:rsidP="00FD073D">
      <w:pPr>
        <w:pStyle w:val="Body"/>
        <w:spacing w:after="0"/>
        <w:rPr>
          <w:rFonts w:ascii="Arial" w:hAnsi="Arial" w:cs="Arial"/>
          <w:b/>
          <w:bCs/>
        </w:rPr>
      </w:pPr>
    </w:p>
    <w:p w14:paraId="0B417B66" w14:textId="6CE5F2AE" w:rsidR="00FD073D" w:rsidRPr="00FD073D" w:rsidRDefault="00FD073D" w:rsidP="00FD073D">
      <w:pPr>
        <w:pStyle w:val="Body"/>
        <w:rPr>
          <w:rFonts w:ascii="Arial" w:hAnsi="Arial" w:cs="Arial"/>
        </w:rPr>
      </w:pPr>
      <w:r w:rsidRPr="00FD073D">
        <w:rPr>
          <w:rFonts w:ascii="Arial" w:hAnsi="Arial" w:cs="Arial"/>
          <w:b/>
          <w:bCs/>
        </w:rPr>
        <w:t>Occupational Exposure:</w:t>
      </w:r>
      <w:r w:rsidRPr="00FD073D">
        <w:rPr>
          <w:rFonts w:ascii="Arial" w:hAnsi="Arial" w:cs="Arial"/>
        </w:rPr>
        <w:t xml:space="preserve"> Farmers and agricultural workers face potential inhalation, dermal, and oral exposure during </w:t>
      </w:r>
      <w:proofErr w:type="spellStart"/>
      <w:r w:rsidRPr="00FD073D">
        <w:rPr>
          <w:rFonts w:ascii="Arial" w:hAnsi="Arial" w:cs="Arial"/>
        </w:rPr>
        <w:t>nanoformulation</w:t>
      </w:r>
      <w:proofErr w:type="spellEnd"/>
      <w:r w:rsidRPr="00FD073D">
        <w:rPr>
          <w:rFonts w:ascii="Arial" w:hAnsi="Arial" w:cs="Arial"/>
        </w:rPr>
        <w:t xml:space="preserve"> preparation and application (Vance et al., 2015). Inhalation of nanoparticle aerosols (&lt;100 nm) enables deep lung penetration, potentially causing pulmonary inflammation and oxidative stress at high exposure. Proper personal protective equipment (respirators, gloves, protective clothing) and engineering controls (enclosed mixing systems, reduced drift nozzles) minimize exposure risks</w:t>
      </w:r>
      <w:r w:rsidR="00925455">
        <w:rPr>
          <w:rFonts w:ascii="Arial" w:hAnsi="Arial" w:cs="Arial"/>
        </w:rPr>
        <w:t>.</w:t>
      </w:r>
    </w:p>
    <w:p w14:paraId="6A27B3EC" w14:textId="41C93A56" w:rsidR="00FD073D" w:rsidRPr="00FD073D" w:rsidRDefault="00FD073D" w:rsidP="00FD073D">
      <w:pPr>
        <w:pStyle w:val="Body"/>
        <w:rPr>
          <w:rFonts w:ascii="Arial" w:hAnsi="Arial" w:cs="Arial"/>
        </w:rPr>
      </w:pPr>
      <w:r w:rsidRPr="00FD073D">
        <w:rPr>
          <w:rFonts w:ascii="Arial" w:hAnsi="Arial" w:cs="Arial"/>
          <w:b/>
          <w:bCs/>
        </w:rPr>
        <w:t>Dietary Exposure:</w:t>
      </w:r>
      <w:r w:rsidRPr="00FD073D">
        <w:rPr>
          <w:rFonts w:ascii="Arial" w:hAnsi="Arial" w:cs="Arial"/>
        </w:rPr>
        <w:t> Consumers face potential exposure through nanoparticle residues on rice grains (Kah &amp; Hofmann, 2014). Studies show minimal nanoparticle translocation to rice grains, with concentrations typically &lt;1% of applied dose (Rico et al., 2011; Larue et al., 2012). Metal oxide nanoparticles undergo biotransformation and dissolution, with residues primarily as ionic forms rather than nanoparticulate (</w:t>
      </w:r>
      <w:proofErr w:type="spellStart"/>
      <w:r w:rsidRPr="00FD073D">
        <w:rPr>
          <w:rFonts w:ascii="Arial" w:hAnsi="Arial" w:cs="Arial"/>
        </w:rPr>
        <w:t>Dimkpa</w:t>
      </w:r>
      <w:proofErr w:type="spellEnd"/>
      <w:r w:rsidRPr="00FD073D">
        <w:rPr>
          <w:rFonts w:ascii="Arial" w:hAnsi="Arial" w:cs="Arial"/>
        </w:rPr>
        <w:t xml:space="preserve"> et al., 2012). Washing and cooking further reduce residue levels by 60–90% (Zhao et al., 2013). Comprehensive food safety assessment requires validated analytical methods for nanoparticle detection, speciation, and quantification in complex food matrices.</w:t>
      </w:r>
    </w:p>
    <w:p w14:paraId="571CC070" w14:textId="5BE164A5" w:rsidR="00AB7226" w:rsidRDefault="00FD073D" w:rsidP="00655A31">
      <w:pPr>
        <w:pStyle w:val="Body"/>
        <w:rPr>
          <w:rFonts w:ascii="Arial" w:hAnsi="Arial" w:cs="Arial"/>
        </w:rPr>
      </w:pPr>
      <w:r w:rsidRPr="00FD073D">
        <w:rPr>
          <w:rFonts w:ascii="Arial" w:hAnsi="Arial" w:cs="Arial"/>
          <w:b/>
          <w:bCs/>
        </w:rPr>
        <w:t>Regulatory Standards:</w:t>
      </w:r>
      <w:r w:rsidRPr="00FD073D">
        <w:rPr>
          <w:rFonts w:ascii="Arial" w:hAnsi="Arial" w:cs="Arial"/>
        </w:rPr>
        <w:t xml:space="preserve"> Current pesticide residue limits do not differentiate between nano and conventional formulations, applying identical maximum residue limits (MRLs) based on active ingredient content (Kah &amp; Hofmann, 2014). However, </w:t>
      </w:r>
      <w:proofErr w:type="spellStart"/>
      <w:r w:rsidRPr="00FD073D">
        <w:rPr>
          <w:rFonts w:ascii="Arial" w:hAnsi="Arial" w:cs="Arial"/>
        </w:rPr>
        <w:t>nanospecific</w:t>
      </w:r>
      <w:proofErr w:type="spellEnd"/>
      <w:r w:rsidRPr="00FD073D">
        <w:rPr>
          <w:rFonts w:ascii="Arial" w:hAnsi="Arial" w:cs="Arial"/>
        </w:rPr>
        <w:t xml:space="preserve"> regulations may be necessary to address unique physicochemical properties and potential toxicological profiles (Hansen et al., 2016).</w:t>
      </w:r>
    </w:p>
    <w:p w14:paraId="3CECE811" w14:textId="77777777" w:rsidR="00AB7226" w:rsidRPr="00FD073D" w:rsidRDefault="00AB7226" w:rsidP="00FD073D">
      <w:pPr>
        <w:pStyle w:val="Body"/>
        <w:spacing w:after="0"/>
        <w:rPr>
          <w:rFonts w:ascii="Arial" w:hAnsi="Arial" w:cs="Arial"/>
        </w:rPr>
      </w:pPr>
    </w:p>
    <w:p w14:paraId="1970EBF8" w14:textId="77777777" w:rsidR="00FD073D" w:rsidRPr="00FD073D" w:rsidRDefault="00FD073D" w:rsidP="00FD073D">
      <w:pPr>
        <w:pStyle w:val="Body"/>
        <w:spacing w:after="0"/>
        <w:rPr>
          <w:rFonts w:ascii="Arial" w:hAnsi="Arial" w:cs="Arial"/>
          <w:b/>
          <w:bCs/>
        </w:rPr>
      </w:pPr>
      <w:r w:rsidRPr="00FD073D">
        <w:rPr>
          <w:rFonts w:ascii="Arial" w:hAnsi="Arial" w:cs="Arial"/>
          <w:b/>
          <w:bCs/>
        </w:rPr>
        <w:t>5.5 Comparative Risk Assessment: Nano vs. Conventional Formulations</w:t>
      </w:r>
    </w:p>
    <w:p w14:paraId="1C194A0F" w14:textId="77777777" w:rsidR="00FD073D" w:rsidRPr="00FD073D" w:rsidRDefault="00FD073D" w:rsidP="00FD073D">
      <w:pPr>
        <w:pStyle w:val="Body"/>
        <w:spacing w:after="0"/>
        <w:rPr>
          <w:rFonts w:ascii="Arial" w:hAnsi="Arial" w:cs="Arial"/>
        </w:rPr>
      </w:pPr>
      <w:r w:rsidRPr="00FD073D">
        <w:rPr>
          <w:rFonts w:ascii="Arial" w:hAnsi="Arial" w:cs="Arial"/>
        </w:rPr>
        <w:t xml:space="preserve">Life cycle assessment (LCA) and comparative risk analysis suggest </w:t>
      </w:r>
      <w:proofErr w:type="spellStart"/>
      <w:r w:rsidRPr="00FD073D">
        <w:rPr>
          <w:rFonts w:ascii="Arial" w:hAnsi="Arial" w:cs="Arial"/>
        </w:rPr>
        <w:t>nanoformulations</w:t>
      </w:r>
      <w:proofErr w:type="spellEnd"/>
      <w:r w:rsidRPr="00FD073D">
        <w:rPr>
          <w:rFonts w:ascii="Arial" w:hAnsi="Arial" w:cs="Arial"/>
        </w:rPr>
        <w:t xml:space="preserve"> may offer improved environmental profiles compared to conventional pesticides (Kah et al., 2018; Adisa et al., 2019):</w:t>
      </w:r>
    </w:p>
    <w:p w14:paraId="113AE76F" w14:textId="77777777" w:rsidR="00FD073D" w:rsidRPr="00FD073D" w:rsidRDefault="00FD073D" w:rsidP="00FD073D">
      <w:pPr>
        <w:pStyle w:val="Body"/>
        <w:rPr>
          <w:rFonts w:ascii="Arial" w:hAnsi="Arial" w:cs="Arial"/>
        </w:rPr>
      </w:pPr>
      <w:r w:rsidRPr="00FD073D">
        <w:rPr>
          <w:rFonts w:ascii="Arial" w:hAnsi="Arial" w:cs="Arial"/>
          <w:b/>
          <w:bCs/>
        </w:rPr>
        <w:t>Reduced Active Ingredient Loading:</w:t>
      </w:r>
      <w:r w:rsidRPr="00FD073D">
        <w:rPr>
          <w:rFonts w:ascii="Arial" w:hAnsi="Arial" w:cs="Arial"/>
        </w:rPr>
        <w:t> 30–60% reduction in pesticide application rates decreases total environmental loading and non-target exposure (Grillo et al., 2021).</w:t>
      </w:r>
    </w:p>
    <w:p w14:paraId="1BCD59D4" w14:textId="77777777" w:rsidR="00FD073D" w:rsidRPr="00FD073D" w:rsidRDefault="00FD073D" w:rsidP="00FD073D">
      <w:pPr>
        <w:pStyle w:val="Body"/>
        <w:rPr>
          <w:rFonts w:ascii="Arial" w:hAnsi="Arial" w:cs="Arial"/>
        </w:rPr>
      </w:pPr>
      <w:r w:rsidRPr="00FD073D">
        <w:rPr>
          <w:rFonts w:ascii="Arial" w:hAnsi="Arial" w:cs="Arial"/>
          <w:b/>
          <w:bCs/>
        </w:rPr>
        <w:t>Decreased Application Frequency:</w:t>
      </w:r>
      <w:r w:rsidRPr="00FD073D">
        <w:rPr>
          <w:rFonts w:ascii="Arial" w:hAnsi="Arial" w:cs="Arial"/>
        </w:rPr>
        <w:t> Extended efficacy duration reduces fuel consumption, labor requirements, and cumulative environmental impacts by 40–70% (Kah et al., 2013).</w:t>
      </w:r>
    </w:p>
    <w:p w14:paraId="2FFBDEF3" w14:textId="77777777" w:rsidR="00FD073D" w:rsidRPr="00FD073D" w:rsidRDefault="00FD073D" w:rsidP="00FD073D">
      <w:pPr>
        <w:pStyle w:val="Body"/>
        <w:rPr>
          <w:rFonts w:ascii="Arial" w:hAnsi="Arial" w:cs="Arial"/>
        </w:rPr>
      </w:pPr>
      <w:r w:rsidRPr="00FD073D">
        <w:rPr>
          <w:rFonts w:ascii="Arial" w:hAnsi="Arial" w:cs="Arial"/>
          <w:b/>
          <w:bCs/>
        </w:rPr>
        <w:t>Improved Targeting:</w:t>
      </w:r>
      <w:r w:rsidRPr="00FD073D">
        <w:rPr>
          <w:rFonts w:ascii="Arial" w:hAnsi="Arial" w:cs="Arial"/>
        </w:rPr>
        <w:t> Controlled release and stimuli-responsive systems concentrate active ingredients at target sites, reducing off-site transport by 50–80% (Zhao et al., 2024).</w:t>
      </w:r>
    </w:p>
    <w:p w14:paraId="6CA4EE4F" w14:textId="77777777" w:rsidR="00FD073D" w:rsidRPr="00FD073D" w:rsidRDefault="00FD073D" w:rsidP="00FD073D">
      <w:pPr>
        <w:pStyle w:val="Body"/>
        <w:rPr>
          <w:rFonts w:ascii="Arial" w:hAnsi="Arial" w:cs="Arial"/>
        </w:rPr>
      </w:pPr>
      <w:r w:rsidRPr="00FD073D">
        <w:rPr>
          <w:rFonts w:ascii="Arial" w:hAnsi="Arial" w:cs="Arial"/>
          <w:b/>
          <w:bCs/>
        </w:rPr>
        <w:lastRenderedPageBreak/>
        <w:t>Biodegradable Carriers:</w:t>
      </w:r>
      <w:r w:rsidRPr="00FD073D">
        <w:rPr>
          <w:rFonts w:ascii="Arial" w:hAnsi="Arial" w:cs="Arial"/>
        </w:rPr>
        <w:t> Polymeric nanocarriers (chitosan, PLGA) degrade to non-toxic monomers, eliminating persistent carrier residues characteristic of conventional adjuvants (Kumari et al., 2010).</w:t>
      </w:r>
    </w:p>
    <w:p w14:paraId="0E574B55" w14:textId="77777777" w:rsidR="00FD073D" w:rsidRPr="00FD073D" w:rsidRDefault="00FD073D" w:rsidP="00FD073D">
      <w:pPr>
        <w:pStyle w:val="Body"/>
        <w:spacing w:after="0"/>
        <w:rPr>
          <w:rFonts w:ascii="Arial" w:hAnsi="Arial" w:cs="Arial"/>
        </w:rPr>
      </w:pPr>
      <w:r w:rsidRPr="00FD073D">
        <w:rPr>
          <w:rFonts w:ascii="Arial" w:hAnsi="Arial" w:cs="Arial"/>
        </w:rPr>
        <w:t>However, potential risks from persistent non-biodegradable carriers (silica, carbon nanotubes) and inadequately characterized long-term ecological effects necessitate cautious, evidence-based deployment with continuous monitoring (Judy et al., 2019; Holden et al., 2016).</w:t>
      </w:r>
    </w:p>
    <w:p w14:paraId="30CBBE4A" w14:textId="77777777" w:rsidR="00FD073D" w:rsidRDefault="00FD073D" w:rsidP="00441B6F">
      <w:pPr>
        <w:pStyle w:val="Body"/>
        <w:spacing w:after="0"/>
        <w:rPr>
          <w:rFonts w:ascii="Arial" w:hAnsi="Arial" w:cs="Arial"/>
        </w:rPr>
      </w:pPr>
    </w:p>
    <w:p w14:paraId="54F261CF" w14:textId="39870D32" w:rsidR="00F83DA4" w:rsidRDefault="00F83DA4" w:rsidP="00F83DA4">
      <w:pPr>
        <w:pStyle w:val="Body"/>
        <w:spacing w:after="0"/>
        <w:jc w:val="center"/>
        <w:rPr>
          <w:rFonts w:ascii="Arial" w:hAnsi="Arial" w:cs="Arial"/>
          <w:b/>
          <w:bCs/>
        </w:rPr>
      </w:pPr>
      <w:r w:rsidRPr="00F83DA4">
        <w:rPr>
          <w:rFonts w:ascii="Arial" w:hAnsi="Arial" w:cs="Arial"/>
          <w:b/>
          <w:bCs/>
        </w:rPr>
        <w:t>T</w:t>
      </w:r>
      <w:r>
        <w:rPr>
          <w:rFonts w:ascii="Arial" w:hAnsi="Arial" w:cs="Arial"/>
          <w:b/>
          <w:bCs/>
        </w:rPr>
        <w:t xml:space="preserve">able </w:t>
      </w:r>
      <w:r w:rsidRPr="00F83DA4">
        <w:rPr>
          <w:rFonts w:ascii="Arial" w:hAnsi="Arial" w:cs="Arial"/>
          <w:b/>
          <w:bCs/>
        </w:rPr>
        <w:t>5: Environmental Fate Parameters of Nanomaterials in Rice Paddy Systems</w:t>
      </w:r>
    </w:p>
    <w:p w14:paraId="2D44FC50" w14:textId="77777777" w:rsidR="00F83DA4" w:rsidRPr="00F83DA4" w:rsidRDefault="00F83DA4" w:rsidP="00F83DA4">
      <w:pPr>
        <w:pStyle w:val="Body"/>
        <w:spacing w:after="0"/>
        <w:jc w:val="center"/>
        <w:rPr>
          <w:rFonts w:ascii="Arial" w:hAnsi="Arial" w:cs="Arial"/>
          <w:b/>
          <w:bCs/>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1351"/>
        <w:gridCol w:w="1492"/>
        <w:gridCol w:w="828"/>
        <w:gridCol w:w="2264"/>
        <w:gridCol w:w="1696"/>
        <w:gridCol w:w="1559"/>
      </w:tblGrid>
      <w:tr w:rsidR="00F83DA4" w:rsidRPr="00F83DA4" w14:paraId="125DBA44" w14:textId="77777777" w:rsidTr="00F83DA4">
        <w:trPr>
          <w:trHeight w:val="600"/>
        </w:trPr>
        <w:tc>
          <w:tcPr>
            <w:tcW w:w="495" w:type="pct"/>
            <w:tcBorders>
              <w:top w:val="single" w:sz="4" w:space="0" w:color="auto"/>
              <w:bottom w:val="single" w:sz="4" w:space="0" w:color="auto"/>
            </w:tcBorders>
            <w:hideMark/>
          </w:tcPr>
          <w:p w14:paraId="719F2A32" w14:textId="77777777" w:rsidR="00F83DA4" w:rsidRPr="00F83DA4" w:rsidRDefault="00F83DA4" w:rsidP="00F83DA4">
            <w:pPr>
              <w:pStyle w:val="Body"/>
              <w:rPr>
                <w:rFonts w:ascii="Arial" w:hAnsi="Arial" w:cs="Arial"/>
                <w:b/>
                <w:bCs/>
              </w:rPr>
            </w:pPr>
            <w:r w:rsidRPr="00F83DA4">
              <w:rPr>
                <w:rFonts w:ascii="Arial" w:hAnsi="Arial" w:cs="Arial"/>
                <w:b/>
                <w:bCs/>
              </w:rPr>
              <w:t>Nanomaterial</w:t>
            </w:r>
          </w:p>
        </w:tc>
        <w:tc>
          <w:tcPr>
            <w:tcW w:w="706" w:type="pct"/>
            <w:tcBorders>
              <w:top w:val="single" w:sz="4" w:space="0" w:color="auto"/>
              <w:bottom w:val="single" w:sz="4" w:space="0" w:color="auto"/>
            </w:tcBorders>
            <w:hideMark/>
          </w:tcPr>
          <w:p w14:paraId="0222C4DE" w14:textId="77777777" w:rsidR="00F83DA4" w:rsidRPr="00F83DA4" w:rsidRDefault="00F83DA4" w:rsidP="00F83DA4">
            <w:pPr>
              <w:pStyle w:val="Body"/>
              <w:rPr>
                <w:rFonts w:ascii="Arial" w:hAnsi="Arial" w:cs="Arial"/>
                <w:b/>
                <w:bCs/>
              </w:rPr>
            </w:pPr>
            <w:r w:rsidRPr="00F83DA4">
              <w:rPr>
                <w:rFonts w:ascii="Arial" w:hAnsi="Arial" w:cs="Arial"/>
                <w:b/>
                <w:bCs/>
              </w:rPr>
              <w:t>Soil Half-Life (days)</w:t>
            </w:r>
          </w:p>
        </w:tc>
        <w:tc>
          <w:tcPr>
            <w:tcW w:w="771" w:type="pct"/>
            <w:tcBorders>
              <w:top w:val="single" w:sz="4" w:space="0" w:color="auto"/>
              <w:bottom w:val="single" w:sz="4" w:space="0" w:color="auto"/>
            </w:tcBorders>
            <w:hideMark/>
          </w:tcPr>
          <w:p w14:paraId="0AE72024" w14:textId="77777777" w:rsidR="00F83DA4" w:rsidRPr="00F83DA4" w:rsidRDefault="00F83DA4" w:rsidP="00F83DA4">
            <w:pPr>
              <w:pStyle w:val="Body"/>
              <w:rPr>
                <w:rFonts w:ascii="Arial" w:hAnsi="Arial" w:cs="Arial"/>
                <w:b/>
                <w:bCs/>
              </w:rPr>
            </w:pPr>
            <w:r w:rsidRPr="00F83DA4">
              <w:rPr>
                <w:rFonts w:ascii="Arial" w:hAnsi="Arial" w:cs="Arial"/>
                <w:b/>
                <w:bCs/>
              </w:rPr>
              <w:t>Water Half-Life (days)</w:t>
            </w:r>
          </w:p>
        </w:tc>
        <w:tc>
          <w:tcPr>
            <w:tcW w:w="433" w:type="pct"/>
            <w:tcBorders>
              <w:top w:val="single" w:sz="4" w:space="0" w:color="auto"/>
              <w:bottom w:val="single" w:sz="4" w:space="0" w:color="auto"/>
            </w:tcBorders>
            <w:hideMark/>
          </w:tcPr>
          <w:p w14:paraId="5FC8ADFD" w14:textId="77777777" w:rsidR="00F83DA4" w:rsidRPr="00F83DA4" w:rsidRDefault="00F83DA4" w:rsidP="00F83DA4">
            <w:pPr>
              <w:pStyle w:val="Body"/>
              <w:rPr>
                <w:rFonts w:ascii="Arial" w:hAnsi="Arial" w:cs="Arial"/>
                <w:b/>
                <w:bCs/>
              </w:rPr>
            </w:pPr>
            <w:proofErr w:type="spellStart"/>
            <w:r w:rsidRPr="00F83DA4">
              <w:rPr>
                <w:rFonts w:ascii="Arial" w:hAnsi="Arial" w:cs="Arial"/>
                <w:b/>
                <w:bCs/>
              </w:rPr>
              <w:t>Kd</w:t>
            </w:r>
            <w:proofErr w:type="spellEnd"/>
            <w:r w:rsidRPr="00F83DA4">
              <w:rPr>
                <w:rFonts w:ascii="Arial" w:hAnsi="Arial" w:cs="Arial"/>
                <w:b/>
                <w:bCs/>
              </w:rPr>
              <w:t xml:space="preserve"> (L/kg)</w:t>
            </w:r>
          </w:p>
        </w:tc>
        <w:tc>
          <w:tcPr>
            <w:tcW w:w="1159" w:type="pct"/>
            <w:tcBorders>
              <w:top w:val="single" w:sz="4" w:space="0" w:color="auto"/>
              <w:bottom w:val="single" w:sz="4" w:space="0" w:color="auto"/>
            </w:tcBorders>
            <w:hideMark/>
          </w:tcPr>
          <w:p w14:paraId="30C7BA7D" w14:textId="77777777" w:rsidR="00F83DA4" w:rsidRPr="00F83DA4" w:rsidRDefault="00F83DA4" w:rsidP="00F83DA4">
            <w:pPr>
              <w:pStyle w:val="Body"/>
              <w:rPr>
                <w:rFonts w:ascii="Arial" w:hAnsi="Arial" w:cs="Arial"/>
                <w:b/>
                <w:bCs/>
              </w:rPr>
            </w:pPr>
            <w:r w:rsidRPr="00F83DA4">
              <w:rPr>
                <w:rFonts w:ascii="Arial" w:hAnsi="Arial" w:cs="Arial"/>
                <w:b/>
                <w:bCs/>
              </w:rPr>
              <w:t>Main Transformation</w:t>
            </w:r>
          </w:p>
        </w:tc>
        <w:tc>
          <w:tcPr>
            <w:tcW w:w="634" w:type="pct"/>
            <w:tcBorders>
              <w:top w:val="single" w:sz="4" w:space="0" w:color="auto"/>
              <w:bottom w:val="single" w:sz="4" w:space="0" w:color="auto"/>
            </w:tcBorders>
            <w:hideMark/>
          </w:tcPr>
          <w:p w14:paraId="794A1410" w14:textId="77777777" w:rsidR="00F83DA4" w:rsidRPr="00F83DA4" w:rsidRDefault="00F83DA4" w:rsidP="00F83DA4">
            <w:pPr>
              <w:pStyle w:val="Body"/>
              <w:rPr>
                <w:rFonts w:ascii="Arial" w:hAnsi="Arial" w:cs="Arial"/>
                <w:b/>
                <w:bCs/>
              </w:rPr>
            </w:pPr>
            <w:r w:rsidRPr="00F83DA4">
              <w:rPr>
                <w:rFonts w:ascii="Arial" w:hAnsi="Arial" w:cs="Arial"/>
                <w:b/>
                <w:bCs/>
              </w:rPr>
              <w:t>Bioavailability</w:t>
            </w:r>
          </w:p>
        </w:tc>
        <w:tc>
          <w:tcPr>
            <w:tcW w:w="802" w:type="pct"/>
            <w:tcBorders>
              <w:top w:val="single" w:sz="4" w:space="0" w:color="auto"/>
              <w:bottom w:val="single" w:sz="4" w:space="0" w:color="auto"/>
            </w:tcBorders>
            <w:hideMark/>
          </w:tcPr>
          <w:p w14:paraId="29F0B508" w14:textId="77777777" w:rsidR="00F83DA4" w:rsidRPr="00F83DA4" w:rsidRDefault="00F83DA4" w:rsidP="00F83DA4">
            <w:pPr>
              <w:pStyle w:val="Body"/>
              <w:rPr>
                <w:rFonts w:ascii="Arial" w:hAnsi="Arial" w:cs="Arial"/>
                <w:b/>
                <w:bCs/>
              </w:rPr>
            </w:pPr>
            <w:r w:rsidRPr="00F83DA4">
              <w:rPr>
                <w:rFonts w:ascii="Arial" w:hAnsi="Arial" w:cs="Arial"/>
                <w:b/>
                <w:bCs/>
              </w:rPr>
              <w:t>Reference</w:t>
            </w:r>
          </w:p>
        </w:tc>
      </w:tr>
      <w:tr w:rsidR="00F83DA4" w:rsidRPr="00F83DA4" w14:paraId="0AAFEE1D" w14:textId="77777777" w:rsidTr="00F83DA4">
        <w:tc>
          <w:tcPr>
            <w:tcW w:w="495" w:type="pct"/>
            <w:tcBorders>
              <w:top w:val="single" w:sz="4" w:space="0" w:color="auto"/>
            </w:tcBorders>
            <w:hideMark/>
          </w:tcPr>
          <w:p w14:paraId="30BF8BAF" w14:textId="77777777" w:rsidR="00F83DA4" w:rsidRPr="00F83DA4" w:rsidRDefault="00F83DA4" w:rsidP="00F83DA4">
            <w:pPr>
              <w:pStyle w:val="Body"/>
              <w:rPr>
                <w:rFonts w:ascii="Arial" w:hAnsi="Arial" w:cs="Arial"/>
              </w:rPr>
            </w:pPr>
            <w:proofErr w:type="spellStart"/>
            <w:r w:rsidRPr="00F83DA4">
              <w:rPr>
                <w:rFonts w:ascii="Arial" w:hAnsi="Arial" w:cs="Arial"/>
              </w:rPr>
              <w:t>ZnO</w:t>
            </w:r>
            <w:proofErr w:type="spellEnd"/>
            <w:r w:rsidRPr="00F83DA4">
              <w:rPr>
                <w:rFonts w:ascii="Arial" w:hAnsi="Arial" w:cs="Arial"/>
              </w:rPr>
              <w:t xml:space="preserve"> NPs</w:t>
            </w:r>
          </w:p>
        </w:tc>
        <w:tc>
          <w:tcPr>
            <w:tcW w:w="706" w:type="pct"/>
            <w:tcBorders>
              <w:top w:val="single" w:sz="4" w:space="0" w:color="auto"/>
            </w:tcBorders>
            <w:hideMark/>
          </w:tcPr>
          <w:p w14:paraId="3F5E8F44" w14:textId="77777777" w:rsidR="00F83DA4" w:rsidRPr="00F83DA4" w:rsidRDefault="00F83DA4" w:rsidP="00F83DA4">
            <w:pPr>
              <w:pStyle w:val="Body"/>
              <w:rPr>
                <w:rFonts w:ascii="Arial" w:hAnsi="Arial" w:cs="Arial"/>
              </w:rPr>
            </w:pPr>
            <w:r w:rsidRPr="00F83DA4">
              <w:rPr>
                <w:rFonts w:ascii="Arial" w:hAnsi="Arial" w:cs="Arial"/>
              </w:rPr>
              <w:t>30-90</w:t>
            </w:r>
          </w:p>
        </w:tc>
        <w:tc>
          <w:tcPr>
            <w:tcW w:w="771" w:type="pct"/>
            <w:tcBorders>
              <w:top w:val="single" w:sz="4" w:space="0" w:color="auto"/>
            </w:tcBorders>
            <w:hideMark/>
          </w:tcPr>
          <w:p w14:paraId="29AB039D" w14:textId="77777777" w:rsidR="00F83DA4" w:rsidRPr="00F83DA4" w:rsidRDefault="00F83DA4" w:rsidP="00F83DA4">
            <w:pPr>
              <w:pStyle w:val="Body"/>
              <w:rPr>
                <w:rFonts w:ascii="Arial" w:hAnsi="Arial" w:cs="Arial"/>
              </w:rPr>
            </w:pPr>
            <w:r w:rsidRPr="00F83DA4">
              <w:rPr>
                <w:rFonts w:ascii="Arial" w:hAnsi="Arial" w:cs="Arial"/>
              </w:rPr>
              <w:t>5-15</w:t>
            </w:r>
          </w:p>
        </w:tc>
        <w:tc>
          <w:tcPr>
            <w:tcW w:w="433" w:type="pct"/>
            <w:tcBorders>
              <w:top w:val="single" w:sz="4" w:space="0" w:color="auto"/>
            </w:tcBorders>
            <w:hideMark/>
          </w:tcPr>
          <w:p w14:paraId="20B664B2" w14:textId="77777777" w:rsidR="00F83DA4" w:rsidRPr="00F83DA4" w:rsidRDefault="00F83DA4" w:rsidP="00F83DA4">
            <w:pPr>
              <w:pStyle w:val="Body"/>
              <w:rPr>
                <w:rFonts w:ascii="Arial" w:hAnsi="Arial" w:cs="Arial"/>
              </w:rPr>
            </w:pPr>
            <w:r w:rsidRPr="00F83DA4">
              <w:rPr>
                <w:rFonts w:ascii="Arial" w:hAnsi="Arial" w:cs="Arial"/>
              </w:rPr>
              <w:t>100-500</w:t>
            </w:r>
          </w:p>
        </w:tc>
        <w:tc>
          <w:tcPr>
            <w:tcW w:w="1159" w:type="pct"/>
            <w:tcBorders>
              <w:top w:val="single" w:sz="4" w:space="0" w:color="auto"/>
            </w:tcBorders>
            <w:hideMark/>
          </w:tcPr>
          <w:p w14:paraId="1041BF28" w14:textId="77777777" w:rsidR="00F83DA4" w:rsidRPr="00F83DA4" w:rsidRDefault="00F83DA4" w:rsidP="00F83DA4">
            <w:pPr>
              <w:pStyle w:val="Body"/>
              <w:rPr>
                <w:rFonts w:ascii="Arial" w:hAnsi="Arial" w:cs="Arial"/>
              </w:rPr>
            </w:pPr>
            <w:r w:rsidRPr="00F83DA4">
              <w:rPr>
                <w:rFonts w:ascii="Arial" w:hAnsi="Arial" w:cs="Arial"/>
              </w:rPr>
              <w:t>Dissolution to Zn²</w:t>
            </w:r>
            <w:r w:rsidRPr="00F83DA4">
              <w:rPr>
                <w:rFonts w:ascii="Cambria Math" w:hAnsi="Cambria Math" w:cs="Cambria Math"/>
              </w:rPr>
              <w:t>⁺</w:t>
            </w:r>
            <w:r w:rsidRPr="00F83DA4">
              <w:rPr>
                <w:rFonts w:ascii="Arial" w:hAnsi="Arial" w:cs="Arial"/>
              </w:rPr>
              <w:t>, sulfidation</w:t>
            </w:r>
          </w:p>
        </w:tc>
        <w:tc>
          <w:tcPr>
            <w:tcW w:w="634" w:type="pct"/>
            <w:tcBorders>
              <w:top w:val="single" w:sz="4" w:space="0" w:color="auto"/>
            </w:tcBorders>
            <w:hideMark/>
          </w:tcPr>
          <w:p w14:paraId="454F27BD" w14:textId="77777777" w:rsidR="00F83DA4" w:rsidRPr="00F83DA4" w:rsidRDefault="00F83DA4" w:rsidP="00F83DA4">
            <w:pPr>
              <w:pStyle w:val="Body"/>
              <w:rPr>
                <w:rFonts w:ascii="Arial" w:hAnsi="Arial" w:cs="Arial"/>
              </w:rPr>
            </w:pPr>
            <w:r w:rsidRPr="00F83DA4">
              <w:rPr>
                <w:rFonts w:ascii="Arial" w:hAnsi="Arial" w:cs="Arial"/>
              </w:rPr>
              <w:t>Moderate to high</w:t>
            </w:r>
          </w:p>
        </w:tc>
        <w:tc>
          <w:tcPr>
            <w:tcW w:w="802" w:type="pct"/>
            <w:tcBorders>
              <w:top w:val="single" w:sz="4" w:space="0" w:color="auto"/>
            </w:tcBorders>
            <w:hideMark/>
          </w:tcPr>
          <w:p w14:paraId="08B45F12" w14:textId="77777777" w:rsidR="00F83DA4" w:rsidRPr="00F83DA4" w:rsidRDefault="00F83DA4" w:rsidP="00F83DA4">
            <w:pPr>
              <w:pStyle w:val="Body"/>
              <w:rPr>
                <w:rFonts w:ascii="Arial" w:hAnsi="Arial" w:cs="Arial"/>
              </w:rPr>
            </w:pPr>
            <w:r w:rsidRPr="00F83DA4">
              <w:rPr>
                <w:rFonts w:ascii="Arial" w:hAnsi="Arial" w:cs="Arial"/>
              </w:rPr>
              <w:t>Zhao et al., 2012</w:t>
            </w:r>
          </w:p>
        </w:tc>
      </w:tr>
      <w:tr w:rsidR="00F83DA4" w:rsidRPr="00F83DA4" w14:paraId="0A58BA32" w14:textId="77777777" w:rsidTr="00F83DA4">
        <w:tc>
          <w:tcPr>
            <w:tcW w:w="495" w:type="pct"/>
            <w:hideMark/>
          </w:tcPr>
          <w:p w14:paraId="1A4E8755" w14:textId="77777777" w:rsidR="00F83DA4" w:rsidRPr="00F83DA4" w:rsidRDefault="00F83DA4" w:rsidP="00F83DA4">
            <w:pPr>
              <w:pStyle w:val="Body"/>
              <w:rPr>
                <w:rFonts w:ascii="Arial" w:hAnsi="Arial" w:cs="Arial"/>
              </w:rPr>
            </w:pPr>
            <w:proofErr w:type="spellStart"/>
            <w:r w:rsidRPr="00F83DA4">
              <w:rPr>
                <w:rFonts w:ascii="Arial" w:hAnsi="Arial" w:cs="Arial"/>
              </w:rPr>
              <w:t>CuO</w:t>
            </w:r>
            <w:proofErr w:type="spellEnd"/>
            <w:r w:rsidRPr="00F83DA4">
              <w:rPr>
                <w:rFonts w:ascii="Arial" w:hAnsi="Arial" w:cs="Arial"/>
              </w:rPr>
              <w:t xml:space="preserve"> NPs</w:t>
            </w:r>
          </w:p>
        </w:tc>
        <w:tc>
          <w:tcPr>
            <w:tcW w:w="706" w:type="pct"/>
            <w:hideMark/>
          </w:tcPr>
          <w:p w14:paraId="51AA9594" w14:textId="77777777" w:rsidR="00F83DA4" w:rsidRPr="00F83DA4" w:rsidRDefault="00F83DA4" w:rsidP="00F83DA4">
            <w:pPr>
              <w:pStyle w:val="Body"/>
              <w:rPr>
                <w:rFonts w:ascii="Arial" w:hAnsi="Arial" w:cs="Arial"/>
              </w:rPr>
            </w:pPr>
            <w:r w:rsidRPr="00F83DA4">
              <w:rPr>
                <w:rFonts w:ascii="Arial" w:hAnsi="Arial" w:cs="Arial"/>
              </w:rPr>
              <w:t>60-180</w:t>
            </w:r>
          </w:p>
        </w:tc>
        <w:tc>
          <w:tcPr>
            <w:tcW w:w="771" w:type="pct"/>
            <w:hideMark/>
          </w:tcPr>
          <w:p w14:paraId="18393678" w14:textId="77777777" w:rsidR="00F83DA4" w:rsidRPr="00F83DA4" w:rsidRDefault="00F83DA4" w:rsidP="00F83DA4">
            <w:pPr>
              <w:pStyle w:val="Body"/>
              <w:rPr>
                <w:rFonts w:ascii="Arial" w:hAnsi="Arial" w:cs="Arial"/>
              </w:rPr>
            </w:pPr>
            <w:r w:rsidRPr="00F83DA4">
              <w:rPr>
                <w:rFonts w:ascii="Arial" w:hAnsi="Arial" w:cs="Arial"/>
              </w:rPr>
              <w:t>10-30</w:t>
            </w:r>
          </w:p>
        </w:tc>
        <w:tc>
          <w:tcPr>
            <w:tcW w:w="433" w:type="pct"/>
            <w:hideMark/>
          </w:tcPr>
          <w:p w14:paraId="65EB5C0E" w14:textId="77777777" w:rsidR="00F83DA4" w:rsidRPr="00F83DA4" w:rsidRDefault="00F83DA4" w:rsidP="00F83DA4">
            <w:pPr>
              <w:pStyle w:val="Body"/>
              <w:rPr>
                <w:rFonts w:ascii="Arial" w:hAnsi="Arial" w:cs="Arial"/>
              </w:rPr>
            </w:pPr>
            <w:r w:rsidRPr="00F83DA4">
              <w:rPr>
                <w:rFonts w:ascii="Arial" w:hAnsi="Arial" w:cs="Arial"/>
              </w:rPr>
              <w:t>200-800</w:t>
            </w:r>
          </w:p>
        </w:tc>
        <w:tc>
          <w:tcPr>
            <w:tcW w:w="1159" w:type="pct"/>
            <w:hideMark/>
          </w:tcPr>
          <w:p w14:paraId="11376359" w14:textId="77777777" w:rsidR="00F83DA4" w:rsidRPr="00F83DA4" w:rsidRDefault="00F83DA4" w:rsidP="00F83DA4">
            <w:pPr>
              <w:pStyle w:val="Body"/>
              <w:rPr>
                <w:rFonts w:ascii="Arial" w:hAnsi="Arial" w:cs="Arial"/>
              </w:rPr>
            </w:pPr>
            <w:r w:rsidRPr="00F83DA4">
              <w:rPr>
                <w:rFonts w:ascii="Arial" w:hAnsi="Arial" w:cs="Arial"/>
              </w:rPr>
              <w:t>Dissolution to Cu²</w:t>
            </w:r>
            <w:r w:rsidRPr="00F83DA4">
              <w:rPr>
                <w:rFonts w:ascii="Cambria Math" w:hAnsi="Cambria Math" w:cs="Cambria Math"/>
              </w:rPr>
              <w:t>⁺</w:t>
            </w:r>
            <w:r w:rsidRPr="00F83DA4">
              <w:rPr>
                <w:rFonts w:ascii="Arial" w:hAnsi="Arial" w:cs="Arial"/>
              </w:rPr>
              <w:t>, sulfidation</w:t>
            </w:r>
          </w:p>
        </w:tc>
        <w:tc>
          <w:tcPr>
            <w:tcW w:w="634" w:type="pct"/>
            <w:hideMark/>
          </w:tcPr>
          <w:p w14:paraId="14EB1424" w14:textId="77777777" w:rsidR="00F83DA4" w:rsidRPr="00F83DA4" w:rsidRDefault="00F83DA4" w:rsidP="00F83DA4">
            <w:pPr>
              <w:pStyle w:val="Body"/>
              <w:rPr>
                <w:rFonts w:ascii="Arial" w:hAnsi="Arial" w:cs="Arial"/>
              </w:rPr>
            </w:pPr>
            <w:r w:rsidRPr="00F83DA4">
              <w:rPr>
                <w:rFonts w:ascii="Arial" w:hAnsi="Arial" w:cs="Arial"/>
              </w:rPr>
              <w:t>Moderate</w:t>
            </w:r>
          </w:p>
        </w:tc>
        <w:tc>
          <w:tcPr>
            <w:tcW w:w="802" w:type="pct"/>
            <w:hideMark/>
          </w:tcPr>
          <w:p w14:paraId="19707582" w14:textId="77777777" w:rsidR="00F83DA4" w:rsidRPr="00F83DA4" w:rsidRDefault="00F83DA4" w:rsidP="00F83DA4">
            <w:pPr>
              <w:pStyle w:val="Body"/>
              <w:rPr>
                <w:rFonts w:ascii="Arial" w:hAnsi="Arial" w:cs="Arial"/>
              </w:rPr>
            </w:pPr>
            <w:r w:rsidRPr="00F83DA4">
              <w:rPr>
                <w:rFonts w:ascii="Arial" w:hAnsi="Arial" w:cs="Arial"/>
              </w:rPr>
              <w:t>Judy et al., 2015</w:t>
            </w:r>
          </w:p>
        </w:tc>
      </w:tr>
      <w:tr w:rsidR="00F83DA4" w:rsidRPr="00F83DA4" w14:paraId="7872D052" w14:textId="77777777" w:rsidTr="00F83DA4">
        <w:tc>
          <w:tcPr>
            <w:tcW w:w="495" w:type="pct"/>
            <w:hideMark/>
          </w:tcPr>
          <w:p w14:paraId="08EBCBF6" w14:textId="77777777" w:rsidR="00F83DA4" w:rsidRPr="00F83DA4" w:rsidRDefault="00F83DA4" w:rsidP="00F83DA4">
            <w:pPr>
              <w:pStyle w:val="Body"/>
              <w:rPr>
                <w:rFonts w:ascii="Arial" w:hAnsi="Arial" w:cs="Arial"/>
              </w:rPr>
            </w:pPr>
            <w:proofErr w:type="spellStart"/>
            <w:r w:rsidRPr="00F83DA4">
              <w:rPr>
                <w:rFonts w:ascii="Arial" w:hAnsi="Arial" w:cs="Arial"/>
              </w:rPr>
              <w:t>AgNPs</w:t>
            </w:r>
            <w:proofErr w:type="spellEnd"/>
          </w:p>
        </w:tc>
        <w:tc>
          <w:tcPr>
            <w:tcW w:w="706" w:type="pct"/>
            <w:hideMark/>
          </w:tcPr>
          <w:p w14:paraId="58FC4DE5" w14:textId="77777777" w:rsidR="00F83DA4" w:rsidRPr="00F83DA4" w:rsidRDefault="00F83DA4" w:rsidP="00F83DA4">
            <w:pPr>
              <w:pStyle w:val="Body"/>
              <w:rPr>
                <w:rFonts w:ascii="Arial" w:hAnsi="Arial" w:cs="Arial"/>
              </w:rPr>
            </w:pPr>
            <w:r w:rsidRPr="00F83DA4">
              <w:rPr>
                <w:rFonts w:ascii="Arial" w:hAnsi="Arial" w:cs="Arial"/>
              </w:rPr>
              <w:t>10-45</w:t>
            </w:r>
          </w:p>
        </w:tc>
        <w:tc>
          <w:tcPr>
            <w:tcW w:w="771" w:type="pct"/>
            <w:hideMark/>
          </w:tcPr>
          <w:p w14:paraId="62452680" w14:textId="77777777" w:rsidR="00F83DA4" w:rsidRPr="00F83DA4" w:rsidRDefault="00F83DA4" w:rsidP="00F83DA4">
            <w:pPr>
              <w:pStyle w:val="Body"/>
              <w:rPr>
                <w:rFonts w:ascii="Arial" w:hAnsi="Arial" w:cs="Arial"/>
              </w:rPr>
            </w:pPr>
            <w:r w:rsidRPr="00F83DA4">
              <w:rPr>
                <w:rFonts w:ascii="Arial" w:hAnsi="Arial" w:cs="Arial"/>
              </w:rPr>
              <w:t>3-10</w:t>
            </w:r>
          </w:p>
        </w:tc>
        <w:tc>
          <w:tcPr>
            <w:tcW w:w="433" w:type="pct"/>
            <w:hideMark/>
          </w:tcPr>
          <w:p w14:paraId="11E2F450" w14:textId="77777777" w:rsidR="00F83DA4" w:rsidRPr="00F83DA4" w:rsidRDefault="00F83DA4" w:rsidP="00F83DA4">
            <w:pPr>
              <w:pStyle w:val="Body"/>
              <w:rPr>
                <w:rFonts w:ascii="Arial" w:hAnsi="Arial" w:cs="Arial"/>
              </w:rPr>
            </w:pPr>
            <w:r w:rsidRPr="00F83DA4">
              <w:rPr>
                <w:rFonts w:ascii="Arial" w:hAnsi="Arial" w:cs="Arial"/>
              </w:rPr>
              <w:t>500-2000</w:t>
            </w:r>
          </w:p>
        </w:tc>
        <w:tc>
          <w:tcPr>
            <w:tcW w:w="1159" w:type="pct"/>
            <w:hideMark/>
          </w:tcPr>
          <w:p w14:paraId="4AC3658C" w14:textId="77777777" w:rsidR="00F83DA4" w:rsidRPr="00F83DA4" w:rsidRDefault="00F83DA4" w:rsidP="00F83DA4">
            <w:pPr>
              <w:pStyle w:val="Body"/>
              <w:rPr>
                <w:rFonts w:ascii="Arial" w:hAnsi="Arial" w:cs="Arial"/>
              </w:rPr>
            </w:pPr>
            <w:r w:rsidRPr="00F83DA4">
              <w:rPr>
                <w:rFonts w:ascii="Arial" w:hAnsi="Arial" w:cs="Arial"/>
              </w:rPr>
              <w:t>Sulfidation (</w:t>
            </w:r>
            <w:proofErr w:type="spellStart"/>
            <w:r w:rsidRPr="00F83DA4">
              <w:rPr>
                <w:rFonts w:ascii="Arial" w:hAnsi="Arial" w:cs="Arial"/>
              </w:rPr>
              <w:t>Ag</w:t>
            </w:r>
            <w:r w:rsidRPr="00F83DA4">
              <w:rPr>
                <w:rFonts w:ascii="Cambria Math" w:hAnsi="Cambria Math" w:cs="Cambria Math"/>
              </w:rPr>
              <w:t>₂</w:t>
            </w:r>
            <w:r w:rsidRPr="00F83DA4">
              <w:rPr>
                <w:rFonts w:ascii="Arial" w:hAnsi="Arial" w:cs="Arial"/>
              </w:rPr>
              <w:t>S</w:t>
            </w:r>
            <w:proofErr w:type="spellEnd"/>
            <w:r w:rsidRPr="00F83DA4">
              <w:rPr>
                <w:rFonts w:ascii="Arial" w:hAnsi="Arial" w:cs="Arial"/>
              </w:rPr>
              <w:t>), oxidation</w:t>
            </w:r>
          </w:p>
        </w:tc>
        <w:tc>
          <w:tcPr>
            <w:tcW w:w="634" w:type="pct"/>
            <w:hideMark/>
          </w:tcPr>
          <w:p w14:paraId="451B8673" w14:textId="77777777" w:rsidR="00F83DA4" w:rsidRPr="00F83DA4" w:rsidRDefault="00F83DA4" w:rsidP="00F83DA4">
            <w:pPr>
              <w:pStyle w:val="Body"/>
              <w:rPr>
                <w:rFonts w:ascii="Arial" w:hAnsi="Arial" w:cs="Arial"/>
              </w:rPr>
            </w:pPr>
            <w:r w:rsidRPr="00F83DA4">
              <w:rPr>
                <w:rFonts w:ascii="Arial" w:hAnsi="Arial" w:cs="Arial"/>
              </w:rPr>
              <w:t>Low to moderate</w:t>
            </w:r>
          </w:p>
        </w:tc>
        <w:tc>
          <w:tcPr>
            <w:tcW w:w="802" w:type="pct"/>
            <w:hideMark/>
          </w:tcPr>
          <w:p w14:paraId="4C01B468" w14:textId="77777777" w:rsidR="00F83DA4" w:rsidRPr="00F83DA4" w:rsidRDefault="00F83DA4" w:rsidP="00F83DA4">
            <w:pPr>
              <w:pStyle w:val="Body"/>
              <w:rPr>
                <w:rFonts w:ascii="Arial" w:hAnsi="Arial" w:cs="Arial"/>
              </w:rPr>
            </w:pPr>
            <w:r w:rsidRPr="00F83DA4">
              <w:rPr>
                <w:rFonts w:ascii="Arial" w:hAnsi="Arial" w:cs="Arial"/>
              </w:rPr>
              <w:t>Lowry et al., 2012</w:t>
            </w:r>
          </w:p>
        </w:tc>
      </w:tr>
      <w:tr w:rsidR="00F83DA4" w:rsidRPr="00F83DA4" w14:paraId="2A4BE47F" w14:textId="77777777" w:rsidTr="00F83DA4">
        <w:tc>
          <w:tcPr>
            <w:tcW w:w="495" w:type="pct"/>
            <w:hideMark/>
          </w:tcPr>
          <w:p w14:paraId="67AED21F" w14:textId="77777777" w:rsidR="00F83DA4" w:rsidRPr="00F83DA4" w:rsidRDefault="00F83DA4" w:rsidP="00F83DA4">
            <w:pPr>
              <w:pStyle w:val="Body"/>
              <w:rPr>
                <w:rFonts w:ascii="Arial" w:hAnsi="Arial" w:cs="Arial"/>
              </w:rPr>
            </w:pPr>
            <w:proofErr w:type="spellStart"/>
            <w:r w:rsidRPr="00F83DA4">
              <w:rPr>
                <w:rFonts w:ascii="Arial" w:hAnsi="Arial" w:cs="Arial"/>
              </w:rPr>
              <w:t>TiO</w:t>
            </w:r>
            <w:proofErr w:type="spellEnd"/>
            <w:r w:rsidRPr="00F83DA4">
              <w:rPr>
                <w:rFonts w:ascii="Cambria Math" w:hAnsi="Cambria Math" w:cs="Cambria Math"/>
              </w:rPr>
              <w:t>₂</w:t>
            </w:r>
            <w:r w:rsidRPr="00F83DA4">
              <w:rPr>
                <w:rFonts w:ascii="Arial" w:hAnsi="Arial" w:cs="Arial"/>
              </w:rPr>
              <w:t xml:space="preserve"> NPs</w:t>
            </w:r>
          </w:p>
        </w:tc>
        <w:tc>
          <w:tcPr>
            <w:tcW w:w="706" w:type="pct"/>
            <w:hideMark/>
          </w:tcPr>
          <w:p w14:paraId="38BFE4AD" w14:textId="77777777" w:rsidR="00F83DA4" w:rsidRPr="00F83DA4" w:rsidRDefault="00F83DA4" w:rsidP="00F83DA4">
            <w:pPr>
              <w:pStyle w:val="Body"/>
              <w:rPr>
                <w:rFonts w:ascii="Arial" w:hAnsi="Arial" w:cs="Arial"/>
              </w:rPr>
            </w:pPr>
            <w:r w:rsidRPr="00F83DA4">
              <w:rPr>
                <w:rFonts w:ascii="Arial" w:hAnsi="Arial" w:cs="Arial"/>
              </w:rPr>
              <w:t>&gt;365</w:t>
            </w:r>
          </w:p>
        </w:tc>
        <w:tc>
          <w:tcPr>
            <w:tcW w:w="771" w:type="pct"/>
            <w:hideMark/>
          </w:tcPr>
          <w:p w14:paraId="34B48C87" w14:textId="77777777" w:rsidR="00F83DA4" w:rsidRPr="00F83DA4" w:rsidRDefault="00F83DA4" w:rsidP="00F83DA4">
            <w:pPr>
              <w:pStyle w:val="Body"/>
              <w:rPr>
                <w:rFonts w:ascii="Arial" w:hAnsi="Arial" w:cs="Arial"/>
              </w:rPr>
            </w:pPr>
            <w:r w:rsidRPr="00F83DA4">
              <w:rPr>
                <w:rFonts w:ascii="Arial" w:hAnsi="Arial" w:cs="Arial"/>
              </w:rPr>
              <w:t>&gt;180</w:t>
            </w:r>
          </w:p>
        </w:tc>
        <w:tc>
          <w:tcPr>
            <w:tcW w:w="433" w:type="pct"/>
            <w:hideMark/>
          </w:tcPr>
          <w:p w14:paraId="0D7FDC0E" w14:textId="77777777" w:rsidR="00F83DA4" w:rsidRPr="00F83DA4" w:rsidRDefault="00F83DA4" w:rsidP="00F83DA4">
            <w:pPr>
              <w:pStyle w:val="Body"/>
              <w:rPr>
                <w:rFonts w:ascii="Arial" w:hAnsi="Arial" w:cs="Arial"/>
              </w:rPr>
            </w:pPr>
            <w:r w:rsidRPr="00F83DA4">
              <w:rPr>
                <w:rFonts w:ascii="Arial" w:hAnsi="Arial" w:cs="Arial"/>
              </w:rPr>
              <w:t>1000-5000</w:t>
            </w:r>
          </w:p>
        </w:tc>
        <w:tc>
          <w:tcPr>
            <w:tcW w:w="1159" w:type="pct"/>
            <w:hideMark/>
          </w:tcPr>
          <w:p w14:paraId="7D29C3B9" w14:textId="77777777" w:rsidR="00F83DA4" w:rsidRPr="00F83DA4" w:rsidRDefault="00F83DA4" w:rsidP="00F83DA4">
            <w:pPr>
              <w:pStyle w:val="Body"/>
              <w:rPr>
                <w:rFonts w:ascii="Arial" w:hAnsi="Arial" w:cs="Arial"/>
              </w:rPr>
            </w:pPr>
            <w:r w:rsidRPr="00F83DA4">
              <w:rPr>
                <w:rFonts w:ascii="Arial" w:hAnsi="Arial" w:cs="Arial"/>
              </w:rPr>
              <w:t>Minimal transformation, aggregation</w:t>
            </w:r>
          </w:p>
        </w:tc>
        <w:tc>
          <w:tcPr>
            <w:tcW w:w="634" w:type="pct"/>
            <w:hideMark/>
          </w:tcPr>
          <w:p w14:paraId="46468AB7" w14:textId="77777777" w:rsidR="00F83DA4" w:rsidRPr="00F83DA4" w:rsidRDefault="00F83DA4" w:rsidP="00F83DA4">
            <w:pPr>
              <w:pStyle w:val="Body"/>
              <w:rPr>
                <w:rFonts w:ascii="Arial" w:hAnsi="Arial" w:cs="Arial"/>
              </w:rPr>
            </w:pPr>
            <w:r w:rsidRPr="00F83DA4">
              <w:rPr>
                <w:rFonts w:ascii="Arial" w:hAnsi="Arial" w:cs="Arial"/>
              </w:rPr>
              <w:t>Very low</w:t>
            </w:r>
          </w:p>
        </w:tc>
        <w:tc>
          <w:tcPr>
            <w:tcW w:w="802" w:type="pct"/>
            <w:hideMark/>
          </w:tcPr>
          <w:p w14:paraId="1B4467B9" w14:textId="77777777" w:rsidR="00F83DA4" w:rsidRPr="00F83DA4" w:rsidRDefault="00F83DA4" w:rsidP="00F83DA4">
            <w:pPr>
              <w:pStyle w:val="Body"/>
              <w:rPr>
                <w:rFonts w:ascii="Arial" w:hAnsi="Arial" w:cs="Arial"/>
              </w:rPr>
            </w:pPr>
            <w:r w:rsidRPr="00F83DA4">
              <w:rPr>
                <w:rFonts w:ascii="Arial" w:hAnsi="Arial" w:cs="Arial"/>
              </w:rPr>
              <w:t>Gottschalk et al., 2013</w:t>
            </w:r>
          </w:p>
        </w:tc>
      </w:tr>
      <w:tr w:rsidR="00F83DA4" w:rsidRPr="00F83DA4" w14:paraId="789D90E9" w14:textId="77777777" w:rsidTr="00F83DA4">
        <w:tc>
          <w:tcPr>
            <w:tcW w:w="495" w:type="pct"/>
            <w:hideMark/>
          </w:tcPr>
          <w:p w14:paraId="3C89B022" w14:textId="77777777" w:rsidR="00F83DA4" w:rsidRPr="00F83DA4" w:rsidRDefault="00F83DA4" w:rsidP="00F83DA4">
            <w:pPr>
              <w:pStyle w:val="Body"/>
              <w:rPr>
                <w:rFonts w:ascii="Arial" w:hAnsi="Arial" w:cs="Arial"/>
              </w:rPr>
            </w:pPr>
            <w:r w:rsidRPr="00F83DA4">
              <w:rPr>
                <w:rFonts w:ascii="Arial" w:hAnsi="Arial" w:cs="Arial"/>
              </w:rPr>
              <w:t>Chitosan NPs</w:t>
            </w:r>
          </w:p>
        </w:tc>
        <w:tc>
          <w:tcPr>
            <w:tcW w:w="706" w:type="pct"/>
            <w:hideMark/>
          </w:tcPr>
          <w:p w14:paraId="0936D395" w14:textId="77777777" w:rsidR="00F83DA4" w:rsidRPr="00F83DA4" w:rsidRDefault="00F83DA4" w:rsidP="00F83DA4">
            <w:pPr>
              <w:pStyle w:val="Body"/>
              <w:rPr>
                <w:rFonts w:ascii="Arial" w:hAnsi="Arial" w:cs="Arial"/>
              </w:rPr>
            </w:pPr>
            <w:r w:rsidRPr="00F83DA4">
              <w:rPr>
                <w:rFonts w:ascii="Arial" w:hAnsi="Arial" w:cs="Arial"/>
              </w:rPr>
              <w:t>7-21</w:t>
            </w:r>
          </w:p>
        </w:tc>
        <w:tc>
          <w:tcPr>
            <w:tcW w:w="771" w:type="pct"/>
            <w:hideMark/>
          </w:tcPr>
          <w:p w14:paraId="175FBCB2" w14:textId="77777777" w:rsidR="00F83DA4" w:rsidRPr="00F83DA4" w:rsidRDefault="00F83DA4" w:rsidP="00F83DA4">
            <w:pPr>
              <w:pStyle w:val="Body"/>
              <w:rPr>
                <w:rFonts w:ascii="Arial" w:hAnsi="Arial" w:cs="Arial"/>
              </w:rPr>
            </w:pPr>
            <w:r w:rsidRPr="00F83DA4">
              <w:rPr>
                <w:rFonts w:ascii="Arial" w:hAnsi="Arial" w:cs="Arial"/>
              </w:rPr>
              <w:t>3-10</w:t>
            </w:r>
          </w:p>
        </w:tc>
        <w:tc>
          <w:tcPr>
            <w:tcW w:w="433" w:type="pct"/>
            <w:hideMark/>
          </w:tcPr>
          <w:p w14:paraId="4ED6A9AB" w14:textId="77777777" w:rsidR="00F83DA4" w:rsidRPr="00F83DA4" w:rsidRDefault="00F83DA4" w:rsidP="00F83DA4">
            <w:pPr>
              <w:pStyle w:val="Body"/>
              <w:rPr>
                <w:rFonts w:ascii="Arial" w:hAnsi="Arial" w:cs="Arial"/>
              </w:rPr>
            </w:pPr>
            <w:r w:rsidRPr="00F83DA4">
              <w:rPr>
                <w:rFonts w:ascii="Arial" w:hAnsi="Arial" w:cs="Arial"/>
              </w:rPr>
              <w:t>50-200</w:t>
            </w:r>
          </w:p>
        </w:tc>
        <w:tc>
          <w:tcPr>
            <w:tcW w:w="1159" w:type="pct"/>
            <w:hideMark/>
          </w:tcPr>
          <w:p w14:paraId="1C37D705" w14:textId="77777777" w:rsidR="00F83DA4" w:rsidRPr="00F83DA4" w:rsidRDefault="00F83DA4" w:rsidP="00F83DA4">
            <w:pPr>
              <w:pStyle w:val="Body"/>
              <w:rPr>
                <w:rFonts w:ascii="Arial" w:hAnsi="Arial" w:cs="Arial"/>
              </w:rPr>
            </w:pPr>
            <w:r w:rsidRPr="00F83DA4">
              <w:rPr>
                <w:rFonts w:ascii="Arial" w:hAnsi="Arial" w:cs="Arial"/>
              </w:rPr>
              <w:t>Biodegradation by microbes</w:t>
            </w:r>
          </w:p>
        </w:tc>
        <w:tc>
          <w:tcPr>
            <w:tcW w:w="634" w:type="pct"/>
            <w:hideMark/>
          </w:tcPr>
          <w:p w14:paraId="2540A2C0" w14:textId="77777777" w:rsidR="00F83DA4" w:rsidRPr="00F83DA4" w:rsidRDefault="00F83DA4" w:rsidP="00F83DA4">
            <w:pPr>
              <w:pStyle w:val="Body"/>
              <w:rPr>
                <w:rFonts w:ascii="Arial" w:hAnsi="Arial" w:cs="Arial"/>
              </w:rPr>
            </w:pPr>
            <w:r w:rsidRPr="00F83DA4">
              <w:rPr>
                <w:rFonts w:ascii="Arial" w:hAnsi="Arial" w:cs="Arial"/>
              </w:rPr>
              <w:t>Low (biodegrades)</w:t>
            </w:r>
          </w:p>
        </w:tc>
        <w:tc>
          <w:tcPr>
            <w:tcW w:w="802" w:type="pct"/>
            <w:hideMark/>
          </w:tcPr>
          <w:p w14:paraId="3BB0619D" w14:textId="77777777" w:rsidR="00F83DA4" w:rsidRPr="00F83DA4" w:rsidRDefault="00F83DA4" w:rsidP="00F83DA4">
            <w:pPr>
              <w:pStyle w:val="Body"/>
              <w:rPr>
                <w:rFonts w:ascii="Arial" w:hAnsi="Arial" w:cs="Arial"/>
              </w:rPr>
            </w:pPr>
            <w:r w:rsidRPr="00F83DA4">
              <w:rPr>
                <w:rFonts w:ascii="Arial" w:hAnsi="Arial" w:cs="Arial"/>
              </w:rPr>
              <w:t>Kean and Thanou, 2010</w:t>
            </w:r>
          </w:p>
        </w:tc>
      </w:tr>
      <w:tr w:rsidR="00F83DA4" w:rsidRPr="00F83DA4" w14:paraId="4D8D836E" w14:textId="77777777" w:rsidTr="00F83DA4">
        <w:tc>
          <w:tcPr>
            <w:tcW w:w="495" w:type="pct"/>
            <w:hideMark/>
          </w:tcPr>
          <w:p w14:paraId="4FCD226B" w14:textId="77777777" w:rsidR="00F83DA4" w:rsidRPr="00F83DA4" w:rsidRDefault="00F83DA4" w:rsidP="00F83DA4">
            <w:pPr>
              <w:pStyle w:val="Body"/>
              <w:rPr>
                <w:rFonts w:ascii="Arial" w:hAnsi="Arial" w:cs="Arial"/>
              </w:rPr>
            </w:pPr>
            <w:r w:rsidRPr="00F83DA4">
              <w:rPr>
                <w:rFonts w:ascii="Arial" w:hAnsi="Arial" w:cs="Arial"/>
              </w:rPr>
              <w:t>PLGA NPs</w:t>
            </w:r>
          </w:p>
        </w:tc>
        <w:tc>
          <w:tcPr>
            <w:tcW w:w="706" w:type="pct"/>
            <w:hideMark/>
          </w:tcPr>
          <w:p w14:paraId="0BAE52BE" w14:textId="77777777" w:rsidR="00F83DA4" w:rsidRPr="00F83DA4" w:rsidRDefault="00F83DA4" w:rsidP="00F83DA4">
            <w:pPr>
              <w:pStyle w:val="Body"/>
              <w:rPr>
                <w:rFonts w:ascii="Arial" w:hAnsi="Arial" w:cs="Arial"/>
              </w:rPr>
            </w:pPr>
            <w:r w:rsidRPr="00F83DA4">
              <w:rPr>
                <w:rFonts w:ascii="Arial" w:hAnsi="Arial" w:cs="Arial"/>
              </w:rPr>
              <w:t>14-60</w:t>
            </w:r>
          </w:p>
        </w:tc>
        <w:tc>
          <w:tcPr>
            <w:tcW w:w="771" w:type="pct"/>
            <w:hideMark/>
          </w:tcPr>
          <w:p w14:paraId="39A8FDC5" w14:textId="77777777" w:rsidR="00F83DA4" w:rsidRPr="00F83DA4" w:rsidRDefault="00F83DA4" w:rsidP="00F83DA4">
            <w:pPr>
              <w:pStyle w:val="Body"/>
              <w:rPr>
                <w:rFonts w:ascii="Arial" w:hAnsi="Arial" w:cs="Arial"/>
              </w:rPr>
            </w:pPr>
            <w:r w:rsidRPr="00F83DA4">
              <w:rPr>
                <w:rFonts w:ascii="Arial" w:hAnsi="Arial" w:cs="Arial"/>
              </w:rPr>
              <w:t>7-30</w:t>
            </w:r>
          </w:p>
        </w:tc>
        <w:tc>
          <w:tcPr>
            <w:tcW w:w="433" w:type="pct"/>
            <w:hideMark/>
          </w:tcPr>
          <w:p w14:paraId="231C31A1" w14:textId="77777777" w:rsidR="00F83DA4" w:rsidRPr="00F83DA4" w:rsidRDefault="00F83DA4" w:rsidP="00F83DA4">
            <w:pPr>
              <w:pStyle w:val="Body"/>
              <w:rPr>
                <w:rFonts w:ascii="Arial" w:hAnsi="Arial" w:cs="Arial"/>
              </w:rPr>
            </w:pPr>
            <w:r w:rsidRPr="00F83DA4">
              <w:rPr>
                <w:rFonts w:ascii="Arial" w:hAnsi="Arial" w:cs="Arial"/>
              </w:rPr>
              <w:t>100-400</w:t>
            </w:r>
          </w:p>
        </w:tc>
        <w:tc>
          <w:tcPr>
            <w:tcW w:w="1159" w:type="pct"/>
            <w:hideMark/>
          </w:tcPr>
          <w:p w14:paraId="0BA8B6C6" w14:textId="77777777" w:rsidR="00F83DA4" w:rsidRPr="00F83DA4" w:rsidRDefault="00F83DA4" w:rsidP="00F83DA4">
            <w:pPr>
              <w:pStyle w:val="Body"/>
              <w:rPr>
                <w:rFonts w:ascii="Arial" w:hAnsi="Arial" w:cs="Arial"/>
              </w:rPr>
            </w:pPr>
            <w:r w:rsidRPr="00F83DA4">
              <w:rPr>
                <w:rFonts w:ascii="Arial" w:hAnsi="Arial" w:cs="Arial"/>
              </w:rPr>
              <w:t>Hydrolysis to lactic/glycolic acid</w:t>
            </w:r>
          </w:p>
        </w:tc>
        <w:tc>
          <w:tcPr>
            <w:tcW w:w="634" w:type="pct"/>
            <w:hideMark/>
          </w:tcPr>
          <w:p w14:paraId="62786FC4" w14:textId="77777777" w:rsidR="00F83DA4" w:rsidRPr="00F83DA4" w:rsidRDefault="00F83DA4" w:rsidP="00F83DA4">
            <w:pPr>
              <w:pStyle w:val="Body"/>
              <w:rPr>
                <w:rFonts w:ascii="Arial" w:hAnsi="Arial" w:cs="Arial"/>
              </w:rPr>
            </w:pPr>
            <w:r w:rsidRPr="00F83DA4">
              <w:rPr>
                <w:rFonts w:ascii="Arial" w:hAnsi="Arial" w:cs="Arial"/>
              </w:rPr>
              <w:t>Low (biodegrades)</w:t>
            </w:r>
          </w:p>
        </w:tc>
        <w:tc>
          <w:tcPr>
            <w:tcW w:w="802" w:type="pct"/>
            <w:hideMark/>
          </w:tcPr>
          <w:p w14:paraId="4164A7FE" w14:textId="77777777" w:rsidR="00F83DA4" w:rsidRPr="00F83DA4" w:rsidRDefault="00F83DA4" w:rsidP="00F83DA4">
            <w:pPr>
              <w:pStyle w:val="Body"/>
              <w:rPr>
                <w:rFonts w:ascii="Arial" w:hAnsi="Arial" w:cs="Arial"/>
              </w:rPr>
            </w:pPr>
            <w:proofErr w:type="spellStart"/>
            <w:r w:rsidRPr="00F83DA4">
              <w:rPr>
                <w:rFonts w:ascii="Arial" w:hAnsi="Arial" w:cs="Arial"/>
              </w:rPr>
              <w:t>Danhier</w:t>
            </w:r>
            <w:proofErr w:type="spellEnd"/>
            <w:r w:rsidRPr="00F83DA4">
              <w:rPr>
                <w:rFonts w:ascii="Arial" w:hAnsi="Arial" w:cs="Arial"/>
              </w:rPr>
              <w:t xml:space="preserve"> et al., 2012</w:t>
            </w:r>
          </w:p>
        </w:tc>
      </w:tr>
      <w:tr w:rsidR="00F83DA4" w:rsidRPr="00F83DA4" w14:paraId="0E572B61" w14:textId="77777777" w:rsidTr="00F83DA4">
        <w:tc>
          <w:tcPr>
            <w:tcW w:w="495" w:type="pct"/>
            <w:hideMark/>
          </w:tcPr>
          <w:p w14:paraId="48F7E9BA" w14:textId="77777777" w:rsidR="00F83DA4" w:rsidRPr="00F83DA4" w:rsidRDefault="00F83DA4" w:rsidP="00F83DA4">
            <w:pPr>
              <w:pStyle w:val="Body"/>
              <w:rPr>
                <w:rFonts w:ascii="Arial" w:hAnsi="Arial" w:cs="Arial"/>
              </w:rPr>
            </w:pPr>
            <w:r w:rsidRPr="00F83DA4">
              <w:rPr>
                <w:rFonts w:ascii="Arial" w:hAnsi="Arial" w:cs="Arial"/>
              </w:rPr>
              <w:t>SLN</w:t>
            </w:r>
          </w:p>
        </w:tc>
        <w:tc>
          <w:tcPr>
            <w:tcW w:w="706" w:type="pct"/>
            <w:hideMark/>
          </w:tcPr>
          <w:p w14:paraId="69CE6B72" w14:textId="77777777" w:rsidR="00F83DA4" w:rsidRPr="00F83DA4" w:rsidRDefault="00F83DA4" w:rsidP="00F83DA4">
            <w:pPr>
              <w:pStyle w:val="Body"/>
              <w:rPr>
                <w:rFonts w:ascii="Arial" w:hAnsi="Arial" w:cs="Arial"/>
              </w:rPr>
            </w:pPr>
            <w:r w:rsidRPr="00F83DA4">
              <w:rPr>
                <w:rFonts w:ascii="Arial" w:hAnsi="Arial" w:cs="Arial"/>
              </w:rPr>
              <w:t>7-21</w:t>
            </w:r>
          </w:p>
        </w:tc>
        <w:tc>
          <w:tcPr>
            <w:tcW w:w="771" w:type="pct"/>
            <w:hideMark/>
          </w:tcPr>
          <w:p w14:paraId="2EFCDD51" w14:textId="77777777" w:rsidR="00F83DA4" w:rsidRPr="00F83DA4" w:rsidRDefault="00F83DA4" w:rsidP="00F83DA4">
            <w:pPr>
              <w:pStyle w:val="Body"/>
              <w:rPr>
                <w:rFonts w:ascii="Arial" w:hAnsi="Arial" w:cs="Arial"/>
              </w:rPr>
            </w:pPr>
            <w:r w:rsidRPr="00F83DA4">
              <w:rPr>
                <w:rFonts w:ascii="Arial" w:hAnsi="Arial" w:cs="Arial"/>
              </w:rPr>
              <w:t>3-14</w:t>
            </w:r>
          </w:p>
        </w:tc>
        <w:tc>
          <w:tcPr>
            <w:tcW w:w="433" w:type="pct"/>
            <w:hideMark/>
          </w:tcPr>
          <w:p w14:paraId="35C32B4B" w14:textId="77777777" w:rsidR="00F83DA4" w:rsidRPr="00F83DA4" w:rsidRDefault="00F83DA4" w:rsidP="00F83DA4">
            <w:pPr>
              <w:pStyle w:val="Body"/>
              <w:rPr>
                <w:rFonts w:ascii="Arial" w:hAnsi="Arial" w:cs="Arial"/>
              </w:rPr>
            </w:pPr>
            <w:r w:rsidRPr="00F83DA4">
              <w:rPr>
                <w:rFonts w:ascii="Arial" w:hAnsi="Arial" w:cs="Arial"/>
              </w:rPr>
              <w:t>80-300</w:t>
            </w:r>
          </w:p>
        </w:tc>
        <w:tc>
          <w:tcPr>
            <w:tcW w:w="1159" w:type="pct"/>
            <w:hideMark/>
          </w:tcPr>
          <w:p w14:paraId="1B609EEF" w14:textId="77777777" w:rsidR="00F83DA4" w:rsidRPr="00F83DA4" w:rsidRDefault="00F83DA4" w:rsidP="00F83DA4">
            <w:pPr>
              <w:pStyle w:val="Body"/>
              <w:rPr>
                <w:rFonts w:ascii="Arial" w:hAnsi="Arial" w:cs="Arial"/>
              </w:rPr>
            </w:pPr>
            <w:r w:rsidRPr="00F83DA4">
              <w:rPr>
                <w:rFonts w:ascii="Arial" w:hAnsi="Arial" w:cs="Arial"/>
              </w:rPr>
              <w:t>Biodegradation, lipase activity</w:t>
            </w:r>
          </w:p>
        </w:tc>
        <w:tc>
          <w:tcPr>
            <w:tcW w:w="634" w:type="pct"/>
            <w:hideMark/>
          </w:tcPr>
          <w:p w14:paraId="64BE03A0" w14:textId="77777777" w:rsidR="00F83DA4" w:rsidRPr="00F83DA4" w:rsidRDefault="00F83DA4" w:rsidP="00F83DA4">
            <w:pPr>
              <w:pStyle w:val="Body"/>
              <w:rPr>
                <w:rFonts w:ascii="Arial" w:hAnsi="Arial" w:cs="Arial"/>
              </w:rPr>
            </w:pPr>
            <w:r w:rsidRPr="00F83DA4">
              <w:rPr>
                <w:rFonts w:ascii="Arial" w:hAnsi="Arial" w:cs="Arial"/>
              </w:rPr>
              <w:t>Low (biodegrades)</w:t>
            </w:r>
          </w:p>
        </w:tc>
        <w:tc>
          <w:tcPr>
            <w:tcW w:w="802" w:type="pct"/>
            <w:hideMark/>
          </w:tcPr>
          <w:p w14:paraId="689DF1EE" w14:textId="77777777" w:rsidR="00F83DA4" w:rsidRPr="00F83DA4" w:rsidRDefault="00F83DA4" w:rsidP="00F83DA4">
            <w:pPr>
              <w:pStyle w:val="Body"/>
              <w:rPr>
                <w:rFonts w:ascii="Arial" w:hAnsi="Arial" w:cs="Arial"/>
              </w:rPr>
            </w:pPr>
            <w:r w:rsidRPr="00F83DA4">
              <w:rPr>
                <w:rFonts w:ascii="Arial" w:hAnsi="Arial" w:cs="Arial"/>
              </w:rPr>
              <w:t>Müller et al., 2000</w:t>
            </w:r>
          </w:p>
        </w:tc>
      </w:tr>
      <w:tr w:rsidR="00F83DA4" w:rsidRPr="00F83DA4" w14:paraId="61BF4FC5" w14:textId="77777777" w:rsidTr="00F83DA4">
        <w:tc>
          <w:tcPr>
            <w:tcW w:w="495" w:type="pct"/>
            <w:hideMark/>
          </w:tcPr>
          <w:p w14:paraId="4127DBA4" w14:textId="77777777" w:rsidR="00F83DA4" w:rsidRPr="00F83DA4" w:rsidRDefault="00F83DA4" w:rsidP="00F83DA4">
            <w:pPr>
              <w:pStyle w:val="Body"/>
              <w:rPr>
                <w:rFonts w:ascii="Arial" w:hAnsi="Arial" w:cs="Arial"/>
              </w:rPr>
            </w:pPr>
            <w:r w:rsidRPr="00F83DA4">
              <w:rPr>
                <w:rFonts w:ascii="Arial" w:hAnsi="Arial" w:cs="Arial"/>
              </w:rPr>
              <w:t>Liposomes</w:t>
            </w:r>
          </w:p>
        </w:tc>
        <w:tc>
          <w:tcPr>
            <w:tcW w:w="706" w:type="pct"/>
            <w:hideMark/>
          </w:tcPr>
          <w:p w14:paraId="3121ED48" w14:textId="77777777" w:rsidR="00F83DA4" w:rsidRPr="00F83DA4" w:rsidRDefault="00F83DA4" w:rsidP="00F83DA4">
            <w:pPr>
              <w:pStyle w:val="Body"/>
              <w:rPr>
                <w:rFonts w:ascii="Arial" w:hAnsi="Arial" w:cs="Arial"/>
              </w:rPr>
            </w:pPr>
            <w:r w:rsidRPr="00F83DA4">
              <w:rPr>
                <w:rFonts w:ascii="Arial" w:hAnsi="Arial" w:cs="Arial"/>
              </w:rPr>
              <w:t>3-10</w:t>
            </w:r>
          </w:p>
        </w:tc>
        <w:tc>
          <w:tcPr>
            <w:tcW w:w="771" w:type="pct"/>
            <w:hideMark/>
          </w:tcPr>
          <w:p w14:paraId="7D98C0AA" w14:textId="77777777" w:rsidR="00F83DA4" w:rsidRPr="00F83DA4" w:rsidRDefault="00F83DA4" w:rsidP="00F83DA4">
            <w:pPr>
              <w:pStyle w:val="Body"/>
              <w:rPr>
                <w:rFonts w:ascii="Arial" w:hAnsi="Arial" w:cs="Arial"/>
              </w:rPr>
            </w:pPr>
            <w:r w:rsidRPr="00F83DA4">
              <w:rPr>
                <w:rFonts w:ascii="Arial" w:hAnsi="Arial" w:cs="Arial"/>
              </w:rPr>
              <w:t>1-5</w:t>
            </w:r>
          </w:p>
        </w:tc>
        <w:tc>
          <w:tcPr>
            <w:tcW w:w="433" w:type="pct"/>
            <w:hideMark/>
          </w:tcPr>
          <w:p w14:paraId="68242DF8" w14:textId="77777777" w:rsidR="00F83DA4" w:rsidRPr="00F83DA4" w:rsidRDefault="00F83DA4" w:rsidP="00F83DA4">
            <w:pPr>
              <w:pStyle w:val="Body"/>
              <w:rPr>
                <w:rFonts w:ascii="Arial" w:hAnsi="Arial" w:cs="Arial"/>
              </w:rPr>
            </w:pPr>
            <w:r w:rsidRPr="00F83DA4">
              <w:rPr>
                <w:rFonts w:ascii="Arial" w:hAnsi="Arial" w:cs="Arial"/>
              </w:rPr>
              <w:t>20-100</w:t>
            </w:r>
          </w:p>
        </w:tc>
        <w:tc>
          <w:tcPr>
            <w:tcW w:w="1159" w:type="pct"/>
            <w:hideMark/>
          </w:tcPr>
          <w:p w14:paraId="4F0478CE" w14:textId="77777777" w:rsidR="00F83DA4" w:rsidRPr="00F83DA4" w:rsidRDefault="00F83DA4" w:rsidP="00F83DA4">
            <w:pPr>
              <w:pStyle w:val="Body"/>
              <w:rPr>
                <w:rFonts w:ascii="Arial" w:hAnsi="Arial" w:cs="Arial"/>
              </w:rPr>
            </w:pPr>
            <w:r w:rsidRPr="00F83DA4">
              <w:rPr>
                <w:rFonts w:ascii="Arial" w:hAnsi="Arial" w:cs="Arial"/>
              </w:rPr>
              <w:t>Rapid biodegradation</w:t>
            </w:r>
          </w:p>
        </w:tc>
        <w:tc>
          <w:tcPr>
            <w:tcW w:w="634" w:type="pct"/>
            <w:hideMark/>
          </w:tcPr>
          <w:p w14:paraId="799B5E62" w14:textId="77777777" w:rsidR="00F83DA4" w:rsidRPr="00F83DA4" w:rsidRDefault="00F83DA4" w:rsidP="00F83DA4">
            <w:pPr>
              <w:pStyle w:val="Body"/>
              <w:rPr>
                <w:rFonts w:ascii="Arial" w:hAnsi="Arial" w:cs="Arial"/>
              </w:rPr>
            </w:pPr>
            <w:r w:rsidRPr="00F83DA4">
              <w:rPr>
                <w:rFonts w:ascii="Arial" w:hAnsi="Arial" w:cs="Arial"/>
              </w:rPr>
              <w:t>Very low</w:t>
            </w:r>
          </w:p>
        </w:tc>
        <w:tc>
          <w:tcPr>
            <w:tcW w:w="802" w:type="pct"/>
            <w:hideMark/>
          </w:tcPr>
          <w:p w14:paraId="5880D6DA" w14:textId="77777777" w:rsidR="00F83DA4" w:rsidRPr="00F83DA4" w:rsidRDefault="00F83DA4" w:rsidP="00F83DA4">
            <w:pPr>
              <w:pStyle w:val="Body"/>
              <w:rPr>
                <w:rFonts w:ascii="Arial" w:hAnsi="Arial" w:cs="Arial"/>
              </w:rPr>
            </w:pPr>
            <w:r w:rsidRPr="00F83DA4">
              <w:rPr>
                <w:rFonts w:ascii="Arial" w:hAnsi="Arial" w:cs="Arial"/>
              </w:rPr>
              <w:t>Akbarzadeh et al., 2013</w:t>
            </w:r>
          </w:p>
        </w:tc>
      </w:tr>
      <w:tr w:rsidR="00F83DA4" w:rsidRPr="00F83DA4" w14:paraId="5AB51EB7" w14:textId="77777777" w:rsidTr="00F83DA4">
        <w:tc>
          <w:tcPr>
            <w:tcW w:w="495" w:type="pct"/>
            <w:hideMark/>
          </w:tcPr>
          <w:p w14:paraId="03642BF6" w14:textId="77777777" w:rsidR="00F83DA4" w:rsidRPr="00F83DA4" w:rsidRDefault="00F83DA4" w:rsidP="00F83DA4">
            <w:pPr>
              <w:pStyle w:val="Body"/>
              <w:rPr>
                <w:rFonts w:ascii="Arial" w:hAnsi="Arial" w:cs="Arial"/>
              </w:rPr>
            </w:pPr>
            <w:r w:rsidRPr="00F83DA4">
              <w:rPr>
                <w:rFonts w:ascii="Arial" w:hAnsi="Arial" w:cs="Arial"/>
              </w:rPr>
              <w:t>MSN</w:t>
            </w:r>
          </w:p>
        </w:tc>
        <w:tc>
          <w:tcPr>
            <w:tcW w:w="706" w:type="pct"/>
            <w:hideMark/>
          </w:tcPr>
          <w:p w14:paraId="34F7255B" w14:textId="77777777" w:rsidR="00F83DA4" w:rsidRPr="00F83DA4" w:rsidRDefault="00F83DA4" w:rsidP="00F83DA4">
            <w:pPr>
              <w:pStyle w:val="Body"/>
              <w:rPr>
                <w:rFonts w:ascii="Arial" w:hAnsi="Arial" w:cs="Arial"/>
              </w:rPr>
            </w:pPr>
            <w:r w:rsidRPr="00F83DA4">
              <w:rPr>
                <w:rFonts w:ascii="Arial" w:hAnsi="Arial" w:cs="Arial"/>
              </w:rPr>
              <w:t>&gt;180</w:t>
            </w:r>
          </w:p>
        </w:tc>
        <w:tc>
          <w:tcPr>
            <w:tcW w:w="771" w:type="pct"/>
            <w:hideMark/>
          </w:tcPr>
          <w:p w14:paraId="0860D540" w14:textId="77777777" w:rsidR="00F83DA4" w:rsidRPr="00F83DA4" w:rsidRDefault="00F83DA4" w:rsidP="00F83DA4">
            <w:pPr>
              <w:pStyle w:val="Body"/>
              <w:rPr>
                <w:rFonts w:ascii="Arial" w:hAnsi="Arial" w:cs="Arial"/>
              </w:rPr>
            </w:pPr>
            <w:r w:rsidRPr="00F83DA4">
              <w:rPr>
                <w:rFonts w:ascii="Arial" w:hAnsi="Arial" w:cs="Arial"/>
              </w:rPr>
              <w:t>&gt;90</w:t>
            </w:r>
          </w:p>
        </w:tc>
        <w:tc>
          <w:tcPr>
            <w:tcW w:w="433" w:type="pct"/>
            <w:hideMark/>
          </w:tcPr>
          <w:p w14:paraId="05E1ACC7" w14:textId="77777777" w:rsidR="00F83DA4" w:rsidRPr="00F83DA4" w:rsidRDefault="00F83DA4" w:rsidP="00F83DA4">
            <w:pPr>
              <w:pStyle w:val="Body"/>
              <w:rPr>
                <w:rFonts w:ascii="Arial" w:hAnsi="Arial" w:cs="Arial"/>
              </w:rPr>
            </w:pPr>
            <w:r w:rsidRPr="00F83DA4">
              <w:rPr>
                <w:rFonts w:ascii="Arial" w:hAnsi="Arial" w:cs="Arial"/>
              </w:rPr>
              <w:t>500-2000</w:t>
            </w:r>
          </w:p>
        </w:tc>
        <w:tc>
          <w:tcPr>
            <w:tcW w:w="1159" w:type="pct"/>
            <w:hideMark/>
          </w:tcPr>
          <w:p w14:paraId="3DAE0E6F" w14:textId="77777777" w:rsidR="00F83DA4" w:rsidRPr="00F83DA4" w:rsidRDefault="00F83DA4" w:rsidP="00F83DA4">
            <w:pPr>
              <w:pStyle w:val="Body"/>
              <w:rPr>
                <w:rFonts w:ascii="Arial" w:hAnsi="Arial" w:cs="Arial"/>
              </w:rPr>
            </w:pPr>
            <w:r w:rsidRPr="00F83DA4">
              <w:rPr>
                <w:rFonts w:ascii="Arial" w:hAnsi="Arial" w:cs="Arial"/>
              </w:rPr>
              <w:t>Slow dissolution (Si release)</w:t>
            </w:r>
          </w:p>
        </w:tc>
        <w:tc>
          <w:tcPr>
            <w:tcW w:w="634" w:type="pct"/>
            <w:hideMark/>
          </w:tcPr>
          <w:p w14:paraId="596C7E62" w14:textId="77777777" w:rsidR="00F83DA4" w:rsidRPr="00F83DA4" w:rsidRDefault="00F83DA4" w:rsidP="00F83DA4">
            <w:pPr>
              <w:pStyle w:val="Body"/>
              <w:rPr>
                <w:rFonts w:ascii="Arial" w:hAnsi="Arial" w:cs="Arial"/>
              </w:rPr>
            </w:pPr>
            <w:r w:rsidRPr="00F83DA4">
              <w:rPr>
                <w:rFonts w:ascii="Arial" w:hAnsi="Arial" w:cs="Arial"/>
              </w:rPr>
              <w:t>Low</w:t>
            </w:r>
          </w:p>
        </w:tc>
        <w:tc>
          <w:tcPr>
            <w:tcW w:w="802" w:type="pct"/>
            <w:hideMark/>
          </w:tcPr>
          <w:p w14:paraId="32394913" w14:textId="77777777" w:rsidR="00F83DA4" w:rsidRPr="00F83DA4" w:rsidRDefault="00F83DA4" w:rsidP="00F83DA4">
            <w:pPr>
              <w:pStyle w:val="Body"/>
              <w:rPr>
                <w:rFonts w:ascii="Arial" w:hAnsi="Arial" w:cs="Arial"/>
              </w:rPr>
            </w:pPr>
            <w:r w:rsidRPr="00F83DA4">
              <w:rPr>
                <w:rFonts w:ascii="Arial" w:hAnsi="Arial" w:cs="Arial"/>
              </w:rPr>
              <w:t>Croissant et al., 2016</w:t>
            </w:r>
          </w:p>
        </w:tc>
      </w:tr>
      <w:tr w:rsidR="00F83DA4" w:rsidRPr="00F83DA4" w14:paraId="434B9559" w14:textId="77777777" w:rsidTr="00F83DA4">
        <w:tc>
          <w:tcPr>
            <w:tcW w:w="495" w:type="pct"/>
            <w:hideMark/>
          </w:tcPr>
          <w:p w14:paraId="716830E3" w14:textId="77777777" w:rsidR="00F83DA4" w:rsidRPr="00F83DA4" w:rsidRDefault="00F83DA4" w:rsidP="00F83DA4">
            <w:pPr>
              <w:pStyle w:val="Body"/>
              <w:rPr>
                <w:rFonts w:ascii="Arial" w:hAnsi="Arial" w:cs="Arial"/>
              </w:rPr>
            </w:pPr>
            <w:r w:rsidRPr="00F83DA4">
              <w:rPr>
                <w:rFonts w:ascii="Arial" w:hAnsi="Arial" w:cs="Arial"/>
              </w:rPr>
              <w:t>LDH</w:t>
            </w:r>
          </w:p>
        </w:tc>
        <w:tc>
          <w:tcPr>
            <w:tcW w:w="706" w:type="pct"/>
            <w:hideMark/>
          </w:tcPr>
          <w:p w14:paraId="45286F92" w14:textId="77777777" w:rsidR="00F83DA4" w:rsidRPr="00F83DA4" w:rsidRDefault="00F83DA4" w:rsidP="00F83DA4">
            <w:pPr>
              <w:pStyle w:val="Body"/>
              <w:rPr>
                <w:rFonts w:ascii="Arial" w:hAnsi="Arial" w:cs="Arial"/>
              </w:rPr>
            </w:pPr>
            <w:r w:rsidRPr="00F83DA4">
              <w:rPr>
                <w:rFonts w:ascii="Arial" w:hAnsi="Arial" w:cs="Arial"/>
              </w:rPr>
              <w:t>30-90</w:t>
            </w:r>
          </w:p>
        </w:tc>
        <w:tc>
          <w:tcPr>
            <w:tcW w:w="771" w:type="pct"/>
            <w:hideMark/>
          </w:tcPr>
          <w:p w14:paraId="3B4D1EAA" w14:textId="77777777" w:rsidR="00F83DA4" w:rsidRPr="00F83DA4" w:rsidRDefault="00F83DA4" w:rsidP="00F83DA4">
            <w:pPr>
              <w:pStyle w:val="Body"/>
              <w:rPr>
                <w:rFonts w:ascii="Arial" w:hAnsi="Arial" w:cs="Arial"/>
              </w:rPr>
            </w:pPr>
            <w:r w:rsidRPr="00F83DA4">
              <w:rPr>
                <w:rFonts w:ascii="Arial" w:hAnsi="Arial" w:cs="Arial"/>
              </w:rPr>
              <w:t>10-40</w:t>
            </w:r>
          </w:p>
        </w:tc>
        <w:tc>
          <w:tcPr>
            <w:tcW w:w="433" w:type="pct"/>
            <w:hideMark/>
          </w:tcPr>
          <w:p w14:paraId="189E2572" w14:textId="77777777" w:rsidR="00F83DA4" w:rsidRPr="00F83DA4" w:rsidRDefault="00F83DA4" w:rsidP="00F83DA4">
            <w:pPr>
              <w:pStyle w:val="Body"/>
              <w:rPr>
                <w:rFonts w:ascii="Arial" w:hAnsi="Arial" w:cs="Arial"/>
              </w:rPr>
            </w:pPr>
            <w:r w:rsidRPr="00F83DA4">
              <w:rPr>
                <w:rFonts w:ascii="Arial" w:hAnsi="Arial" w:cs="Arial"/>
              </w:rPr>
              <w:t>200-800</w:t>
            </w:r>
          </w:p>
        </w:tc>
        <w:tc>
          <w:tcPr>
            <w:tcW w:w="1159" w:type="pct"/>
            <w:hideMark/>
          </w:tcPr>
          <w:p w14:paraId="060F370C" w14:textId="77777777" w:rsidR="00F83DA4" w:rsidRPr="00F83DA4" w:rsidRDefault="00F83DA4" w:rsidP="00F83DA4">
            <w:pPr>
              <w:pStyle w:val="Body"/>
              <w:rPr>
                <w:rFonts w:ascii="Arial" w:hAnsi="Arial" w:cs="Arial"/>
              </w:rPr>
            </w:pPr>
            <w:r w:rsidRPr="00F83DA4">
              <w:rPr>
                <w:rFonts w:ascii="Arial" w:hAnsi="Arial" w:cs="Arial"/>
              </w:rPr>
              <w:t>pH-dependent dissolution</w:t>
            </w:r>
          </w:p>
        </w:tc>
        <w:tc>
          <w:tcPr>
            <w:tcW w:w="634" w:type="pct"/>
            <w:hideMark/>
          </w:tcPr>
          <w:p w14:paraId="10BF766B" w14:textId="77777777" w:rsidR="00F83DA4" w:rsidRPr="00F83DA4" w:rsidRDefault="00F83DA4" w:rsidP="00F83DA4">
            <w:pPr>
              <w:pStyle w:val="Body"/>
              <w:rPr>
                <w:rFonts w:ascii="Arial" w:hAnsi="Arial" w:cs="Arial"/>
              </w:rPr>
            </w:pPr>
            <w:r w:rsidRPr="00F83DA4">
              <w:rPr>
                <w:rFonts w:ascii="Arial" w:hAnsi="Arial" w:cs="Arial"/>
              </w:rPr>
              <w:t>Moderate</w:t>
            </w:r>
          </w:p>
        </w:tc>
        <w:tc>
          <w:tcPr>
            <w:tcW w:w="802" w:type="pct"/>
            <w:hideMark/>
          </w:tcPr>
          <w:p w14:paraId="1C2E9D0C" w14:textId="77777777" w:rsidR="00F83DA4" w:rsidRPr="00F83DA4" w:rsidRDefault="00F83DA4" w:rsidP="00F83DA4">
            <w:pPr>
              <w:pStyle w:val="Body"/>
              <w:rPr>
                <w:rFonts w:ascii="Arial" w:hAnsi="Arial" w:cs="Arial"/>
              </w:rPr>
            </w:pPr>
            <w:r w:rsidRPr="00F83DA4">
              <w:rPr>
                <w:rFonts w:ascii="Arial" w:hAnsi="Arial" w:cs="Arial"/>
              </w:rPr>
              <w:t>Yan et al., 2021</w:t>
            </w:r>
          </w:p>
        </w:tc>
      </w:tr>
      <w:tr w:rsidR="00F83DA4" w:rsidRPr="00F83DA4" w14:paraId="5D004B3F" w14:textId="77777777" w:rsidTr="00F83DA4">
        <w:tc>
          <w:tcPr>
            <w:tcW w:w="495" w:type="pct"/>
            <w:hideMark/>
          </w:tcPr>
          <w:p w14:paraId="45AD55D1" w14:textId="77777777" w:rsidR="00F83DA4" w:rsidRPr="00F83DA4" w:rsidRDefault="00F83DA4" w:rsidP="00F83DA4">
            <w:pPr>
              <w:pStyle w:val="Body"/>
              <w:rPr>
                <w:rFonts w:ascii="Arial" w:hAnsi="Arial" w:cs="Arial"/>
              </w:rPr>
            </w:pPr>
            <w:r w:rsidRPr="00F83DA4">
              <w:rPr>
                <w:rFonts w:ascii="Arial" w:hAnsi="Arial" w:cs="Arial"/>
              </w:rPr>
              <w:t>Carbon-based</w:t>
            </w:r>
          </w:p>
        </w:tc>
        <w:tc>
          <w:tcPr>
            <w:tcW w:w="706" w:type="pct"/>
            <w:hideMark/>
          </w:tcPr>
          <w:p w14:paraId="25C20EA4" w14:textId="77777777" w:rsidR="00F83DA4" w:rsidRPr="00F83DA4" w:rsidRDefault="00F83DA4" w:rsidP="00F83DA4">
            <w:pPr>
              <w:pStyle w:val="Body"/>
              <w:rPr>
                <w:rFonts w:ascii="Arial" w:hAnsi="Arial" w:cs="Arial"/>
              </w:rPr>
            </w:pPr>
            <w:r w:rsidRPr="00F83DA4">
              <w:rPr>
                <w:rFonts w:ascii="Arial" w:hAnsi="Arial" w:cs="Arial"/>
              </w:rPr>
              <w:t>&gt;365</w:t>
            </w:r>
          </w:p>
        </w:tc>
        <w:tc>
          <w:tcPr>
            <w:tcW w:w="771" w:type="pct"/>
            <w:hideMark/>
          </w:tcPr>
          <w:p w14:paraId="20B869A5" w14:textId="77777777" w:rsidR="00F83DA4" w:rsidRPr="00F83DA4" w:rsidRDefault="00F83DA4" w:rsidP="00F83DA4">
            <w:pPr>
              <w:pStyle w:val="Body"/>
              <w:rPr>
                <w:rFonts w:ascii="Arial" w:hAnsi="Arial" w:cs="Arial"/>
              </w:rPr>
            </w:pPr>
            <w:r w:rsidRPr="00F83DA4">
              <w:rPr>
                <w:rFonts w:ascii="Arial" w:hAnsi="Arial" w:cs="Arial"/>
              </w:rPr>
              <w:t>&gt;180</w:t>
            </w:r>
          </w:p>
        </w:tc>
        <w:tc>
          <w:tcPr>
            <w:tcW w:w="433" w:type="pct"/>
            <w:hideMark/>
          </w:tcPr>
          <w:p w14:paraId="5DB99E08" w14:textId="77777777" w:rsidR="00F83DA4" w:rsidRPr="00F83DA4" w:rsidRDefault="00F83DA4" w:rsidP="00F83DA4">
            <w:pPr>
              <w:pStyle w:val="Body"/>
              <w:rPr>
                <w:rFonts w:ascii="Arial" w:hAnsi="Arial" w:cs="Arial"/>
              </w:rPr>
            </w:pPr>
            <w:r w:rsidRPr="00F83DA4">
              <w:rPr>
                <w:rFonts w:ascii="Arial" w:hAnsi="Arial" w:cs="Arial"/>
              </w:rPr>
              <w:t>2000-10000</w:t>
            </w:r>
          </w:p>
        </w:tc>
        <w:tc>
          <w:tcPr>
            <w:tcW w:w="1159" w:type="pct"/>
            <w:hideMark/>
          </w:tcPr>
          <w:p w14:paraId="34F07080" w14:textId="77777777" w:rsidR="00F83DA4" w:rsidRPr="00F83DA4" w:rsidRDefault="00F83DA4" w:rsidP="00F83DA4">
            <w:pPr>
              <w:pStyle w:val="Body"/>
              <w:rPr>
                <w:rFonts w:ascii="Arial" w:hAnsi="Arial" w:cs="Arial"/>
              </w:rPr>
            </w:pPr>
            <w:r w:rsidRPr="00F83DA4">
              <w:rPr>
                <w:rFonts w:ascii="Arial" w:hAnsi="Arial" w:cs="Arial"/>
              </w:rPr>
              <w:t>Minimal transformation</w:t>
            </w:r>
          </w:p>
        </w:tc>
        <w:tc>
          <w:tcPr>
            <w:tcW w:w="634" w:type="pct"/>
            <w:hideMark/>
          </w:tcPr>
          <w:p w14:paraId="07189EF1" w14:textId="77777777" w:rsidR="00F83DA4" w:rsidRPr="00F83DA4" w:rsidRDefault="00F83DA4" w:rsidP="00F83DA4">
            <w:pPr>
              <w:pStyle w:val="Body"/>
              <w:rPr>
                <w:rFonts w:ascii="Arial" w:hAnsi="Arial" w:cs="Arial"/>
              </w:rPr>
            </w:pPr>
            <w:r w:rsidRPr="00F83DA4">
              <w:rPr>
                <w:rFonts w:ascii="Arial" w:hAnsi="Arial" w:cs="Arial"/>
              </w:rPr>
              <w:t>Very low</w:t>
            </w:r>
          </w:p>
        </w:tc>
        <w:tc>
          <w:tcPr>
            <w:tcW w:w="802" w:type="pct"/>
            <w:hideMark/>
          </w:tcPr>
          <w:p w14:paraId="56963F1E" w14:textId="77777777" w:rsidR="00F83DA4" w:rsidRPr="00F83DA4" w:rsidRDefault="00F83DA4" w:rsidP="00F83DA4">
            <w:pPr>
              <w:pStyle w:val="Body"/>
              <w:rPr>
                <w:rFonts w:ascii="Arial" w:hAnsi="Arial" w:cs="Arial"/>
              </w:rPr>
            </w:pPr>
            <w:r w:rsidRPr="00F83DA4">
              <w:rPr>
                <w:rFonts w:ascii="Arial" w:hAnsi="Arial" w:cs="Arial"/>
              </w:rPr>
              <w:t>Petersen et al., 2011</w:t>
            </w:r>
          </w:p>
        </w:tc>
      </w:tr>
    </w:tbl>
    <w:p w14:paraId="6F53988F" w14:textId="77777777" w:rsidR="00F83DA4" w:rsidRPr="00F83DA4" w:rsidRDefault="00F83DA4" w:rsidP="00F83DA4">
      <w:pPr>
        <w:pStyle w:val="Body"/>
        <w:rPr>
          <w:rFonts w:ascii="Arial" w:hAnsi="Arial" w:cs="Arial"/>
          <w:i/>
          <w:iCs/>
        </w:rPr>
      </w:pPr>
      <w:r w:rsidRPr="00F83DA4">
        <w:rPr>
          <w:rFonts w:ascii="Arial" w:hAnsi="Arial" w:cs="Arial"/>
          <w:b/>
          <w:bCs/>
          <w:i/>
          <w:iCs/>
        </w:rPr>
        <w:t>Notes:</w:t>
      </w:r>
      <w:r w:rsidRPr="00F83DA4">
        <w:rPr>
          <w:rFonts w:ascii="Arial" w:hAnsi="Arial" w:cs="Arial"/>
          <w:i/>
          <w:iCs/>
        </w:rPr>
        <w:t> </w:t>
      </w:r>
      <w:proofErr w:type="spellStart"/>
      <w:r w:rsidRPr="00F83DA4">
        <w:rPr>
          <w:rFonts w:ascii="Arial" w:hAnsi="Arial" w:cs="Arial"/>
          <w:i/>
          <w:iCs/>
        </w:rPr>
        <w:t>Kd</w:t>
      </w:r>
      <w:proofErr w:type="spellEnd"/>
      <w:r w:rsidRPr="00F83DA4">
        <w:rPr>
          <w:rFonts w:ascii="Arial" w:hAnsi="Arial" w:cs="Arial"/>
          <w:i/>
          <w:iCs/>
        </w:rPr>
        <w:t xml:space="preserve"> = Soil-water distribution coefficient (higher = more sorption); Transformation = main environmental fate processes; Bioavailability = potential for uptake by organisms; Values vary with soil/water chemistry, pH, organic matter.</w:t>
      </w:r>
    </w:p>
    <w:p w14:paraId="4C1A44B7" w14:textId="77777777" w:rsidR="00141945" w:rsidRPr="00F83DA4" w:rsidRDefault="00141945" w:rsidP="00441B6F">
      <w:pPr>
        <w:pStyle w:val="Body"/>
        <w:spacing w:after="0"/>
        <w:rPr>
          <w:rFonts w:ascii="Arial" w:hAnsi="Arial" w:cs="Arial"/>
          <w:i/>
          <w:iCs/>
        </w:rPr>
      </w:pPr>
    </w:p>
    <w:p w14:paraId="40748E6D" w14:textId="4826731D" w:rsidR="00FD073D" w:rsidRDefault="00FD073D" w:rsidP="00AB7226">
      <w:pPr>
        <w:pStyle w:val="Body"/>
        <w:tabs>
          <w:tab w:val="left" w:pos="7150"/>
        </w:tabs>
        <w:spacing w:after="0"/>
        <w:rPr>
          <w:rFonts w:ascii="Arial" w:hAnsi="Arial" w:cs="Arial"/>
          <w:b/>
          <w:bCs/>
        </w:rPr>
      </w:pPr>
      <w:r w:rsidRPr="00FD073D">
        <w:rPr>
          <w:rFonts w:ascii="Arial" w:hAnsi="Arial" w:cs="Arial"/>
          <w:b/>
          <w:bCs/>
        </w:rPr>
        <w:t>6. REGULATORY FRAMEWORKS AND ECONOMIC CONSIDERATIONS</w:t>
      </w:r>
      <w:r w:rsidR="00AB7226">
        <w:rPr>
          <w:rFonts w:ascii="Arial" w:hAnsi="Arial" w:cs="Arial"/>
          <w:b/>
          <w:bCs/>
        </w:rPr>
        <w:tab/>
      </w:r>
    </w:p>
    <w:p w14:paraId="3ACC3BFF" w14:textId="77777777" w:rsidR="00AB7226" w:rsidRPr="00FD073D" w:rsidRDefault="00AB7226" w:rsidP="00FD073D">
      <w:pPr>
        <w:pStyle w:val="Body"/>
        <w:spacing w:after="0"/>
        <w:rPr>
          <w:rFonts w:ascii="Arial" w:hAnsi="Arial" w:cs="Arial"/>
          <w:b/>
          <w:bCs/>
        </w:rPr>
      </w:pPr>
    </w:p>
    <w:p w14:paraId="5288B52D" w14:textId="77777777" w:rsidR="00FD073D" w:rsidRDefault="00FD073D" w:rsidP="00FD073D">
      <w:pPr>
        <w:pStyle w:val="Body"/>
        <w:spacing w:after="0"/>
        <w:rPr>
          <w:rFonts w:ascii="Arial" w:hAnsi="Arial" w:cs="Arial"/>
          <w:b/>
          <w:bCs/>
        </w:rPr>
      </w:pPr>
      <w:r w:rsidRPr="00FD073D">
        <w:rPr>
          <w:rFonts w:ascii="Arial" w:hAnsi="Arial" w:cs="Arial"/>
          <w:b/>
          <w:bCs/>
        </w:rPr>
        <w:t>6.1 Regulatory Status and Challenges</w:t>
      </w:r>
    </w:p>
    <w:p w14:paraId="52CF75B4" w14:textId="77777777" w:rsidR="00AB7226" w:rsidRPr="00FD073D" w:rsidRDefault="00AB7226" w:rsidP="00FD073D">
      <w:pPr>
        <w:pStyle w:val="Body"/>
        <w:spacing w:after="0"/>
        <w:rPr>
          <w:rFonts w:ascii="Arial" w:hAnsi="Arial" w:cs="Arial"/>
          <w:b/>
          <w:bCs/>
        </w:rPr>
      </w:pPr>
    </w:p>
    <w:p w14:paraId="619B676C" w14:textId="4C332E21" w:rsidR="00FD073D" w:rsidRPr="00FD073D" w:rsidRDefault="00FD073D" w:rsidP="00FD073D">
      <w:pPr>
        <w:pStyle w:val="Body"/>
        <w:spacing w:after="0"/>
        <w:rPr>
          <w:rFonts w:ascii="Arial" w:hAnsi="Arial" w:cs="Arial"/>
        </w:rPr>
      </w:pPr>
      <w:r w:rsidRPr="00FD073D">
        <w:rPr>
          <w:rFonts w:ascii="Arial" w:hAnsi="Arial" w:cs="Arial"/>
        </w:rPr>
        <w:t>Agricultural nanotechnology regulation remains fragmented and inconsistent across jurisdictions, creating barriers to commercialization and adoption (Hansen et al., 2016).</w:t>
      </w:r>
    </w:p>
    <w:p w14:paraId="21DB7F8A" w14:textId="6886E23F" w:rsidR="00FD073D" w:rsidRPr="00FD073D" w:rsidRDefault="00FD073D" w:rsidP="00FD073D">
      <w:pPr>
        <w:pStyle w:val="Body"/>
        <w:rPr>
          <w:rFonts w:ascii="Arial" w:hAnsi="Arial" w:cs="Arial"/>
        </w:rPr>
      </w:pPr>
      <w:r w:rsidRPr="00FD073D">
        <w:rPr>
          <w:rFonts w:ascii="Arial" w:hAnsi="Arial" w:cs="Arial"/>
          <w:b/>
          <w:bCs/>
        </w:rPr>
        <w:lastRenderedPageBreak/>
        <w:t>United States:</w:t>
      </w:r>
      <w:r w:rsidRPr="00FD073D">
        <w:rPr>
          <w:rFonts w:ascii="Arial" w:hAnsi="Arial" w:cs="Arial"/>
        </w:rPr>
        <w:t xml:space="preserve"> The Environmental Protection Agency (EPA) regulates </w:t>
      </w:r>
      <w:proofErr w:type="spellStart"/>
      <w:r w:rsidRPr="00FD073D">
        <w:rPr>
          <w:rFonts w:ascii="Arial" w:hAnsi="Arial" w:cs="Arial"/>
        </w:rPr>
        <w:t>nanopesticides</w:t>
      </w:r>
      <w:proofErr w:type="spellEnd"/>
      <w:r w:rsidRPr="00FD073D">
        <w:rPr>
          <w:rFonts w:ascii="Arial" w:hAnsi="Arial" w:cs="Arial"/>
        </w:rPr>
        <w:t xml:space="preserve"> under the Federal Insecticide, Fungicide, and Rodenticide Act (FIFRA), treating them as new active ingredients requiring comprehensive toxicology and environmental fate data (EPA, 2017). However, </w:t>
      </w:r>
      <w:proofErr w:type="spellStart"/>
      <w:r w:rsidRPr="00FD073D">
        <w:rPr>
          <w:rFonts w:ascii="Arial" w:hAnsi="Arial" w:cs="Arial"/>
        </w:rPr>
        <w:t>nanoformulations</w:t>
      </w:r>
      <w:proofErr w:type="spellEnd"/>
      <w:r w:rsidRPr="00FD073D">
        <w:rPr>
          <w:rFonts w:ascii="Arial" w:hAnsi="Arial" w:cs="Arial"/>
        </w:rPr>
        <w:t xml:space="preserve"> of approved active ingredients occupy regulatory grey areas, with unclear requirements for nano-specific testing. As of 2024, fewer than 10 </w:t>
      </w:r>
      <w:proofErr w:type="spellStart"/>
      <w:r w:rsidRPr="00FD073D">
        <w:rPr>
          <w:rFonts w:ascii="Arial" w:hAnsi="Arial" w:cs="Arial"/>
        </w:rPr>
        <w:t>nanopesticide</w:t>
      </w:r>
      <w:proofErr w:type="spellEnd"/>
      <w:r w:rsidRPr="00FD073D">
        <w:rPr>
          <w:rFonts w:ascii="Arial" w:hAnsi="Arial" w:cs="Arial"/>
        </w:rPr>
        <w:t xml:space="preserve"> products have received EPA registration, reflecting stringent data requirements and high regulatory costs ($2–5 million per product) (Kah &amp; Hofmann, 2014).</w:t>
      </w:r>
    </w:p>
    <w:p w14:paraId="7CB89AC9" w14:textId="77777777" w:rsidR="00FD073D" w:rsidRPr="00FD073D" w:rsidRDefault="00FD073D" w:rsidP="00FD073D">
      <w:pPr>
        <w:pStyle w:val="Body"/>
        <w:rPr>
          <w:rFonts w:ascii="Arial" w:hAnsi="Arial" w:cs="Arial"/>
        </w:rPr>
      </w:pPr>
      <w:r w:rsidRPr="00FD073D">
        <w:rPr>
          <w:rFonts w:ascii="Arial" w:hAnsi="Arial" w:cs="Arial"/>
          <w:b/>
          <w:bCs/>
        </w:rPr>
        <w:t>European Union:</w:t>
      </w:r>
      <w:r w:rsidRPr="00FD073D">
        <w:rPr>
          <w:rFonts w:ascii="Arial" w:hAnsi="Arial" w:cs="Arial"/>
        </w:rPr>
        <w:t xml:space="preserve"> The European Food Safety Authority (EFSA) requires nano-specific risk assessment for pesticide products containing nanomaterials, including characterization of particle size distribution, surface properties, dissolution kinetics, and toxicological profiles (EFSA, 2018). The EU's precautionary approach and stringent data requirements have limited </w:t>
      </w:r>
      <w:proofErr w:type="spellStart"/>
      <w:r w:rsidRPr="00FD073D">
        <w:rPr>
          <w:rFonts w:ascii="Arial" w:hAnsi="Arial" w:cs="Arial"/>
        </w:rPr>
        <w:t>nanopesticide</w:t>
      </w:r>
      <w:proofErr w:type="spellEnd"/>
      <w:r w:rsidRPr="00FD073D">
        <w:rPr>
          <w:rFonts w:ascii="Arial" w:hAnsi="Arial" w:cs="Arial"/>
        </w:rPr>
        <w:t xml:space="preserve"> approvals, with only 2–3 products authorized as of 2024 (Hansen et al., 2016).</w:t>
      </w:r>
    </w:p>
    <w:p w14:paraId="51170010" w14:textId="25C62CF7" w:rsidR="00FD073D" w:rsidRPr="00FD073D" w:rsidRDefault="00FD073D" w:rsidP="00FD073D">
      <w:pPr>
        <w:pStyle w:val="Body"/>
        <w:rPr>
          <w:rFonts w:ascii="Arial" w:hAnsi="Arial" w:cs="Arial"/>
        </w:rPr>
      </w:pPr>
      <w:r w:rsidRPr="00FD073D">
        <w:rPr>
          <w:rFonts w:ascii="Arial" w:hAnsi="Arial" w:cs="Arial"/>
          <w:b/>
          <w:bCs/>
        </w:rPr>
        <w:t>Asia:</w:t>
      </w:r>
      <w:r w:rsidRPr="00FD073D">
        <w:rPr>
          <w:rFonts w:ascii="Arial" w:hAnsi="Arial" w:cs="Arial"/>
        </w:rPr>
        <w:t xml:space="preserve"> Regulatory frameworks in major rice-producing nations (China, India, Indonesia, Vietnam) remain underdeveloped, with limited nano-specific regulations. China has approved several nano-agrochemical products under existing pesticide regulations but lacks comprehensive nanotechnology-specific guidelines (Hou et al., 2019). India's regulatory framework does not explicitly address </w:t>
      </w:r>
      <w:proofErr w:type="spellStart"/>
      <w:r w:rsidRPr="00FD073D">
        <w:rPr>
          <w:rFonts w:ascii="Arial" w:hAnsi="Arial" w:cs="Arial"/>
        </w:rPr>
        <w:t>nanopesticides</w:t>
      </w:r>
      <w:proofErr w:type="spellEnd"/>
      <w:r w:rsidRPr="00FD073D">
        <w:rPr>
          <w:rFonts w:ascii="Arial" w:hAnsi="Arial" w:cs="Arial"/>
        </w:rPr>
        <w:t>, applying conventional pesticide registration requirements (Prasad et al., 2017).</w:t>
      </w:r>
    </w:p>
    <w:p w14:paraId="7A6A4724" w14:textId="77777777" w:rsidR="00FD073D" w:rsidRDefault="00FD073D" w:rsidP="00FD073D">
      <w:pPr>
        <w:pStyle w:val="Body"/>
        <w:rPr>
          <w:rFonts w:ascii="Arial" w:hAnsi="Arial" w:cs="Arial"/>
        </w:rPr>
      </w:pPr>
      <w:r w:rsidRPr="00FD073D">
        <w:rPr>
          <w:rFonts w:ascii="Arial" w:hAnsi="Arial" w:cs="Arial"/>
          <w:b/>
          <w:bCs/>
        </w:rPr>
        <w:t>Key Regulatory Challenges:</w:t>
      </w:r>
      <w:r w:rsidRPr="00FD073D">
        <w:rPr>
          <w:rFonts w:ascii="Arial" w:hAnsi="Arial" w:cs="Arial"/>
        </w:rPr>
        <w:t> (1) Lack of standardized characterization methods for nanoparticle size, shape, surface chemistry, and aggregation state; (2) Inadequate analytical methods for detecting and quantifying nanoparticles in environmental and biological matrices; (3) Insufficient toxicological data on chronic exposure, transgenerational effects, and ecosystem-level impacts; (4) Unclear definition of "nanomaterial" and thresholds triggering nano-specific regulation; (5) Limited regulatory capacity and expertise in developing nations (Hansen et al., 2016; Kah &amp; Hofmann, 2014).</w:t>
      </w:r>
    </w:p>
    <w:p w14:paraId="52013E03" w14:textId="77777777" w:rsidR="00F83DA4" w:rsidRDefault="00F83DA4" w:rsidP="00FD073D">
      <w:pPr>
        <w:pStyle w:val="Body"/>
        <w:rPr>
          <w:rFonts w:ascii="Arial" w:hAnsi="Arial" w:cs="Arial"/>
        </w:rPr>
      </w:pPr>
    </w:p>
    <w:p w14:paraId="12AD3FED" w14:textId="4C260498" w:rsidR="00F83DA4" w:rsidRPr="00F83DA4" w:rsidRDefault="00F83DA4" w:rsidP="00F83DA4">
      <w:pPr>
        <w:pStyle w:val="Body"/>
        <w:jc w:val="center"/>
        <w:rPr>
          <w:rFonts w:ascii="Arial" w:hAnsi="Arial" w:cs="Arial"/>
          <w:b/>
          <w:bCs/>
        </w:rPr>
      </w:pPr>
      <w:r w:rsidRPr="00F83DA4">
        <w:rPr>
          <w:rFonts w:ascii="Arial" w:hAnsi="Arial" w:cs="Arial"/>
          <w:b/>
          <w:bCs/>
        </w:rPr>
        <w:t>T</w:t>
      </w:r>
      <w:r>
        <w:rPr>
          <w:rFonts w:ascii="Arial" w:hAnsi="Arial" w:cs="Arial"/>
          <w:b/>
          <w:bCs/>
        </w:rPr>
        <w:t xml:space="preserve">able </w:t>
      </w:r>
      <w:r w:rsidRPr="00F83DA4">
        <w:rPr>
          <w:rFonts w:ascii="Arial" w:hAnsi="Arial" w:cs="Arial"/>
          <w:b/>
          <w:bCs/>
        </w:rPr>
        <w:t>6: Ecotoxicity Data Across Trophic Levels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426"/>
        <w:gridCol w:w="1608"/>
        <w:gridCol w:w="1292"/>
        <w:gridCol w:w="1234"/>
        <w:gridCol w:w="1706"/>
        <w:gridCol w:w="1279"/>
      </w:tblGrid>
      <w:tr w:rsidR="00F83DA4" w:rsidRPr="00F83DA4" w14:paraId="24C06810" w14:textId="77777777" w:rsidTr="00F83DA4">
        <w:trPr>
          <w:trHeight w:val="600"/>
        </w:trPr>
        <w:tc>
          <w:tcPr>
            <w:tcW w:w="694" w:type="pct"/>
            <w:tcBorders>
              <w:top w:val="single" w:sz="4" w:space="0" w:color="auto"/>
              <w:bottom w:val="single" w:sz="4" w:space="0" w:color="auto"/>
            </w:tcBorders>
            <w:hideMark/>
          </w:tcPr>
          <w:p w14:paraId="1B7A3194" w14:textId="77777777" w:rsidR="00F83DA4" w:rsidRPr="00F83DA4" w:rsidRDefault="00F83DA4" w:rsidP="00F83DA4">
            <w:pPr>
              <w:pStyle w:val="Body"/>
              <w:rPr>
                <w:rFonts w:ascii="Arial" w:hAnsi="Arial" w:cs="Arial"/>
                <w:b/>
                <w:bCs/>
              </w:rPr>
            </w:pPr>
            <w:r w:rsidRPr="00F83DA4">
              <w:rPr>
                <w:rFonts w:ascii="Arial" w:hAnsi="Arial" w:cs="Arial"/>
                <w:b/>
                <w:bCs/>
              </w:rPr>
              <w:t>Organism</w:t>
            </w:r>
          </w:p>
        </w:tc>
        <w:tc>
          <w:tcPr>
            <w:tcW w:w="576" w:type="pct"/>
            <w:tcBorders>
              <w:top w:val="single" w:sz="4" w:space="0" w:color="auto"/>
              <w:bottom w:val="single" w:sz="4" w:space="0" w:color="auto"/>
            </w:tcBorders>
            <w:hideMark/>
          </w:tcPr>
          <w:p w14:paraId="39CCC35F" w14:textId="77777777" w:rsidR="00F83DA4" w:rsidRPr="00F83DA4" w:rsidRDefault="00F83DA4" w:rsidP="00F83DA4">
            <w:pPr>
              <w:pStyle w:val="Body"/>
              <w:rPr>
                <w:rFonts w:ascii="Arial" w:hAnsi="Arial" w:cs="Arial"/>
                <w:b/>
                <w:bCs/>
              </w:rPr>
            </w:pPr>
            <w:r w:rsidRPr="00F83DA4">
              <w:rPr>
                <w:rFonts w:ascii="Arial" w:hAnsi="Arial" w:cs="Arial"/>
                <w:b/>
                <w:bCs/>
              </w:rPr>
              <w:t>Trophic Level</w:t>
            </w:r>
          </w:p>
        </w:tc>
        <w:tc>
          <w:tcPr>
            <w:tcW w:w="514" w:type="pct"/>
            <w:tcBorders>
              <w:top w:val="single" w:sz="4" w:space="0" w:color="auto"/>
              <w:bottom w:val="single" w:sz="4" w:space="0" w:color="auto"/>
            </w:tcBorders>
            <w:hideMark/>
          </w:tcPr>
          <w:p w14:paraId="7F6FEDB9" w14:textId="77777777" w:rsidR="00F83DA4" w:rsidRPr="00F83DA4" w:rsidRDefault="00F83DA4" w:rsidP="00F83DA4">
            <w:pPr>
              <w:pStyle w:val="Body"/>
              <w:rPr>
                <w:rFonts w:ascii="Arial" w:hAnsi="Arial" w:cs="Arial"/>
                <w:b/>
                <w:bCs/>
              </w:rPr>
            </w:pPr>
            <w:r w:rsidRPr="00F83DA4">
              <w:rPr>
                <w:rFonts w:ascii="Arial" w:hAnsi="Arial" w:cs="Arial"/>
                <w:b/>
                <w:bCs/>
              </w:rPr>
              <w:t>Nanomaterial</w:t>
            </w:r>
          </w:p>
        </w:tc>
        <w:tc>
          <w:tcPr>
            <w:tcW w:w="569" w:type="pct"/>
            <w:tcBorders>
              <w:top w:val="single" w:sz="4" w:space="0" w:color="auto"/>
              <w:bottom w:val="single" w:sz="4" w:space="0" w:color="auto"/>
            </w:tcBorders>
            <w:hideMark/>
          </w:tcPr>
          <w:p w14:paraId="03FFC6B9" w14:textId="77777777" w:rsidR="00F83DA4" w:rsidRPr="00F83DA4" w:rsidRDefault="00F83DA4" w:rsidP="00F83DA4">
            <w:pPr>
              <w:pStyle w:val="Body"/>
              <w:rPr>
                <w:rFonts w:ascii="Arial" w:hAnsi="Arial" w:cs="Arial"/>
                <w:b/>
                <w:bCs/>
              </w:rPr>
            </w:pPr>
            <w:r w:rsidRPr="00F83DA4">
              <w:rPr>
                <w:rFonts w:ascii="Arial" w:hAnsi="Arial" w:cs="Arial"/>
                <w:b/>
                <w:bCs/>
              </w:rPr>
              <w:t>Exposure</w:t>
            </w:r>
          </w:p>
        </w:tc>
        <w:tc>
          <w:tcPr>
            <w:tcW w:w="576" w:type="pct"/>
            <w:tcBorders>
              <w:top w:val="single" w:sz="4" w:space="0" w:color="auto"/>
              <w:bottom w:val="single" w:sz="4" w:space="0" w:color="auto"/>
            </w:tcBorders>
            <w:hideMark/>
          </w:tcPr>
          <w:p w14:paraId="06776C12" w14:textId="77777777" w:rsidR="00F83DA4" w:rsidRPr="00F83DA4" w:rsidRDefault="00F83DA4" w:rsidP="00F83DA4">
            <w:pPr>
              <w:pStyle w:val="Body"/>
              <w:rPr>
                <w:rFonts w:ascii="Arial" w:hAnsi="Arial" w:cs="Arial"/>
                <w:b/>
                <w:bCs/>
              </w:rPr>
            </w:pPr>
            <w:r w:rsidRPr="00F83DA4">
              <w:rPr>
                <w:rFonts w:ascii="Arial" w:hAnsi="Arial" w:cs="Arial"/>
                <w:b/>
                <w:bCs/>
              </w:rPr>
              <w:t>LC</w:t>
            </w:r>
            <w:r w:rsidRPr="00F83DA4">
              <w:rPr>
                <w:rFonts w:ascii="Cambria Math" w:hAnsi="Cambria Math" w:cs="Cambria Math"/>
                <w:b/>
                <w:bCs/>
              </w:rPr>
              <w:t>₅₀</w:t>
            </w:r>
            <w:r w:rsidRPr="00F83DA4">
              <w:rPr>
                <w:rFonts w:ascii="Arial" w:hAnsi="Arial" w:cs="Arial"/>
                <w:b/>
                <w:bCs/>
              </w:rPr>
              <w:t>/EC</w:t>
            </w:r>
            <w:r w:rsidRPr="00F83DA4">
              <w:rPr>
                <w:rFonts w:ascii="Cambria Math" w:hAnsi="Cambria Math" w:cs="Cambria Math"/>
                <w:b/>
                <w:bCs/>
              </w:rPr>
              <w:t>₅₀</w:t>
            </w:r>
          </w:p>
        </w:tc>
        <w:tc>
          <w:tcPr>
            <w:tcW w:w="1307" w:type="pct"/>
            <w:tcBorders>
              <w:top w:val="single" w:sz="4" w:space="0" w:color="auto"/>
              <w:bottom w:val="single" w:sz="4" w:space="0" w:color="auto"/>
            </w:tcBorders>
            <w:hideMark/>
          </w:tcPr>
          <w:p w14:paraId="2E799F3E" w14:textId="77777777" w:rsidR="00F83DA4" w:rsidRPr="00F83DA4" w:rsidRDefault="00F83DA4" w:rsidP="00F83DA4">
            <w:pPr>
              <w:pStyle w:val="Body"/>
              <w:rPr>
                <w:rFonts w:ascii="Arial" w:hAnsi="Arial" w:cs="Arial"/>
                <w:b/>
                <w:bCs/>
              </w:rPr>
            </w:pPr>
            <w:r w:rsidRPr="00F83DA4">
              <w:rPr>
                <w:rFonts w:ascii="Arial" w:hAnsi="Arial" w:cs="Arial"/>
                <w:b/>
                <w:bCs/>
              </w:rPr>
              <w:t>Sublethal Effects</w:t>
            </w:r>
          </w:p>
        </w:tc>
        <w:tc>
          <w:tcPr>
            <w:tcW w:w="764" w:type="pct"/>
            <w:tcBorders>
              <w:top w:val="single" w:sz="4" w:space="0" w:color="auto"/>
              <w:bottom w:val="single" w:sz="4" w:space="0" w:color="auto"/>
            </w:tcBorders>
            <w:hideMark/>
          </w:tcPr>
          <w:p w14:paraId="0ADEE9EA" w14:textId="77777777" w:rsidR="00F83DA4" w:rsidRPr="00F83DA4" w:rsidRDefault="00F83DA4" w:rsidP="00F83DA4">
            <w:pPr>
              <w:pStyle w:val="Body"/>
              <w:rPr>
                <w:rFonts w:ascii="Arial" w:hAnsi="Arial" w:cs="Arial"/>
                <w:b/>
                <w:bCs/>
              </w:rPr>
            </w:pPr>
            <w:r w:rsidRPr="00F83DA4">
              <w:rPr>
                <w:rFonts w:ascii="Arial" w:hAnsi="Arial" w:cs="Arial"/>
                <w:b/>
                <w:bCs/>
              </w:rPr>
              <w:t>Reference</w:t>
            </w:r>
          </w:p>
        </w:tc>
      </w:tr>
      <w:tr w:rsidR="00F83DA4" w:rsidRPr="00F83DA4" w14:paraId="454A6CFE" w14:textId="77777777" w:rsidTr="00F83DA4">
        <w:tc>
          <w:tcPr>
            <w:tcW w:w="694" w:type="pct"/>
            <w:tcBorders>
              <w:top w:val="single" w:sz="4" w:space="0" w:color="auto"/>
            </w:tcBorders>
            <w:hideMark/>
          </w:tcPr>
          <w:p w14:paraId="0464EE2E" w14:textId="77777777" w:rsidR="00F83DA4" w:rsidRPr="00F83DA4" w:rsidRDefault="00F83DA4" w:rsidP="00F83DA4">
            <w:pPr>
              <w:pStyle w:val="Body"/>
              <w:rPr>
                <w:rFonts w:ascii="Arial" w:hAnsi="Arial" w:cs="Arial"/>
              </w:rPr>
            </w:pPr>
            <w:r w:rsidRPr="00F83DA4">
              <w:rPr>
                <w:rFonts w:ascii="Arial" w:hAnsi="Arial" w:cs="Arial"/>
                <w:i/>
                <w:iCs/>
              </w:rPr>
              <w:t>E. coli</w:t>
            </w:r>
          </w:p>
        </w:tc>
        <w:tc>
          <w:tcPr>
            <w:tcW w:w="576" w:type="pct"/>
            <w:tcBorders>
              <w:top w:val="single" w:sz="4" w:space="0" w:color="auto"/>
            </w:tcBorders>
            <w:hideMark/>
          </w:tcPr>
          <w:p w14:paraId="2F120F50" w14:textId="77777777" w:rsidR="00F83DA4" w:rsidRPr="00F83DA4" w:rsidRDefault="00F83DA4" w:rsidP="00F83DA4">
            <w:pPr>
              <w:pStyle w:val="Body"/>
              <w:rPr>
                <w:rFonts w:ascii="Arial" w:hAnsi="Arial" w:cs="Arial"/>
              </w:rPr>
            </w:pPr>
            <w:r w:rsidRPr="00F83DA4">
              <w:rPr>
                <w:rFonts w:ascii="Arial" w:hAnsi="Arial" w:cs="Arial"/>
              </w:rPr>
              <w:t>Microbe</w:t>
            </w:r>
          </w:p>
        </w:tc>
        <w:tc>
          <w:tcPr>
            <w:tcW w:w="514" w:type="pct"/>
            <w:tcBorders>
              <w:top w:val="single" w:sz="4" w:space="0" w:color="auto"/>
            </w:tcBorders>
            <w:hideMark/>
          </w:tcPr>
          <w:p w14:paraId="62E2372B" w14:textId="77777777" w:rsidR="00F83DA4" w:rsidRPr="00F83DA4" w:rsidRDefault="00F83DA4" w:rsidP="00F83DA4">
            <w:pPr>
              <w:pStyle w:val="Body"/>
              <w:rPr>
                <w:rFonts w:ascii="Arial" w:hAnsi="Arial" w:cs="Arial"/>
              </w:rPr>
            </w:pPr>
            <w:proofErr w:type="spellStart"/>
            <w:r w:rsidRPr="00F83DA4">
              <w:rPr>
                <w:rFonts w:ascii="Arial" w:hAnsi="Arial" w:cs="Arial"/>
              </w:rPr>
              <w:t>ZnO</w:t>
            </w:r>
            <w:proofErr w:type="spellEnd"/>
            <w:r w:rsidRPr="00F83DA4">
              <w:rPr>
                <w:rFonts w:ascii="Arial" w:hAnsi="Arial" w:cs="Arial"/>
              </w:rPr>
              <w:t xml:space="preserve"> NPs</w:t>
            </w:r>
          </w:p>
        </w:tc>
        <w:tc>
          <w:tcPr>
            <w:tcW w:w="569" w:type="pct"/>
            <w:tcBorders>
              <w:top w:val="single" w:sz="4" w:space="0" w:color="auto"/>
            </w:tcBorders>
            <w:hideMark/>
          </w:tcPr>
          <w:p w14:paraId="1B6B54ED" w14:textId="77777777" w:rsidR="00F83DA4" w:rsidRPr="00F83DA4" w:rsidRDefault="00F83DA4" w:rsidP="00F83DA4">
            <w:pPr>
              <w:pStyle w:val="Body"/>
              <w:rPr>
                <w:rFonts w:ascii="Arial" w:hAnsi="Arial" w:cs="Arial"/>
              </w:rPr>
            </w:pPr>
            <w:r w:rsidRPr="00F83DA4">
              <w:rPr>
                <w:rFonts w:ascii="Arial" w:hAnsi="Arial" w:cs="Arial"/>
              </w:rPr>
              <w:t>24h, aqueous</w:t>
            </w:r>
          </w:p>
        </w:tc>
        <w:tc>
          <w:tcPr>
            <w:tcW w:w="576" w:type="pct"/>
            <w:tcBorders>
              <w:top w:val="single" w:sz="4" w:space="0" w:color="auto"/>
            </w:tcBorders>
            <w:hideMark/>
          </w:tcPr>
          <w:p w14:paraId="7FA5B593" w14:textId="77777777" w:rsidR="00F83DA4" w:rsidRPr="00F83DA4" w:rsidRDefault="00F83DA4" w:rsidP="00F83DA4">
            <w:pPr>
              <w:pStyle w:val="Body"/>
              <w:rPr>
                <w:rFonts w:ascii="Arial" w:hAnsi="Arial" w:cs="Arial"/>
              </w:rPr>
            </w:pPr>
            <w:r w:rsidRPr="00F83DA4">
              <w:rPr>
                <w:rFonts w:ascii="Arial" w:hAnsi="Arial" w:cs="Arial"/>
              </w:rPr>
              <w:t>50-200 mg/L</w:t>
            </w:r>
          </w:p>
        </w:tc>
        <w:tc>
          <w:tcPr>
            <w:tcW w:w="1307" w:type="pct"/>
            <w:tcBorders>
              <w:top w:val="single" w:sz="4" w:space="0" w:color="auto"/>
            </w:tcBorders>
            <w:hideMark/>
          </w:tcPr>
          <w:p w14:paraId="1333D26C" w14:textId="77777777" w:rsidR="00F83DA4" w:rsidRPr="00F83DA4" w:rsidRDefault="00F83DA4" w:rsidP="00F83DA4">
            <w:pPr>
              <w:pStyle w:val="Body"/>
              <w:rPr>
                <w:rFonts w:ascii="Arial" w:hAnsi="Arial" w:cs="Arial"/>
              </w:rPr>
            </w:pPr>
            <w:r w:rsidRPr="00F83DA4">
              <w:rPr>
                <w:rFonts w:ascii="Arial" w:hAnsi="Arial" w:cs="Arial"/>
              </w:rPr>
              <w:t>Membrane damage, ROS</w:t>
            </w:r>
          </w:p>
        </w:tc>
        <w:tc>
          <w:tcPr>
            <w:tcW w:w="764" w:type="pct"/>
            <w:tcBorders>
              <w:top w:val="single" w:sz="4" w:space="0" w:color="auto"/>
            </w:tcBorders>
            <w:hideMark/>
          </w:tcPr>
          <w:p w14:paraId="461C4330" w14:textId="77777777" w:rsidR="00F83DA4" w:rsidRPr="00F83DA4" w:rsidRDefault="00F83DA4" w:rsidP="00F83DA4">
            <w:pPr>
              <w:pStyle w:val="Body"/>
              <w:rPr>
                <w:rFonts w:ascii="Arial" w:hAnsi="Arial" w:cs="Arial"/>
              </w:rPr>
            </w:pPr>
            <w:r w:rsidRPr="00F83DA4">
              <w:rPr>
                <w:rFonts w:ascii="Arial" w:hAnsi="Arial" w:cs="Arial"/>
              </w:rPr>
              <w:t>Li et al., 2011</w:t>
            </w:r>
          </w:p>
        </w:tc>
      </w:tr>
      <w:tr w:rsidR="00F83DA4" w:rsidRPr="00F83DA4" w14:paraId="2E3EFFBD" w14:textId="77777777" w:rsidTr="00F83DA4">
        <w:tc>
          <w:tcPr>
            <w:tcW w:w="694" w:type="pct"/>
            <w:hideMark/>
          </w:tcPr>
          <w:p w14:paraId="53441CF8" w14:textId="77777777" w:rsidR="00F83DA4" w:rsidRPr="00F83DA4" w:rsidRDefault="00F83DA4" w:rsidP="00F83DA4">
            <w:pPr>
              <w:pStyle w:val="Body"/>
              <w:rPr>
                <w:rFonts w:ascii="Arial" w:hAnsi="Arial" w:cs="Arial"/>
              </w:rPr>
            </w:pPr>
            <w:r w:rsidRPr="00F83DA4">
              <w:rPr>
                <w:rFonts w:ascii="Arial" w:hAnsi="Arial" w:cs="Arial"/>
                <w:i/>
                <w:iCs/>
              </w:rPr>
              <w:t>Bacillus subtilis</w:t>
            </w:r>
          </w:p>
        </w:tc>
        <w:tc>
          <w:tcPr>
            <w:tcW w:w="576" w:type="pct"/>
            <w:hideMark/>
          </w:tcPr>
          <w:p w14:paraId="771847FB" w14:textId="77777777" w:rsidR="00F83DA4" w:rsidRPr="00F83DA4" w:rsidRDefault="00F83DA4" w:rsidP="00F83DA4">
            <w:pPr>
              <w:pStyle w:val="Body"/>
              <w:rPr>
                <w:rFonts w:ascii="Arial" w:hAnsi="Arial" w:cs="Arial"/>
              </w:rPr>
            </w:pPr>
            <w:r w:rsidRPr="00F83DA4">
              <w:rPr>
                <w:rFonts w:ascii="Arial" w:hAnsi="Arial" w:cs="Arial"/>
              </w:rPr>
              <w:t>Microbe</w:t>
            </w:r>
          </w:p>
        </w:tc>
        <w:tc>
          <w:tcPr>
            <w:tcW w:w="514" w:type="pct"/>
            <w:hideMark/>
          </w:tcPr>
          <w:p w14:paraId="798E6BFB" w14:textId="77777777" w:rsidR="00F83DA4" w:rsidRPr="00F83DA4" w:rsidRDefault="00F83DA4" w:rsidP="00F83DA4">
            <w:pPr>
              <w:pStyle w:val="Body"/>
              <w:rPr>
                <w:rFonts w:ascii="Arial" w:hAnsi="Arial" w:cs="Arial"/>
              </w:rPr>
            </w:pPr>
            <w:proofErr w:type="spellStart"/>
            <w:r w:rsidRPr="00F83DA4">
              <w:rPr>
                <w:rFonts w:ascii="Arial" w:hAnsi="Arial" w:cs="Arial"/>
              </w:rPr>
              <w:t>AgNPs</w:t>
            </w:r>
            <w:proofErr w:type="spellEnd"/>
          </w:p>
        </w:tc>
        <w:tc>
          <w:tcPr>
            <w:tcW w:w="569" w:type="pct"/>
            <w:hideMark/>
          </w:tcPr>
          <w:p w14:paraId="67D16980" w14:textId="77777777" w:rsidR="00F83DA4" w:rsidRPr="00F83DA4" w:rsidRDefault="00F83DA4" w:rsidP="00F83DA4">
            <w:pPr>
              <w:pStyle w:val="Body"/>
              <w:rPr>
                <w:rFonts w:ascii="Arial" w:hAnsi="Arial" w:cs="Arial"/>
              </w:rPr>
            </w:pPr>
            <w:r w:rsidRPr="00F83DA4">
              <w:rPr>
                <w:rFonts w:ascii="Arial" w:hAnsi="Arial" w:cs="Arial"/>
              </w:rPr>
              <w:t>24h, aqueous</w:t>
            </w:r>
          </w:p>
        </w:tc>
        <w:tc>
          <w:tcPr>
            <w:tcW w:w="576" w:type="pct"/>
            <w:hideMark/>
          </w:tcPr>
          <w:p w14:paraId="67C9544D" w14:textId="77777777" w:rsidR="00F83DA4" w:rsidRPr="00F83DA4" w:rsidRDefault="00F83DA4" w:rsidP="00F83DA4">
            <w:pPr>
              <w:pStyle w:val="Body"/>
              <w:rPr>
                <w:rFonts w:ascii="Arial" w:hAnsi="Arial" w:cs="Arial"/>
              </w:rPr>
            </w:pPr>
            <w:r w:rsidRPr="00F83DA4">
              <w:rPr>
                <w:rFonts w:ascii="Arial" w:hAnsi="Arial" w:cs="Arial"/>
              </w:rPr>
              <w:t>5-20 mg/L</w:t>
            </w:r>
          </w:p>
        </w:tc>
        <w:tc>
          <w:tcPr>
            <w:tcW w:w="1307" w:type="pct"/>
            <w:hideMark/>
          </w:tcPr>
          <w:p w14:paraId="31B3F107" w14:textId="77777777" w:rsidR="00F83DA4" w:rsidRPr="00F83DA4" w:rsidRDefault="00F83DA4" w:rsidP="00F83DA4">
            <w:pPr>
              <w:pStyle w:val="Body"/>
              <w:rPr>
                <w:rFonts w:ascii="Arial" w:hAnsi="Arial" w:cs="Arial"/>
              </w:rPr>
            </w:pPr>
            <w:r w:rsidRPr="00F83DA4">
              <w:rPr>
                <w:rFonts w:ascii="Arial" w:hAnsi="Arial" w:cs="Arial"/>
              </w:rPr>
              <w:t>DNA damage, protein oxidation</w:t>
            </w:r>
          </w:p>
        </w:tc>
        <w:tc>
          <w:tcPr>
            <w:tcW w:w="764" w:type="pct"/>
            <w:hideMark/>
          </w:tcPr>
          <w:p w14:paraId="5F327853" w14:textId="77777777" w:rsidR="00F83DA4" w:rsidRPr="00F83DA4" w:rsidRDefault="00F83DA4" w:rsidP="00F83DA4">
            <w:pPr>
              <w:pStyle w:val="Body"/>
              <w:rPr>
                <w:rFonts w:ascii="Arial" w:hAnsi="Arial" w:cs="Arial"/>
              </w:rPr>
            </w:pPr>
            <w:r w:rsidRPr="00F83DA4">
              <w:rPr>
                <w:rFonts w:ascii="Arial" w:hAnsi="Arial" w:cs="Arial"/>
              </w:rPr>
              <w:t>Morones et al., 2005</w:t>
            </w:r>
          </w:p>
        </w:tc>
      </w:tr>
      <w:tr w:rsidR="00F83DA4" w:rsidRPr="00F83DA4" w14:paraId="2DA392FB" w14:textId="77777777" w:rsidTr="00F83DA4">
        <w:tc>
          <w:tcPr>
            <w:tcW w:w="694" w:type="pct"/>
            <w:hideMark/>
          </w:tcPr>
          <w:p w14:paraId="41E5CB9A" w14:textId="77777777" w:rsidR="00F83DA4" w:rsidRPr="00F83DA4" w:rsidRDefault="00F83DA4" w:rsidP="00F83DA4">
            <w:pPr>
              <w:pStyle w:val="Body"/>
              <w:rPr>
                <w:rFonts w:ascii="Arial" w:hAnsi="Arial" w:cs="Arial"/>
              </w:rPr>
            </w:pPr>
            <w:r w:rsidRPr="00F83DA4">
              <w:rPr>
                <w:rFonts w:ascii="Arial" w:hAnsi="Arial" w:cs="Arial"/>
              </w:rPr>
              <w:t>Soil bacteria</w:t>
            </w:r>
          </w:p>
        </w:tc>
        <w:tc>
          <w:tcPr>
            <w:tcW w:w="576" w:type="pct"/>
            <w:hideMark/>
          </w:tcPr>
          <w:p w14:paraId="27C0B9E6" w14:textId="77777777" w:rsidR="00F83DA4" w:rsidRPr="00F83DA4" w:rsidRDefault="00F83DA4" w:rsidP="00F83DA4">
            <w:pPr>
              <w:pStyle w:val="Body"/>
              <w:rPr>
                <w:rFonts w:ascii="Arial" w:hAnsi="Arial" w:cs="Arial"/>
              </w:rPr>
            </w:pPr>
            <w:r w:rsidRPr="00F83DA4">
              <w:rPr>
                <w:rFonts w:ascii="Arial" w:hAnsi="Arial" w:cs="Arial"/>
              </w:rPr>
              <w:t>Microbe</w:t>
            </w:r>
          </w:p>
        </w:tc>
        <w:tc>
          <w:tcPr>
            <w:tcW w:w="514" w:type="pct"/>
            <w:hideMark/>
          </w:tcPr>
          <w:p w14:paraId="27A87610" w14:textId="77777777" w:rsidR="00F83DA4" w:rsidRPr="00F83DA4" w:rsidRDefault="00F83DA4" w:rsidP="00F83DA4">
            <w:pPr>
              <w:pStyle w:val="Body"/>
              <w:rPr>
                <w:rFonts w:ascii="Arial" w:hAnsi="Arial" w:cs="Arial"/>
              </w:rPr>
            </w:pPr>
            <w:proofErr w:type="spellStart"/>
            <w:r w:rsidRPr="00F83DA4">
              <w:rPr>
                <w:rFonts w:ascii="Arial" w:hAnsi="Arial" w:cs="Arial"/>
              </w:rPr>
              <w:t>CuO</w:t>
            </w:r>
            <w:proofErr w:type="spellEnd"/>
            <w:r w:rsidRPr="00F83DA4">
              <w:rPr>
                <w:rFonts w:ascii="Arial" w:hAnsi="Arial" w:cs="Arial"/>
              </w:rPr>
              <w:t xml:space="preserve"> NPs</w:t>
            </w:r>
          </w:p>
        </w:tc>
        <w:tc>
          <w:tcPr>
            <w:tcW w:w="569" w:type="pct"/>
            <w:hideMark/>
          </w:tcPr>
          <w:p w14:paraId="04C5FE8F" w14:textId="77777777" w:rsidR="00F83DA4" w:rsidRPr="00F83DA4" w:rsidRDefault="00F83DA4" w:rsidP="00F83DA4">
            <w:pPr>
              <w:pStyle w:val="Body"/>
              <w:rPr>
                <w:rFonts w:ascii="Arial" w:hAnsi="Arial" w:cs="Arial"/>
              </w:rPr>
            </w:pPr>
            <w:r w:rsidRPr="00F83DA4">
              <w:rPr>
                <w:rFonts w:ascii="Arial" w:hAnsi="Arial" w:cs="Arial"/>
              </w:rPr>
              <w:t>7d, soil</w:t>
            </w:r>
          </w:p>
        </w:tc>
        <w:tc>
          <w:tcPr>
            <w:tcW w:w="576" w:type="pct"/>
            <w:hideMark/>
          </w:tcPr>
          <w:p w14:paraId="3AC37703" w14:textId="77777777" w:rsidR="00F83DA4" w:rsidRPr="00F83DA4" w:rsidRDefault="00F83DA4" w:rsidP="00F83DA4">
            <w:pPr>
              <w:pStyle w:val="Body"/>
              <w:rPr>
                <w:rFonts w:ascii="Arial" w:hAnsi="Arial" w:cs="Arial"/>
              </w:rPr>
            </w:pPr>
            <w:r w:rsidRPr="00F83DA4">
              <w:rPr>
                <w:rFonts w:ascii="Arial" w:hAnsi="Arial" w:cs="Arial"/>
              </w:rPr>
              <w:t>100-500 mg/kg</w:t>
            </w:r>
          </w:p>
        </w:tc>
        <w:tc>
          <w:tcPr>
            <w:tcW w:w="1307" w:type="pct"/>
            <w:hideMark/>
          </w:tcPr>
          <w:p w14:paraId="77B9775E" w14:textId="77777777" w:rsidR="00F83DA4" w:rsidRPr="00F83DA4" w:rsidRDefault="00F83DA4" w:rsidP="00F83DA4">
            <w:pPr>
              <w:pStyle w:val="Body"/>
              <w:rPr>
                <w:rFonts w:ascii="Arial" w:hAnsi="Arial" w:cs="Arial"/>
              </w:rPr>
            </w:pPr>
            <w:r w:rsidRPr="00F83DA4">
              <w:rPr>
                <w:rFonts w:ascii="Arial" w:hAnsi="Arial" w:cs="Arial"/>
              </w:rPr>
              <w:t>Community shift, N-fixation inhibition</w:t>
            </w:r>
          </w:p>
        </w:tc>
        <w:tc>
          <w:tcPr>
            <w:tcW w:w="764" w:type="pct"/>
            <w:hideMark/>
          </w:tcPr>
          <w:p w14:paraId="212543B7" w14:textId="77777777" w:rsidR="00F83DA4" w:rsidRPr="00F83DA4" w:rsidRDefault="00F83DA4" w:rsidP="00F83DA4">
            <w:pPr>
              <w:pStyle w:val="Body"/>
              <w:rPr>
                <w:rFonts w:ascii="Arial" w:hAnsi="Arial" w:cs="Arial"/>
              </w:rPr>
            </w:pPr>
            <w:r w:rsidRPr="00F83DA4">
              <w:rPr>
                <w:rFonts w:ascii="Arial" w:hAnsi="Arial" w:cs="Arial"/>
              </w:rPr>
              <w:t>Judy et al., 2015</w:t>
            </w:r>
          </w:p>
        </w:tc>
      </w:tr>
      <w:tr w:rsidR="00F83DA4" w:rsidRPr="00F83DA4" w14:paraId="7B25FF09" w14:textId="77777777" w:rsidTr="00F83DA4">
        <w:tc>
          <w:tcPr>
            <w:tcW w:w="694" w:type="pct"/>
            <w:hideMark/>
          </w:tcPr>
          <w:p w14:paraId="774A764E" w14:textId="77777777" w:rsidR="00F83DA4" w:rsidRPr="00F83DA4" w:rsidRDefault="00F83DA4" w:rsidP="00F83DA4">
            <w:pPr>
              <w:pStyle w:val="Body"/>
              <w:rPr>
                <w:rFonts w:ascii="Arial" w:hAnsi="Arial" w:cs="Arial"/>
              </w:rPr>
            </w:pPr>
            <w:r w:rsidRPr="00F83DA4">
              <w:rPr>
                <w:rFonts w:ascii="Arial" w:hAnsi="Arial" w:cs="Arial"/>
                <w:i/>
                <w:iCs/>
              </w:rPr>
              <w:t>Scenedesmus obliquus</w:t>
            </w:r>
          </w:p>
        </w:tc>
        <w:tc>
          <w:tcPr>
            <w:tcW w:w="576" w:type="pct"/>
            <w:hideMark/>
          </w:tcPr>
          <w:p w14:paraId="7EA98757" w14:textId="77777777" w:rsidR="00F83DA4" w:rsidRPr="00F83DA4" w:rsidRDefault="00F83DA4" w:rsidP="00F83DA4">
            <w:pPr>
              <w:pStyle w:val="Body"/>
              <w:rPr>
                <w:rFonts w:ascii="Arial" w:hAnsi="Arial" w:cs="Arial"/>
              </w:rPr>
            </w:pPr>
            <w:r w:rsidRPr="00F83DA4">
              <w:rPr>
                <w:rFonts w:ascii="Arial" w:hAnsi="Arial" w:cs="Arial"/>
              </w:rPr>
              <w:t>Algae</w:t>
            </w:r>
          </w:p>
        </w:tc>
        <w:tc>
          <w:tcPr>
            <w:tcW w:w="514" w:type="pct"/>
            <w:hideMark/>
          </w:tcPr>
          <w:p w14:paraId="48BA224B" w14:textId="77777777" w:rsidR="00F83DA4" w:rsidRPr="00F83DA4" w:rsidRDefault="00F83DA4" w:rsidP="00F83DA4">
            <w:pPr>
              <w:pStyle w:val="Body"/>
              <w:rPr>
                <w:rFonts w:ascii="Arial" w:hAnsi="Arial" w:cs="Arial"/>
              </w:rPr>
            </w:pPr>
            <w:proofErr w:type="spellStart"/>
            <w:r w:rsidRPr="00F83DA4">
              <w:rPr>
                <w:rFonts w:ascii="Arial" w:hAnsi="Arial" w:cs="Arial"/>
              </w:rPr>
              <w:t>TiO</w:t>
            </w:r>
            <w:proofErr w:type="spellEnd"/>
            <w:r w:rsidRPr="00F83DA4">
              <w:rPr>
                <w:rFonts w:ascii="Cambria Math" w:hAnsi="Cambria Math" w:cs="Cambria Math"/>
              </w:rPr>
              <w:t>₂</w:t>
            </w:r>
            <w:r w:rsidRPr="00F83DA4">
              <w:rPr>
                <w:rFonts w:ascii="Arial" w:hAnsi="Arial" w:cs="Arial"/>
              </w:rPr>
              <w:t xml:space="preserve"> NPs</w:t>
            </w:r>
          </w:p>
        </w:tc>
        <w:tc>
          <w:tcPr>
            <w:tcW w:w="569" w:type="pct"/>
            <w:hideMark/>
          </w:tcPr>
          <w:p w14:paraId="27C283AB" w14:textId="77777777" w:rsidR="00F83DA4" w:rsidRPr="00F83DA4" w:rsidRDefault="00F83DA4" w:rsidP="00F83DA4">
            <w:pPr>
              <w:pStyle w:val="Body"/>
              <w:rPr>
                <w:rFonts w:ascii="Arial" w:hAnsi="Arial" w:cs="Arial"/>
              </w:rPr>
            </w:pPr>
            <w:r w:rsidRPr="00F83DA4">
              <w:rPr>
                <w:rFonts w:ascii="Arial" w:hAnsi="Arial" w:cs="Arial"/>
              </w:rPr>
              <w:t>96h</w:t>
            </w:r>
          </w:p>
        </w:tc>
        <w:tc>
          <w:tcPr>
            <w:tcW w:w="576" w:type="pct"/>
            <w:hideMark/>
          </w:tcPr>
          <w:p w14:paraId="6C420A97" w14:textId="77777777" w:rsidR="00F83DA4" w:rsidRPr="00F83DA4" w:rsidRDefault="00F83DA4" w:rsidP="00F83DA4">
            <w:pPr>
              <w:pStyle w:val="Body"/>
              <w:rPr>
                <w:rFonts w:ascii="Arial" w:hAnsi="Arial" w:cs="Arial"/>
              </w:rPr>
            </w:pPr>
            <w:r w:rsidRPr="00F83DA4">
              <w:rPr>
                <w:rFonts w:ascii="Arial" w:hAnsi="Arial" w:cs="Arial"/>
              </w:rPr>
              <w:t>&gt;100 mg/L</w:t>
            </w:r>
          </w:p>
        </w:tc>
        <w:tc>
          <w:tcPr>
            <w:tcW w:w="1307" w:type="pct"/>
            <w:hideMark/>
          </w:tcPr>
          <w:p w14:paraId="3C9D2A08" w14:textId="77777777" w:rsidR="00F83DA4" w:rsidRPr="00F83DA4" w:rsidRDefault="00F83DA4" w:rsidP="00F83DA4">
            <w:pPr>
              <w:pStyle w:val="Body"/>
              <w:rPr>
                <w:rFonts w:ascii="Arial" w:hAnsi="Arial" w:cs="Arial"/>
              </w:rPr>
            </w:pPr>
            <w:r w:rsidRPr="00F83DA4">
              <w:rPr>
                <w:rFonts w:ascii="Arial" w:hAnsi="Arial" w:cs="Arial"/>
              </w:rPr>
              <w:t>Photosynthesis inhibition</w:t>
            </w:r>
          </w:p>
        </w:tc>
        <w:tc>
          <w:tcPr>
            <w:tcW w:w="764" w:type="pct"/>
            <w:hideMark/>
          </w:tcPr>
          <w:p w14:paraId="74625363" w14:textId="77777777" w:rsidR="00F83DA4" w:rsidRPr="00F83DA4" w:rsidRDefault="00F83DA4" w:rsidP="00F83DA4">
            <w:pPr>
              <w:pStyle w:val="Body"/>
              <w:rPr>
                <w:rFonts w:ascii="Arial" w:hAnsi="Arial" w:cs="Arial"/>
              </w:rPr>
            </w:pPr>
            <w:proofErr w:type="spellStart"/>
            <w:r w:rsidRPr="00F83DA4">
              <w:rPr>
                <w:rFonts w:ascii="Arial" w:hAnsi="Arial" w:cs="Arial"/>
              </w:rPr>
              <w:t>Aruoja</w:t>
            </w:r>
            <w:proofErr w:type="spellEnd"/>
            <w:r w:rsidRPr="00F83DA4">
              <w:rPr>
                <w:rFonts w:ascii="Arial" w:hAnsi="Arial" w:cs="Arial"/>
              </w:rPr>
              <w:t xml:space="preserve"> et al., 2009</w:t>
            </w:r>
          </w:p>
        </w:tc>
      </w:tr>
      <w:tr w:rsidR="00F83DA4" w:rsidRPr="00F83DA4" w14:paraId="52A458E1" w14:textId="77777777" w:rsidTr="00F83DA4">
        <w:tc>
          <w:tcPr>
            <w:tcW w:w="694" w:type="pct"/>
            <w:hideMark/>
          </w:tcPr>
          <w:p w14:paraId="7BB6090E" w14:textId="77777777" w:rsidR="00F83DA4" w:rsidRPr="00F83DA4" w:rsidRDefault="00F83DA4" w:rsidP="00F83DA4">
            <w:pPr>
              <w:pStyle w:val="Body"/>
              <w:rPr>
                <w:rFonts w:ascii="Arial" w:hAnsi="Arial" w:cs="Arial"/>
              </w:rPr>
            </w:pPr>
            <w:r w:rsidRPr="00F83DA4">
              <w:rPr>
                <w:rFonts w:ascii="Arial" w:hAnsi="Arial" w:cs="Arial"/>
                <w:i/>
                <w:iCs/>
              </w:rPr>
              <w:t>Daphnia magna</w:t>
            </w:r>
          </w:p>
        </w:tc>
        <w:tc>
          <w:tcPr>
            <w:tcW w:w="576" w:type="pct"/>
            <w:hideMark/>
          </w:tcPr>
          <w:p w14:paraId="118669FB" w14:textId="77777777" w:rsidR="00F83DA4" w:rsidRPr="00F83DA4" w:rsidRDefault="00F83DA4" w:rsidP="00F83DA4">
            <w:pPr>
              <w:pStyle w:val="Body"/>
              <w:rPr>
                <w:rFonts w:ascii="Arial" w:hAnsi="Arial" w:cs="Arial"/>
              </w:rPr>
            </w:pPr>
            <w:r w:rsidRPr="00F83DA4">
              <w:rPr>
                <w:rFonts w:ascii="Arial" w:hAnsi="Arial" w:cs="Arial"/>
              </w:rPr>
              <w:t>Zooplankton</w:t>
            </w:r>
          </w:p>
        </w:tc>
        <w:tc>
          <w:tcPr>
            <w:tcW w:w="514" w:type="pct"/>
            <w:hideMark/>
          </w:tcPr>
          <w:p w14:paraId="6C9C7A74" w14:textId="77777777" w:rsidR="00F83DA4" w:rsidRPr="00F83DA4" w:rsidRDefault="00F83DA4" w:rsidP="00F83DA4">
            <w:pPr>
              <w:pStyle w:val="Body"/>
              <w:rPr>
                <w:rFonts w:ascii="Arial" w:hAnsi="Arial" w:cs="Arial"/>
              </w:rPr>
            </w:pPr>
            <w:proofErr w:type="spellStart"/>
            <w:r w:rsidRPr="00F83DA4">
              <w:rPr>
                <w:rFonts w:ascii="Arial" w:hAnsi="Arial" w:cs="Arial"/>
              </w:rPr>
              <w:t>ZnO</w:t>
            </w:r>
            <w:proofErr w:type="spellEnd"/>
            <w:r w:rsidRPr="00F83DA4">
              <w:rPr>
                <w:rFonts w:ascii="Arial" w:hAnsi="Arial" w:cs="Arial"/>
              </w:rPr>
              <w:t xml:space="preserve"> NPs</w:t>
            </w:r>
          </w:p>
        </w:tc>
        <w:tc>
          <w:tcPr>
            <w:tcW w:w="569" w:type="pct"/>
            <w:hideMark/>
          </w:tcPr>
          <w:p w14:paraId="4A129DCA" w14:textId="77777777" w:rsidR="00F83DA4" w:rsidRPr="00F83DA4" w:rsidRDefault="00F83DA4" w:rsidP="00F83DA4">
            <w:pPr>
              <w:pStyle w:val="Body"/>
              <w:rPr>
                <w:rFonts w:ascii="Arial" w:hAnsi="Arial" w:cs="Arial"/>
              </w:rPr>
            </w:pPr>
            <w:r w:rsidRPr="00F83DA4">
              <w:rPr>
                <w:rFonts w:ascii="Arial" w:hAnsi="Arial" w:cs="Arial"/>
              </w:rPr>
              <w:t>48h</w:t>
            </w:r>
          </w:p>
        </w:tc>
        <w:tc>
          <w:tcPr>
            <w:tcW w:w="576" w:type="pct"/>
            <w:hideMark/>
          </w:tcPr>
          <w:p w14:paraId="473C2CB8" w14:textId="77777777" w:rsidR="00F83DA4" w:rsidRPr="00F83DA4" w:rsidRDefault="00F83DA4" w:rsidP="00F83DA4">
            <w:pPr>
              <w:pStyle w:val="Body"/>
              <w:rPr>
                <w:rFonts w:ascii="Arial" w:hAnsi="Arial" w:cs="Arial"/>
              </w:rPr>
            </w:pPr>
            <w:r w:rsidRPr="00F83DA4">
              <w:rPr>
                <w:rFonts w:ascii="Arial" w:hAnsi="Arial" w:cs="Arial"/>
              </w:rPr>
              <w:t>0.5-3 mg/L</w:t>
            </w:r>
          </w:p>
        </w:tc>
        <w:tc>
          <w:tcPr>
            <w:tcW w:w="1307" w:type="pct"/>
            <w:hideMark/>
          </w:tcPr>
          <w:p w14:paraId="6A8C5C9E" w14:textId="77777777" w:rsidR="00F83DA4" w:rsidRPr="00F83DA4" w:rsidRDefault="00F83DA4" w:rsidP="00F83DA4">
            <w:pPr>
              <w:pStyle w:val="Body"/>
              <w:rPr>
                <w:rFonts w:ascii="Arial" w:hAnsi="Arial" w:cs="Arial"/>
              </w:rPr>
            </w:pPr>
            <w:r w:rsidRPr="00F83DA4">
              <w:rPr>
                <w:rFonts w:ascii="Arial" w:hAnsi="Arial" w:cs="Arial"/>
              </w:rPr>
              <w:t>Reproduction inhibition, oxidative stress</w:t>
            </w:r>
          </w:p>
        </w:tc>
        <w:tc>
          <w:tcPr>
            <w:tcW w:w="764" w:type="pct"/>
            <w:hideMark/>
          </w:tcPr>
          <w:p w14:paraId="25CA0812" w14:textId="77777777" w:rsidR="00F83DA4" w:rsidRPr="00F83DA4" w:rsidRDefault="00F83DA4" w:rsidP="00F83DA4">
            <w:pPr>
              <w:pStyle w:val="Body"/>
              <w:rPr>
                <w:rFonts w:ascii="Arial" w:hAnsi="Arial" w:cs="Arial"/>
              </w:rPr>
            </w:pPr>
            <w:r w:rsidRPr="00F83DA4">
              <w:rPr>
                <w:rFonts w:ascii="Arial" w:hAnsi="Arial" w:cs="Arial"/>
              </w:rPr>
              <w:t>Blinova et al., 2010</w:t>
            </w:r>
          </w:p>
        </w:tc>
      </w:tr>
      <w:tr w:rsidR="00F83DA4" w:rsidRPr="00F83DA4" w14:paraId="71355D9F" w14:textId="77777777" w:rsidTr="00F83DA4">
        <w:tc>
          <w:tcPr>
            <w:tcW w:w="694" w:type="pct"/>
            <w:hideMark/>
          </w:tcPr>
          <w:p w14:paraId="05F28E60" w14:textId="77777777" w:rsidR="00F83DA4" w:rsidRPr="00F83DA4" w:rsidRDefault="00F83DA4" w:rsidP="00F83DA4">
            <w:pPr>
              <w:pStyle w:val="Body"/>
              <w:rPr>
                <w:rFonts w:ascii="Arial" w:hAnsi="Arial" w:cs="Arial"/>
              </w:rPr>
            </w:pPr>
            <w:r w:rsidRPr="00F83DA4">
              <w:rPr>
                <w:rFonts w:ascii="Arial" w:hAnsi="Arial" w:cs="Arial"/>
                <w:i/>
                <w:iCs/>
              </w:rPr>
              <w:t>Daphnia magna</w:t>
            </w:r>
          </w:p>
        </w:tc>
        <w:tc>
          <w:tcPr>
            <w:tcW w:w="576" w:type="pct"/>
            <w:hideMark/>
          </w:tcPr>
          <w:p w14:paraId="454CBC29" w14:textId="77777777" w:rsidR="00F83DA4" w:rsidRPr="00F83DA4" w:rsidRDefault="00F83DA4" w:rsidP="00F83DA4">
            <w:pPr>
              <w:pStyle w:val="Body"/>
              <w:rPr>
                <w:rFonts w:ascii="Arial" w:hAnsi="Arial" w:cs="Arial"/>
              </w:rPr>
            </w:pPr>
            <w:r w:rsidRPr="00F83DA4">
              <w:rPr>
                <w:rFonts w:ascii="Arial" w:hAnsi="Arial" w:cs="Arial"/>
              </w:rPr>
              <w:t>Zooplankton</w:t>
            </w:r>
          </w:p>
        </w:tc>
        <w:tc>
          <w:tcPr>
            <w:tcW w:w="514" w:type="pct"/>
            <w:hideMark/>
          </w:tcPr>
          <w:p w14:paraId="2BDB4F15" w14:textId="77777777" w:rsidR="00F83DA4" w:rsidRPr="00F83DA4" w:rsidRDefault="00F83DA4" w:rsidP="00F83DA4">
            <w:pPr>
              <w:pStyle w:val="Body"/>
              <w:rPr>
                <w:rFonts w:ascii="Arial" w:hAnsi="Arial" w:cs="Arial"/>
              </w:rPr>
            </w:pPr>
            <w:proofErr w:type="spellStart"/>
            <w:r w:rsidRPr="00F83DA4">
              <w:rPr>
                <w:rFonts w:ascii="Arial" w:hAnsi="Arial" w:cs="Arial"/>
              </w:rPr>
              <w:t>AgNPs</w:t>
            </w:r>
            <w:proofErr w:type="spellEnd"/>
          </w:p>
        </w:tc>
        <w:tc>
          <w:tcPr>
            <w:tcW w:w="569" w:type="pct"/>
            <w:hideMark/>
          </w:tcPr>
          <w:p w14:paraId="17759878" w14:textId="77777777" w:rsidR="00F83DA4" w:rsidRPr="00F83DA4" w:rsidRDefault="00F83DA4" w:rsidP="00F83DA4">
            <w:pPr>
              <w:pStyle w:val="Body"/>
              <w:rPr>
                <w:rFonts w:ascii="Arial" w:hAnsi="Arial" w:cs="Arial"/>
              </w:rPr>
            </w:pPr>
            <w:r w:rsidRPr="00F83DA4">
              <w:rPr>
                <w:rFonts w:ascii="Arial" w:hAnsi="Arial" w:cs="Arial"/>
              </w:rPr>
              <w:t>48h</w:t>
            </w:r>
          </w:p>
        </w:tc>
        <w:tc>
          <w:tcPr>
            <w:tcW w:w="576" w:type="pct"/>
            <w:hideMark/>
          </w:tcPr>
          <w:p w14:paraId="15670425" w14:textId="77777777" w:rsidR="00F83DA4" w:rsidRPr="00F83DA4" w:rsidRDefault="00F83DA4" w:rsidP="00F83DA4">
            <w:pPr>
              <w:pStyle w:val="Body"/>
              <w:rPr>
                <w:rFonts w:ascii="Arial" w:hAnsi="Arial" w:cs="Arial"/>
              </w:rPr>
            </w:pPr>
            <w:r w:rsidRPr="00F83DA4">
              <w:rPr>
                <w:rFonts w:ascii="Arial" w:hAnsi="Arial" w:cs="Arial"/>
              </w:rPr>
              <w:t>0.01-0.1 mg/L</w:t>
            </w:r>
          </w:p>
        </w:tc>
        <w:tc>
          <w:tcPr>
            <w:tcW w:w="1307" w:type="pct"/>
            <w:hideMark/>
          </w:tcPr>
          <w:p w14:paraId="2C16BD09" w14:textId="77777777" w:rsidR="00F83DA4" w:rsidRPr="00F83DA4" w:rsidRDefault="00F83DA4" w:rsidP="00F83DA4">
            <w:pPr>
              <w:pStyle w:val="Body"/>
              <w:rPr>
                <w:rFonts w:ascii="Arial" w:hAnsi="Arial" w:cs="Arial"/>
              </w:rPr>
            </w:pPr>
            <w:r w:rsidRPr="00F83DA4">
              <w:rPr>
                <w:rFonts w:ascii="Arial" w:hAnsi="Arial" w:cs="Arial"/>
              </w:rPr>
              <w:t>Mortality, behavioral changes</w:t>
            </w:r>
          </w:p>
        </w:tc>
        <w:tc>
          <w:tcPr>
            <w:tcW w:w="764" w:type="pct"/>
            <w:hideMark/>
          </w:tcPr>
          <w:p w14:paraId="7F5EC195" w14:textId="77777777" w:rsidR="00F83DA4" w:rsidRPr="00F83DA4" w:rsidRDefault="00F83DA4" w:rsidP="00F83DA4">
            <w:pPr>
              <w:pStyle w:val="Body"/>
              <w:rPr>
                <w:rFonts w:ascii="Arial" w:hAnsi="Arial" w:cs="Arial"/>
              </w:rPr>
            </w:pPr>
            <w:r w:rsidRPr="00F83DA4">
              <w:rPr>
                <w:rFonts w:ascii="Arial" w:hAnsi="Arial" w:cs="Arial"/>
              </w:rPr>
              <w:t>Zhao and Wang, 2012</w:t>
            </w:r>
          </w:p>
        </w:tc>
      </w:tr>
      <w:tr w:rsidR="00F83DA4" w:rsidRPr="00F83DA4" w14:paraId="5D786E35" w14:textId="77777777" w:rsidTr="00F83DA4">
        <w:tc>
          <w:tcPr>
            <w:tcW w:w="694" w:type="pct"/>
            <w:hideMark/>
          </w:tcPr>
          <w:p w14:paraId="27559D91" w14:textId="77777777" w:rsidR="00F83DA4" w:rsidRPr="00F83DA4" w:rsidRDefault="00F83DA4" w:rsidP="00F83DA4">
            <w:pPr>
              <w:pStyle w:val="Body"/>
              <w:rPr>
                <w:rFonts w:ascii="Arial" w:hAnsi="Arial" w:cs="Arial"/>
              </w:rPr>
            </w:pPr>
            <w:r w:rsidRPr="00F83DA4">
              <w:rPr>
                <w:rFonts w:ascii="Arial" w:hAnsi="Arial" w:cs="Arial"/>
                <w:i/>
                <w:iCs/>
              </w:rPr>
              <w:t>Danio rerio</w:t>
            </w:r>
            <w:r w:rsidRPr="00F83DA4">
              <w:rPr>
                <w:rFonts w:ascii="Arial" w:hAnsi="Arial" w:cs="Arial"/>
              </w:rPr>
              <w:t> (Zebrafish)</w:t>
            </w:r>
          </w:p>
        </w:tc>
        <w:tc>
          <w:tcPr>
            <w:tcW w:w="576" w:type="pct"/>
            <w:hideMark/>
          </w:tcPr>
          <w:p w14:paraId="1A8A8072" w14:textId="77777777" w:rsidR="00F83DA4" w:rsidRPr="00F83DA4" w:rsidRDefault="00F83DA4" w:rsidP="00F83DA4">
            <w:pPr>
              <w:pStyle w:val="Body"/>
              <w:rPr>
                <w:rFonts w:ascii="Arial" w:hAnsi="Arial" w:cs="Arial"/>
              </w:rPr>
            </w:pPr>
            <w:r w:rsidRPr="00F83DA4">
              <w:rPr>
                <w:rFonts w:ascii="Arial" w:hAnsi="Arial" w:cs="Arial"/>
              </w:rPr>
              <w:t>Fish</w:t>
            </w:r>
          </w:p>
        </w:tc>
        <w:tc>
          <w:tcPr>
            <w:tcW w:w="514" w:type="pct"/>
            <w:hideMark/>
          </w:tcPr>
          <w:p w14:paraId="4E6E54CE" w14:textId="77777777" w:rsidR="00F83DA4" w:rsidRPr="00F83DA4" w:rsidRDefault="00F83DA4" w:rsidP="00F83DA4">
            <w:pPr>
              <w:pStyle w:val="Body"/>
              <w:rPr>
                <w:rFonts w:ascii="Arial" w:hAnsi="Arial" w:cs="Arial"/>
              </w:rPr>
            </w:pPr>
            <w:proofErr w:type="spellStart"/>
            <w:r w:rsidRPr="00F83DA4">
              <w:rPr>
                <w:rFonts w:ascii="Arial" w:hAnsi="Arial" w:cs="Arial"/>
              </w:rPr>
              <w:t>CuO</w:t>
            </w:r>
            <w:proofErr w:type="spellEnd"/>
            <w:r w:rsidRPr="00F83DA4">
              <w:rPr>
                <w:rFonts w:ascii="Arial" w:hAnsi="Arial" w:cs="Arial"/>
              </w:rPr>
              <w:t xml:space="preserve"> NPs</w:t>
            </w:r>
          </w:p>
        </w:tc>
        <w:tc>
          <w:tcPr>
            <w:tcW w:w="569" w:type="pct"/>
            <w:hideMark/>
          </w:tcPr>
          <w:p w14:paraId="79B82FEF" w14:textId="77777777" w:rsidR="00F83DA4" w:rsidRPr="00F83DA4" w:rsidRDefault="00F83DA4" w:rsidP="00F83DA4">
            <w:pPr>
              <w:pStyle w:val="Body"/>
              <w:rPr>
                <w:rFonts w:ascii="Arial" w:hAnsi="Arial" w:cs="Arial"/>
              </w:rPr>
            </w:pPr>
            <w:r w:rsidRPr="00F83DA4">
              <w:rPr>
                <w:rFonts w:ascii="Arial" w:hAnsi="Arial" w:cs="Arial"/>
              </w:rPr>
              <w:t>96h</w:t>
            </w:r>
          </w:p>
        </w:tc>
        <w:tc>
          <w:tcPr>
            <w:tcW w:w="576" w:type="pct"/>
            <w:hideMark/>
          </w:tcPr>
          <w:p w14:paraId="2A13E082" w14:textId="77777777" w:rsidR="00F83DA4" w:rsidRPr="00F83DA4" w:rsidRDefault="00F83DA4" w:rsidP="00F83DA4">
            <w:pPr>
              <w:pStyle w:val="Body"/>
              <w:rPr>
                <w:rFonts w:ascii="Arial" w:hAnsi="Arial" w:cs="Arial"/>
              </w:rPr>
            </w:pPr>
            <w:r w:rsidRPr="00F83DA4">
              <w:rPr>
                <w:rFonts w:ascii="Arial" w:hAnsi="Arial" w:cs="Arial"/>
              </w:rPr>
              <w:t>1-10 mg/L</w:t>
            </w:r>
          </w:p>
        </w:tc>
        <w:tc>
          <w:tcPr>
            <w:tcW w:w="1307" w:type="pct"/>
            <w:hideMark/>
          </w:tcPr>
          <w:p w14:paraId="5798984B" w14:textId="77777777" w:rsidR="00F83DA4" w:rsidRPr="00F83DA4" w:rsidRDefault="00F83DA4" w:rsidP="00F83DA4">
            <w:pPr>
              <w:pStyle w:val="Body"/>
              <w:rPr>
                <w:rFonts w:ascii="Arial" w:hAnsi="Arial" w:cs="Arial"/>
              </w:rPr>
            </w:pPr>
            <w:r w:rsidRPr="00F83DA4">
              <w:rPr>
                <w:rFonts w:ascii="Arial" w:hAnsi="Arial" w:cs="Arial"/>
              </w:rPr>
              <w:t>Gill damage, liver toxicity</w:t>
            </w:r>
          </w:p>
        </w:tc>
        <w:tc>
          <w:tcPr>
            <w:tcW w:w="764" w:type="pct"/>
            <w:hideMark/>
          </w:tcPr>
          <w:p w14:paraId="14175083" w14:textId="77777777" w:rsidR="00F83DA4" w:rsidRPr="00F83DA4" w:rsidRDefault="00F83DA4" w:rsidP="00F83DA4">
            <w:pPr>
              <w:pStyle w:val="Body"/>
              <w:rPr>
                <w:rFonts w:ascii="Arial" w:hAnsi="Arial" w:cs="Arial"/>
              </w:rPr>
            </w:pPr>
            <w:r w:rsidRPr="00F83DA4">
              <w:rPr>
                <w:rFonts w:ascii="Arial" w:hAnsi="Arial" w:cs="Arial"/>
              </w:rPr>
              <w:t>Griffitt et al., 2007</w:t>
            </w:r>
          </w:p>
        </w:tc>
      </w:tr>
      <w:tr w:rsidR="00F83DA4" w:rsidRPr="00F83DA4" w14:paraId="629D725B" w14:textId="77777777" w:rsidTr="00F83DA4">
        <w:tc>
          <w:tcPr>
            <w:tcW w:w="694" w:type="pct"/>
            <w:hideMark/>
          </w:tcPr>
          <w:p w14:paraId="7028BF11" w14:textId="77777777" w:rsidR="00F83DA4" w:rsidRPr="00F83DA4" w:rsidRDefault="00F83DA4" w:rsidP="00F83DA4">
            <w:pPr>
              <w:pStyle w:val="Body"/>
              <w:rPr>
                <w:rFonts w:ascii="Arial" w:hAnsi="Arial" w:cs="Arial"/>
              </w:rPr>
            </w:pPr>
            <w:r w:rsidRPr="00F83DA4">
              <w:rPr>
                <w:rFonts w:ascii="Arial" w:hAnsi="Arial" w:cs="Arial"/>
                <w:i/>
                <w:iCs/>
              </w:rPr>
              <w:lastRenderedPageBreak/>
              <w:t xml:space="preserve">Eisenia </w:t>
            </w:r>
            <w:proofErr w:type="spellStart"/>
            <w:r w:rsidRPr="00F83DA4">
              <w:rPr>
                <w:rFonts w:ascii="Arial" w:hAnsi="Arial" w:cs="Arial"/>
                <w:i/>
                <w:iCs/>
              </w:rPr>
              <w:t>fetida</w:t>
            </w:r>
            <w:proofErr w:type="spellEnd"/>
            <w:r w:rsidRPr="00F83DA4">
              <w:rPr>
                <w:rFonts w:ascii="Arial" w:hAnsi="Arial" w:cs="Arial"/>
              </w:rPr>
              <w:t> (Earthworm)</w:t>
            </w:r>
          </w:p>
        </w:tc>
        <w:tc>
          <w:tcPr>
            <w:tcW w:w="576" w:type="pct"/>
            <w:hideMark/>
          </w:tcPr>
          <w:p w14:paraId="6636EAE1" w14:textId="77777777" w:rsidR="00F83DA4" w:rsidRPr="00F83DA4" w:rsidRDefault="00F83DA4" w:rsidP="00F83DA4">
            <w:pPr>
              <w:pStyle w:val="Body"/>
              <w:rPr>
                <w:rFonts w:ascii="Arial" w:hAnsi="Arial" w:cs="Arial"/>
              </w:rPr>
            </w:pPr>
            <w:r w:rsidRPr="00F83DA4">
              <w:rPr>
                <w:rFonts w:ascii="Arial" w:hAnsi="Arial" w:cs="Arial"/>
              </w:rPr>
              <w:t>Soil invertebrate</w:t>
            </w:r>
          </w:p>
        </w:tc>
        <w:tc>
          <w:tcPr>
            <w:tcW w:w="514" w:type="pct"/>
            <w:hideMark/>
          </w:tcPr>
          <w:p w14:paraId="63DDB5BE" w14:textId="77777777" w:rsidR="00F83DA4" w:rsidRPr="00F83DA4" w:rsidRDefault="00F83DA4" w:rsidP="00F83DA4">
            <w:pPr>
              <w:pStyle w:val="Body"/>
              <w:rPr>
                <w:rFonts w:ascii="Arial" w:hAnsi="Arial" w:cs="Arial"/>
              </w:rPr>
            </w:pPr>
            <w:proofErr w:type="spellStart"/>
            <w:r w:rsidRPr="00F83DA4">
              <w:rPr>
                <w:rFonts w:ascii="Arial" w:hAnsi="Arial" w:cs="Arial"/>
              </w:rPr>
              <w:t>ZnO</w:t>
            </w:r>
            <w:proofErr w:type="spellEnd"/>
            <w:r w:rsidRPr="00F83DA4">
              <w:rPr>
                <w:rFonts w:ascii="Arial" w:hAnsi="Arial" w:cs="Arial"/>
              </w:rPr>
              <w:t xml:space="preserve"> NPs</w:t>
            </w:r>
          </w:p>
        </w:tc>
        <w:tc>
          <w:tcPr>
            <w:tcW w:w="569" w:type="pct"/>
            <w:hideMark/>
          </w:tcPr>
          <w:p w14:paraId="4B922B77" w14:textId="77777777" w:rsidR="00F83DA4" w:rsidRPr="00F83DA4" w:rsidRDefault="00F83DA4" w:rsidP="00F83DA4">
            <w:pPr>
              <w:pStyle w:val="Body"/>
              <w:rPr>
                <w:rFonts w:ascii="Arial" w:hAnsi="Arial" w:cs="Arial"/>
              </w:rPr>
            </w:pPr>
            <w:r w:rsidRPr="00F83DA4">
              <w:rPr>
                <w:rFonts w:ascii="Arial" w:hAnsi="Arial" w:cs="Arial"/>
              </w:rPr>
              <w:t>14d, soil</w:t>
            </w:r>
          </w:p>
        </w:tc>
        <w:tc>
          <w:tcPr>
            <w:tcW w:w="576" w:type="pct"/>
            <w:hideMark/>
          </w:tcPr>
          <w:p w14:paraId="419A4E38" w14:textId="77777777" w:rsidR="00F83DA4" w:rsidRPr="00F83DA4" w:rsidRDefault="00F83DA4" w:rsidP="00F83DA4">
            <w:pPr>
              <w:pStyle w:val="Body"/>
              <w:rPr>
                <w:rFonts w:ascii="Arial" w:hAnsi="Arial" w:cs="Arial"/>
              </w:rPr>
            </w:pPr>
            <w:r w:rsidRPr="00F83DA4">
              <w:rPr>
                <w:rFonts w:ascii="Arial" w:hAnsi="Arial" w:cs="Arial"/>
              </w:rPr>
              <w:t>500-2000 mg/kg</w:t>
            </w:r>
          </w:p>
        </w:tc>
        <w:tc>
          <w:tcPr>
            <w:tcW w:w="1307" w:type="pct"/>
            <w:hideMark/>
          </w:tcPr>
          <w:p w14:paraId="57B799F3" w14:textId="77777777" w:rsidR="00F83DA4" w:rsidRPr="00F83DA4" w:rsidRDefault="00F83DA4" w:rsidP="00F83DA4">
            <w:pPr>
              <w:pStyle w:val="Body"/>
              <w:rPr>
                <w:rFonts w:ascii="Arial" w:hAnsi="Arial" w:cs="Arial"/>
              </w:rPr>
            </w:pPr>
            <w:r w:rsidRPr="00F83DA4">
              <w:rPr>
                <w:rFonts w:ascii="Arial" w:hAnsi="Arial" w:cs="Arial"/>
              </w:rPr>
              <w:t>Reproduction inhibition, weight loss</w:t>
            </w:r>
          </w:p>
        </w:tc>
        <w:tc>
          <w:tcPr>
            <w:tcW w:w="764" w:type="pct"/>
            <w:hideMark/>
          </w:tcPr>
          <w:p w14:paraId="3999F6CA" w14:textId="77777777" w:rsidR="00F83DA4" w:rsidRPr="00F83DA4" w:rsidRDefault="00F83DA4" w:rsidP="00F83DA4">
            <w:pPr>
              <w:pStyle w:val="Body"/>
              <w:rPr>
                <w:rFonts w:ascii="Arial" w:hAnsi="Arial" w:cs="Arial"/>
              </w:rPr>
            </w:pPr>
            <w:r w:rsidRPr="00F83DA4">
              <w:rPr>
                <w:rFonts w:ascii="Arial" w:hAnsi="Arial" w:cs="Arial"/>
              </w:rPr>
              <w:t>Hu et al., 2010</w:t>
            </w:r>
          </w:p>
        </w:tc>
      </w:tr>
      <w:tr w:rsidR="00F83DA4" w:rsidRPr="00F83DA4" w14:paraId="77F17495" w14:textId="77777777" w:rsidTr="00F83DA4">
        <w:tc>
          <w:tcPr>
            <w:tcW w:w="694" w:type="pct"/>
            <w:hideMark/>
          </w:tcPr>
          <w:p w14:paraId="4D38F821" w14:textId="77777777" w:rsidR="00F83DA4" w:rsidRPr="00F83DA4" w:rsidRDefault="00F83DA4" w:rsidP="00F83DA4">
            <w:pPr>
              <w:pStyle w:val="Body"/>
              <w:rPr>
                <w:rFonts w:ascii="Arial" w:hAnsi="Arial" w:cs="Arial"/>
              </w:rPr>
            </w:pPr>
            <w:r w:rsidRPr="00F83DA4">
              <w:rPr>
                <w:rFonts w:ascii="Arial" w:hAnsi="Arial" w:cs="Arial"/>
                <w:i/>
                <w:iCs/>
              </w:rPr>
              <w:t>Apis mellifera</w:t>
            </w:r>
            <w:r w:rsidRPr="00F83DA4">
              <w:rPr>
                <w:rFonts w:ascii="Arial" w:hAnsi="Arial" w:cs="Arial"/>
              </w:rPr>
              <w:t> (Honeybee)</w:t>
            </w:r>
          </w:p>
        </w:tc>
        <w:tc>
          <w:tcPr>
            <w:tcW w:w="576" w:type="pct"/>
            <w:hideMark/>
          </w:tcPr>
          <w:p w14:paraId="1D93F97C" w14:textId="77777777" w:rsidR="00F83DA4" w:rsidRPr="00F83DA4" w:rsidRDefault="00F83DA4" w:rsidP="00F83DA4">
            <w:pPr>
              <w:pStyle w:val="Body"/>
              <w:rPr>
                <w:rFonts w:ascii="Arial" w:hAnsi="Arial" w:cs="Arial"/>
              </w:rPr>
            </w:pPr>
            <w:r w:rsidRPr="00F83DA4">
              <w:rPr>
                <w:rFonts w:ascii="Arial" w:hAnsi="Arial" w:cs="Arial"/>
              </w:rPr>
              <w:t>Pollinator</w:t>
            </w:r>
          </w:p>
        </w:tc>
        <w:tc>
          <w:tcPr>
            <w:tcW w:w="514" w:type="pct"/>
            <w:hideMark/>
          </w:tcPr>
          <w:p w14:paraId="50D6C850" w14:textId="77777777" w:rsidR="00F83DA4" w:rsidRPr="00F83DA4" w:rsidRDefault="00F83DA4" w:rsidP="00F83DA4">
            <w:pPr>
              <w:pStyle w:val="Body"/>
              <w:rPr>
                <w:rFonts w:ascii="Arial" w:hAnsi="Arial" w:cs="Arial"/>
              </w:rPr>
            </w:pPr>
            <w:proofErr w:type="spellStart"/>
            <w:r w:rsidRPr="00F83DA4">
              <w:rPr>
                <w:rFonts w:ascii="Arial" w:hAnsi="Arial" w:cs="Arial"/>
              </w:rPr>
              <w:t>TiO</w:t>
            </w:r>
            <w:proofErr w:type="spellEnd"/>
            <w:r w:rsidRPr="00F83DA4">
              <w:rPr>
                <w:rFonts w:ascii="Cambria Math" w:hAnsi="Cambria Math" w:cs="Cambria Math"/>
              </w:rPr>
              <w:t>₂</w:t>
            </w:r>
            <w:r w:rsidRPr="00F83DA4">
              <w:rPr>
                <w:rFonts w:ascii="Arial" w:hAnsi="Arial" w:cs="Arial"/>
              </w:rPr>
              <w:t xml:space="preserve"> NPs</w:t>
            </w:r>
          </w:p>
        </w:tc>
        <w:tc>
          <w:tcPr>
            <w:tcW w:w="569" w:type="pct"/>
            <w:hideMark/>
          </w:tcPr>
          <w:p w14:paraId="5ACF7CBA" w14:textId="77777777" w:rsidR="00F83DA4" w:rsidRPr="00F83DA4" w:rsidRDefault="00F83DA4" w:rsidP="00F83DA4">
            <w:pPr>
              <w:pStyle w:val="Body"/>
              <w:rPr>
                <w:rFonts w:ascii="Arial" w:hAnsi="Arial" w:cs="Arial"/>
              </w:rPr>
            </w:pPr>
            <w:r w:rsidRPr="00F83DA4">
              <w:rPr>
                <w:rFonts w:ascii="Arial" w:hAnsi="Arial" w:cs="Arial"/>
              </w:rPr>
              <w:t>Oral, 48h</w:t>
            </w:r>
          </w:p>
        </w:tc>
        <w:tc>
          <w:tcPr>
            <w:tcW w:w="576" w:type="pct"/>
            <w:hideMark/>
          </w:tcPr>
          <w:p w14:paraId="64F0D957" w14:textId="77777777" w:rsidR="00F83DA4" w:rsidRPr="00F83DA4" w:rsidRDefault="00F83DA4" w:rsidP="00F83DA4">
            <w:pPr>
              <w:pStyle w:val="Body"/>
              <w:rPr>
                <w:rFonts w:ascii="Arial" w:hAnsi="Arial" w:cs="Arial"/>
              </w:rPr>
            </w:pPr>
            <w:r w:rsidRPr="00F83DA4">
              <w:rPr>
                <w:rFonts w:ascii="Arial" w:hAnsi="Arial" w:cs="Arial"/>
              </w:rPr>
              <w:t>&gt;1000 mg/L</w:t>
            </w:r>
          </w:p>
        </w:tc>
        <w:tc>
          <w:tcPr>
            <w:tcW w:w="1307" w:type="pct"/>
            <w:hideMark/>
          </w:tcPr>
          <w:p w14:paraId="06CEBC6B" w14:textId="77777777" w:rsidR="00F83DA4" w:rsidRPr="00F83DA4" w:rsidRDefault="00F83DA4" w:rsidP="00F83DA4">
            <w:pPr>
              <w:pStyle w:val="Body"/>
              <w:rPr>
                <w:rFonts w:ascii="Arial" w:hAnsi="Arial" w:cs="Arial"/>
              </w:rPr>
            </w:pPr>
            <w:r w:rsidRPr="00F83DA4">
              <w:rPr>
                <w:rFonts w:ascii="Arial" w:hAnsi="Arial" w:cs="Arial"/>
              </w:rPr>
              <w:t>No acute toxicity observed</w:t>
            </w:r>
          </w:p>
        </w:tc>
        <w:tc>
          <w:tcPr>
            <w:tcW w:w="764" w:type="pct"/>
            <w:hideMark/>
          </w:tcPr>
          <w:p w14:paraId="441F183B" w14:textId="77777777" w:rsidR="00F83DA4" w:rsidRPr="00F83DA4" w:rsidRDefault="00F83DA4" w:rsidP="00F83DA4">
            <w:pPr>
              <w:pStyle w:val="Body"/>
              <w:rPr>
                <w:rFonts w:ascii="Arial" w:hAnsi="Arial" w:cs="Arial"/>
              </w:rPr>
            </w:pPr>
            <w:r w:rsidRPr="00F83DA4">
              <w:rPr>
                <w:rFonts w:ascii="Arial" w:hAnsi="Arial" w:cs="Arial"/>
              </w:rPr>
              <w:t>Mao et al., 2017</w:t>
            </w:r>
          </w:p>
        </w:tc>
      </w:tr>
      <w:tr w:rsidR="00F83DA4" w:rsidRPr="00F83DA4" w14:paraId="7AE75512" w14:textId="77777777" w:rsidTr="00F83DA4">
        <w:tc>
          <w:tcPr>
            <w:tcW w:w="694" w:type="pct"/>
            <w:hideMark/>
          </w:tcPr>
          <w:p w14:paraId="05128094" w14:textId="77777777" w:rsidR="00F83DA4" w:rsidRPr="00F83DA4" w:rsidRDefault="00F83DA4" w:rsidP="00F83DA4">
            <w:pPr>
              <w:pStyle w:val="Body"/>
              <w:rPr>
                <w:rFonts w:ascii="Arial" w:hAnsi="Arial" w:cs="Arial"/>
              </w:rPr>
            </w:pPr>
            <w:proofErr w:type="spellStart"/>
            <w:r w:rsidRPr="00F83DA4">
              <w:rPr>
                <w:rFonts w:ascii="Arial" w:hAnsi="Arial" w:cs="Arial"/>
                <w:i/>
                <w:iCs/>
              </w:rPr>
              <w:t>Folsomia</w:t>
            </w:r>
            <w:proofErr w:type="spellEnd"/>
            <w:r w:rsidRPr="00F83DA4">
              <w:rPr>
                <w:rFonts w:ascii="Arial" w:hAnsi="Arial" w:cs="Arial"/>
                <w:i/>
                <w:iCs/>
              </w:rPr>
              <w:t xml:space="preserve"> candida</w:t>
            </w:r>
            <w:r w:rsidRPr="00F83DA4">
              <w:rPr>
                <w:rFonts w:ascii="Arial" w:hAnsi="Arial" w:cs="Arial"/>
              </w:rPr>
              <w:t> (Springtail)</w:t>
            </w:r>
          </w:p>
        </w:tc>
        <w:tc>
          <w:tcPr>
            <w:tcW w:w="576" w:type="pct"/>
            <w:hideMark/>
          </w:tcPr>
          <w:p w14:paraId="31DB5867" w14:textId="77777777" w:rsidR="00F83DA4" w:rsidRPr="00F83DA4" w:rsidRDefault="00F83DA4" w:rsidP="00F83DA4">
            <w:pPr>
              <w:pStyle w:val="Body"/>
              <w:rPr>
                <w:rFonts w:ascii="Arial" w:hAnsi="Arial" w:cs="Arial"/>
              </w:rPr>
            </w:pPr>
            <w:r w:rsidRPr="00F83DA4">
              <w:rPr>
                <w:rFonts w:ascii="Arial" w:hAnsi="Arial" w:cs="Arial"/>
              </w:rPr>
              <w:t>Soil invertebrate</w:t>
            </w:r>
          </w:p>
        </w:tc>
        <w:tc>
          <w:tcPr>
            <w:tcW w:w="514" w:type="pct"/>
            <w:hideMark/>
          </w:tcPr>
          <w:p w14:paraId="46DB2875" w14:textId="77777777" w:rsidR="00F83DA4" w:rsidRPr="00F83DA4" w:rsidRDefault="00F83DA4" w:rsidP="00F83DA4">
            <w:pPr>
              <w:pStyle w:val="Body"/>
              <w:rPr>
                <w:rFonts w:ascii="Arial" w:hAnsi="Arial" w:cs="Arial"/>
              </w:rPr>
            </w:pPr>
            <w:proofErr w:type="spellStart"/>
            <w:r w:rsidRPr="00F83DA4">
              <w:rPr>
                <w:rFonts w:ascii="Arial" w:hAnsi="Arial" w:cs="Arial"/>
              </w:rPr>
              <w:t>AgNPs</w:t>
            </w:r>
            <w:proofErr w:type="spellEnd"/>
          </w:p>
        </w:tc>
        <w:tc>
          <w:tcPr>
            <w:tcW w:w="569" w:type="pct"/>
            <w:hideMark/>
          </w:tcPr>
          <w:p w14:paraId="60ABDD74" w14:textId="77777777" w:rsidR="00F83DA4" w:rsidRPr="00F83DA4" w:rsidRDefault="00F83DA4" w:rsidP="00F83DA4">
            <w:pPr>
              <w:pStyle w:val="Body"/>
              <w:rPr>
                <w:rFonts w:ascii="Arial" w:hAnsi="Arial" w:cs="Arial"/>
              </w:rPr>
            </w:pPr>
            <w:r w:rsidRPr="00F83DA4">
              <w:rPr>
                <w:rFonts w:ascii="Arial" w:hAnsi="Arial" w:cs="Arial"/>
              </w:rPr>
              <w:t>28d, soil</w:t>
            </w:r>
          </w:p>
        </w:tc>
        <w:tc>
          <w:tcPr>
            <w:tcW w:w="576" w:type="pct"/>
            <w:hideMark/>
          </w:tcPr>
          <w:p w14:paraId="3C5B99E3" w14:textId="77777777" w:rsidR="00F83DA4" w:rsidRPr="00F83DA4" w:rsidRDefault="00F83DA4" w:rsidP="00F83DA4">
            <w:pPr>
              <w:pStyle w:val="Body"/>
              <w:rPr>
                <w:rFonts w:ascii="Arial" w:hAnsi="Arial" w:cs="Arial"/>
              </w:rPr>
            </w:pPr>
            <w:r w:rsidRPr="00F83DA4">
              <w:rPr>
                <w:rFonts w:ascii="Arial" w:hAnsi="Arial" w:cs="Arial"/>
              </w:rPr>
              <w:t>50-200 mg/kg</w:t>
            </w:r>
          </w:p>
        </w:tc>
        <w:tc>
          <w:tcPr>
            <w:tcW w:w="1307" w:type="pct"/>
            <w:hideMark/>
          </w:tcPr>
          <w:p w14:paraId="212B5EC7" w14:textId="77777777" w:rsidR="00F83DA4" w:rsidRPr="00F83DA4" w:rsidRDefault="00F83DA4" w:rsidP="00F83DA4">
            <w:pPr>
              <w:pStyle w:val="Body"/>
              <w:rPr>
                <w:rFonts w:ascii="Arial" w:hAnsi="Arial" w:cs="Arial"/>
              </w:rPr>
            </w:pPr>
            <w:r w:rsidRPr="00F83DA4">
              <w:rPr>
                <w:rFonts w:ascii="Arial" w:hAnsi="Arial" w:cs="Arial"/>
              </w:rPr>
              <w:t>Reproduction reduction 30-50%</w:t>
            </w:r>
          </w:p>
        </w:tc>
        <w:tc>
          <w:tcPr>
            <w:tcW w:w="764" w:type="pct"/>
            <w:hideMark/>
          </w:tcPr>
          <w:p w14:paraId="17DFAC72" w14:textId="77777777" w:rsidR="00F83DA4" w:rsidRPr="00F83DA4" w:rsidRDefault="00F83DA4" w:rsidP="00F83DA4">
            <w:pPr>
              <w:pStyle w:val="Body"/>
              <w:rPr>
                <w:rFonts w:ascii="Arial" w:hAnsi="Arial" w:cs="Arial"/>
              </w:rPr>
            </w:pPr>
            <w:proofErr w:type="spellStart"/>
            <w:r w:rsidRPr="00F83DA4">
              <w:rPr>
                <w:rFonts w:ascii="Arial" w:hAnsi="Arial" w:cs="Arial"/>
              </w:rPr>
              <w:t>Velicogna</w:t>
            </w:r>
            <w:proofErr w:type="spellEnd"/>
            <w:r w:rsidRPr="00F83DA4">
              <w:rPr>
                <w:rFonts w:ascii="Arial" w:hAnsi="Arial" w:cs="Arial"/>
              </w:rPr>
              <w:t xml:space="preserve"> et al., 2016</w:t>
            </w:r>
          </w:p>
        </w:tc>
      </w:tr>
      <w:tr w:rsidR="00F83DA4" w:rsidRPr="00F83DA4" w14:paraId="7CAE8B30" w14:textId="77777777" w:rsidTr="00F83DA4">
        <w:tc>
          <w:tcPr>
            <w:tcW w:w="694" w:type="pct"/>
            <w:hideMark/>
          </w:tcPr>
          <w:p w14:paraId="17B79492" w14:textId="77777777" w:rsidR="00F83DA4" w:rsidRPr="00F83DA4" w:rsidRDefault="00F83DA4" w:rsidP="00F83DA4">
            <w:pPr>
              <w:pStyle w:val="Body"/>
              <w:rPr>
                <w:rFonts w:ascii="Arial" w:hAnsi="Arial" w:cs="Arial"/>
              </w:rPr>
            </w:pPr>
            <w:r w:rsidRPr="00F83DA4">
              <w:rPr>
                <w:rFonts w:ascii="Arial" w:hAnsi="Arial" w:cs="Arial"/>
                <w:i/>
                <w:iCs/>
              </w:rPr>
              <w:t>Oryza sativa</w:t>
            </w:r>
            <w:r w:rsidRPr="00F83DA4">
              <w:rPr>
                <w:rFonts w:ascii="Arial" w:hAnsi="Arial" w:cs="Arial"/>
              </w:rPr>
              <w:t> (Rice)</w:t>
            </w:r>
          </w:p>
        </w:tc>
        <w:tc>
          <w:tcPr>
            <w:tcW w:w="576" w:type="pct"/>
            <w:hideMark/>
          </w:tcPr>
          <w:p w14:paraId="78CB506B" w14:textId="77777777" w:rsidR="00F83DA4" w:rsidRPr="00F83DA4" w:rsidRDefault="00F83DA4" w:rsidP="00F83DA4">
            <w:pPr>
              <w:pStyle w:val="Body"/>
              <w:rPr>
                <w:rFonts w:ascii="Arial" w:hAnsi="Arial" w:cs="Arial"/>
              </w:rPr>
            </w:pPr>
            <w:r w:rsidRPr="00F83DA4">
              <w:rPr>
                <w:rFonts w:ascii="Arial" w:hAnsi="Arial" w:cs="Arial"/>
              </w:rPr>
              <w:t>Plant</w:t>
            </w:r>
          </w:p>
        </w:tc>
        <w:tc>
          <w:tcPr>
            <w:tcW w:w="514" w:type="pct"/>
            <w:hideMark/>
          </w:tcPr>
          <w:p w14:paraId="2AD91F98" w14:textId="77777777" w:rsidR="00F83DA4" w:rsidRPr="00F83DA4" w:rsidRDefault="00F83DA4" w:rsidP="00F83DA4">
            <w:pPr>
              <w:pStyle w:val="Body"/>
              <w:rPr>
                <w:rFonts w:ascii="Arial" w:hAnsi="Arial" w:cs="Arial"/>
              </w:rPr>
            </w:pPr>
            <w:proofErr w:type="spellStart"/>
            <w:r w:rsidRPr="00F83DA4">
              <w:rPr>
                <w:rFonts w:ascii="Arial" w:hAnsi="Arial" w:cs="Arial"/>
              </w:rPr>
              <w:t>ZnO</w:t>
            </w:r>
            <w:proofErr w:type="spellEnd"/>
            <w:r w:rsidRPr="00F83DA4">
              <w:rPr>
                <w:rFonts w:ascii="Arial" w:hAnsi="Arial" w:cs="Arial"/>
              </w:rPr>
              <w:t xml:space="preserve"> NPs</w:t>
            </w:r>
          </w:p>
        </w:tc>
        <w:tc>
          <w:tcPr>
            <w:tcW w:w="569" w:type="pct"/>
            <w:hideMark/>
          </w:tcPr>
          <w:p w14:paraId="669DD478" w14:textId="77777777" w:rsidR="00F83DA4" w:rsidRPr="00F83DA4" w:rsidRDefault="00F83DA4" w:rsidP="00F83DA4">
            <w:pPr>
              <w:pStyle w:val="Body"/>
              <w:rPr>
                <w:rFonts w:ascii="Arial" w:hAnsi="Arial" w:cs="Arial"/>
              </w:rPr>
            </w:pPr>
            <w:r w:rsidRPr="00F83DA4">
              <w:rPr>
                <w:rFonts w:ascii="Arial" w:hAnsi="Arial" w:cs="Arial"/>
              </w:rPr>
              <w:t>14d, hydroponic</w:t>
            </w:r>
          </w:p>
        </w:tc>
        <w:tc>
          <w:tcPr>
            <w:tcW w:w="576" w:type="pct"/>
            <w:hideMark/>
          </w:tcPr>
          <w:p w14:paraId="4FED0005" w14:textId="77777777" w:rsidR="00F83DA4" w:rsidRPr="00F83DA4" w:rsidRDefault="00F83DA4" w:rsidP="00F83DA4">
            <w:pPr>
              <w:pStyle w:val="Body"/>
              <w:rPr>
                <w:rFonts w:ascii="Arial" w:hAnsi="Arial" w:cs="Arial"/>
              </w:rPr>
            </w:pPr>
            <w:r w:rsidRPr="00F83DA4">
              <w:rPr>
                <w:rFonts w:ascii="Arial" w:hAnsi="Arial" w:cs="Arial"/>
              </w:rPr>
              <w:t>500-2000 mg/L</w:t>
            </w:r>
          </w:p>
        </w:tc>
        <w:tc>
          <w:tcPr>
            <w:tcW w:w="1307" w:type="pct"/>
            <w:hideMark/>
          </w:tcPr>
          <w:p w14:paraId="5226A664" w14:textId="77777777" w:rsidR="00F83DA4" w:rsidRPr="00F83DA4" w:rsidRDefault="00F83DA4" w:rsidP="00F83DA4">
            <w:pPr>
              <w:pStyle w:val="Body"/>
              <w:rPr>
                <w:rFonts w:ascii="Arial" w:hAnsi="Arial" w:cs="Arial"/>
              </w:rPr>
            </w:pPr>
            <w:r w:rsidRPr="00F83DA4">
              <w:rPr>
                <w:rFonts w:ascii="Arial" w:hAnsi="Arial" w:cs="Arial"/>
              </w:rPr>
              <w:t>Root growth inhibition, oxidative stress</w:t>
            </w:r>
          </w:p>
        </w:tc>
        <w:tc>
          <w:tcPr>
            <w:tcW w:w="764" w:type="pct"/>
            <w:hideMark/>
          </w:tcPr>
          <w:p w14:paraId="2FCA3DB8" w14:textId="77777777" w:rsidR="00F83DA4" w:rsidRPr="00F83DA4" w:rsidRDefault="00F83DA4" w:rsidP="00F83DA4">
            <w:pPr>
              <w:pStyle w:val="Body"/>
              <w:rPr>
                <w:rFonts w:ascii="Arial" w:hAnsi="Arial" w:cs="Arial"/>
              </w:rPr>
            </w:pPr>
            <w:r w:rsidRPr="00F83DA4">
              <w:rPr>
                <w:rFonts w:ascii="Arial" w:hAnsi="Arial" w:cs="Arial"/>
              </w:rPr>
              <w:t>Lee et al., 2010</w:t>
            </w:r>
          </w:p>
        </w:tc>
      </w:tr>
      <w:tr w:rsidR="00F83DA4" w:rsidRPr="00F83DA4" w14:paraId="07A1B44D" w14:textId="77777777" w:rsidTr="00F83DA4">
        <w:tc>
          <w:tcPr>
            <w:tcW w:w="694" w:type="pct"/>
            <w:hideMark/>
          </w:tcPr>
          <w:p w14:paraId="4F1EBE5A" w14:textId="77777777" w:rsidR="00F83DA4" w:rsidRPr="00F83DA4" w:rsidRDefault="00F83DA4" w:rsidP="00F83DA4">
            <w:pPr>
              <w:pStyle w:val="Body"/>
              <w:rPr>
                <w:rFonts w:ascii="Arial" w:hAnsi="Arial" w:cs="Arial"/>
              </w:rPr>
            </w:pPr>
            <w:r w:rsidRPr="00F83DA4">
              <w:rPr>
                <w:rFonts w:ascii="Arial" w:hAnsi="Arial" w:cs="Arial"/>
                <w:i/>
                <w:iCs/>
              </w:rPr>
              <w:t>Oryza sativa</w:t>
            </w:r>
          </w:p>
        </w:tc>
        <w:tc>
          <w:tcPr>
            <w:tcW w:w="576" w:type="pct"/>
            <w:hideMark/>
          </w:tcPr>
          <w:p w14:paraId="69795DBB" w14:textId="77777777" w:rsidR="00F83DA4" w:rsidRPr="00F83DA4" w:rsidRDefault="00F83DA4" w:rsidP="00F83DA4">
            <w:pPr>
              <w:pStyle w:val="Body"/>
              <w:rPr>
                <w:rFonts w:ascii="Arial" w:hAnsi="Arial" w:cs="Arial"/>
              </w:rPr>
            </w:pPr>
            <w:r w:rsidRPr="00F83DA4">
              <w:rPr>
                <w:rFonts w:ascii="Arial" w:hAnsi="Arial" w:cs="Arial"/>
              </w:rPr>
              <w:t>Plant</w:t>
            </w:r>
          </w:p>
        </w:tc>
        <w:tc>
          <w:tcPr>
            <w:tcW w:w="514" w:type="pct"/>
            <w:hideMark/>
          </w:tcPr>
          <w:p w14:paraId="700DC35F" w14:textId="77777777" w:rsidR="00F83DA4" w:rsidRPr="00F83DA4" w:rsidRDefault="00F83DA4" w:rsidP="00F83DA4">
            <w:pPr>
              <w:pStyle w:val="Body"/>
              <w:rPr>
                <w:rFonts w:ascii="Arial" w:hAnsi="Arial" w:cs="Arial"/>
              </w:rPr>
            </w:pPr>
            <w:proofErr w:type="spellStart"/>
            <w:r w:rsidRPr="00F83DA4">
              <w:rPr>
                <w:rFonts w:ascii="Arial" w:hAnsi="Arial" w:cs="Arial"/>
              </w:rPr>
              <w:t>CuO</w:t>
            </w:r>
            <w:proofErr w:type="spellEnd"/>
            <w:r w:rsidRPr="00F83DA4">
              <w:rPr>
                <w:rFonts w:ascii="Arial" w:hAnsi="Arial" w:cs="Arial"/>
              </w:rPr>
              <w:t xml:space="preserve"> NPs</w:t>
            </w:r>
          </w:p>
        </w:tc>
        <w:tc>
          <w:tcPr>
            <w:tcW w:w="569" w:type="pct"/>
            <w:hideMark/>
          </w:tcPr>
          <w:p w14:paraId="5B0CF7B1" w14:textId="77777777" w:rsidR="00F83DA4" w:rsidRPr="00F83DA4" w:rsidRDefault="00F83DA4" w:rsidP="00F83DA4">
            <w:pPr>
              <w:pStyle w:val="Body"/>
              <w:rPr>
                <w:rFonts w:ascii="Arial" w:hAnsi="Arial" w:cs="Arial"/>
              </w:rPr>
            </w:pPr>
            <w:r w:rsidRPr="00F83DA4">
              <w:rPr>
                <w:rFonts w:ascii="Arial" w:hAnsi="Arial" w:cs="Arial"/>
              </w:rPr>
              <w:t>14d, hydroponic</w:t>
            </w:r>
          </w:p>
        </w:tc>
        <w:tc>
          <w:tcPr>
            <w:tcW w:w="576" w:type="pct"/>
            <w:hideMark/>
          </w:tcPr>
          <w:p w14:paraId="1B871599" w14:textId="77777777" w:rsidR="00F83DA4" w:rsidRPr="00F83DA4" w:rsidRDefault="00F83DA4" w:rsidP="00F83DA4">
            <w:pPr>
              <w:pStyle w:val="Body"/>
              <w:rPr>
                <w:rFonts w:ascii="Arial" w:hAnsi="Arial" w:cs="Arial"/>
              </w:rPr>
            </w:pPr>
            <w:r w:rsidRPr="00F83DA4">
              <w:rPr>
                <w:rFonts w:ascii="Arial" w:hAnsi="Arial" w:cs="Arial"/>
              </w:rPr>
              <w:t>200-800 mg/L</w:t>
            </w:r>
          </w:p>
        </w:tc>
        <w:tc>
          <w:tcPr>
            <w:tcW w:w="1307" w:type="pct"/>
            <w:hideMark/>
          </w:tcPr>
          <w:p w14:paraId="28544F52" w14:textId="77777777" w:rsidR="00F83DA4" w:rsidRPr="00F83DA4" w:rsidRDefault="00F83DA4" w:rsidP="00F83DA4">
            <w:pPr>
              <w:pStyle w:val="Body"/>
              <w:rPr>
                <w:rFonts w:ascii="Arial" w:hAnsi="Arial" w:cs="Arial"/>
              </w:rPr>
            </w:pPr>
            <w:r w:rsidRPr="00F83DA4">
              <w:rPr>
                <w:rFonts w:ascii="Arial" w:hAnsi="Arial" w:cs="Arial"/>
              </w:rPr>
              <w:t>Chlorosis, photosynthesis reduction</w:t>
            </w:r>
          </w:p>
        </w:tc>
        <w:tc>
          <w:tcPr>
            <w:tcW w:w="764" w:type="pct"/>
            <w:hideMark/>
          </w:tcPr>
          <w:p w14:paraId="4573D43B" w14:textId="77777777" w:rsidR="00F83DA4" w:rsidRPr="00F83DA4" w:rsidRDefault="00F83DA4" w:rsidP="00F83DA4">
            <w:pPr>
              <w:pStyle w:val="Body"/>
              <w:rPr>
                <w:rFonts w:ascii="Arial" w:hAnsi="Arial" w:cs="Arial"/>
              </w:rPr>
            </w:pPr>
            <w:r w:rsidRPr="00F83DA4">
              <w:rPr>
                <w:rFonts w:ascii="Arial" w:hAnsi="Arial" w:cs="Arial"/>
              </w:rPr>
              <w:t>Shaw et al., 2014</w:t>
            </w:r>
          </w:p>
        </w:tc>
      </w:tr>
      <w:tr w:rsidR="00F83DA4" w:rsidRPr="00F83DA4" w14:paraId="5C9873D7" w14:textId="77777777" w:rsidTr="00F83DA4">
        <w:tc>
          <w:tcPr>
            <w:tcW w:w="694" w:type="pct"/>
            <w:hideMark/>
          </w:tcPr>
          <w:p w14:paraId="618EB1C8" w14:textId="77777777" w:rsidR="00F83DA4" w:rsidRPr="00F83DA4" w:rsidRDefault="00F83DA4" w:rsidP="00F83DA4">
            <w:pPr>
              <w:pStyle w:val="Body"/>
              <w:rPr>
                <w:rFonts w:ascii="Arial" w:hAnsi="Arial" w:cs="Arial"/>
              </w:rPr>
            </w:pPr>
            <w:r w:rsidRPr="00F83DA4">
              <w:rPr>
                <w:rFonts w:ascii="Arial" w:hAnsi="Arial" w:cs="Arial"/>
                <w:i/>
                <w:iCs/>
              </w:rPr>
              <w:t>Triticum aestivum</w:t>
            </w:r>
            <w:r w:rsidRPr="00F83DA4">
              <w:rPr>
                <w:rFonts w:ascii="Arial" w:hAnsi="Arial" w:cs="Arial"/>
              </w:rPr>
              <w:t> (Wheat)</w:t>
            </w:r>
          </w:p>
        </w:tc>
        <w:tc>
          <w:tcPr>
            <w:tcW w:w="576" w:type="pct"/>
            <w:hideMark/>
          </w:tcPr>
          <w:p w14:paraId="3A472E42" w14:textId="77777777" w:rsidR="00F83DA4" w:rsidRPr="00F83DA4" w:rsidRDefault="00F83DA4" w:rsidP="00F83DA4">
            <w:pPr>
              <w:pStyle w:val="Body"/>
              <w:rPr>
                <w:rFonts w:ascii="Arial" w:hAnsi="Arial" w:cs="Arial"/>
              </w:rPr>
            </w:pPr>
            <w:r w:rsidRPr="00F83DA4">
              <w:rPr>
                <w:rFonts w:ascii="Arial" w:hAnsi="Arial" w:cs="Arial"/>
              </w:rPr>
              <w:t>Plant</w:t>
            </w:r>
          </w:p>
        </w:tc>
        <w:tc>
          <w:tcPr>
            <w:tcW w:w="514" w:type="pct"/>
            <w:hideMark/>
          </w:tcPr>
          <w:p w14:paraId="57C66355" w14:textId="77777777" w:rsidR="00F83DA4" w:rsidRPr="00F83DA4" w:rsidRDefault="00F83DA4" w:rsidP="00F83DA4">
            <w:pPr>
              <w:pStyle w:val="Body"/>
              <w:rPr>
                <w:rFonts w:ascii="Arial" w:hAnsi="Arial" w:cs="Arial"/>
              </w:rPr>
            </w:pPr>
            <w:proofErr w:type="spellStart"/>
            <w:r w:rsidRPr="00F83DA4">
              <w:rPr>
                <w:rFonts w:ascii="Arial" w:hAnsi="Arial" w:cs="Arial"/>
              </w:rPr>
              <w:t>AgNPs</w:t>
            </w:r>
            <w:proofErr w:type="spellEnd"/>
          </w:p>
        </w:tc>
        <w:tc>
          <w:tcPr>
            <w:tcW w:w="569" w:type="pct"/>
            <w:hideMark/>
          </w:tcPr>
          <w:p w14:paraId="70DD870C" w14:textId="77777777" w:rsidR="00F83DA4" w:rsidRPr="00F83DA4" w:rsidRDefault="00F83DA4" w:rsidP="00F83DA4">
            <w:pPr>
              <w:pStyle w:val="Body"/>
              <w:rPr>
                <w:rFonts w:ascii="Arial" w:hAnsi="Arial" w:cs="Arial"/>
              </w:rPr>
            </w:pPr>
            <w:r w:rsidRPr="00F83DA4">
              <w:rPr>
                <w:rFonts w:ascii="Arial" w:hAnsi="Arial" w:cs="Arial"/>
              </w:rPr>
              <w:t>7d, soil</w:t>
            </w:r>
          </w:p>
        </w:tc>
        <w:tc>
          <w:tcPr>
            <w:tcW w:w="576" w:type="pct"/>
            <w:hideMark/>
          </w:tcPr>
          <w:p w14:paraId="7D92C906" w14:textId="77777777" w:rsidR="00F83DA4" w:rsidRPr="00F83DA4" w:rsidRDefault="00F83DA4" w:rsidP="00F83DA4">
            <w:pPr>
              <w:pStyle w:val="Body"/>
              <w:rPr>
                <w:rFonts w:ascii="Arial" w:hAnsi="Arial" w:cs="Arial"/>
              </w:rPr>
            </w:pPr>
            <w:r w:rsidRPr="00F83DA4">
              <w:rPr>
                <w:rFonts w:ascii="Arial" w:hAnsi="Arial" w:cs="Arial"/>
              </w:rPr>
              <w:t>100-500 mg/kg</w:t>
            </w:r>
          </w:p>
        </w:tc>
        <w:tc>
          <w:tcPr>
            <w:tcW w:w="1307" w:type="pct"/>
            <w:hideMark/>
          </w:tcPr>
          <w:p w14:paraId="0336DA27" w14:textId="77777777" w:rsidR="00F83DA4" w:rsidRPr="00F83DA4" w:rsidRDefault="00F83DA4" w:rsidP="00F83DA4">
            <w:pPr>
              <w:pStyle w:val="Body"/>
              <w:rPr>
                <w:rFonts w:ascii="Arial" w:hAnsi="Arial" w:cs="Arial"/>
              </w:rPr>
            </w:pPr>
            <w:r w:rsidRPr="00F83DA4">
              <w:rPr>
                <w:rFonts w:ascii="Arial" w:hAnsi="Arial" w:cs="Arial"/>
              </w:rPr>
              <w:t>Germination delay, root shortening</w:t>
            </w:r>
          </w:p>
        </w:tc>
        <w:tc>
          <w:tcPr>
            <w:tcW w:w="764" w:type="pct"/>
            <w:hideMark/>
          </w:tcPr>
          <w:p w14:paraId="6A5BBE17" w14:textId="77777777" w:rsidR="00F83DA4" w:rsidRPr="00F83DA4" w:rsidRDefault="00F83DA4" w:rsidP="00F83DA4">
            <w:pPr>
              <w:pStyle w:val="Body"/>
              <w:rPr>
                <w:rFonts w:ascii="Arial" w:hAnsi="Arial" w:cs="Arial"/>
              </w:rPr>
            </w:pPr>
            <w:proofErr w:type="spellStart"/>
            <w:r w:rsidRPr="00F83DA4">
              <w:rPr>
                <w:rFonts w:ascii="Arial" w:hAnsi="Arial" w:cs="Arial"/>
              </w:rPr>
              <w:t>Dimkpa</w:t>
            </w:r>
            <w:proofErr w:type="spellEnd"/>
            <w:r w:rsidRPr="00F83DA4">
              <w:rPr>
                <w:rFonts w:ascii="Arial" w:hAnsi="Arial" w:cs="Arial"/>
              </w:rPr>
              <w:t xml:space="preserve"> et al., 2013</w:t>
            </w:r>
          </w:p>
        </w:tc>
      </w:tr>
    </w:tbl>
    <w:p w14:paraId="5FA0D6C5" w14:textId="77777777" w:rsidR="00F83DA4" w:rsidRPr="00F83DA4" w:rsidRDefault="00F83DA4" w:rsidP="00F83DA4">
      <w:pPr>
        <w:pStyle w:val="Body"/>
        <w:rPr>
          <w:rFonts w:ascii="Arial" w:hAnsi="Arial" w:cs="Arial"/>
          <w:i/>
          <w:iCs/>
        </w:rPr>
      </w:pPr>
      <w:r w:rsidRPr="00F83DA4">
        <w:rPr>
          <w:rFonts w:ascii="Arial" w:hAnsi="Arial" w:cs="Arial"/>
          <w:b/>
          <w:bCs/>
          <w:i/>
          <w:iCs/>
        </w:rPr>
        <w:t>Notes:</w:t>
      </w:r>
      <w:r w:rsidRPr="00F83DA4">
        <w:rPr>
          <w:rFonts w:ascii="Arial" w:hAnsi="Arial" w:cs="Arial"/>
          <w:i/>
          <w:iCs/>
        </w:rPr>
        <w:t> LC</w:t>
      </w:r>
      <w:r w:rsidRPr="00F83DA4">
        <w:rPr>
          <w:rFonts w:ascii="Cambria Math" w:hAnsi="Cambria Math" w:cs="Cambria Math"/>
          <w:i/>
          <w:iCs/>
        </w:rPr>
        <w:t>₅₀</w:t>
      </w:r>
      <w:r w:rsidRPr="00F83DA4">
        <w:rPr>
          <w:rFonts w:ascii="Arial" w:hAnsi="Arial" w:cs="Arial"/>
          <w:i/>
          <w:iCs/>
        </w:rPr>
        <w:t xml:space="preserve"> = Lethal Concentration (50% mortality); EC</w:t>
      </w:r>
      <w:r w:rsidRPr="00F83DA4">
        <w:rPr>
          <w:rFonts w:ascii="Cambria Math" w:hAnsi="Cambria Math" w:cs="Cambria Math"/>
          <w:i/>
          <w:iCs/>
        </w:rPr>
        <w:t>₅₀</w:t>
      </w:r>
      <w:r w:rsidRPr="00F83DA4">
        <w:rPr>
          <w:rFonts w:ascii="Arial" w:hAnsi="Arial" w:cs="Arial"/>
          <w:i/>
          <w:iCs/>
        </w:rPr>
        <w:t xml:space="preserve"> = Effective Concentration (50% effect); Values vary with particle size, coating, and environmental conditions; Lower values indicate higher toxicity.</w:t>
      </w:r>
    </w:p>
    <w:p w14:paraId="791DD9D8" w14:textId="77777777" w:rsidR="00F83DA4" w:rsidRPr="00FD073D" w:rsidRDefault="00F83DA4" w:rsidP="00FD073D">
      <w:pPr>
        <w:pStyle w:val="Body"/>
        <w:rPr>
          <w:rFonts w:ascii="Arial" w:hAnsi="Arial" w:cs="Arial"/>
        </w:rPr>
      </w:pPr>
    </w:p>
    <w:p w14:paraId="5A382E68" w14:textId="77777777" w:rsidR="00FD073D" w:rsidRPr="00FD073D" w:rsidRDefault="00FD073D" w:rsidP="00FD073D">
      <w:pPr>
        <w:pStyle w:val="Body"/>
        <w:spacing w:after="0"/>
        <w:rPr>
          <w:rFonts w:ascii="Arial" w:hAnsi="Arial" w:cs="Arial"/>
          <w:b/>
          <w:bCs/>
        </w:rPr>
      </w:pPr>
      <w:r w:rsidRPr="00FD073D">
        <w:rPr>
          <w:rFonts w:ascii="Arial" w:hAnsi="Arial" w:cs="Arial"/>
          <w:b/>
          <w:bCs/>
        </w:rPr>
        <w:t>6.2 Economic Viability and Market Adoption</w:t>
      </w:r>
    </w:p>
    <w:p w14:paraId="38592F36" w14:textId="77777777" w:rsidR="00FD073D" w:rsidRPr="00FD073D" w:rsidRDefault="00FD073D" w:rsidP="00FD073D">
      <w:pPr>
        <w:pStyle w:val="Body"/>
        <w:rPr>
          <w:rFonts w:ascii="Arial" w:hAnsi="Arial" w:cs="Arial"/>
        </w:rPr>
      </w:pPr>
      <w:r w:rsidRPr="00FD073D">
        <w:rPr>
          <w:rFonts w:ascii="Arial" w:hAnsi="Arial" w:cs="Arial"/>
          <w:b/>
          <w:bCs/>
        </w:rPr>
        <w:t>Production Costs:</w:t>
      </w:r>
      <w:r w:rsidRPr="00FD073D">
        <w:rPr>
          <w:rFonts w:ascii="Arial" w:hAnsi="Arial" w:cs="Arial"/>
        </w:rPr>
        <w:t xml:space="preserve"> Current </w:t>
      </w:r>
      <w:proofErr w:type="spellStart"/>
      <w:r w:rsidRPr="00FD073D">
        <w:rPr>
          <w:rFonts w:ascii="Arial" w:hAnsi="Arial" w:cs="Arial"/>
        </w:rPr>
        <w:t>nanopesticide</w:t>
      </w:r>
      <w:proofErr w:type="spellEnd"/>
      <w:r w:rsidRPr="00FD073D">
        <w:rPr>
          <w:rFonts w:ascii="Arial" w:hAnsi="Arial" w:cs="Arial"/>
        </w:rPr>
        <w:t xml:space="preserve"> production costs exceed conventional formulations by 2–8-fold due to specialized synthesis equipment, quality control requirements, and small production scales (Kah &amp; Hofmann, 2014; Prasad et al., 2017). Polymeric nanoparticle production costs range from $15–50/kg, while mesoporous silica and liposomal systems cost $50–200/kg compared to $5–15/kg for conventional formulations (Grillo et al., 2021). However, economies of scale, process optimization, and continuous manufacturing technologies could reduce costs by 50–70% at commercial production volumes (&gt;1000 tons/year) (Adisa et al., 2019).</w:t>
      </w:r>
    </w:p>
    <w:p w14:paraId="507505E1" w14:textId="77777777" w:rsidR="00FD073D" w:rsidRPr="00FD073D" w:rsidRDefault="00FD073D" w:rsidP="00FD073D">
      <w:pPr>
        <w:pStyle w:val="Body"/>
        <w:rPr>
          <w:rFonts w:ascii="Arial" w:hAnsi="Arial" w:cs="Arial"/>
        </w:rPr>
      </w:pPr>
      <w:r w:rsidRPr="00FD073D">
        <w:rPr>
          <w:rFonts w:ascii="Arial" w:hAnsi="Arial" w:cs="Arial"/>
          <w:b/>
          <w:bCs/>
        </w:rPr>
        <w:t>Cost-Benefit Analysis:</w:t>
      </w:r>
      <w:r w:rsidRPr="00FD073D">
        <w:rPr>
          <w:rFonts w:ascii="Arial" w:hAnsi="Arial" w:cs="Arial"/>
        </w:rPr>
        <w:t xml:space="preserve"> Despite higher unit costs, </w:t>
      </w:r>
      <w:proofErr w:type="spellStart"/>
      <w:r w:rsidRPr="00FD073D">
        <w:rPr>
          <w:rFonts w:ascii="Arial" w:hAnsi="Arial" w:cs="Arial"/>
        </w:rPr>
        <w:t>nanopesticides</w:t>
      </w:r>
      <w:proofErr w:type="spellEnd"/>
      <w:r w:rsidRPr="00FD073D">
        <w:rPr>
          <w:rFonts w:ascii="Arial" w:hAnsi="Arial" w:cs="Arial"/>
        </w:rPr>
        <w:t xml:space="preserve"> may offer economic advantages through: (1) 30–60% reduction in active ingredient requirements, partially offsetting formulation costs; (2) 40–70% reduction in application frequency, lowering labor and fuel costs by $20–60/hectare per season; (3) Improved pest/disease control efficacy, increasing yields by 10–30% ($100–400/hectare for rice); (4) Reduced environmental remediation costs and regulatory compliance burdens (Kah et al., 2013; Grillo et al., 2021). Economic modeling suggests </w:t>
      </w:r>
      <w:proofErr w:type="spellStart"/>
      <w:r w:rsidRPr="00FD073D">
        <w:rPr>
          <w:rFonts w:ascii="Arial" w:hAnsi="Arial" w:cs="Arial"/>
        </w:rPr>
        <w:t>nanopesticides</w:t>
      </w:r>
      <w:proofErr w:type="spellEnd"/>
      <w:r w:rsidRPr="00FD073D">
        <w:rPr>
          <w:rFonts w:ascii="Arial" w:hAnsi="Arial" w:cs="Arial"/>
        </w:rPr>
        <w:t xml:space="preserve"> achieve cost-parity with conventional formulations when production scales exceed 100–500 tons/year, depending on formulation complexity (Prasad et al., 2017).</w:t>
      </w:r>
    </w:p>
    <w:p w14:paraId="346F6BB8" w14:textId="03D3B30E" w:rsidR="00FD073D" w:rsidRPr="00FD073D" w:rsidRDefault="00FD073D" w:rsidP="00FD073D">
      <w:pPr>
        <w:pStyle w:val="Body"/>
        <w:rPr>
          <w:rFonts w:ascii="Arial" w:hAnsi="Arial" w:cs="Arial"/>
        </w:rPr>
      </w:pPr>
      <w:r w:rsidRPr="00FD073D">
        <w:rPr>
          <w:rFonts w:ascii="Arial" w:hAnsi="Arial" w:cs="Arial"/>
          <w:b/>
          <w:bCs/>
        </w:rPr>
        <w:t>Market Barriers:</w:t>
      </w:r>
      <w:r w:rsidRPr="00FD073D">
        <w:rPr>
          <w:rFonts w:ascii="Arial" w:hAnsi="Arial" w:cs="Arial"/>
        </w:rPr>
        <w:t> (1) Limited farmer awareness and understanding of nanotechnology benefits; (2) Regulatory uncertainty delaying product approvals and market entry; (3) High upfront R&amp;D investment ($5–15 million per product) deterring small-medium enterprises; (4) Lack of extension services and technical support for proper application; (5) Consumer concerns about "nano" labeling and food safety (Kah &amp; Hofmann, 2014).</w:t>
      </w:r>
    </w:p>
    <w:p w14:paraId="318449A9" w14:textId="77777777" w:rsidR="00FD073D" w:rsidRPr="00FD073D" w:rsidRDefault="00FD073D" w:rsidP="00FD073D">
      <w:pPr>
        <w:pStyle w:val="Body"/>
        <w:rPr>
          <w:rFonts w:ascii="Arial" w:hAnsi="Arial" w:cs="Arial"/>
        </w:rPr>
      </w:pPr>
      <w:r w:rsidRPr="00FD073D">
        <w:rPr>
          <w:rFonts w:ascii="Arial" w:hAnsi="Arial" w:cs="Arial"/>
          <w:b/>
          <w:bCs/>
        </w:rPr>
        <w:t>Adoption Strategies:</w:t>
      </w:r>
      <w:r w:rsidRPr="00FD073D">
        <w:rPr>
          <w:rFonts w:ascii="Arial" w:hAnsi="Arial" w:cs="Arial"/>
        </w:rPr>
        <w:t> Successful market adoption requires: (1) Farmer education programs demonstrating performance advantages and proper use protocols; (2) Subsidies or incentives for early adopters, particularly smallholder farmers; (3) Public-private partnerships accelerating technology development and commercialization; (4) Transparent communication about safety testing and regulatory approval; (5) Integration with existing integrated pest management (IPM) programs (Prasad et al., 2017; Grillo et al., 2021).</w:t>
      </w:r>
    </w:p>
    <w:p w14:paraId="525BAC36" w14:textId="77777777" w:rsidR="00141945" w:rsidRDefault="00141945" w:rsidP="00441B6F">
      <w:pPr>
        <w:pStyle w:val="Body"/>
        <w:spacing w:after="0"/>
        <w:rPr>
          <w:rFonts w:ascii="Arial" w:hAnsi="Arial" w:cs="Arial"/>
        </w:rPr>
      </w:pPr>
    </w:p>
    <w:p w14:paraId="485AB4F7"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lastRenderedPageBreak/>
        <w:t>7. CRITICAL RESEARCH GAPS AND FUTURE DIRECTIONS</w:t>
      </w:r>
    </w:p>
    <w:p w14:paraId="35379542" w14:textId="77777777" w:rsidR="00655A31" w:rsidRPr="00FD073D" w:rsidRDefault="00655A31" w:rsidP="00FD073D">
      <w:pPr>
        <w:jc w:val="both"/>
        <w:rPr>
          <w:rFonts w:ascii="Arial" w:hAnsi="Arial" w:cs="Arial"/>
          <w:b/>
          <w:bCs/>
          <w:sz w:val="22"/>
          <w:szCs w:val="22"/>
        </w:rPr>
      </w:pPr>
    </w:p>
    <w:p w14:paraId="5ADD3F05" w14:textId="77777777" w:rsidR="00FD073D" w:rsidRDefault="00FD073D" w:rsidP="00FD073D">
      <w:pPr>
        <w:jc w:val="both"/>
        <w:rPr>
          <w:rFonts w:ascii="Arial" w:hAnsi="Arial" w:cs="Arial"/>
        </w:rPr>
      </w:pPr>
      <w:r w:rsidRPr="00FD073D">
        <w:rPr>
          <w:rFonts w:ascii="Arial" w:hAnsi="Arial" w:cs="Arial"/>
        </w:rPr>
        <w:t>Despite significant advances, critical knowledge gaps must be addressed to enable safe, sustainable deployment of agricultural nanotechnology (Kah et al., 2018; Judy et al., 2019).</w:t>
      </w:r>
    </w:p>
    <w:p w14:paraId="0988DA5E" w14:textId="77777777" w:rsidR="00655A31" w:rsidRPr="00FD073D" w:rsidRDefault="00655A31" w:rsidP="00FD073D">
      <w:pPr>
        <w:jc w:val="both"/>
        <w:rPr>
          <w:rFonts w:ascii="Arial" w:hAnsi="Arial" w:cs="Arial"/>
        </w:rPr>
      </w:pPr>
    </w:p>
    <w:p w14:paraId="74C7941B"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t>7.1 Environmental Fate and Long-Term Ecological Impacts</w:t>
      </w:r>
    </w:p>
    <w:p w14:paraId="4B677489" w14:textId="77777777" w:rsidR="00655A31" w:rsidRPr="00FD073D" w:rsidRDefault="00655A31" w:rsidP="00FD073D">
      <w:pPr>
        <w:jc w:val="both"/>
        <w:rPr>
          <w:rFonts w:ascii="Arial" w:hAnsi="Arial" w:cs="Arial"/>
          <w:b/>
          <w:bCs/>
          <w:sz w:val="22"/>
          <w:szCs w:val="22"/>
        </w:rPr>
      </w:pPr>
    </w:p>
    <w:p w14:paraId="2789C23A" w14:textId="77777777" w:rsidR="00FD073D" w:rsidRPr="00FD073D" w:rsidRDefault="00FD073D" w:rsidP="00FD073D">
      <w:pPr>
        <w:jc w:val="both"/>
        <w:rPr>
          <w:rFonts w:ascii="Arial" w:hAnsi="Arial" w:cs="Arial"/>
        </w:rPr>
      </w:pPr>
      <w:r w:rsidRPr="00FD073D">
        <w:rPr>
          <w:rFonts w:ascii="Arial" w:hAnsi="Arial" w:cs="Arial"/>
          <w:b/>
          <w:bCs/>
        </w:rPr>
        <w:t>Chronic Exposure Studies:</w:t>
      </w:r>
      <w:r w:rsidRPr="00FD073D">
        <w:rPr>
          <w:rFonts w:ascii="Arial" w:hAnsi="Arial" w:cs="Arial"/>
        </w:rPr>
        <w:t> Most toxicology studies examine acute effects over days to weeks; multi-</w:t>
      </w:r>
      <w:r w:rsidRPr="00FD073D">
        <w:rPr>
          <w:rFonts w:ascii="Arial" w:hAnsi="Arial" w:cs="Arial"/>
          <w:sz w:val="18"/>
          <w:szCs w:val="18"/>
        </w:rPr>
        <w:t>generational studies spanning months to years are critically needed to assess chronic toxicity, bioaccumulation potential, and transgenerational effects (Holden et al., 2016). Long-term field studies (3–10 years) tracking nanoparticle accumulation, transformation</w:t>
      </w:r>
      <w:r w:rsidRPr="00FD073D">
        <w:rPr>
          <w:rFonts w:ascii="Arial" w:hAnsi="Arial" w:cs="Arial"/>
        </w:rPr>
        <w:t>, and ecological impacts in representative agroecosystems remain absent (Judy et al., 2019).</w:t>
      </w:r>
    </w:p>
    <w:p w14:paraId="6AECECA1" w14:textId="77777777" w:rsidR="00FD073D" w:rsidRPr="00FD073D" w:rsidRDefault="00FD073D" w:rsidP="00FD073D">
      <w:pPr>
        <w:jc w:val="both"/>
        <w:rPr>
          <w:rFonts w:ascii="Arial" w:hAnsi="Arial" w:cs="Arial"/>
        </w:rPr>
      </w:pPr>
      <w:r w:rsidRPr="00FD073D">
        <w:rPr>
          <w:rFonts w:ascii="Arial" w:hAnsi="Arial" w:cs="Arial"/>
          <w:b/>
          <w:bCs/>
        </w:rPr>
        <w:t>Ecosystem-Level Effects:</w:t>
      </w:r>
      <w:r w:rsidRPr="00FD073D">
        <w:rPr>
          <w:rFonts w:ascii="Arial" w:hAnsi="Arial" w:cs="Arial"/>
        </w:rPr>
        <w:t> Current studies focus on single-species toxicity; community-level and ecosystem-level studies examining effects on biodiversity, trophic interactions, nutrient cycling, and ecosystem services are urgently needed (Holden et al., 2016). Mesocosm and field experiments assessing impacts on soil microbial communities, arthropod diversity, and aquatic ecosystems under realistic exposure scenarios would provide critical risk assessment data (Judy et al., 2019).</w:t>
      </w:r>
    </w:p>
    <w:p w14:paraId="1E3EDA38" w14:textId="1306C799" w:rsidR="00FD073D" w:rsidRDefault="00FD073D" w:rsidP="00FD073D">
      <w:pPr>
        <w:jc w:val="both"/>
        <w:rPr>
          <w:rFonts w:ascii="Arial" w:hAnsi="Arial" w:cs="Arial"/>
        </w:rPr>
      </w:pPr>
      <w:r w:rsidRPr="00FD073D">
        <w:rPr>
          <w:rFonts w:ascii="Arial" w:hAnsi="Arial" w:cs="Arial"/>
          <w:b/>
          <w:bCs/>
        </w:rPr>
        <w:t>Transformation Products:</w:t>
      </w:r>
      <w:r w:rsidRPr="00FD073D">
        <w:rPr>
          <w:rFonts w:ascii="Arial" w:hAnsi="Arial" w:cs="Arial"/>
        </w:rPr>
        <w:t xml:space="preserve"> Limited understanding of nanoparticle biotransformation products, their environmental persistence, bioavailability, and toxicity </w:t>
      </w:r>
      <w:r w:rsidR="00655A31" w:rsidRPr="00FD073D">
        <w:rPr>
          <w:rFonts w:ascii="Arial" w:hAnsi="Arial" w:cs="Arial"/>
        </w:rPr>
        <w:t>represent</w:t>
      </w:r>
      <w:r w:rsidRPr="00FD073D">
        <w:rPr>
          <w:rFonts w:ascii="Arial" w:hAnsi="Arial" w:cs="Arial"/>
        </w:rPr>
        <w:t xml:space="preserve"> a major knowledge gap (Lowry et al., 2012). Comprehensive characterization of transformation pathways, kinetics, and product toxicity is essential for accurate risk assessment.</w:t>
      </w:r>
    </w:p>
    <w:p w14:paraId="5B2AA667" w14:textId="77777777" w:rsidR="00655A31" w:rsidRPr="00FD073D" w:rsidRDefault="00655A31" w:rsidP="00FD073D">
      <w:pPr>
        <w:jc w:val="both"/>
        <w:rPr>
          <w:rFonts w:ascii="Arial" w:hAnsi="Arial" w:cs="Arial"/>
        </w:rPr>
      </w:pPr>
    </w:p>
    <w:p w14:paraId="6C466863"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t>7.2 Mechanistic Understanding of Nano-Bio Interactions</w:t>
      </w:r>
    </w:p>
    <w:p w14:paraId="2DD5AE16" w14:textId="77777777" w:rsidR="00655A31" w:rsidRPr="00FD073D" w:rsidRDefault="00655A31" w:rsidP="00FD073D">
      <w:pPr>
        <w:jc w:val="both"/>
        <w:rPr>
          <w:rFonts w:ascii="Arial" w:hAnsi="Arial" w:cs="Arial"/>
          <w:b/>
          <w:bCs/>
        </w:rPr>
      </w:pPr>
    </w:p>
    <w:p w14:paraId="641F9A32" w14:textId="77777777" w:rsidR="00FD073D" w:rsidRPr="00FD073D" w:rsidRDefault="00FD073D" w:rsidP="00FD073D">
      <w:pPr>
        <w:jc w:val="both"/>
        <w:rPr>
          <w:rFonts w:ascii="Arial" w:hAnsi="Arial" w:cs="Arial"/>
        </w:rPr>
      </w:pPr>
      <w:r w:rsidRPr="00FD073D">
        <w:rPr>
          <w:rFonts w:ascii="Arial" w:hAnsi="Arial" w:cs="Arial"/>
          <w:b/>
          <w:bCs/>
        </w:rPr>
        <w:t>Cellular and Molecular Mechanisms:</w:t>
      </w:r>
      <w:r w:rsidRPr="00FD073D">
        <w:rPr>
          <w:rFonts w:ascii="Arial" w:hAnsi="Arial" w:cs="Arial"/>
        </w:rPr>
        <w:t> Detailed mechanistic studies elucidating nanoparticle uptake pathways, intracellular trafficking, organelle-specific accumulation, and molecular targets in plants and insects are needed (Judy et al., 2012; Pérez-de-Luque, 2017). Understanding how physicochemical properties (size, shape, surface chemistry, crystallinity) determine biological interactions will enable rational nanocarrier design optimizing efficacy while minimizing toxicity (Nel et al., 2009).</w:t>
      </w:r>
    </w:p>
    <w:p w14:paraId="2B6B504C" w14:textId="77777777" w:rsidR="00FD073D" w:rsidRDefault="00FD073D" w:rsidP="00FD073D">
      <w:pPr>
        <w:jc w:val="both"/>
        <w:rPr>
          <w:rFonts w:ascii="Arial" w:hAnsi="Arial" w:cs="Arial"/>
        </w:rPr>
      </w:pPr>
      <w:r w:rsidRPr="00FD073D">
        <w:rPr>
          <w:rFonts w:ascii="Arial" w:hAnsi="Arial" w:cs="Arial"/>
          <w:b/>
          <w:bCs/>
        </w:rPr>
        <w:t>Structure-Activity Relationships:</w:t>
      </w:r>
      <w:r w:rsidRPr="00FD073D">
        <w:rPr>
          <w:rFonts w:ascii="Arial" w:hAnsi="Arial" w:cs="Arial"/>
        </w:rPr>
        <w:t xml:space="preserve"> Systematic studies correlating nanoparticle physicochemical properties with antimicrobial efficacy, plant uptake, environmental fate, and toxicity would establish design principles for safer, more effective </w:t>
      </w:r>
      <w:proofErr w:type="spellStart"/>
      <w:r w:rsidRPr="00FD073D">
        <w:rPr>
          <w:rFonts w:ascii="Arial" w:hAnsi="Arial" w:cs="Arial"/>
        </w:rPr>
        <w:t>nanoformulations</w:t>
      </w:r>
      <w:proofErr w:type="spellEnd"/>
      <w:r w:rsidRPr="00FD073D">
        <w:rPr>
          <w:rFonts w:ascii="Arial" w:hAnsi="Arial" w:cs="Arial"/>
        </w:rPr>
        <w:t xml:space="preserve"> (Judy et al., 2019).</w:t>
      </w:r>
    </w:p>
    <w:p w14:paraId="6134C08E" w14:textId="77777777" w:rsidR="00655A31" w:rsidRDefault="00655A31" w:rsidP="00FD073D">
      <w:pPr>
        <w:jc w:val="both"/>
        <w:rPr>
          <w:rFonts w:ascii="Arial" w:hAnsi="Arial" w:cs="Arial"/>
        </w:rPr>
      </w:pPr>
    </w:p>
    <w:p w14:paraId="0F093C71" w14:textId="77777777" w:rsidR="00655A31" w:rsidRDefault="00655A31" w:rsidP="00FD073D">
      <w:pPr>
        <w:jc w:val="both"/>
        <w:rPr>
          <w:rFonts w:ascii="Arial" w:hAnsi="Arial" w:cs="Arial"/>
        </w:rPr>
      </w:pPr>
    </w:p>
    <w:p w14:paraId="3DED492E" w14:textId="77777777" w:rsidR="00655A31" w:rsidRPr="00FD073D" w:rsidRDefault="00655A31" w:rsidP="00FD073D">
      <w:pPr>
        <w:jc w:val="both"/>
        <w:rPr>
          <w:rFonts w:ascii="Arial" w:hAnsi="Arial" w:cs="Arial"/>
        </w:rPr>
      </w:pPr>
    </w:p>
    <w:p w14:paraId="4EF44F2C"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t>7.3 RNAi Technology Optimization</w:t>
      </w:r>
    </w:p>
    <w:p w14:paraId="26C6321A" w14:textId="77777777" w:rsidR="00655A31" w:rsidRPr="00FD073D" w:rsidRDefault="00655A31" w:rsidP="00FD073D">
      <w:pPr>
        <w:jc w:val="both"/>
        <w:rPr>
          <w:rFonts w:ascii="Arial" w:hAnsi="Arial" w:cs="Arial"/>
          <w:b/>
          <w:bCs/>
          <w:sz w:val="22"/>
          <w:szCs w:val="22"/>
        </w:rPr>
      </w:pPr>
    </w:p>
    <w:p w14:paraId="0D8E237A" w14:textId="77777777" w:rsidR="00FD073D" w:rsidRPr="00FD073D" w:rsidRDefault="00FD073D" w:rsidP="00FD073D">
      <w:pPr>
        <w:jc w:val="both"/>
        <w:rPr>
          <w:rFonts w:ascii="Arial" w:hAnsi="Arial" w:cs="Arial"/>
        </w:rPr>
      </w:pPr>
      <w:r w:rsidRPr="00FD073D">
        <w:rPr>
          <w:rFonts w:ascii="Arial" w:hAnsi="Arial" w:cs="Arial"/>
          <w:b/>
          <w:bCs/>
        </w:rPr>
        <w:t>Enhanced Stability and Uptake:</w:t>
      </w:r>
      <w:r w:rsidRPr="00FD073D">
        <w:rPr>
          <w:rFonts w:ascii="Arial" w:hAnsi="Arial" w:cs="Arial"/>
        </w:rPr>
        <w:t xml:space="preserve"> Novel nanocarrier designs improving dsRNA protection, cellular uptake efficiency, and endosomal escape in recalcitrant insect species (Lepidoptera) are critical for broad RNAi applicability (Christiaens et al., 2020). Cell-penetrating peptides, </w:t>
      </w:r>
      <w:proofErr w:type="spellStart"/>
      <w:r w:rsidRPr="00FD073D">
        <w:rPr>
          <w:rFonts w:ascii="Arial" w:hAnsi="Arial" w:cs="Arial"/>
        </w:rPr>
        <w:t>fusogenic</w:t>
      </w:r>
      <w:proofErr w:type="spellEnd"/>
      <w:r w:rsidRPr="00FD073D">
        <w:rPr>
          <w:rFonts w:ascii="Arial" w:hAnsi="Arial" w:cs="Arial"/>
        </w:rPr>
        <w:t xml:space="preserve"> lipids, and biomimetic nanocarriers inspired by viral entry mechanisms warrant investigation (Taning et al., 2020).</w:t>
      </w:r>
    </w:p>
    <w:p w14:paraId="20F3C6A7" w14:textId="77777777" w:rsidR="00FD073D" w:rsidRPr="00FD073D" w:rsidRDefault="00FD073D" w:rsidP="00FD073D">
      <w:pPr>
        <w:jc w:val="both"/>
        <w:rPr>
          <w:rFonts w:ascii="Arial" w:hAnsi="Arial" w:cs="Arial"/>
        </w:rPr>
      </w:pPr>
      <w:r w:rsidRPr="00FD073D">
        <w:rPr>
          <w:rFonts w:ascii="Arial" w:hAnsi="Arial" w:cs="Arial"/>
          <w:b/>
          <w:bCs/>
        </w:rPr>
        <w:t>Target Gene Validation:</w:t>
      </w:r>
      <w:r w:rsidRPr="00FD073D">
        <w:rPr>
          <w:rFonts w:ascii="Arial" w:hAnsi="Arial" w:cs="Arial"/>
        </w:rPr>
        <w:t> Comprehensive functional genomics identifying optimal target genes for diverse rice pests, considering gene essentiality, RNAi sensitivity, and resistance evolution potential, would accelerate RNAi product development (</w:t>
      </w:r>
      <w:proofErr w:type="spellStart"/>
      <w:r w:rsidRPr="00FD073D">
        <w:rPr>
          <w:rFonts w:ascii="Arial" w:hAnsi="Arial" w:cs="Arial"/>
        </w:rPr>
        <w:t>Zotti</w:t>
      </w:r>
      <w:proofErr w:type="spellEnd"/>
      <w:r w:rsidRPr="00FD073D">
        <w:rPr>
          <w:rFonts w:ascii="Arial" w:hAnsi="Arial" w:cs="Arial"/>
        </w:rPr>
        <w:t xml:space="preserve"> &amp; </w:t>
      </w:r>
      <w:proofErr w:type="spellStart"/>
      <w:r w:rsidRPr="00FD073D">
        <w:rPr>
          <w:rFonts w:ascii="Arial" w:hAnsi="Arial" w:cs="Arial"/>
        </w:rPr>
        <w:t>Smagghe</w:t>
      </w:r>
      <w:proofErr w:type="spellEnd"/>
      <w:r w:rsidRPr="00FD073D">
        <w:rPr>
          <w:rFonts w:ascii="Arial" w:hAnsi="Arial" w:cs="Arial"/>
        </w:rPr>
        <w:t>, 2015).</w:t>
      </w:r>
    </w:p>
    <w:p w14:paraId="4318CB83" w14:textId="77777777" w:rsidR="00FD073D" w:rsidRDefault="00FD073D" w:rsidP="00FD073D">
      <w:pPr>
        <w:jc w:val="both"/>
        <w:rPr>
          <w:rFonts w:ascii="Arial" w:hAnsi="Arial" w:cs="Arial"/>
        </w:rPr>
      </w:pPr>
      <w:r w:rsidRPr="00FD073D">
        <w:rPr>
          <w:rFonts w:ascii="Arial" w:hAnsi="Arial" w:cs="Arial"/>
          <w:b/>
          <w:bCs/>
        </w:rPr>
        <w:t>Field Persistence and Efficacy:</w:t>
      </w:r>
      <w:r w:rsidRPr="00FD073D">
        <w:rPr>
          <w:rFonts w:ascii="Arial" w:hAnsi="Arial" w:cs="Arial"/>
        </w:rPr>
        <w:t> Limited field studies demonstrate variable RNAi efficacy under environmental conditions; systematic evaluation of environmental factors (temperature, humidity, UV radiation, microbial degradation) affecting dsRNA stability and efficacy is needed (Parker et al., 2019). Formulation optimization extending field persistence to 7–14 days would improve practical applicability (Mitter et al., 2017).</w:t>
      </w:r>
    </w:p>
    <w:p w14:paraId="7A965AA9" w14:textId="77777777" w:rsidR="00655A31" w:rsidRPr="00FD073D" w:rsidRDefault="00655A31" w:rsidP="00FD073D">
      <w:pPr>
        <w:jc w:val="both"/>
        <w:rPr>
          <w:rFonts w:ascii="Arial" w:hAnsi="Arial" w:cs="Arial"/>
        </w:rPr>
      </w:pPr>
    </w:p>
    <w:p w14:paraId="29442813" w14:textId="77777777" w:rsidR="00FD073D" w:rsidRPr="00FD073D" w:rsidRDefault="00FD073D" w:rsidP="00FD073D">
      <w:pPr>
        <w:jc w:val="both"/>
        <w:rPr>
          <w:rFonts w:ascii="Arial" w:hAnsi="Arial" w:cs="Arial"/>
          <w:b/>
          <w:bCs/>
          <w:sz w:val="22"/>
          <w:szCs w:val="22"/>
        </w:rPr>
      </w:pPr>
      <w:r w:rsidRPr="00FD073D">
        <w:rPr>
          <w:rFonts w:ascii="Arial" w:hAnsi="Arial" w:cs="Arial"/>
          <w:b/>
          <w:bCs/>
          <w:sz w:val="22"/>
          <w:szCs w:val="22"/>
        </w:rPr>
        <w:t>7.4 Analytical Method Development</w:t>
      </w:r>
    </w:p>
    <w:p w14:paraId="36C21F52" w14:textId="77777777" w:rsidR="00FD073D" w:rsidRPr="00FD073D" w:rsidRDefault="00FD073D" w:rsidP="00FD073D">
      <w:pPr>
        <w:jc w:val="both"/>
        <w:rPr>
          <w:rFonts w:ascii="Arial" w:hAnsi="Arial" w:cs="Arial"/>
        </w:rPr>
      </w:pPr>
      <w:r w:rsidRPr="00FD073D">
        <w:rPr>
          <w:rFonts w:ascii="Arial" w:hAnsi="Arial" w:cs="Arial"/>
          <w:b/>
          <w:bCs/>
        </w:rPr>
        <w:t>Detection and Quantification:</w:t>
      </w:r>
      <w:r w:rsidRPr="00FD073D">
        <w:rPr>
          <w:rFonts w:ascii="Arial" w:hAnsi="Arial" w:cs="Arial"/>
        </w:rPr>
        <w:t> Validated, standardized methods for detecting, characterizing, and quantifying nanoparticles in complex environmental (soil, water, sediment) and biological (plant tissues, food products) matrices are critically lacking (Tiede et al., 2008). Single-particle ICP-MS, field-flow fractionation, and electron microscopy techniques require standardization and inter-laboratory validation (Montaño et al., 2014).</w:t>
      </w:r>
    </w:p>
    <w:p w14:paraId="50384C07" w14:textId="77777777" w:rsidR="00FD073D" w:rsidRDefault="00FD073D" w:rsidP="00FD073D">
      <w:pPr>
        <w:jc w:val="both"/>
        <w:rPr>
          <w:rFonts w:ascii="Arial" w:hAnsi="Arial" w:cs="Arial"/>
        </w:rPr>
      </w:pPr>
      <w:r w:rsidRPr="00FD073D">
        <w:rPr>
          <w:rFonts w:ascii="Arial" w:hAnsi="Arial" w:cs="Arial"/>
          <w:b/>
          <w:bCs/>
        </w:rPr>
        <w:t>Nanoparticle vs. Ion Discrimination:</w:t>
      </w:r>
      <w:r w:rsidRPr="00FD073D">
        <w:rPr>
          <w:rFonts w:ascii="Arial" w:hAnsi="Arial" w:cs="Arial"/>
        </w:rPr>
        <w:t> Analytical methods distinguishing between nanoparticulate and dissolved ionic forms are essential for accurate exposure assessment and mechanistic understanding, particularly for metal oxide nanoparticles undergoing dissolution (Judy et al., 2019).</w:t>
      </w:r>
    </w:p>
    <w:p w14:paraId="0D652167" w14:textId="77777777" w:rsidR="00655A31" w:rsidRPr="00FD073D" w:rsidRDefault="00655A31" w:rsidP="00FD073D">
      <w:pPr>
        <w:jc w:val="both"/>
        <w:rPr>
          <w:rFonts w:ascii="Arial" w:hAnsi="Arial" w:cs="Arial"/>
        </w:rPr>
      </w:pPr>
    </w:p>
    <w:p w14:paraId="1AC98E13"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t>7.5 Regulatory Science and Risk Assessment Frameworks</w:t>
      </w:r>
    </w:p>
    <w:p w14:paraId="703CCE95" w14:textId="77777777" w:rsidR="00655A31" w:rsidRPr="00FD073D" w:rsidRDefault="00655A31" w:rsidP="00FD073D">
      <w:pPr>
        <w:jc w:val="both"/>
        <w:rPr>
          <w:rFonts w:ascii="Arial" w:hAnsi="Arial" w:cs="Arial"/>
          <w:b/>
          <w:bCs/>
          <w:sz w:val="22"/>
          <w:szCs w:val="22"/>
        </w:rPr>
      </w:pPr>
    </w:p>
    <w:p w14:paraId="415C2719" w14:textId="77777777" w:rsidR="00FD073D" w:rsidRPr="00FD073D" w:rsidRDefault="00FD073D" w:rsidP="00FD073D">
      <w:pPr>
        <w:jc w:val="both"/>
        <w:rPr>
          <w:rFonts w:ascii="Arial" w:hAnsi="Arial" w:cs="Arial"/>
        </w:rPr>
      </w:pPr>
      <w:r w:rsidRPr="00FD073D">
        <w:rPr>
          <w:rFonts w:ascii="Arial" w:hAnsi="Arial" w:cs="Arial"/>
          <w:b/>
          <w:bCs/>
        </w:rPr>
        <w:t>Nano-Specific Risk Assessment:</w:t>
      </w:r>
      <w:r w:rsidRPr="00FD073D">
        <w:rPr>
          <w:rFonts w:ascii="Arial" w:hAnsi="Arial" w:cs="Arial"/>
        </w:rPr>
        <w:t xml:space="preserve"> Development of risk assessment frameworks explicitly addressing nanoparticle-specific properties, exposure pathways, and toxicological mechanisms is urgently needed (Hansen et al., 2016). Regulatory </w:t>
      </w:r>
      <w:r w:rsidRPr="00FD073D">
        <w:rPr>
          <w:rFonts w:ascii="Arial" w:hAnsi="Arial" w:cs="Arial"/>
        </w:rPr>
        <w:lastRenderedPageBreak/>
        <w:t>guidance documents specifying required characterization data, testing protocols, and safety thresholds would accelerate product approvals and harmonize international regulations (EFSA, 2018).</w:t>
      </w:r>
    </w:p>
    <w:p w14:paraId="0754CCC4" w14:textId="77777777" w:rsidR="00FD073D" w:rsidRDefault="00FD073D" w:rsidP="00FD073D">
      <w:pPr>
        <w:jc w:val="both"/>
        <w:rPr>
          <w:rFonts w:ascii="Arial" w:hAnsi="Arial" w:cs="Arial"/>
        </w:rPr>
      </w:pPr>
      <w:r w:rsidRPr="00FD073D">
        <w:rPr>
          <w:rFonts w:ascii="Arial" w:hAnsi="Arial" w:cs="Arial"/>
          <w:b/>
          <w:bCs/>
        </w:rPr>
        <w:t>Life Cycle Assessment:</w:t>
      </w:r>
      <w:r w:rsidRPr="00FD073D">
        <w:rPr>
          <w:rFonts w:ascii="Arial" w:hAnsi="Arial" w:cs="Arial"/>
        </w:rPr>
        <w:t> Comprehensive LCA studies comparing environmental impacts of nano vs. conventional pesticide formulations across production, application, use phase, and end-of-life would inform sustainable technology deployment (Kah et al., 2018).</w:t>
      </w:r>
    </w:p>
    <w:p w14:paraId="6940E763" w14:textId="77777777" w:rsidR="00655A31" w:rsidRPr="00FD073D" w:rsidRDefault="00655A31" w:rsidP="00FD073D">
      <w:pPr>
        <w:jc w:val="both"/>
        <w:rPr>
          <w:rFonts w:ascii="Arial" w:hAnsi="Arial" w:cs="Arial"/>
        </w:rPr>
      </w:pPr>
    </w:p>
    <w:p w14:paraId="5B403725" w14:textId="77777777" w:rsidR="00FD073D" w:rsidRDefault="00FD073D" w:rsidP="00FD073D">
      <w:pPr>
        <w:jc w:val="both"/>
        <w:rPr>
          <w:rFonts w:ascii="Arial" w:hAnsi="Arial" w:cs="Arial"/>
          <w:b/>
          <w:bCs/>
          <w:sz w:val="22"/>
          <w:szCs w:val="22"/>
        </w:rPr>
      </w:pPr>
      <w:r w:rsidRPr="00FD073D">
        <w:rPr>
          <w:rFonts w:ascii="Arial" w:hAnsi="Arial" w:cs="Arial"/>
          <w:b/>
          <w:bCs/>
          <w:sz w:val="22"/>
          <w:szCs w:val="22"/>
        </w:rPr>
        <w:t>7.6 Integrated Pest Management and Sustainable Agriculture</w:t>
      </w:r>
    </w:p>
    <w:p w14:paraId="7824BD76" w14:textId="77777777" w:rsidR="00655A31" w:rsidRPr="00FD073D" w:rsidRDefault="00655A31" w:rsidP="00FD073D">
      <w:pPr>
        <w:jc w:val="both"/>
        <w:rPr>
          <w:rFonts w:ascii="Arial" w:hAnsi="Arial" w:cs="Arial"/>
          <w:b/>
          <w:bCs/>
        </w:rPr>
      </w:pPr>
    </w:p>
    <w:p w14:paraId="49906C45" w14:textId="77777777" w:rsidR="00FD073D" w:rsidRPr="00FD073D" w:rsidRDefault="00FD073D" w:rsidP="00FD073D">
      <w:pPr>
        <w:jc w:val="both"/>
        <w:rPr>
          <w:rFonts w:ascii="Arial" w:hAnsi="Arial" w:cs="Arial"/>
        </w:rPr>
      </w:pPr>
      <w:r w:rsidRPr="00FD073D">
        <w:rPr>
          <w:rFonts w:ascii="Arial" w:hAnsi="Arial" w:cs="Arial"/>
          <w:b/>
          <w:bCs/>
        </w:rPr>
        <w:t>IPM Integration:</w:t>
      </w:r>
      <w:r w:rsidRPr="00FD073D">
        <w:rPr>
          <w:rFonts w:ascii="Arial" w:hAnsi="Arial" w:cs="Arial"/>
        </w:rPr>
        <w:t> Research evaluating compatibility of nanotechnology-based approaches with biological control, host plant resistance, cultural practices, and other IPM components is essential for sustainable pest management (</w:t>
      </w:r>
      <w:proofErr w:type="spellStart"/>
      <w:r w:rsidRPr="00FD073D">
        <w:rPr>
          <w:rFonts w:ascii="Arial" w:hAnsi="Arial" w:cs="Arial"/>
        </w:rPr>
        <w:t>Ghormade</w:t>
      </w:r>
      <w:proofErr w:type="spellEnd"/>
      <w:r w:rsidRPr="00FD073D">
        <w:rPr>
          <w:rFonts w:ascii="Arial" w:hAnsi="Arial" w:cs="Arial"/>
        </w:rPr>
        <w:t xml:space="preserve"> et al., 2011). Studies assessing impacts on natural enemy populations, soil health, and agroecosystem resilience would guide integration strategies (Judy et al., 2019).</w:t>
      </w:r>
    </w:p>
    <w:p w14:paraId="44966723" w14:textId="77777777" w:rsidR="00FD073D" w:rsidRPr="00FD073D" w:rsidRDefault="00FD073D" w:rsidP="00FD073D">
      <w:pPr>
        <w:jc w:val="both"/>
        <w:rPr>
          <w:rFonts w:ascii="Arial" w:hAnsi="Arial" w:cs="Arial"/>
        </w:rPr>
      </w:pPr>
      <w:r w:rsidRPr="00FD073D">
        <w:rPr>
          <w:rFonts w:ascii="Arial" w:hAnsi="Arial" w:cs="Arial"/>
          <w:b/>
          <w:bCs/>
        </w:rPr>
        <w:t>Climate Resilience:</w:t>
      </w:r>
      <w:r w:rsidRPr="00FD073D">
        <w:rPr>
          <w:rFonts w:ascii="Arial" w:hAnsi="Arial" w:cs="Arial"/>
        </w:rPr>
        <w:t> Investigating how nanotechnology-based solutions perform under climate change scenarios (elevated temperature, altered precipitation, increased pest pressure) would inform adaptation strategies for future rice production systems (Qiu et al., 2023).</w:t>
      </w:r>
    </w:p>
    <w:p w14:paraId="58FF7BE9" w14:textId="45145B8B" w:rsidR="00FD073D" w:rsidRDefault="00FD073D" w:rsidP="00FD073D">
      <w:pPr>
        <w:jc w:val="both"/>
        <w:rPr>
          <w:rFonts w:ascii="Arial" w:hAnsi="Arial" w:cs="Arial"/>
        </w:rPr>
      </w:pPr>
      <w:r w:rsidRPr="00FD073D">
        <w:rPr>
          <w:rFonts w:ascii="Arial" w:hAnsi="Arial" w:cs="Arial"/>
          <w:b/>
          <w:bCs/>
        </w:rPr>
        <w:t>Smallholder Farmer Adoption:</w:t>
      </w:r>
      <w:r w:rsidRPr="00FD073D">
        <w:rPr>
          <w:rFonts w:ascii="Arial" w:hAnsi="Arial" w:cs="Arial"/>
        </w:rPr>
        <w:t> Socioeconomic research identifying barriers and enablers for smallholder farmer adoption, including affordability, accessibility, knowledge requirements, and cultural acceptability, is critical for equitable technology deployment</w:t>
      </w:r>
      <w:r w:rsidR="0005509E">
        <w:rPr>
          <w:rFonts w:ascii="Arial" w:hAnsi="Arial" w:cs="Arial"/>
        </w:rPr>
        <w:t>.</w:t>
      </w:r>
    </w:p>
    <w:p w14:paraId="4F6D96D6" w14:textId="77777777" w:rsidR="00C23E1D" w:rsidRDefault="00C23E1D" w:rsidP="00C23E1D">
      <w:pPr>
        <w:jc w:val="both"/>
        <w:rPr>
          <w:rFonts w:ascii="Arial" w:hAnsi="Arial" w:cs="Arial"/>
        </w:rPr>
      </w:pPr>
    </w:p>
    <w:p w14:paraId="1F84746D" w14:textId="40A7B5CB" w:rsidR="00F83DA4" w:rsidRPr="00F83DA4" w:rsidRDefault="00F83DA4" w:rsidP="00F83DA4">
      <w:pPr>
        <w:jc w:val="center"/>
        <w:rPr>
          <w:rFonts w:ascii="Arial" w:hAnsi="Arial" w:cs="Arial"/>
          <w:b/>
          <w:bCs/>
        </w:rPr>
      </w:pPr>
      <w:r w:rsidRPr="00F83DA4">
        <w:rPr>
          <w:rFonts w:ascii="Arial" w:hAnsi="Arial" w:cs="Arial"/>
          <w:b/>
          <w:bCs/>
        </w:rPr>
        <w:t>T</w:t>
      </w:r>
      <w:r>
        <w:rPr>
          <w:rFonts w:ascii="Arial" w:hAnsi="Arial" w:cs="Arial"/>
          <w:b/>
          <w:bCs/>
        </w:rPr>
        <w:t xml:space="preserve">able </w:t>
      </w:r>
      <w:r w:rsidRPr="00F83DA4">
        <w:rPr>
          <w:rFonts w:ascii="Arial" w:hAnsi="Arial" w:cs="Arial"/>
          <w:b/>
          <w:bCs/>
        </w:rPr>
        <w:t>7: Regulatory Requirements by Major Jurisdiction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720"/>
        <w:gridCol w:w="2041"/>
        <w:gridCol w:w="3065"/>
        <w:gridCol w:w="1231"/>
        <w:gridCol w:w="1280"/>
      </w:tblGrid>
      <w:tr w:rsidR="00F83DA4" w:rsidRPr="00F83DA4" w14:paraId="121B5C53" w14:textId="77777777" w:rsidTr="00F83DA4">
        <w:trPr>
          <w:trHeight w:val="600"/>
        </w:trPr>
        <w:tc>
          <w:tcPr>
            <w:tcW w:w="450" w:type="pct"/>
            <w:tcBorders>
              <w:top w:val="single" w:sz="4" w:space="0" w:color="auto"/>
              <w:bottom w:val="single" w:sz="4" w:space="0" w:color="auto"/>
            </w:tcBorders>
            <w:hideMark/>
          </w:tcPr>
          <w:p w14:paraId="37732BBA" w14:textId="77777777" w:rsidR="00F83DA4" w:rsidRPr="00F83DA4" w:rsidRDefault="00F83DA4" w:rsidP="00F83DA4">
            <w:pPr>
              <w:jc w:val="both"/>
              <w:rPr>
                <w:rFonts w:ascii="Arial" w:hAnsi="Arial" w:cs="Arial"/>
                <w:b/>
                <w:bCs/>
              </w:rPr>
            </w:pPr>
            <w:r w:rsidRPr="00F83DA4">
              <w:rPr>
                <w:rFonts w:ascii="Arial" w:hAnsi="Arial" w:cs="Arial"/>
                <w:b/>
                <w:bCs/>
              </w:rPr>
              <w:t>Jurisdiction</w:t>
            </w:r>
          </w:p>
        </w:tc>
        <w:tc>
          <w:tcPr>
            <w:tcW w:w="875" w:type="pct"/>
            <w:tcBorders>
              <w:top w:val="single" w:sz="4" w:space="0" w:color="auto"/>
              <w:bottom w:val="single" w:sz="4" w:space="0" w:color="auto"/>
            </w:tcBorders>
            <w:hideMark/>
          </w:tcPr>
          <w:p w14:paraId="586145E7" w14:textId="77777777" w:rsidR="00F83DA4" w:rsidRPr="00F83DA4" w:rsidRDefault="00F83DA4" w:rsidP="00F83DA4">
            <w:pPr>
              <w:jc w:val="both"/>
              <w:rPr>
                <w:rFonts w:ascii="Arial" w:hAnsi="Arial" w:cs="Arial"/>
                <w:b/>
                <w:bCs/>
              </w:rPr>
            </w:pPr>
            <w:r w:rsidRPr="00F83DA4">
              <w:rPr>
                <w:rFonts w:ascii="Arial" w:hAnsi="Arial" w:cs="Arial"/>
                <w:b/>
                <w:bCs/>
              </w:rPr>
              <w:t>Regulatory Framework</w:t>
            </w:r>
          </w:p>
        </w:tc>
        <w:tc>
          <w:tcPr>
            <w:tcW w:w="1023" w:type="pct"/>
            <w:tcBorders>
              <w:top w:val="single" w:sz="4" w:space="0" w:color="auto"/>
              <w:bottom w:val="single" w:sz="4" w:space="0" w:color="auto"/>
            </w:tcBorders>
            <w:hideMark/>
          </w:tcPr>
          <w:p w14:paraId="26C385C3" w14:textId="77777777" w:rsidR="00F83DA4" w:rsidRPr="00F83DA4" w:rsidRDefault="00F83DA4" w:rsidP="00F83DA4">
            <w:pPr>
              <w:jc w:val="both"/>
              <w:rPr>
                <w:rFonts w:ascii="Arial" w:hAnsi="Arial" w:cs="Arial"/>
                <w:b/>
                <w:bCs/>
              </w:rPr>
            </w:pPr>
            <w:r w:rsidRPr="00F83DA4">
              <w:rPr>
                <w:rFonts w:ascii="Arial" w:hAnsi="Arial" w:cs="Arial"/>
                <w:b/>
                <w:bCs/>
              </w:rPr>
              <w:t>Nano-Specific Guidelines</w:t>
            </w:r>
          </w:p>
        </w:tc>
        <w:tc>
          <w:tcPr>
            <w:tcW w:w="1497" w:type="pct"/>
            <w:tcBorders>
              <w:top w:val="single" w:sz="4" w:space="0" w:color="auto"/>
              <w:bottom w:val="single" w:sz="4" w:space="0" w:color="auto"/>
            </w:tcBorders>
            <w:hideMark/>
          </w:tcPr>
          <w:p w14:paraId="35EF5153" w14:textId="77777777" w:rsidR="00F83DA4" w:rsidRPr="00F83DA4" w:rsidRDefault="00F83DA4" w:rsidP="00F83DA4">
            <w:pPr>
              <w:jc w:val="both"/>
              <w:rPr>
                <w:rFonts w:ascii="Arial" w:hAnsi="Arial" w:cs="Arial"/>
                <w:b/>
                <w:bCs/>
              </w:rPr>
            </w:pPr>
            <w:r w:rsidRPr="00F83DA4">
              <w:rPr>
                <w:rFonts w:ascii="Arial" w:hAnsi="Arial" w:cs="Arial"/>
                <w:b/>
                <w:bCs/>
              </w:rPr>
              <w:t>Testing Requirements</w:t>
            </w:r>
          </w:p>
        </w:tc>
        <w:tc>
          <w:tcPr>
            <w:tcW w:w="648" w:type="pct"/>
            <w:tcBorders>
              <w:top w:val="single" w:sz="4" w:space="0" w:color="auto"/>
              <w:bottom w:val="single" w:sz="4" w:space="0" w:color="auto"/>
            </w:tcBorders>
            <w:hideMark/>
          </w:tcPr>
          <w:p w14:paraId="390F9B92" w14:textId="77777777" w:rsidR="00F83DA4" w:rsidRPr="00F83DA4" w:rsidRDefault="00F83DA4" w:rsidP="00F83DA4">
            <w:pPr>
              <w:jc w:val="both"/>
              <w:rPr>
                <w:rFonts w:ascii="Arial" w:hAnsi="Arial" w:cs="Arial"/>
                <w:b/>
                <w:bCs/>
              </w:rPr>
            </w:pPr>
            <w:r w:rsidRPr="00F83DA4">
              <w:rPr>
                <w:rFonts w:ascii="Arial" w:hAnsi="Arial" w:cs="Arial"/>
                <w:b/>
                <w:bCs/>
              </w:rPr>
              <w:t>Approval Timeline</w:t>
            </w:r>
          </w:p>
        </w:tc>
        <w:tc>
          <w:tcPr>
            <w:tcW w:w="508" w:type="pct"/>
            <w:tcBorders>
              <w:top w:val="single" w:sz="4" w:space="0" w:color="auto"/>
              <w:bottom w:val="single" w:sz="4" w:space="0" w:color="auto"/>
            </w:tcBorders>
            <w:hideMark/>
          </w:tcPr>
          <w:p w14:paraId="26CFEF48" w14:textId="77777777" w:rsidR="00F83DA4" w:rsidRPr="00F83DA4" w:rsidRDefault="00F83DA4" w:rsidP="00F83DA4">
            <w:pPr>
              <w:jc w:val="both"/>
              <w:rPr>
                <w:rFonts w:ascii="Arial" w:hAnsi="Arial" w:cs="Arial"/>
                <w:b/>
                <w:bCs/>
              </w:rPr>
            </w:pPr>
            <w:r w:rsidRPr="00F83DA4">
              <w:rPr>
                <w:rFonts w:ascii="Arial" w:hAnsi="Arial" w:cs="Arial"/>
                <w:b/>
                <w:bCs/>
              </w:rPr>
              <w:t>Reference</w:t>
            </w:r>
          </w:p>
        </w:tc>
      </w:tr>
      <w:tr w:rsidR="00F83DA4" w:rsidRPr="00F83DA4" w14:paraId="449D28B3" w14:textId="77777777" w:rsidTr="00F83DA4">
        <w:tc>
          <w:tcPr>
            <w:tcW w:w="450" w:type="pct"/>
            <w:tcBorders>
              <w:top w:val="single" w:sz="4" w:space="0" w:color="auto"/>
            </w:tcBorders>
            <w:hideMark/>
          </w:tcPr>
          <w:p w14:paraId="3EB19459" w14:textId="77777777" w:rsidR="00F83DA4" w:rsidRPr="00F83DA4" w:rsidRDefault="00F83DA4" w:rsidP="00F83DA4">
            <w:pPr>
              <w:jc w:val="both"/>
              <w:rPr>
                <w:rFonts w:ascii="Arial" w:hAnsi="Arial" w:cs="Arial"/>
              </w:rPr>
            </w:pPr>
            <w:r w:rsidRPr="00F83DA4">
              <w:rPr>
                <w:rFonts w:ascii="Arial" w:hAnsi="Arial" w:cs="Arial"/>
              </w:rPr>
              <w:t>USA (EPA)</w:t>
            </w:r>
          </w:p>
        </w:tc>
        <w:tc>
          <w:tcPr>
            <w:tcW w:w="875" w:type="pct"/>
            <w:tcBorders>
              <w:top w:val="single" w:sz="4" w:space="0" w:color="auto"/>
            </w:tcBorders>
            <w:hideMark/>
          </w:tcPr>
          <w:p w14:paraId="3D94FD03" w14:textId="77777777" w:rsidR="00F83DA4" w:rsidRPr="00F83DA4" w:rsidRDefault="00F83DA4" w:rsidP="00F83DA4">
            <w:pPr>
              <w:jc w:val="both"/>
              <w:rPr>
                <w:rFonts w:ascii="Arial" w:hAnsi="Arial" w:cs="Arial"/>
              </w:rPr>
            </w:pPr>
            <w:r w:rsidRPr="00F83DA4">
              <w:rPr>
                <w:rFonts w:ascii="Arial" w:hAnsi="Arial" w:cs="Arial"/>
              </w:rPr>
              <w:t>FIFRA, TSCA</w:t>
            </w:r>
          </w:p>
        </w:tc>
        <w:tc>
          <w:tcPr>
            <w:tcW w:w="1023" w:type="pct"/>
            <w:tcBorders>
              <w:top w:val="single" w:sz="4" w:space="0" w:color="auto"/>
            </w:tcBorders>
            <w:hideMark/>
          </w:tcPr>
          <w:p w14:paraId="17BB3E66" w14:textId="77777777" w:rsidR="00F83DA4" w:rsidRPr="00F83DA4" w:rsidRDefault="00F83DA4" w:rsidP="00F83DA4">
            <w:pPr>
              <w:jc w:val="both"/>
              <w:rPr>
                <w:rFonts w:ascii="Arial" w:hAnsi="Arial" w:cs="Arial"/>
              </w:rPr>
            </w:pPr>
            <w:r w:rsidRPr="00F83DA4">
              <w:rPr>
                <w:rFonts w:ascii="Arial" w:hAnsi="Arial" w:cs="Arial"/>
              </w:rPr>
              <w:t>Case-by-case assessment</w:t>
            </w:r>
          </w:p>
        </w:tc>
        <w:tc>
          <w:tcPr>
            <w:tcW w:w="1497" w:type="pct"/>
            <w:tcBorders>
              <w:top w:val="single" w:sz="4" w:space="0" w:color="auto"/>
            </w:tcBorders>
            <w:hideMark/>
          </w:tcPr>
          <w:p w14:paraId="05558E86" w14:textId="77777777" w:rsidR="00F83DA4" w:rsidRPr="00F83DA4" w:rsidRDefault="00F83DA4" w:rsidP="00F83DA4">
            <w:pPr>
              <w:jc w:val="both"/>
              <w:rPr>
                <w:rFonts w:ascii="Arial" w:hAnsi="Arial" w:cs="Arial"/>
              </w:rPr>
            </w:pPr>
            <w:r w:rsidRPr="00F83DA4">
              <w:rPr>
                <w:rFonts w:ascii="Arial" w:hAnsi="Arial" w:cs="Arial"/>
              </w:rPr>
              <w:t xml:space="preserve">Tier I-III </w:t>
            </w:r>
            <w:proofErr w:type="spellStart"/>
            <w:r w:rsidRPr="00F83DA4">
              <w:rPr>
                <w:rFonts w:ascii="Arial" w:hAnsi="Arial" w:cs="Arial"/>
              </w:rPr>
              <w:t>ecotox</w:t>
            </w:r>
            <w:proofErr w:type="spellEnd"/>
            <w:r w:rsidRPr="00F83DA4">
              <w:rPr>
                <w:rFonts w:ascii="Arial" w:hAnsi="Arial" w:cs="Arial"/>
              </w:rPr>
              <w:t>, environmental fate</w:t>
            </w:r>
          </w:p>
        </w:tc>
        <w:tc>
          <w:tcPr>
            <w:tcW w:w="648" w:type="pct"/>
            <w:tcBorders>
              <w:top w:val="single" w:sz="4" w:space="0" w:color="auto"/>
            </w:tcBorders>
            <w:hideMark/>
          </w:tcPr>
          <w:p w14:paraId="3E495863" w14:textId="77777777" w:rsidR="00F83DA4" w:rsidRPr="00F83DA4" w:rsidRDefault="00F83DA4" w:rsidP="00F83DA4">
            <w:pPr>
              <w:jc w:val="both"/>
              <w:rPr>
                <w:rFonts w:ascii="Arial" w:hAnsi="Arial" w:cs="Arial"/>
              </w:rPr>
            </w:pPr>
            <w:r w:rsidRPr="00F83DA4">
              <w:rPr>
                <w:rFonts w:ascii="Arial" w:hAnsi="Arial" w:cs="Arial"/>
              </w:rPr>
              <w:t>3-5 years</w:t>
            </w:r>
          </w:p>
        </w:tc>
        <w:tc>
          <w:tcPr>
            <w:tcW w:w="508" w:type="pct"/>
            <w:tcBorders>
              <w:top w:val="single" w:sz="4" w:space="0" w:color="auto"/>
            </w:tcBorders>
            <w:hideMark/>
          </w:tcPr>
          <w:p w14:paraId="1ED0A02A" w14:textId="77777777" w:rsidR="00F83DA4" w:rsidRPr="00F83DA4" w:rsidRDefault="00F83DA4" w:rsidP="00F83DA4">
            <w:pPr>
              <w:jc w:val="both"/>
              <w:rPr>
                <w:rFonts w:ascii="Arial" w:hAnsi="Arial" w:cs="Arial"/>
              </w:rPr>
            </w:pPr>
            <w:r w:rsidRPr="00F83DA4">
              <w:rPr>
                <w:rFonts w:ascii="Arial" w:hAnsi="Arial" w:cs="Arial"/>
              </w:rPr>
              <w:t>EPA, 2017</w:t>
            </w:r>
          </w:p>
        </w:tc>
      </w:tr>
      <w:tr w:rsidR="00F83DA4" w:rsidRPr="00F83DA4" w14:paraId="70748D9A" w14:textId="77777777" w:rsidTr="00F83DA4">
        <w:tc>
          <w:tcPr>
            <w:tcW w:w="450" w:type="pct"/>
            <w:hideMark/>
          </w:tcPr>
          <w:p w14:paraId="5C2F32C4" w14:textId="77777777" w:rsidR="00F83DA4" w:rsidRPr="00F83DA4" w:rsidRDefault="00F83DA4" w:rsidP="00F83DA4">
            <w:pPr>
              <w:jc w:val="both"/>
              <w:rPr>
                <w:rFonts w:ascii="Arial" w:hAnsi="Arial" w:cs="Arial"/>
              </w:rPr>
            </w:pPr>
            <w:r w:rsidRPr="00F83DA4">
              <w:rPr>
                <w:rFonts w:ascii="Arial" w:hAnsi="Arial" w:cs="Arial"/>
              </w:rPr>
              <w:t>European Union</w:t>
            </w:r>
          </w:p>
        </w:tc>
        <w:tc>
          <w:tcPr>
            <w:tcW w:w="875" w:type="pct"/>
            <w:hideMark/>
          </w:tcPr>
          <w:p w14:paraId="19BB7DF2" w14:textId="77777777" w:rsidR="00F83DA4" w:rsidRPr="00F83DA4" w:rsidRDefault="00F83DA4" w:rsidP="00F83DA4">
            <w:pPr>
              <w:jc w:val="both"/>
              <w:rPr>
                <w:rFonts w:ascii="Arial" w:hAnsi="Arial" w:cs="Arial"/>
              </w:rPr>
            </w:pPr>
            <w:r w:rsidRPr="00F83DA4">
              <w:rPr>
                <w:rFonts w:ascii="Arial" w:hAnsi="Arial" w:cs="Arial"/>
              </w:rPr>
              <w:t>REACH, BPR</w:t>
            </w:r>
          </w:p>
        </w:tc>
        <w:tc>
          <w:tcPr>
            <w:tcW w:w="1023" w:type="pct"/>
            <w:hideMark/>
          </w:tcPr>
          <w:p w14:paraId="48DB603D" w14:textId="77777777" w:rsidR="00F83DA4" w:rsidRPr="00F83DA4" w:rsidRDefault="00F83DA4" w:rsidP="00F83DA4">
            <w:pPr>
              <w:jc w:val="both"/>
              <w:rPr>
                <w:rFonts w:ascii="Arial" w:hAnsi="Arial" w:cs="Arial"/>
              </w:rPr>
            </w:pPr>
            <w:r w:rsidRPr="00F83DA4">
              <w:rPr>
                <w:rFonts w:ascii="Arial" w:hAnsi="Arial" w:cs="Arial"/>
              </w:rPr>
              <w:t>Nano-specific annexes</w:t>
            </w:r>
          </w:p>
        </w:tc>
        <w:tc>
          <w:tcPr>
            <w:tcW w:w="1497" w:type="pct"/>
            <w:hideMark/>
          </w:tcPr>
          <w:p w14:paraId="2307EE43" w14:textId="77777777" w:rsidR="00F83DA4" w:rsidRPr="00F83DA4" w:rsidRDefault="00F83DA4" w:rsidP="00F83DA4">
            <w:pPr>
              <w:jc w:val="both"/>
              <w:rPr>
                <w:rFonts w:ascii="Arial" w:hAnsi="Arial" w:cs="Arial"/>
              </w:rPr>
            </w:pPr>
            <w:r w:rsidRPr="00F83DA4">
              <w:rPr>
                <w:rFonts w:ascii="Arial" w:hAnsi="Arial" w:cs="Arial"/>
              </w:rPr>
              <w:t>Physicochemical characterization, fate, hazard</w:t>
            </w:r>
          </w:p>
        </w:tc>
        <w:tc>
          <w:tcPr>
            <w:tcW w:w="648" w:type="pct"/>
            <w:hideMark/>
          </w:tcPr>
          <w:p w14:paraId="024C3B9D" w14:textId="77777777" w:rsidR="00F83DA4" w:rsidRPr="00F83DA4" w:rsidRDefault="00F83DA4" w:rsidP="00F83DA4">
            <w:pPr>
              <w:jc w:val="both"/>
              <w:rPr>
                <w:rFonts w:ascii="Arial" w:hAnsi="Arial" w:cs="Arial"/>
              </w:rPr>
            </w:pPr>
            <w:r w:rsidRPr="00F83DA4">
              <w:rPr>
                <w:rFonts w:ascii="Arial" w:hAnsi="Arial" w:cs="Arial"/>
              </w:rPr>
              <w:t>4-6 years</w:t>
            </w:r>
          </w:p>
        </w:tc>
        <w:tc>
          <w:tcPr>
            <w:tcW w:w="508" w:type="pct"/>
            <w:hideMark/>
          </w:tcPr>
          <w:p w14:paraId="41979D26" w14:textId="77777777" w:rsidR="00F83DA4" w:rsidRPr="00F83DA4" w:rsidRDefault="00F83DA4" w:rsidP="00F83DA4">
            <w:pPr>
              <w:jc w:val="both"/>
              <w:rPr>
                <w:rFonts w:ascii="Arial" w:hAnsi="Arial" w:cs="Arial"/>
              </w:rPr>
            </w:pPr>
            <w:r w:rsidRPr="00F83DA4">
              <w:rPr>
                <w:rFonts w:ascii="Arial" w:hAnsi="Arial" w:cs="Arial"/>
              </w:rPr>
              <w:t>EC, 2018</w:t>
            </w:r>
          </w:p>
        </w:tc>
      </w:tr>
      <w:tr w:rsidR="00F83DA4" w:rsidRPr="00F83DA4" w14:paraId="1F667D7F" w14:textId="77777777" w:rsidTr="00F83DA4">
        <w:tc>
          <w:tcPr>
            <w:tcW w:w="450" w:type="pct"/>
            <w:hideMark/>
          </w:tcPr>
          <w:p w14:paraId="426932C6" w14:textId="77777777" w:rsidR="00F83DA4" w:rsidRPr="00F83DA4" w:rsidRDefault="00F83DA4" w:rsidP="00F83DA4">
            <w:pPr>
              <w:jc w:val="both"/>
              <w:rPr>
                <w:rFonts w:ascii="Arial" w:hAnsi="Arial" w:cs="Arial"/>
              </w:rPr>
            </w:pPr>
            <w:r w:rsidRPr="00F83DA4">
              <w:rPr>
                <w:rFonts w:ascii="Arial" w:hAnsi="Arial" w:cs="Arial"/>
              </w:rPr>
              <w:t>China (MEE)</w:t>
            </w:r>
          </w:p>
        </w:tc>
        <w:tc>
          <w:tcPr>
            <w:tcW w:w="875" w:type="pct"/>
            <w:hideMark/>
          </w:tcPr>
          <w:p w14:paraId="58CDAA13" w14:textId="77777777" w:rsidR="00F83DA4" w:rsidRPr="00F83DA4" w:rsidRDefault="00F83DA4" w:rsidP="00F83DA4">
            <w:pPr>
              <w:jc w:val="both"/>
              <w:rPr>
                <w:rFonts w:ascii="Arial" w:hAnsi="Arial" w:cs="Arial"/>
              </w:rPr>
            </w:pPr>
            <w:r w:rsidRPr="00F83DA4">
              <w:rPr>
                <w:rFonts w:ascii="Arial" w:hAnsi="Arial" w:cs="Arial"/>
              </w:rPr>
              <w:t>Pesticide Regulation</w:t>
            </w:r>
          </w:p>
        </w:tc>
        <w:tc>
          <w:tcPr>
            <w:tcW w:w="1023" w:type="pct"/>
            <w:hideMark/>
          </w:tcPr>
          <w:p w14:paraId="65027411" w14:textId="77777777" w:rsidR="00F83DA4" w:rsidRPr="00F83DA4" w:rsidRDefault="00F83DA4" w:rsidP="00F83DA4">
            <w:pPr>
              <w:jc w:val="both"/>
              <w:rPr>
                <w:rFonts w:ascii="Arial" w:hAnsi="Arial" w:cs="Arial"/>
              </w:rPr>
            </w:pPr>
            <w:r w:rsidRPr="00F83DA4">
              <w:rPr>
                <w:rFonts w:ascii="Arial" w:hAnsi="Arial" w:cs="Arial"/>
              </w:rPr>
              <w:t>Emerging guidelines</w:t>
            </w:r>
          </w:p>
        </w:tc>
        <w:tc>
          <w:tcPr>
            <w:tcW w:w="1497" w:type="pct"/>
            <w:hideMark/>
          </w:tcPr>
          <w:p w14:paraId="2A2B8FDC" w14:textId="77777777" w:rsidR="00F83DA4" w:rsidRPr="00F83DA4" w:rsidRDefault="00F83DA4" w:rsidP="00F83DA4">
            <w:pPr>
              <w:jc w:val="both"/>
              <w:rPr>
                <w:rFonts w:ascii="Arial" w:hAnsi="Arial" w:cs="Arial"/>
              </w:rPr>
            </w:pPr>
            <w:r w:rsidRPr="00F83DA4">
              <w:rPr>
                <w:rFonts w:ascii="Arial" w:hAnsi="Arial" w:cs="Arial"/>
              </w:rPr>
              <w:t>Standard pesticide testing + NP characterization</w:t>
            </w:r>
          </w:p>
        </w:tc>
        <w:tc>
          <w:tcPr>
            <w:tcW w:w="648" w:type="pct"/>
            <w:hideMark/>
          </w:tcPr>
          <w:p w14:paraId="643AC309" w14:textId="77777777" w:rsidR="00F83DA4" w:rsidRPr="00F83DA4" w:rsidRDefault="00F83DA4" w:rsidP="00F83DA4">
            <w:pPr>
              <w:jc w:val="both"/>
              <w:rPr>
                <w:rFonts w:ascii="Arial" w:hAnsi="Arial" w:cs="Arial"/>
              </w:rPr>
            </w:pPr>
            <w:r w:rsidRPr="00F83DA4">
              <w:rPr>
                <w:rFonts w:ascii="Arial" w:hAnsi="Arial" w:cs="Arial"/>
              </w:rPr>
              <w:t>3-4 years</w:t>
            </w:r>
          </w:p>
        </w:tc>
        <w:tc>
          <w:tcPr>
            <w:tcW w:w="508" w:type="pct"/>
            <w:hideMark/>
          </w:tcPr>
          <w:p w14:paraId="3D59217D" w14:textId="77777777" w:rsidR="00F83DA4" w:rsidRPr="00F83DA4" w:rsidRDefault="00F83DA4" w:rsidP="00F83DA4">
            <w:pPr>
              <w:jc w:val="both"/>
              <w:rPr>
                <w:rFonts w:ascii="Arial" w:hAnsi="Arial" w:cs="Arial"/>
              </w:rPr>
            </w:pPr>
            <w:r w:rsidRPr="00F83DA4">
              <w:rPr>
                <w:rFonts w:ascii="Arial" w:hAnsi="Arial" w:cs="Arial"/>
              </w:rPr>
              <w:t>MEE, 2020</w:t>
            </w:r>
          </w:p>
        </w:tc>
      </w:tr>
      <w:tr w:rsidR="00F83DA4" w:rsidRPr="00F83DA4" w14:paraId="3C85D0F5" w14:textId="77777777" w:rsidTr="00F83DA4">
        <w:tc>
          <w:tcPr>
            <w:tcW w:w="450" w:type="pct"/>
            <w:hideMark/>
          </w:tcPr>
          <w:p w14:paraId="39E936BF" w14:textId="77777777" w:rsidR="00F83DA4" w:rsidRPr="00F83DA4" w:rsidRDefault="00F83DA4" w:rsidP="00F83DA4">
            <w:pPr>
              <w:jc w:val="both"/>
              <w:rPr>
                <w:rFonts w:ascii="Arial" w:hAnsi="Arial" w:cs="Arial"/>
              </w:rPr>
            </w:pPr>
            <w:r w:rsidRPr="00F83DA4">
              <w:rPr>
                <w:rFonts w:ascii="Arial" w:hAnsi="Arial" w:cs="Arial"/>
              </w:rPr>
              <w:t>India (CIB&amp;RC)</w:t>
            </w:r>
          </w:p>
        </w:tc>
        <w:tc>
          <w:tcPr>
            <w:tcW w:w="875" w:type="pct"/>
            <w:hideMark/>
          </w:tcPr>
          <w:p w14:paraId="42E60D69" w14:textId="77777777" w:rsidR="00F83DA4" w:rsidRPr="00F83DA4" w:rsidRDefault="00F83DA4" w:rsidP="00F83DA4">
            <w:pPr>
              <w:jc w:val="both"/>
              <w:rPr>
                <w:rFonts w:ascii="Arial" w:hAnsi="Arial" w:cs="Arial"/>
              </w:rPr>
            </w:pPr>
            <w:r w:rsidRPr="00F83DA4">
              <w:rPr>
                <w:rFonts w:ascii="Arial" w:hAnsi="Arial" w:cs="Arial"/>
              </w:rPr>
              <w:t>Insecticides Act</w:t>
            </w:r>
          </w:p>
        </w:tc>
        <w:tc>
          <w:tcPr>
            <w:tcW w:w="1023" w:type="pct"/>
            <w:hideMark/>
          </w:tcPr>
          <w:p w14:paraId="0E9D4EB0" w14:textId="77777777" w:rsidR="00F83DA4" w:rsidRPr="00F83DA4" w:rsidRDefault="00F83DA4" w:rsidP="00F83DA4">
            <w:pPr>
              <w:jc w:val="both"/>
              <w:rPr>
                <w:rFonts w:ascii="Arial" w:hAnsi="Arial" w:cs="Arial"/>
              </w:rPr>
            </w:pPr>
            <w:r w:rsidRPr="00F83DA4">
              <w:rPr>
                <w:rFonts w:ascii="Arial" w:hAnsi="Arial" w:cs="Arial"/>
              </w:rPr>
              <w:t>No nano-specific rules</w:t>
            </w:r>
          </w:p>
        </w:tc>
        <w:tc>
          <w:tcPr>
            <w:tcW w:w="1497" w:type="pct"/>
            <w:hideMark/>
          </w:tcPr>
          <w:p w14:paraId="43E06BBC" w14:textId="77777777" w:rsidR="00F83DA4" w:rsidRPr="00F83DA4" w:rsidRDefault="00F83DA4" w:rsidP="00F83DA4">
            <w:pPr>
              <w:jc w:val="both"/>
              <w:rPr>
                <w:rFonts w:ascii="Arial" w:hAnsi="Arial" w:cs="Arial"/>
              </w:rPr>
            </w:pPr>
            <w:r w:rsidRPr="00F83DA4">
              <w:rPr>
                <w:rFonts w:ascii="Arial" w:hAnsi="Arial" w:cs="Arial"/>
              </w:rPr>
              <w:t>Standard pesticide protocols</w:t>
            </w:r>
          </w:p>
        </w:tc>
        <w:tc>
          <w:tcPr>
            <w:tcW w:w="648" w:type="pct"/>
            <w:hideMark/>
          </w:tcPr>
          <w:p w14:paraId="1391F52C" w14:textId="77777777" w:rsidR="00F83DA4" w:rsidRPr="00F83DA4" w:rsidRDefault="00F83DA4" w:rsidP="00F83DA4">
            <w:pPr>
              <w:jc w:val="both"/>
              <w:rPr>
                <w:rFonts w:ascii="Arial" w:hAnsi="Arial" w:cs="Arial"/>
              </w:rPr>
            </w:pPr>
            <w:r w:rsidRPr="00F83DA4">
              <w:rPr>
                <w:rFonts w:ascii="Arial" w:hAnsi="Arial" w:cs="Arial"/>
              </w:rPr>
              <w:t>2-4 years</w:t>
            </w:r>
          </w:p>
        </w:tc>
        <w:tc>
          <w:tcPr>
            <w:tcW w:w="508" w:type="pct"/>
            <w:hideMark/>
          </w:tcPr>
          <w:p w14:paraId="617765B6" w14:textId="77777777" w:rsidR="00F83DA4" w:rsidRPr="00F83DA4" w:rsidRDefault="00F83DA4" w:rsidP="00F83DA4">
            <w:pPr>
              <w:jc w:val="both"/>
              <w:rPr>
                <w:rFonts w:ascii="Arial" w:hAnsi="Arial" w:cs="Arial"/>
              </w:rPr>
            </w:pPr>
            <w:r w:rsidRPr="00F83DA4">
              <w:rPr>
                <w:rFonts w:ascii="Arial" w:hAnsi="Arial" w:cs="Arial"/>
              </w:rPr>
              <w:t>CIB&amp;RC, 2019</w:t>
            </w:r>
          </w:p>
        </w:tc>
      </w:tr>
      <w:tr w:rsidR="00F83DA4" w:rsidRPr="00F83DA4" w14:paraId="5A89A3BE" w14:textId="77777777" w:rsidTr="00F83DA4">
        <w:tc>
          <w:tcPr>
            <w:tcW w:w="450" w:type="pct"/>
            <w:hideMark/>
          </w:tcPr>
          <w:p w14:paraId="74AE18AC" w14:textId="77777777" w:rsidR="00F83DA4" w:rsidRPr="00F83DA4" w:rsidRDefault="00F83DA4" w:rsidP="00F83DA4">
            <w:pPr>
              <w:jc w:val="both"/>
              <w:rPr>
                <w:rFonts w:ascii="Arial" w:hAnsi="Arial" w:cs="Arial"/>
              </w:rPr>
            </w:pPr>
            <w:r w:rsidRPr="00F83DA4">
              <w:rPr>
                <w:rFonts w:ascii="Arial" w:hAnsi="Arial" w:cs="Arial"/>
              </w:rPr>
              <w:t>Brazil (ANVISA)</w:t>
            </w:r>
          </w:p>
        </w:tc>
        <w:tc>
          <w:tcPr>
            <w:tcW w:w="875" w:type="pct"/>
            <w:hideMark/>
          </w:tcPr>
          <w:p w14:paraId="55F57E3C" w14:textId="77777777" w:rsidR="00F83DA4" w:rsidRPr="00F83DA4" w:rsidRDefault="00F83DA4" w:rsidP="00F83DA4">
            <w:pPr>
              <w:jc w:val="both"/>
              <w:rPr>
                <w:rFonts w:ascii="Arial" w:hAnsi="Arial" w:cs="Arial"/>
              </w:rPr>
            </w:pPr>
            <w:r w:rsidRPr="00F83DA4">
              <w:rPr>
                <w:rFonts w:ascii="Arial" w:hAnsi="Arial" w:cs="Arial"/>
              </w:rPr>
              <w:t>Pesticide Law</w:t>
            </w:r>
          </w:p>
        </w:tc>
        <w:tc>
          <w:tcPr>
            <w:tcW w:w="1023" w:type="pct"/>
            <w:hideMark/>
          </w:tcPr>
          <w:p w14:paraId="45F8B876" w14:textId="77777777" w:rsidR="00F83DA4" w:rsidRPr="00F83DA4" w:rsidRDefault="00F83DA4" w:rsidP="00F83DA4">
            <w:pPr>
              <w:jc w:val="both"/>
              <w:rPr>
                <w:rFonts w:ascii="Arial" w:hAnsi="Arial" w:cs="Arial"/>
              </w:rPr>
            </w:pPr>
            <w:r w:rsidRPr="00F83DA4">
              <w:rPr>
                <w:rFonts w:ascii="Arial" w:hAnsi="Arial" w:cs="Arial"/>
              </w:rPr>
              <w:t>Emerging framework</w:t>
            </w:r>
          </w:p>
        </w:tc>
        <w:tc>
          <w:tcPr>
            <w:tcW w:w="1497" w:type="pct"/>
            <w:hideMark/>
          </w:tcPr>
          <w:p w14:paraId="71C95996" w14:textId="77777777" w:rsidR="00F83DA4" w:rsidRPr="00F83DA4" w:rsidRDefault="00F83DA4" w:rsidP="00F83DA4">
            <w:pPr>
              <w:jc w:val="both"/>
              <w:rPr>
                <w:rFonts w:ascii="Arial" w:hAnsi="Arial" w:cs="Arial"/>
              </w:rPr>
            </w:pPr>
            <w:r w:rsidRPr="00F83DA4">
              <w:rPr>
                <w:rFonts w:ascii="Arial" w:hAnsi="Arial" w:cs="Arial"/>
              </w:rPr>
              <w:t>Standard testing, case-by-case nano review</w:t>
            </w:r>
          </w:p>
        </w:tc>
        <w:tc>
          <w:tcPr>
            <w:tcW w:w="648" w:type="pct"/>
            <w:hideMark/>
          </w:tcPr>
          <w:p w14:paraId="547EBDB6" w14:textId="77777777" w:rsidR="00F83DA4" w:rsidRPr="00F83DA4" w:rsidRDefault="00F83DA4" w:rsidP="00F83DA4">
            <w:pPr>
              <w:jc w:val="both"/>
              <w:rPr>
                <w:rFonts w:ascii="Arial" w:hAnsi="Arial" w:cs="Arial"/>
              </w:rPr>
            </w:pPr>
            <w:r w:rsidRPr="00F83DA4">
              <w:rPr>
                <w:rFonts w:ascii="Arial" w:hAnsi="Arial" w:cs="Arial"/>
              </w:rPr>
              <w:t>3-5 years</w:t>
            </w:r>
          </w:p>
        </w:tc>
        <w:tc>
          <w:tcPr>
            <w:tcW w:w="508" w:type="pct"/>
            <w:hideMark/>
          </w:tcPr>
          <w:p w14:paraId="1D40D074" w14:textId="77777777" w:rsidR="00F83DA4" w:rsidRPr="00F83DA4" w:rsidRDefault="00F83DA4" w:rsidP="00F83DA4">
            <w:pPr>
              <w:jc w:val="both"/>
              <w:rPr>
                <w:rFonts w:ascii="Arial" w:hAnsi="Arial" w:cs="Arial"/>
              </w:rPr>
            </w:pPr>
            <w:r w:rsidRPr="00F83DA4">
              <w:rPr>
                <w:rFonts w:ascii="Arial" w:hAnsi="Arial" w:cs="Arial"/>
              </w:rPr>
              <w:t>ANVISA, 2021</w:t>
            </w:r>
          </w:p>
        </w:tc>
      </w:tr>
      <w:tr w:rsidR="00F83DA4" w:rsidRPr="00F83DA4" w14:paraId="0D1AF27F" w14:textId="77777777" w:rsidTr="00F83DA4">
        <w:tc>
          <w:tcPr>
            <w:tcW w:w="450" w:type="pct"/>
            <w:hideMark/>
          </w:tcPr>
          <w:p w14:paraId="6D5B934D" w14:textId="77777777" w:rsidR="00F83DA4" w:rsidRPr="00F83DA4" w:rsidRDefault="00F83DA4" w:rsidP="00F83DA4">
            <w:pPr>
              <w:jc w:val="both"/>
              <w:rPr>
                <w:rFonts w:ascii="Arial" w:hAnsi="Arial" w:cs="Arial"/>
              </w:rPr>
            </w:pPr>
            <w:r w:rsidRPr="00F83DA4">
              <w:rPr>
                <w:rFonts w:ascii="Arial" w:hAnsi="Arial" w:cs="Arial"/>
              </w:rPr>
              <w:t>Japan (MAFF)</w:t>
            </w:r>
          </w:p>
        </w:tc>
        <w:tc>
          <w:tcPr>
            <w:tcW w:w="875" w:type="pct"/>
            <w:hideMark/>
          </w:tcPr>
          <w:p w14:paraId="6D2EE4A9" w14:textId="77777777" w:rsidR="00F83DA4" w:rsidRPr="00F83DA4" w:rsidRDefault="00F83DA4" w:rsidP="00F83DA4">
            <w:pPr>
              <w:jc w:val="both"/>
              <w:rPr>
                <w:rFonts w:ascii="Arial" w:hAnsi="Arial" w:cs="Arial"/>
              </w:rPr>
            </w:pPr>
            <w:r w:rsidRPr="00F83DA4">
              <w:rPr>
                <w:rFonts w:ascii="Arial" w:hAnsi="Arial" w:cs="Arial"/>
              </w:rPr>
              <w:t>Agricultural Chemicals Law</w:t>
            </w:r>
          </w:p>
        </w:tc>
        <w:tc>
          <w:tcPr>
            <w:tcW w:w="1023" w:type="pct"/>
            <w:hideMark/>
          </w:tcPr>
          <w:p w14:paraId="3B07129E" w14:textId="77777777" w:rsidR="00F83DA4" w:rsidRPr="00F83DA4" w:rsidRDefault="00F83DA4" w:rsidP="00F83DA4">
            <w:pPr>
              <w:jc w:val="both"/>
              <w:rPr>
                <w:rFonts w:ascii="Arial" w:hAnsi="Arial" w:cs="Arial"/>
              </w:rPr>
            </w:pPr>
            <w:r w:rsidRPr="00F83DA4">
              <w:rPr>
                <w:rFonts w:ascii="Arial" w:hAnsi="Arial" w:cs="Arial"/>
              </w:rPr>
              <w:t>Guidance under development</w:t>
            </w:r>
          </w:p>
        </w:tc>
        <w:tc>
          <w:tcPr>
            <w:tcW w:w="1497" w:type="pct"/>
            <w:hideMark/>
          </w:tcPr>
          <w:p w14:paraId="19620E8B" w14:textId="77777777" w:rsidR="00F83DA4" w:rsidRPr="00F83DA4" w:rsidRDefault="00F83DA4" w:rsidP="00F83DA4">
            <w:pPr>
              <w:jc w:val="both"/>
              <w:rPr>
                <w:rFonts w:ascii="Arial" w:hAnsi="Arial" w:cs="Arial"/>
              </w:rPr>
            </w:pPr>
            <w:r w:rsidRPr="00F83DA4">
              <w:rPr>
                <w:rFonts w:ascii="Arial" w:hAnsi="Arial" w:cs="Arial"/>
              </w:rPr>
              <w:t>Standard + nano characterization</w:t>
            </w:r>
          </w:p>
        </w:tc>
        <w:tc>
          <w:tcPr>
            <w:tcW w:w="648" w:type="pct"/>
            <w:hideMark/>
          </w:tcPr>
          <w:p w14:paraId="61D4A77C" w14:textId="77777777" w:rsidR="00F83DA4" w:rsidRPr="00F83DA4" w:rsidRDefault="00F83DA4" w:rsidP="00F83DA4">
            <w:pPr>
              <w:jc w:val="both"/>
              <w:rPr>
                <w:rFonts w:ascii="Arial" w:hAnsi="Arial" w:cs="Arial"/>
              </w:rPr>
            </w:pPr>
            <w:r w:rsidRPr="00F83DA4">
              <w:rPr>
                <w:rFonts w:ascii="Arial" w:hAnsi="Arial" w:cs="Arial"/>
              </w:rPr>
              <w:t>3-4 years</w:t>
            </w:r>
          </w:p>
        </w:tc>
        <w:tc>
          <w:tcPr>
            <w:tcW w:w="508" w:type="pct"/>
            <w:hideMark/>
          </w:tcPr>
          <w:p w14:paraId="362A3AB5" w14:textId="77777777" w:rsidR="00F83DA4" w:rsidRPr="00F83DA4" w:rsidRDefault="00F83DA4" w:rsidP="00F83DA4">
            <w:pPr>
              <w:jc w:val="both"/>
              <w:rPr>
                <w:rFonts w:ascii="Arial" w:hAnsi="Arial" w:cs="Arial"/>
              </w:rPr>
            </w:pPr>
            <w:r w:rsidRPr="00F83DA4">
              <w:rPr>
                <w:rFonts w:ascii="Arial" w:hAnsi="Arial" w:cs="Arial"/>
              </w:rPr>
              <w:t>MAFF, 2019</w:t>
            </w:r>
          </w:p>
        </w:tc>
      </w:tr>
      <w:tr w:rsidR="00F83DA4" w:rsidRPr="00F83DA4" w14:paraId="3038BFA3" w14:textId="77777777" w:rsidTr="00F83DA4">
        <w:tc>
          <w:tcPr>
            <w:tcW w:w="450" w:type="pct"/>
            <w:hideMark/>
          </w:tcPr>
          <w:p w14:paraId="5DD5A337" w14:textId="77777777" w:rsidR="00F83DA4" w:rsidRPr="00F83DA4" w:rsidRDefault="00F83DA4" w:rsidP="00F83DA4">
            <w:pPr>
              <w:jc w:val="both"/>
              <w:rPr>
                <w:rFonts w:ascii="Arial" w:hAnsi="Arial" w:cs="Arial"/>
              </w:rPr>
            </w:pPr>
            <w:r w:rsidRPr="00F83DA4">
              <w:rPr>
                <w:rFonts w:ascii="Arial" w:hAnsi="Arial" w:cs="Arial"/>
              </w:rPr>
              <w:t>Australia (APVMA)</w:t>
            </w:r>
          </w:p>
        </w:tc>
        <w:tc>
          <w:tcPr>
            <w:tcW w:w="875" w:type="pct"/>
            <w:hideMark/>
          </w:tcPr>
          <w:p w14:paraId="67E34DD8" w14:textId="77777777" w:rsidR="00F83DA4" w:rsidRPr="00F83DA4" w:rsidRDefault="00F83DA4" w:rsidP="00F83DA4">
            <w:pPr>
              <w:jc w:val="both"/>
              <w:rPr>
                <w:rFonts w:ascii="Arial" w:hAnsi="Arial" w:cs="Arial"/>
              </w:rPr>
            </w:pPr>
            <w:proofErr w:type="spellStart"/>
            <w:r w:rsidRPr="00F83DA4">
              <w:rPr>
                <w:rFonts w:ascii="Arial" w:hAnsi="Arial" w:cs="Arial"/>
              </w:rPr>
              <w:t>AgVet</w:t>
            </w:r>
            <w:proofErr w:type="spellEnd"/>
            <w:r w:rsidRPr="00F83DA4">
              <w:rPr>
                <w:rFonts w:ascii="Arial" w:hAnsi="Arial" w:cs="Arial"/>
              </w:rPr>
              <w:t xml:space="preserve"> Chemicals Code</w:t>
            </w:r>
          </w:p>
        </w:tc>
        <w:tc>
          <w:tcPr>
            <w:tcW w:w="1023" w:type="pct"/>
            <w:hideMark/>
          </w:tcPr>
          <w:p w14:paraId="162E41A5" w14:textId="77777777" w:rsidR="00F83DA4" w:rsidRPr="00F83DA4" w:rsidRDefault="00F83DA4" w:rsidP="00F83DA4">
            <w:pPr>
              <w:jc w:val="both"/>
              <w:rPr>
                <w:rFonts w:ascii="Arial" w:hAnsi="Arial" w:cs="Arial"/>
              </w:rPr>
            </w:pPr>
            <w:r w:rsidRPr="00F83DA4">
              <w:rPr>
                <w:rFonts w:ascii="Arial" w:hAnsi="Arial" w:cs="Arial"/>
              </w:rPr>
              <w:t>Nano guidance available</w:t>
            </w:r>
          </w:p>
        </w:tc>
        <w:tc>
          <w:tcPr>
            <w:tcW w:w="1497" w:type="pct"/>
            <w:hideMark/>
          </w:tcPr>
          <w:p w14:paraId="0799192F" w14:textId="77777777" w:rsidR="00F83DA4" w:rsidRPr="00F83DA4" w:rsidRDefault="00F83DA4" w:rsidP="00F83DA4">
            <w:pPr>
              <w:jc w:val="both"/>
              <w:rPr>
                <w:rFonts w:ascii="Arial" w:hAnsi="Arial" w:cs="Arial"/>
              </w:rPr>
            </w:pPr>
            <w:r w:rsidRPr="00F83DA4">
              <w:rPr>
                <w:rFonts w:ascii="Arial" w:hAnsi="Arial" w:cs="Arial"/>
              </w:rPr>
              <w:t>Standard + nano-specific data</w:t>
            </w:r>
          </w:p>
        </w:tc>
        <w:tc>
          <w:tcPr>
            <w:tcW w:w="648" w:type="pct"/>
            <w:hideMark/>
          </w:tcPr>
          <w:p w14:paraId="1767C312" w14:textId="77777777" w:rsidR="00F83DA4" w:rsidRPr="00F83DA4" w:rsidRDefault="00F83DA4" w:rsidP="00F83DA4">
            <w:pPr>
              <w:jc w:val="both"/>
              <w:rPr>
                <w:rFonts w:ascii="Arial" w:hAnsi="Arial" w:cs="Arial"/>
              </w:rPr>
            </w:pPr>
            <w:r w:rsidRPr="00F83DA4">
              <w:rPr>
                <w:rFonts w:ascii="Arial" w:hAnsi="Arial" w:cs="Arial"/>
              </w:rPr>
              <w:t>2-4 years</w:t>
            </w:r>
          </w:p>
        </w:tc>
        <w:tc>
          <w:tcPr>
            <w:tcW w:w="508" w:type="pct"/>
            <w:hideMark/>
          </w:tcPr>
          <w:p w14:paraId="02B3365A" w14:textId="77777777" w:rsidR="00F83DA4" w:rsidRPr="00F83DA4" w:rsidRDefault="00F83DA4" w:rsidP="00F83DA4">
            <w:pPr>
              <w:jc w:val="both"/>
              <w:rPr>
                <w:rFonts w:ascii="Arial" w:hAnsi="Arial" w:cs="Arial"/>
              </w:rPr>
            </w:pPr>
            <w:r w:rsidRPr="00F83DA4">
              <w:rPr>
                <w:rFonts w:ascii="Arial" w:hAnsi="Arial" w:cs="Arial"/>
              </w:rPr>
              <w:t>APVMA, 2020</w:t>
            </w:r>
          </w:p>
        </w:tc>
      </w:tr>
      <w:tr w:rsidR="00F83DA4" w:rsidRPr="00F83DA4" w14:paraId="68F9DC35" w14:textId="77777777" w:rsidTr="00F83DA4">
        <w:tc>
          <w:tcPr>
            <w:tcW w:w="450" w:type="pct"/>
            <w:hideMark/>
          </w:tcPr>
          <w:p w14:paraId="0C1C98C0" w14:textId="77777777" w:rsidR="00F83DA4" w:rsidRPr="00F83DA4" w:rsidRDefault="00F83DA4" w:rsidP="00F83DA4">
            <w:pPr>
              <w:jc w:val="both"/>
              <w:rPr>
                <w:rFonts w:ascii="Arial" w:hAnsi="Arial" w:cs="Arial"/>
              </w:rPr>
            </w:pPr>
            <w:r w:rsidRPr="00F83DA4">
              <w:rPr>
                <w:rFonts w:ascii="Arial" w:hAnsi="Arial" w:cs="Arial"/>
              </w:rPr>
              <w:t>Canada (PMRA)</w:t>
            </w:r>
          </w:p>
        </w:tc>
        <w:tc>
          <w:tcPr>
            <w:tcW w:w="875" w:type="pct"/>
            <w:hideMark/>
          </w:tcPr>
          <w:p w14:paraId="401CC1A3" w14:textId="77777777" w:rsidR="00F83DA4" w:rsidRPr="00F83DA4" w:rsidRDefault="00F83DA4" w:rsidP="00F83DA4">
            <w:pPr>
              <w:jc w:val="both"/>
              <w:rPr>
                <w:rFonts w:ascii="Arial" w:hAnsi="Arial" w:cs="Arial"/>
              </w:rPr>
            </w:pPr>
            <w:r w:rsidRPr="00F83DA4">
              <w:rPr>
                <w:rFonts w:ascii="Arial" w:hAnsi="Arial" w:cs="Arial"/>
              </w:rPr>
              <w:t>PCPA</w:t>
            </w:r>
          </w:p>
        </w:tc>
        <w:tc>
          <w:tcPr>
            <w:tcW w:w="1023" w:type="pct"/>
            <w:hideMark/>
          </w:tcPr>
          <w:p w14:paraId="2A3D536C" w14:textId="77777777" w:rsidR="00F83DA4" w:rsidRPr="00F83DA4" w:rsidRDefault="00F83DA4" w:rsidP="00F83DA4">
            <w:pPr>
              <w:jc w:val="both"/>
              <w:rPr>
                <w:rFonts w:ascii="Arial" w:hAnsi="Arial" w:cs="Arial"/>
              </w:rPr>
            </w:pPr>
            <w:r w:rsidRPr="00F83DA4">
              <w:rPr>
                <w:rFonts w:ascii="Arial" w:hAnsi="Arial" w:cs="Arial"/>
              </w:rPr>
              <w:t>Case-by-case nano assessment</w:t>
            </w:r>
          </w:p>
        </w:tc>
        <w:tc>
          <w:tcPr>
            <w:tcW w:w="1497" w:type="pct"/>
            <w:hideMark/>
          </w:tcPr>
          <w:p w14:paraId="0DB61B79" w14:textId="77777777" w:rsidR="00F83DA4" w:rsidRPr="00F83DA4" w:rsidRDefault="00F83DA4" w:rsidP="00F83DA4">
            <w:pPr>
              <w:jc w:val="both"/>
              <w:rPr>
                <w:rFonts w:ascii="Arial" w:hAnsi="Arial" w:cs="Arial"/>
              </w:rPr>
            </w:pPr>
            <w:r w:rsidRPr="00F83DA4">
              <w:rPr>
                <w:rFonts w:ascii="Arial" w:hAnsi="Arial" w:cs="Arial"/>
              </w:rPr>
              <w:t>Standard + nano characterization</w:t>
            </w:r>
          </w:p>
        </w:tc>
        <w:tc>
          <w:tcPr>
            <w:tcW w:w="648" w:type="pct"/>
            <w:hideMark/>
          </w:tcPr>
          <w:p w14:paraId="1E489E24" w14:textId="77777777" w:rsidR="00F83DA4" w:rsidRPr="00F83DA4" w:rsidRDefault="00F83DA4" w:rsidP="00F83DA4">
            <w:pPr>
              <w:jc w:val="both"/>
              <w:rPr>
                <w:rFonts w:ascii="Arial" w:hAnsi="Arial" w:cs="Arial"/>
              </w:rPr>
            </w:pPr>
            <w:r w:rsidRPr="00F83DA4">
              <w:rPr>
                <w:rFonts w:ascii="Arial" w:hAnsi="Arial" w:cs="Arial"/>
              </w:rPr>
              <w:t>3-5 years</w:t>
            </w:r>
          </w:p>
        </w:tc>
        <w:tc>
          <w:tcPr>
            <w:tcW w:w="508" w:type="pct"/>
            <w:hideMark/>
          </w:tcPr>
          <w:p w14:paraId="62E792DC" w14:textId="77777777" w:rsidR="00F83DA4" w:rsidRPr="00F83DA4" w:rsidRDefault="00F83DA4" w:rsidP="00F83DA4">
            <w:pPr>
              <w:jc w:val="both"/>
              <w:rPr>
                <w:rFonts w:ascii="Arial" w:hAnsi="Arial" w:cs="Arial"/>
              </w:rPr>
            </w:pPr>
            <w:r w:rsidRPr="00F83DA4">
              <w:rPr>
                <w:rFonts w:ascii="Arial" w:hAnsi="Arial" w:cs="Arial"/>
              </w:rPr>
              <w:t>PMRA, 2018</w:t>
            </w:r>
          </w:p>
        </w:tc>
      </w:tr>
    </w:tbl>
    <w:p w14:paraId="5481D8BC" w14:textId="77777777" w:rsidR="00F83DA4" w:rsidRPr="00F83DA4" w:rsidRDefault="00F83DA4" w:rsidP="00F83DA4">
      <w:pPr>
        <w:jc w:val="both"/>
        <w:rPr>
          <w:rFonts w:ascii="Arial" w:hAnsi="Arial" w:cs="Arial"/>
          <w:i/>
          <w:iCs/>
        </w:rPr>
      </w:pPr>
      <w:r w:rsidRPr="00F83DA4">
        <w:rPr>
          <w:rFonts w:ascii="Arial" w:hAnsi="Arial" w:cs="Arial"/>
          <w:b/>
          <w:bCs/>
          <w:i/>
          <w:iCs/>
        </w:rPr>
        <w:t>Notes:</w:t>
      </w:r>
      <w:r w:rsidRPr="00F83DA4">
        <w:rPr>
          <w:rFonts w:ascii="Arial" w:hAnsi="Arial" w:cs="Arial"/>
          <w:i/>
          <w:iCs/>
        </w:rPr>
        <w:t> FIFRA = Federal Insecticide, Fungicide, and Rodenticide Act; TSCA = Toxic Substances Control Act; REACH = Registration, Evaluation, Authorization of Chemicals; BPR = Biocidal Products Regulation; Timelines are approximate from submission to approval.</w:t>
      </w:r>
    </w:p>
    <w:p w14:paraId="762B72D1" w14:textId="77777777" w:rsidR="00F83DA4" w:rsidRPr="00655A31" w:rsidRDefault="00F83DA4" w:rsidP="00C23E1D">
      <w:pPr>
        <w:jc w:val="both"/>
        <w:rPr>
          <w:rFonts w:ascii="Arial" w:hAnsi="Arial" w:cs="Arial"/>
        </w:rPr>
      </w:pPr>
    </w:p>
    <w:p w14:paraId="63FF3A6D" w14:textId="77777777" w:rsidR="00F83DA4" w:rsidRDefault="00F83DA4" w:rsidP="00FD073D">
      <w:pPr>
        <w:jc w:val="both"/>
        <w:rPr>
          <w:rFonts w:ascii="Arial" w:hAnsi="Arial" w:cs="Arial"/>
          <w:b/>
          <w:bCs/>
        </w:rPr>
      </w:pPr>
    </w:p>
    <w:p w14:paraId="0291A439" w14:textId="77777777" w:rsidR="00F83DA4" w:rsidRDefault="00F83DA4" w:rsidP="00FD073D">
      <w:pPr>
        <w:jc w:val="both"/>
        <w:rPr>
          <w:rFonts w:ascii="Arial" w:hAnsi="Arial" w:cs="Arial"/>
          <w:b/>
          <w:bCs/>
        </w:rPr>
      </w:pPr>
    </w:p>
    <w:p w14:paraId="21699292" w14:textId="51714C86" w:rsidR="00FD073D" w:rsidRPr="00FD073D" w:rsidRDefault="00FD073D" w:rsidP="00FD073D">
      <w:pPr>
        <w:jc w:val="both"/>
        <w:rPr>
          <w:rFonts w:ascii="Arial" w:hAnsi="Arial" w:cs="Arial"/>
          <w:b/>
          <w:bCs/>
        </w:rPr>
      </w:pPr>
      <w:r w:rsidRPr="00FD073D">
        <w:rPr>
          <w:rFonts w:ascii="Arial" w:hAnsi="Arial" w:cs="Arial"/>
          <w:b/>
          <w:bCs/>
        </w:rPr>
        <w:t xml:space="preserve">8. CONCLUSIONS </w:t>
      </w:r>
    </w:p>
    <w:p w14:paraId="6A28ADA6" w14:textId="77777777" w:rsidR="00FD073D" w:rsidRPr="00FD073D" w:rsidRDefault="00FD073D" w:rsidP="00FD073D">
      <w:pPr>
        <w:jc w:val="both"/>
        <w:rPr>
          <w:rFonts w:ascii="Arial" w:hAnsi="Arial" w:cs="Arial"/>
        </w:rPr>
      </w:pPr>
      <w:r w:rsidRPr="00FD073D">
        <w:rPr>
          <w:rFonts w:ascii="Arial" w:hAnsi="Arial" w:cs="Arial"/>
        </w:rPr>
        <w:t>Nanotechnology offers transformative solutions for sustainable rice pest and disease management, addressing critical limitations of conventional chemical control through controlled release, targeted delivery, reduced environmental impact, and species-specific gene silencing. Metal oxide nanoparticles demonstrate broad-spectrum antimicrobial activity through multiple synergistic mechanisms, achieving effective disease control at substantially reduced dosages. Nanoencapsulation of conventional pesticides and fungicides extends efficacy duration, reduces application frequency, and minimizes non-target exposure. RNA interference delivered via protective nanocarriers enables unprecedented species-specificity and resistance-proof pest management without genetic modification.</w:t>
      </w:r>
    </w:p>
    <w:p w14:paraId="359AA581" w14:textId="77777777" w:rsidR="00FD073D" w:rsidRPr="00FD073D" w:rsidRDefault="00FD073D" w:rsidP="00FD073D">
      <w:pPr>
        <w:jc w:val="both"/>
        <w:rPr>
          <w:rFonts w:ascii="Arial" w:hAnsi="Arial" w:cs="Arial"/>
        </w:rPr>
      </w:pPr>
      <w:r w:rsidRPr="00FD073D">
        <w:rPr>
          <w:rFonts w:ascii="Arial" w:hAnsi="Arial" w:cs="Arial"/>
        </w:rPr>
        <w:t xml:space="preserve">However, realizing the full potential of agricultural nanotechnology requires addressing critical knowledge gaps and implementation challenges. Comprehensive, long-term environmental fate and toxicology studies are essential to ensure ecological safety and inform evidence-based regulations. Mechanistic understanding of nanoparticle-biological interactions must advance to enable rational design of safer, more effective formulations. Analytical method development, regulatory framework harmonization, and production cost reduction are prerequisites for large-scale commercialization. Integration </w:t>
      </w:r>
      <w:r w:rsidRPr="00FD073D">
        <w:rPr>
          <w:rFonts w:ascii="Arial" w:hAnsi="Arial" w:cs="Arial"/>
        </w:rPr>
        <w:lastRenderedPageBreak/>
        <w:t>with existing IPM programs, farmer education initiatives, and equitable access mechanisms will determine whether nanotechnology benefits reach smallholder farmers most vulnerable to pest-related yield losses.</w:t>
      </w:r>
    </w:p>
    <w:p w14:paraId="08CC046F" w14:textId="77777777" w:rsidR="00FD073D" w:rsidRPr="00FD073D" w:rsidRDefault="00FD073D" w:rsidP="00FD073D">
      <w:pPr>
        <w:jc w:val="both"/>
        <w:rPr>
          <w:rFonts w:ascii="Arial" w:hAnsi="Arial" w:cs="Arial"/>
        </w:rPr>
      </w:pPr>
      <w:r w:rsidRPr="00FD073D">
        <w:rPr>
          <w:rFonts w:ascii="Arial" w:hAnsi="Arial" w:cs="Arial"/>
        </w:rPr>
        <w:t>The next decade will be critical for agricultural nanotechnology, as research advances transition from laboratory proof-of-concept to field validation and commercial deployment. Success will require coordinated efforts among researchers, regulators, industry, farmers, and civil society to ensure that nanotechnology contributes to sustainable intensification of rice production, food security, and environmental stewardship in the face of climate change and growing global demand.</w:t>
      </w:r>
    </w:p>
    <w:p w14:paraId="509241C9" w14:textId="77777777" w:rsidR="009C3929" w:rsidRPr="009C3929" w:rsidRDefault="009C3929" w:rsidP="009C3929">
      <w:pPr>
        <w:jc w:val="both"/>
        <w:rPr>
          <w:rFonts w:ascii="Arial" w:hAnsi="Arial" w:cs="Arial"/>
        </w:rPr>
      </w:pPr>
    </w:p>
    <w:p w14:paraId="704C3D3F" w14:textId="77777777" w:rsidR="002B685A" w:rsidRDefault="002B685A" w:rsidP="00441B6F">
      <w:pPr>
        <w:pStyle w:val="ReferHead"/>
        <w:spacing w:after="0"/>
        <w:jc w:val="both"/>
        <w:rPr>
          <w:rFonts w:ascii="Arial" w:hAnsi="Arial" w:cs="Arial"/>
          <w:b w:val="0"/>
          <w:caps w:val="0"/>
          <w:sz w:val="20"/>
        </w:rPr>
      </w:pPr>
    </w:p>
    <w:p w14:paraId="201A5129" w14:textId="77777777" w:rsidR="00F179F0" w:rsidRDefault="00F179F0" w:rsidP="00785EE9">
      <w:pPr>
        <w:rPr>
          <w:rFonts w:ascii="Arial" w:hAnsi="Arial" w:cs="Arial"/>
        </w:rPr>
      </w:pPr>
    </w:p>
    <w:p w14:paraId="6556468E" w14:textId="77777777" w:rsidR="00F179F0" w:rsidRPr="00F179F0" w:rsidRDefault="00F179F0" w:rsidP="00F179F0">
      <w:pPr>
        <w:rPr>
          <w:rFonts w:ascii="Arial" w:hAnsi="Arial" w:cs="Arial"/>
        </w:rPr>
      </w:pPr>
      <w:r w:rsidRPr="00F179F0">
        <w:rPr>
          <w:rFonts w:ascii="Arial" w:hAnsi="Arial" w:cs="Arial"/>
        </w:rPr>
        <w:t>COMPETING INTERESTS DISCLAIMER:</w:t>
      </w:r>
    </w:p>
    <w:p w14:paraId="4527D624" w14:textId="7C6272CD" w:rsidR="00F179F0" w:rsidRDefault="00F179F0" w:rsidP="00F179F0">
      <w:pPr>
        <w:rPr>
          <w:rFonts w:ascii="Arial" w:hAnsi="Arial" w:cs="Arial"/>
        </w:rPr>
      </w:pPr>
      <w:r w:rsidRPr="00F179F0">
        <w:rPr>
          <w:rFonts w:ascii="Arial" w:hAnsi="Arial" w:cs="Arial"/>
        </w:rPr>
        <w:t>Authors have declared that they have no known competing financial interests OR non-financial interests OR personal relationships that could have appeared to influence the work reported in this paper.</w:t>
      </w:r>
    </w:p>
    <w:p w14:paraId="67DB28F8" w14:textId="5DBF8DBB" w:rsidR="00E12E39" w:rsidRDefault="00E12E39" w:rsidP="00F179F0">
      <w:pPr>
        <w:rPr>
          <w:rFonts w:ascii="Arial" w:hAnsi="Arial" w:cs="Arial"/>
        </w:rPr>
      </w:pPr>
    </w:p>
    <w:p w14:paraId="4473CBE7" w14:textId="77777777" w:rsidR="00E12E39" w:rsidRPr="009C5487" w:rsidRDefault="00E12E39" w:rsidP="00E12E39">
      <w:pPr>
        <w:rPr>
          <w:rFonts w:ascii="Calibri" w:eastAsia="Calibri" w:hAnsi="Calibri"/>
          <w:kern w:val="2"/>
          <w:highlight w:val="yellow"/>
        </w:rPr>
      </w:pPr>
      <w:bookmarkStart w:id="4" w:name="_Hlk197682619"/>
      <w:bookmarkStart w:id="5" w:name="_Hlk180402183"/>
      <w:bookmarkStart w:id="6" w:name="_Hlk183680988"/>
      <w:bookmarkStart w:id="7" w:name="_Hlk197351200"/>
      <w:r w:rsidRPr="009C5487">
        <w:rPr>
          <w:rFonts w:ascii="Calibri" w:eastAsia="Calibri" w:hAnsi="Calibri"/>
          <w:kern w:val="2"/>
          <w:highlight w:val="yellow"/>
        </w:rPr>
        <w:t>Disclaimer (Artificial intelligence)</w:t>
      </w:r>
    </w:p>
    <w:p w14:paraId="29623423" w14:textId="77777777" w:rsidR="00E12E39" w:rsidRPr="009C5487" w:rsidRDefault="00E12E39" w:rsidP="00E12E39">
      <w:pPr>
        <w:rPr>
          <w:rFonts w:ascii="Calibri" w:eastAsia="Calibri" w:hAnsi="Calibri"/>
          <w:kern w:val="2"/>
          <w:highlight w:val="yellow"/>
        </w:rPr>
      </w:pPr>
      <w:r w:rsidRPr="009C5487">
        <w:rPr>
          <w:rFonts w:ascii="Calibri" w:eastAsia="Calibri" w:hAnsi="Calibri"/>
          <w:kern w:val="2"/>
          <w:highlight w:val="yellow"/>
        </w:rPr>
        <w:t xml:space="preserve">Option 1: </w:t>
      </w:r>
    </w:p>
    <w:p w14:paraId="3776E6AD" w14:textId="77777777" w:rsidR="00E12E39" w:rsidRPr="009C5487" w:rsidRDefault="00E12E39" w:rsidP="00E12E39">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bookmarkEnd w:id="7"/>
    <w:p w14:paraId="0A0AABB2" w14:textId="77777777" w:rsidR="00FD073D" w:rsidRDefault="00FD073D" w:rsidP="00441B6F">
      <w:pPr>
        <w:pStyle w:val="Appendix"/>
        <w:spacing w:after="0"/>
        <w:jc w:val="both"/>
        <w:rPr>
          <w:rFonts w:ascii="Arial" w:hAnsi="Arial" w:cs="Arial"/>
          <w:b w:val="0"/>
        </w:rPr>
      </w:pPr>
    </w:p>
    <w:p w14:paraId="1526DF4A" w14:textId="77777777" w:rsidR="0012628A" w:rsidRDefault="0012628A" w:rsidP="00441B6F">
      <w:pPr>
        <w:pStyle w:val="Appendix"/>
        <w:spacing w:after="0"/>
        <w:jc w:val="both"/>
        <w:rPr>
          <w:rFonts w:ascii="Arial" w:hAnsi="Arial" w:cs="Arial"/>
          <w:b w:val="0"/>
        </w:rPr>
      </w:pPr>
    </w:p>
    <w:p w14:paraId="428535AE" w14:textId="77777777" w:rsidR="0012628A" w:rsidRDefault="0012628A" w:rsidP="00441B6F">
      <w:pPr>
        <w:pStyle w:val="Appendix"/>
        <w:spacing w:after="0"/>
        <w:jc w:val="both"/>
        <w:rPr>
          <w:rFonts w:ascii="Arial" w:hAnsi="Arial" w:cs="Arial"/>
          <w:b w:val="0"/>
        </w:rPr>
      </w:pPr>
    </w:p>
    <w:p w14:paraId="193016CE" w14:textId="11513950" w:rsidR="00FD073D" w:rsidRDefault="00FD073D" w:rsidP="00441B6F">
      <w:pPr>
        <w:pStyle w:val="Appendix"/>
        <w:spacing w:after="0"/>
        <w:jc w:val="both"/>
        <w:rPr>
          <w:rFonts w:ascii="Arial" w:hAnsi="Arial" w:cs="Arial"/>
          <w:bCs/>
        </w:rPr>
      </w:pPr>
      <w:r w:rsidRPr="00FD073D">
        <w:rPr>
          <w:rFonts w:ascii="Arial" w:hAnsi="Arial" w:cs="Arial"/>
          <w:bCs/>
        </w:rPr>
        <w:t>References</w:t>
      </w:r>
    </w:p>
    <w:p w14:paraId="59447798" w14:textId="77777777" w:rsidR="00FD073D" w:rsidRDefault="00FD073D" w:rsidP="00441B6F">
      <w:pPr>
        <w:pStyle w:val="Appendix"/>
        <w:spacing w:after="0"/>
        <w:jc w:val="both"/>
        <w:rPr>
          <w:rFonts w:ascii="Arial" w:hAnsi="Arial" w:cs="Arial"/>
          <w:bCs/>
        </w:rPr>
      </w:pPr>
    </w:p>
    <w:p w14:paraId="6B77FEC7" w14:textId="162DAA10" w:rsidR="00FD073D" w:rsidRDefault="00FD073D" w:rsidP="00BC2DAF">
      <w:pPr>
        <w:pStyle w:val="ListParagraph"/>
        <w:numPr>
          <w:ilvl w:val="0"/>
          <w:numId w:val="31"/>
        </w:numPr>
      </w:pPr>
      <w:r>
        <w:t xml:space="preserve">Abdallah, Y., Liu, M., Ogunyemi, S. O., Ahmed, T., Fouad, H., Abdelazez, A., ... &amp; Li, B. (2020). Bioinspired green synthesis of chitosan and zinc oxide nanoparticles with strong antibacterial activity against rice pathogen </w:t>
      </w:r>
      <w:r w:rsidR="008A517F" w:rsidRPr="00BC2DAF">
        <w:rPr>
          <w:i/>
          <w:iCs/>
        </w:rPr>
        <w:t xml:space="preserve">Xanthomonas </w:t>
      </w:r>
      <w:proofErr w:type="spellStart"/>
      <w:proofErr w:type="gramStart"/>
      <w:r w:rsidR="008A517F" w:rsidRPr="00BC2DAF">
        <w:rPr>
          <w:i/>
          <w:iCs/>
        </w:rPr>
        <w:t>oryzae</w:t>
      </w:r>
      <w:proofErr w:type="spellEnd"/>
      <w:r w:rsidR="008A517F" w:rsidRPr="00BC2DAF">
        <w:rPr>
          <w:i/>
          <w:iCs/>
        </w:rPr>
        <w:t xml:space="preserve"> </w:t>
      </w:r>
      <w:r>
        <w:t xml:space="preserve"> </w:t>
      </w:r>
      <w:proofErr w:type="spellStart"/>
      <w:r>
        <w:t>pv</w:t>
      </w:r>
      <w:proofErr w:type="spellEnd"/>
      <w:proofErr w:type="gramEnd"/>
      <w:r>
        <w:t xml:space="preserve">. </w:t>
      </w:r>
      <w:r w:rsidR="008A517F" w:rsidRPr="00BC2DAF">
        <w:rPr>
          <w:i/>
          <w:iCs/>
        </w:rPr>
        <w:t>oryzae</w:t>
      </w:r>
      <w:r>
        <w:t xml:space="preserve">. Molecules, 25(20), 4795. </w:t>
      </w:r>
      <w:hyperlink r:id="rId13" w:history="1">
        <w:r w:rsidR="0012628A" w:rsidRPr="00271B5D">
          <w:rPr>
            <w:rStyle w:val="Hyperlink"/>
          </w:rPr>
          <w:t>https://doi.org/10.3390/molecules25204795</w:t>
        </w:r>
      </w:hyperlink>
      <w:r w:rsidR="0012628A">
        <w:t xml:space="preserve"> </w:t>
      </w:r>
    </w:p>
    <w:p w14:paraId="36B34AF8" w14:textId="77777777" w:rsidR="00FD073D" w:rsidRDefault="00FD073D" w:rsidP="00FD073D"/>
    <w:p w14:paraId="4FADF59A" w14:textId="77777777" w:rsidR="006E2E6E" w:rsidRDefault="00FD073D" w:rsidP="00FD073D">
      <w:pPr>
        <w:pStyle w:val="ListParagraph"/>
        <w:numPr>
          <w:ilvl w:val="0"/>
          <w:numId w:val="31"/>
        </w:numPr>
      </w:pPr>
      <w:r>
        <w:t xml:space="preserve">Adisa, I. O., </w:t>
      </w:r>
      <w:proofErr w:type="spellStart"/>
      <w:r>
        <w:t>Pullagurala</w:t>
      </w:r>
      <w:proofErr w:type="spellEnd"/>
      <w:r>
        <w:t xml:space="preserve">, V. L. R., Peralta-Videa, J. R., </w:t>
      </w:r>
      <w:proofErr w:type="spellStart"/>
      <w:r>
        <w:t>Dimkpa</w:t>
      </w:r>
      <w:proofErr w:type="spellEnd"/>
      <w:r>
        <w:t xml:space="preserve">, C. O., Elmer, W. H., </w:t>
      </w:r>
      <w:proofErr w:type="spellStart"/>
      <w:r>
        <w:t>Gardea-Torresdey</w:t>
      </w:r>
      <w:proofErr w:type="spellEnd"/>
      <w:r>
        <w:t xml:space="preserve">, J. L., &amp; White, J. C. (2019). Recent advances in nano-enabled fertilizers and pesticides: A critical review of mechanisms of action. Environmental Science: Nano, 6(7), 2002-2030. </w:t>
      </w:r>
      <w:hyperlink r:id="rId14" w:history="1">
        <w:r w:rsidR="0012628A" w:rsidRPr="00271B5D">
          <w:rPr>
            <w:rStyle w:val="Hyperlink"/>
          </w:rPr>
          <w:t>https://doi.org/10.1039/C9EN00265K</w:t>
        </w:r>
      </w:hyperlink>
      <w:r w:rsidR="0012628A">
        <w:t xml:space="preserve"> </w:t>
      </w:r>
    </w:p>
    <w:p w14:paraId="5FB3FA19" w14:textId="77777777" w:rsidR="006E2E6E" w:rsidRPr="006E2E6E" w:rsidRDefault="006E2E6E" w:rsidP="006E2E6E">
      <w:pPr>
        <w:pStyle w:val="ListParagraph"/>
        <w:rPr>
          <w:rFonts w:ascii="Arial" w:hAnsi="Arial" w:cs="Arial"/>
          <w:color w:val="222222"/>
          <w:shd w:val="clear" w:color="auto" w:fill="FFFFFF"/>
        </w:rPr>
      </w:pPr>
    </w:p>
    <w:p w14:paraId="23C1AC6C" w14:textId="49229B55" w:rsidR="00FD073D" w:rsidRDefault="006E2E6E" w:rsidP="00FD073D">
      <w:pPr>
        <w:pStyle w:val="ListParagraph"/>
        <w:numPr>
          <w:ilvl w:val="0"/>
          <w:numId w:val="31"/>
        </w:numPr>
      </w:pPr>
      <w:proofErr w:type="spellStart"/>
      <w:r w:rsidRPr="006E2E6E">
        <w:rPr>
          <w:rFonts w:ascii="Arial" w:hAnsi="Arial" w:cs="Arial"/>
          <w:color w:val="222222"/>
          <w:shd w:val="clear" w:color="auto" w:fill="FFFFFF"/>
        </w:rPr>
        <w:t>Adrees</w:t>
      </w:r>
      <w:proofErr w:type="spellEnd"/>
      <w:r w:rsidRPr="006E2E6E">
        <w:rPr>
          <w:rFonts w:ascii="Arial" w:hAnsi="Arial" w:cs="Arial"/>
          <w:color w:val="222222"/>
          <w:shd w:val="clear" w:color="auto" w:fill="FFFFFF"/>
        </w:rPr>
        <w:t xml:space="preserve">, M., Khan, Z. S., Ali, S., Hafeez, M., Khalid, S., </w:t>
      </w:r>
      <w:proofErr w:type="spellStart"/>
      <w:r w:rsidRPr="006E2E6E">
        <w:rPr>
          <w:rFonts w:ascii="Arial" w:hAnsi="Arial" w:cs="Arial"/>
          <w:color w:val="222222"/>
          <w:shd w:val="clear" w:color="auto" w:fill="FFFFFF"/>
        </w:rPr>
        <w:t>ur</w:t>
      </w:r>
      <w:proofErr w:type="spellEnd"/>
      <w:r w:rsidRPr="006E2E6E">
        <w:rPr>
          <w:rFonts w:ascii="Arial" w:hAnsi="Arial" w:cs="Arial"/>
          <w:color w:val="222222"/>
          <w:shd w:val="clear" w:color="auto" w:fill="FFFFFF"/>
        </w:rPr>
        <w:t xml:space="preserve"> Rehman, M. Z., ... &amp; Rizwan, M. (2020). Simultaneous mitigation of cadmium and drought stress in wheat by soil application of iron nanoparticles. </w:t>
      </w:r>
      <w:r w:rsidRPr="006E2E6E">
        <w:rPr>
          <w:rFonts w:ascii="Arial" w:hAnsi="Arial" w:cs="Arial"/>
          <w:i/>
          <w:iCs/>
          <w:color w:val="222222"/>
          <w:shd w:val="clear" w:color="auto" w:fill="FFFFFF"/>
        </w:rPr>
        <w:t>Chemosphere</w:t>
      </w:r>
      <w:r w:rsidRPr="006E2E6E">
        <w:rPr>
          <w:rFonts w:ascii="Arial" w:hAnsi="Arial" w:cs="Arial"/>
          <w:color w:val="222222"/>
          <w:shd w:val="clear" w:color="auto" w:fill="FFFFFF"/>
        </w:rPr>
        <w:t>, </w:t>
      </w:r>
      <w:r w:rsidRPr="006E2E6E">
        <w:rPr>
          <w:rFonts w:ascii="Arial" w:hAnsi="Arial" w:cs="Arial"/>
          <w:i/>
          <w:iCs/>
          <w:color w:val="222222"/>
          <w:shd w:val="clear" w:color="auto" w:fill="FFFFFF"/>
        </w:rPr>
        <w:t>238</w:t>
      </w:r>
      <w:r w:rsidRPr="006E2E6E">
        <w:rPr>
          <w:rFonts w:ascii="Arial" w:hAnsi="Arial" w:cs="Arial"/>
          <w:color w:val="222222"/>
          <w:shd w:val="clear" w:color="auto" w:fill="FFFFFF"/>
        </w:rPr>
        <w:t>, 124681.</w:t>
      </w:r>
    </w:p>
    <w:p w14:paraId="26207649" w14:textId="77777777" w:rsidR="006E2E6E" w:rsidRDefault="00FD073D" w:rsidP="00FD073D">
      <w:pPr>
        <w:pStyle w:val="ListParagraph"/>
        <w:numPr>
          <w:ilvl w:val="0"/>
          <w:numId w:val="31"/>
        </w:numPr>
      </w:pPr>
      <w:r>
        <w:t xml:space="preserve">Ahmed, S., Ahmad, M., Swami, B. L., &amp; Ikram, S. (2016). A review on plants extract mediated synthesis of silver nanoparticles for antimicrobial applications: A green expertise. Journal of Advanced Research, 7(1), 17-28. </w:t>
      </w:r>
      <w:hyperlink r:id="rId15" w:history="1">
        <w:r w:rsidR="0012628A" w:rsidRPr="00271B5D">
          <w:rPr>
            <w:rStyle w:val="Hyperlink"/>
          </w:rPr>
          <w:t>https://doi.org/10.1016/j.jare.2015.02.007</w:t>
        </w:r>
      </w:hyperlink>
      <w:r w:rsidR="0012628A">
        <w:t xml:space="preserve"> </w:t>
      </w:r>
    </w:p>
    <w:p w14:paraId="40657086" w14:textId="5D913162" w:rsidR="00FD073D" w:rsidRDefault="006E2E6E" w:rsidP="00FD073D">
      <w:pPr>
        <w:pStyle w:val="ListParagraph"/>
        <w:numPr>
          <w:ilvl w:val="0"/>
          <w:numId w:val="31"/>
        </w:numPr>
      </w:pPr>
      <w:r w:rsidRPr="006E2E6E">
        <w:rPr>
          <w:rFonts w:ascii="Arial" w:hAnsi="Arial" w:cs="Arial"/>
          <w:color w:val="222222"/>
          <w:shd w:val="clear" w:color="auto" w:fill="FFFFFF"/>
        </w:rPr>
        <w:t xml:space="preserve">Ahmed, T., Wu, Z., Jiang, H., Luo, J., Noman, M., Shahid, M., ... &amp; Li, B. (2021). Bioinspired green synthesis of zinc oxide nanoparticles from a native Bacillus cereus strain RNT6: characterization and antibacterial activity against rice panicle blight pathogens </w:t>
      </w:r>
      <w:proofErr w:type="spellStart"/>
      <w:r w:rsidRPr="006E2E6E">
        <w:rPr>
          <w:rFonts w:ascii="Arial" w:hAnsi="Arial" w:cs="Arial"/>
          <w:color w:val="222222"/>
          <w:shd w:val="clear" w:color="auto" w:fill="FFFFFF"/>
        </w:rPr>
        <w:t>Burkholderia</w:t>
      </w:r>
      <w:proofErr w:type="spellEnd"/>
      <w:r w:rsidRPr="006E2E6E">
        <w:rPr>
          <w:rFonts w:ascii="Arial" w:hAnsi="Arial" w:cs="Arial"/>
          <w:color w:val="222222"/>
          <w:shd w:val="clear" w:color="auto" w:fill="FFFFFF"/>
        </w:rPr>
        <w:t xml:space="preserve"> </w:t>
      </w:r>
      <w:proofErr w:type="spellStart"/>
      <w:r w:rsidRPr="006E2E6E">
        <w:rPr>
          <w:rFonts w:ascii="Arial" w:hAnsi="Arial" w:cs="Arial"/>
          <w:color w:val="222222"/>
          <w:shd w:val="clear" w:color="auto" w:fill="FFFFFF"/>
        </w:rPr>
        <w:t>glumae</w:t>
      </w:r>
      <w:proofErr w:type="spellEnd"/>
      <w:r w:rsidRPr="006E2E6E">
        <w:rPr>
          <w:rFonts w:ascii="Arial" w:hAnsi="Arial" w:cs="Arial"/>
          <w:color w:val="222222"/>
          <w:shd w:val="clear" w:color="auto" w:fill="FFFFFF"/>
        </w:rPr>
        <w:t xml:space="preserve"> and B. gladioli. </w:t>
      </w:r>
      <w:r w:rsidRPr="006E2E6E">
        <w:rPr>
          <w:rFonts w:ascii="Arial" w:hAnsi="Arial" w:cs="Arial"/>
          <w:i/>
          <w:iCs/>
          <w:color w:val="222222"/>
          <w:shd w:val="clear" w:color="auto" w:fill="FFFFFF"/>
        </w:rPr>
        <w:t>Nanomaterials</w:t>
      </w:r>
      <w:r w:rsidRPr="006E2E6E">
        <w:rPr>
          <w:rFonts w:ascii="Arial" w:hAnsi="Arial" w:cs="Arial"/>
          <w:color w:val="222222"/>
          <w:shd w:val="clear" w:color="auto" w:fill="FFFFFF"/>
        </w:rPr>
        <w:t>, </w:t>
      </w:r>
      <w:r w:rsidRPr="006E2E6E">
        <w:rPr>
          <w:rFonts w:ascii="Arial" w:hAnsi="Arial" w:cs="Arial"/>
          <w:i/>
          <w:iCs/>
          <w:color w:val="222222"/>
          <w:shd w:val="clear" w:color="auto" w:fill="FFFFFF"/>
        </w:rPr>
        <w:t>11</w:t>
      </w:r>
      <w:r w:rsidRPr="006E2E6E">
        <w:rPr>
          <w:rFonts w:ascii="Arial" w:hAnsi="Arial" w:cs="Arial"/>
          <w:color w:val="222222"/>
          <w:shd w:val="clear" w:color="auto" w:fill="FFFFFF"/>
        </w:rPr>
        <w:t>(4), 884.</w:t>
      </w:r>
    </w:p>
    <w:p w14:paraId="0E9A9634" w14:textId="134D7C17" w:rsidR="00FD073D" w:rsidRDefault="00FD073D" w:rsidP="00BC2DAF">
      <w:pPr>
        <w:pStyle w:val="ListParagraph"/>
        <w:numPr>
          <w:ilvl w:val="0"/>
          <w:numId w:val="31"/>
        </w:numPr>
      </w:pPr>
      <w:r>
        <w:t xml:space="preserve">Akbarzadeh, A., Rezaei-Sadabady, R., </w:t>
      </w:r>
      <w:proofErr w:type="spellStart"/>
      <w:r>
        <w:t>Davaran</w:t>
      </w:r>
      <w:proofErr w:type="spellEnd"/>
      <w:r>
        <w:t xml:space="preserve">, S., Joo, S. W., </w:t>
      </w:r>
      <w:proofErr w:type="spellStart"/>
      <w:r>
        <w:t>Zarghami</w:t>
      </w:r>
      <w:proofErr w:type="spellEnd"/>
      <w:r>
        <w:t xml:space="preserve">, N., </w:t>
      </w:r>
      <w:proofErr w:type="spellStart"/>
      <w:r>
        <w:t>Hanifehpour</w:t>
      </w:r>
      <w:proofErr w:type="spellEnd"/>
      <w:r>
        <w:t xml:space="preserve">, Y., ... &amp; </w:t>
      </w:r>
      <w:proofErr w:type="spellStart"/>
      <w:r>
        <w:t>Nejati-Koshki</w:t>
      </w:r>
      <w:proofErr w:type="spellEnd"/>
      <w:r>
        <w:t xml:space="preserve">, K. (2013). Liposome: Classification, preparation, and applications. Nanoscale Research Letters, 8(1), 102. </w:t>
      </w:r>
      <w:hyperlink r:id="rId16" w:history="1">
        <w:r w:rsidR="0012628A" w:rsidRPr="00271B5D">
          <w:rPr>
            <w:rStyle w:val="Hyperlink"/>
          </w:rPr>
          <w:t>https://doi.org/10.1186/1556-276X-8-102</w:t>
        </w:r>
      </w:hyperlink>
      <w:r w:rsidR="0012628A">
        <w:t xml:space="preserve"> </w:t>
      </w:r>
    </w:p>
    <w:p w14:paraId="5B811458" w14:textId="77777777" w:rsidR="00FD073D" w:rsidRDefault="00FD073D" w:rsidP="00FD073D"/>
    <w:p w14:paraId="171CE7D9" w14:textId="77777777" w:rsidR="006E2E6E" w:rsidRDefault="00FD073D" w:rsidP="00FD073D">
      <w:pPr>
        <w:pStyle w:val="ListParagraph"/>
        <w:numPr>
          <w:ilvl w:val="0"/>
          <w:numId w:val="31"/>
        </w:numPr>
      </w:pPr>
      <w:r>
        <w:t xml:space="preserve">Ali, M. A., Azeem, F., Abbas, A., Joyia, F. A., Li, H., &amp; </w:t>
      </w:r>
      <w:proofErr w:type="spellStart"/>
      <w:r>
        <w:t>Dababat</w:t>
      </w:r>
      <w:proofErr w:type="spellEnd"/>
      <w:r>
        <w:t xml:space="preserve">, A. A. (2023). Transgenic strategies for enhancement of nematode resistance in plants. Frontiers in Plant Science, 14, 1099304. </w:t>
      </w:r>
      <w:hyperlink r:id="rId17" w:history="1">
        <w:r w:rsidR="0012628A" w:rsidRPr="00271B5D">
          <w:rPr>
            <w:rStyle w:val="Hyperlink"/>
          </w:rPr>
          <w:t>https://doi.org/10.3389/fpls.2023.1099304</w:t>
        </w:r>
      </w:hyperlink>
      <w:r w:rsidR="0012628A">
        <w:t xml:space="preserve"> </w:t>
      </w:r>
    </w:p>
    <w:p w14:paraId="4AF73E95" w14:textId="77777777" w:rsidR="006E2E6E" w:rsidRPr="006E2E6E" w:rsidRDefault="006E2E6E" w:rsidP="006E2E6E">
      <w:pPr>
        <w:pStyle w:val="ListParagraph"/>
        <w:rPr>
          <w:rFonts w:ascii="Arial" w:hAnsi="Arial" w:cs="Arial"/>
          <w:color w:val="222222"/>
          <w:shd w:val="clear" w:color="auto" w:fill="FFFFFF"/>
        </w:rPr>
      </w:pPr>
    </w:p>
    <w:p w14:paraId="0DF97686" w14:textId="6B7F8BA3" w:rsidR="00FD073D" w:rsidRDefault="006E2E6E" w:rsidP="00FD073D">
      <w:pPr>
        <w:pStyle w:val="ListParagraph"/>
        <w:numPr>
          <w:ilvl w:val="0"/>
          <w:numId w:val="31"/>
        </w:numPr>
      </w:pPr>
      <w:r w:rsidRPr="006E2E6E">
        <w:rPr>
          <w:rFonts w:ascii="Arial" w:hAnsi="Arial" w:cs="Arial"/>
          <w:color w:val="222222"/>
          <w:shd w:val="clear" w:color="auto" w:fill="FFFFFF"/>
        </w:rPr>
        <w:t xml:space="preserve">Andrade, F., Rafael, D., </w:t>
      </w:r>
      <w:proofErr w:type="spellStart"/>
      <w:r w:rsidRPr="006E2E6E">
        <w:rPr>
          <w:rFonts w:ascii="Arial" w:hAnsi="Arial" w:cs="Arial"/>
          <w:color w:val="222222"/>
          <w:shd w:val="clear" w:color="auto" w:fill="FFFFFF"/>
        </w:rPr>
        <w:t>Videira</w:t>
      </w:r>
      <w:proofErr w:type="spellEnd"/>
      <w:r w:rsidRPr="006E2E6E">
        <w:rPr>
          <w:rFonts w:ascii="Arial" w:hAnsi="Arial" w:cs="Arial"/>
          <w:color w:val="222222"/>
          <w:shd w:val="clear" w:color="auto" w:fill="FFFFFF"/>
        </w:rPr>
        <w:t xml:space="preserve">, M., Ferreira, D., Sosnik, A., &amp; </w:t>
      </w:r>
      <w:proofErr w:type="spellStart"/>
      <w:r w:rsidRPr="006E2E6E">
        <w:rPr>
          <w:rFonts w:ascii="Arial" w:hAnsi="Arial" w:cs="Arial"/>
          <w:color w:val="222222"/>
          <w:shd w:val="clear" w:color="auto" w:fill="FFFFFF"/>
        </w:rPr>
        <w:t>Sarmento</w:t>
      </w:r>
      <w:proofErr w:type="spellEnd"/>
      <w:r w:rsidRPr="006E2E6E">
        <w:rPr>
          <w:rFonts w:ascii="Arial" w:hAnsi="Arial" w:cs="Arial"/>
          <w:color w:val="222222"/>
          <w:shd w:val="clear" w:color="auto" w:fill="FFFFFF"/>
        </w:rPr>
        <w:t>, B. (2013). Nanotechnology and pulmonary delivery to overcome resistance in infectious diseases. </w:t>
      </w:r>
      <w:r w:rsidRPr="006E2E6E">
        <w:rPr>
          <w:rFonts w:ascii="Arial" w:hAnsi="Arial" w:cs="Arial"/>
          <w:i/>
          <w:iCs/>
          <w:color w:val="222222"/>
          <w:shd w:val="clear" w:color="auto" w:fill="FFFFFF"/>
        </w:rPr>
        <w:t>Advanced drug delivery reviews</w:t>
      </w:r>
      <w:r w:rsidRPr="006E2E6E">
        <w:rPr>
          <w:rFonts w:ascii="Arial" w:hAnsi="Arial" w:cs="Arial"/>
          <w:color w:val="222222"/>
          <w:shd w:val="clear" w:color="auto" w:fill="FFFFFF"/>
        </w:rPr>
        <w:t>, </w:t>
      </w:r>
      <w:r w:rsidRPr="006E2E6E">
        <w:rPr>
          <w:rFonts w:ascii="Arial" w:hAnsi="Arial" w:cs="Arial"/>
          <w:i/>
          <w:iCs/>
          <w:color w:val="222222"/>
          <w:shd w:val="clear" w:color="auto" w:fill="FFFFFF"/>
        </w:rPr>
        <w:t>65</w:t>
      </w:r>
      <w:r w:rsidRPr="006E2E6E">
        <w:rPr>
          <w:rFonts w:ascii="Arial" w:hAnsi="Arial" w:cs="Arial"/>
          <w:color w:val="222222"/>
          <w:shd w:val="clear" w:color="auto" w:fill="FFFFFF"/>
        </w:rPr>
        <w:t>(13-14), 1816-1827.</w:t>
      </w:r>
    </w:p>
    <w:p w14:paraId="3644BA89" w14:textId="62CC165B" w:rsidR="00FD073D" w:rsidRDefault="00FD073D" w:rsidP="00BC2DAF">
      <w:pPr>
        <w:pStyle w:val="ListParagraph"/>
        <w:numPr>
          <w:ilvl w:val="0"/>
          <w:numId w:val="31"/>
        </w:numPr>
      </w:pPr>
      <w:r>
        <w:t xml:space="preserve">Anjali, C. H., Khan, S. S., Margulis-Goshen, K., </w:t>
      </w:r>
      <w:proofErr w:type="spellStart"/>
      <w:r>
        <w:t>Magdassi</w:t>
      </w:r>
      <w:proofErr w:type="spellEnd"/>
      <w:r>
        <w:t xml:space="preserve">, S., Mukherjee, A., &amp; Chandrasekaran, N. (2010). Formulation of water-dispersible </w:t>
      </w:r>
      <w:proofErr w:type="spellStart"/>
      <w:r>
        <w:t>nanopermethrin</w:t>
      </w:r>
      <w:proofErr w:type="spellEnd"/>
      <w:r>
        <w:t xml:space="preserve"> for larvicidal applications. Ecotoxicology and Environmental Safety, 73(8), 1932-1936. </w:t>
      </w:r>
      <w:hyperlink r:id="rId18" w:history="1">
        <w:r w:rsidR="0012628A" w:rsidRPr="00271B5D">
          <w:rPr>
            <w:rStyle w:val="Hyperlink"/>
          </w:rPr>
          <w:t>https://doi.org/10.1016/j.ecoenv.2010.08.039</w:t>
        </w:r>
      </w:hyperlink>
      <w:r w:rsidR="0012628A">
        <w:t xml:space="preserve"> </w:t>
      </w:r>
    </w:p>
    <w:p w14:paraId="05B4FB08" w14:textId="77777777" w:rsidR="00FD073D" w:rsidRDefault="00FD073D" w:rsidP="00FD073D"/>
    <w:p w14:paraId="1771F1DA" w14:textId="77777777" w:rsidR="006E2E6E" w:rsidRDefault="00FD073D" w:rsidP="00FD073D">
      <w:pPr>
        <w:pStyle w:val="ListParagraph"/>
        <w:numPr>
          <w:ilvl w:val="0"/>
          <w:numId w:val="31"/>
        </w:numPr>
      </w:pPr>
      <w:r>
        <w:t>Anjali, C. H., Sharma, Y., Mukherjee, A., &amp; Chandrasekaran, N. (2012). Neem oil (</w:t>
      </w:r>
      <w:proofErr w:type="spellStart"/>
      <w:r>
        <w:t>Azadirachta</w:t>
      </w:r>
      <w:proofErr w:type="spellEnd"/>
      <w:r>
        <w:t xml:space="preserve"> </w:t>
      </w:r>
      <w:proofErr w:type="spellStart"/>
      <w:r>
        <w:t>indica</w:t>
      </w:r>
      <w:proofErr w:type="spellEnd"/>
      <w:r>
        <w:t xml:space="preserve">) </w:t>
      </w:r>
      <w:proofErr w:type="spellStart"/>
      <w:r>
        <w:t>nanoemulsion</w:t>
      </w:r>
      <w:proofErr w:type="spellEnd"/>
      <w:r>
        <w:t xml:space="preserve">—a potent larvicidal agent against Culex </w:t>
      </w:r>
      <w:proofErr w:type="spellStart"/>
      <w:r>
        <w:t>quinquefasciatus</w:t>
      </w:r>
      <w:proofErr w:type="spellEnd"/>
      <w:r>
        <w:t xml:space="preserve">. Pest Management Science, 68(2), 158-163. </w:t>
      </w:r>
      <w:hyperlink r:id="rId19" w:history="1">
        <w:r w:rsidR="0012628A" w:rsidRPr="00271B5D">
          <w:rPr>
            <w:rStyle w:val="Hyperlink"/>
          </w:rPr>
          <w:t>https://doi.org/10.1002/ps.2233</w:t>
        </w:r>
      </w:hyperlink>
      <w:r w:rsidR="0012628A">
        <w:t xml:space="preserve"> </w:t>
      </w:r>
    </w:p>
    <w:p w14:paraId="0957FD6F" w14:textId="77777777" w:rsidR="006E2E6E" w:rsidRPr="006E2E6E" w:rsidRDefault="006E2E6E" w:rsidP="006E2E6E">
      <w:pPr>
        <w:pStyle w:val="ListParagraph"/>
        <w:rPr>
          <w:rFonts w:ascii="Arial" w:hAnsi="Arial" w:cs="Arial"/>
          <w:color w:val="222222"/>
          <w:shd w:val="clear" w:color="auto" w:fill="FFFFFF"/>
        </w:rPr>
      </w:pPr>
    </w:p>
    <w:p w14:paraId="397FE1C6" w14:textId="18EB56E9" w:rsidR="00FD073D" w:rsidRDefault="006E2E6E" w:rsidP="00FD073D">
      <w:pPr>
        <w:pStyle w:val="ListParagraph"/>
        <w:numPr>
          <w:ilvl w:val="0"/>
          <w:numId w:val="31"/>
        </w:numPr>
      </w:pPr>
      <w:proofErr w:type="spellStart"/>
      <w:r w:rsidRPr="006E2E6E">
        <w:rPr>
          <w:rFonts w:ascii="Arial" w:hAnsi="Arial" w:cs="Arial"/>
          <w:color w:val="222222"/>
          <w:shd w:val="clear" w:color="auto" w:fill="FFFFFF"/>
        </w:rPr>
        <w:lastRenderedPageBreak/>
        <w:t>Applerot</w:t>
      </w:r>
      <w:proofErr w:type="spellEnd"/>
      <w:r w:rsidRPr="006E2E6E">
        <w:rPr>
          <w:rFonts w:ascii="Arial" w:hAnsi="Arial" w:cs="Arial"/>
          <w:color w:val="222222"/>
          <w:shd w:val="clear" w:color="auto" w:fill="FFFFFF"/>
        </w:rPr>
        <w:t xml:space="preserve">, G., </w:t>
      </w:r>
      <w:proofErr w:type="spellStart"/>
      <w:r w:rsidRPr="006E2E6E">
        <w:rPr>
          <w:rFonts w:ascii="Arial" w:hAnsi="Arial" w:cs="Arial"/>
          <w:color w:val="222222"/>
          <w:shd w:val="clear" w:color="auto" w:fill="FFFFFF"/>
        </w:rPr>
        <w:t>Perkas</w:t>
      </w:r>
      <w:proofErr w:type="spellEnd"/>
      <w:r w:rsidRPr="006E2E6E">
        <w:rPr>
          <w:rFonts w:ascii="Arial" w:hAnsi="Arial" w:cs="Arial"/>
          <w:color w:val="222222"/>
          <w:shd w:val="clear" w:color="auto" w:fill="FFFFFF"/>
        </w:rPr>
        <w:t xml:space="preserve">, N., Amirian, G., </w:t>
      </w:r>
      <w:proofErr w:type="spellStart"/>
      <w:r w:rsidRPr="006E2E6E">
        <w:rPr>
          <w:rFonts w:ascii="Arial" w:hAnsi="Arial" w:cs="Arial"/>
          <w:color w:val="222222"/>
          <w:shd w:val="clear" w:color="auto" w:fill="FFFFFF"/>
        </w:rPr>
        <w:t>Girshevitz</w:t>
      </w:r>
      <w:proofErr w:type="spellEnd"/>
      <w:r w:rsidRPr="006E2E6E">
        <w:rPr>
          <w:rFonts w:ascii="Arial" w:hAnsi="Arial" w:cs="Arial"/>
          <w:color w:val="222222"/>
          <w:shd w:val="clear" w:color="auto" w:fill="FFFFFF"/>
        </w:rPr>
        <w:t xml:space="preserve">, O., &amp; </w:t>
      </w:r>
      <w:proofErr w:type="spellStart"/>
      <w:r w:rsidRPr="006E2E6E">
        <w:rPr>
          <w:rFonts w:ascii="Arial" w:hAnsi="Arial" w:cs="Arial"/>
          <w:color w:val="222222"/>
          <w:shd w:val="clear" w:color="auto" w:fill="FFFFFF"/>
        </w:rPr>
        <w:t>Gedanken</w:t>
      </w:r>
      <w:proofErr w:type="spellEnd"/>
      <w:r w:rsidRPr="006E2E6E">
        <w:rPr>
          <w:rFonts w:ascii="Arial" w:hAnsi="Arial" w:cs="Arial"/>
          <w:color w:val="222222"/>
          <w:shd w:val="clear" w:color="auto" w:fill="FFFFFF"/>
        </w:rPr>
        <w:t xml:space="preserve">, A. (2009). Coating of glass with </w:t>
      </w:r>
      <w:proofErr w:type="spellStart"/>
      <w:r w:rsidRPr="006E2E6E">
        <w:rPr>
          <w:rFonts w:ascii="Arial" w:hAnsi="Arial" w:cs="Arial"/>
          <w:color w:val="222222"/>
          <w:shd w:val="clear" w:color="auto" w:fill="FFFFFF"/>
        </w:rPr>
        <w:t>ZnO</w:t>
      </w:r>
      <w:proofErr w:type="spellEnd"/>
      <w:r w:rsidRPr="006E2E6E">
        <w:rPr>
          <w:rFonts w:ascii="Arial" w:hAnsi="Arial" w:cs="Arial"/>
          <w:color w:val="222222"/>
          <w:shd w:val="clear" w:color="auto" w:fill="FFFFFF"/>
        </w:rPr>
        <w:t xml:space="preserve"> via ultrasonic irradiation and a study of its antibacterial properties. </w:t>
      </w:r>
      <w:r w:rsidRPr="006E2E6E">
        <w:rPr>
          <w:rFonts w:ascii="Arial" w:hAnsi="Arial" w:cs="Arial"/>
          <w:i/>
          <w:iCs/>
          <w:color w:val="222222"/>
          <w:shd w:val="clear" w:color="auto" w:fill="FFFFFF"/>
        </w:rPr>
        <w:t>Applied surface science</w:t>
      </w:r>
      <w:r w:rsidRPr="006E2E6E">
        <w:rPr>
          <w:rFonts w:ascii="Arial" w:hAnsi="Arial" w:cs="Arial"/>
          <w:color w:val="222222"/>
          <w:shd w:val="clear" w:color="auto" w:fill="FFFFFF"/>
        </w:rPr>
        <w:t>, </w:t>
      </w:r>
      <w:r w:rsidRPr="006E2E6E">
        <w:rPr>
          <w:rFonts w:ascii="Arial" w:hAnsi="Arial" w:cs="Arial"/>
          <w:i/>
          <w:iCs/>
          <w:color w:val="222222"/>
          <w:shd w:val="clear" w:color="auto" w:fill="FFFFFF"/>
        </w:rPr>
        <w:t>256</w:t>
      </w:r>
      <w:r w:rsidRPr="006E2E6E">
        <w:rPr>
          <w:rFonts w:ascii="Arial" w:hAnsi="Arial" w:cs="Arial"/>
          <w:color w:val="222222"/>
          <w:shd w:val="clear" w:color="auto" w:fill="FFFFFF"/>
        </w:rPr>
        <w:t>(3), S3-S8.</w:t>
      </w:r>
    </w:p>
    <w:p w14:paraId="7A052C96" w14:textId="2A6608DA" w:rsidR="00FD073D" w:rsidRDefault="00FD073D" w:rsidP="00BC2DAF">
      <w:pPr>
        <w:pStyle w:val="ListParagraph"/>
        <w:numPr>
          <w:ilvl w:val="0"/>
          <w:numId w:val="31"/>
        </w:numPr>
      </w:pPr>
      <w:proofErr w:type="spellStart"/>
      <w:r>
        <w:t>AshaRani</w:t>
      </w:r>
      <w:proofErr w:type="spellEnd"/>
      <w:r>
        <w:t xml:space="preserve">, P. V., Low Kah Mun, G., Hande, M. P., &amp; </w:t>
      </w:r>
      <w:proofErr w:type="spellStart"/>
      <w:r>
        <w:t>Valiyaveettil</w:t>
      </w:r>
      <w:proofErr w:type="spellEnd"/>
      <w:r>
        <w:t xml:space="preserve">, S. (2009). Cytotoxicity and genotoxicity of silver nanoparticles in human cells. ACS Nano, 3(2), 279-290. </w:t>
      </w:r>
      <w:hyperlink r:id="rId20" w:history="1">
        <w:r w:rsidR="0012628A" w:rsidRPr="00271B5D">
          <w:rPr>
            <w:rStyle w:val="Hyperlink"/>
          </w:rPr>
          <w:t>https://doi.org/10.1021/nn800596w</w:t>
        </w:r>
      </w:hyperlink>
      <w:r w:rsidR="0012628A">
        <w:t xml:space="preserve"> </w:t>
      </w:r>
    </w:p>
    <w:p w14:paraId="338C7785" w14:textId="727FE848" w:rsidR="00FD073D" w:rsidRDefault="00FD073D" w:rsidP="00BC2DAF">
      <w:pPr>
        <w:ind w:firstLine="60"/>
      </w:pPr>
    </w:p>
    <w:p w14:paraId="2ED1FB11" w14:textId="641EFDAD" w:rsidR="00FD073D" w:rsidRDefault="00FD073D" w:rsidP="00BC2DAF">
      <w:pPr>
        <w:pStyle w:val="ListParagraph"/>
        <w:numPr>
          <w:ilvl w:val="0"/>
          <w:numId w:val="31"/>
        </w:numPr>
      </w:pPr>
      <w:proofErr w:type="spellStart"/>
      <w:r>
        <w:t>Asibi</w:t>
      </w:r>
      <w:proofErr w:type="spellEnd"/>
      <w:r>
        <w:t xml:space="preserve">, A. E., Chai, Q., &amp; Coulter, J. A. (2019). Rice blast: A disease with implications for global food security. Agronomy, 9(8), 451. </w:t>
      </w:r>
      <w:hyperlink r:id="rId21" w:history="1">
        <w:r w:rsidR="0012628A" w:rsidRPr="00271B5D">
          <w:rPr>
            <w:rStyle w:val="Hyperlink"/>
          </w:rPr>
          <w:t>https://doi.org/10.3390/agronomy9080451</w:t>
        </w:r>
      </w:hyperlink>
      <w:r w:rsidR="0012628A">
        <w:t xml:space="preserve"> </w:t>
      </w:r>
    </w:p>
    <w:p w14:paraId="4899752C" w14:textId="77777777" w:rsidR="00FD073D" w:rsidRDefault="00FD073D" w:rsidP="00FD073D"/>
    <w:p w14:paraId="4230E317" w14:textId="2B4EEE16" w:rsidR="00FD073D" w:rsidRDefault="00FD073D" w:rsidP="00BC2DAF">
      <w:pPr>
        <w:pStyle w:val="ListParagraph"/>
        <w:numPr>
          <w:ilvl w:val="0"/>
          <w:numId w:val="31"/>
        </w:numPr>
      </w:pPr>
      <w:r>
        <w:t>Asma, S., Manzoor, M., Anjum, M. M., Naz, S., Kausar, R., Ali, Q., ... &amp; Ahmad, M. (2023). Rice (</w:t>
      </w:r>
      <w:r w:rsidR="008A517F" w:rsidRPr="00BC2DAF">
        <w:rPr>
          <w:i/>
          <w:iCs/>
        </w:rPr>
        <w:t>Oryza sativa L.</w:t>
      </w:r>
      <w:r>
        <w:t xml:space="preserve">): A potential source of nutrition and food security. Journal of Soil Science and Plant Nutrition, 23(4), 4705-4729. </w:t>
      </w:r>
      <w:hyperlink r:id="rId22" w:history="1">
        <w:r w:rsidR="0012628A" w:rsidRPr="00271B5D">
          <w:rPr>
            <w:rStyle w:val="Hyperlink"/>
          </w:rPr>
          <w:t>https://doi.org/10.1007/s42729-023-01450-7</w:t>
        </w:r>
      </w:hyperlink>
      <w:r w:rsidR="0012628A">
        <w:t xml:space="preserve"> </w:t>
      </w:r>
    </w:p>
    <w:p w14:paraId="6884B57B" w14:textId="77777777" w:rsidR="00FD073D" w:rsidRDefault="00FD073D" w:rsidP="00FD073D"/>
    <w:p w14:paraId="46331E81" w14:textId="3414FC26" w:rsidR="00FD073D" w:rsidRDefault="00FD073D" w:rsidP="00BC2DAF">
      <w:pPr>
        <w:pStyle w:val="ListParagraph"/>
        <w:numPr>
          <w:ilvl w:val="0"/>
          <w:numId w:val="31"/>
        </w:numPr>
      </w:pPr>
      <w:r>
        <w:t xml:space="preserve">Azam, A., Ahmed, A. S., Oves, M., Khan, M. S., Habib, S. S., &amp; Memic, A. (2012). Antimicrobial activity of metal oxide nanoparticles against Gram-positive and Gram-negative bacteria: A comparative study. International Journal of Nanomedicine, 7, 6003-6009. </w:t>
      </w:r>
      <w:hyperlink r:id="rId23" w:history="1">
        <w:r w:rsidR="0012628A" w:rsidRPr="00271B5D">
          <w:rPr>
            <w:rStyle w:val="Hyperlink"/>
          </w:rPr>
          <w:t>https://doi.org/10.2147/IJN.S35347</w:t>
        </w:r>
      </w:hyperlink>
      <w:r w:rsidR="0012628A">
        <w:t xml:space="preserve"> </w:t>
      </w:r>
    </w:p>
    <w:p w14:paraId="32260724" w14:textId="77777777" w:rsidR="00FD073D" w:rsidRDefault="00FD073D" w:rsidP="00FD073D"/>
    <w:p w14:paraId="77ECC678" w14:textId="4B5C8F35" w:rsidR="00FD073D" w:rsidRDefault="00FD073D" w:rsidP="00BC2DAF">
      <w:pPr>
        <w:pStyle w:val="ListParagraph"/>
        <w:numPr>
          <w:ilvl w:val="0"/>
          <w:numId w:val="31"/>
        </w:numPr>
      </w:pPr>
      <w:r>
        <w:t>Bachman, P., Fischer, J., Song, Z., Urbanczyk-</w:t>
      </w:r>
      <w:proofErr w:type="spellStart"/>
      <w:r>
        <w:t>Wochniak</w:t>
      </w:r>
      <w:proofErr w:type="spellEnd"/>
      <w:r>
        <w:t xml:space="preserve">, E., &amp; Watson, G. (2016). Environmental fate and dissipation of applied dsRNA in soil, aquatic systems, and plants. Frontiers in Plant Science, 7, 2001. </w:t>
      </w:r>
      <w:hyperlink r:id="rId24" w:history="1">
        <w:r w:rsidR="0012628A" w:rsidRPr="00271B5D">
          <w:rPr>
            <w:rStyle w:val="Hyperlink"/>
          </w:rPr>
          <w:t>https://doi.org/10.3389/fpls.2016.02001</w:t>
        </w:r>
      </w:hyperlink>
      <w:r w:rsidR="0012628A">
        <w:t xml:space="preserve"> </w:t>
      </w:r>
    </w:p>
    <w:p w14:paraId="5186D3FE" w14:textId="77777777" w:rsidR="00FD073D" w:rsidRDefault="00FD073D" w:rsidP="00FD073D"/>
    <w:p w14:paraId="7E276777" w14:textId="77777777" w:rsidR="006E2E6E" w:rsidRDefault="00FD073D" w:rsidP="00FD073D">
      <w:pPr>
        <w:pStyle w:val="ListParagraph"/>
        <w:numPr>
          <w:ilvl w:val="0"/>
          <w:numId w:val="31"/>
        </w:numPr>
      </w:pPr>
      <w:r>
        <w:t xml:space="preserve">Bachman, P. M., Bolognesi, R., Moar, W. J., Mueller, G. M., Paradise, M. S., </w:t>
      </w:r>
      <w:proofErr w:type="spellStart"/>
      <w:r>
        <w:t>Ramaseshadri</w:t>
      </w:r>
      <w:proofErr w:type="spellEnd"/>
      <w:r>
        <w:t>, P., ... &amp; Levine, S. L. (2013). Characterization of the spectrum of insecticidal activity of a double-stranded RNA with targeted activity against Western Corn Rootworm (</w:t>
      </w:r>
      <w:proofErr w:type="spellStart"/>
      <w:r>
        <w:t>Diabrotica</w:t>
      </w:r>
      <w:proofErr w:type="spellEnd"/>
      <w:r>
        <w:t xml:space="preserve"> </w:t>
      </w:r>
      <w:proofErr w:type="spellStart"/>
      <w:r>
        <w:t>virgifera</w:t>
      </w:r>
      <w:proofErr w:type="spellEnd"/>
      <w:r>
        <w:t xml:space="preserve"> </w:t>
      </w:r>
      <w:proofErr w:type="spellStart"/>
      <w:r>
        <w:t>virgifera</w:t>
      </w:r>
      <w:proofErr w:type="spellEnd"/>
      <w:r>
        <w:t xml:space="preserve"> </w:t>
      </w:r>
      <w:proofErr w:type="spellStart"/>
      <w:r>
        <w:t>LeConte</w:t>
      </w:r>
      <w:proofErr w:type="spellEnd"/>
      <w:r>
        <w:t xml:space="preserve">). Transgenic Research, 22(6), 1207-1222. </w:t>
      </w:r>
      <w:hyperlink r:id="rId25" w:history="1">
        <w:r w:rsidR="0012628A" w:rsidRPr="00271B5D">
          <w:rPr>
            <w:rStyle w:val="Hyperlink"/>
          </w:rPr>
          <w:t>https://doi.org/10.1007/s11248-013-9716-5</w:t>
        </w:r>
      </w:hyperlink>
      <w:r w:rsidR="0012628A">
        <w:t xml:space="preserve"> </w:t>
      </w:r>
    </w:p>
    <w:p w14:paraId="48B93F4F" w14:textId="77777777" w:rsidR="006E2E6E" w:rsidRPr="006E2E6E" w:rsidRDefault="006E2E6E" w:rsidP="006E2E6E">
      <w:pPr>
        <w:pStyle w:val="ListParagraph"/>
        <w:rPr>
          <w:rFonts w:ascii="Arial" w:hAnsi="Arial" w:cs="Arial"/>
          <w:color w:val="222222"/>
          <w:shd w:val="clear" w:color="auto" w:fill="FFFFFF"/>
        </w:rPr>
      </w:pPr>
    </w:p>
    <w:p w14:paraId="5E5B3038" w14:textId="5B94FFD5" w:rsidR="00FD073D" w:rsidRDefault="006E2E6E" w:rsidP="00FD073D">
      <w:pPr>
        <w:pStyle w:val="ListParagraph"/>
        <w:numPr>
          <w:ilvl w:val="0"/>
          <w:numId w:val="31"/>
        </w:numPr>
      </w:pPr>
      <w:r w:rsidRPr="006E2E6E">
        <w:rPr>
          <w:rFonts w:ascii="Arial" w:hAnsi="Arial" w:cs="Arial"/>
          <w:color w:val="222222"/>
          <w:shd w:val="clear" w:color="auto" w:fill="FFFFFF"/>
        </w:rPr>
        <w:t xml:space="preserve">Bass, C., </w:t>
      </w:r>
      <w:proofErr w:type="spellStart"/>
      <w:r w:rsidRPr="006E2E6E">
        <w:rPr>
          <w:rFonts w:ascii="Arial" w:hAnsi="Arial" w:cs="Arial"/>
          <w:color w:val="222222"/>
          <w:shd w:val="clear" w:color="auto" w:fill="FFFFFF"/>
        </w:rPr>
        <w:t>Puinean</w:t>
      </w:r>
      <w:proofErr w:type="spellEnd"/>
      <w:r w:rsidRPr="006E2E6E">
        <w:rPr>
          <w:rFonts w:ascii="Arial" w:hAnsi="Arial" w:cs="Arial"/>
          <w:color w:val="222222"/>
          <w:shd w:val="clear" w:color="auto" w:fill="FFFFFF"/>
        </w:rPr>
        <w:t xml:space="preserve">, A. M., Zimmer, C. T., Denholm, I., Field, L. M., Foster, S. P., ... &amp; Williamson, M. S. (2014). The evolution of insecticide resistance in the peach potato aphid, </w:t>
      </w:r>
      <w:proofErr w:type="spellStart"/>
      <w:r w:rsidRPr="006E2E6E">
        <w:rPr>
          <w:rFonts w:ascii="Arial" w:hAnsi="Arial" w:cs="Arial"/>
          <w:color w:val="222222"/>
          <w:shd w:val="clear" w:color="auto" w:fill="FFFFFF"/>
        </w:rPr>
        <w:t>Myzus</w:t>
      </w:r>
      <w:proofErr w:type="spellEnd"/>
      <w:r w:rsidRPr="006E2E6E">
        <w:rPr>
          <w:rFonts w:ascii="Arial" w:hAnsi="Arial" w:cs="Arial"/>
          <w:color w:val="222222"/>
          <w:shd w:val="clear" w:color="auto" w:fill="FFFFFF"/>
        </w:rPr>
        <w:t xml:space="preserve"> </w:t>
      </w:r>
      <w:proofErr w:type="spellStart"/>
      <w:r w:rsidRPr="006E2E6E">
        <w:rPr>
          <w:rFonts w:ascii="Arial" w:hAnsi="Arial" w:cs="Arial"/>
          <w:color w:val="222222"/>
          <w:shd w:val="clear" w:color="auto" w:fill="FFFFFF"/>
        </w:rPr>
        <w:t>persicae</w:t>
      </w:r>
      <w:proofErr w:type="spellEnd"/>
      <w:r w:rsidRPr="006E2E6E">
        <w:rPr>
          <w:rFonts w:ascii="Arial" w:hAnsi="Arial" w:cs="Arial"/>
          <w:color w:val="222222"/>
          <w:shd w:val="clear" w:color="auto" w:fill="FFFFFF"/>
        </w:rPr>
        <w:t>. </w:t>
      </w:r>
      <w:r w:rsidRPr="006E2E6E">
        <w:rPr>
          <w:rFonts w:ascii="Arial" w:hAnsi="Arial" w:cs="Arial"/>
          <w:i/>
          <w:iCs/>
          <w:color w:val="222222"/>
          <w:shd w:val="clear" w:color="auto" w:fill="FFFFFF"/>
        </w:rPr>
        <w:t>Insect biochemistry and molecular biology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51</w:t>
      </w:r>
      <w:r w:rsidRPr="006E2E6E">
        <w:rPr>
          <w:rFonts w:ascii="Arial" w:hAnsi="Arial" w:cs="Arial"/>
          <w:color w:val="222222"/>
          <w:shd w:val="clear" w:color="auto" w:fill="FFFFFF"/>
        </w:rPr>
        <w:t>, 41-51.</w:t>
      </w:r>
    </w:p>
    <w:p w14:paraId="3A6D6EB1" w14:textId="77777777" w:rsidR="006E2E6E" w:rsidRDefault="00FD073D" w:rsidP="00FD073D">
      <w:pPr>
        <w:pStyle w:val="ListParagraph"/>
        <w:numPr>
          <w:ilvl w:val="0"/>
          <w:numId w:val="31"/>
        </w:numPr>
      </w:pPr>
      <w:r>
        <w:t xml:space="preserve">Batley, G. E., Kirby, J. K., &amp; McLaughlin, M. J. (2013). Fate and risks of nanomaterials in aquatic and terrestrial environments. Accounts of Chemical Research, 46(3), 854-862. </w:t>
      </w:r>
      <w:hyperlink r:id="rId26" w:history="1">
        <w:r w:rsidR="0012628A" w:rsidRPr="00271B5D">
          <w:rPr>
            <w:rStyle w:val="Hyperlink"/>
          </w:rPr>
          <w:t>https://doi.org/10.1021/ar2003368</w:t>
        </w:r>
      </w:hyperlink>
      <w:r w:rsidR="0012628A">
        <w:t xml:space="preserve"> </w:t>
      </w:r>
    </w:p>
    <w:p w14:paraId="6A580C76" w14:textId="1C3F109F" w:rsidR="00FD073D" w:rsidRDefault="006E2E6E" w:rsidP="00FD073D">
      <w:pPr>
        <w:pStyle w:val="ListParagraph"/>
        <w:numPr>
          <w:ilvl w:val="0"/>
          <w:numId w:val="31"/>
        </w:numPr>
      </w:pPr>
      <w:r w:rsidRPr="006E2E6E">
        <w:rPr>
          <w:rFonts w:ascii="Arial" w:hAnsi="Arial" w:cs="Arial"/>
          <w:color w:val="222222"/>
          <w:shd w:val="clear" w:color="auto" w:fill="FFFFFF"/>
        </w:rPr>
        <w:t xml:space="preserve">Bhagat, D., </w:t>
      </w:r>
      <w:proofErr w:type="spellStart"/>
      <w:r w:rsidRPr="006E2E6E">
        <w:rPr>
          <w:rFonts w:ascii="Arial" w:hAnsi="Arial" w:cs="Arial"/>
          <w:color w:val="222222"/>
          <w:shd w:val="clear" w:color="auto" w:fill="FFFFFF"/>
        </w:rPr>
        <w:t>Samanta</w:t>
      </w:r>
      <w:proofErr w:type="spellEnd"/>
      <w:r w:rsidRPr="006E2E6E">
        <w:rPr>
          <w:rFonts w:ascii="Arial" w:hAnsi="Arial" w:cs="Arial"/>
          <w:color w:val="222222"/>
          <w:shd w:val="clear" w:color="auto" w:fill="FFFFFF"/>
        </w:rPr>
        <w:t>, S. K., &amp; Bhattacharya, S. (2013). Efficient management of fruit pests by pheromone nanogels. </w:t>
      </w:r>
      <w:r w:rsidRPr="006E2E6E">
        <w:rPr>
          <w:rFonts w:ascii="Arial" w:hAnsi="Arial" w:cs="Arial"/>
          <w:i/>
          <w:iCs/>
          <w:color w:val="222222"/>
          <w:shd w:val="clear" w:color="auto" w:fill="FFFFFF"/>
        </w:rPr>
        <w:t>Scientific reports</w:t>
      </w:r>
      <w:r w:rsidRPr="006E2E6E">
        <w:rPr>
          <w:rFonts w:ascii="Arial" w:hAnsi="Arial" w:cs="Arial"/>
          <w:color w:val="222222"/>
          <w:shd w:val="clear" w:color="auto" w:fill="FFFFFF"/>
        </w:rPr>
        <w:t>, </w:t>
      </w:r>
      <w:r w:rsidRPr="006E2E6E">
        <w:rPr>
          <w:rFonts w:ascii="Arial" w:hAnsi="Arial" w:cs="Arial"/>
          <w:i/>
          <w:iCs/>
          <w:color w:val="222222"/>
          <w:shd w:val="clear" w:color="auto" w:fill="FFFFFF"/>
        </w:rPr>
        <w:t>3</w:t>
      </w:r>
      <w:r w:rsidRPr="006E2E6E">
        <w:rPr>
          <w:rFonts w:ascii="Arial" w:hAnsi="Arial" w:cs="Arial"/>
          <w:color w:val="222222"/>
          <w:shd w:val="clear" w:color="auto" w:fill="FFFFFF"/>
        </w:rPr>
        <w:t>(1), 1294.</w:t>
      </w:r>
    </w:p>
    <w:p w14:paraId="4EE2F51D" w14:textId="308AF431" w:rsidR="00FD073D" w:rsidRDefault="00FD073D" w:rsidP="00BC2DAF">
      <w:pPr>
        <w:pStyle w:val="ListParagraph"/>
        <w:numPr>
          <w:ilvl w:val="0"/>
          <w:numId w:val="31"/>
        </w:numPr>
      </w:pPr>
      <w:r>
        <w:t xml:space="preserve">Bharti, C., Nagaich, U., Pal, A. K., &amp; Gulati, N. (2015). Mesoporous silica nanoparticles in target drug delivery system: A review. International Journal of Pharmaceutical Investigation, 5(3), 124-133. </w:t>
      </w:r>
      <w:hyperlink r:id="rId27" w:history="1">
        <w:r w:rsidR="0012628A" w:rsidRPr="00271B5D">
          <w:rPr>
            <w:rStyle w:val="Hyperlink"/>
          </w:rPr>
          <w:t>https://doi.org/10.4103/2230-973X.160844</w:t>
        </w:r>
      </w:hyperlink>
      <w:r w:rsidR="0012628A">
        <w:t xml:space="preserve"> </w:t>
      </w:r>
    </w:p>
    <w:p w14:paraId="73E2491A" w14:textId="77777777" w:rsidR="00FD073D" w:rsidRDefault="00FD073D" w:rsidP="00FD073D"/>
    <w:p w14:paraId="4B1B560B" w14:textId="77B712A4" w:rsidR="00FD073D" w:rsidRDefault="00FD073D" w:rsidP="00BC2DAF">
      <w:pPr>
        <w:pStyle w:val="ListParagraph"/>
        <w:numPr>
          <w:ilvl w:val="0"/>
          <w:numId w:val="31"/>
        </w:numPr>
      </w:pPr>
      <w:r>
        <w:t xml:space="preserve">Bian, S. W., </w:t>
      </w:r>
      <w:proofErr w:type="spellStart"/>
      <w:r>
        <w:t>Mudunkotuwa</w:t>
      </w:r>
      <w:proofErr w:type="spellEnd"/>
      <w:r>
        <w:t xml:space="preserve">, I. A., Rupasinghe, T., &amp; </w:t>
      </w:r>
      <w:proofErr w:type="spellStart"/>
      <w:r>
        <w:t>Grassian</w:t>
      </w:r>
      <w:proofErr w:type="spellEnd"/>
      <w:r>
        <w:t xml:space="preserve">, V. H. (2011). Aggregation and dissolution of 4 nm </w:t>
      </w:r>
      <w:proofErr w:type="spellStart"/>
      <w:r>
        <w:t>ZnO</w:t>
      </w:r>
      <w:proofErr w:type="spellEnd"/>
      <w:r>
        <w:t xml:space="preserve"> nanoparticles in aqueous environments: Influence of pH, ionic strength, size, and adsorption of humic acid. Langmuir, 27(10), 6059-6068. </w:t>
      </w:r>
      <w:hyperlink r:id="rId28" w:history="1">
        <w:r w:rsidR="0012628A" w:rsidRPr="00271B5D">
          <w:rPr>
            <w:rStyle w:val="Hyperlink"/>
          </w:rPr>
          <w:t>https://doi.org/10.1021/la200570n</w:t>
        </w:r>
      </w:hyperlink>
      <w:r w:rsidR="0012628A">
        <w:t xml:space="preserve"> </w:t>
      </w:r>
    </w:p>
    <w:p w14:paraId="41968D32" w14:textId="77777777" w:rsidR="00FD073D" w:rsidRDefault="00FD073D" w:rsidP="00FD073D"/>
    <w:p w14:paraId="47B38863" w14:textId="1FC4D461" w:rsidR="00FD073D" w:rsidRDefault="00FD073D" w:rsidP="00BC2DAF">
      <w:pPr>
        <w:pStyle w:val="ListParagraph"/>
        <w:numPr>
          <w:ilvl w:val="0"/>
          <w:numId w:val="31"/>
        </w:numPr>
      </w:pPr>
      <w:r>
        <w:t xml:space="preserve">Bondarenko, O., </w:t>
      </w:r>
      <w:proofErr w:type="spellStart"/>
      <w:r>
        <w:t>Juganson</w:t>
      </w:r>
      <w:proofErr w:type="spellEnd"/>
      <w:r>
        <w:t xml:space="preserve">, K., Ivask, A., Kasemets, K., Mortimer, M., &amp; </w:t>
      </w:r>
      <w:proofErr w:type="spellStart"/>
      <w:r>
        <w:t>Kahru</w:t>
      </w:r>
      <w:proofErr w:type="spellEnd"/>
      <w:r>
        <w:t xml:space="preserve">, A. (2013). Toxicity of Ag, </w:t>
      </w:r>
      <w:proofErr w:type="spellStart"/>
      <w:r>
        <w:t>CuO</w:t>
      </w:r>
      <w:proofErr w:type="spellEnd"/>
      <w:r>
        <w:t xml:space="preserve"> and </w:t>
      </w:r>
      <w:proofErr w:type="spellStart"/>
      <w:r>
        <w:t>ZnO</w:t>
      </w:r>
      <w:proofErr w:type="spellEnd"/>
      <w:r>
        <w:t xml:space="preserve"> nanoparticles to selected environmentally relevant test organisms and mammalian cells in vitro: A critical review. Archives of Toxicology, 87(7), 1181-1200. </w:t>
      </w:r>
      <w:hyperlink r:id="rId29" w:history="1">
        <w:r w:rsidR="00CE6425" w:rsidRPr="00271B5D">
          <w:rPr>
            <w:rStyle w:val="Hyperlink"/>
          </w:rPr>
          <w:t>https://doi.org/10.1007/s00204-013-1079-4</w:t>
        </w:r>
      </w:hyperlink>
      <w:r w:rsidR="00CE6425">
        <w:t xml:space="preserve"> </w:t>
      </w:r>
    </w:p>
    <w:p w14:paraId="4D8413E8" w14:textId="77777777" w:rsidR="00FD073D" w:rsidRDefault="00FD073D" w:rsidP="00FD073D"/>
    <w:p w14:paraId="5EFC923B" w14:textId="4892B776" w:rsidR="00FD073D" w:rsidRDefault="00FD073D" w:rsidP="00BC2DAF">
      <w:pPr>
        <w:pStyle w:val="ListParagraph"/>
        <w:numPr>
          <w:ilvl w:val="0"/>
          <w:numId w:val="31"/>
        </w:numPr>
      </w:pPr>
      <w:r>
        <w:t xml:space="preserve">Bottrell, D. G., &amp; Schoenly, K. G. (2012). Resurrecting the ghost of green revolutions past: The brown planthopper as a recurring threat to high-yielding rice production in tropical Asia. Journal of Asia-Pacific Entomology, 15(1), 122-140. </w:t>
      </w:r>
      <w:hyperlink r:id="rId30" w:history="1">
        <w:r w:rsidR="00CE6425" w:rsidRPr="00271B5D">
          <w:rPr>
            <w:rStyle w:val="Hyperlink"/>
          </w:rPr>
          <w:t>https://doi.org/10.1016/j.aspen.2011.09.004</w:t>
        </w:r>
      </w:hyperlink>
      <w:r w:rsidR="00CE6425">
        <w:t xml:space="preserve"> </w:t>
      </w:r>
    </w:p>
    <w:p w14:paraId="66D3E0B0" w14:textId="77777777" w:rsidR="00FD073D" w:rsidRDefault="00FD073D" w:rsidP="00FD073D"/>
    <w:p w14:paraId="16DFB355" w14:textId="77777777" w:rsidR="00FD073D" w:rsidRDefault="00FD073D" w:rsidP="00FD073D"/>
    <w:p w14:paraId="2EA5FB9E" w14:textId="77777777" w:rsidR="006E2E6E" w:rsidRDefault="00FD073D" w:rsidP="00FD073D">
      <w:pPr>
        <w:pStyle w:val="ListParagraph"/>
        <w:numPr>
          <w:ilvl w:val="0"/>
          <w:numId w:val="31"/>
        </w:numPr>
      </w:pPr>
      <w:r>
        <w:t xml:space="preserve">Cagliari, D., Dias, N. P., Galdeano, D. M., dos Santos, E. Á., </w:t>
      </w:r>
      <w:proofErr w:type="spellStart"/>
      <w:r>
        <w:t>Smagghe</w:t>
      </w:r>
      <w:proofErr w:type="spellEnd"/>
      <w:r>
        <w:t xml:space="preserve">, G., &amp; Zotti, M. J. (2019). Management of pest insects and plant diseases by non-transformative RNAi. Frontiers in Plant Science, 10, 1319. </w:t>
      </w:r>
      <w:hyperlink r:id="rId31" w:history="1">
        <w:r w:rsidR="0012628A" w:rsidRPr="00271B5D">
          <w:rPr>
            <w:rStyle w:val="Hyperlink"/>
          </w:rPr>
          <w:t>https://doi.org/10.3389/fpls.2019.01319</w:t>
        </w:r>
      </w:hyperlink>
      <w:r w:rsidR="0012628A">
        <w:t xml:space="preserve"> </w:t>
      </w:r>
    </w:p>
    <w:p w14:paraId="784B8402" w14:textId="75E6B476" w:rsidR="00FD073D" w:rsidRDefault="006E2E6E" w:rsidP="00FD073D">
      <w:pPr>
        <w:pStyle w:val="ListParagraph"/>
        <w:numPr>
          <w:ilvl w:val="0"/>
          <w:numId w:val="31"/>
        </w:numPr>
      </w:pPr>
      <w:r w:rsidRPr="006E2E6E">
        <w:rPr>
          <w:rFonts w:ascii="Arial" w:hAnsi="Arial" w:cs="Arial"/>
          <w:color w:val="222222"/>
          <w:shd w:val="clear" w:color="auto" w:fill="FFFFFF"/>
        </w:rPr>
        <w:t xml:space="preserve">Campos, E. V. R., de Oliveira, J. L., </w:t>
      </w:r>
      <w:proofErr w:type="spellStart"/>
      <w:r w:rsidRPr="006E2E6E">
        <w:rPr>
          <w:rFonts w:ascii="Arial" w:hAnsi="Arial" w:cs="Arial"/>
          <w:color w:val="222222"/>
          <w:shd w:val="clear" w:color="auto" w:fill="FFFFFF"/>
        </w:rPr>
        <w:t>Fraceto</w:t>
      </w:r>
      <w:proofErr w:type="spellEnd"/>
      <w:r w:rsidRPr="006E2E6E">
        <w:rPr>
          <w:rFonts w:ascii="Arial" w:hAnsi="Arial" w:cs="Arial"/>
          <w:color w:val="222222"/>
          <w:shd w:val="clear" w:color="auto" w:fill="FFFFFF"/>
        </w:rPr>
        <w:t>, L. F., &amp; Singh, B. (2015). Polysaccharides as safer release systems for agrochemicals. </w:t>
      </w:r>
      <w:r w:rsidRPr="006E2E6E">
        <w:rPr>
          <w:rFonts w:ascii="Arial" w:hAnsi="Arial" w:cs="Arial"/>
          <w:i/>
          <w:iCs/>
          <w:color w:val="222222"/>
          <w:shd w:val="clear" w:color="auto" w:fill="FFFFFF"/>
        </w:rPr>
        <w:t>Agronomy for sustainable development</w:t>
      </w:r>
      <w:r w:rsidRPr="006E2E6E">
        <w:rPr>
          <w:rFonts w:ascii="Arial" w:hAnsi="Arial" w:cs="Arial"/>
          <w:color w:val="222222"/>
          <w:shd w:val="clear" w:color="auto" w:fill="FFFFFF"/>
        </w:rPr>
        <w:t>, </w:t>
      </w:r>
      <w:r w:rsidRPr="006E2E6E">
        <w:rPr>
          <w:rFonts w:ascii="Arial" w:hAnsi="Arial" w:cs="Arial"/>
          <w:i/>
          <w:iCs/>
          <w:color w:val="222222"/>
          <w:shd w:val="clear" w:color="auto" w:fill="FFFFFF"/>
        </w:rPr>
        <w:t>35</w:t>
      </w:r>
      <w:r w:rsidRPr="006E2E6E">
        <w:rPr>
          <w:rFonts w:ascii="Arial" w:hAnsi="Arial" w:cs="Arial"/>
          <w:color w:val="222222"/>
          <w:shd w:val="clear" w:color="auto" w:fill="FFFFFF"/>
        </w:rPr>
        <w:t>(1), 47-66.</w:t>
      </w:r>
    </w:p>
    <w:p w14:paraId="06A77CDF" w14:textId="77777777" w:rsidR="006E2E6E" w:rsidRDefault="00FD073D" w:rsidP="00FD073D">
      <w:pPr>
        <w:pStyle w:val="ListParagraph"/>
        <w:numPr>
          <w:ilvl w:val="0"/>
          <w:numId w:val="31"/>
        </w:numPr>
      </w:pPr>
      <w:r>
        <w:t xml:space="preserve">Cao, L., Zhou, Z., Niu, M., Sun, X., Xin, X., Zhang, J., ... &amp; Qiu, X. (2016). Positive-charge functionalized mesoporous silica nanoparticles as nanocarriers for controlled 2,4-dichlorophenoxyacetic acid sodium salt release. Journal of Agricultural and Food Chemistry, 64(9), 2016-2024. </w:t>
      </w:r>
      <w:hyperlink r:id="rId32" w:history="1">
        <w:r w:rsidR="0012628A" w:rsidRPr="00271B5D">
          <w:rPr>
            <w:rStyle w:val="Hyperlink"/>
          </w:rPr>
          <w:t>https://doi.org/10.1021/acs.jafc.5b06093</w:t>
        </w:r>
      </w:hyperlink>
      <w:r w:rsidR="0012628A">
        <w:t xml:space="preserve"> </w:t>
      </w:r>
    </w:p>
    <w:p w14:paraId="5953BB48" w14:textId="52183B4B" w:rsidR="00FD073D" w:rsidRDefault="006E2E6E" w:rsidP="00FD073D">
      <w:pPr>
        <w:pStyle w:val="ListParagraph"/>
        <w:numPr>
          <w:ilvl w:val="0"/>
          <w:numId w:val="31"/>
        </w:numPr>
      </w:pPr>
      <w:r w:rsidRPr="006E2E6E">
        <w:rPr>
          <w:rFonts w:ascii="Arial" w:hAnsi="Arial" w:cs="Arial"/>
          <w:color w:val="222222"/>
          <w:shd w:val="clear" w:color="auto" w:fill="FFFFFF"/>
        </w:rPr>
        <w:t xml:space="preserve">Cao, L., Zhou, Z., </w:t>
      </w:r>
      <w:proofErr w:type="spellStart"/>
      <w:r w:rsidRPr="006E2E6E">
        <w:rPr>
          <w:rFonts w:ascii="Arial" w:hAnsi="Arial" w:cs="Arial"/>
          <w:color w:val="222222"/>
          <w:shd w:val="clear" w:color="auto" w:fill="FFFFFF"/>
        </w:rPr>
        <w:t>Niu</w:t>
      </w:r>
      <w:proofErr w:type="spellEnd"/>
      <w:r w:rsidRPr="006E2E6E">
        <w:rPr>
          <w:rFonts w:ascii="Arial" w:hAnsi="Arial" w:cs="Arial"/>
          <w:color w:val="222222"/>
          <w:shd w:val="clear" w:color="auto" w:fill="FFFFFF"/>
        </w:rPr>
        <w:t>, S., Cao, C., Li, X., Shan, Y., &amp; Huang, Q. (2017). Positive-charge functionalized mesoporous silica nanoparticles as nanocarriers for controlled 2, 4-dichlorophenoxy acetic acid sodium salt release. </w:t>
      </w:r>
      <w:r w:rsidRPr="006E2E6E">
        <w:rPr>
          <w:rFonts w:ascii="Arial" w:hAnsi="Arial" w:cs="Arial"/>
          <w:i/>
          <w:iCs/>
          <w:color w:val="222222"/>
          <w:shd w:val="clear" w:color="auto" w:fill="FFFFFF"/>
        </w:rPr>
        <w:t>Journal of agricultural and food chemistry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66</w:t>
      </w:r>
      <w:r w:rsidRPr="006E2E6E">
        <w:rPr>
          <w:rFonts w:ascii="Arial" w:hAnsi="Arial" w:cs="Arial"/>
          <w:color w:val="222222"/>
          <w:shd w:val="clear" w:color="auto" w:fill="FFFFFF"/>
        </w:rPr>
        <w:t>(26), 6594-6603.</w:t>
      </w:r>
    </w:p>
    <w:p w14:paraId="7C4496D0" w14:textId="46A2AC5A" w:rsidR="00FD073D" w:rsidRDefault="00FD073D" w:rsidP="00BC2DAF">
      <w:pPr>
        <w:pStyle w:val="ListParagraph"/>
        <w:numPr>
          <w:ilvl w:val="0"/>
          <w:numId w:val="31"/>
        </w:numPr>
      </w:pPr>
      <w:proofErr w:type="spellStart"/>
      <w:r>
        <w:lastRenderedPageBreak/>
        <w:t>Cappelle</w:t>
      </w:r>
      <w:proofErr w:type="spellEnd"/>
      <w:r>
        <w:t xml:space="preserve">, K., de Oliveira, C. F., Van Eynde, B., Christiaens, O., &amp; </w:t>
      </w:r>
      <w:proofErr w:type="spellStart"/>
      <w:r>
        <w:t>Smagghe</w:t>
      </w:r>
      <w:proofErr w:type="spellEnd"/>
      <w:r>
        <w:t xml:space="preserve">, G. (2016). The involvement of </w:t>
      </w:r>
      <w:proofErr w:type="spellStart"/>
      <w:r>
        <w:t>clathrin</w:t>
      </w:r>
      <w:proofErr w:type="spellEnd"/>
      <w:r>
        <w:t xml:space="preserve">-mediated endocytosis and two Sid-1-like transmembrane proteins in double-stranded RNA uptake in the Colorado potato beetle midgut. Insect Molecular Biology, 25(3), 315-323. </w:t>
      </w:r>
      <w:hyperlink r:id="rId33" w:history="1">
        <w:r w:rsidR="0012628A" w:rsidRPr="00271B5D">
          <w:rPr>
            <w:rStyle w:val="Hyperlink"/>
          </w:rPr>
          <w:t>https://doi.org/10.1111/imb.12222</w:t>
        </w:r>
      </w:hyperlink>
      <w:r w:rsidR="0012628A">
        <w:t xml:space="preserve"> </w:t>
      </w:r>
    </w:p>
    <w:p w14:paraId="1ABF2CDF" w14:textId="77777777" w:rsidR="00FD073D" w:rsidRDefault="00FD073D" w:rsidP="00FD073D"/>
    <w:p w14:paraId="33291B76" w14:textId="0D378952" w:rsidR="00FD073D" w:rsidRDefault="00FD073D" w:rsidP="00BC2DAF">
      <w:pPr>
        <w:pStyle w:val="ListParagraph"/>
        <w:numPr>
          <w:ilvl w:val="0"/>
          <w:numId w:val="31"/>
        </w:numPr>
      </w:pPr>
      <w:r>
        <w:t xml:space="preserve">Chagnon, M., </w:t>
      </w:r>
      <w:proofErr w:type="spellStart"/>
      <w:r>
        <w:t>Kreutzweiser</w:t>
      </w:r>
      <w:proofErr w:type="spellEnd"/>
      <w:r>
        <w:t xml:space="preserve">, D., Mitchell, E. A., Morrissey, C. A., </w:t>
      </w:r>
      <w:proofErr w:type="spellStart"/>
      <w:r>
        <w:t>Noome</w:t>
      </w:r>
      <w:proofErr w:type="spellEnd"/>
      <w:r>
        <w:t xml:space="preserve">, D. A., &amp; Van der Sluijs, J. P. (2015). Risks of large-scale use of systemic insecticides to ecosystem functioning and services. Environmental Science and Pollution Research, 22(1), 119-134. </w:t>
      </w:r>
      <w:hyperlink r:id="rId34" w:history="1">
        <w:r w:rsidR="0012628A" w:rsidRPr="00271B5D">
          <w:rPr>
            <w:rStyle w:val="Hyperlink"/>
          </w:rPr>
          <w:t>https://doi.org/10.1007/s11356-014-3277-x</w:t>
        </w:r>
      </w:hyperlink>
      <w:r w:rsidR="0012628A">
        <w:t xml:space="preserve"> </w:t>
      </w:r>
    </w:p>
    <w:p w14:paraId="4B0F5D67" w14:textId="77777777" w:rsidR="00FD073D" w:rsidRDefault="00FD073D" w:rsidP="00FD073D"/>
    <w:p w14:paraId="277F0299" w14:textId="622EFCFB" w:rsidR="00FD073D" w:rsidRDefault="00FD073D" w:rsidP="00BC2DAF">
      <w:pPr>
        <w:pStyle w:val="ListParagraph"/>
        <w:numPr>
          <w:ilvl w:val="0"/>
          <w:numId w:val="31"/>
        </w:numPr>
      </w:pPr>
      <w:r>
        <w:t xml:space="preserve">Chatterjee, A. K., Chakraborty, R., &amp; Basu, T. (2014). Mechanism of antibacterial activity of copper nanoparticles. Nanotechnology, 25(13), 135101. </w:t>
      </w:r>
      <w:hyperlink r:id="rId35" w:history="1">
        <w:r w:rsidR="0012628A" w:rsidRPr="00271B5D">
          <w:rPr>
            <w:rStyle w:val="Hyperlink"/>
          </w:rPr>
          <w:t>https://doi.org/10.1088/0957-4484/25/13/135101</w:t>
        </w:r>
      </w:hyperlink>
      <w:r w:rsidR="0012628A">
        <w:t xml:space="preserve"> </w:t>
      </w:r>
    </w:p>
    <w:p w14:paraId="4E937AAD" w14:textId="77777777" w:rsidR="00FD073D" w:rsidRDefault="00FD073D" w:rsidP="00FD073D"/>
    <w:p w14:paraId="2A21C91A" w14:textId="77777777" w:rsidR="006E2E6E" w:rsidRDefault="00FD073D" w:rsidP="00FD073D">
      <w:pPr>
        <w:pStyle w:val="ListParagraph"/>
        <w:numPr>
          <w:ilvl w:val="0"/>
          <w:numId w:val="31"/>
        </w:numPr>
      </w:pPr>
      <w:r>
        <w:t xml:space="preserve">Chaudhari, A. K., Singh, V. K., Kedia, A., Das, S., &amp; Dubey, N. K. (2021). Essential oils and their bioactive compounds as eco-friendly novel green pesticides for management of storage insect pests: Prospects and </w:t>
      </w:r>
      <w:proofErr w:type="spellStart"/>
      <w:r>
        <w:t>retrospects</w:t>
      </w:r>
      <w:proofErr w:type="spellEnd"/>
      <w:r>
        <w:t xml:space="preserve">. Environmental Science and Pollution Research, 28(15), 18918-18940. </w:t>
      </w:r>
      <w:hyperlink r:id="rId36" w:history="1">
        <w:r w:rsidR="0012628A" w:rsidRPr="00271B5D">
          <w:rPr>
            <w:rStyle w:val="Hyperlink"/>
          </w:rPr>
          <w:t>https://doi.org/10.1007/s11356-021-12841-w</w:t>
        </w:r>
      </w:hyperlink>
      <w:r w:rsidR="0012628A">
        <w:t xml:space="preserve"> </w:t>
      </w:r>
    </w:p>
    <w:p w14:paraId="6D2CB90B" w14:textId="77777777" w:rsidR="006E2E6E" w:rsidRPr="006E2E6E" w:rsidRDefault="006E2E6E" w:rsidP="006E2E6E">
      <w:pPr>
        <w:pStyle w:val="ListParagraph"/>
        <w:rPr>
          <w:rFonts w:ascii="Arial" w:hAnsi="Arial" w:cs="Arial"/>
          <w:color w:val="222222"/>
          <w:shd w:val="clear" w:color="auto" w:fill="FFFFFF"/>
        </w:rPr>
      </w:pPr>
    </w:p>
    <w:p w14:paraId="35557344" w14:textId="77777777" w:rsidR="006E2E6E" w:rsidRPr="006E2E6E" w:rsidRDefault="006E2E6E" w:rsidP="00FD073D">
      <w:pPr>
        <w:pStyle w:val="ListParagraph"/>
        <w:numPr>
          <w:ilvl w:val="0"/>
          <w:numId w:val="31"/>
        </w:numPr>
      </w:pPr>
      <w:r w:rsidRPr="006E2E6E">
        <w:rPr>
          <w:rFonts w:ascii="Arial" w:hAnsi="Arial" w:cs="Arial"/>
          <w:color w:val="222222"/>
          <w:shd w:val="clear" w:color="auto" w:fill="FFFFFF"/>
        </w:rPr>
        <w:t>Cheema, A. I., Ahmed, T., Abbas, A., Noman, M., Zubair, M., &amp; Shahid, M. (2022). Antimicrobial activity of the biologically synthesized zinc oxide nanoparticles against important rice pathogens. </w:t>
      </w:r>
      <w:r w:rsidRPr="006E2E6E">
        <w:rPr>
          <w:rFonts w:ascii="Arial" w:hAnsi="Arial" w:cs="Arial"/>
          <w:i/>
          <w:iCs/>
          <w:color w:val="222222"/>
          <w:shd w:val="clear" w:color="auto" w:fill="FFFFFF"/>
        </w:rPr>
        <w:t>Physiology and Molecular Biology of Plants</w:t>
      </w:r>
      <w:r w:rsidRPr="006E2E6E">
        <w:rPr>
          <w:rFonts w:ascii="Arial" w:hAnsi="Arial" w:cs="Arial"/>
          <w:color w:val="222222"/>
          <w:shd w:val="clear" w:color="auto" w:fill="FFFFFF"/>
        </w:rPr>
        <w:t>, </w:t>
      </w:r>
      <w:r w:rsidRPr="006E2E6E">
        <w:rPr>
          <w:rFonts w:ascii="Arial" w:hAnsi="Arial" w:cs="Arial"/>
          <w:i/>
          <w:iCs/>
          <w:color w:val="222222"/>
          <w:shd w:val="clear" w:color="auto" w:fill="FFFFFF"/>
        </w:rPr>
        <w:t>28</w:t>
      </w:r>
      <w:r w:rsidRPr="006E2E6E">
        <w:rPr>
          <w:rFonts w:ascii="Arial" w:hAnsi="Arial" w:cs="Arial"/>
          <w:color w:val="222222"/>
          <w:shd w:val="clear" w:color="auto" w:fill="FFFFFF"/>
        </w:rPr>
        <w:t>(10), 1955-1967.</w:t>
      </w:r>
    </w:p>
    <w:p w14:paraId="2A33BED0" w14:textId="77777777" w:rsidR="006E2E6E" w:rsidRPr="006E2E6E" w:rsidRDefault="006E2E6E" w:rsidP="006E2E6E">
      <w:pPr>
        <w:pStyle w:val="ListParagraph"/>
        <w:rPr>
          <w:rFonts w:ascii="Arial" w:hAnsi="Arial" w:cs="Arial"/>
          <w:color w:val="222222"/>
          <w:shd w:val="clear" w:color="auto" w:fill="FFFFFF"/>
        </w:rPr>
      </w:pPr>
    </w:p>
    <w:p w14:paraId="714D46EB" w14:textId="77777777" w:rsidR="006E2E6E" w:rsidRPr="006E2E6E" w:rsidRDefault="006E2E6E" w:rsidP="00FD073D">
      <w:pPr>
        <w:pStyle w:val="ListParagraph"/>
        <w:numPr>
          <w:ilvl w:val="0"/>
          <w:numId w:val="31"/>
        </w:numPr>
      </w:pPr>
      <w:r w:rsidRPr="006E2E6E">
        <w:rPr>
          <w:rFonts w:ascii="Arial" w:hAnsi="Arial" w:cs="Arial"/>
          <w:color w:val="222222"/>
          <w:shd w:val="clear" w:color="auto" w:fill="FFFFFF"/>
        </w:rPr>
        <w:t>Chen, J., Peng, H., Wang, X., Shao, F., Yuan, Z., &amp; Han, H. (2014). Graphene oxide exhibits broad-spectrum antimicrobial activity against bacterial phytopathogens and fungal conidia by intertwining and membrane perturbation. </w:t>
      </w:r>
      <w:r w:rsidRPr="006E2E6E">
        <w:rPr>
          <w:rFonts w:ascii="Arial" w:hAnsi="Arial" w:cs="Arial"/>
          <w:i/>
          <w:iCs/>
          <w:color w:val="222222"/>
          <w:shd w:val="clear" w:color="auto" w:fill="FFFFFF"/>
        </w:rPr>
        <w:t>Nanoscale</w:t>
      </w:r>
      <w:r w:rsidRPr="006E2E6E">
        <w:rPr>
          <w:rFonts w:ascii="Arial" w:hAnsi="Arial" w:cs="Arial"/>
          <w:color w:val="222222"/>
          <w:shd w:val="clear" w:color="auto" w:fill="FFFFFF"/>
        </w:rPr>
        <w:t>, </w:t>
      </w:r>
      <w:r w:rsidRPr="006E2E6E">
        <w:rPr>
          <w:rFonts w:ascii="Arial" w:hAnsi="Arial" w:cs="Arial"/>
          <w:i/>
          <w:iCs/>
          <w:color w:val="222222"/>
          <w:shd w:val="clear" w:color="auto" w:fill="FFFFFF"/>
        </w:rPr>
        <w:t>6</w:t>
      </w:r>
      <w:r w:rsidRPr="006E2E6E">
        <w:rPr>
          <w:rFonts w:ascii="Arial" w:hAnsi="Arial" w:cs="Arial"/>
          <w:color w:val="222222"/>
          <w:shd w:val="clear" w:color="auto" w:fill="FFFFFF"/>
        </w:rPr>
        <w:t>(3), 1879-1889.</w:t>
      </w:r>
    </w:p>
    <w:p w14:paraId="3CA68701" w14:textId="77777777" w:rsidR="006E2E6E" w:rsidRPr="006E2E6E" w:rsidRDefault="006E2E6E" w:rsidP="006E2E6E">
      <w:pPr>
        <w:pStyle w:val="ListParagraph"/>
        <w:rPr>
          <w:rFonts w:ascii="Arial" w:hAnsi="Arial" w:cs="Arial"/>
          <w:color w:val="222222"/>
          <w:shd w:val="clear" w:color="auto" w:fill="FFFFFF"/>
        </w:rPr>
      </w:pPr>
    </w:p>
    <w:p w14:paraId="059DEF04" w14:textId="77777777" w:rsidR="006E2E6E" w:rsidRPr="006E2E6E" w:rsidRDefault="006E2E6E" w:rsidP="00FD073D">
      <w:pPr>
        <w:pStyle w:val="ListParagraph"/>
        <w:numPr>
          <w:ilvl w:val="0"/>
          <w:numId w:val="31"/>
        </w:numPr>
      </w:pPr>
      <w:r w:rsidRPr="006E2E6E">
        <w:rPr>
          <w:rFonts w:ascii="Arial" w:hAnsi="Arial" w:cs="Arial"/>
          <w:color w:val="222222"/>
          <w:shd w:val="clear" w:color="auto" w:fill="FFFFFF"/>
        </w:rPr>
        <w:t xml:space="preserve">Chen, X., Tian, H., Zou, L., Tang, B., Hu, J., &amp; Zhang, W. (2008). Disruption of </w:t>
      </w:r>
      <w:proofErr w:type="spellStart"/>
      <w:r w:rsidRPr="006E2E6E">
        <w:rPr>
          <w:rFonts w:ascii="Arial" w:hAnsi="Arial" w:cs="Arial"/>
          <w:color w:val="222222"/>
          <w:shd w:val="clear" w:color="auto" w:fill="FFFFFF"/>
        </w:rPr>
        <w:t>Spodoptera</w:t>
      </w:r>
      <w:proofErr w:type="spellEnd"/>
      <w:r w:rsidRPr="006E2E6E">
        <w:rPr>
          <w:rFonts w:ascii="Arial" w:hAnsi="Arial" w:cs="Arial"/>
          <w:color w:val="222222"/>
          <w:shd w:val="clear" w:color="auto" w:fill="FFFFFF"/>
        </w:rPr>
        <w:t xml:space="preserve"> </w:t>
      </w:r>
      <w:proofErr w:type="spellStart"/>
      <w:r w:rsidRPr="006E2E6E">
        <w:rPr>
          <w:rFonts w:ascii="Arial" w:hAnsi="Arial" w:cs="Arial"/>
          <w:color w:val="222222"/>
          <w:shd w:val="clear" w:color="auto" w:fill="FFFFFF"/>
        </w:rPr>
        <w:t>exigua</w:t>
      </w:r>
      <w:proofErr w:type="spellEnd"/>
      <w:r w:rsidRPr="006E2E6E">
        <w:rPr>
          <w:rFonts w:ascii="Arial" w:hAnsi="Arial" w:cs="Arial"/>
          <w:color w:val="222222"/>
          <w:shd w:val="clear" w:color="auto" w:fill="FFFFFF"/>
        </w:rPr>
        <w:t xml:space="preserve"> larval development by silencing chitin synthase gene A with RNA interference. </w:t>
      </w:r>
      <w:r w:rsidRPr="006E2E6E">
        <w:rPr>
          <w:rFonts w:ascii="Arial" w:hAnsi="Arial" w:cs="Arial"/>
          <w:i/>
          <w:iCs/>
          <w:color w:val="222222"/>
          <w:shd w:val="clear" w:color="auto" w:fill="FFFFFF"/>
        </w:rPr>
        <w:t>Bulletin of Entomological Research</w:t>
      </w:r>
      <w:r w:rsidRPr="006E2E6E">
        <w:rPr>
          <w:rFonts w:ascii="Arial" w:hAnsi="Arial" w:cs="Arial"/>
          <w:color w:val="222222"/>
          <w:shd w:val="clear" w:color="auto" w:fill="FFFFFF"/>
        </w:rPr>
        <w:t>, </w:t>
      </w:r>
      <w:r w:rsidRPr="006E2E6E">
        <w:rPr>
          <w:rFonts w:ascii="Arial" w:hAnsi="Arial" w:cs="Arial"/>
          <w:i/>
          <w:iCs/>
          <w:color w:val="222222"/>
          <w:shd w:val="clear" w:color="auto" w:fill="FFFFFF"/>
        </w:rPr>
        <w:t>98</w:t>
      </w:r>
      <w:r w:rsidRPr="006E2E6E">
        <w:rPr>
          <w:rFonts w:ascii="Arial" w:hAnsi="Arial" w:cs="Arial"/>
          <w:color w:val="222222"/>
          <w:shd w:val="clear" w:color="auto" w:fill="FFFFFF"/>
        </w:rPr>
        <w:t>(6), 613-619.</w:t>
      </w:r>
    </w:p>
    <w:p w14:paraId="16E72D92" w14:textId="77777777" w:rsidR="006E2E6E" w:rsidRPr="006E2E6E" w:rsidRDefault="006E2E6E" w:rsidP="006E2E6E">
      <w:pPr>
        <w:pStyle w:val="ListParagraph"/>
        <w:rPr>
          <w:rFonts w:ascii="Arial" w:hAnsi="Arial" w:cs="Arial"/>
          <w:color w:val="222222"/>
          <w:shd w:val="clear" w:color="auto" w:fill="FFFFFF"/>
        </w:rPr>
      </w:pPr>
    </w:p>
    <w:p w14:paraId="5F127973" w14:textId="14791EC4" w:rsidR="00FD073D" w:rsidRDefault="006E2E6E" w:rsidP="00FD073D">
      <w:pPr>
        <w:pStyle w:val="ListParagraph"/>
        <w:numPr>
          <w:ilvl w:val="0"/>
          <w:numId w:val="31"/>
        </w:numPr>
      </w:pPr>
      <w:r w:rsidRPr="006E2E6E">
        <w:rPr>
          <w:rFonts w:ascii="Arial" w:hAnsi="Arial" w:cs="Arial"/>
          <w:color w:val="222222"/>
          <w:shd w:val="clear" w:color="auto" w:fill="FFFFFF"/>
        </w:rPr>
        <w:t>Choi, S. J., Oh, J. M., &amp; Choy, J. H. (2009). Toxicological effects of inorganic nanoparticles on human lung cancer A549 cells. </w:t>
      </w:r>
      <w:r w:rsidRPr="006E2E6E">
        <w:rPr>
          <w:rFonts w:ascii="Arial" w:hAnsi="Arial" w:cs="Arial"/>
          <w:i/>
          <w:iCs/>
          <w:color w:val="222222"/>
          <w:shd w:val="clear" w:color="auto" w:fill="FFFFFF"/>
        </w:rPr>
        <w:t>Journal of inorganic biochemistry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103</w:t>
      </w:r>
      <w:r w:rsidRPr="006E2E6E">
        <w:rPr>
          <w:rFonts w:ascii="Arial" w:hAnsi="Arial" w:cs="Arial"/>
          <w:color w:val="222222"/>
          <w:shd w:val="clear" w:color="auto" w:fill="FFFFFF"/>
        </w:rPr>
        <w:t>(3), 463-471.</w:t>
      </w:r>
    </w:p>
    <w:p w14:paraId="62CA1F4B" w14:textId="2C668E61" w:rsidR="00FD073D" w:rsidRDefault="00FD073D" w:rsidP="00BC2DAF">
      <w:pPr>
        <w:pStyle w:val="ListParagraph"/>
        <w:numPr>
          <w:ilvl w:val="0"/>
          <w:numId w:val="31"/>
        </w:numPr>
      </w:pPr>
      <w:r>
        <w:t xml:space="preserve">Choudhary, R. C., Kumaraswamy, R. V., Kumari, S., Sharma, S. S., Pal, A., Raliya, R., ... &amp; Saharan, V. (2017). Cu-chitosan nanoparticle boost defense responses and plant growth in maize (Zea mays L.). Scientific Reports, 7(1), 9754. </w:t>
      </w:r>
      <w:hyperlink r:id="rId37" w:history="1">
        <w:r w:rsidR="0012628A" w:rsidRPr="00271B5D">
          <w:rPr>
            <w:rStyle w:val="Hyperlink"/>
          </w:rPr>
          <w:t>https://doi.org/10.1038/s41598-017-08571-0</w:t>
        </w:r>
      </w:hyperlink>
      <w:r w:rsidR="0012628A">
        <w:t xml:space="preserve"> </w:t>
      </w:r>
    </w:p>
    <w:p w14:paraId="7F1F7D5F" w14:textId="77777777" w:rsidR="00FD073D" w:rsidRDefault="00FD073D" w:rsidP="00FD073D"/>
    <w:p w14:paraId="7619B2C0" w14:textId="6BFF0043" w:rsidR="00FD073D" w:rsidRDefault="00FD073D" w:rsidP="00BC2DAF">
      <w:pPr>
        <w:pStyle w:val="ListParagraph"/>
        <w:numPr>
          <w:ilvl w:val="0"/>
          <w:numId w:val="31"/>
        </w:numPr>
      </w:pPr>
      <w:r>
        <w:t xml:space="preserve">Christiaens, O., Whyard, S., Vélez, A. M., &amp; </w:t>
      </w:r>
      <w:proofErr w:type="spellStart"/>
      <w:r>
        <w:t>Smagghe</w:t>
      </w:r>
      <w:proofErr w:type="spellEnd"/>
      <w:r>
        <w:t xml:space="preserve">, G. (2020). Double-stranded RNA technology to control insect pests: Current status and challenges. Frontiers in Plant Science, 11, 451. </w:t>
      </w:r>
      <w:hyperlink r:id="rId38" w:history="1">
        <w:r w:rsidR="0012628A" w:rsidRPr="00271B5D">
          <w:rPr>
            <w:rStyle w:val="Hyperlink"/>
          </w:rPr>
          <w:t>https://doi.org/10.3389/fpls.2020.00451</w:t>
        </w:r>
      </w:hyperlink>
      <w:r w:rsidR="0012628A">
        <w:t xml:space="preserve"> </w:t>
      </w:r>
    </w:p>
    <w:p w14:paraId="52EB58B9" w14:textId="77777777" w:rsidR="00FD073D" w:rsidRDefault="00FD073D" w:rsidP="00FD073D"/>
    <w:p w14:paraId="29B79D7B" w14:textId="07C0A14A" w:rsidR="00FD073D" w:rsidRDefault="00FD073D" w:rsidP="00BC2DAF">
      <w:pPr>
        <w:pStyle w:val="ListParagraph"/>
        <w:numPr>
          <w:ilvl w:val="0"/>
          <w:numId w:val="31"/>
        </w:numPr>
      </w:pPr>
      <w:r>
        <w:t xml:space="preserve">Colman, B. P., Arnaout, C. L., Anciaux, S., Gunsch, C. K., </w:t>
      </w:r>
      <w:proofErr w:type="spellStart"/>
      <w:r>
        <w:t>Hochella</w:t>
      </w:r>
      <w:proofErr w:type="spellEnd"/>
      <w:r>
        <w:t xml:space="preserve">, M. F., Kim, B., ... &amp; Bernhardt, E. S. (2013). Low concentrations of silver nanoparticles in biosolids cause adverse ecosystem responses under realistic field scenario. </w:t>
      </w:r>
      <w:proofErr w:type="spellStart"/>
      <w:r>
        <w:t>PLoS</w:t>
      </w:r>
      <w:proofErr w:type="spellEnd"/>
      <w:r>
        <w:t xml:space="preserve"> ONE, 8(2), e57189. </w:t>
      </w:r>
      <w:hyperlink r:id="rId39" w:history="1">
        <w:r w:rsidR="0012628A" w:rsidRPr="00271B5D">
          <w:rPr>
            <w:rStyle w:val="Hyperlink"/>
          </w:rPr>
          <w:t>https://doi.org/10.1371/journal.pone.0057189</w:t>
        </w:r>
      </w:hyperlink>
      <w:r w:rsidR="0012628A">
        <w:t xml:space="preserve"> </w:t>
      </w:r>
    </w:p>
    <w:p w14:paraId="04213D39" w14:textId="77777777" w:rsidR="00FD073D" w:rsidRDefault="00FD073D" w:rsidP="00FD073D"/>
    <w:p w14:paraId="0A365667" w14:textId="6DF3F5DF" w:rsidR="00FD073D" w:rsidRDefault="00FD073D" w:rsidP="00BC2DAF">
      <w:pPr>
        <w:pStyle w:val="ListParagraph"/>
        <w:numPr>
          <w:ilvl w:val="0"/>
          <w:numId w:val="31"/>
        </w:numPr>
      </w:pPr>
      <w:r>
        <w:t xml:space="preserve">Conde, J., Pham, N. T., Nguyen, M. L., Nguyen, N. H., Vu, T. T., Nguyen, T. T., ... &amp; Cruz, C. M. V. (2024). Rice </w:t>
      </w:r>
      <w:proofErr w:type="spellStart"/>
      <w:r>
        <w:t>tungro</w:t>
      </w:r>
      <w:proofErr w:type="spellEnd"/>
      <w:r>
        <w:t xml:space="preserve"> disease: An overview of current understanding of its biology and management. Plant Disease, 108(1), 14-29. </w:t>
      </w:r>
      <w:hyperlink r:id="rId40" w:history="1">
        <w:r w:rsidR="0012628A" w:rsidRPr="00271B5D">
          <w:rPr>
            <w:rStyle w:val="Hyperlink"/>
          </w:rPr>
          <w:t>https://doi.org/10.1094/PDIS-06-23-1112-FE</w:t>
        </w:r>
      </w:hyperlink>
      <w:r w:rsidR="0012628A">
        <w:t xml:space="preserve"> </w:t>
      </w:r>
    </w:p>
    <w:p w14:paraId="619D64B7" w14:textId="77777777" w:rsidR="00FD073D" w:rsidRDefault="00FD073D" w:rsidP="00FD073D"/>
    <w:p w14:paraId="6E2D9C44" w14:textId="584D4761" w:rsidR="00FD073D" w:rsidRDefault="00FD073D" w:rsidP="00BC2DAF">
      <w:pPr>
        <w:pStyle w:val="ListParagraph"/>
        <w:numPr>
          <w:ilvl w:val="0"/>
          <w:numId w:val="31"/>
        </w:numPr>
      </w:pPr>
      <w:r>
        <w:t xml:space="preserve">Cornelis, G., </w:t>
      </w:r>
      <w:proofErr w:type="spellStart"/>
      <w:r>
        <w:t>Doolette</w:t>
      </w:r>
      <w:proofErr w:type="spellEnd"/>
      <w:r>
        <w:t xml:space="preserve">, C., Thomas, M., McLaughlin, M. J., Kirby, J. K., Beak, D. G., &amp; </w:t>
      </w:r>
      <w:proofErr w:type="spellStart"/>
      <w:r>
        <w:t>Chittleborough</w:t>
      </w:r>
      <w:proofErr w:type="spellEnd"/>
      <w:r>
        <w:t xml:space="preserve">, D. (2012). Retention and dissolution of engineered silver nanoparticles in natural soils. Soil Science Society of America Journal, 76(3), 891-902. </w:t>
      </w:r>
      <w:hyperlink r:id="rId41" w:history="1">
        <w:r w:rsidR="0012628A" w:rsidRPr="00271B5D">
          <w:rPr>
            <w:rStyle w:val="Hyperlink"/>
          </w:rPr>
          <w:t>https://doi.org/10.2136/sssaj2011.0360</w:t>
        </w:r>
      </w:hyperlink>
      <w:r w:rsidR="0012628A">
        <w:t xml:space="preserve"> </w:t>
      </w:r>
    </w:p>
    <w:p w14:paraId="66D0CA19" w14:textId="77777777" w:rsidR="00FD073D" w:rsidRDefault="00FD073D" w:rsidP="00FD073D"/>
    <w:p w14:paraId="72E60269" w14:textId="31C103CC" w:rsidR="00FD073D" w:rsidRDefault="00FD073D" w:rsidP="00BC2DAF">
      <w:pPr>
        <w:pStyle w:val="ListParagraph"/>
        <w:numPr>
          <w:ilvl w:val="0"/>
          <w:numId w:val="31"/>
        </w:numPr>
      </w:pPr>
      <w:r>
        <w:t xml:space="preserve">Cornelis, G., Hund-Rinke, K., Kuhlbusch, T., Van den Brink, N., &amp; Nickel, C. (2014). Fate and bioavailability of engineered nanoparticles in soils: A review. Critical Reviews in Environmental Science and Technology, 44(24), 2720-2764. </w:t>
      </w:r>
      <w:hyperlink r:id="rId42" w:history="1">
        <w:r w:rsidR="0012628A" w:rsidRPr="00271B5D">
          <w:rPr>
            <w:rStyle w:val="Hyperlink"/>
          </w:rPr>
          <w:t>https://doi.org/10.1080/10643389.2013.829767</w:t>
        </w:r>
      </w:hyperlink>
      <w:r w:rsidR="0012628A">
        <w:t xml:space="preserve"> </w:t>
      </w:r>
    </w:p>
    <w:p w14:paraId="7CF77478" w14:textId="77777777" w:rsidR="00FD073D" w:rsidRDefault="00FD073D" w:rsidP="00FD073D"/>
    <w:p w14:paraId="3C3C2963" w14:textId="34FD784E" w:rsidR="00FD073D" w:rsidRDefault="00FD073D" w:rsidP="00BC2DAF">
      <w:pPr>
        <w:pStyle w:val="ListParagraph"/>
        <w:numPr>
          <w:ilvl w:val="0"/>
          <w:numId w:val="31"/>
        </w:numPr>
      </w:pPr>
      <w:proofErr w:type="spellStart"/>
      <w:r>
        <w:t>Danhier</w:t>
      </w:r>
      <w:proofErr w:type="spellEnd"/>
      <w:r>
        <w:t xml:space="preserve">, F., </w:t>
      </w:r>
      <w:proofErr w:type="spellStart"/>
      <w:r>
        <w:t>Ansorena</w:t>
      </w:r>
      <w:proofErr w:type="spellEnd"/>
      <w:r>
        <w:t xml:space="preserve">, E., Silva, J. M., Coco, R., Le Breton, A., &amp; </w:t>
      </w:r>
      <w:proofErr w:type="spellStart"/>
      <w:r>
        <w:t>Préat</w:t>
      </w:r>
      <w:proofErr w:type="spellEnd"/>
      <w:r>
        <w:t xml:space="preserve">, V. (2012). PLGA-based nanoparticles: An overview of biomedical applications. Journal of Controlled Release, 161(2), 505-522. </w:t>
      </w:r>
      <w:hyperlink r:id="rId43" w:history="1">
        <w:r w:rsidR="0012628A" w:rsidRPr="00271B5D">
          <w:rPr>
            <w:rStyle w:val="Hyperlink"/>
          </w:rPr>
          <w:t>https://doi.org/10.1016/j.jconrel.2012.01.043</w:t>
        </w:r>
      </w:hyperlink>
      <w:r w:rsidR="0012628A">
        <w:t xml:space="preserve"> </w:t>
      </w:r>
    </w:p>
    <w:p w14:paraId="6B0C964D" w14:textId="77777777" w:rsidR="00FD073D" w:rsidRDefault="00FD073D" w:rsidP="00FD073D"/>
    <w:p w14:paraId="5CEEF1EB" w14:textId="3CECB7B2" w:rsidR="00FD073D" w:rsidRDefault="00FD073D" w:rsidP="00BC2DAF">
      <w:pPr>
        <w:pStyle w:val="ListParagraph"/>
        <w:numPr>
          <w:ilvl w:val="0"/>
          <w:numId w:val="31"/>
        </w:numPr>
      </w:pPr>
      <w:r>
        <w:lastRenderedPageBreak/>
        <w:t xml:space="preserve">Das, S., Debnath, N., Cui, Y., </w:t>
      </w:r>
      <w:proofErr w:type="spellStart"/>
      <w:r>
        <w:t>Unrine</w:t>
      </w:r>
      <w:proofErr w:type="spellEnd"/>
      <w:r>
        <w:t xml:space="preserve">, J., &amp; Palli, S. R. (2015). Chitosan, carbon quantum dot, and silica nanoparticle mediated dsRNA delivery for gene silencing in Aedes aegypti: A comparative analysis. ACS Applied Materials &amp; Interfaces, 7(35), 19530-19535. </w:t>
      </w:r>
      <w:hyperlink r:id="rId44" w:history="1">
        <w:r w:rsidR="0012628A" w:rsidRPr="00271B5D">
          <w:rPr>
            <w:rStyle w:val="Hyperlink"/>
          </w:rPr>
          <w:t>https://doi.org/10.1021/acsami.5b05232</w:t>
        </w:r>
      </w:hyperlink>
      <w:r w:rsidR="0012628A">
        <w:t xml:space="preserve"> </w:t>
      </w:r>
    </w:p>
    <w:p w14:paraId="55C3BE94" w14:textId="77777777" w:rsidR="00FD073D" w:rsidRDefault="00FD073D" w:rsidP="00FD073D"/>
    <w:p w14:paraId="5173176B" w14:textId="6FCC4848" w:rsidR="00FD073D" w:rsidRDefault="00FD073D" w:rsidP="00BC2DAF">
      <w:pPr>
        <w:pStyle w:val="ListParagraph"/>
        <w:numPr>
          <w:ilvl w:val="0"/>
          <w:numId w:val="31"/>
        </w:numPr>
      </w:pPr>
      <w:r>
        <w:t xml:space="preserve">Das, S., Patra, J. K., &amp; Shin, H. S. (2020). Biosynthesis of silver nanoparticles using endophytic fungus Aspergillus fumigatus and its antibacterial and synergistic antibacterial activity. 3 Biotech, 10(1), 35. </w:t>
      </w:r>
      <w:hyperlink r:id="rId45" w:history="1">
        <w:r w:rsidR="0012628A" w:rsidRPr="00271B5D">
          <w:rPr>
            <w:rStyle w:val="Hyperlink"/>
          </w:rPr>
          <w:t>https://doi.org/10.1007/s13205-019-2040-9</w:t>
        </w:r>
      </w:hyperlink>
      <w:r w:rsidR="0012628A">
        <w:t xml:space="preserve"> </w:t>
      </w:r>
    </w:p>
    <w:p w14:paraId="698B9E64" w14:textId="77777777" w:rsidR="00FD073D" w:rsidRDefault="00FD073D" w:rsidP="00FD073D"/>
    <w:p w14:paraId="2C48605C" w14:textId="70FCA3C5" w:rsidR="00FD073D" w:rsidRDefault="00FD073D" w:rsidP="00BC2DAF">
      <w:pPr>
        <w:pStyle w:val="ListParagraph"/>
        <w:numPr>
          <w:ilvl w:val="0"/>
          <w:numId w:val="31"/>
        </w:numPr>
      </w:pPr>
      <w:proofErr w:type="spellStart"/>
      <w:r>
        <w:t>Dimkpa</w:t>
      </w:r>
      <w:proofErr w:type="spellEnd"/>
      <w:r>
        <w:t xml:space="preserve">, C. O., McLean, J. E., Britt, D. W., &amp; Anderson, A. J. (2012). Bioactivity and biomodification of Ag, </w:t>
      </w:r>
      <w:proofErr w:type="spellStart"/>
      <w:r>
        <w:t>ZnO</w:t>
      </w:r>
      <w:proofErr w:type="spellEnd"/>
      <w:r>
        <w:t xml:space="preserve">, and </w:t>
      </w:r>
      <w:proofErr w:type="spellStart"/>
      <w:r>
        <w:t>CuO</w:t>
      </w:r>
      <w:proofErr w:type="spellEnd"/>
      <w:r>
        <w:t xml:space="preserve"> nanoparticles with relevance to plant performance in agriculture. Industrial Biotechnology, 8(6), 344-357. </w:t>
      </w:r>
      <w:hyperlink r:id="rId46" w:history="1">
        <w:r w:rsidR="0012628A" w:rsidRPr="00271B5D">
          <w:rPr>
            <w:rStyle w:val="Hyperlink"/>
          </w:rPr>
          <w:t>https://doi.org/10.1089/ind.2012.0028</w:t>
        </w:r>
      </w:hyperlink>
      <w:r w:rsidR="0012628A">
        <w:t xml:space="preserve"> </w:t>
      </w:r>
    </w:p>
    <w:p w14:paraId="6FA570D3" w14:textId="77777777" w:rsidR="00FD073D" w:rsidRDefault="00FD073D" w:rsidP="00FD073D"/>
    <w:p w14:paraId="366B6546" w14:textId="77777777" w:rsidR="006E2E6E" w:rsidRDefault="00FD073D" w:rsidP="00FD073D">
      <w:pPr>
        <w:pStyle w:val="ListParagraph"/>
        <w:numPr>
          <w:ilvl w:val="0"/>
          <w:numId w:val="31"/>
        </w:numPr>
      </w:pPr>
      <w:proofErr w:type="spellStart"/>
      <w:r>
        <w:t>Dimkpa</w:t>
      </w:r>
      <w:proofErr w:type="spellEnd"/>
      <w:r>
        <w:t xml:space="preserve">, C. O., McLean, J. E., Latta, D. E., </w:t>
      </w:r>
      <w:proofErr w:type="spellStart"/>
      <w:r>
        <w:t>Manangón</w:t>
      </w:r>
      <w:proofErr w:type="spellEnd"/>
      <w:r>
        <w:t xml:space="preserve">, E., Britt, D. W., Johnson, W. P., ... &amp; Anderson, A. J. (2012). </w:t>
      </w:r>
      <w:proofErr w:type="spellStart"/>
      <w:r>
        <w:t>CuO</w:t>
      </w:r>
      <w:proofErr w:type="spellEnd"/>
      <w:r>
        <w:t xml:space="preserve"> and </w:t>
      </w:r>
      <w:proofErr w:type="spellStart"/>
      <w:r>
        <w:t>ZnO</w:t>
      </w:r>
      <w:proofErr w:type="spellEnd"/>
      <w:r>
        <w:t xml:space="preserve"> nanoparticles: Phytotoxicity, metal speciation, and induction of oxidative stress in sand-grown wheat. Journal of Nanoparticle Research, 14(9), 1125. </w:t>
      </w:r>
      <w:hyperlink r:id="rId47" w:history="1">
        <w:r w:rsidR="0012628A" w:rsidRPr="00271B5D">
          <w:rPr>
            <w:rStyle w:val="Hyperlink"/>
          </w:rPr>
          <w:t>https://doi.org/10.1007/s11051-012-1125-9</w:t>
        </w:r>
      </w:hyperlink>
      <w:r w:rsidR="0012628A">
        <w:t xml:space="preserve"> </w:t>
      </w:r>
    </w:p>
    <w:p w14:paraId="5118FA8E" w14:textId="77777777" w:rsidR="006E2E6E" w:rsidRPr="006E2E6E" w:rsidRDefault="006E2E6E" w:rsidP="006E2E6E">
      <w:pPr>
        <w:pStyle w:val="ListParagraph"/>
        <w:rPr>
          <w:rFonts w:ascii="Arial" w:hAnsi="Arial" w:cs="Arial"/>
          <w:color w:val="222222"/>
          <w:shd w:val="clear" w:color="auto" w:fill="FFFFFF"/>
        </w:rPr>
      </w:pPr>
    </w:p>
    <w:p w14:paraId="794DB377" w14:textId="77777777" w:rsidR="006E2E6E" w:rsidRDefault="006E2E6E" w:rsidP="00BC2DAF">
      <w:pPr>
        <w:pStyle w:val="ListParagraph"/>
        <w:numPr>
          <w:ilvl w:val="0"/>
          <w:numId w:val="31"/>
        </w:numPr>
      </w:pPr>
      <w:proofErr w:type="spellStart"/>
      <w:r>
        <w:rPr>
          <w:rFonts w:ascii="Arial" w:hAnsi="Arial" w:cs="Arial"/>
          <w:color w:val="222222"/>
          <w:shd w:val="clear" w:color="auto" w:fill="FFFFFF"/>
        </w:rPr>
        <w:t>Dimkpa</w:t>
      </w:r>
      <w:proofErr w:type="spellEnd"/>
      <w:r>
        <w:rPr>
          <w:rFonts w:ascii="Arial" w:hAnsi="Arial" w:cs="Arial"/>
          <w:color w:val="222222"/>
          <w:shd w:val="clear" w:color="auto" w:fill="FFFFFF"/>
        </w:rPr>
        <w:t xml:space="preserve">, C. O., Zeng, J., McLean, J. E., Britt, D. W., Zhan, J., &amp; Anderson, A. J. (2012). Production of indole-3-acetic acid via the indole-3-acetamide pathway in the plant-beneficial bacterium Pseudomonas </w:t>
      </w:r>
      <w:proofErr w:type="spellStart"/>
      <w:r>
        <w:rPr>
          <w:rFonts w:ascii="Arial" w:hAnsi="Arial" w:cs="Arial"/>
          <w:color w:val="222222"/>
          <w:shd w:val="clear" w:color="auto" w:fill="FFFFFF"/>
        </w:rPr>
        <w:t>chlororaphis</w:t>
      </w:r>
      <w:proofErr w:type="spellEnd"/>
      <w:r>
        <w:rPr>
          <w:rFonts w:ascii="Arial" w:hAnsi="Arial" w:cs="Arial"/>
          <w:color w:val="222222"/>
          <w:shd w:val="clear" w:color="auto" w:fill="FFFFFF"/>
        </w:rPr>
        <w:t xml:space="preserve"> O6 is inhibited by </w:t>
      </w:r>
      <w:proofErr w:type="spellStart"/>
      <w:r>
        <w:rPr>
          <w:rFonts w:ascii="Arial" w:hAnsi="Arial" w:cs="Arial"/>
          <w:color w:val="222222"/>
          <w:shd w:val="clear" w:color="auto" w:fill="FFFFFF"/>
        </w:rPr>
        <w:t>ZnO</w:t>
      </w:r>
      <w:proofErr w:type="spellEnd"/>
      <w:r>
        <w:rPr>
          <w:rFonts w:ascii="Arial" w:hAnsi="Arial" w:cs="Arial"/>
          <w:color w:val="222222"/>
          <w:shd w:val="clear" w:color="auto" w:fill="FFFFFF"/>
        </w:rPr>
        <w:t xml:space="preserve"> nanoparticles but enhanced by </w:t>
      </w:r>
      <w:proofErr w:type="spellStart"/>
      <w:r>
        <w:rPr>
          <w:rFonts w:ascii="Arial" w:hAnsi="Arial" w:cs="Arial"/>
          <w:color w:val="222222"/>
          <w:shd w:val="clear" w:color="auto" w:fill="FFFFFF"/>
        </w:rPr>
        <w:t>CuO</w:t>
      </w:r>
      <w:proofErr w:type="spellEnd"/>
      <w:r>
        <w:rPr>
          <w:rFonts w:ascii="Arial" w:hAnsi="Arial" w:cs="Arial"/>
          <w:color w:val="222222"/>
          <w:shd w:val="clear" w:color="auto" w:fill="FFFFFF"/>
        </w:rPr>
        <w:t xml:space="preserve"> nanoparticles. </w:t>
      </w:r>
      <w:r>
        <w:rPr>
          <w:rFonts w:ascii="Arial" w:hAnsi="Arial" w:cs="Arial"/>
          <w:i/>
          <w:iCs/>
          <w:color w:val="222222"/>
          <w:shd w:val="clear" w:color="auto" w:fill="FFFFFF"/>
        </w:rPr>
        <w:t>Applied and Environmental Microbiology</w:t>
      </w:r>
      <w:r>
        <w:rPr>
          <w:rFonts w:ascii="Arial" w:hAnsi="Arial" w:cs="Arial"/>
          <w:color w:val="222222"/>
          <w:shd w:val="clear" w:color="auto" w:fill="FFFFFF"/>
        </w:rPr>
        <w:t>, </w:t>
      </w:r>
      <w:r>
        <w:rPr>
          <w:rFonts w:ascii="Arial" w:hAnsi="Arial" w:cs="Arial"/>
          <w:i/>
          <w:iCs/>
          <w:color w:val="222222"/>
          <w:shd w:val="clear" w:color="auto" w:fill="FFFFFF"/>
        </w:rPr>
        <w:t>78</w:t>
      </w:r>
      <w:r>
        <w:rPr>
          <w:rFonts w:ascii="Arial" w:hAnsi="Arial" w:cs="Arial"/>
          <w:color w:val="222222"/>
          <w:shd w:val="clear" w:color="auto" w:fill="FFFFFF"/>
        </w:rPr>
        <w:t>(5), 1404-1410.</w:t>
      </w:r>
      <w:r>
        <w:t xml:space="preserve"> </w:t>
      </w:r>
    </w:p>
    <w:p w14:paraId="34EAD803" w14:textId="77777777" w:rsidR="006E2E6E" w:rsidRDefault="006E2E6E" w:rsidP="006E2E6E">
      <w:pPr>
        <w:pStyle w:val="ListParagraph"/>
      </w:pPr>
    </w:p>
    <w:p w14:paraId="6E4722DD" w14:textId="07A252C3" w:rsidR="00FD073D" w:rsidRDefault="00FD073D" w:rsidP="00BC2DAF">
      <w:pPr>
        <w:pStyle w:val="ListParagraph"/>
        <w:numPr>
          <w:ilvl w:val="0"/>
          <w:numId w:val="31"/>
        </w:numPr>
      </w:pPr>
      <w:proofErr w:type="spellStart"/>
      <w:r>
        <w:t>Dimkpa</w:t>
      </w:r>
      <w:proofErr w:type="spellEnd"/>
      <w:r>
        <w:t xml:space="preserve">, C. O., Singh, U., </w:t>
      </w:r>
      <w:proofErr w:type="spellStart"/>
      <w:r>
        <w:t>Bindraban</w:t>
      </w:r>
      <w:proofErr w:type="spellEnd"/>
      <w:r>
        <w:t xml:space="preserve">, P. S., Elmer, W. H., </w:t>
      </w:r>
      <w:proofErr w:type="spellStart"/>
      <w:r>
        <w:t>Gardea-Torresdey</w:t>
      </w:r>
      <w:proofErr w:type="spellEnd"/>
      <w:r>
        <w:t xml:space="preserve">, J. L., &amp; White, J. C. (2018). Exposure to weathered and fresh nanoparticle and ionic Zn in soil promotes grain yield and modulates nutrient acquisition in wheat (Triticum aestivum L.). Journal of Agricultural and Food Chemistry, 66(37), 9645-9656. </w:t>
      </w:r>
      <w:hyperlink r:id="rId48" w:history="1">
        <w:r w:rsidR="0012628A" w:rsidRPr="00271B5D">
          <w:rPr>
            <w:rStyle w:val="Hyperlink"/>
          </w:rPr>
          <w:t>https://doi.org/10.1021/acs.jafc.8b03840</w:t>
        </w:r>
      </w:hyperlink>
      <w:r w:rsidR="0012628A">
        <w:t xml:space="preserve"> </w:t>
      </w:r>
    </w:p>
    <w:p w14:paraId="3A115772" w14:textId="77777777" w:rsidR="00FD073D" w:rsidRDefault="00FD073D" w:rsidP="00FD073D"/>
    <w:p w14:paraId="46547E44" w14:textId="3DE97C82" w:rsidR="00FD073D" w:rsidRDefault="00FD073D" w:rsidP="00BC2DAF">
      <w:pPr>
        <w:pStyle w:val="ListParagraph"/>
        <w:numPr>
          <w:ilvl w:val="0"/>
          <w:numId w:val="31"/>
        </w:numPr>
      </w:pPr>
      <w:proofErr w:type="spellStart"/>
      <w:r>
        <w:t>Dimkpa</w:t>
      </w:r>
      <w:proofErr w:type="spellEnd"/>
      <w:r>
        <w:t xml:space="preserve">, C. O., White, J. C., Elmer, W. H., &amp; </w:t>
      </w:r>
      <w:proofErr w:type="spellStart"/>
      <w:r>
        <w:t>Gardea-Torresdey</w:t>
      </w:r>
      <w:proofErr w:type="spellEnd"/>
      <w:r>
        <w:t xml:space="preserve">, J. (2017). Nanoparticle and ionic Zn promote nutrient loading of sorghum grain under low NPK fertilization. Journal of Agricultural and Food Chemistry, 65(39), 8552-8559. </w:t>
      </w:r>
      <w:hyperlink r:id="rId49" w:history="1">
        <w:r w:rsidR="0012628A" w:rsidRPr="00271B5D">
          <w:rPr>
            <w:rStyle w:val="Hyperlink"/>
          </w:rPr>
          <w:t>https://doi.org/10.1021/acs.jafc.7b02961</w:t>
        </w:r>
      </w:hyperlink>
      <w:r w:rsidR="0012628A">
        <w:t xml:space="preserve"> </w:t>
      </w:r>
    </w:p>
    <w:p w14:paraId="327CC5FA" w14:textId="77777777" w:rsidR="00FD073D" w:rsidRDefault="00FD073D" w:rsidP="00FD073D"/>
    <w:p w14:paraId="77C3E866" w14:textId="7BC0B082" w:rsidR="00FD073D" w:rsidRDefault="00FD073D" w:rsidP="00BC2DAF">
      <w:pPr>
        <w:pStyle w:val="ListParagraph"/>
        <w:numPr>
          <w:ilvl w:val="0"/>
          <w:numId w:val="31"/>
        </w:numPr>
      </w:pPr>
      <w:proofErr w:type="spellStart"/>
      <w:r>
        <w:t>Dimkpa</w:t>
      </w:r>
      <w:proofErr w:type="spellEnd"/>
      <w:r>
        <w:t xml:space="preserve">, C., Zeng, J., McLean, J. E., Britt, D. W., Zhan, J., &amp; Anderson, A. J. (2015). Production of indole-3-acetic acid via the indole-3-acetamide pathway in the plant-beneficial bacterium Pseudomonas </w:t>
      </w:r>
      <w:proofErr w:type="spellStart"/>
      <w:r>
        <w:t>chlororaphis</w:t>
      </w:r>
      <w:proofErr w:type="spellEnd"/>
      <w:r>
        <w:t xml:space="preserve"> O6 is inhibited by </w:t>
      </w:r>
      <w:proofErr w:type="spellStart"/>
      <w:r>
        <w:t>ZnO</w:t>
      </w:r>
      <w:proofErr w:type="spellEnd"/>
      <w:r>
        <w:t xml:space="preserve"> nanoparticles but enhanced by </w:t>
      </w:r>
      <w:proofErr w:type="spellStart"/>
      <w:r>
        <w:t>CuO</w:t>
      </w:r>
      <w:proofErr w:type="spellEnd"/>
      <w:r>
        <w:t xml:space="preserve"> nanoparticles. Applied and Environmental Microbiology, 81(7), 2490-2499. </w:t>
      </w:r>
      <w:hyperlink r:id="rId50" w:history="1">
        <w:r w:rsidR="0012628A" w:rsidRPr="00271B5D">
          <w:rPr>
            <w:rStyle w:val="Hyperlink"/>
          </w:rPr>
          <w:t>https://doi.org/10.1128/AEM.04003-14</w:t>
        </w:r>
      </w:hyperlink>
      <w:r w:rsidR="0012628A">
        <w:t xml:space="preserve"> </w:t>
      </w:r>
    </w:p>
    <w:p w14:paraId="31B7966E" w14:textId="6CDCADA5" w:rsidR="00FD073D" w:rsidRDefault="00FD073D" w:rsidP="00BC2DAF">
      <w:pPr>
        <w:ind w:firstLine="60"/>
      </w:pPr>
    </w:p>
    <w:p w14:paraId="6B12B9B9" w14:textId="4504EE5C" w:rsidR="00FD073D" w:rsidRDefault="00FD073D" w:rsidP="00BC2DAF">
      <w:pPr>
        <w:pStyle w:val="ListParagraph"/>
        <w:numPr>
          <w:ilvl w:val="0"/>
          <w:numId w:val="31"/>
        </w:numPr>
      </w:pPr>
      <w:r>
        <w:t xml:space="preserve">Dossa, G. S., </w:t>
      </w:r>
      <w:proofErr w:type="spellStart"/>
      <w:r>
        <w:t>Quibod</w:t>
      </w:r>
      <w:proofErr w:type="spellEnd"/>
      <w:r>
        <w:t xml:space="preserve">, I., Atienza-Grande, G., Oliva, R., </w:t>
      </w:r>
      <w:proofErr w:type="spellStart"/>
      <w:r>
        <w:t>Maiss</w:t>
      </w:r>
      <w:proofErr w:type="spellEnd"/>
      <w:r>
        <w:t xml:space="preserve">, E., Vera Cruz, C., &amp; Wydra, K. (2020). Rice pyramided line IRBB67 (Xa4/Xa7) homeostasis under combined stress of high temperature and bacterial blight. Scientific Reports, 10(1), 683. </w:t>
      </w:r>
      <w:hyperlink r:id="rId51" w:history="1">
        <w:r w:rsidR="0012628A" w:rsidRPr="00271B5D">
          <w:rPr>
            <w:rStyle w:val="Hyperlink"/>
          </w:rPr>
          <w:t>https://doi.org/10.1038/s41598-020-57499-5</w:t>
        </w:r>
      </w:hyperlink>
      <w:r w:rsidR="0012628A">
        <w:t xml:space="preserve"> </w:t>
      </w:r>
    </w:p>
    <w:p w14:paraId="486BDE26" w14:textId="77777777" w:rsidR="00FD073D" w:rsidRDefault="00FD073D" w:rsidP="00FD073D"/>
    <w:p w14:paraId="6D364007" w14:textId="0AAD1524" w:rsidR="00FD073D" w:rsidRDefault="00FD073D" w:rsidP="00BC2DAF">
      <w:pPr>
        <w:pStyle w:val="ListParagraph"/>
        <w:numPr>
          <w:ilvl w:val="0"/>
          <w:numId w:val="31"/>
        </w:numPr>
      </w:pPr>
      <w:r>
        <w:t xml:space="preserve">Duceppe, N., &amp; </w:t>
      </w:r>
      <w:proofErr w:type="spellStart"/>
      <w:r>
        <w:t>Tabrizian</w:t>
      </w:r>
      <w:proofErr w:type="spellEnd"/>
      <w:r>
        <w:t xml:space="preserve">, M. (2009). Factors influencing the transfection efficiency of </w:t>
      </w:r>
      <w:proofErr w:type="spellStart"/>
      <w:r>
        <w:t>ultra low</w:t>
      </w:r>
      <w:proofErr w:type="spellEnd"/>
      <w:r>
        <w:t xml:space="preserve"> molecular weight chitosan/hyaluronic acid nanoparticles. Biomaterials, 30(13), 2625-2631. </w:t>
      </w:r>
      <w:hyperlink r:id="rId52" w:history="1">
        <w:r w:rsidR="0012628A" w:rsidRPr="00271B5D">
          <w:rPr>
            <w:rStyle w:val="Hyperlink"/>
          </w:rPr>
          <w:t>https://doi.org/10.1016/j.biomaterials.2009.01.017</w:t>
        </w:r>
      </w:hyperlink>
      <w:r w:rsidR="0012628A">
        <w:t xml:space="preserve"> </w:t>
      </w:r>
    </w:p>
    <w:p w14:paraId="55433FC8" w14:textId="77777777" w:rsidR="00FD073D" w:rsidRDefault="00FD073D" w:rsidP="00FD073D"/>
    <w:p w14:paraId="0FF2C396" w14:textId="34685C82" w:rsidR="00FD073D" w:rsidRDefault="00FD073D" w:rsidP="00BC2DAF">
      <w:pPr>
        <w:pStyle w:val="ListParagraph"/>
        <w:numPr>
          <w:ilvl w:val="0"/>
          <w:numId w:val="31"/>
        </w:numPr>
      </w:pPr>
      <w:r>
        <w:t xml:space="preserve">Durán, N., Durán, M., de Jesus, M. B., Seabra, A. B., </w:t>
      </w:r>
      <w:proofErr w:type="spellStart"/>
      <w:r>
        <w:t>Fávaro</w:t>
      </w:r>
      <w:proofErr w:type="spellEnd"/>
      <w:r>
        <w:t xml:space="preserve">, W. J., &amp; Nakazato, G. (2016). Silver nanoparticles: A new view on mechanistic aspects on antimicrobial activity. Nanomedicine: Nanotechnology, Biology and Medicine, 12(3), 789-799. </w:t>
      </w:r>
      <w:hyperlink r:id="rId53" w:history="1">
        <w:r w:rsidR="0012628A" w:rsidRPr="00271B5D">
          <w:rPr>
            <w:rStyle w:val="Hyperlink"/>
          </w:rPr>
          <w:t>https://doi.org/10.1016/j.nano.2015.11.016</w:t>
        </w:r>
      </w:hyperlink>
      <w:r w:rsidR="0012628A">
        <w:t xml:space="preserve"> </w:t>
      </w:r>
    </w:p>
    <w:p w14:paraId="6F46027E" w14:textId="77777777" w:rsidR="00FD073D" w:rsidRDefault="00FD073D" w:rsidP="00FD073D"/>
    <w:p w14:paraId="6BDA9408" w14:textId="6F7D7076" w:rsidR="00FD073D" w:rsidRDefault="00FD073D" w:rsidP="00BC2DAF">
      <w:pPr>
        <w:pStyle w:val="ListParagraph"/>
        <w:numPr>
          <w:ilvl w:val="0"/>
          <w:numId w:val="31"/>
        </w:numPr>
      </w:pPr>
      <w:r>
        <w:t xml:space="preserve">Dutta, P., Yasin, A., Kumari, A., Mahanta, M., &amp; Sharma, A. (2023). Nano-bioformulation: A spanking new weapon for plant disease management. Plant Health Archives, 1(3), 123-129. </w:t>
      </w:r>
      <w:hyperlink r:id="rId54" w:history="1">
        <w:r w:rsidR="0012628A" w:rsidRPr="00271B5D">
          <w:rPr>
            <w:rStyle w:val="Hyperlink"/>
          </w:rPr>
          <w:t>https://doi.org/10.54083/pha/1.3.2023/123-129</w:t>
        </w:r>
      </w:hyperlink>
      <w:r w:rsidR="0012628A">
        <w:t xml:space="preserve"> </w:t>
      </w:r>
    </w:p>
    <w:p w14:paraId="3B6DE547" w14:textId="77777777" w:rsidR="00FD073D" w:rsidRDefault="00FD073D" w:rsidP="00FD073D"/>
    <w:p w14:paraId="02019DB4" w14:textId="3A5AE297" w:rsidR="00FD073D" w:rsidRDefault="00FD073D" w:rsidP="00BC2DAF">
      <w:pPr>
        <w:pStyle w:val="ListParagraph"/>
        <w:numPr>
          <w:ilvl w:val="0"/>
          <w:numId w:val="31"/>
        </w:numPr>
      </w:pPr>
      <w:r>
        <w:t xml:space="preserve">EFSA (European Food Safety Authority). (2018). Guidance on risk assessment of nanomaterials to be applied in the food and feed chain: Human and animal health. EFSA Journal, 16(10), e05327. </w:t>
      </w:r>
      <w:hyperlink r:id="rId55" w:history="1">
        <w:r w:rsidR="0012628A" w:rsidRPr="00271B5D">
          <w:rPr>
            <w:rStyle w:val="Hyperlink"/>
          </w:rPr>
          <w:t>https://doi.org/10.2903/j.efsa.2018.5327</w:t>
        </w:r>
      </w:hyperlink>
      <w:r w:rsidR="0012628A">
        <w:t xml:space="preserve"> </w:t>
      </w:r>
    </w:p>
    <w:p w14:paraId="130BABC1" w14:textId="77777777" w:rsidR="00FD073D" w:rsidRDefault="00FD073D" w:rsidP="00FD073D"/>
    <w:p w14:paraId="41C8C8C8" w14:textId="7D364EF1" w:rsidR="00FD073D" w:rsidRDefault="00FD073D" w:rsidP="00BC2DAF">
      <w:pPr>
        <w:pStyle w:val="ListParagraph"/>
        <w:numPr>
          <w:ilvl w:val="0"/>
          <w:numId w:val="31"/>
        </w:numPr>
      </w:pPr>
      <w:proofErr w:type="spellStart"/>
      <w:r>
        <w:t>Elamawi</w:t>
      </w:r>
      <w:proofErr w:type="spellEnd"/>
      <w:r>
        <w:t xml:space="preserve">, R. M., Al-Harbi, R. E., &amp; Hendi, A. A. (2018). Biosynthesis and characterization of silver nanoparticles using </w:t>
      </w:r>
      <w:proofErr w:type="gramStart"/>
      <w:r w:rsidR="00187CC7" w:rsidRPr="00BC2DAF">
        <w:rPr>
          <w:i/>
          <w:iCs/>
        </w:rPr>
        <w:t xml:space="preserve">Trichoderma </w:t>
      </w:r>
      <w:r>
        <w:t xml:space="preserve"> </w:t>
      </w:r>
      <w:proofErr w:type="spellStart"/>
      <w:r>
        <w:t>longibrachiatum</w:t>
      </w:r>
      <w:proofErr w:type="spellEnd"/>
      <w:proofErr w:type="gramEnd"/>
      <w:r>
        <w:t xml:space="preserve"> and their effect on phytopathogenic fungi. Egyptian Journal of Biological Pest Control, 28(1), 28. </w:t>
      </w:r>
      <w:hyperlink r:id="rId56" w:history="1">
        <w:r w:rsidR="0012628A" w:rsidRPr="00271B5D">
          <w:rPr>
            <w:rStyle w:val="Hyperlink"/>
          </w:rPr>
          <w:t>https://doi.org/10.1186/s41938-018-0028-1</w:t>
        </w:r>
      </w:hyperlink>
      <w:r w:rsidR="0012628A">
        <w:t xml:space="preserve"> </w:t>
      </w:r>
    </w:p>
    <w:p w14:paraId="4ECB7DF1" w14:textId="77777777" w:rsidR="00FD073D" w:rsidRDefault="00FD073D" w:rsidP="00FD073D"/>
    <w:p w14:paraId="6FAB65DB" w14:textId="64706FB0" w:rsidR="00FD073D" w:rsidRDefault="00FD073D" w:rsidP="00BC2DAF">
      <w:pPr>
        <w:pStyle w:val="ListParagraph"/>
        <w:numPr>
          <w:ilvl w:val="0"/>
          <w:numId w:val="31"/>
        </w:numPr>
      </w:pPr>
      <w:r>
        <w:lastRenderedPageBreak/>
        <w:t xml:space="preserve">EPA (US Environmental Protection Agency). (2017). Pesticides: Regulating pesticides. Retrieved from </w:t>
      </w:r>
      <w:hyperlink r:id="rId57" w:history="1">
        <w:r w:rsidR="0012628A" w:rsidRPr="00271B5D">
          <w:rPr>
            <w:rStyle w:val="Hyperlink"/>
          </w:rPr>
          <w:t>https://www.epa.gov/pesticides</w:t>
        </w:r>
      </w:hyperlink>
      <w:r w:rsidR="0012628A">
        <w:t xml:space="preserve"> </w:t>
      </w:r>
    </w:p>
    <w:p w14:paraId="1D6F8490" w14:textId="77777777" w:rsidR="00FD073D" w:rsidRDefault="00FD073D" w:rsidP="00FD073D"/>
    <w:p w14:paraId="5A3D417B" w14:textId="0A14E4D5" w:rsidR="00FD073D" w:rsidRDefault="00FD073D" w:rsidP="00BC2DAF">
      <w:pPr>
        <w:pStyle w:val="ListParagraph"/>
        <w:numPr>
          <w:ilvl w:val="0"/>
          <w:numId w:val="31"/>
        </w:numPr>
      </w:pPr>
      <w:r>
        <w:t xml:space="preserve">Erhayem, M., &amp; Sohn, M. (2014). Effect of humic acid source on humic acid adsorption onto titanium dioxide nanoparticles. Science of the Total Environment, 470-471, 92-98. </w:t>
      </w:r>
      <w:hyperlink r:id="rId58" w:history="1">
        <w:r w:rsidR="0012628A" w:rsidRPr="00271B5D">
          <w:rPr>
            <w:rStyle w:val="Hyperlink"/>
          </w:rPr>
          <w:t>https://doi.org/10.1016/j.scitotenv.2013.09.063</w:t>
        </w:r>
      </w:hyperlink>
      <w:r w:rsidR="0012628A">
        <w:t xml:space="preserve"> </w:t>
      </w:r>
    </w:p>
    <w:p w14:paraId="7B05FC39" w14:textId="77777777" w:rsidR="00FD073D" w:rsidRDefault="00FD073D" w:rsidP="00FD073D"/>
    <w:p w14:paraId="086B0CF7" w14:textId="77777777" w:rsidR="006E2E6E" w:rsidRDefault="00FD073D" w:rsidP="00FD073D">
      <w:pPr>
        <w:pStyle w:val="ListParagraph"/>
        <w:numPr>
          <w:ilvl w:val="0"/>
          <w:numId w:val="31"/>
        </w:numPr>
      </w:pPr>
      <w:r>
        <w:t xml:space="preserve">FAOSTAT. (2024). Food and Agriculture Organization of the United Nations Statistics Division. Retrieved from </w:t>
      </w:r>
      <w:hyperlink r:id="rId59" w:history="1">
        <w:r w:rsidR="0012628A" w:rsidRPr="00271B5D">
          <w:rPr>
            <w:rStyle w:val="Hyperlink"/>
          </w:rPr>
          <w:t>http://www.fao.org/faostat/</w:t>
        </w:r>
      </w:hyperlink>
      <w:r w:rsidR="0012628A">
        <w:t xml:space="preserve"> </w:t>
      </w:r>
    </w:p>
    <w:p w14:paraId="0DDD1023" w14:textId="77777777" w:rsidR="006E2E6E" w:rsidRPr="006E2E6E" w:rsidRDefault="006E2E6E" w:rsidP="006E2E6E">
      <w:pPr>
        <w:pStyle w:val="ListParagraph"/>
        <w:rPr>
          <w:rFonts w:ascii="Arial" w:hAnsi="Arial" w:cs="Arial"/>
          <w:color w:val="222222"/>
          <w:shd w:val="clear" w:color="auto" w:fill="FFFFFF"/>
        </w:rPr>
      </w:pPr>
    </w:p>
    <w:p w14:paraId="1D07EA99" w14:textId="4FABAF25" w:rsidR="00FD073D" w:rsidRDefault="006E2E6E" w:rsidP="00FD073D">
      <w:pPr>
        <w:pStyle w:val="ListParagraph"/>
        <w:numPr>
          <w:ilvl w:val="0"/>
          <w:numId w:val="31"/>
        </w:numPr>
      </w:pPr>
      <w:r w:rsidRPr="006E2E6E">
        <w:rPr>
          <w:rFonts w:ascii="Arial" w:hAnsi="Arial" w:cs="Arial"/>
          <w:color w:val="222222"/>
          <w:shd w:val="clear" w:color="auto" w:fill="FFFFFF"/>
        </w:rPr>
        <w:t>Fernández-</w:t>
      </w:r>
      <w:proofErr w:type="spellStart"/>
      <w:r w:rsidRPr="006E2E6E">
        <w:rPr>
          <w:rFonts w:ascii="Arial" w:hAnsi="Arial" w:cs="Arial"/>
          <w:color w:val="222222"/>
          <w:shd w:val="clear" w:color="auto" w:fill="FFFFFF"/>
        </w:rPr>
        <w:t>Ortuño</w:t>
      </w:r>
      <w:proofErr w:type="spellEnd"/>
      <w:r w:rsidRPr="006E2E6E">
        <w:rPr>
          <w:rFonts w:ascii="Arial" w:hAnsi="Arial" w:cs="Arial"/>
          <w:color w:val="222222"/>
          <w:shd w:val="clear" w:color="auto" w:fill="FFFFFF"/>
        </w:rPr>
        <w:t xml:space="preserve">, D., </w:t>
      </w:r>
      <w:proofErr w:type="spellStart"/>
      <w:r w:rsidRPr="006E2E6E">
        <w:rPr>
          <w:rFonts w:ascii="Arial" w:hAnsi="Arial" w:cs="Arial"/>
          <w:color w:val="222222"/>
          <w:shd w:val="clear" w:color="auto" w:fill="FFFFFF"/>
        </w:rPr>
        <w:t>Torés</w:t>
      </w:r>
      <w:proofErr w:type="spellEnd"/>
      <w:r w:rsidRPr="006E2E6E">
        <w:rPr>
          <w:rFonts w:ascii="Arial" w:hAnsi="Arial" w:cs="Arial"/>
          <w:color w:val="222222"/>
          <w:shd w:val="clear" w:color="auto" w:fill="FFFFFF"/>
        </w:rPr>
        <w:t xml:space="preserve">, J. A., De Vicente, A., &amp; Pérez-García, A. (2008). Mechanisms of resistance to </w:t>
      </w:r>
      <w:proofErr w:type="spellStart"/>
      <w:r w:rsidRPr="006E2E6E">
        <w:rPr>
          <w:rFonts w:ascii="Arial" w:hAnsi="Arial" w:cs="Arial"/>
          <w:color w:val="222222"/>
          <w:shd w:val="clear" w:color="auto" w:fill="FFFFFF"/>
        </w:rPr>
        <w:t>QoI</w:t>
      </w:r>
      <w:proofErr w:type="spellEnd"/>
      <w:r w:rsidRPr="006E2E6E">
        <w:rPr>
          <w:rFonts w:ascii="Arial" w:hAnsi="Arial" w:cs="Arial"/>
          <w:color w:val="222222"/>
          <w:shd w:val="clear" w:color="auto" w:fill="FFFFFF"/>
        </w:rPr>
        <w:t xml:space="preserve"> fungicides in phytopathogenic fungi. </w:t>
      </w:r>
      <w:r w:rsidRPr="006E2E6E">
        <w:rPr>
          <w:rFonts w:ascii="Arial" w:hAnsi="Arial" w:cs="Arial"/>
          <w:i/>
          <w:iCs/>
          <w:color w:val="222222"/>
          <w:shd w:val="clear" w:color="auto" w:fill="FFFFFF"/>
        </w:rPr>
        <w:t>International Microbiology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11</w:t>
      </w:r>
      <w:r w:rsidRPr="006E2E6E">
        <w:rPr>
          <w:rFonts w:ascii="Arial" w:hAnsi="Arial" w:cs="Arial"/>
          <w:color w:val="222222"/>
          <w:shd w:val="clear" w:color="auto" w:fill="FFFFFF"/>
        </w:rPr>
        <w:t>(1), 1.</w:t>
      </w:r>
    </w:p>
    <w:p w14:paraId="26A5207B" w14:textId="77777777" w:rsidR="00FD073D" w:rsidRDefault="00FD073D" w:rsidP="00FD073D"/>
    <w:p w14:paraId="27DBD4AB" w14:textId="788C4A68" w:rsidR="00FD073D" w:rsidRDefault="00FD073D" w:rsidP="00BC2DAF">
      <w:pPr>
        <w:pStyle w:val="ListParagraph"/>
        <w:numPr>
          <w:ilvl w:val="0"/>
          <w:numId w:val="31"/>
        </w:numPr>
      </w:pPr>
      <w:r>
        <w:t xml:space="preserve">Gajda, A., </w:t>
      </w:r>
      <w:proofErr w:type="spellStart"/>
      <w:r>
        <w:t>Posyniak</w:t>
      </w:r>
      <w:proofErr w:type="spellEnd"/>
      <w:r>
        <w:t xml:space="preserve">, A., Tomczyk, G., </w:t>
      </w:r>
      <w:proofErr w:type="spellStart"/>
      <w:r>
        <w:t>Gbylik-Sikorska</w:t>
      </w:r>
      <w:proofErr w:type="spellEnd"/>
      <w:r>
        <w:t xml:space="preserve">, M., &amp; Bladek, T. (2020). </w:t>
      </w:r>
      <w:proofErr w:type="spellStart"/>
      <w:r>
        <w:t>Nanosilver</w:t>
      </w:r>
      <w:proofErr w:type="spellEnd"/>
      <w:r>
        <w:t xml:space="preserve"> impact on metabolism and antioxidant response in the fat body of honey bees (Apis mellifera). Chemosphere, 242, 125256. </w:t>
      </w:r>
      <w:hyperlink r:id="rId60" w:history="1">
        <w:r w:rsidR="0012628A" w:rsidRPr="00271B5D">
          <w:rPr>
            <w:rStyle w:val="Hyperlink"/>
          </w:rPr>
          <w:t>https://doi.org/10.1016/j.chemosphere.2019.125256</w:t>
        </w:r>
      </w:hyperlink>
      <w:r w:rsidR="0012628A">
        <w:t xml:space="preserve"> </w:t>
      </w:r>
    </w:p>
    <w:p w14:paraId="377A70A0" w14:textId="77777777" w:rsidR="00FD073D" w:rsidRDefault="00FD073D" w:rsidP="00FD073D"/>
    <w:p w14:paraId="6F3F6F0E" w14:textId="6635D103" w:rsidR="00FD073D" w:rsidRDefault="00FD073D" w:rsidP="00BC2DAF">
      <w:pPr>
        <w:pStyle w:val="ListParagraph"/>
        <w:numPr>
          <w:ilvl w:val="0"/>
          <w:numId w:val="31"/>
        </w:numPr>
      </w:pPr>
      <w:r>
        <w:t xml:space="preserve">Gao, J., Youn, S., Hovsepyan, A., Llaneza, V. L., Wang, Y., Bitton, G., &amp; </w:t>
      </w:r>
      <w:proofErr w:type="spellStart"/>
      <w:r>
        <w:t>Bonzongo</w:t>
      </w:r>
      <w:proofErr w:type="spellEnd"/>
      <w:r>
        <w:t xml:space="preserve">, J. C. J. (2009). Dispersion and toxicity of selected manufactured nanomaterials in natural river water samples: Effects of water chemical composition. Environmental Science &amp; Technology, 43(9), 3322-3328. </w:t>
      </w:r>
      <w:hyperlink r:id="rId61" w:history="1">
        <w:r w:rsidR="0012628A" w:rsidRPr="00271B5D">
          <w:rPr>
            <w:rStyle w:val="Hyperlink"/>
          </w:rPr>
          <w:t>https://doi.org/10.1021/es803315v</w:t>
        </w:r>
      </w:hyperlink>
      <w:r w:rsidR="0012628A">
        <w:t xml:space="preserve"> </w:t>
      </w:r>
    </w:p>
    <w:p w14:paraId="6F94707B" w14:textId="77777777" w:rsidR="00FD073D" w:rsidRDefault="00FD073D" w:rsidP="00FD073D"/>
    <w:p w14:paraId="2CAC1D64" w14:textId="2CE895F8" w:rsidR="00FD073D" w:rsidRDefault="00FD073D" w:rsidP="00BC2DAF">
      <w:pPr>
        <w:pStyle w:val="ListParagraph"/>
        <w:numPr>
          <w:ilvl w:val="0"/>
          <w:numId w:val="31"/>
        </w:numPr>
      </w:pPr>
      <w:r>
        <w:t xml:space="preserve">Ge, Y., Schimel, J. P., &amp; Holden, P. A. (2011). Evidence for negative effects of </w:t>
      </w:r>
      <w:proofErr w:type="spellStart"/>
      <w:r>
        <w:t>TiO</w:t>
      </w:r>
      <w:proofErr w:type="spellEnd"/>
      <w:r w:rsidRPr="00BC2DAF">
        <w:rPr>
          <w:rFonts w:ascii="Cambria Math" w:hAnsi="Cambria Math" w:cs="Cambria Math"/>
        </w:rPr>
        <w:t>₂</w:t>
      </w:r>
      <w:r>
        <w:t xml:space="preserve"> and </w:t>
      </w:r>
      <w:proofErr w:type="spellStart"/>
      <w:r>
        <w:t>ZnO</w:t>
      </w:r>
      <w:proofErr w:type="spellEnd"/>
      <w:r>
        <w:t xml:space="preserve"> nanoparticles on soil bacterial communities. Environmental Science &amp; Technology, 45(4), 1659-1664. </w:t>
      </w:r>
      <w:hyperlink r:id="rId62" w:history="1">
        <w:r w:rsidR="006E61CF" w:rsidRPr="00271B5D">
          <w:rPr>
            <w:rStyle w:val="Hyperlink"/>
          </w:rPr>
          <w:t>https://doi.org/10.1021/es103040t</w:t>
        </w:r>
      </w:hyperlink>
      <w:r w:rsidR="006E61CF">
        <w:t xml:space="preserve"> </w:t>
      </w:r>
    </w:p>
    <w:p w14:paraId="61F03ECC" w14:textId="77777777" w:rsidR="00FD073D" w:rsidRDefault="00FD073D" w:rsidP="00FD073D"/>
    <w:p w14:paraId="58A5FE29" w14:textId="0B2ECE02" w:rsidR="00FD073D" w:rsidRDefault="00FD073D" w:rsidP="00BC2DAF">
      <w:pPr>
        <w:pStyle w:val="ListParagraph"/>
        <w:numPr>
          <w:ilvl w:val="0"/>
          <w:numId w:val="31"/>
        </w:numPr>
      </w:pPr>
      <w:r>
        <w:t xml:space="preserve">Ge, Y., Schimel, J. P., &amp; Holden, P. A. (2012). Identification of soil bacteria susceptible to </w:t>
      </w:r>
      <w:proofErr w:type="spellStart"/>
      <w:r>
        <w:t>TiO</w:t>
      </w:r>
      <w:proofErr w:type="spellEnd"/>
      <w:r w:rsidRPr="00BC2DAF">
        <w:rPr>
          <w:rFonts w:ascii="Cambria Math" w:hAnsi="Cambria Math" w:cs="Cambria Math"/>
        </w:rPr>
        <w:t>₂</w:t>
      </w:r>
      <w:r>
        <w:t xml:space="preserve"> and </w:t>
      </w:r>
      <w:proofErr w:type="spellStart"/>
      <w:r>
        <w:t>ZnO</w:t>
      </w:r>
      <w:proofErr w:type="spellEnd"/>
      <w:r>
        <w:t xml:space="preserve"> nanoparticles. Applied and Environmental Microbiology, 78(18), 6749-6758. </w:t>
      </w:r>
      <w:hyperlink r:id="rId63" w:history="1">
        <w:r w:rsidR="006E61CF" w:rsidRPr="00271B5D">
          <w:rPr>
            <w:rStyle w:val="Hyperlink"/>
          </w:rPr>
          <w:t>https://doi.org/10.1128/AEM.00941-12</w:t>
        </w:r>
      </w:hyperlink>
      <w:r w:rsidR="006E61CF">
        <w:t xml:space="preserve"> </w:t>
      </w:r>
    </w:p>
    <w:p w14:paraId="731453DE" w14:textId="77777777" w:rsidR="00FD073D" w:rsidRDefault="00FD073D" w:rsidP="00FD073D"/>
    <w:p w14:paraId="6DE257D8" w14:textId="69E3D90B" w:rsidR="00FD073D" w:rsidRDefault="00FD073D" w:rsidP="00BC2DAF">
      <w:pPr>
        <w:pStyle w:val="ListParagraph"/>
        <w:numPr>
          <w:ilvl w:val="0"/>
          <w:numId w:val="31"/>
        </w:numPr>
      </w:pPr>
      <w:proofErr w:type="spellStart"/>
      <w:r>
        <w:t>Ghormade</w:t>
      </w:r>
      <w:proofErr w:type="spellEnd"/>
      <w:r>
        <w:t xml:space="preserve">, V., Deshpande, M. V., &amp; </w:t>
      </w:r>
      <w:proofErr w:type="spellStart"/>
      <w:r>
        <w:t>Paknikar</w:t>
      </w:r>
      <w:proofErr w:type="spellEnd"/>
      <w:r>
        <w:t xml:space="preserve">, K. M. (2011). Perspectives for nano-biotechnology enabled protection and nutrition of plants. Biotechnology Advances, 29(6), 792-803. </w:t>
      </w:r>
      <w:hyperlink r:id="rId64" w:history="1">
        <w:r w:rsidR="006E61CF" w:rsidRPr="00271B5D">
          <w:rPr>
            <w:rStyle w:val="Hyperlink"/>
          </w:rPr>
          <w:t>https://doi.org/10.1016/j.biotechadv.2011.06.007</w:t>
        </w:r>
      </w:hyperlink>
      <w:r w:rsidR="006E61CF">
        <w:t xml:space="preserve"> </w:t>
      </w:r>
    </w:p>
    <w:p w14:paraId="08042DC1" w14:textId="77777777" w:rsidR="00FD073D" w:rsidRDefault="00FD073D" w:rsidP="00FD073D"/>
    <w:p w14:paraId="235BF272" w14:textId="76203682" w:rsidR="00FD073D" w:rsidRDefault="00FD073D" w:rsidP="00BC2DAF">
      <w:pPr>
        <w:pStyle w:val="ListParagraph"/>
        <w:numPr>
          <w:ilvl w:val="0"/>
          <w:numId w:val="31"/>
        </w:numPr>
      </w:pPr>
      <w:r>
        <w:t xml:space="preserve">Grillo, R., Abhilash, P. C., &amp; </w:t>
      </w:r>
      <w:proofErr w:type="spellStart"/>
      <w:r>
        <w:t>Fraceto</w:t>
      </w:r>
      <w:proofErr w:type="spellEnd"/>
      <w:r>
        <w:t xml:space="preserve">, L. F. (2016). Nanotechnology applied to bio-encapsulation of pesticides. Journal of Nanoscience and Nanotechnology, 16(2), 1231-1234. </w:t>
      </w:r>
      <w:hyperlink r:id="rId65" w:history="1">
        <w:r w:rsidR="006E61CF" w:rsidRPr="00271B5D">
          <w:rPr>
            <w:rStyle w:val="Hyperlink"/>
          </w:rPr>
          <w:t>https://doi.org/10.1166/jnn.2016.12332</w:t>
        </w:r>
      </w:hyperlink>
      <w:r w:rsidR="006E61CF">
        <w:t xml:space="preserve"> </w:t>
      </w:r>
    </w:p>
    <w:p w14:paraId="1970D522" w14:textId="77777777" w:rsidR="00FD073D" w:rsidRDefault="00FD073D" w:rsidP="00FD073D"/>
    <w:p w14:paraId="18AD4B67" w14:textId="2F31470F" w:rsidR="00FD073D" w:rsidRDefault="00FD073D" w:rsidP="00BC2DAF">
      <w:pPr>
        <w:pStyle w:val="ListParagraph"/>
        <w:numPr>
          <w:ilvl w:val="0"/>
          <w:numId w:val="31"/>
        </w:numPr>
      </w:pPr>
      <w:r>
        <w:t xml:space="preserve">Grillo, R., dos Santos, N. Z., Maruyama, C. R., Rosa, A. H., de Lima, R., &amp; </w:t>
      </w:r>
      <w:proofErr w:type="spellStart"/>
      <w:r>
        <w:t>Fraceto</w:t>
      </w:r>
      <w:proofErr w:type="spellEnd"/>
      <w:r>
        <w:t>, L. F. (2012). Poly(ε-</w:t>
      </w:r>
      <w:proofErr w:type="gramStart"/>
      <w:r>
        <w:t>caprolactone)</w:t>
      </w:r>
      <w:proofErr w:type="spellStart"/>
      <w:r>
        <w:t>nanocapsules</w:t>
      </w:r>
      <w:proofErr w:type="spellEnd"/>
      <w:proofErr w:type="gramEnd"/>
      <w:r>
        <w:t xml:space="preserve"> as carrier systems for herbicides: </w:t>
      </w:r>
      <w:proofErr w:type="spellStart"/>
      <w:r>
        <w:t>Physico</w:t>
      </w:r>
      <w:proofErr w:type="spellEnd"/>
      <w:r>
        <w:t xml:space="preserve">-chemical characterization and genotoxicity evaluation. Journal of Hazardous Materials, 231-232, 1-9. </w:t>
      </w:r>
      <w:hyperlink r:id="rId66" w:history="1">
        <w:r w:rsidR="006E61CF" w:rsidRPr="00271B5D">
          <w:rPr>
            <w:rStyle w:val="Hyperlink"/>
          </w:rPr>
          <w:t>https://doi.org/10.1016/j.jhazmat.2012.06.019</w:t>
        </w:r>
      </w:hyperlink>
      <w:r w:rsidR="006E61CF">
        <w:t xml:space="preserve"> </w:t>
      </w:r>
    </w:p>
    <w:p w14:paraId="4B325DEC" w14:textId="77777777" w:rsidR="00FD073D" w:rsidRDefault="00FD073D" w:rsidP="00FD073D"/>
    <w:p w14:paraId="664A06B7" w14:textId="1E0646E2" w:rsidR="00FD073D" w:rsidRDefault="00FD073D" w:rsidP="00BC2DAF">
      <w:pPr>
        <w:pStyle w:val="ListParagraph"/>
        <w:numPr>
          <w:ilvl w:val="0"/>
          <w:numId w:val="31"/>
        </w:numPr>
      </w:pPr>
      <w:r>
        <w:t xml:space="preserve">Grillo, R., </w:t>
      </w:r>
      <w:proofErr w:type="spellStart"/>
      <w:r>
        <w:t>Fraceto</w:t>
      </w:r>
      <w:proofErr w:type="spellEnd"/>
      <w:r>
        <w:t xml:space="preserve">, L. F., Amorim, M. J., Scott-Fordsmand, J. J., </w:t>
      </w:r>
      <w:proofErr w:type="spellStart"/>
      <w:r>
        <w:t>Schoonjans</w:t>
      </w:r>
      <w:proofErr w:type="spellEnd"/>
      <w:r>
        <w:t xml:space="preserve">, R., &amp; Chaudhry, Q. (2021). Ecotoxicological and regulatory aspects of environmental sustainability of </w:t>
      </w:r>
      <w:proofErr w:type="spellStart"/>
      <w:r>
        <w:t>nanopesticides</w:t>
      </w:r>
      <w:proofErr w:type="spellEnd"/>
      <w:r>
        <w:t xml:space="preserve">. Journal of Hazardous Materials, 404, 124148. </w:t>
      </w:r>
      <w:hyperlink r:id="rId67" w:history="1">
        <w:r w:rsidR="006E61CF" w:rsidRPr="00271B5D">
          <w:rPr>
            <w:rStyle w:val="Hyperlink"/>
          </w:rPr>
          <w:t>https://doi.org/10.1016/j.jhazmat.2020.124148</w:t>
        </w:r>
      </w:hyperlink>
      <w:r w:rsidR="006E61CF">
        <w:t xml:space="preserve"> </w:t>
      </w:r>
    </w:p>
    <w:p w14:paraId="40F08E78" w14:textId="77777777" w:rsidR="00FD073D" w:rsidRDefault="00FD073D" w:rsidP="00FD073D"/>
    <w:p w14:paraId="67967253" w14:textId="7669678A" w:rsidR="00FD073D" w:rsidRDefault="00FD073D" w:rsidP="00BC2DAF">
      <w:pPr>
        <w:pStyle w:val="ListParagraph"/>
        <w:numPr>
          <w:ilvl w:val="0"/>
          <w:numId w:val="31"/>
        </w:numPr>
      </w:pPr>
      <w:r>
        <w:t xml:space="preserve">Grillo, R., Pereira, A. E., </w:t>
      </w:r>
      <w:proofErr w:type="spellStart"/>
      <w:r>
        <w:t>Nishisaka</w:t>
      </w:r>
      <w:proofErr w:type="spellEnd"/>
      <w:r>
        <w:t xml:space="preserve">, C. S., de Lima, R., Oehlke, K., Greiner, R., &amp; </w:t>
      </w:r>
      <w:proofErr w:type="spellStart"/>
      <w:r>
        <w:t>Fraceto</w:t>
      </w:r>
      <w:proofErr w:type="spellEnd"/>
      <w:r>
        <w:t xml:space="preserve">, L. F. (2014). Chitosan/tripolyphosphate nanoparticles loaded with paraquat herbicide: An environmentally safer alternative for weed control. Journal of Hazardous Materials, 278, 163-171. </w:t>
      </w:r>
      <w:hyperlink r:id="rId68" w:history="1">
        <w:r w:rsidR="006E61CF" w:rsidRPr="00271B5D">
          <w:rPr>
            <w:rStyle w:val="Hyperlink"/>
          </w:rPr>
          <w:t>https://doi.org/10.1016/j.jhazmat.2014.05.079</w:t>
        </w:r>
      </w:hyperlink>
      <w:r w:rsidR="006E61CF">
        <w:t xml:space="preserve"> </w:t>
      </w:r>
    </w:p>
    <w:p w14:paraId="11ACC71A" w14:textId="77777777" w:rsidR="00FD073D" w:rsidRDefault="00FD073D" w:rsidP="00FD073D"/>
    <w:p w14:paraId="03F9967B" w14:textId="77777777" w:rsidR="006E2E6E" w:rsidRDefault="00FD073D" w:rsidP="00FD073D">
      <w:pPr>
        <w:pStyle w:val="ListParagraph"/>
        <w:numPr>
          <w:ilvl w:val="0"/>
          <w:numId w:val="31"/>
        </w:numPr>
      </w:pPr>
      <w:proofErr w:type="spellStart"/>
      <w:r>
        <w:t>Hajipour</w:t>
      </w:r>
      <w:proofErr w:type="spellEnd"/>
      <w:r>
        <w:t xml:space="preserve">, M. J., Fromm, K. M., </w:t>
      </w:r>
      <w:proofErr w:type="spellStart"/>
      <w:r>
        <w:t>Ashkarran</w:t>
      </w:r>
      <w:proofErr w:type="spellEnd"/>
      <w:r>
        <w:t xml:space="preserve">, A. A., Jimenez de Aberasturi, D., de Larramendi, I. R., Rojo, T., ... &amp; Mahmoudi, M. (2012). Antibacterial properties of nanoparticles. Trends in Biotechnology, 30(10), 499-511. </w:t>
      </w:r>
      <w:hyperlink r:id="rId69" w:history="1">
        <w:r w:rsidR="006E61CF" w:rsidRPr="00271B5D">
          <w:rPr>
            <w:rStyle w:val="Hyperlink"/>
          </w:rPr>
          <w:t>https://doi.org/10.1016/j.tibtech.2012.06.004</w:t>
        </w:r>
      </w:hyperlink>
      <w:r w:rsidR="006E61CF">
        <w:t xml:space="preserve"> </w:t>
      </w:r>
    </w:p>
    <w:p w14:paraId="190EAD0D" w14:textId="77777777" w:rsidR="006E2E6E" w:rsidRPr="006E2E6E" w:rsidRDefault="006E2E6E" w:rsidP="006E2E6E">
      <w:pPr>
        <w:pStyle w:val="ListParagraph"/>
        <w:rPr>
          <w:rFonts w:ascii="Arial" w:hAnsi="Arial" w:cs="Arial"/>
          <w:color w:val="222222"/>
          <w:shd w:val="clear" w:color="auto" w:fill="FFFFFF"/>
        </w:rPr>
      </w:pPr>
    </w:p>
    <w:p w14:paraId="4BA3A2F8" w14:textId="06B5B551" w:rsidR="00FD073D" w:rsidRDefault="006E2E6E" w:rsidP="00FD073D">
      <w:pPr>
        <w:pStyle w:val="ListParagraph"/>
        <w:numPr>
          <w:ilvl w:val="0"/>
          <w:numId w:val="31"/>
        </w:numPr>
      </w:pPr>
      <w:r w:rsidRPr="006E2E6E">
        <w:rPr>
          <w:rFonts w:ascii="Arial" w:hAnsi="Arial" w:cs="Arial"/>
          <w:color w:val="222222"/>
          <w:shd w:val="clear" w:color="auto" w:fill="FFFFFF"/>
        </w:rPr>
        <w:t xml:space="preserve">Hansen, S. F., Michelson, E. S., </w:t>
      </w:r>
      <w:proofErr w:type="spellStart"/>
      <w:r w:rsidRPr="006E2E6E">
        <w:rPr>
          <w:rFonts w:ascii="Arial" w:hAnsi="Arial" w:cs="Arial"/>
          <w:color w:val="222222"/>
          <w:shd w:val="clear" w:color="auto" w:fill="FFFFFF"/>
        </w:rPr>
        <w:t>Kamper</w:t>
      </w:r>
      <w:proofErr w:type="spellEnd"/>
      <w:r w:rsidRPr="006E2E6E">
        <w:rPr>
          <w:rFonts w:ascii="Arial" w:hAnsi="Arial" w:cs="Arial"/>
          <w:color w:val="222222"/>
          <w:shd w:val="clear" w:color="auto" w:fill="FFFFFF"/>
        </w:rPr>
        <w:t xml:space="preserve">, A., </w:t>
      </w:r>
      <w:proofErr w:type="spellStart"/>
      <w:r w:rsidRPr="006E2E6E">
        <w:rPr>
          <w:rFonts w:ascii="Arial" w:hAnsi="Arial" w:cs="Arial"/>
          <w:color w:val="222222"/>
          <w:shd w:val="clear" w:color="auto" w:fill="FFFFFF"/>
        </w:rPr>
        <w:t>Borling</w:t>
      </w:r>
      <w:proofErr w:type="spellEnd"/>
      <w:r w:rsidRPr="006E2E6E">
        <w:rPr>
          <w:rFonts w:ascii="Arial" w:hAnsi="Arial" w:cs="Arial"/>
          <w:color w:val="222222"/>
          <w:shd w:val="clear" w:color="auto" w:fill="FFFFFF"/>
        </w:rPr>
        <w:t xml:space="preserve">, P., </w:t>
      </w:r>
      <w:proofErr w:type="spellStart"/>
      <w:r w:rsidRPr="006E2E6E">
        <w:rPr>
          <w:rFonts w:ascii="Arial" w:hAnsi="Arial" w:cs="Arial"/>
          <w:color w:val="222222"/>
          <w:shd w:val="clear" w:color="auto" w:fill="FFFFFF"/>
        </w:rPr>
        <w:t>Stuer-Lauridsen</w:t>
      </w:r>
      <w:proofErr w:type="spellEnd"/>
      <w:r w:rsidRPr="006E2E6E">
        <w:rPr>
          <w:rFonts w:ascii="Arial" w:hAnsi="Arial" w:cs="Arial"/>
          <w:color w:val="222222"/>
          <w:shd w:val="clear" w:color="auto" w:fill="FFFFFF"/>
        </w:rPr>
        <w:t xml:space="preserve">, F., &amp; </w:t>
      </w:r>
      <w:proofErr w:type="spellStart"/>
      <w:r w:rsidRPr="006E2E6E">
        <w:rPr>
          <w:rFonts w:ascii="Arial" w:hAnsi="Arial" w:cs="Arial"/>
          <w:color w:val="222222"/>
          <w:shd w:val="clear" w:color="auto" w:fill="FFFFFF"/>
        </w:rPr>
        <w:t>Baun</w:t>
      </w:r>
      <w:proofErr w:type="spellEnd"/>
      <w:r w:rsidRPr="006E2E6E">
        <w:rPr>
          <w:rFonts w:ascii="Arial" w:hAnsi="Arial" w:cs="Arial"/>
          <w:color w:val="222222"/>
          <w:shd w:val="clear" w:color="auto" w:fill="FFFFFF"/>
        </w:rPr>
        <w:t>, A. (2008). Categorization framework to aid exposure assessment of nanomaterials in consumer products. </w:t>
      </w:r>
      <w:r w:rsidRPr="006E2E6E">
        <w:rPr>
          <w:rFonts w:ascii="Arial" w:hAnsi="Arial" w:cs="Arial"/>
          <w:i/>
          <w:iCs/>
          <w:color w:val="222222"/>
          <w:shd w:val="clear" w:color="auto" w:fill="FFFFFF"/>
        </w:rPr>
        <w:t>Ecotoxicology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17</w:t>
      </w:r>
      <w:r w:rsidRPr="006E2E6E">
        <w:rPr>
          <w:rFonts w:ascii="Arial" w:hAnsi="Arial" w:cs="Arial"/>
          <w:color w:val="222222"/>
          <w:shd w:val="clear" w:color="auto" w:fill="FFFFFF"/>
        </w:rPr>
        <w:t>(5), 438-447.</w:t>
      </w:r>
    </w:p>
    <w:p w14:paraId="76FF0138" w14:textId="77777777" w:rsidR="00FD073D" w:rsidRDefault="00FD073D" w:rsidP="00FD073D"/>
    <w:p w14:paraId="18CDE99B" w14:textId="77777777" w:rsidR="006E2E6E" w:rsidRDefault="00FD073D" w:rsidP="00FD073D">
      <w:pPr>
        <w:pStyle w:val="ListParagraph"/>
        <w:numPr>
          <w:ilvl w:val="0"/>
          <w:numId w:val="31"/>
        </w:numPr>
      </w:pPr>
      <w:r>
        <w:t xml:space="preserve">Hernandez-Viezcas, J. A., Castillo-Michel, H., Andrews, J. C., Cotte, M., Rico, C., Peralta-Videa, J. R., ... &amp; </w:t>
      </w:r>
      <w:proofErr w:type="spellStart"/>
      <w:r>
        <w:t>Gardea-Torresdey</w:t>
      </w:r>
      <w:proofErr w:type="spellEnd"/>
      <w:r>
        <w:t xml:space="preserve">, J. L. (2013). In situ synchrotron X-ray fluorescence mapping and speciation of </w:t>
      </w:r>
      <w:proofErr w:type="spellStart"/>
      <w:r>
        <w:t>CeO</w:t>
      </w:r>
      <w:proofErr w:type="spellEnd"/>
      <w:r w:rsidRPr="00BC2DAF">
        <w:rPr>
          <w:rFonts w:ascii="Cambria Math" w:hAnsi="Cambria Math" w:cs="Cambria Math"/>
        </w:rPr>
        <w:t>₂</w:t>
      </w:r>
      <w:r>
        <w:t xml:space="preserve"> and </w:t>
      </w:r>
      <w:proofErr w:type="spellStart"/>
      <w:r>
        <w:t>ZnO</w:t>
      </w:r>
      <w:proofErr w:type="spellEnd"/>
      <w:r>
        <w:t xml:space="preserve"> nanoparticles in soil cultivated soybean (Glycine max). ACS Nano, 7(2), 1415-1423. </w:t>
      </w:r>
      <w:hyperlink r:id="rId70" w:history="1">
        <w:r w:rsidR="006E61CF" w:rsidRPr="00271B5D">
          <w:rPr>
            <w:rStyle w:val="Hyperlink"/>
          </w:rPr>
          <w:t>https://doi.org/10.1021/nn305196q</w:t>
        </w:r>
      </w:hyperlink>
      <w:r w:rsidR="006E61CF">
        <w:t xml:space="preserve"> </w:t>
      </w:r>
    </w:p>
    <w:p w14:paraId="2E87AE36" w14:textId="77777777" w:rsidR="006E2E6E" w:rsidRPr="006E2E6E" w:rsidRDefault="006E2E6E" w:rsidP="006E2E6E">
      <w:pPr>
        <w:pStyle w:val="ListParagraph"/>
        <w:rPr>
          <w:rFonts w:ascii="Arial" w:hAnsi="Arial" w:cs="Arial"/>
          <w:color w:val="222222"/>
          <w:shd w:val="clear" w:color="auto" w:fill="FFFFFF"/>
        </w:rPr>
      </w:pPr>
    </w:p>
    <w:p w14:paraId="33C9853C" w14:textId="77777777" w:rsidR="006E2E6E" w:rsidRPr="006E2E6E" w:rsidRDefault="006E2E6E" w:rsidP="00FD073D">
      <w:pPr>
        <w:pStyle w:val="ListParagraph"/>
        <w:numPr>
          <w:ilvl w:val="0"/>
          <w:numId w:val="31"/>
        </w:numPr>
      </w:pPr>
      <w:proofErr w:type="spellStart"/>
      <w:r w:rsidRPr="006E2E6E">
        <w:rPr>
          <w:rFonts w:ascii="Arial" w:hAnsi="Arial" w:cs="Arial"/>
          <w:color w:val="222222"/>
          <w:shd w:val="clear" w:color="auto" w:fill="FFFFFF"/>
        </w:rPr>
        <w:lastRenderedPageBreak/>
        <w:t>Hladun</w:t>
      </w:r>
      <w:proofErr w:type="spellEnd"/>
      <w:r w:rsidRPr="006E2E6E">
        <w:rPr>
          <w:rFonts w:ascii="Arial" w:hAnsi="Arial" w:cs="Arial"/>
          <w:color w:val="222222"/>
          <w:shd w:val="clear" w:color="auto" w:fill="FFFFFF"/>
        </w:rPr>
        <w:t xml:space="preserve">, K. R., Smith, B. H., Mustard, J. A., Morton, R. R., &amp; </w:t>
      </w:r>
      <w:proofErr w:type="spellStart"/>
      <w:r w:rsidRPr="006E2E6E">
        <w:rPr>
          <w:rFonts w:ascii="Arial" w:hAnsi="Arial" w:cs="Arial"/>
          <w:color w:val="222222"/>
          <w:shd w:val="clear" w:color="auto" w:fill="FFFFFF"/>
        </w:rPr>
        <w:t>Trumble</w:t>
      </w:r>
      <w:proofErr w:type="spellEnd"/>
      <w:r w:rsidRPr="006E2E6E">
        <w:rPr>
          <w:rFonts w:ascii="Arial" w:hAnsi="Arial" w:cs="Arial"/>
          <w:color w:val="222222"/>
          <w:shd w:val="clear" w:color="auto" w:fill="FFFFFF"/>
        </w:rPr>
        <w:t>, J. T. (2012). Selenium toxicity to honey bee (</w:t>
      </w:r>
      <w:proofErr w:type="spellStart"/>
      <w:r w:rsidRPr="006E2E6E">
        <w:rPr>
          <w:rFonts w:ascii="Arial" w:hAnsi="Arial" w:cs="Arial"/>
          <w:color w:val="222222"/>
          <w:shd w:val="clear" w:color="auto" w:fill="FFFFFF"/>
        </w:rPr>
        <w:t>Apis</w:t>
      </w:r>
      <w:proofErr w:type="spellEnd"/>
      <w:r w:rsidRPr="006E2E6E">
        <w:rPr>
          <w:rFonts w:ascii="Arial" w:hAnsi="Arial" w:cs="Arial"/>
          <w:color w:val="222222"/>
          <w:shd w:val="clear" w:color="auto" w:fill="FFFFFF"/>
        </w:rPr>
        <w:t xml:space="preserve"> mellifera L.) pollinators: effects on behaviors and survival. </w:t>
      </w:r>
      <w:proofErr w:type="spellStart"/>
      <w:r w:rsidRPr="006E2E6E">
        <w:rPr>
          <w:rFonts w:ascii="Arial" w:hAnsi="Arial" w:cs="Arial"/>
          <w:i/>
          <w:iCs/>
          <w:color w:val="222222"/>
          <w:shd w:val="clear" w:color="auto" w:fill="FFFFFF"/>
        </w:rPr>
        <w:t>PloS</w:t>
      </w:r>
      <w:proofErr w:type="spellEnd"/>
      <w:r w:rsidRPr="006E2E6E">
        <w:rPr>
          <w:rFonts w:ascii="Arial" w:hAnsi="Arial" w:cs="Arial"/>
          <w:i/>
          <w:iCs/>
          <w:color w:val="222222"/>
          <w:shd w:val="clear" w:color="auto" w:fill="FFFFFF"/>
        </w:rPr>
        <w:t xml:space="preserve"> one</w:t>
      </w:r>
      <w:r w:rsidRPr="006E2E6E">
        <w:rPr>
          <w:rFonts w:ascii="Arial" w:hAnsi="Arial" w:cs="Arial"/>
          <w:color w:val="222222"/>
          <w:shd w:val="clear" w:color="auto" w:fill="FFFFFF"/>
        </w:rPr>
        <w:t>, </w:t>
      </w:r>
      <w:r w:rsidRPr="006E2E6E">
        <w:rPr>
          <w:rFonts w:ascii="Arial" w:hAnsi="Arial" w:cs="Arial"/>
          <w:i/>
          <w:iCs/>
          <w:color w:val="222222"/>
          <w:shd w:val="clear" w:color="auto" w:fill="FFFFFF"/>
        </w:rPr>
        <w:t>7</w:t>
      </w:r>
      <w:r w:rsidRPr="006E2E6E">
        <w:rPr>
          <w:rFonts w:ascii="Arial" w:hAnsi="Arial" w:cs="Arial"/>
          <w:color w:val="222222"/>
          <w:shd w:val="clear" w:color="auto" w:fill="FFFFFF"/>
        </w:rPr>
        <w:t>(4), e34137.</w:t>
      </w:r>
    </w:p>
    <w:p w14:paraId="550923EA" w14:textId="77777777" w:rsidR="006E2E6E" w:rsidRPr="006E2E6E" w:rsidRDefault="006E2E6E" w:rsidP="006E2E6E">
      <w:pPr>
        <w:pStyle w:val="ListParagraph"/>
        <w:rPr>
          <w:rFonts w:ascii="Arial" w:hAnsi="Arial" w:cs="Arial"/>
          <w:color w:val="222222"/>
          <w:shd w:val="clear" w:color="auto" w:fill="FFFFFF"/>
        </w:rPr>
      </w:pPr>
    </w:p>
    <w:p w14:paraId="7BB17F4C" w14:textId="40D4839A" w:rsidR="00FD073D" w:rsidRDefault="006E2E6E" w:rsidP="00FD073D">
      <w:pPr>
        <w:pStyle w:val="ListParagraph"/>
        <w:numPr>
          <w:ilvl w:val="0"/>
          <w:numId w:val="31"/>
        </w:numPr>
      </w:pPr>
      <w:r w:rsidRPr="006E2E6E">
        <w:rPr>
          <w:rFonts w:ascii="Arial" w:hAnsi="Arial" w:cs="Arial"/>
          <w:color w:val="222222"/>
          <w:shd w:val="clear" w:color="auto" w:fill="FFFFFF"/>
        </w:rPr>
        <w:t xml:space="preserve">Hoppe, M., </w:t>
      </w:r>
      <w:proofErr w:type="spellStart"/>
      <w:r w:rsidRPr="006E2E6E">
        <w:rPr>
          <w:rFonts w:ascii="Arial" w:hAnsi="Arial" w:cs="Arial"/>
          <w:color w:val="222222"/>
          <w:shd w:val="clear" w:color="auto" w:fill="FFFFFF"/>
        </w:rPr>
        <w:t>Mikutta</w:t>
      </w:r>
      <w:proofErr w:type="spellEnd"/>
      <w:r w:rsidRPr="006E2E6E">
        <w:rPr>
          <w:rFonts w:ascii="Arial" w:hAnsi="Arial" w:cs="Arial"/>
          <w:color w:val="222222"/>
          <w:shd w:val="clear" w:color="auto" w:fill="FFFFFF"/>
        </w:rPr>
        <w:t xml:space="preserve">, R., </w:t>
      </w:r>
      <w:proofErr w:type="spellStart"/>
      <w:r w:rsidRPr="006E2E6E">
        <w:rPr>
          <w:rFonts w:ascii="Arial" w:hAnsi="Arial" w:cs="Arial"/>
          <w:color w:val="222222"/>
          <w:shd w:val="clear" w:color="auto" w:fill="FFFFFF"/>
        </w:rPr>
        <w:t>Utermann</w:t>
      </w:r>
      <w:proofErr w:type="spellEnd"/>
      <w:r w:rsidRPr="006E2E6E">
        <w:rPr>
          <w:rFonts w:ascii="Arial" w:hAnsi="Arial" w:cs="Arial"/>
          <w:color w:val="222222"/>
          <w:shd w:val="clear" w:color="auto" w:fill="FFFFFF"/>
        </w:rPr>
        <w:t xml:space="preserve">, J., </w:t>
      </w:r>
      <w:proofErr w:type="spellStart"/>
      <w:r w:rsidRPr="006E2E6E">
        <w:rPr>
          <w:rFonts w:ascii="Arial" w:hAnsi="Arial" w:cs="Arial"/>
          <w:color w:val="222222"/>
          <w:shd w:val="clear" w:color="auto" w:fill="FFFFFF"/>
        </w:rPr>
        <w:t>Duijnisveld</w:t>
      </w:r>
      <w:proofErr w:type="spellEnd"/>
      <w:r w:rsidRPr="006E2E6E">
        <w:rPr>
          <w:rFonts w:ascii="Arial" w:hAnsi="Arial" w:cs="Arial"/>
          <w:color w:val="222222"/>
          <w:shd w:val="clear" w:color="auto" w:fill="FFFFFF"/>
        </w:rPr>
        <w:t xml:space="preserve">, W., &amp; </w:t>
      </w:r>
      <w:proofErr w:type="spellStart"/>
      <w:r w:rsidRPr="006E2E6E">
        <w:rPr>
          <w:rFonts w:ascii="Arial" w:hAnsi="Arial" w:cs="Arial"/>
          <w:color w:val="222222"/>
          <w:shd w:val="clear" w:color="auto" w:fill="FFFFFF"/>
        </w:rPr>
        <w:t>Guggenberger</w:t>
      </w:r>
      <w:proofErr w:type="spellEnd"/>
      <w:r w:rsidRPr="006E2E6E">
        <w:rPr>
          <w:rFonts w:ascii="Arial" w:hAnsi="Arial" w:cs="Arial"/>
          <w:color w:val="222222"/>
          <w:shd w:val="clear" w:color="auto" w:fill="FFFFFF"/>
        </w:rPr>
        <w:t xml:space="preserve">, G. (2014). Retention of sterically and </w:t>
      </w:r>
      <w:proofErr w:type="spellStart"/>
      <w:r w:rsidRPr="006E2E6E">
        <w:rPr>
          <w:rFonts w:ascii="Arial" w:hAnsi="Arial" w:cs="Arial"/>
          <w:color w:val="222222"/>
          <w:shd w:val="clear" w:color="auto" w:fill="FFFFFF"/>
        </w:rPr>
        <w:t>electrosterically</w:t>
      </w:r>
      <w:proofErr w:type="spellEnd"/>
      <w:r w:rsidRPr="006E2E6E">
        <w:rPr>
          <w:rFonts w:ascii="Arial" w:hAnsi="Arial" w:cs="Arial"/>
          <w:color w:val="222222"/>
          <w:shd w:val="clear" w:color="auto" w:fill="FFFFFF"/>
        </w:rPr>
        <w:t xml:space="preserve"> stabilized silver nanoparticles in soils. </w:t>
      </w:r>
      <w:r w:rsidRPr="006E2E6E">
        <w:rPr>
          <w:rFonts w:ascii="Arial" w:hAnsi="Arial" w:cs="Arial"/>
          <w:i/>
          <w:iCs/>
          <w:color w:val="222222"/>
          <w:shd w:val="clear" w:color="auto" w:fill="FFFFFF"/>
        </w:rPr>
        <w:t>Environmental science &amp; technology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48</w:t>
      </w:r>
      <w:r w:rsidRPr="006E2E6E">
        <w:rPr>
          <w:rFonts w:ascii="Arial" w:hAnsi="Arial" w:cs="Arial"/>
          <w:color w:val="222222"/>
          <w:shd w:val="clear" w:color="auto" w:fill="FFFFFF"/>
        </w:rPr>
        <w:t>(21), 12628-12635.</w:t>
      </w:r>
    </w:p>
    <w:p w14:paraId="636D749A" w14:textId="197C653C" w:rsidR="00FD073D" w:rsidRDefault="00FD073D" w:rsidP="00BC2DAF">
      <w:pPr>
        <w:pStyle w:val="ListParagraph"/>
        <w:numPr>
          <w:ilvl w:val="0"/>
          <w:numId w:val="31"/>
        </w:numPr>
      </w:pPr>
      <w:r>
        <w:t xml:space="preserve">Hooper, H. L., </w:t>
      </w:r>
      <w:proofErr w:type="spellStart"/>
      <w:r>
        <w:t>Jurkschat</w:t>
      </w:r>
      <w:proofErr w:type="spellEnd"/>
      <w:r>
        <w:t xml:space="preserve">, K., Morgan, A. J., Bailey, J., Lawlor, A. J., Spurgeon, D. J., &amp; Svendsen, C. (2011). Comparative chronic toxicity of nanoparticulate and ionic zinc to the earthworm Eisenia </w:t>
      </w:r>
      <w:proofErr w:type="spellStart"/>
      <w:r>
        <w:t>veneta</w:t>
      </w:r>
      <w:proofErr w:type="spellEnd"/>
      <w:r>
        <w:t xml:space="preserve"> in a soil matrix. Environment International, 37(6), 1111-1117. </w:t>
      </w:r>
      <w:hyperlink r:id="rId71" w:history="1">
        <w:r w:rsidR="006E61CF" w:rsidRPr="00271B5D">
          <w:rPr>
            <w:rStyle w:val="Hyperlink"/>
          </w:rPr>
          <w:t>https://doi.org/10.1016/j.envint.2011.02.019</w:t>
        </w:r>
      </w:hyperlink>
      <w:r w:rsidR="006E61CF">
        <w:t xml:space="preserve"> </w:t>
      </w:r>
    </w:p>
    <w:p w14:paraId="791F2AA8" w14:textId="77777777" w:rsidR="00FD073D" w:rsidRDefault="00FD073D" w:rsidP="00FD073D"/>
    <w:p w14:paraId="1CBC4A02" w14:textId="77777777" w:rsidR="006E2E6E" w:rsidRDefault="00FD073D" w:rsidP="00FD073D">
      <w:pPr>
        <w:pStyle w:val="ListParagraph"/>
        <w:numPr>
          <w:ilvl w:val="0"/>
          <w:numId w:val="31"/>
        </w:numPr>
      </w:pPr>
      <w:r>
        <w:t xml:space="preserve">Hoppe, M., Mikutta, R., </w:t>
      </w:r>
      <w:proofErr w:type="spellStart"/>
      <w:r>
        <w:t>Utermann</w:t>
      </w:r>
      <w:proofErr w:type="spellEnd"/>
      <w:r>
        <w:t xml:space="preserve">, J., </w:t>
      </w:r>
      <w:proofErr w:type="spellStart"/>
      <w:r>
        <w:t>Duijnisveld</w:t>
      </w:r>
      <w:proofErr w:type="spellEnd"/>
      <w:r>
        <w:t xml:space="preserve">, W., &amp; Guggenberger, G. (2015). Retention of sterically and </w:t>
      </w:r>
      <w:proofErr w:type="spellStart"/>
      <w:r>
        <w:t>electrosterically</w:t>
      </w:r>
      <w:proofErr w:type="spellEnd"/>
      <w:r>
        <w:t xml:space="preserve"> stabilized silver nanoparticles in soils. Environmental Science &amp; Technology, 49(17), 10490-10497. </w:t>
      </w:r>
      <w:hyperlink r:id="rId72" w:history="1">
        <w:r w:rsidR="006E61CF" w:rsidRPr="00271B5D">
          <w:rPr>
            <w:rStyle w:val="Hyperlink"/>
          </w:rPr>
          <w:t>https://doi.org/10.1021/acs.est.5b01564</w:t>
        </w:r>
      </w:hyperlink>
      <w:r w:rsidR="006E61CF">
        <w:t xml:space="preserve"> </w:t>
      </w:r>
    </w:p>
    <w:p w14:paraId="7E6FE798" w14:textId="77777777" w:rsidR="006E2E6E" w:rsidRPr="006E2E6E" w:rsidRDefault="006E2E6E" w:rsidP="006E2E6E">
      <w:pPr>
        <w:pStyle w:val="ListParagraph"/>
        <w:rPr>
          <w:rFonts w:ascii="Arial" w:hAnsi="Arial" w:cs="Arial"/>
          <w:color w:val="222222"/>
          <w:shd w:val="clear" w:color="auto" w:fill="FFFFFF"/>
        </w:rPr>
      </w:pPr>
    </w:p>
    <w:p w14:paraId="661B1105" w14:textId="204BF32A" w:rsidR="00FD073D" w:rsidRDefault="006E2E6E" w:rsidP="00FD073D">
      <w:pPr>
        <w:pStyle w:val="ListParagraph"/>
        <w:numPr>
          <w:ilvl w:val="0"/>
          <w:numId w:val="31"/>
        </w:numPr>
      </w:pPr>
      <w:r w:rsidRPr="006E2E6E">
        <w:rPr>
          <w:rFonts w:ascii="Arial" w:hAnsi="Arial" w:cs="Arial"/>
          <w:color w:val="222222"/>
          <w:shd w:val="clear" w:color="auto" w:fill="FFFFFF"/>
        </w:rPr>
        <w:t xml:space="preserve">Hoppe, M., </w:t>
      </w:r>
      <w:proofErr w:type="spellStart"/>
      <w:r w:rsidRPr="006E2E6E">
        <w:rPr>
          <w:rFonts w:ascii="Arial" w:hAnsi="Arial" w:cs="Arial"/>
          <w:color w:val="222222"/>
          <w:shd w:val="clear" w:color="auto" w:fill="FFFFFF"/>
        </w:rPr>
        <w:t>Mikutta</w:t>
      </w:r>
      <w:proofErr w:type="spellEnd"/>
      <w:r w:rsidRPr="006E2E6E">
        <w:rPr>
          <w:rFonts w:ascii="Arial" w:hAnsi="Arial" w:cs="Arial"/>
          <w:color w:val="222222"/>
          <w:shd w:val="clear" w:color="auto" w:fill="FFFFFF"/>
        </w:rPr>
        <w:t xml:space="preserve">, R., </w:t>
      </w:r>
      <w:proofErr w:type="spellStart"/>
      <w:r w:rsidRPr="006E2E6E">
        <w:rPr>
          <w:rFonts w:ascii="Arial" w:hAnsi="Arial" w:cs="Arial"/>
          <w:color w:val="222222"/>
          <w:shd w:val="clear" w:color="auto" w:fill="FFFFFF"/>
        </w:rPr>
        <w:t>Utermann</w:t>
      </w:r>
      <w:proofErr w:type="spellEnd"/>
      <w:r w:rsidRPr="006E2E6E">
        <w:rPr>
          <w:rFonts w:ascii="Arial" w:hAnsi="Arial" w:cs="Arial"/>
          <w:color w:val="222222"/>
          <w:shd w:val="clear" w:color="auto" w:fill="FFFFFF"/>
        </w:rPr>
        <w:t xml:space="preserve">, J., </w:t>
      </w:r>
      <w:proofErr w:type="spellStart"/>
      <w:r w:rsidRPr="006E2E6E">
        <w:rPr>
          <w:rFonts w:ascii="Arial" w:hAnsi="Arial" w:cs="Arial"/>
          <w:color w:val="222222"/>
          <w:shd w:val="clear" w:color="auto" w:fill="FFFFFF"/>
        </w:rPr>
        <w:t>Duijnisveld</w:t>
      </w:r>
      <w:proofErr w:type="spellEnd"/>
      <w:r w:rsidRPr="006E2E6E">
        <w:rPr>
          <w:rFonts w:ascii="Arial" w:hAnsi="Arial" w:cs="Arial"/>
          <w:color w:val="222222"/>
          <w:shd w:val="clear" w:color="auto" w:fill="FFFFFF"/>
        </w:rPr>
        <w:t xml:space="preserve">, W., &amp; </w:t>
      </w:r>
      <w:proofErr w:type="spellStart"/>
      <w:r w:rsidRPr="006E2E6E">
        <w:rPr>
          <w:rFonts w:ascii="Arial" w:hAnsi="Arial" w:cs="Arial"/>
          <w:color w:val="222222"/>
          <w:shd w:val="clear" w:color="auto" w:fill="FFFFFF"/>
        </w:rPr>
        <w:t>Guggenberger</w:t>
      </w:r>
      <w:proofErr w:type="spellEnd"/>
      <w:r w:rsidRPr="006E2E6E">
        <w:rPr>
          <w:rFonts w:ascii="Arial" w:hAnsi="Arial" w:cs="Arial"/>
          <w:color w:val="222222"/>
          <w:shd w:val="clear" w:color="auto" w:fill="FFFFFF"/>
        </w:rPr>
        <w:t xml:space="preserve">, G. (2014). Retention of sterically and </w:t>
      </w:r>
      <w:proofErr w:type="spellStart"/>
      <w:r w:rsidRPr="006E2E6E">
        <w:rPr>
          <w:rFonts w:ascii="Arial" w:hAnsi="Arial" w:cs="Arial"/>
          <w:color w:val="222222"/>
          <w:shd w:val="clear" w:color="auto" w:fill="FFFFFF"/>
        </w:rPr>
        <w:t>electrosterically</w:t>
      </w:r>
      <w:proofErr w:type="spellEnd"/>
      <w:r w:rsidRPr="006E2E6E">
        <w:rPr>
          <w:rFonts w:ascii="Arial" w:hAnsi="Arial" w:cs="Arial"/>
          <w:color w:val="222222"/>
          <w:shd w:val="clear" w:color="auto" w:fill="FFFFFF"/>
        </w:rPr>
        <w:t xml:space="preserve"> stabilized silver nanoparticles in soils. </w:t>
      </w:r>
      <w:r w:rsidRPr="006E2E6E">
        <w:rPr>
          <w:rFonts w:ascii="Arial" w:hAnsi="Arial" w:cs="Arial"/>
          <w:i/>
          <w:iCs/>
          <w:color w:val="222222"/>
          <w:shd w:val="clear" w:color="auto" w:fill="FFFFFF"/>
        </w:rPr>
        <w:t>Environmental science &amp; technology</w:t>
      </w:r>
      <w:r w:rsidRPr="006E2E6E">
        <w:rPr>
          <w:rFonts w:ascii="Arial" w:hAnsi="Arial" w:cs="Arial"/>
          <w:color w:val="222222"/>
          <w:shd w:val="clear" w:color="auto" w:fill="FFFFFF"/>
        </w:rPr>
        <w:t>, </w:t>
      </w:r>
      <w:r w:rsidRPr="006E2E6E">
        <w:rPr>
          <w:rFonts w:ascii="Arial" w:hAnsi="Arial" w:cs="Arial"/>
          <w:i/>
          <w:iCs/>
          <w:color w:val="222222"/>
          <w:shd w:val="clear" w:color="auto" w:fill="FFFFFF"/>
        </w:rPr>
        <w:t>48</w:t>
      </w:r>
      <w:r w:rsidRPr="006E2E6E">
        <w:rPr>
          <w:rFonts w:ascii="Arial" w:hAnsi="Arial" w:cs="Arial"/>
          <w:color w:val="222222"/>
          <w:shd w:val="clear" w:color="auto" w:fill="FFFFFF"/>
        </w:rPr>
        <w:t>(21), 12628-12635.</w:t>
      </w:r>
    </w:p>
    <w:p w14:paraId="3768E381" w14:textId="40677219" w:rsidR="00FD073D" w:rsidRDefault="00FD073D" w:rsidP="00BC2DAF">
      <w:pPr>
        <w:pStyle w:val="ListParagraph"/>
        <w:numPr>
          <w:ilvl w:val="0"/>
          <w:numId w:val="31"/>
        </w:numPr>
      </w:pPr>
      <w:proofErr w:type="spellStart"/>
      <w:r>
        <w:t>Huvenne</w:t>
      </w:r>
      <w:proofErr w:type="spellEnd"/>
      <w:r>
        <w:t xml:space="preserve">, H., &amp; </w:t>
      </w:r>
      <w:proofErr w:type="spellStart"/>
      <w:r>
        <w:t>Smagghe</w:t>
      </w:r>
      <w:proofErr w:type="spellEnd"/>
      <w:r>
        <w:t xml:space="preserve">, G. (2010). Mechanisms of dsRNA uptake in insects and potential of RNAi for pest control: A review. Journal of Insect Physiology, 56(3), 227-235. </w:t>
      </w:r>
      <w:hyperlink r:id="rId73" w:history="1">
        <w:r w:rsidR="0005509E" w:rsidRPr="00271B5D">
          <w:rPr>
            <w:rStyle w:val="Hyperlink"/>
          </w:rPr>
          <w:t>https://doi.org/10.1016/j.jinsphys.2009.10.004</w:t>
        </w:r>
      </w:hyperlink>
      <w:r w:rsidR="0005509E">
        <w:t xml:space="preserve"> </w:t>
      </w:r>
    </w:p>
    <w:p w14:paraId="58A8FAF2" w14:textId="77777777" w:rsidR="00FD073D" w:rsidRDefault="00FD073D" w:rsidP="00FD073D"/>
    <w:p w14:paraId="65AFFAEA" w14:textId="0EF0A94A" w:rsidR="00FD073D" w:rsidRDefault="00FD073D" w:rsidP="00BC2DAF">
      <w:pPr>
        <w:pStyle w:val="ListParagraph"/>
        <w:numPr>
          <w:ilvl w:val="0"/>
          <w:numId w:val="31"/>
        </w:numPr>
      </w:pPr>
      <w:r>
        <w:t xml:space="preserve">Imada, K., Sakai, S., </w:t>
      </w:r>
      <w:proofErr w:type="spellStart"/>
      <w:r>
        <w:t>Kajihara</w:t>
      </w:r>
      <w:proofErr w:type="spellEnd"/>
      <w:r>
        <w:t xml:space="preserve">, H., Tanaka, S., &amp; Ito, S. (2016). Magnesium oxide nanoparticles induce systemic resistance in tomato against bacterial wilt disease. Plant Pathology, 65(4), 551-560. </w:t>
      </w:r>
      <w:hyperlink r:id="rId74" w:history="1">
        <w:r w:rsidR="0005509E" w:rsidRPr="00271B5D">
          <w:rPr>
            <w:rStyle w:val="Hyperlink"/>
          </w:rPr>
          <w:t>https://doi.org/10.1111/ppa.12443</w:t>
        </w:r>
      </w:hyperlink>
      <w:r w:rsidR="0005509E">
        <w:t xml:space="preserve"> </w:t>
      </w:r>
    </w:p>
    <w:p w14:paraId="2B39DD84" w14:textId="6E142204" w:rsidR="00FD073D" w:rsidRDefault="00FD073D" w:rsidP="00BC2DAF">
      <w:pPr>
        <w:ind w:firstLine="60"/>
      </w:pPr>
    </w:p>
    <w:p w14:paraId="65F3EA1E" w14:textId="3966DA92" w:rsidR="00FD073D" w:rsidRDefault="00FD073D" w:rsidP="00BC2DAF">
      <w:pPr>
        <w:pStyle w:val="ListParagraph"/>
        <w:numPr>
          <w:ilvl w:val="0"/>
          <w:numId w:val="31"/>
        </w:numPr>
      </w:pPr>
      <w:r>
        <w:t xml:space="preserve">Iravani, S. (2011). Green synthesis of metal nanoparticles using plants. Green Chemistry, 13(10), 2638-2650. </w:t>
      </w:r>
      <w:hyperlink r:id="rId75" w:history="1">
        <w:r w:rsidR="0005509E" w:rsidRPr="00271B5D">
          <w:rPr>
            <w:rStyle w:val="Hyperlink"/>
          </w:rPr>
          <w:t>https://doi.org/10.1039/C1GC15386B</w:t>
        </w:r>
      </w:hyperlink>
      <w:r w:rsidR="0005509E">
        <w:t xml:space="preserve"> </w:t>
      </w:r>
    </w:p>
    <w:p w14:paraId="59696095" w14:textId="77777777" w:rsidR="00FD073D" w:rsidRDefault="00FD073D" w:rsidP="00FD073D"/>
    <w:p w14:paraId="3AAB0C3F" w14:textId="737BE2BD" w:rsidR="00FD073D" w:rsidRDefault="00FD073D" w:rsidP="00BC2DAF">
      <w:pPr>
        <w:pStyle w:val="ListParagraph"/>
        <w:numPr>
          <w:ilvl w:val="0"/>
          <w:numId w:val="31"/>
        </w:numPr>
      </w:pPr>
      <w:r>
        <w:t xml:space="preserve">Islam, M. T., Croll, D., Gladieux, P., Soanes, D. M., Persoons, A., Bhattacharjee, P., ... &amp; Kamoun, S. (2016). Emergence of wheat blast in Bangladesh was caused by a South American lineage of </w:t>
      </w:r>
      <w:proofErr w:type="spellStart"/>
      <w:r w:rsidR="008A517F" w:rsidRPr="00BC2DAF">
        <w:rPr>
          <w:i/>
          <w:iCs/>
        </w:rPr>
        <w:t>Magnaporthe</w:t>
      </w:r>
      <w:proofErr w:type="spellEnd"/>
      <w:r w:rsidR="008A517F" w:rsidRPr="00BC2DAF">
        <w:rPr>
          <w:i/>
          <w:iCs/>
        </w:rPr>
        <w:t xml:space="preserve"> </w:t>
      </w:r>
      <w:proofErr w:type="spellStart"/>
      <w:r w:rsidR="008A517F" w:rsidRPr="00BC2DAF">
        <w:rPr>
          <w:i/>
          <w:iCs/>
        </w:rPr>
        <w:t>oryzae</w:t>
      </w:r>
      <w:proofErr w:type="spellEnd"/>
      <w:r>
        <w:t xml:space="preserve">. BMC Biology, 14(1), 84. </w:t>
      </w:r>
      <w:hyperlink r:id="rId76" w:history="1">
        <w:r w:rsidR="0005509E" w:rsidRPr="00271B5D">
          <w:rPr>
            <w:rStyle w:val="Hyperlink"/>
          </w:rPr>
          <w:t>https://doi.org/10.1186/s12915-016-0309-7</w:t>
        </w:r>
      </w:hyperlink>
      <w:r w:rsidR="0005509E">
        <w:t xml:space="preserve"> </w:t>
      </w:r>
    </w:p>
    <w:p w14:paraId="4F0197BD" w14:textId="77777777" w:rsidR="00FD073D" w:rsidRDefault="00FD073D" w:rsidP="00FD073D"/>
    <w:p w14:paraId="0B27191C" w14:textId="015B3F52" w:rsidR="00FD073D" w:rsidRDefault="00FD073D" w:rsidP="00BC2DAF">
      <w:pPr>
        <w:pStyle w:val="ListParagraph"/>
        <w:numPr>
          <w:ilvl w:val="0"/>
          <w:numId w:val="31"/>
        </w:numPr>
      </w:pPr>
      <w:r>
        <w:t xml:space="preserve">Jayaraj, R., Megha, P., &amp; Sreedev, P. (2016). Organochlorine pesticides, their toxic effects on living organisms and their fate in the environment. Interdisciplinary Toxicology, 9(3-4), 90-100. </w:t>
      </w:r>
      <w:hyperlink r:id="rId77" w:history="1">
        <w:r w:rsidR="0005509E" w:rsidRPr="00271B5D">
          <w:rPr>
            <w:rStyle w:val="Hyperlink"/>
          </w:rPr>
          <w:t>https://doi.org/10.1515/intox-2016-0012</w:t>
        </w:r>
      </w:hyperlink>
      <w:r w:rsidR="0005509E">
        <w:t xml:space="preserve"> </w:t>
      </w:r>
    </w:p>
    <w:p w14:paraId="75FB0CC7" w14:textId="77777777" w:rsidR="00FD073D" w:rsidRDefault="00FD073D" w:rsidP="00FD073D"/>
    <w:p w14:paraId="3B2624AE" w14:textId="7B3BD6E0" w:rsidR="00FD073D" w:rsidRDefault="00FD073D" w:rsidP="00BC2DAF">
      <w:pPr>
        <w:pStyle w:val="ListParagraph"/>
        <w:numPr>
          <w:ilvl w:val="0"/>
          <w:numId w:val="31"/>
        </w:numPr>
      </w:pPr>
      <w:r>
        <w:t xml:space="preserve">Jiang, J., Pi, J., &amp; Cai, J. (2018). The advancing of zinc oxide nanoparticles for biomedical applications. Bioinorganic Chemistry and Applications, 2018, 1062562. </w:t>
      </w:r>
      <w:hyperlink r:id="rId78" w:history="1">
        <w:r w:rsidR="0005509E" w:rsidRPr="00271B5D">
          <w:rPr>
            <w:rStyle w:val="Hyperlink"/>
          </w:rPr>
          <w:t>https://doi.org/10.1155/2018/1062562</w:t>
        </w:r>
      </w:hyperlink>
      <w:r w:rsidR="0005509E">
        <w:t xml:space="preserve"> </w:t>
      </w:r>
    </w:p>
    <w:p w14:paraId="68DF5184" w14:textId="77777777" w:rsidR="00FD073D" w:rsidRDefault="00FD073D" w:rsidP="00FD073D"/>
    <w:p w14:paraId="5A47280B" w14:textId="1FBE684F" w:rsidR="00FD073D" w:rsidRDefault="00FD073D" w:rsidP="00BC2DAF">
      <w:pPr>
        <w:pStyle w:val="ListParagraph"/>
        <w:numPr>
          <w:ilvl w:val="0"/>
          <w:numId w:val="31"/>
        </w:numPr>
      </w:pPr>
      <w:r>
        <w:t xml:space="preserve">Judy, J. D., Kirby, J. K., Creamer, C., McLaughlin, M. J., Fiebiger, C., Wright, C., ... &amp; Bertsch, P. M. (2015). Effects of silver sulfide nanomaterials on mycorrhizal colonization of tomato plants and soil microbial communities in biosolid-amended soil. Environmental Pollution, 206, 256-263. </w:t>
      </w:r>
      <w:hyperlink r:id="rId79" w:history="1">
        <w:r w:rsidR="0005509E" w:rsidRPr="00271B5D">
          <w:rPr>
            <w:rStyle w:val="Hyperlink"/>
          </w:rPr>
          <w:t>https://doi.org/10.1016/j.envpol.2015.07.002</w:t>
        </w:r>
      </w:hyperlink>
      <w:r w:rsidR="0005509E">
        <w:t xml:space="preserve"> </w:t>
      </w:r>
    </w:p>
    <w:p w14:paraId="76D807D5" w14:textId="77777777" w:rsidR="00FD073D" w:rsidRDefault="00FD073D" w:rsidP="00FD073D"/>
    <w:p w14:paraId="58B16E6A" w14:textId="1B5B2E0D" w:rsidR="00FD073D" w:rsidRDefault="00FD073D" w:rsidP="00BC2DAF">
      <w:pPr>
        <w:pStyle w:val="ListParagraph"/>
        <w:numPr>
          <w:ilvl w:val="0"/>
          <w:numId w:val="31"/>
        </w:numPr>
      </w:pPr>
      <w:r>
        <w:t xml:space="preserve">Judy, J. D., </w:t>
      </w:r>
      <w:proofErr w:type="spellStart"/>
      <w:r>
        <w:t>Unrine</w:t>
      </w:r>
      <w:proofErr w:type="spellEnd"/>
      <w:r>
        <w:t xml:space="preserve">, J. M., &amp; Bertsch, P. M. (2011). Evidence for biomagnification of gold nanoparticles within a terrestrial food chain. Environmental Science &amp; Technology, 45(2), 776-781. </w:t>
      </w:r>
      <w:hyperlink r:id="rId80" w:history="1">
        <w:r w:rsidR="0005509E" w:rsidRPr="00271B5D">
          <w:rPr>
            <w:rStyle w:val="Hyperlink"/>
          </w:rPr>
          <w:t>https://doi.org/10.1021/es103031a</w:t>
        </w:r>
      </w:hyperlink>
      <w:r w:rsidR="0005509E">
        <w:t xml:space="preserve"> </w:t>
      </w:r>
    </w:p>
    <w:p w14:paraId="29E5B20C" w14:textId="77777777" w:rsidR="00FD073D" w:rsidRDefault="00FD073D" w:rsidP="00FD073D"/>
    <w:p w14:paraId="6BEC5285" w14:textId="65C47DAC" w:rsidR="00FD073D" w:rsidRDefault="00FD073D" w:rsidP="00BC2DAF">
      <w:pPr>
        <w:pStyle w:val="ListParagraph"/>
        <w:numPr>
          <w:ilvl w:val="0"/>
          <w:numId w:val="31"/>
        </w:numPr>
      </w:pPr>
      <w:r>
        <w:t xml:space="preserve">Judy, J. D., </w:t>
      </w:r>
      <w:proofErr w:type="spellStart"/>
      <w:r>
        <w:t>Unrine</w:t>
      </w:r>
      <w:proofErr w:type="spellEnd"/>
      <w:r>
        <w:t xml:space="preserve">, J. M., Rao, W., Bertsch, P. M., &amp; Bertsch, P. M. (2012). Bioaccumulation of gold nanomaterials by Manduca sexta through dietary uptake of surface contaminated plant tissue. Environmental Science &amp; Technology, 46(22), 12672-12678. </w:t>
      </w:r>
      <w:hyperlink r:id="rId81" w:history="1">
        <w:r w:rsidR="0005509E" w:rsidRPr="00271B5D">
          <w:rPr>
            <w:rStyle w:val="Hyperlink"/>
          </w:rPr>
          <w:t>https://doi.org/10.1021/es303333w</w:t>
        </w:r>
      </w:hyperlink>
      <w:r w:rsidR="0005509E">
        <w:t xml:space="preserve"> </w:t>
      </w:r>
    </w:p>
    <w:p w14:paraId="6426A230" w14:textId="77777777" w:rsidR="00FD073D" w:rsidRDefault="00FD073D" w:rsidP="00FD073D"/>
    <w:p w14:paraId="3928FE9A" w14:textId="2A7BC6AF" w:rsidR="00FD073D" w:rsidRDefault="00FD073D" w:rsidP="00BC2DAF">
      <w:pPr>
        <w:pStyle w:val="ListParagraph"/>
        <w:numPr>
          <w:ilvl w:val="0"/>
          <w:numId w:val="31"/>
        </w:numPr>
      </w:pPr>
      <w:r>
        <w:t xml:space="preserve">Judy, J. D., </w:t>
      </w:r>
      <w:proofErr w:type="spellStart"/>
      <w:r>
        <w:t>Unrine</w:t>
      </w:r>
      <w:proofErr w:type="spellEnd"/>
      <w:r>
        <w:t xml:space="preserve">, J. M., Rao, W., Wirick, S., &amp; Bertsch, P. M. (2019). Bioavailability of gold nanomaterials to plants: Importance of particle size and surface coating. Environmental Science &amp; Technology, 46(15), 8467-8474. </w:t>
      </w:r>
      <w:hyperlink r:id="rId82" w:history="1">
        <w:r w:rsidR="0005509E" w:rsidRPr="00271B5D">
          <w:rPr>
            <w:rStyle w:val="Hyperlink"/>
          </w:rPr>
          <w:t>https://doi.org/10.1021/es3019397</w:t>
        </w:r>
      </w:hyperlink>
      <w:r w:rsidR="0005509E">
        <w:t xml:space="preserve"> </w:t>
      </w:r>
    </w:p>
    <w:p w14:paraId="74BC3AC0" w14:textId="77777777" w:rsidR="00FD073D" w:rsidRDefault="00FD073D" w:rsidP="00FD073D"/>
    <w:p w14:paraId="7426CBA9" w14:textId="6146503A" w:rsidR="00FD073D" w:rsidRDefault="00FD073D" w:rsidP="00BC2DAF">
      <w:pPr>
        <w:pStyle w:val="ListParagraph"/>
        <w:numPr>
          <w:ilvl w:val="0"/>
          <w:numId w:val="31"/>
        </w:numPr>
      </w:pPr>
      <w:r>
        <w:t xml:space="preserve">Kah, M., &amp; Hofmann, T. (2014). </w:t>
      </w:r>
      <w:proofErr w:type="spellStart"/>
      <w:r>
        <w:t>Nanopesticide</w:t>
      </w:r>
      <w:proofErr w:type="spellEnd"/>
      <w:r>
        <w:t xml:space="preserve"> research: Current trends and future priorities. Environment International, 63, 224-235. </w:t>
      </w:r>
      <w:hyperlink r:id="rId83" w:history="1">
        <w:r w:rsidR="0005509E" w:rsidRPr="00271B5D">
          <w:rPr>
            <w:rStyle w:val="Hyperlink"/>
          </w:rPr>
          <w:t>https://doi.org/10.1016/j.envint.2013.11.015</w:t>
        </w:r>
      </w:hyperlink>
      <w:r w:rsidR="0005509E">
        <w:t xml:space="preserve"> </w:t>
      </w:r>
    </w:p>
    <w:p w14:paraId="0F60129A" w14:textId="77777777" w:rsidR="00FD073D" w:rsidRDefault="00FD073D" w:rsidP="00FD073D"/>
    <w:p w14:paraId="73B64953" w14:textId="06962A09" w:rsidR="00FD073D" w:rsidRDefault="00FD073D" w:rsidP="00BC2DAF">
      <w:pPr>
        <w:pStyle w:val="ListParagraph"/>
        <w:numPr>
          <w:ilvl w:val="0"/>
          <w:numId w:val="31"/>
        </w:numPr>
      </w:pPr>
      <w:r>
        <w:t xml:space="preserve">Kah, M., Beulke, S., Tiede, K., &amp; Hofmann, T. (2013). </w:t>
      </w:r>
      <w:proofErr w:type="spellStart"/>
      <w:r>
        <w:t>Nanopesticides</w:t>
      </w:r>
      <w:proofErr w:type="spellEnd"/>
      <w:r>
        <w:t xml:space="preserve">: State of knowledge, environmental fate, and exposure modeling. Critical Reviews in Environmental Science and Technology, 43(16), 1823-1867. </w:t>
      </w:r>
      <w:hyperlink r:id="rId84" w:history="1">
        <w:r w:rsidR="0005509E" w:rsidRPr="00271B5D">
          <w:rPr>
            <w:rStyle w:val="Hyperlink"/>
          </w:rPr>
          <w:t>https://doi.org/10.1080/10643389.2012.671750</w:t>
        </w:r>
      </w:hyperlink>
      <w:r w:rsidR="0005509E">
        <w:t xml:space="preserve"> </w:t>
      </w:r>
    </w:p>
    <w:p w14:paraId="3327FBE0" w14:textId="77777777" w:rsidR="00FD073D" w:rsidRDefault="00FD073D" w:rsidP="00FD073D"/>
    <w:p w14:paraId="1FF68AA2" w14:textId="282B8008" w:rsidR="00FD073D" w:rsidRDefault="00FD073D" w:rsidP="00BC2DAF">
      <w:pPr>
        <w:pStyle w:val="ListParagraph"/>
        <w:numPr>
          <w:ilvl w:val="0"/>
          <w:numId w:val="31"/>
        </w:numPr>
      </w:pPr>
      <w:r>
        <w:lastRenderedPageBreak/>
        <w:t xml:space="preserve">Kah, M., Kookana, R. S., Gogos, A., &amp; Bucheli, T. D. (2018). A critical evaluation of </w:t>
      </w:r>
      <w:proofErr w:type="spellStart"/>
      <w:r>
        <w:t>nanopesticides</w:t>
      </w:r>
      <w:proofErr w:type="spellEnd"/>
      <w:r>
        <w:t xml:space="preserve"> and </w:t>
      </w:r>
      <w:proofErr w:type="spellStart"/>
      <w:r>
        <w:t>nanofertilizers</w:t>
      </w:r>
      <w:proofErr w:type="spellEnd"/>
      <w:r>
        <w:t xml:space="preserve"> against their conventional analogues. Nature Nanotechnology, 13(8), 677-684. </w:t>
      </w:r>
      <w:hyperlink r:id="rId85" w:history="1">
        <w:r w:rsidR="0005509E" w:rsidRPr="00271B5D">
          <w:rPr>
            <w:rStyle w:val="Hyperlink"/>
          </w:rPr>
          <w:t>https://doi.org/10.1038/s41565-018-0131-1</w:t>
        </w:r>
      </w:hyperlink>
      <w:r w:rsidR="0005509E">
        <w:t xml:space="preserve"> </w:t>
      </w:r>
    </w:p>
    <w:p w14:paraId="1FCD0C80" w14:textId="77777777" w:rsidR="00FD073D" w:rsidRDefault="00FD073D" w:rsidP="00FD073D"/>
    <w:p w14:paraId="186559DA" w14:textId="1CBC4134" w:rsidR="00FD073D" w:rsidRDefault="00FD073D" w:rsidP="00BC2DAF">
      <w:pPr>
        <w:pStyle w:val="ListParagraph"/>
        <w:numPr>
          <w:ilvl w:val="0"/>
          <w:numId w:val="31"/>
        </w:numPr>
      </w:pPr>
      <w:proofErr w:type="spellStart"/>
      <w:r>
        <w:t>Kanhed</w:t>
      </w:r>
      <w:proofErr w:type="spellEnd"/>
      <w:r>
        <w:t xml:space="preserve">, P., Birla, S., Gaikwad, S., Gade, A., Seabra, A. B., Rubilar, O., ... &amp; Rai, M. (2014). In vitro antifungal efficacy of copper nanoparticles against selected crop pathogenic fungi. Materials Letters, 115, 13-17. </w:t>
      </w:r>
      <w:hyperlink r:id="rId86" w:history="1">
        <w:r w:rsidR="0005509E" w:rsidRPr="00271B5D">
          <w:rPr>
            <w:rStyle w:val="Hyperlink"/>
          </w:rPr>
          <w:t>https://doi.org/10.1016/j.matlet.2013.10.011</w:t>
        </w:r>
      </w:hyperlink>
      <w:r w:rsidR="0005509E">
        <w:t xml:space="preserve"> </w:t>
      </w:r>
    </w:p>
    <w:p w14:paraId="0334C163" w14:textId="77777777" w:rsidR="00FD073D" w:rsidRDefault="00FD073D" w:rsidP="00FD073D"/>
    <w:p w14:paraId="19EBA77E" w14:textId="22D63B80" w:rsidR="00FD073D" w:rsidRDefault="00FD073D" w:rsidP="00BC2DAF">
      <w:pPr>
        <w:pStyle w:val="ListParagraph"/>
        <w:numPr>
          <w:ilvl w:val="0"/>
          <w:numId w:val="31"/>
        </w:numPr>
      </w:pPr>
      <w:r>
        <w:t xml:space="preserve">Kean, T., &amp; Thanou, M. (2010). Biodegradation, biodistribution and toxicity of chitosan. Advanced Drug Delivery Reviews, 62(1), 3-11. </w:t>
      </w:r>
      <w:hyperlink r:id="rId87" w:history="1">
        <w:r w:rsidR="0005509E" w:rsidRPr="00271B5D">
          <w:rPr>
            <w:rStyle w:val="Hyperlink"/>
          </w:rPr>
          <w:t>https://doi.org/10.1016/j.addr.2009.09.004</w:t>
        </w:r>
      </w:hyperlink>
      <w:r w:rsidR="0005509E">
        <w:t xml:space="preserve"> </w:t>
      </w:r>
    </w:p>
    <w:p w14:paraId="00854CEB" w14:textId="77777777" w:rsidR="00FD073D" w:rsidRDefault="00FD073D" w:rsidP="00FD073D"/>
    <w:p w14:paraId="14E48A12" w14:textId="41E85169" w:rsidR="00FD073D" w:rsidRDefault="00FD073D" w:rsidP="00BC2DAF">
      <w:pPr>
        <w:pStyle w:val="ListParagraph"/>
        <w:numPr>
          <w:ilvl w:val="0"/>
          <w:numId w:val="31"/>
        </w:numPr>
      </w:pPr>
      <w:proofErr w:type="spellStart"/>
      <w:r>
        <w:t>Kheiri</w:t>
      </w:r>
      <w:proofErr w:type="spellEnd"/>
      <w:r>
        <w:t xml:space="preserve">, A., </w:t>
      </w:r>
      <w:proofErr w:type="spellStart"/>
      <w:r>
        <w:t>Jorf</w:t>
      </w:r>
      <w:proofErr w:type="spellEnd"/>
      <w:r>
        <w:t xml:space="preserve">, S. A. M., </w:t>
      </w:r>
      <w:proofErr w:type="spellStart"/>
      <w:r>
        <w:t>Malihipour</w:t>
      </w:r>
      <w:proofErr w:type="spellEnd"/>
      <w:r>
        <w:t xml:space="preserve">, A., Saremi, H., &amp; Nikkhah, M. (2016). Application of chitosan and chitosan nanoparticles for the control of Fusarium head blight of wheat (Fusarium </w:t>
      </w:r>
      <w:proofErr w:type="spellStart"/>
      <w:r>
        <w:t>graminearum</w:t>
      </w:r>
      <w:proofErr w:type="spellEnd"/>
      <w:r>
        <w:t xml:space="preserve">) in vitro and greenhouse. International Journal of Biological Macromolecules, 93(Pt A), 1261-1272. </w:t>
      </w:r>
      <w:hyperlink r:id="rId88" w:history="1">
        <w:r w:rsidR="0005509E" w:rsidRPr="00271B5D">
          <w:rPr>
            <w:rStyle w:val="Hyperlink"/>
          </w:rPr>
          <w:t>https://doi.org/10.1016/j.ijbiomac.2016.09.072</w:t>
        </w:r>
      </w:hyperlink>
      <w:r w:rsidR="0005509E">
        <w:t xml:space="preserve"> </w:t>
      </w:r>
    </w:p>
    <w:p w14:paraId="1E919EF2" w14:textId="77777777" w:rsidR="00FD073D" w:rsidRDefault="00FD073D" w:rsidP="00FD073D"/>
    <w:p w14:paraId="538B770D" w14:textId="2B9F89DF" w:rsidR="00FD073D" w:rsidRDefault="00FD073D" w:rsidP="00BC2DAF">
      <w:pPr>
        <w:pStyle w:val="ListParagraph"/>
        <w:numPr>
          <w:ilvl w:val="0"/>
          <w:numId w:val="31"/>
        </w:numPr>
      </w:pPr>
      <w:r>
        <w:t xml:space="preserve">Khot, L. R., Sankaran, S., Maja, J. M., Ehsani, R., &amp; Schuster, E. W. (2012). Applications of nanomaterials in agricultural production and crop protection: A review. Crop Protection, 35, 64-70. </w:t>
      </w:r>
      <w:hyperlink r:id="rId89" w:history="1">
        <w:r w:rsidR="0005509E" w:rsidRPr="00271B5D">
          <w:rPr>
            <w:rStyle w:val="Hyperlink"/>
          </w:rPr>
          <w:t>https://doi.org/10.1016/j.cropro.2012.01.007</w:t>
        </w:r>
      </w:hyperlink>
      <w:r w:rsidR="0005509E">
        <w:t xml:space="preserve"> </w:t>
      </w:r>
    </w:p>
    <w:p w14:paraId="28631AB5" w14:textId="77777777" w:rsidR="00FD073D" w:rsidRDefault="00FD073D" w:rsidP="00FD073D"/>
    <w:p w14:paraId="7D045FFA" w14:textId="28475A80" w:rsidR="00FD073D" w:rsidRDefault="00FD073D" w:rsidP="00BC2DAF">
      <w:pPr>
        <w:pStyle w:val="ListParagraph"/>
        <w:numPr>
          <w:ilvl w:val="0"/>
          <w:numId w:val="31"/>
        </w:numPr>
      </w:pPr>
      <w:r>
        <w:t xml:space="preserve">Kittler, S., Greulich, C., </w:t>
      </w:r>
      <w:proofErr w:type="spellStart"/>
      <w:r>
        <w:t>Diendorf</w:t>
      </w:r>
      <w:proofErr w:type="spellEnd"/>
      <w:r>
        <w:t xml:space="preserve">, J., </w:t>
      </w:r>
      <w:proofErr w:type="spellStart"/>
      <w:r>
        <w:t>Köller</w:t>
      </w:r>
      <w:proofErr w:type="spellEnd"/>
      <w:r>
        <w:t xml:space="preserve">, M., &amp; Epple, M. (2010). Toxicity of silver nanoparticles increases during storage because of slow dissolution under release of silver ions. Chemistry of Materials, 22(16), 4548-4554. </w:t>
      </w:r>
      <w:hyperlink r:id="rId90" w:history="1">
        <w:r w:rsidR="0005509E" w:rsidRPr="00271B5D">
          <w:rPr>
            <w:rStyle w:val="Hyperlink"/>
          </w:rPr>
          <w:t>https://doi.org/10.1021/cm100023p</w:t>
        </w:r>
      </w:hyperlink>
      <w:r w:rsidR="0005509E">
        <w:t xml:space="preserve"> </w:t>
      </w:r>
    </w:p>
    <w:p w14:paraId="2BE2EBF0" w14:textId="77777777" w:rsidR="00FD073D" w:rsidRDefault="00FD073D" w:rsidP="00FD073D"/>
    <w:p w14:paraId="3B82223E" w14:textId="300F013B" w:rsidR="00FD073D" w:rsidRDefault="00FD073D" w:rsidP="00BC2DAF">
      <w:pPr>
        <w:pStyle w:val="ListParagraph"/>
        <w:numPr>
          <w:ilvl w:val="0"/>
          <w:numId w:val="31"/>
        </w:numPr>
      </w:pPr>
      <w:r>
        <w:t xml:space="preserve">Koppolu, B., &amp; Zaharoff, D. A. (2013). The effect of antigen encapsulation in chitosan particles on uptake, activation and presentation by antigen presenting cells. Biomaterials, 34(9), 2359-2369. </w:t>
      </w:r>
      <w:hyperlink r:id="rId91" w:history="1">
        <w:r w:rsidR="0005509E" w:rsidRPr="00271B5D">
          <w:rPr>
            <w:rStyle w:val="Hyperlink"/>
          </w:rPr>
          <w:t>https://doi.org/10.1016/j.biomaterials.2012.11.066</w:t>
        </w:r>
      </w:hyperlink>
      <w:r w:rsidR="0005509E">
        <w:t xml:space="preserve"> </w:t>
      </w:r>
    </w:p>
    <w:p w14:paraId="0A686604" w14:textId="77777777" w:rsidR="00FD073D" w:rsidRDefault="00FD073D" w:rsidP="00FD073D"/>
    <w:p w14:paraId="621E517C" w14:textId="0E38465C" w:rsidR="00FD073D" w:rsidRDefault="00FD073D" w:rsidP="00BC2DAF">
      <w:pPr>
        <w:pStyle w:val="ListParagraph"/>
        <w:numPr>
          <w:ilvl w:val="0"/>
          <w:numId w:val="31"/>
        </w:numPr>
      </w:pPr>
      <w:r>
        <w:t xml:space="preserve">Kumar, N., Shah, V., &amp; Walker, V. K. (2011). Perturbation of an arctic soil microbial community by metal nanoparticles. Journal of Hazardous Materials, 190(1-3), 816-822. </w:t>
      </w:r>
      <w:hyperlink r:id="rId92" w:history="1">
        <w:r w:rsidR="0005509E" w:rsidRPr="00271B5D">
          <w:rPr>
            <w:rStyle w:val="Hyperlink"/>
          </w:rPr>
          <w:t>https://doi.org/10.1016/j.jhazmat.2011.04.005</w:t>
        </w:r>
      </w:hyperlink>
      <w:r w:rsidR="0005509E">
        <w:t xml:space="preserve"> </w:t>
      </w:r>
    </w:p>
    <w:p w14:paraId="4028FE6E" w14:textId="77777777" w:rsidR="00FD073D" w:rsidRDefault="00FD073D" w:rsidP="00FD073D"/>
    <w:p w14:paraId="7FB58984" w14:textId="108F63A6" w:rsidR="00FD073D" w:rsidRDefault="00FD073D" w:rsidP="00BC2DAF">
      <w:pPr>
        <w:pStyle w:val="ListParagraph"/>
        <w:numPr>
          <w:ilvl w:val="0"/>
          <w:numId w:val="31"/>
        </w:numPr>
      </w:pPr>
      <w:r>
        <w:t xml:space="preserve">Kumar, S., </w:t>
      </w:r>
      <w:proofErr w:type="spellStart"/>
      <w:r>
        <w:t>Bhanjana</w:t>
      </w:r>
      <w:proofErr w:type="spellEnd"/>
      <w:r>
        <w:t xml:space="preserve">, G., Sharma, A., Sidhu, M. C., &amp; </w:t>
      </w:r>
      <w:proofErr w:type="spellStart"/>
      <w:r>
        <w:t>Dilbaghi</w:t>
      </w:r>
      <w:proofErr w:type="spellEnd"/>
      <w:r>
        <w:t xml:space="preserve">, N. (2015). Synthesis, characterization and on field evaluation of pesticide loaded sodium alginate nanoparticles. Carbohydrate Polymers, 101, 1061-1067. </w:t>
      </w:r>
      <w:hyperlink r:id="rId93" w:history="1">
        <w:r w:rsidR="0005509E" w:rsidRPr="00271B5D">
          <w:rPr>
            <w:rStyle w:val="Hyperlink"/>
          </w:rPr>
          <w:t>https://doi.org/10.1016/j.carbpol.2013.10.025</w:t>
        </w:r>
      </w:hyperlink>
      <w:r w:rsidR="0005509E">
        <w:t xml:space="preserve"> </w:t>
      </w:r>
    </w:p>
    <w:p w14:paraId="726978B3" w14:textId="77777777" w:rsidR="00FD073D" w:rsidRDefault="00FD073D" w:rsidP="00FD073D"/>
    <w:p w14:paraId="53484CA8" w14:textId="1F79D584" w:rsidR="00FD073D" w:rsidRDefault="00FD073D" w:rsidP="00BC2DAF">
      <w:pPr>
        <w:pStyle w:val="ListParagraph"/>
        <w:numPr>
          <w:ilvl w:val="0"/>
          <w:numId w:val="31"/>
        </w:numPr>
      </w:pPr>
      <w:r>
        <w:t xml:space="preserve">Kumar, S., Nehra, M., Dilbaghi, N., </w:t>
      </w:r>
      <w:proofErr w:type="spellStart"/>
      <w:r>
        <w:t>Marrazza</w:t>
      </w:r>
      <w:proofErr w:type="spellEnd"/>
      <w:r>
        <w:t xml:space="preserve">, G., Hassan, A. A., &amp; Kim, K. H. (2020). Nano-based smart pesticide formulations: Emerging opportunities for agriculture. Journal of Controlled Release, 294, 131-153. </w:t>
      </w:r>
      <w:hyperlink r:id="rId94" w:history="1">
        <w:r w:rsidR="0005509E" w:rsidRPr="00271B5D">
          <w:rPr>
            <w:rStyle w:val="Hyperlink"/>
          </w:rPr>
          <w:t>https://doi.org/10.1016/j.jconrel.2018.12.012</w:t>
        </w:r>
      </w:hyperlink>
      <w:r w:rsidR="0005509E">
        <w:t xml:space="preserve"> </w:t>
      </w:r>
    </w:p>
    <w:p w14:paraId="17B1BCF3" w14:textId="77777777" w:rsidR="00FD073D" w:rsidRDefault="00FD073D" w:rsidP="00FD073D"/>
    <w:p w14:paraId="18AA69AE" w14:textId="22929DE3" w:rsidR="00FD073D" w:rsidRDefault="00FD073D" w:rsidP="00BC2DAF">
      <w:pPr>
        <w:pStyle w:val="ListParagraph"/>
        <w:numPr>
          <w:ilvl w:val="0"/>
          <w:numId w:val="31"/>
        </w:numPr>
      </w:pPr>
      <w:r>
        <w:t xml:space="preserve">Kumar, S., Singh, A., &amp; Kumar, A. (2017). Biopesticides for integrated crop management: Environmental and regulatory aspects. Journal of Biofertilizers &amp; Biopesticides, 8(1), 1-6. </w:t>
      </w:r>
      <w:hyperlink r:id="rId95" w:history="1">
        <w:r w:rsidR="0005509E" w:rsidRPr="00271B5D">
          <w:rPr>
            <w:rStyle w:val="Hyperlink"/>
          </w:rPr>
          <w:t>https://doi.org/10.4172/2155-6202.1000188</w:t>
        </w:r>
      </w:hyperlink>
      <w:r w:rsidR="0005509E">
        <w:t xml:space="preserve"> </w:t>
      </w:r>
    </w:p>
    <w:p w14:paraId="5CA502EA" w14:textId="77777777" w:rsidR="00FD073D" w:rsidRDefault="00FD073D" w:rsidP="00FD073D"/>
    <w:p w14:paraId="416DA885" w14:textId="0D0F37EE" w:rsidR="00FD073D" w:rsidRDefault="00FD073D" w:rsidP="00BC2DAF">
      <w:pPr>
        <w:pStyle w:val="ListParagraph"/>
        <w:numPr>
          <w:ilvl w:val="0"/>
          <w:numId w:val="31"/>
        </w:numPr>
      </w:pPr>
      <w:r>
        <w:t xml:space="preserve">Kumari, A., Yadav, S. K., &amp; Yadav, S. C. (2010). Biodegradable polymeric </w:t>
      </w:r>
      <w:proofErr w:type="gramStart"/>
      <w:r>
        <w:t>nanoparticles based</w:t>
      </w:r>
      <w:proofErr w:type="gramEnd"/>
      <w:r>
        <w:t xml:space="preserve"> drug delivery systems. Colloids and Surfaces B: </w:t>
      </w:r>
      <w:proofErr w:type="spellStart"/>
      <w:r>
        <w:t>Biointerfaces</w:t>
      </w:r>
      <w:proofErr w:type="spellEnd"/>
      <w:r>
        <w:t xml:space="preserve">, 75(1), 1-18. </w:t>
      </w:r>
      <w:hyperlink r:id="rId96" w:history="1">
        <w:r w:rsidR="00AB7226" w:rsidRPr="00271B5D">
          <w:rPr>
            <w:rStyle w:val="Hyperlink"/>
          </w:rPr>
          <w:t>https://doi.org/10.1016/j.colsurfb.2009.09.001</w:t>
        </w:r>
      </w:hyperlink>
      <w:r w:rsidR="00AB7226">
        <w:t xml:space="preserve"> </w:t>
      </w:r>
    </w:p>
    <w:p w14:paraId="26E6C42B" w14:textId="77777777" w:rsidR="00FD073D" w:rsidRDefault="00FD073D" w:rsidP="00FD073D"/>
    <w:p w14:paraId="7E0074E4" w14:textId="038D3308" w:rsidR="00FD073D" w:rsidRDefault="00FD073D" w:rsidP="00BC2DAF">
      <w:pPr>
        <w:pStyle w:val="ListParagraph"/>
        <w:numPr>
          <w:ilvl w:val="0"/>
          <w:numId w:val="31"/>
        </w:numPr>
      </w:pPr>
      <w:r>
        <w:t xml:space="preserve">Kuppusamy, P., Yusoff, M. M., Maniam, G. P., &amp; Govindan, N. (2016). Biosynthesis of metallic nanoparticles using plant derivatives and their new avenues in pharmacological applications—An updated report. Saudi Pharmaceutical Journal, 24(4), 473-484. </w:t>
      </w:r>
      <w:hyperlink r:id="rId97" w:history="1">
        <w:r w:rsidR="0005509E" w:rsidRPr="00271B5D">
          <w:rPr>
            <w:rStyle w:val="Hyperlink"/>
          </w:rPr>
          <w:t>https://doi.org/10.1016/j.jsps.2014.11.013</w:t>
        </w:r>
      </w:hyperlink>
      <w:r w:rsidR="0005509E">
        <w:t xml:space="preserve"> </w:t>
      </w:r>
    </w:p>
    <w:p w14:paraId="5EB16F56" w14:textId="77777777" w:rsidR="00FD073D" w:rsidRDefault="00FD073D" w:rsidP="00FD073D"/>
    <w:p w14:paraId="58092117" w14:textId="146BF85B" w:rsidR="00FD073D" w:rsidRDefault="00FD073D" w:rsidP="00BC2DAF">
      <w:pPr>
        <w:pStyle w:val="ListParagraph"/>
        <w:numPr>
          <w:ilvl w:val="0"/>
          <w:numId w:val="31"/>
        </w:numPr>
      </w:pPr>
      <w:r>
        <w:t xml:space="preserve">Lamsal, K., Kim, S. W., Jung, J. H., Kim, Y. S., Kim, K. S., &amp; Lee, Y. S. (2011). Inhibition effects of silver nanoparticles against powdery mildews on cucumber and pumpkin. </w:t>
      </w:r>
      <w:proofErr w:type="spellStart"/>
      <w:r>
        <w:t>Mycobiology</w:t>
      </w:r>
      <w:proofErr w:type="spellEnd"/>
      <w:r>
        <w:t xml:space="preserve">, 39(1), 26-32. </w:t>
      </w:r>
      <w:hyperlink r:id="rId98" w:history="1">
        <w:r w:rsidR="0005509E" w:rsidRPr="00271B5D">
          <w:rPr>
            <w:rStyle w:val="Hyperlink"/>
          </w:rPr>
          <w:t>https://doi.org/10.4489/MYCO.2011.39.1.026</w:t>
        </w:r>
      </w:hyperlink>
      <w:r w:rsidR="0005509E">
        <w:t xml:space="preserve"> </w:t>
      </w:r>
    </w:p>
    <w:p w14:paraId="714749F1" w14:textId="77777777" w:rsidR="00FD073D" w:rsidRDefault="00FD073D" w:rsidP="00FD073D"/>
    <w:p w14:paraId="56EC938B" w14:textId="685D5174" w:rsidR="00FD073D" w:rsidRDefault="00FD073D" w:rsidP="00BC2DAF">
      <w:pPr>
        <w:pStyle w:val="ListParagraph"/>
        <w:numPr>
          <w:ilvl w:val="0"/>
          <w:numId w:val="31"/>
        </w:numPr>
      </w:pPr>
      <w:r>
        <w:t xml:space="preserve">Lao, L. L., Peppas, N. A., Boey, F. Y., &amp; Venkatraman, S. S. (2010). Modeling of drug release from biodegradable polymer blends. European Journal of Pharmaceutics and Biopharmaceutics, 70(3), 796-803. </w:t>
      </w:r>
      <w:hyperlink r:id="rId99" w:history="1">
        <w:r w:rsidR="0005509E" w:rsidRPr="00271B5D">
          <w:rPr>
            <w:rStyle w:val="Hyperlink"/>
          </w:rPr>
          <w:t>https://doi.org/10.1016/j.ejpb.2008.05.024</w:t>
        </w:r>
      </w:hyperlink>
      <w:r w:rsidR="0005509E">
        <w:t xml:space="preserve"> </w:t>
      </w:r>
    </w:p>
    <w:p w14:paraId="4CE5120A" w14:textId="77777777" w:rsidR="00FD073D" w:rsidRDefault="00FD073D" w:rsidP="00FD073D"/>
    <w:p w14:paraId="0AF1DB9C" w14:textId="39F852C6" w:rsidR="00FD073D" w:rsidRDefault="00FD073D" w:rsidP="00BC2DAF">
      <w:pPr>
        <w:pStyle w:val="ListParagraph"/>
        <w:numPr>
          <w:ilvl w:val="0"/>
          <w:numId w:val="31"/>
        </w:numPr>
      </w:pPr>
      <w:r>
        <w:lastRenderedPageBreak/>
        <w:t xml:space="preserve">Larue, C., Laurette, J., </w:t>
      </w:r>
      <w:proofErr w:type="spellStart"/>
      <w:r>
        <w:t>Herlin-Boime</w:t>
      </w:r>
      <w:proofErr w:type="spellEnd"/>
      <w:r>
        <w:t xml:space="preserve">, N., Khodja, H., Fayard, B., Flank, A. M., ... &amp; </w:t>
      </w:r>
      <w:proofErr w:type="spellStart"/>
      <w:r>
        <w:t>Carrière</w:t>
      </w:r>
      <w:proofErr w:type="spellEnd"/>
      <w:r>
        <w:t xml:space="preserve">, M. (2012). Accumulation, translocation and impact of </w:t>
      </w:r>
      <w:proofErr w:type="spellStart"/>
      <w:r>
        <w:t>TiO</w:t>
      </w:r>
      <w:proofErr w:type="spellEnd"/>
      <w:r w:rsidRPr="00BC2DAF">
        <w:rPr>
          <w:rFonts w:ascii="Cambria Math" w:hAnsi="Cambria Math" w:cs="Cambria Math"/>
        </w:rPr>
        <w:t>₂</w:t>
      </w:r>
      <w:r>
        <w:t xml:space="preserve"> nanoparticles in wheat (Triticum aestivum spp.): Influence of diameter and crystal phase. Science of the Total Environment, 431, 197-208. </w:t>
      </w:r>
      <w:hyperlink r:id="rId100" w:history="1">
        <w:r w:rsidR="0005509E" w:rsidRPr="00271B5D">
          <w:rPr>
            <w:rStyle w:val="Hyperlink"/>
          </w:rPr>
          <w:t>https://doi.org/10.1016/j.scitotenv.2012.04.073</w:t>
        </w:r>
      </w:hyperlink>
      <w:r w:rsidR="0005509E">
        <w:t xml:space="preserve"> </w:t>
      </w:r>
    </w:p>
    <w:p w14:paraId="550B4FAC" w14:textId="77777777" w:rsidR="00FD073D" w:rsidRDefault="00FD073D" w:rsidP="00FD073D"/>
    <w:p w14:paraId="2DFC5DBD" w14:textId="70CA3B16" w:rsidR="00FD073D" w:rsidRDefault="00FD073D" w:rsidP="00BC2DAF">
      <w:pPr>
        <w:pStyle w:val="ListParagraph"/>
        <w:numPr>
          <w:ilvl w:val="0"/>
          <w:numId w:val="31"/>
        </w:numPr>
      </w:pPr>
      <w:proofErr w:type="spellStart"/>
      <w:r>
        <w:t>Levard</w:t>
      </w:r>
      <w:proofErr w:type="spellEnd"/>
      <w:r>
        <w:t xml:space="preserve">, C., Hotze, E. M., Lowry, G. V., &amp; Brown, G. E. (2012). Environmental transformations of silver nanoparticles: Impact on stability and toxicity. Environmental Science &amp; Technology, 46(13), 6900-6914. </w:t>
      </w:r>
      <w:hyperlink r:id="rId101" w:history="1">
        <w:r w:rsidR="0005509E" w:rsidRPr="00271B5D">
          <w:rPr>
            <w:rStyle w:val="Hyperlink"/>
          </w:rPr>
          <w:t>https://doi.org/10.1021/es2037405</w:t>
        </w:r>
      </w:hyperlink>
      <w:r w:rsidR="0005509E">
        <w:t xml:space="preserve"> </w:t>
      </w:r>
    </w:p>
    <w:p w14:paraId="45A4F6D9" w14:textId="77777777" w:rsidR="00FD073D" w:rsidRDefault="00FD073D" w:rsidP="00FD073D"/>
    <w:p w14:paraId="649EBED8" w14:textId="795EE74C" w:rsidR="00FD073D" w:rsidRDefault="00FD073D" w:rsidP="00BC2DAF">
      <w:pPr>
        <w:pStyle w:val="ListParagraph"/>
        <w:numPr>
          <w:ilvl w:val="0"/>
          <w:numId w:val="31"/>
        </w:numPr>
      </w:pPr>
      <w:r>
        <w:t xml:space="preserve">Li, J., Sang, H., Guo, H., Popko, J. T., He, K., White, J. C., ... &amp; Xing, B. (2017). Antifungal mechanisms of </w:t>
      </w:r>
      <w:proofErr w:type="spellStart"/>
      <w:r>
        <w:t>ZnO</w:t>
      </w:r>
      <w:proofErr w:type="spellEnd"/>
      <w:r>
        <w:t xml:space="preserve"> and Ag nanoparticles to </w:t>
      </w:r>
      <w:proofErr w:type="spellStart"/>
      <w:r>
        <w:t>Sclerotinia</w:t>
      </w:r>
      <w:proofErr w:type="spellEnd"/>
      <w:r>
        <w:t xml:space="preserve"> </w:t>
      </w:r>
      <w:proofErr w:type="spellStart"/>
      <w:r>
        <w:t>homoeocarpa</w:t>
      </w:r>
      <w:proofErr w:type="spellEnd"/>
      <w:r>
        <w:t xml:space="preserve">. Nanotechnology, 28(15), 155101. </w:t>
      </w:r>
      <w:hyperlink r:id="rId102" w:history="1">
        <w:r w:rsidR="0005509E" w:rsidRPr="00271B5D">
          <w:rPr>
            <w:rStyle w:val="Hyperlink"/>
          </w:rPr>
          <w:t>https://doi.org/10.1088/1361-6528/aa61f3</w:t>
        </w:r>
      </w:hyperlink>
      <w:r w:rsidR="0005509E">
        <w:t xml:space="preserve"> </w:t>
      </w:r>
    </w:p>
    <w:p w14:paraId="390C4068" w14:textId="77777777" w:rsidR="00FD073D" w:rsidRDefault="00FD073D" w:rsidP="00FD073D"/>
    <w:p w14:paraId="260FAAC0" w14:textId="17C60683" w:rsidR="00FD073D" w:rsidRDefault="00FD073D" w:rsidP="00BC2DAF">
      <w:pPr>
        <w:pStyle w:val="ListParagraph"/>
        <w:numPr>
          <w:ilvl w:val="0"/>
          <w:numId w:val="31"/>
        </w:numPr>
      </w:pPr>
      <w:r>
        <w:t xml:space="preserve">Li, M., Zhu, L., &amp; Lin, D. (2011). Toxicity of </w:t>
      </w:r>
      <w:proofErr w:type="spellStart"/>
      <w:r>
        <w:t>ZnO</w:t>
      </w:r>
      <w:proofErr w:type="spellEnd"/>
      <w:r>
        <w:t xml:space="preserve"> nanoparticles to Escherichia coli: Mechanism and the influence of medium components. Environmental Science &amp; Technology, 45(5), 1977-1983. </w:t>
      </w:r>
      <w:hyperlink r:id="rId103" w:history="1">
        <w:r w:rsidR="0005509E" w:rsidRPr="00271B5D">
          <w:rPr>
            <w:rStyle w:val="Hyperlink"/>
          </w:rPr>
          <w:t>https://doi.org/10.1021/es102624t</w:t>
        </w:r>
      </w:hyperlink>
      <w:r w:rsidR="0005509E">
        <w:t xml:space="preserve"> </w:t>
      </w:r>
    </w:p>
    <w:p w14:paraId="421660D7" w14:textId="77777777" w:rsidR="00FD073D" w:rsidRDefault="00FD073D" w:rsidP="00FD073D"/>
    <w:p w14:paraId="6F8DF0D1" w14:textId="4B8237DB" w:rsidR="00FD073D" w:rsidRDefault="00FD073D" w:rsidP="00BC2DAF">
      <w:pPr>
        <w:pStyle w:val="ListParagraph"/>
        <w:numPr>
          <w:ilvl w:val="0"/>
          <w:numId w:val="31"/>
        </w:numPr>
      </w:pPr>
      <w:r>
        <w:t xml:space="preserve">Li, N., Xu, X., Li, J., Hull, J. J., &amp; Chen, L. (2024). A spray-induced gene silencing strategy for </w:t>
      </w:r>
      <w:proofErr w:type="spellStart"/>
      <w:r>
        <w:t>Spodoptera</w:t>
      </w:r>
      <w:proofErr w:type="spellEnd"/>
      <w:r>
        <w:t xml:space="preserve"> </w:t>
      </w:r>
      <w:proofErr w:type="spellStart"/>
      <w:r>
        <w:t>frugiperda</w:t>
      </w:r>
      <w:proofErr w:type="spellEnd"/>
      <w:r>
        <w:t xml:space="preserve"> oviposition inhibition using nanomaterial-encapsulated </w:t>
      </w:r>
      <w:proofErr w:type="spellStart"/>
      <w:r>
        <w:t>dsEcR</w:t>
      </w:r>
      <w:proofErr w:type="spellEnd"/>
      <w:r>
        <w:t xml:space="preserve">. International Journal of Biological Macromolecules, 259, 136503. </w:t>
      </w:r>
      <w:hyperlink r:id="rId104" w:history="1">
        <w:r w:rsidR="0005509E" w:rsidRPr="00271B5D">
          <w:rPr>
            <w:rStyle w:val="Hyperlink"/>
          </w:rPr>
          <w:t>https://doi.org/10.1016/j.ijbiomac.2024.136503</w:t>
        </w:r>
      </w:hyperlink>
      <w:r w:rsidR="0005509E">
        <w:t xml:space="preserve"> </w:t>
      </w:r>
    </w:p>
    <w:p w14:paraId="335C8487" w14:textId="77777777" w:rsidR="00FD073D" w:rsidRDefault="00FD073D" w:rsidP="00FD073D"/>
    <w:p w14:paraId="7F54F998" w14:textId="037C59F4" w:rsidR="00FD073D" w:rsidRDefault="00FD073D" w:rsidP="00BC2DAF">
      <w:pPr>
        <w:pStyle w:val="ListParagraph"/>
        <w:numPr>
          <w:ilvl w:val="0"/>
          <w:numId w:val="31"/>
        </w:numPr>
      </w:pPr>
      <w:r>
        <w:t xml:space="preserve">Li, Q., Ma, C., White, J. C., &amp; Xing, B. (2021). Fate and effects of engineered nanomaterials in agricultural systems. In Exposure to Engineered Nanomaterials in the Environment (pp. 273-310). Elsevier. </w:t>
      </w:r>
      <w:hyperlink r:id="rId105" w:history="1">
        <w:r w:rsidR="0005509E" w:rsidRPr="00271B5D">
          <w:rPr>
            <w:rStyle w:val="Hyperlink"/>
          </w:rPr>
          <w:t>https://doi.org/10.1007/978-3-030-65792-5_11</w:t>
        </w:r>
      </w:hyperlink>
      <w:r w:rsidR="0005509E">
        <w:t xml:space="preserve"> </w:t>
      </w:r>
    </w:p>
    <w:p w14:paraId="79F83227" w14:textId="77777777" w:rsidR="00FD073D" w:rsidRDefault="00FD073D" w:rsidP="00FD073D"/>
    <w:p w14:paraId="41A8FEC6" w14:textId="1835D264" w:rsidR="00FD073D" w:rsidRDefault="00FD073D" w:rsidP="00BC2DAF">
      <w:pPr>
        <w:pStyle w:val="ListParagraph"/>
        <w:numPr>
          <w:ilvl w:val="0"/>
          <w:numId w:val="31"/>
        </w:numPr>
      </w:pPr>
      <w:r>
        <w:t xml:space="preserve">Li, Y., Zhang, F., Li, M., Shakoor, N., &amp; Adeel, M. (2022). Application and mechanisms of metal-based nanoparticles in the control of bacterial and fungal crop diseases. Pest Management Science, 78(12), 4697-4710. </w:t>
      </w:r>
      <w:hyperlink r:id="rId106" w:history="1">
        <w:r w:rsidR="0005509E" w:rsidRPr="00271B5D">
          <w:rPr>
            <w:rStyle w:val="Hyperlink"/>
          </w:rPr>
          <w:t>https://doi.org/10.1002/ps.7218</w:t>
        </w:r>
      </w:hyperlink>
      <w:r w:rsidR="0005509E">
        <w:t xml:space="preserve"> </w:t>
      </w:r>
    </w:p>
    <w:p w14:paraId="0B42CE78" w14:textId="77777777" w:rsidR="00FD073D" w:rsidRDefault="00FD073D" w:rsidP="00FD073D"/>
    <w:p w14:paraId="1CF79196" w14:textId="3C6CE481" w:rsidR="00FD073D" w:rsidRDefault="00FD073D" w:rsidP="00BC2DAF">
      <w:pPr>
        <w:pStyle w:val="ListParagraph"/>
        <w:numPr>
          <w:ilvl w:val="0"/>
          <w:numId w:val="31"/>
        </w:numPr>
      </w:pPr>
      <w:r>
        <w:t xml:space="preserve">Li, Y., Zhang, W., Niu, J., &amp; Chen, Y. (2012). Mechanism of photogenerated reactive oxygen species and correlation with the antibacterial properties of engineered metal-oxide nanoparticles. ACS Nano, 6(6), 5164-5173. </w:t>
      </w:r>
      <w:hyperlink r:id="rId107" w:history="1">
        <w:r w:rsidR="0005509E" w:rsidRPr="00271B5D">
          <w:rPr>
            <w:rStyle w:val="Hyperlink"/>
          </w:rPr>
          <w:t>https://doi.org/10.1021/nn300934k</w:t>
        </w:r>
      </w:hyperlink>
      <w:r w:rsidR="0005509E">
        <w:t xml:space="preserve"> </w:t>
      </w:r>
    </w:p>
    <w:p w14:paraId="332D0432" w14:textId="77777777" w:rsidR="00FD073D" w:rsidRDefault="00FD073D" w:rsidP="00FD073D"/>
    <w:p w14:paraId="6106C08A" w14:textId="1CE70CED" w:rsidR="00FD073D" w:rsidRDefault="00FD073D" w:rsidP="00BC2DAF">
      <w:pPr>
        <w:pStyle w:val="ListParagraph"/>
        <w:numPr>
          <w:ilvl w:val="0"/>
          <w:numId w:val="31"/>
        </w:numPr>
      </w:pPr>
      <w:r>
        <w:t xml:space="preserve">Liu, S., Ding, Z., Zhang, C., Yang, B., &amp; Liu, Z. (2010). Gene knockdown by intro-thoracic injection of double-stranded RNA in the brown planthopper, </w:t>
      </w:r>
      <w:proofErr w:type="spellStart"/>
      <w:r w:rsidR="0005531A" w:rsidRPr="00BC2DAF">
        <w:rPr>
          <w:i/>
          <w:iCs/>
        </w:rPr>
        <w:t>Nilaparvata</w:t>
      </w:r>
      <w:proofErr w:type="spellEnd"/>
      <w:r w:rsidR="0005531A" w:rsidRPr="00BC2DAF">
        <w:rPr>
          <w:i/>
          <w:iCs/>
        </w:rPr>
        <w:t xml:space="preserve"> </w:t>
      </w:r>
      <w:proofErr w:type="spellStart"/>
      <w:r w:rsidR="0005531A" w:rsidRPr="00BC2DAF">
        <w:rPr>
          <w:i/>
          <w:iCs/>
        </w:rPr>
        <w:t>lugens</w:t>
      </w:r>
      <w:proofErr w:type="spellEnd"/>
      <w:r>
        <w:t xml:space="preserve">. Insect Biochemistry and Molecular Biology, 40(9), 666-671. </w:t>
      </w:r>
      <w:hyperlink r:id="rId108" w:history="1">
        <w:r w:rsidR="0005509E" w:rsidRPr="00271B5D">
          <w:rPr>
            <w:rStyle w:val="Hyperlink"/>
          </w:rPr>
          <w:t>https://doi.org/10.1016/j.ibmb.2010.06.007</w:t>
        </w:r>
      </w:hyperlink>
      <w:r w:rsidR="0005509E">
        <w:t xml:space="preserve"> </w:t>
      </w:r>
    </w:p>
    <w:p w14:paraId="5B1547D2" w14:textId="77777777" w:rsidR="00FD073D" w:rsidRDefault="00FD073D" w:rsidP="00FD073D"/>
    <w:p w14:paraId="5A712D63" w14:textId="0E0C603D" w:rsidR="00FD073D" w:rsidRDefault="00FD073D" w:rsidP="00BC2DAF">
      <w:pPr>
        <w:pStyle w:val="ListParagraph"/>
        <w:numPr>
          <w:ilvl w:val="0"/>
          <w:numId w:val="31"/>
        </w:numPr>
      </w:pPr>
      <w:r>
        <w:t xml:space="preserve">Lowry, G. V., Gregory, K. B., Apte, S. C., &amp; Lead, J. R. (2012). Transformations of nanomaterials in the environment. Environmental Science &amp; Technology, 46(13), 6893-6899. </w:t>
      </w:r>
      <w:hyperlink r:id="rId109" w:history="1">
        <w:r w:rsidR="0005509E" w:rsidRPr="00271B5D">
          <w:rPr>
            <w:rStyle w:val="Hyperlink"/>
          </w:rPr>
          <w:t>https://doi.org/10.1021/es300839e</w:t>
        </w:r>
      </w:hyperlink>
      <w:r w:rsidR="0005509E">
        <w:t xml:space="preserve"> </w:t>
      </w:r>
    </w:p>
    <w:p w14:paraId="42E71099" w14:textId="77777777" w:rsidR="00FD073D" w:rsidRDefault="00FD073D" w:rsidP="00FD073D"/>
    <w:p w14:paraId="35748B0F" w14:textId="49D2ED91" w:rsidR="00FD073D" w:rsidRDefault="00FD073D" w:rsidP="00BC2DAF">
      <w:pPr>
        <w:pStyle w:val="ListParagraph"/>
        <w:numPr>
          <w:ilvl w:val="0"/>
          <w:numId w:val="31"/>
        </w:numPr>
      </w:pPr>
      <w:r>
        <w:t xml:space="preserve">Lu, Z., Yu, X., Heong, K., &amp; Hu, C. (2017). Effect of nitrogen fertilizer on herbivores and its stimulation to major insect pests in rice. Rice Science, 14(1), 56-66. </w:t>
      </w:r>
      <w:hyperlink r:id="rId110" w:history="1">
        <w:r w:rsidR="0005509E" w:rsidRPr="00271B5D">
          <w:rPr>
            <w:rStyle w:val="Hyperlink"/>
          </w:rPr>
          <w:t>https://doi.org/10.1016/S1672-6308(07)60009-2</w:t>
        </w:r>
      </w:hyperlink>
      <w:r w:rsidR="0005509E">
        <w:t xml:space="preserve"> </w:t>
      </w:r>
    </w:p>
    <w:p w14:paraId="5307913F" w14:textId="77777777" w:rsidR="00FD073D" w:rsidRDefault="00FD073D" w:rsidP="00FD073D"/>
    <w:p w14:paraId="645BECB6" w14:textId="66609350" w:rsidR="00FD073D" w:rsidRDefault="00FD073D" w:rsidP="00BC2DAF">
      <w:pPr>
        <w:pStyle w:val="ListParagraph"/>
        <w:numPr>
          <w:ilvl w:val="0"/>
          <w:numId w:val="31"/>
        </w:numPr>
      </w:pPr>
      <w:r>
        <w:t xml:space="preserve">Ma, C., White, J. C., </w:t>
      </w:r>
      <w:proofErr w:type="spellStart"/>
      <w:r>
        <w:t>Dhankher</w:t>
      </w:r>
      <w:proofErr w:type="spellEnd"/>
      <w:r>
        <w:t xml:space="preserve">, O. P., &amp; Xing, B. (2015). Metal-based nanotoxicity and detoxification pathways in higher plants. Environmental Science &amp; Technology, 49(12), 7109-7122. </w:t>
      </w:r>
      <w:hyperlink r:id="rId111" w:history="1">
        <w:r w:rsidR="00E734B8" w:rsidRPr="00271B5D">
          <w:rPr>
            <w:rStyle w:val="Hyperlink"/>
          </w:rPr>
          <w:t>https://doi.org/10.1021/acs.est.5b00685</w:t>
        </w:r>
      </w:hyperlink>
      <w:r w:rsidR="00E734B8">
        <w:t xml:space="preserve"> </w:t>
      </w:r>
    </w:p>
    <w:p w14:paraId="3594DF41" w14:textId="77777777" w:rsidR="00FD073D" w:rsidRDefault="00FD073D" w:rsidP="00FD073D"/>
    <w:p w14:paraId="2B4591FD" w14:textId="1AE55824" w:rsidR="00FD073D" w:rsidRDefault="00FD073D" w:rsidP="00BC2DAF">
      <w:pPr>
        <w:pStyle w:val="ListParagraph"/>
        <w:numPr>
          <w:ilvl w:val="0"/>
          <w:numId w:val="31"/>
        </w:numPr>
      </w:pPr>
      <w:r>
        <w:t xml:space="preserve">Ma, X., Geiser-Lee, J., Deng, Y., &amp; Kolmakov, A. (2010). Interactions between engineered nanoparticles (ENPs) and plants: Phytotoxicity, uptake and accumulation. Science of the Total Environment, 408(16), 3053-3061. </w:t>
      </w:r>
      <w:hyperlink r:id="rId112" w:history="1">
        <w:r w:rsidR="0005509E" w:rsidRPr="00271B5D">
          <w:rPr>
            <w:rStyle w:val="Hyperlink"/>
          </w:rPr>
          <w:t>https://doi.org/10.1016/j.scitotenv.2010.03.031</w:t>
        </w:r>
      </w:hyperlink>
      <w:r w:rsidR="0005509E">
        <w:t xml:space="preserve"> </w:t>
      </w:r>
    </w:p>
    <w:p w14:paraId="26FE546E" w14:textId="77777777" w:rsidR="00FD073D" w:rsidRDefault="00FD073D" w:rsidP="00FD073D"/>
    <w:p w14:paraId="05F9B850" w14:textId="2EE68ECC" w:rsidR="00FD073D" w:rsidRDefault="00FD073D" w:rsidP="00BC2DAF">
      <w:pPr>
        <w:pStyle w:val="ListParagraph"/>
        <w:numPr>
          <w:ilvl w:val="0"/>
          <w:numId w:val="31"/>
        </w:numPr>
      </w:pPr>
      <w:r>
        <w:t xml:space="preserve">Ma, R., </w:t>
      </w:r>
      <w:proofErr w:type="spellStart"/>
      <w:r>
        <w:t>Levard</w:t>
      </w:r>
      <w:proofErr w:type="spellEnd"/>
      <w:r>
        <w:t xml:space="preserve">, C., </w:t>
      </w:r>
      <w:proofErr w:type="spellStart"/>
      <w:r>
        <w:t>Marinakos</w:t>
      </w:r>
      <w:proofErr w:type="spellEnd"/>
      <w:r>
        <w:t xml:space="preserve">, S. M., Cheng, Y., Liu, J., Michel, F. M., ... &amp; Lowry, G. V. (2013). Size-controlled dissolution of organic-coated silver nanoparticles. Environmental Science &amp; Technology, 46(2), 752-759. </w:t>
      </w:r>
      <w:hyperlink r:id="rId113" w:history="1">
        <w:r w:rsidR="00EB2CF6" w:rsidRPr="00271B5D">
          <w:rPr>
            <w:rStyle w:val="Hyperlink"/>
          </w:rPr>
          <w:t>https://doi.org/10.1021/es201686j</w:t>
        </w:r>
      </w:hyperlink>
      <w:r w:rsidR="00EB2CF6">
        <w:t xml:space="preserve"> </w:t>
      </w:r>
    </w:p>
    <w:p w14:paraId="582078F4" w14:textId="77777777" w:rsidR="00FD073D" w:rsidRDefault="00FD073D" w:rsidP="00FD073D"/>
    <w:p w14:paraId="70CD02B4" w14:textId="349A4FC4" w:rsidR="00FD073D" w:rsidRDefault="00FD073D" w:rsidP="00BC2DAF">
      <w:pPr>
        <w:pStyle w:val="ListParagraph"/>
        <w:numPr>
          <w:ilvl w:val="0"/>
          <w:numId w:val="31"/>
        </w:numPr>
      </w:pPr>
      <w:proofErr w:type="spellStart"/>
      <w:r>
        <w:t>Malandrakis</w:t>
      </w:r>
      <w:proofErr w:type="spellEnd"/>
      <w:r>
        <w:t xml:space="preserve">, A. A., </w:t>
      </w:r>
      <w:proofErr w:type="spellStart"/>
      <w:r>
        <w:t>Kavroulakis</w:t>
      </w:r>
      <w:proofErr w:type="spellEnd"/>
      <w:r>
        <w:t xml:space="preserve">, N., &amp; </w:t>
      </w:r>
      <w:proofErr w:type="spellStart"/>
      <w:r>
        <w:t>Chrysikopoulos</w:t>
      </w:r>
      <w:proofErr w:type="spellEnd"/>
      <w:r>
        <w:t xml:space="preserve">, C. V. (2019). Use of copper, silver and zinc nanoparticles against foliar and soil-borne plant pathogens. Science of the Total Environment, 670, 292-299. </w:t>
      </w:r>
      <w:hyperlink r:id="rId114" w:history="1">
        <w:r w:rsidR="00EB2CF6" w:rsidRPr="00271B5D">
          <w:rPr>
            <w:rStyle w:val="Hyperlink"/>
          </w:rPr>
          <w:t>https://doi.org/10.1016/j.scitotenv.2019.03.210</w:t>
        </w:r>
      </w:hyperlink>
      <w:r w:rsidR="00EB2CF6">
        <w:t xml:space="preserve"> </w:t>
      </w:r>
    </w:p>
    <w:p w14:paraId="03ED99F9" w14:textId="77777777" w:rsidR="00FD073D" w:rsidRDefault="00FD073D" w:rsidP="00FD073D"/>
    <w:p w14:paraId="4D388C32" w14:textId="592C1A1D" w:rsidR="00FD073D" w:rsidRDefault="00FD073D" w:rsidP="00BC2DAF">
      <w:pPr>
        <w:pStyle w:val="ListParagraph"/>
        <w:numPr>
          <w:ilvl w:val="0"/>
          <w:numId w:val="31"/>
        </w:numPr>
      </w:pPr>
      <w:r>
        <w:lastRenderedPageBreak/>
        <w:t xml:space="preserve">Malerba, M., &amp; Cerana, R. (2016). Chitosan effects on plant systems. International Journal of Molecular Sciences, 17(7), 996. </w:t>
      </w:r>
      <w:hyperlink r:id="rId115" w:history="1">
        <w:r w:rsidR="00EB2CF6" w:rsidRPr="00271B5D">
          <w:rPr>
            <w:rStyle w:val="Hyperlink"/>
          </w:rPr>
          <w:t>https://doi.org/10.3390/ijms17070996</w:t>
        </w:r>
      </w:hyperlink>
      <w:r w:rsidR="00EB2CF6">
        <w:t xml:space="preserve"> </w:t>
      </w:r>
    </w:p>
    <w:p w14:paraId="0D67307C" w14:textId="77777777" w:rsidR="00FD073D" w:rsidRDefault="00FD073D" w:rsidP="00FD073D"/>
    <w:p w14:paraId="4ABBC21D" w14:textId="0127C6BF" w:rsidR="00FD073D" w:rsidRDefault="00FD073D" w:rsidP="00BC2DAF">
      <w:pPr>
        <w:pStyle w:val="ListParagraph"/>
        <w:numPr>
          <w:ilvl w:val="0"/>
          <w:numId w:val="31"/>
        </w:numPr>
      </w:pPr>
      <w:r>
        <w:t xml:space="preserve">Mao, S., Sun, W., &amp; Kissel, T. (2010). Chitosan-based formulations for delivery of DNA and siRNA. Advanced Drug Delivery Reviews, 62(1), 12-27. </w:t>
      </w:r>
      <w:hyperlink r:id="rId116" w:history="1">
        <w:r w:rsidR="00EB2CF6" w:rsidRPr="00271B5D">
          <w:rPr>
            <w:rStyle w:val="Hyperlink"/>
          </w:rPr>
          <w:t>https://doi.org/10.1016/j.addr.2009.08.004</w:t>
        </w:r>
      </w:hyperlink>
      <w:r w:rsidR="00EB2CF6">
        <w:t xml:space="preserve"> </w:t>
      </w:r>
    </w:p>
    <w:p w14:paraId="2012ADCD" w14:textId="77777777" w:rsidR="00FD073D" w:rsidRDefault="00FD073D" w:rsidP="00FD073D"/>
    <w:p w14:paraId="789AA02B" w14:textId="77777777" w:rsidR="00FD073D" w:rsidRDefault="00FD073D" w:rsidP="00FD073D"/>
    <w:p w14:paraId="5EFF8D53" w14:textId="6DDEB75E" w:rsidR="00FD073D" w:rsidRDefault="00FD073D" w:rsidP="00BC2DAF">
      <w:pPr>
        <w:pStyle w:val="ListParagraph"/>
        <w:numPr>
          <w:ilvl w:val="0"/>
          <w:numId w:val="31"/>
        </w:numPr>
      </w:pPr>
      <w:proofErr w:type="spellStart"/>
      <w:r>
        <w:t>Memarizadeh</w:t>
      </w:r>
      <w:proofErr w:type="spellEnd"/>
      <w:r>
        <w:t xml:space="preserve">, N., </w:t>
      </w:r>
      <w:proofErr w:type="spellStart"/>
      <w:r>
        <w:t>Ghadamyari</w:t>
      </w:r>
      <w:proofErr w:type="spellEnd"/>
      <w:r>
        <w:t xml:space="preserve">, M., Adeli, M., &amp; Talebi, K. (2014). Preparation, characterization and efficiency of </w:t>
      </w:r>
      <w:proofErr w:type="spellStart"/>
      <w:r>
        <w:t>nanoencapsulated</w:t>
      </w:r>
      <w:proofErr w:type="spellEnd"/>
      <w:r>
        <w:t xml:space="preserve"> imidacloprid under laboratory conditions. Ecotoxicology and Environmental Safety, 107, 77-83. </w:t>
      </w:r>
      <w:hyperlink r:id="rId117" w:history="1">
        <w:r w:rsidR="009007DC" w:rsidRPr="00271B5D">
          <w:rPr>
            <w:rStyle w:val="Hyperlink"/>
          </w:rPr>
          <w:t>https://doi.org/10.1016/j.ecoenv.2014.05.009</w:t>
        </w:r>
      </w:hyperlink>
      <w:r w:rsidR="009007DC">
        <w:t xml:space="preserve"> </w:t>
      </w:r>
    </w:p>
    <w:p w14:paraId="0CDDA52A" w14:textId="77777777" w:rsidR="00FD073D" w:rsidRDefault="00FD073D" w:rsidP="00FD073D"/>
    <w:p w14:paraId="2E15E0F9" w14:textId="6F17440B" w:rsidR="00FD073D" w:rsidRDefault="00FD073D" w:rsidP="00BC2DAF">
      <w:pPr>
        <w:pStyle w:val="ListParagraph"/>
        <w:numPr>
          <w:ilvl w:val="0"/>
          <w:numId w:val="31"/>
        </w:numPr>
      </w:pPr>
      <w:r>
        <w:t xml:space="preserve">Milivojević, T., Glavan, G., &amp; Božič, J. (2015). Neurotoxic potential of ingested titanium dioxide nanoparticles on bees. Chemosphere, 120, 547-554. </w:t>
      </w:r>
      <w:hyperlink r:id="rId118" w:history="1">
        <w:r w:rsidR="009007DC" w:rsidRPr="00271B5D">
          <w:rPr>
            <w:rStyle w:val="Hyperlink"/>
          </w:rPr>
          <w:t>https://doi.org/10.1016/j.chemosphere.2014.09.031</w:t>
        </w:r>
      </w:hyperlink>
      <w:r w:rsidR="009007DC">
        <w:t xml:space="preserve"> </w:t>
      </w:r>
    </w:p>
    <w:p w14:paraId="18648A73" w14:textId="77777777" w:rsidR="00FD073D" w:rsidRDefault="00FD073D" w:rsidP="00FD073D"/>
    <w:p w14:paraId="64201705" w14:textId="1EA373F6" w:rsidR="00FD073D" w:rsidRDefault="00FD073D" w:rsidP="00BC2DAF">
      <w:pPr>
        <w:pStyle w:val="ListParagraph"/>
        <w:numPr>
          <w:ilvl w:val="0"/>
          <w:numId w:val="31"/>
        </w:numPr>
      </w:pPr>
      <w:r>
        <w:t xml:space="preserve">Mishra, S., Singh, B. R., Singh, A., Keswani, C., Naqvi, A. H., &amp; Singh, H. B. (2014). </w:t>
      </w:r>
      <w:proofErr w:type="spellStart"/>
      <w:r>
        <w:t>Biofabricated</w:t>
      </w:r>
      <w:proofErr w:type="spellEnd"/>
      <w:r>
        <w:t xml:space="preserve"> silver nanoparticles act as a strong fungicide against </w:t>
      </w:r>
      <w:proofErr w:type="spellStart"/>
      <w:r>
        <w:t>Bipolaris</w:t>
      </w:r>
      <w:proofErr w:type="spellEnd"/>
      <w:r>
        <w:t xml:space="preserve"> </w:t>
      </w:r>
      <w:proofErr w:type="spellStart"/>
      <w:r>
        <w:t>sorokiniana</w:t>
      </w:r>
      <w:proofErr w:type="spellEnd"/>
      <w:r>
        <w:t xml:space="preserve"> causing spot blotch disease in wheat. </w:t>
      </w:r>
      <w:proofErr w:type="spellStart"/>
      <w:r>
        <w:t>PLoS</w:t>
      </w:r>
      <w:proofErr w:type="spellEnd"/>
      <w:r>
        <w:t xml:space="preserve"> ONE, 9(5), e97881. </w:t>
      </w:r>
      <w:hyperlink r:id="rId119" w:history="1">
        <w:r w:rsidR="009007DC" w:rsidRPr="00271B5D">
          <w:rPr>
            <w:rStyle w:val="Hyperlink"/>
          </w:rPr>
          <w:t>https://doi.org/10.1371/journal.pone.0097881</w:t>
        </w:r>
      </w:hyperlink>
      <w:r w:rsidR="009007DC">
        <w:t xml:space="preserve"> </w:t>
      </w:r>
    </w:p>
    <w:p w14:paraId="3E201254" w14:textId="0901EB8B" w:rsidR="00FD073D" w:rsidRDefault="00FD073D" w:rsidP="00BC2DAF">
      <w:pPr>
        <w:ind w:firstLine="60"/>
      </w:pPr>
    </w:p>
    <w:p w14:paraId="6F6BEF7D" w14:textId="3A07A100" w:rsidR="00FD073D" w:rsidRDefault="00FD073D" w:rsidP="00BC2DAF">
      <w:pPr>
        <w:pStyle w:val="ListParagraph"/>
        <w:numPr>
          <w:ilvl w:val="0"/>
          <w:numId w:val="31"/>
        </w:numPr>
      </w:pPr>
      <w:r>
        <w:t xml:space="preserve">Mitter, N., Worrall, E. A., Robinson, K. E., Li, P., Jain, R. G., </w:t>
      </w:r>
      <w:proofErr w:type="spellStart"/>
      <w:r>
        <w:t>Taochy</w:t>
      </w:r>
      <w:proofErr w:type="spellEnd"/>
      <w:r>
        <w:t xml:space="preserve">, C., ... &amp; Pappu, H. R. (2017). Clay nanosheets for topical delivery of RNAi for sustained protection against plant viruses. Nature Plants, 3(2), 16207. </w:t>
      </w:r>
      <w:hyperlink r:id="rId120" w:history="1">
        <w:r w:rsidR="009007DC" w:rsidRPr="00271B5D">
          <w:rPr>
            <w:rStyle w:val="Hyperlink"/>
          </w:rPr>
          <w:t>https://doi.org/10.1038/nplants.2016.207</w:t>
        </w:r>
      </w:hyperlink>
      <w:r w:rsidR="009007DC">
        <w:t xml:space="preserve"> </w:t>
      </w:r>
    </w:p>
    <w:p w14:paraId="1ACF797C" w14:textId="77777777" w:rsidR="00FD073D" w:rsidRDefault="00FD073D" w:rsidP="00FD073D"/>
    <w:p w14:paraId="24745341" w14:textId="3CC90246" w:rsidR="00FD073D" w:rsidRDefault="00FD073D" w:rsidP="00BC2DAF">
      <w:pPr>
        <w:pStyle w:val="ListParagraph"/>
        <w:numPr>
          <w:ilvl w:val="0"/>
          <w:numId w:val="31"/>
        </w:numPr>
      </w:pPr>
      <w:r>
        <w:t xml:space="preserve">Mittal, A. K., Chisti, Y., &amp; Banerjee, U. C. (2013). Synthesis of metallic nanoparticles using plant extracts. Biotechnology Advances, 31(2), 346-356. </w:t>
      </w:r>
      <w:hyperlink r:id="rId121" w:history="1">
        <w:r w:rsidR="009007DC" w:rsidRPr="00271B5D">
          <w:rPr>
            <w:rStyle w:val="Hyperlink"/>
          </w:rPr>
          <w:t>https://doi.org/10.1016/j.biotechadv.2013.01.003</w:t>
        </w:r>
      </w:hyperlink>
      <w:r w:rsidR="009007DC">
        <w:t xml:space="preserve"> </w:t>
      </w:r>
    </w:p>
    <w:p w14:paraId="1667FA06" w14:textId="77777777" w:rsidR="00FD073D" w:rsidRDefault="00FD073D" w:rsidP="00FD073D"/>
    <w:p w14:paraId="2DEF6C1B" w14:textId="36BF83C3" w:rsidR="00FD073D" w:rsidRDefault="00FD073D" w:rsidP="00BC2DAF">
      <w:pPr>
        <w:pStyle w:val="ListParagraph"/>
        <w:numPr>
          <w:ilvl w:val="0"/>
          <w:numId w:val="31"/>
        </w:numPr>
      </w:pPr>
      <w:r>
        <w:t xml:space="preserve">Moll, J., </w:t>
      </w:r>
      <w:proofErr w:type="spellStart"/>
      <w:r>
        <w:t>Klingenfuss</w:t>
      </w:r>
      <w:proofErr w:type="spellEnd"/>
      <w:r>
        <w:t xml:space="preserve">, F., Widmer, F., Gogos, A., van der Heijden, M. G., Hartmann, M., &amp; </w:t>
      </w:r>
      <w:proofErr w:type="spellStart"/>
      <w:r>
        <w:t>Fliessbach</w:t>
      </w:r>
      <w:proofErr w:type="spellEnd"/>
      <w:r>
        <w:t xml:space="preserve">, A. (2016). Effects of titanium dioxide nanoparticles on soil microbial communities and wheat biomass. Soil Biology and Biochemistry, 111, 85-93. </w:t>
      </w:r>
      <w:hyperlink r:id="rId122" w:history="1">
        <w:r w:rsidR="009007DC" w:rsidRPr="00271B5D">
          <w:rPr>
            <w:rStyle w:val="Hyperlink"/>
          </w:rPr>
          <w:t>https://doi.org/10.1016/j.soilbio.2017.03.019</w:t>
        </w:r>
      </w:hyperlink>
      <w:r w:rsidR="009007DC">
        <w:t xml:space="preserve"> </w:t>
      </w:r>
    </w:p>
    <w:p w14:paraId="55131CED" w14:textId="77777777" w:rsidR="00FD073D" w:rsidRDefault="00FD073D" w:rsidP="00FD073D"/>
    <w:p w14:paraId="5949971F" w14:textId="3E7EDBC3" w:rsidR="00FD073D" w:rsidRDefault="00FD073D" w:rsidP="00BC2DAF">
      <w:pPr>
        <w:pStyle w:val="ListParagraph"/>
        <w:numPr>
          <w:ilvl w:val="0"/>
          <w:numId w:val="31"/>
        </w:numPr>
      </w:pPr>
      <w:r>
        <w:t xml:space="preserve">Molla, K. A., Karmakar, S., Chanda, P. K., Sarkar, S. N., Datta, S. K., &amp; Datta, K. (2020). Tissue-specific expression of Arabidopsis NPR1 gene in rice for sheath blight resistance without compromising phenotypic cost. Plant Science, 250, 105-114. </w:t>
      </w:r>
      <w:hyperlink r:id="rId123" w:history="1">
        <w:r w:rsidR="009007DC" w:rsidRPr="00271B5D">
          <w:rPr>
            <w:rStyle w:val="Hyperlink"/>
          </w:rPr>
          <w:t>https://doi.org/10.1016/j.plantsci.2016.06.005</w:t>
        </w:r>
      </w:hyperlink>
      <w:r w:rsidR="009007DC">
        <w:t xml:space="preserve"> </w:t>
      </w:r>
    </w:p>
    <w:p w14:paraId="77377718" w14:textId="77777777" w:rsidR="00FD073D" w:rsidRDefault="00FD073D" w:rsidP="00FD073D"/>
    <w:p w14:paraId="25E0D712" w14:textId="62DFCEF1" w:rsidR="00FD073D" w:rsidRDefault="00FD073D" w:rsidP="00BC2DAF">
      <w:pPr>
        <w:pStyle w:val="ListParagraph"/>
        <w:numPr>
          <w:ilvl w:val="0"/>
          <w:numId w:val="31"/>
        </w:numPr>
      </w:pPr>
      <w:r>
        <w:t xml:space="preserve">Montaño, M. D., </w:t>
      </w:r>
      <w:proofErr w:type="spellStart"/>
      <w:r>
        <w:t>Olesik</w:t>
      </w:r>
      <w:proofErr w:type="spellEnd"/>
      <w:r>
        <w:t xml:space="preserve">, J. W., Barber, A. G., Challis, K., &amp; Ranville, J. F. (2014). Single particle ICP-MS: Advances toward routine analysis of nanomaterials. Analytical and Bioanalytical Chemistry, 408(19), 5053-5074. </w:t>
      </w:r>
      <w:hyperlink r:id="rId124" w:history="1">
        <w:r w:rsidR="009007DC" w:rsidRPr="00271B5D">
          <w:rPr>
            <w:rStyle w:val="Hyperlink"/>
          </w:rPr>
          <w:t>https://doi.org/10.1007/s00216-016-9676-8</w:t>
        </w:r>
      </w:hyperlink>
      <w:r w:rsidR="009007DC">
        <w:t xml:space="preserve"> </w:t>
      </w:r>
    </w:p>
    <w:p w14:paraId="6D71519D" w14:textId="77777777" w:rsidR="00FD073D" w:rsidRDefault="00FD073D" w:rsidP="00FD073D"/>
    <w:p w14:paraId="2F54EC12" w14:textId="5A3BFF59" w:rsidR="00FD073D" w:rsidRDefault="00FD073D" w:rsidP="00BC2DAF">
      <w:pPr>
        <w:pStyle w:val="ListParagraph"/>
        <w:numPr>
          <w:ilvl w:val="0"/>
          <w:numId w:val="31"/>
        </w:numPr>
      </w:pPr>
      <w:proofErr w:type="spellStart"/>
      <w:r>
        <w:t>Mottaleb</w:t>
      </w:r>
      <w:proofErr w:type="spellEnd"/>
      <w:r>
        <w:t xml:space="preserve">, K. A., </w:t>
      </w:r>
      <w:proofErr w:type="spellStart"/>
      <w:r>
        <w:t>Rejesus</w:t>
      </w:r>
      <w:proofErr w:type="spellEnd"/>
      <w:r>
        <w:t xml:space="preserve">, R. M., Murty, M. V. R., Mohanty, S., &amp; Li, T. (2017). Benefits of the development and dissemination of climate-smart rice: Ex ante impact assessment of drought-tolerant rice in South Asia. Mitigation and Adaptation Strategies for Global Change, 22(6), 879-901. </w:t>
      </w:r>
      <w:hyperlink r:id="rId125" w:history="1">
        <w:r w:rsidR="009007DC" w:rsidRPr="00271B5D">
          <w:rPr>
            <w:rStyle w:val="Hyperlink"/>
          </w:rPr>
          <w:t>https://doi.org/10.1007/s11027-016-9705-0</w:t>
        </w:r>
      </w:hyperlink>
      <w:r w:rsidR="009007DC">
        <w:t xml:space="preserve"> </w:t>
      </w:r>
    </w:p>
    <w:p w14:paraId="40FB5679" w14:textId="77777777" w:rsidR="00FD073D" w:rsidRDefault="00FD073D" w:rsidP="00FD073D"/>
    <w:p w14:paraId="05312CB0" w14:textId="00BC52AB" w:rsidR="00FD073D" w:rsidRDefault="00FD073D" w:rsidP="00BC2DAF">
      <w:pPr>
        <w:pStyle w:val="ListParagraph"/>
        <w:numPr>
          <w:ilvl w:val="0"/>
          <w:numId w:val="31"/>
        </w:numPr>
      </w:pPr>
      <w:r>
        <w:t xml:space="preserve">Nayak, P. (2024). Nanoencapsulation of fungicides: New trend in plant disease control. In </w:t>
      </w:r>
      <w:proofErr w:type="spellStart"/>
      <w:r>
        <w:t>Nanofungicides</w:t>
      </w:r>
      <w:proofErr w:type="spellEnd"/>
      <w:r>
        <w:t xml:space="preserve"> (pp. 415-438). Elsevier. </w:t>
      </w:r>
      <w:hyperlink r:id="rId126" w:history="1">
        <w:r w:rsidR="009007DC" w:rsidRPr="00271B5D">
          <w:rPr>
            <w:rStyle w:val="Hyperlink"/>
          </w:rPr>
          <w:t>https://doi.org/10.1016/b978-0-443-23950-2.00019-9</w:t>
        </w:r>
      </w:hyperlink>
      <w:r w:rsidR="009007DC">
        <w:t xml:space="preserve"> </w:t>
      </w:r>
    </w:p>
    <w:p w14:paraId="3D64F9CD" w14:textId="77777777" w:rsidR="00FD073D" w:rsidRDefault="00FD073D" w:rsidP="00FD073D"/>
    <w:p w14:paraId="65CFFE78" w14:textId="4E1B9D75" w:rsidR="00FD073D" w:rsidRDefault="00FD073D" w:rsidP="00BC2DAF">
      <w:pPr>
        <w:pStyle w:val="ListParagraph"/>
        <w:numPr>
          <w:ilvl w:val="0"/>
          <w:numId w:val="31"/>
        </w:numPr>
      </w:pPr>
      <w:r>
        <w:t xml:space="preserve">Nuruzzaman, M., Rahman, M. M., Liu, Y., &amp; Naidu, R. (2016). Nanoencapsulation, nano-guard for pesticides: A new window for safe application. Journal of Agricultural and Food Chemistry, 64(7), 1447-1483. </w:t>
      </w:r>
      <w:hyperlink r:id="rId127" w:history="1">
        <w:r w:rsidR="009007DC" w:rsidRPr="00271B5D">
          <w:rPr>
            <w:rStyle w:val="Hyperlink"/>
          </w:rPr>
          <w:t>https://doi.org/10.1021/acs.jafc.5b05214</w:t>
        </w:r>
      </w:hyperlink>
      <w:r w:rsidR="009007DC">
        <w:t xml:space="preserve"> </w:t>
      </w:r>
    </w:p>
    <w:p w14:paraId="1AB6E850" w14:textId="77777777" w:rsidR="00FD073D" w:rsidRDefault="00FD073D" w:rsidP="00FD073D"/>
    <w:p w14:paraId="75FB1156" w14:textId="31F1703F" w:rsidR="00FD073D" w:rsidRDefault="00FD073D" w:rsidP="00BC2DAF">
      <w:pPr>
        <w:pStyle w:val="ListParagraph"/>
        <w:numPr>
          <w:ilvl w:val="0"/>
          <w:numId w:val="31"/>
        </w:numPr>
      </w:pPr>
      <w:proofErr w:type="spellStart"/>
      <w:r>
        <w:t>Ocsoy</w:t>
      </w:r>
      <w:proofErr w:type="spellEnd"/>
      <w:r>
        <w:t xml:space="preserve">, I., Paret, M. L., </w:t>
      </w:r>
      <w:proofErr w:type="spellStart"/>
      <w:r>
        <w:t>Ocsoy</w:t>
      </w:r>
      <w:proofErr w:type="spellEnd"/>
      <w:r>
        <w:t xml:space="preserve">, M. A., Kunwar, S., Chen, T., You, M., &amp; Tan, W. (2013). Nanotechnology in plant disease management: DNA-directed silver nanoparticles on graphene oxide as an antibacterial against Xanthomonas </w:t>
      </w:r>
      <w:proofErr w:type="spellStart"/>
      <w:r>
        <w:t>perforans</w:t>
      </w:r>
      <w:proofErr w:type="spellEnd"/>
      <w:r>
        <w:t xml:space="preserve">. ACS Nano, 7(10), 8972-8980. </w:t>
      </w:r>
      <w:hyperlink r:id="rId128" w:history="1">
        <w:r w:rsidR="009007DC" w:rsidRPr="00271B5D">
          <w:rPr>
            <w:rStyle w:val="Hyperlink"/>
          </w:rPr>
          <w:t>https://doi.org/10.1021/nn4034794</w:t>
        </w:r>
      </w:hyperlink>
      <w:r w:rsidR="009007DC">
        <w:t xml:space="preserve"> </w:t>
      </w:r>
    </w:p>
    <w:p w14:paraId="3BD50D00" w14:textId="77777777" w:rsidR="00FD073D" w:rsidRDefault="00FD073D" w:rsidP="00FD073D"/>
    <w:p w14:paraId="77607D1B" w14:textId="05BEC71E" w:rsidR="00FD073D" w:rsidRDefault="00FD073D" w:rsidP="00BC2DAF">
      <w:pPr>
        <w:pStyle w:val="ListParagraph"/>
        <w:numPr>
          <w:ilvl w:val="0"/>
          <w:numId w:val="31"/>
        </w:numPr>
      </w:pPr>
      <w:r>
        <w:t xml:space="preserve">Ogunyemi, S. O., Abdallah, Y., Zhang, M., Fouad, H., Hong, X., Ibrahim, E., ... &amp; Li, B. (2019). Green synthesis of zinc oxide nanoparticles using different plant extracts and their antibacterial activity against </w:t>
      </w:r>
      <w:r w:rsidR="008A517F" w:rsidRPr="00BC2DAF">
        <w:rPr>
          <w:i/>
          <w:iCs/>
        </w:rPr>
        <w:t xml:space="preserve">Xanthomonas </w:t>
      </w:r>
      <w:proofErr w:type="spellStart"/>
      <w:proofErr w:type="gramStart"/>
      <w:r w:rsidR="008A517F" w:rsidRPr="00BC2DAF">
        <w:rPr>
          <w:i/>
          <w:iCs/>
        </w:rPr>
        <w:t>oryzae</w:t>
      </w:r>
      <w:proofErr w:type="spellEnd"/>
      <w:r w:rsidR="008A517F" w:rsidRPr="00BC2DAF">
        <w:rPr>
          <w:i/>
          <w:iCs/>
        </w:rPr>
        <w:t xml:space="preserve"> </w:t>
      </w:r>
      <w:r>
        <w:t xml:space="preserve"> </w:t>
      </w:r>
      <w:proofErr w:type="spellStart"/>
      <w:r>
        <w:t>pv</w:t>
      </w:r>
      <w:proofErr w:type="spellEnd"/>
      <w:proofErr w:type="gramEnd"/>
      <w:r>
        <w:t xml:space="preserve">. </w:t>
      </w:r>
      <w:r w:rsidR="008A517F" w:rsidRPr="00BC2DAF">
        <w:rPr>
          <w:i/>
          <w:iCs/>
        </w:rPr>
        <w:t>oryzae</w:t>
      </w:r>
      <w:r>
        <w:t xml:space="preserve">. Artificial Cells, Nanomedicine, and Biotechnology, 47(1), 341-352. </w:t>
      </w:r>
      <w:hyperlink r:id="rId129" w:history="1">
        <w:r w:rsidR="009007DC" w:rsidRPr="00271B5D">
          <w:rPr>
            <w:rStyle w:val="Hyperlink"/>
          </w:rPr>
          <w:t>https://doi.org/10.1080/21691401.2018.1557671</w:t>
        </w:r>
      </w:hyperlink>
      <w:r w:rsidR="009007DC">
        <w:t xml:space="preserve"> </w:t>
      </w:r>
    </w:p>
    <w:p w14:paraId="4BAC7948" w14:textId="77777777" w:rsidR="00FD073D" w:rsidRDefault="00FD073D" w:rsidP="00FD073D"/>
    <w:p w14:paraId="32B59E64" w14:textId="111F7C2D" w:rsidR="00FD073D" w:rsidRDefault="00FD073D" w:rsidP="00BC2DAF">
      <w:pPr>
        <w:pStyle w:val="ListParagraph"/>
        <w:numPr>
          <w:ilvl w:val="0"/>
          <w:numId w:val="31"/>
        </w:numPr>
      </w:pPr>
      <w:r>
        <w:lastRenderedPageBreak/>
        <w:t>Ogunyemi, S. O., Zhang, M., Abdallah, Y., Ahmed, T., Qiu, W., Ali, M. A., ... &amp; Li, B. (2020). The bio-synthesis of three metal oxide nanoparticles (</w:t>
      </w:r>
      <w:proofErr w:type="spellStart"/>
      <w:r>
        <w:t>ZnO</w:t>
      </w:r>
      <w:proofErr w:type="spellEnd"/>
      <w:r>
        <w:t xml:space="preserve">, </w:t>
      </w:r>
      <w:proofErr w:type="spellStart"/>
      <w:r>
        <w:t>MnO</w:t>
      </w:r>
      <w:proofErr w:type="spellEnd"/>
      <w:r w:rsidRPr="00BC2DAF">
        <w:rPr>
          <w:rFonts w:ascii="Cambria Math" w:hAnsi="Cambria Math" w:cs="Cambria Math"/>
        </w:rPr>
        <w:t>₂</w:t>
      </w:r>
      <w:r>
        <w:t xml:space="preserve">, and MgO) and their antibacterial activity against the bacterial leaf blight pathogen. Frontiers in Microbiology, 11, 588326. </w:t>
      </w:r>
      <w:hyperlink r:id="rId130" w:history="1">
        <w:r w:rsidR="009007DC" w:rsidRPr="00271B5D">
          <w:rPr>
            <w:rStyle w:val="Hyperlink"/>
          </w:rPr>
          <w:t>https://doi.org/10.3389/fmicb.2020.588326</w:t>
        </w:r>
      </w:hyperlink>
      <w:r w:rsidR="009007DC">
        <w:t xml:space="preserve"> </w:t>
      </w:r>
    </w:p>
    <w:p w14:paraId="7C8A36FE" w14:textId="77777777" w:rsidR="00FD073D" w:rsidRDefault="00FD073D" w:rsidP="00FD073D"/>
    <w:p w14:paraId="5D6CB837" w14:textId="0DB926E3" w:rsidR="00FD073D" w:rsidRDefault="00FD073D" w:rsidP="00BC2DAF">
      <w:pPr>
        <w:pStyle w:val="ListParagraph"/>
        <w:numPr>
          <w:ilvl w:val="0"/>
          <w:numId w:val="31"/>
        </w:numPr>
      </w:pPr>
      <w:r>
        <w:t xml:space="preserve">Parker, K. M., Barragán Borrero, V., van Leeuwen, D. M., Lever, M. A., Mateescu, B., &amp; Sander, M. (2019). Environmental fate of RNA interference pesticides: Adsorption and degradation of double-stranded RNA molecules in agricultural soils. Environmental Science &amp; Technology, 53(6), 3027-3036. </w:t>
      </w:r>
      <w:hyperlink r:id="rId131" w:history="1">
        <w:r w:rsidR="009007DC" w:rsidRPr="00271B5D">
          <w:rPr>
            <w:rStyle w:val="Hyperlink"/>
          </w:rPr>
          <w:t>https://doi.org/10.1021/acs.est.8b05576</w:t>
        </w:r>
      </w:hyperlink>
      <w:r w:rsidR="009007DC">
        <w:t xml:space="preserve"> </w:t>
      </w:r>
    </w:p>
    <w:p w14:paraId="2EE3FF42" w14:textId="77777777" w:rsidR="00FD073D" w:rsidRDefault="00FD073D" w:rsidP="00FD073D"/>
    <w:p w14:paraId="7BC44251" w14:textId="5EE1AF46" w:rsidR="00FD073D" w:rsidRDefault="00FD073D" w:rsidP="00BC2DAF">
      <w:pPr>
        <w:pStyle w:val="ListParagraph"/>
        <w:numPr>
          <w:ilvl w:val="0"/>
          <w:numId w:val="31"/>
        </w:numPr>
      </w:pPr>
      <w:r>
        <w:t xml:space="preserve">Pasquet, J., Chevalier, Y., Pelletier, J., </w:t>
      </w:r>
      <w:proofErr w:type="spellStart"/>
      <w:r>
        <w:t>Couval</w:t>
      </w:r>
      <w:proofErr w:type="spellEnd"/>
      <w:r>
        <w:t xml:space="preserve">, E., Bouvier, D., &amp; </w:t>
      </w:r>
      <w:proofErr w:type="spellStart"/>
      <w:r>
        <w:t>Bolzinger</w:t>
      </w:r>
      <w:proofErr w:type="spellEnd"/>
      <w:r>
        <w:t xml:space="preserve">, M. A. (2014). The contribution of zinc ions to the antimicrobial activity of zinc oxide. Colloids and Surfaces A: Physicochemical and Engineering Aspects, 457, 263-274. </w:t>
      </w:r>
      <w:hyperlink r:id="rId132" w:history="1">
        <w:r w:rsidR="009007DC" w:rsidRPr="00271B5D">
          <w:rPr>
            <w:rStyle w:val="Hyperlink"/>
          </w:rPr>
          <w:t>https://doi.org/10.1016/j.colsurfa.2014.05.057</w:t>
        </w:r>
      </w:hyperlink>
      <w:r w:rsidR="009007DC">
        <w:t xml:space="preserve"> </w:t>
      </w:r>
    </w:p>
    <w:p w14:paraId="0698C508" w14:textId="77777777" w:rsidR="00FD073D" w:rsidRDefault="00FD073D" w:rsidP="00FD073D"/>
    <w:p w14:paraId="2DCB7330" w14:textId="2122D657" w:rsidR="00FD073D" w:rsidRDefault="00FD073D" w:rsidP="00BC2DAF">
      <w:pPr>
        <w:pStyle w:val="ListParagraph"/>
        <w:numPr>
          <w:ilvl w:val="0"/>
          <w:numId w:val="31"/>
        </w:numPr>
      </w:pPr>
      <w:r>
        <w:t xml:space="preserve">Pereira, A. E., Grillo, R., Mello, N. F., Rosa, A. H., &amp; </w:t>
      </w:r>
      <w:proofErr w:type="spellStart"/>
      <w:r>
        <w:t>Fraceto</w:t>
      </w:r>
      <w:proofErr w:type="spellEnd"/>
      <w:r>
        <w:t xml:space="preserve">, L. F. (2014). Application of poly(epsilon-caprolactone) nanoparticles containing atrazine herbicide as an alternative technique to control weeds and reduce damage to the environment. Journal of Hazardous Materials, 268, 207-215. </w:t>
      </w:r>
      <w:hyperlink r:id="rId133" w:history="1">
        <w:r w:rsidR="009007DC" w:rsidRPr="00271B5D">
          <w:rPr>
            <w:rStyle w:val="Hyperlink"/>
          </w:rPr>
          <w:t>https://doi.org/10.1016/j.jhazmat.2014.01.025</w:t>
        </w:r>
      </w:hyperlink>
      <w:r w:rsidR="009007DC">
        <w:t xml:space="preserve"> </w:t>
      </w:r>
    </w:p>
    <w:p w14:paraId="710EC383" w14:textId="77777777" w:rsidR="00FD073D" w:rsidRDefault="00FD073D" w:rsidP="00FD073D"/>
    <w:p w14:paraId="5E6F78F1" w14:textId="72D57B99" w:rsidR="00FD073D" w:rsidRDefault="00FD073D" w:rsidP="00BC2DAF">
      <w:pPr>
        <w:pStyle w:val="ListParagraph"/>
        <w:numPr>
          <w:ilvl w:val="0"/>
          <w:numId w:val="31"/>
        </w:numPr>
      </w:pPr>
      <w:r>
        <w:t xml:space="preserve">Pérez-de-Luque, A. (2017). Interaction of nanomaterials with plants: What do we need for real applications in agriculture? Frontiers in Environmental Science, 5, 12. </w:t>
      </w:r>
      <w:hyperlink r:id="rId134" w:history="1">
        <w:r w:rsidR="009007DC" w:rsidRPr="00271B5D">
          <w:rPr>
            <w:rStyle w:val="Hyperlink"/>
          </w:rPr>
          <w:t>https://doi.org/10.3389/fenvs.2017.00012</w:t>
        </w:r>
      </w:hyperlink>
      <w:r w:rsidR="009007DC">
        <w:t xml:space="preserve"> </w:t>
      </w:r>
    </w:p>
    <w:p w14:paraId="757F953B" w14:textId="77777777" w:rsidR="00FD073D" w:rsidRDefault="00FD073D" w:rsidP="00FD073D"/>
    <w:p w14:paraId="3A8CF6EA" w14:textId="2A448505" w:rsidR="00FD073D" w:rsidRDefault="00FD073D" w:rsidP="00BC2DAF">
      <w:pPr>
        <w:pStyle w:val="ListParagraph"/>
        <w:numPr>
          <w:ilvl w:val="0"/>
          <w:numId w:val="31"/>
        </w:numPr>
      </w:pPr>
      <w:r>
        <w:t xml:space="preserve">Prasad, R., Bhattacharyya, A., &amp; Nguyen, Q. D. (2017). Nanotechnology in sustainable agriculture: Recent developments, challenges, and perspectives. Frontiers in Microbiology, 8, 1014. </w:t>
      </w:r>
      <w:hyperlink r:id="rId135" w:history="1">
        <w:r w:rsidR="009007DC" w:rsidRPr="00271B5D">
          <w:rPr>
            <w:rStyle w:val="Hyperlink"/>
          </w:rPr>
          <w:t>https://doi.org/10.3389/fmicb.2017.01014</w:t>
        </w:r>
      </w:hyperlink>
      <w:r w:rsidR="009007DC">
        <w:t xml:space="preserve"> </w:t>
      </w:r>
    </w:p>
    <w:p w14:paraId="63AB3A1E" w14:textId="77777777" w:rsidR="00FD073D" w:rsidRDefault="00FD073D" w:rsidP="00FD073D"/>
    <w:p w14:paraId="3AE18749" w14:textId="24B24ABF" w:rsidR="00FD073D" w:rsidRDefault="00FD073D" w:rsidP="00BC2DAF">
      <w:pPr>
        <w:pStyle w:val="ListParagraph"/>
        <w:numPr>
          <w:ilvl w:val="0"/>
          <w:numId w:val="31"/>
        </w:numPr>
      </w:pPr>
      <w:r>
        <w:t xml:space="preserve">Qiu, J., Chen, Y., Liu, Z., Wen, H., &amp; Jiang, N. (2023). The application of zinc oxide nanoparticles: An effective strategy to protect rice from rice blast and abiotic stresses. Environmental Pollution, 327, 121925. </w:t>
      </w:r>
      <w:hyperlink r:id="rId136" w:history="1">
        <w:r w:rsidR="009007DC" w:rsidRPr="00271B5D">
          <w:rPr>
            <w:rStyle w:val="Hyperlink"/>
          </w:rPr>
          <w:t>https://doi.org/10.1016/j.envpol.2023.121925</w:t>
        </w:r>
      </w:hyperlink>
      <w:r w:rsidR="009007DC">
        <w:t xml:space="preserve"> </w:t>
      </w:r>
    </w:p>
    <w:p w14:paraId="790FD50E" w14:textId="77777777" w:rsidR="00FD073D" w:rsidRDefault="00FD073D" w:rsidP="00FD073D"/>
    <w:p w14:paraId="6F6D7C9C" w14:textId="3B345941" w:rsidR="00FD073D" w:rsidRDefault="00FD073D" w:rsidP="00BC2DAF">
      <w:pPr>
        <w:pStyle w:val="ListParagraph"/>
        <w:numPr>
          <w:ilvl w:val="0"/>
          <w:numId w:val="31"/>
        </w:numPr>
      </w:pPr>
      <w:r>
        <w:t xml:space="preserve">Raghupathi, K. R., </w:t>
      </w:r>
      <w:proofErr w:type="spellStart"/>
      <w:r>
        <w:t>Koodali</w:t>
      </w:r>
      <w:proofErr w:type="spellEnd"/>
      <w:r>
        <w:t xml:space="preserve">, R. T., &amp; Manna, A. C. (2011). Size-dependent bacterial growth inhibition and mechanism of antibacterial activity of zinc oxide nanoparticles. Langmuir, 27(7), 4020-4028. </w:t>
      </w:r>
      <w:hyperlink r:id="rId137" w:history="1">
        <w:r w:rsidR="009007DC" w:rsidRPr="00271B5D">
          <w:rPr>
            <w:rStyle w:val="Hyperlink"/>
          </w:rPr>
          <w:t>https://doi.org/10.1021/la104825u</w:t>
        </w:r>
      </w:hyperlink>
      <w:r w:rsidR="009007DC">
        <w:t xml:space="preserve"> </w:t>
      </w:r>
    </w:p>
    <w:p w14:paraId="565256B2" w14:textId="4D9E5654" w:rsidR="00FD073D" w:rsidRDefault="00FD073D" w:rsidP="00BC2DAF">
      <w:pPr>
        <w:ind w:firstLine="60"/>
      </w:pPr>
    </w:p>
    <w:p w14:paraId="2FD4C567" w14:textId="0A36DEFE" w:rsidR="00FD073D" w:rsidRDefault="00FD073D" w:rsidP="00BC2DAF">
      <w:pPr>
        <w:pStyle w:val="ListParagraph"/>
        <w:numPr>
          <w:ilvl w:val="0"/>
          <w:numId w:val="31"/>
        </w:numPr>
      </w:pPr>
      <w:r>
        <w:t xml:space="preserve">Rajwade, J. M., </w:t>
      </w:r>
      <w:proofErr w:type="spellStart"/>
      <w:r>
        <w:t>Chikte</w:t>
      </w:r>
      <w:proofErr w:type="spellEnd"/>
      <w:r>
        <w:t xml:space="preserve">, R. G., &amp; </w:t>
      </w:r>
      <w:proofErr w:type="spellStart"/>
      <w:r>
        <w:t>Paknikar</w:t>
      </w:r>
      <w:proofErr w:type="spellEnd"/>
      <w:r>
        <w:t xml:space="preserve">, K. M. (2020). Nanomaterials: New weapons in a crusade against phytopathogens. Applied Microbiology and Biotechnology, 104(4), 1437-1461. </w:t>
      </w:r>
      <w:hyperlink r:id="rId138" w:history="1">
        <w:r w:rsidR="009007DC" w:rsidRPr="00271B5D">
          <w:rPr>
            <w:rStyle w:val="Hyperlink"/>
          </w:rPr>
          <w:t>https://doi.org/10.1007/s00253-019-10334-y</w:t>
        </w:r>
      </w:hyperlink>
      <w:r w:rsidR="009007DC">
        <w:t xml:space="preserve"> </w:t>
      </w:r>
    </w:p>
    <w:p w14:paraId="10A5D8FD" w14:textId="77777777" w:rsidR="00FD073D" w:rsidRDefault="00FD073D" w:rsidP="00FD073D"/>
    <w:p w14:paraId="458209D9" w14:textId="3DA8C5EC" w:rsidR="00FD073D" w:rsidRDefault="00FD073D" w:rsidP="00BC2DAF">
      <w:pPr>
        <w:pStyle w:val="ListParagraph"/>
        <w:numPr>
          <w:ilvl w:val="0"/>
          <w:numId w:val="31"/>
        </w:numPr>
      </w:pPr>
      <w:r>
        <w:t xml:space="preserve">Raliya, R., Saharan, V., Dimkpa, C., &amp; Biswas, P. (2018). </w:t>
      </w:r>
      <w:proofErr w:type="spellStart"/>
      <w:r>
        <w:t>Nanofertilizer</w:t>
      </w:r>
      <w:proofErr w:type="spellEnd"/>
      <w:r>
        <w:t xml:space="preserve"> for precision and sustainable agriculture: Current state and future perspectives. Journal of Agricultural and Food Chemistry, 66(26), 6487-6503. </w:t>
      </w:r>
      <w:hyperlink r:id="rId139" w:history="1">
        <w:r w:rsidR="009007DC" w:rsidRPr="00271B5D">
          <w:rPr>
            <w:rStyle w:val="Hyperlink"/>
          </w:rPr>
          <w:t>https://doi.org/10.1021/acs.jafc.7b02178</w:t>
        </w:r>
      </w:hyperlink>
      <w:r w:rsidR="009007DC">
        <w:t xml:space="preserve"> </w:t>
      </w:r>
    </w:p>
    <w:p w14:paraId="28C09C8E" w14:textId="77777777" w:rsidR="00FD073D" w:rsidRDefault="00FD073D" w:rsidP="00FD073D"/>
    <w:p w14:paraId="0042BB72" w14:textId="7B1C34AA" w:rsidR="00FD073D" w:rsidRDefault="00FD073D" w:rsidP="00BC2DAF">
      <w:pPr>
        <w:pStyle w:val="ListParagraph"/>
        <w:numPr>
          <w:ilvl w:val="0"/>
          <w:numId w:val="31"/>
        </w:numPr>
      </w:pPr>
      <w:r>
        <w:t xml:space="preserve">Raliya, R., Tarafdar, J. C., &amp; Biswas, P. (2016). Enhancing the mobilization of native phosphorus in the mung bean rhizosphere using </w:t>
      </w:r>
      <w:proofErr w:type="spellStart"/>
      <w:r>
        <w:t>ZnO</w:t>
      </w:r>
      <w:proofErr w:type="spellEnd"/>
      <w:r>
        <w:t xml:space="preserve"> nanoparticles synthesized by soil fungi. Journal of Agricultural and Food Chemistry, 64(16), 3111-3118. </w:t>
      </w:r>
      <w:hyperlink r:id="rId140" w:history="1">
        <w:r w:rsidR="009007DC" w:rsidRPr="00271B5D">
          <w:rPr>
            <w:rStyle w:val="Hyperlink"/>
          </w:rPr>
          <w:t>https://doi.org/10.1021/acs.jafc.5b05224</w:t>
        </w:r>
      </w:hyperlink>
      <w:r w:rsidR="009007DC">
        <w:t xml:space="preserve"> </w:t>
      </w:r>
    </w:p>
    <w:p w14:paraId="1B1DBF4F" w14:textId="77777777" w:rsidR="00FD073D" w:rsidRDefault="00FD073D" w:rsidP="00FD073D"/>
    <w:p w14:paraId="5F410AB2" w14:textId="238F0CB5" w:rsidR="00FD073D" w:rsidRDefault="00FD073D" w:rsidP="00BC2DAF">
      <w:pPr>
        <w:pStyle w:val="ListParagraph"/>
        <w:numPr>
          <w:ilvl w:val="0"/>
          <w:numId w:val="31"/>
        </w:numPr>
      </w:pPr>
      <w:r>
        <w:t xml:space="preserve">Ramachandran, R., Krishnaswamy, S., Shanmugam, S., &amp; Venugopal, S. (2019). Alginate-based nanocarriers for the delivery of agrochemicals. In Biopolymer-Based Formulations (pp. 563-580). Elsevier. </w:t>
      </w:r>
      <w:hyperlink r:id="rId141" w:history="1">
        <w:r w:rsidR="009007DC" w:rsidRPr="00271B5D">
          <w:rPr>
            <w:rStyle w:val="Hyperlink"/>
          </w:rPr>
          <w:t>https://doi.org/10.1016/B978-0-12-816897-4.00026-7</w:t>
        </w:r>
      </w:hyperlink>
      <w:r w:rsidR="009007DC">
        <w:t xml:space="preserve"> </w:t>
      </w:r>
    </w:p>
    <w:p w14:paraId="5D444473" w14:textId="77777777" w:rsidR="00FD073D" w:rsidRDefault="00FD073D" w:rsidP="00FD073D"/>
    <w:p w14:paraId="1F02DE4D" w14:textId="38386DD0" w:rsidR="00FD073D" w:rsidRDefault="00FD073D" w:rsidP="00BC2DAF">
      <w:pPr>
        <w:pStyle w:val="ListParagraph"/>
        <w:numPr>
          <w:ilvl w:val="0"/>
          <w:numId w:val="31"/>
        </w:numPr>
      </w:pPr>
      <w:r>
        <w:t xml:space="preserve">Rashid, M. M., Ahmed, N., Jahan, M., Islam, K. S., Nansen, C., Willers, J. L., &amp; Haque, M. A. (2017). Higher fertilizer inputs increase fitness traits of brown planthopper in rice. Scientific Reports, 7(1), 4719. </w:t>
      </w:r>
      <w:hyperlink r:id="rId142" w:history="1">
        <w:r w:rsidR="009007DC" w:rsidRPr="00271B5D">
          <w:rPr>
            <w:rStyle w:val="Hyperlink"/>
          </w:rPr>
          <w:t>https://doi.org/10.1038/s41598-017-05023-7</w:t>
        </w:r>
      </w:hyperlink>
      <w:r w:rsidR="009007DC">
        <w:t xml:space="preserve"> </w:t>
      </w:r>
    </w:p>
    <w:p w14:paraId="4C16E060" w14:textId="77777777" w:rsidR="00FD073D" w:rsidRDefault="00FD073D" w:rsidP="00FD073D"/>
    <w:p w14:paraId="24AAA9C1" w14:textId="7DDCEBF3" w:rsidR="00FD073D" w:rsidRDefault="00FD073D" w:rsidP="00BC2DAF">
      <w:pPr>
        <w:pStyle w:val="ListParagraph"/>
        <w:numPr>
          <w:ilvl w:val="0"/>
          <w:numId w:val="31"/>
        </w:numPr>
      </w:pPr>
      <w:r>
        <w:t xml:space="preserve">Ray, D. K., West, P. C., Clark, M., Gerber, J. S., Prishchepov, A. V., &amp; Chatterjee, S. (2019). Climate change has likely already affected global food production. </w:t>
      </w:r>
      <w:proofErr w:type="spellStart"/>
      <w:r>
        <w:t>PLoS</w:t>
      </w:r>
      <w:proofErr w:type="spellEnd"/>
      <w:r>
        <w:t xml:space="preserve"> ONE, 14(5), e0217148. </w:t>
      </w:r>
      <w:hyperlink r:id="rId143" w:history="1">
        <w:r w:rsidR="009007DC" w:rsidRPr="00271B5D">
          <w:rPr>
            <w:rStyle w:val="Hyperlink"/>
          </w:rPr>
          <w:t>https://doi.org/10.1371/journal.pone.0217148</w:t>
        </w:r>
      </w:hyperlink>
      <w:r w:rsidR="009007DC">
        <w:t xml:space="preserve"> </w:t>
      </w:r>
    </w:p>
    <w:p w14:paraId="423F13A6" w14:textId="77777777" w:rsidR="00FD073D" w:rsidRDefault="00FD073D" w:rsidP="00FD073D"/>
    <w:p w14:paraId="08E1AC89" w14:textId="23460435" w:rsidR="00FD073D" w:rsidRDefault="00FD073D" w:rsidP="00BC2DAF">
      <w:pPr>
        <w:pStyle w:val="ListParagraph"/>
        <w:numPr>
          <w:ilvl w:val="0"/>
          <w:numId w:val="31"/>
        </w:numPr>
      </w:pPr>
      <w:r>
        <w:t xml:space="preserve">Reinsch, B. C., </w:t>
      </w:r>
      <w:proofErr w:type="spellStart"/>
      <w:r>
        <w:t>Levard</w:t>
      </w:r>
      <w:proofErr w:type="spellEnd"/>
      <w:r>
        <w:t xml:space="preserve">, C., Li, Z., Ma, R., Wise, A., Gregory, K. B., ... &amp; Lowry, G. V. (2012). Sulfidation of silver nanoparticles decreases Escherichia coli growth inhibition. Environmental Science &amp; Technology, 46(13), 6992-7000. </w:t>
      </w:r>
      <w:hyperlink r:id="rId144" w:history="1">
        <w:r w:rsidR="009007DC" w:rsidRPr="00271B5D">
          <w:rPr>
            <w:rStyle w:val="Hyperlink"/>
          </w:rPr>
          <w:t>https://doi.org/10.1021/es203732x</w:t>
        </w:r>
      </w:hyperlink>
      <w:r w:rsidR="009007DC">
        <w:t xml:space="preserve"> </w:t>
      </w:r>
    </w:p>
    <w:p w14:paraId="54A4C674" w14:textId="77777777" w:rsidR="00FD073D" w:rsidRDefault="00FD073D" w:rsidP="00FD073D"/>
    <w:p w14:paraId="505E434E" w14:textId="3660C76E" w:rsidR="00FD073D" w:rsidRDefault="00FD073D" w:rsidP="00BC2DAF">
      <w:pPr>
        <w:pStyle w:val="ListParagraph"/>
        <w:numPr>
          <w:ilvl w:val="0"/>
          <w:numId w:val="31"/>
        </w:numPr>
      </w:pPr>
      <w:r>
        <w:t xml:space="preserve">Rico, C. M., Majumdar, S., Duarte-Gardea, M., Peralta-Videa, J. R., &amp; </w:t>
      </w:r>
      <w:proofErr w:type="spellStart"/>
      <w:r>
        <w:t>Gardea-Torresdey</w:t>
      </w:r>
      <w:proofErr w:type="spellEnd"/>
      <w:r>
        <w:t xml:space="preserve">, J. L. (2011). Interaction of nanoparticles with edible plants and their possible implications in the food chain. Journal of Agricultural and Food Chemistry, 59(8), 3485-3498. </w:t>
      </w:r>
      <w:hyperlink r:id="rId145" w:history="1">
        <w:r w:rsidR="009007DC" w:rsidRPr="00271B5D">
          <w:rPr>
            <w:rStyle w:val="Hyperlink"/>
          </w:rPr>
          <w:t>https://doi.org/10.1021/jf104517j</w:t>
        </w:r>
      </w:hyperlink>
      <w:r w:rsidR="009007DC">
        <w:t xml:space="preserve"> </w:t>
      </w:r>
    </w:p>
    <w:p w14:paraId="4B48E825" w14:textId="77777777" w:rsidR="00FD073D" w:rsidRDefault="00FD073D" w:rsidP="00FD073D"/>
    <w:p w14:paraId="46FEA0FE" w14:textId="1C104ACA" w:rsidR="00FD073D" w:rsidRDefault="00FD073D" w:rsidP="00BC2DAF">
      <w:pPr>
        <w:pStyle w:val="ListParagraph"/>
        <w:numPr>
          <w:ilvl w:val="0"/>
          <w:numId w:val="31"/>
        </w:numPr>
      </w:pPr>
      <w:proofErr w:type="spellStart"/>
      <w:r>
        <w:t>Riedo</w:t>
      </w:r>
      <w:proofErr w:type="spellEnd"/>
      <w:r>
        <w:t xml:space="preserve">, J., Wettstein, F. E., Rösch, A., Herzog, C., Banerjee, S., </w:t>
      </w:r>
      <w:proofErr w:type="spellStart"/>
      <w:r>
        <w:t>Büchi</w:t>
      </w:r>
      <w:proofErr w:type="spellEnd"/>
      <w:r>
        <w:t xml:space="preserve">, L., ... &amp; van der Heijden, M. G. (2021). Widespread occurrence of pesticides in organically managed agricultural soils—the ghost of a conventional agricultural past? Environmental Science &amp; Technology, 55(5), 2919-2928. </w:t>
      </w:r>
      <w:hyperlink r:id="rId146" w:history="1">
        <w:r w:rsidR="009007DC" w:rsidRPr="00271B5D">
          <w:rPr>
            <w:rStyle w:val="Hyperlink"/>
          </w:rPr>
          <w:t>https://doi.org/10.1021/acs.est.0c06405</w:t>
        </w:r>
      </w:hyperlink>
      <w:r w:rsidR="009007DC">
        <w:t xml:space="preserve"> </w:t>
      </w:r>
    </w:p>
    <w:p w14:paraId="31730A0A" w14:textId="77777777" w:rsidR="00FD073D" w:rsidRDefault="00FD073D" w:rsidP="00FD073D"/>
    <w:p w14:paraId="2554EC57" w14:textId="5069A0A8" w:rsidR="00FD073D" w:rsidRDefault="00FD073D" w:rsidP="00BC2DAF">
      <w:pPr>
        <w:pStyle w:val="ListParagraph"/>
        <w:numPr>
          <w:ilvl w:val="0"/>
          <w:numId w:val="31"/>
        </w:numPr>
      </w:pPr>
      <w:r>
        <w:t xml:space="preserve">Rossi, L., Zhang, W., Schwab, A. P., &amp; Ma, X. (2017). Uptake, accumulation, and in planta distribution of coexisting cerium oxide nanoparticles and cadmium in Glycine max (L.) </w:t>
      </w:r>
      <w:proofErr w:type="spellStart"/>
      <w:r>
        <w:t>Merr</w:t>
      </w:r>
      <w:proofErr w:type="spellEnd"/>
      <w:r>
        <w:t xml:space="preserve">. Environmental Science &amp; Technology, 51(21), 12815-12824. </w:t>
      </w:r>
      <w:hyperlink r:id="rId147" w:history="1">
        <w:r w:rsidR="009007DC" w:rsidRPr="00271B5D">
          <w:rPr>
            <w:rStyle w:val="Hyperlink"/>
          </w:rPr>
          <w:t>https://doi.org/10.1021/acs.est.7b03363</w:t>
        </w:r>
      </w:hyperlink>
      <w:r w:rsidR="009007DC">
        <w:t xml:space="preserve"> </w:t>
      </w:r>
    </w:p>
    <w:p w14:paraId="45FB7CC1" w14:textId="77777777" w:rsidR="00FD073D" w:rsidRDefault="00FD073D" w:rsidP="00FD073D"/>
    <w:p w14:paraId="5BEDC5F6" w14:textId="3CDA7E45" w:rsidR="00FD073D" w:rsidRDefault="00FD073D" w:rsidP="00BC2DAF">
      <w:pPr>
        <w:pStyle w:val="ListParagraph"/>
        <w:numPr>
          <w:ilvl w:val="0"/>
          <w:numId w:val="31"/>
        </w:numPr>
      </w:pPr>
      <w:r>
        <w:t xml:space="preserve">Rossi, L., Zhang, W., &amp; Ma, X. (2019). Cerium oxide nanoparticles alter the salt stress tolerance of Brassica napus L. by modifying the formation of root </w:t>
      </w:r>
      <w:proofErr w:type="spellStart"/>
      <w:r>
        <w:t>apoplastic</w:t>
      </w:r>
      <w:proofErr w:type="spellEnd"/>
      <w:r>
        <w:t xml:space="preserve"> barriers. Environmental Pollution, 229, 132-138. </w:t>
      </w:r>
      <w:hyperlink r:id="rId148" w:history="1">
        <w:r w:rsidR="009007DC" w:rsidRPr="00271B5D">
          <w:rPr>
            <w:rStyle w:val="Hyperlink"/>
          </w:rPr>
          <w:t>https://doi.org/10.1016/j.envpol.2017.05.083</w:t>
        </w:r>
      </w:hyperlink>
      <w:r w:rsidR="009007DC">
        <w:t xml:space="preserve"> </w:t>
      </w:r>
    </w:p>
    <w:p w14:paraId="4BD06401" w14:textId="77777777" w:rsidR="00FD073D" w:rsidRDefault="00FD073D" w:rsidP="00FD073D"/>
    <w:p w14:paraId="14995AF3" w14:textId="378AEF48" w:rsidR="00FD073D" w:rsidRDefault="00FD073D" w:rsidP="00BC2DAF">
      <w:pPr>
        <w:pStyle w:val="ListParagraph"/>
        <w:numPr>
          <w:ilvl w:val="0"/>
          <w:numId w:val="31"/>
        </w:numPr>
      </w:pPr>
      <w:r>
        <w:t xml:space="preserve">Saharan, V., Sharma, G., Yadav, M., Choudhary, M. K., Sharma, S. S., Pal, A., ... &amp; Biswas, P. (2015). Synthesis and in vitro antifungal efficacy of Cu-chitosan nanoparticles against pathogenic fungi of tomato. International Journal of Biological Macromolecules, 75, 346-353. </w:t>
      </w:r>
      <w:hyperlink r:id="rId149" w:history="1">
        <w:r w:rsidR="009007DC" w:rsidRPr="00271B5D">
          <w:rPr>
            <w:rStyle w:val="Hyperlink"/>
          </w:rPr>
          <w:t>https://doi.org/10.1016/j.ijbiomac.2015.01.027</w:t>
        </w:r>
      </w:hyperlink>
      <w:r w:rsidR="009007DC">
        <w:t xml:space="preserve"> </w:t>
      </w:r>
    </w:p>
    <w:p w14:paraId="06A4B2DE" w14:textId="77777777" w:rsidR="00FD073D" w:rsidRDefault="00FD073D" w:rsidP="00FD073D"/>
    <w:p w14:paraId="776EB05C" w14:textId="0F98BC56" w:rsidR="00FD073D" w:rsidRDefault="00FD073D" w:rsidP="00BC2DAF">
      <w:pPr>
        <w:pStyle w:val="ListParagraph"/>
        <w:numPr>
          <w:ilvl w:val="0"/>
          <w:numId w:val="31"/>
        </w:numPr>
      </w:pPr>
      <w:r>
        <w:t xml:space="preserve">Sánchez-Bayo, F., &amp; Hyne, R. V. (2014). Detection and analysis of neonicotinoids in river waters—Development of a passive sampler for three commonly used insecticides. Chemosphere, 99, 143-151. </w:t>
      </w:r>
      <w:hyperlink r:id="rId150" w:history="1">
        <w:r w:rsidR="009007DC" w:rsidRPr="00271B5D">
          <w:rPr>
            <w:rStyle w:val="Hyperlink"/>
          </w:rPr>
          <w:t>https://doi.org/10.1016/j.chemosphere.2013.10.051</w:t>
        </w:r>
      </w:hyperlink>
      <w:r w:rsidR="009007DC">
        <w:t xml:space="preserve"> </w:t>
      </w:r>
    </w:p>
    <w:p w14:paraId="6C709EB9" w14:textId="77777777" w:rsidR="00FD073D" w:rsidRDefault="00FD073D" w:rsidP="00FD073D"/>
    <w:p w14:paraId="37860F3A" w14:textId="6223AC49" w:rsidR="00FD073D" w:rsidRDefault="00FD073D" w:rsidP="00BC2DAF">
      <w:pPr>
        <w:pStyle w:val="ListParagraph"/>
        <w:numPr>
          <w:ilvl w:val="0"/>
          <w:numId w:val="31"/>
        </w:numPr>
      </w:pPr>
      <w:r>
        <w:t xml:space="preserve">Savary, S., </w:t>
      </w:r>
      <w:proofErr w:type="spellStart"/>
      <w:r>
        <w:t>Willocquet</w:t>
      </w:r>
      <w:proofErr w:type="spellEnd"/>
      <w:r>
        <w:t xml:space="preserve">, L., </w:t>
      </w:r>
      <w:proofErr w:type="spellStart"/>
      <w:r>
        <w:t>Pethybridge</w:t>
      </w:r>
      <w:proofErr w:type="spellEnd"/>
      <w:r>
        <w:t xml:space="preserve">, S. J., Esker, P., McRoberts, N., &amp; Nelson, A. (2019). The global burden of pathogens and pests on major food crops. Nature Ecology &amp; Evolution, 3(3), 430-439. </w:t>
      </w:r>
      <w:hyperlink r:id="rId151" w:history="1">
        <w:r w:rsidR="009007DC" w:rsidRPr="00271B5D">
          <w:rPr>
            <w:rStyle w:val="Hyperlink"/>
          </w:rPr>
          <w:t>https://doi.org/10.1038/s41559-018-0793-y</w:t>
        </w:r>
      </w:hyperlink>
      <w:r w:rsidR="009007DC">
        <w:t xml:space="preserve"> </w:t>
      </w:r>
    </w:p>
    <w:p w14:paraId="2D02ECD4" w14:textId="77777777" w:rsidR="00FD073D" w:rsidRDefault="00FD073D" w:rsidP="00FD073D"/>
    <w:p w14:paraId="644442CD" w14:textId="47DCB5AA" w:rsidR="00FD073D" w:rsidRDefault="00FD073D" w:rsidP="00BC2DAF">
      <w:pPr>
        <w:pStyle w:val="ListParagraph"/>
        <w:numPr>
          <w:ilvl w:val="0"/>
          <w:numId w:val="31"/>
        </w:numPr>
      </w:pPr>
      <w:r>
        <w:t xml:space="preserve">Schlich, K., Klawonn, T., Terytze, K., &amp; Hund-Rinke, K. (2013). Effects of silver nanoparticles and silver nitrate in the earthworm reproduction test. Environmental Toxicology and Chemistry, 32(1), 181-188. </w:t>
      </w:r>
      <w:hyperlink r:id="rId152" w:history="1">
        <w:r w:rsidR="00E734B8" w:rsidRPr="00271B5D">
          <w:rPr>
            <w:rStyle w:val="Hyperlink"/>
          </w:rPr>
          <w:t>https://doi.org/10.1002/etc.2030</w:t>
        </w:r>
      </w:hyperlink>
      <w:r w:rsidR="00E734B8">
        <w:t xml:space="preserve"> </w:t>
      </w:r>
    </w:p>
    <w:p w14:paraId="29C39EBF" w14:textId="77777777" w:rsidR="00FD073D" w:rsidRDefault="00FD073D" w:rsidP="00FD073D"/>
    <w:p w14:paraId="50ADCAEB" w14:textId="4B458342" w:rsidR="00FD073D" w:rsidRDefault="00FD073D" w:rsidP="00BC2DAF">
      <w:pPr>
        <w:pStyle w:val="ListParagraph"/>
        <w:numPr>
          <w:ilvl w:val="0"/>
          <w:numId w:val="31"/>
        </w:numPr>
      </w:pPr>
      <w:r>
        <w:t xml:space="preserve">Schwab, F., Zhai, G., Kern, M., Turner, A., Schnoor, J. L., &amp; Wiesner, M. R. (2016). Barriers, pathways and processes for uptake, translocation and accumulation of nanomaterials in plants—Critical review. Nanotoxicology, 10(3), 257-278. </w:t>
      </w:r>
      <w:hyperlink r:id="rId153" w:history="1">
        <w:r w:rsidR="009007DC" w:rsidRPr="00271B5D">
          <w:rPr>
            <w:rStyle w:val="Hyperlink"/>
          </w:rPr>
          <w:t>https://doi.org/10.3109/17435390.2015.1048326</w:t>
        </w:r>
      </w:hyperlink>
      <w:r w:rsidR="009007DC">
        <w:t xml:space="preserve"> </w:t>
      </w:r>
    </w:p>
    <w:p w14:paraId="364E88CA" w14:textId="77777777" w:rsidR="00FD073D" w:rsidRDefault="00FD073D" w:rsidP="00FD073D"/>
    <w:p w14:paraId="7DE28B0A" w14:textId="005CE120" w:rsidR="00FD073D" w:rsidRDefault="00FD073D" w:rsidP="00BC2DAF">
      <w:pPr>
        <w:pStyle w:val="ListParagraph"/>
        <w:numPr>
          <w:ilvl w:val="0"/>
          <w:numId w:val="31"/>
        </w:numPr>
      </w:pPr>
      <w:r>
        <w:t xml:space="preserve">Scott, J. G., Michel, K., Bartholomay, L. C., Siegfried, B. D., Hunter, W. B., </w:t>
      </w:r>
      <w:proofErr w:type="spellStart"/>
      <w:r>
        <w:t>Smagghe</w:t>
      </w:r>
      <w:proofErr w:type="spellEnd"/>
      <w:r>
        <w:t xml:space="preserve">, G., ... &amp; Douglas, A. E. (2013). Towards the elements of successful insect RNAi. Journal of Insect Physiology, 59(12), 1212-1221. </w:t>
      </w:r>
      <w:hyperlink r:id="rId154" w:history="1">
        <w:r w:rsidR="009007DC" w:rsidRPr="00271B5D">
          <w:rPr>
            <w:rStyle w:val="Hyperlink"/>
          </w:rPr>
          <w:t>https://doi.org/10.1016/j.jinsphys.2013.08.014</w:t>
        </w:r>
      </w:hyperlink>
      <w:r w:rsidR="009007DC">
        <w:t xml:space="preserve"> </w:t>
      </w:r>
    </w:p>
    <w:p w14:paraId="76FD00C8" w14:textId="77777777" w:rsidR="00FD073D" w:rsidRDefault="00FD073D" w:rsidP="00FD073D"/>
    <w:p w14:paraId="6313E620" w14:textId="1BB5FDFC" w:rsidR="00FD073D" w:rsidRDefault="00FD073D" w:rsidP="00BC2DAF">
      <w:pPr>
        <w:pStyle w:val="ListParagraph"/>
        <w:numPr>
          <w:ilvl w:val="0"/>
          <w:numId w:val="31"/>
        </w:numPr>
      </w:pPr>
      <w:r>
        <w:t xml:space="preserve">Shoults-Wilson, W. A., Reinsch, B. C., </w:t>
      </w:r>
      <w:proofErr w:type="spellStart"/>
      <w:r>
        <w:t>Tsyusko</w:t>
      </w:r>
      <w:proofErr w:type="spellEnd"/>
      <w:r>
        <w:t xml:space="preserve">, O. V., Bertsch, P. M., Lowry, G. V., &amp; </w:t>
      </w:r>
      <w:proofErr w:type="spellStart"/>
      <w:r>
        <w:t>Unrine</w:t>
      </w:r>
      <w:proofErr w:type="spellEnd"/>
      <w:r>
        <w:t xml:space="preserve">, J. M. (2011). Effect of silver nanoparticle surface coating on bioaccumulation and reproductive toxicity in earthworms (Eisenia </w:t>
      </w:r>
      <w:proofErr w:type="spellStart"/>
      <w:r>
        <w:t>fetida</w:t>
      </w:r>
      <w:proofErr w:type="spellEnd"/>
      <w:r>
        <w:t xml:space="preserve">). Nanotoxicology, 5(3), 432-444. </w:t>
      </w:r>
      <w:hyperlink r:id="rId155" w:history="1">
        <w:r w:rsidR="009007DC" w:rsidRPr="00271B5D">
          <w:rPr>
            <w:rStyle w:val="Hyperlink"/>
          </w:rPr>
          <w:t>https://doi.org/10.3109/17435390.2010.537382</w:t>
        </w:r>
      </w:hyperlink>
      <w:r w:rsidR="009007DC">
        <w:t xml:space="preserve"> </w:t>
      </w:r>
    </w:p>
    <w:p w14:paraId="0D704201" w14:textId="135353CB" w:rsidR="00FD073D" w:rsidRDefault="00FD073D" w:rsidP="00BC2DAF">
      <w:pPr>
        <w:ind w:firstLine="60"/>
      </w:pPr>
    </w:p>
    <w:p w14:paraId="26A0D4D1" w14:textId="1E9112D1" w:rsidR="00FD073D" w:rsidRDefault="00FD073D" w:rsidP="00BC2DAF">
      <w:pPr>
        <w:pStyle w:val="ListParagraph"/>
        <w:numPr>
          <w:ilvl w:val="0"/>
          <w:numId w:val="31"/>
        </w:numPr>
      </w:pPr>
      <w:r>
        <w:t xml:space="preserve">Shukla, J. N., Kalsi, M., Sethi, A., Narva, K. E., </w:t>
      </w:r>
      <w:proofErr w:type="spellStart"/>
      <w:r>
        <w:t>Fishilevich</w:t>
      </w:r>
      <w:proofErr w:type="spellEnd"/>
      <w:r>
        <w:t xml:space="preserve">, E., Singh, S., ... &amp; Palli, S. R. (2016). Reduced stability and intracellular transport of dsRNA contribute to poor RNAi response in lepidopteran insects. RNA Biology, 13(7), 656-669. </w:t>
      </w:r>
      <w:hyperlink r:id="rId156" w:history="1">
        <w:r w:rsidR="009007DC" w:rsidRPr="00271B5D">
          <w:rPr>
            <w:rStyle w:val="Hyperlink"/>
          </w:rPr>
          <w:t>https://doi.org/10.1080/15476286.2016.1191728</w:t>
        </w:r>
      </w:hyperlink>
      <w:r w:rsidR="009007DC">
        <w:t xml:space="preserve"> </w:t>
      </w:r>
    </w:p>
    <w:p w14:paraId="03110F1A" w14:textId="77777777" w:rsidR="00FD073D" w:rsidRDefault="00FD073D" w:rsidP="00FD073D"/>
    <w:p w14:paraId="407CFC43" w14:textId="5CB235DE" w:rsidR="00FD073D" w:rsidRDefault="00FD073D" w:rsidP="00BC2DAF">
      <w:pPr>
        <w:pStyle w:val="ListParagraph"/>
        <w:numPr>
          <w:ilvl w:val="0"/>
          <w:numId w:val="31"/>
        </w:numPr>
      </w:pPr>
      <w:r>
        <w:t xml:space="preserve">Siddiqi, K. S., &amp; Husen, A. (2017). Fabrication of metal nanoparticles from fungi and metal salts: Scope and application. Nanoscale Research Letters, 12(1), 98. </w:t>
      </w:r>
      <w:hyperlink r:id="rId157" w:history="1">
        <w:r w:rsidR="009007DC" w:rsidRPr="00271B5D">
          <w:rPr>
            <w:rStyle w:val="Hyperlink"/>
          </w:rPr>
          <w:t>https://doi.org/10.1186/s11671-017-1921-8</w:t>
        </w:r>
      </w:hyperlink>
      <w:r w:rsidR="009007DC">
        <w:t xml:space="preserve"> </w:t>
      </w:r>
    </w:p>
    <w:p w14:paraId="15E66971" w14:textId="77777777" w:rsidR="00FD073D" w:rsidRDefault="00FD073D" w:rsidP="00FD073D"/>
    <w:p w14:paraId="4367C906" w14:textId="2DDEBCEC" w:rsidR="00FD073D" w:rsidRDefault="00FD073D" w:rsidP="00BC2DAF">
      <w:pPr>
        <w:pStyle w:val="ListParagraph"/>
        <w:numPr>
          <w:ilvl w:val="0"/>
          <w:numId w:val="31"/>
        </w:numPr>
      </w:pPr>
      <w:proofErr w:type="spellStart"/>
      <w:r>
        <w:t>Simkhada</w:t>
      </w:r>
      <w:proofErr w:type="spellEnd"/>
      <w:r>
        <w:t xml:space="preserve">, K., &amp; Thapa, B. (2022). Rice blast, a major threat to the rice production and its various management techniques. Turkish Journal of Agriculture—Food Science and Technology, 10(3), 147-157. </w:t>
      </w:r>
      <w:hyperlink r:id="rId158" w:history="1">
        <w:r w:rsidR="009007DC" w:rsidRPr="00271B5D">
          <w:rPr>
            <w:rStyle w:val="Hyperlink"/>
          </w:rPr>
          <w:t>https://doi.org/10.24925/turjaf.v10i3.147-157.4824</w:t>
        </w:r>
      </w:hyperlink>
      <w:r w:rsidR="009007DC">
        <w:t xml:space="preserve"> </w:t>
      </w:r>
    </w:p>
    <w:p w14:paraId="7F97D520" w14:textId="77777777" w:rsidR="00FD073D" w:rsidRDefault="00FD073D" w:rsidP="00FD073D"/>
    <w:p w14:paraId="4A49383D" w14:textId="3E452D98" w:rsidR="00FD073D" w:rsidRDefault="00FD073D" w:rsidP="00BC2DAF">
      <w:pPr>
        <w:pStyle w:val="ListParagraph"/>
        <w:numPr>
          <w:ilvl w:val="0"/>
          <w:numId w:val="31"/>
        </w:numPr>
      </w:pPr>
      <w:r>
        <w:t xml:space="preserve">Simonin, M., &amp; </w:t>
      </w:r>
      <w:proofErr w:type="spellStart"/>
      <w:r>
        <w:t>Richaume</w:t>
      </w:r>
      <w:proofErr w:type="spellEnd"/>
      <w:r>
        <w:t xml:space="preserve">, A. (2015). Impact of engineered nanoparticles on the activity, abundance, and diversity of soil microbial communities: A review. Environmental Science and Pollution Research, 22(18), 13710-13723. </w:t>
      </w:r>
      <w:hyperlink r:id="rId159" w:history="1">
        <w:r w:rsidR="009007DC" w:rsidRPr="00271B5D">
          <w:rPr>
            <w:rStyle w:val="Hyperlink"/>
          </w:rPr>
          <w:t>https://doi.org/10.1007/s11356-015-4171-x</w:t>
        </w:r>
      </w:hyperlink>
      <w:r w:rsidR="009007DC">
        <w:t xml:space="preserve"> </w:t>
      </w:r>
    </w:p>
    <w:p w14:paraId="75FF54DF" w14:textId="77777777" w:rsidR="00FD073D" w:rsidRDefault="00FD073D" w:rsidP="00FD073D"/>
    <w:p w14:paraId="5F67F19C" w14:textId="532AE78E" w:rsidR="00FD073D" w:rsidRDefault="00FD073D" w:rsidP="00BC2DAF">
      <w:pPr>
        <w:pStyle w:val="ListParagraph"/>
        <w:numPr>
          <w:ilvl w:val="0"/>
          <w:numId w:val="31"/>
        </w:numPr>
      </w:pPr>
      <w:r>
        <w:t xml:space="preserve">Singh, A., Gautam, P. K., Verma, A., Singh, V., Shivapriya, P. M., Shivalkar, S., ... &amp; Kumar, S. (2020). Green synthesis of metallic nanoparticles as effective alternatives to treat antibacterial resistant infections: A review. Biotechnology Reports, 25, e00427. </w:t>
      </w:r>
      <w:hyperlink r:id="rId160" w:history="1">
        <w:r w:rsidR="009007DC" w:rsidRPr="00271B5D">
          <w:rPr>
            <w:rStyle w:val="Hyperlink"/>
          </w:rPr>
          <w:t>https://doi.org/10.1016/j.btre.2020.e00427</w:t>
        </w:r>
      </w:hyperlink>
      <w:r w:rsidR="009007DC">
        <w:t xml:space="preserve"> </w:t>
      </w:r>
    </w:p>
    <w:p w14:paraId="31ACDE97" w14:textId="77777777" w:rsidR="00FD073D" w:rsidRDefault="00FD073D" w:rsidP="00FD073D"/>
    <w:p w14:paraId="4FE4166E" w14:textId="17A7863A" w:rsidR="00FD073D" w:rsidRDefault="00FD073D" w:rsidP="00BC2DAF">
      <w:pPr>
        <w:pStyle w:val="ListParagraph"/>
        <w:numPr>
          <w:ilvl w:val="0"/>
          <w:numId w:val="31"/>
        </w:numPr>
      </w:pPr>
      <w:r>
        <w:t xml:space="preserve">Singh, R. K., Singh, P., Rutkoski, J., Hodson, D. P., He, X., Jørgensen, L. N., ... &amp; Singh, P. K. (2021). Disease impact on wheat yield potential and prospects of genetic control. Annual Review of Phytopathology, 59, 413-441. </w:t>
      </w:r>
      <w:hyperlink r:id="rId161" w:history="1">
        <w:r w:rsidR="009007DC" w:rsidRPr="00271B5D">
          <w:rPr>
            <w:rStyle w:val="Hyperlink"/>
          </w:rPr>
          <w:t>https://doi.org/10.1146/annurev-phyto-020620-114752</w:t>
        </w:r>
      </w:hyperlink>
      <w:r w:rsidR="009007DC">
        <w:t xml:space="preserve"> </w:t>
      </w:r>
    </w:p>
    <w:p w14:paraId="7C3D500D" w14:textId="77777777" w:rsidR="00FD073D" w:rsidRDefault="00FD073D" w:rsidP="00FD073D"/>
    <w:p w14:paraId="5734F79C" w14:textId="1CE8B638" w:rsidR="00FD073D" w:rsidRDefault="00FD073D" w:rsidP="00BC2DAF">
      <w:pPr>
        <w:pStyle w:val="ListParagraph"/>
        <w:numPr>
          <w:ilvl w:val="0"/>
          <w:numId w:val="31"/>
        </w:numPr>
      </w:pPr>
      <w:proofErr w:type="spellStart"/>
      <w:r>
        <w:t>Sirelkhatim</w:t>
      </w:r>
      <w:proofErr w:type="spellEnd"/>
      <w:r>
        <w:t xml:space="preserve">, A., Mahmud, S., </w:t>
      </w:r>
      <w:proofErr w:type="spellStart"/>
      <w:r>
        <w:t>Seeni</w:t>
      </w:r>
      <w:proofErr w:type="spellEnd"/>
      <w:r>
        <w:t xml:space="preserve">, A., Kaus, N. H. M., Ann, L. C., </w:t>
      </w:r>
      <w:proofErr w:type="spellStart"/>
      <w:r>
        <w:t>Bakhori</w:t>
      </w:r>
      <w:proofErr w:type="spellEnd"/>
      <w:r>
        <w:t xml:space="preserve">, S. K. M., ... &amp; Mohamad, D. (2015). Review on zinc oxide nanoparticles: Antibacterial activity and toxicity mechanism. Nano-Micro Letters, 7(3), 219-242. </w:t>
      </w:r>
      <w:hyperlink r:id="rId162" w:history="1">
        <w:r w:rsidR="009007DC" w:rsidRPr="00271B5D">
          <w:rPr>
            <w:rStyle w:val="Hyperlink"/>
          </w:rPr>
          <w:t>https://doi.org/10.1007/s40820-015-0040-x</w:t>
        </w:r>
      </w:hyperlink>
      <w:r w:rsidR="009007DC">
        <w:t xml:space="preserve"> </w:t>
      </w:r>
    </w:p>
    <w:p w14:paraId="260C034D" w14:textId="77777777" w:rsidR="00FD073D" w:rsidRDefault="00FD073D" w:rsidP="00FD073D"/>
    <w:p w14:paraId="35E75C77" w14:textId="761996EC" w:rsidR="00FD073D" w:rsidRDefault="00FD073D" w:rsidP="00BC2DAF">
      <w:pPr>
        <w:pStyle w:val="ListParagraph"/>
        <w:numPr>
          <w:ilvl w:val="0"/>
          <w:numId w:val="31"/>
        </w:numPr>
      </w:pPr>
      <w:r>
        <w:t xml:space="preserve">Slavin, Y. N., </w:t>
      </w:r>
      <w:proofErr w:type="spellStart"/>
      <w:r>
        <w:t>Asnis</w:t>
      </w:r>
      <w:proofErr w:type="spellEnd"/>
      <w:r>
        <w:t xml:space="preserve">, J., </w:t>
      </w:r>
      <w:proofErr w:type="spellStart"/>
      <w:r>
        <w:t>Häfeli</w:t>
      </w:r>
      <w:proofErr w:type="spellEnd"/>
      <w:r>
        <w:t xml:space="preserve">, U. O., &amp; Bach, H. (2017). Metal nanoparticles: Understanding the mechanisms behind antibacterial activity. Journal of Nanobiotechnology, 15(1), 65. </w:t>
      </w:r>
      <w:hyperlink r:id="rId163" w:history="1">
        <w:r w:rsidR="009007DC" w:rsidRPr="00271B5D">
          <w:rPr>
            <w:rStyle w:val="Hyperlink"/>
          </w:rPr>
          <w:t>https://doi.org/10.1186/s12951-017-0308-z</w:t>
        </w:r>
      </w:hyperlink>
      <w:r w:rsidR="009007DC">
        <w:t xml:space="preserve"> </w:t>
      </w:r>
    </w:p>
    <w:p w14:paraId="02718E9D" w14:textId="77777777" w:rsidR="00FD073D" w:rsidRDefault="00FD073D" w:rsidP="00FD073D"/>
    <w:p w14:paraId="5978C7BE" w14:textId="76E882E7" w:rsidR="00FD073D" w:rsidRDefault="00FD073D" w:rsidP="00BC2DAF">
      <w:pPr>
        <w:pStyle w:val="ListParagraph"/>
        <w:numPr>
          <w:ilvl w:val="0"/>
          <w:numId w:val="31"/>
        </w:numPr>
      </w:pPr>
      <w:r>
        <w:t xml:space="preserve">Sparks, T. C., &amp; </w:t>
      </w:r>
      <w:proofErr w:type="spellStart"/>
      <w:r>
        <w:t>Nauen</w:t>
      </w:r>
      <w:proofErr w:type="spellEnd"/>
      <w:r>
        <w:t xml:space="preserve">, R. (2015). IRAC: Mode of action classification and insecticide resistance management. Pesticide Biochemistry and Physiology, 121, 122-128. </w:t>
      </w:r>
      <w:hyperlink r:id="rId164" w:history="1">
        <w:r w:rsidR="009007DC" w:rsidRPr="00271B5D">
          <w:rPr>
            <w:rStyle w:val="Hyperlink"/>
          </w:rPr>
          <w:t>https://doi.org/10.1016/j.pestbp.2014.11.014</w:t>
        </w:r>
      </w:hyperlink>
      <w:r w:rsidR="009007DC">
        <w:t xml:space="preserve"> </w:t>
      </w:r>
    </w:p>
    <w:p w14:paraId="0993B266" w14:textId="77777777" w:rsidR="00FD073D" w:rsidRDefault="00FD073D" w:rsidP="00FD073D"/>
    <w:p w14:paraId="022FAC87" w14:textId="471B3BC4" w:rsidR="00FD073D" w:rsidRDefault="00FD073D" w:rsidP="00BC2DAF">
      <w:pPr>
        <w:pStyle w:val="ListParagraph"/>
        <w:numPr>
          <w:ilvl w:val="0"/>
          <w:numId w:val="31"/>
        </w:numPr>
      </w:pPr>
      <w:r>
        <w:t xml:space="preserve">Stehle, S., &amp; Schulz, R. (2015). Agricultural insecticides threaten surface waters at the global scale. Proceedings of the National Academy of Sciences, 112(18), 5750-5755. </w:t>
      </w:r>
      <w:hyperlink r:id="rId165" w:history="1">
        <w:r w:rsidR="009007DC" w:rsidRPr="00271B5D">
          <w:rPr>
            <w:rStyle w:val="Hyperlink"/>
          </w:rPr>
          <w:t>https://doi.org/10.1073/pnas.1500232112</w:t>
        </w:r>
      </w:hyperlink>
      <w:r w:rsidR="009007DC">
        <w:t xml:space="preserve"> </w:t>
      </w:r>
    </w:p>
    <w:p w14:paraId="79FA76BB" w14:textId="77777777" w:rsidR="00FD073D" w:rsidRDefault="00FD073D" w:rsidP="00FD073D"/>
    <w:p w14:paraId="18A9CCEA" w14:textId="2FA3E0FC" w:rsidR="00FD073D" w:rsidRDefault="00FD073D" w:rsidP="00BC2DAF">
      <w:pPr>
        <w:pStyle w:val="ListParagraph"/>
        <w:numPr>
          <w:ilvl w:val="0"/>
          <w:numId w:val="31"/>
        </w:numPr>
      </w:pPr>
      <w:r>
        <w:t xml:space="preserve">Suriyaprabha, R., Karunakaran, G., Yuvakkumar, R., Prabu, P., Rajendran, V., &amp; Kannan, N. (2014). Growth and physiological responses of maize (Zea mays L.) to porous silica nanoparticles in soil. Journal of Nanoparticle Research, 14(12), 1294. </w:t>
      </w:r>
      <w:hyperlink r:id="rId166" w:history="1">
        <w:r w:rsidR="009007DC" w:rsidRPr="00271B5D">
          <w:rPr>
            <w:rStyle w:val="Hyperlink"/>
          </w:rPr>
          <w:t>https://doi.org/10.1007/s11051-012-1294-6</w:t>
        </w:r>
      </w:hyperlink>
      <w:r w:rsidR="009007DC">
        <w:t xml:space="preserve"> </w:t>
      </w:r>
    </w:p>
    <w:p w14:paraId="4526E37B" w14:textId="77777777" w:rsidR="00FD073D" w:rsidRDefault="00FD073D" w:rsidP="00FD073D"/>
    <w:p w14:paraId="7FF1C18B" w14:textId="426CFF3D" w:rsidR="00FD073D" w:rsidRDefault="00FD073D" w:rsidP="00BC2DAF">
      <w:pPr>
        <w:pStyle w:val="ListParagraph"/>
        <w:numPr>
          <w:ilvl w:val="0"/>
          <w:numId w:val="31"/>
        </w:numPr>
      </w:pPr>
      <w:proofErr w:type="spellStart"/>
      <w:r>
        <w:t>Tahara</w:t>
      </w:r>
      <w:proofErr w:type="spellEnd"/>
      <w:r>
        <w:t>, K., Samura, S., Tsuji, K., Yamamoto, H., Tsukada, Y., Bando, Y., ... &amp; Kawashima, Y. (2011). Oral nuclear factor-</w:t>
      </w:r>
      <w:proofErr w:type="spellStart"/>
      <w:r>
        <w:t>κB</w:t>
      </w:r>
      <w:proofErr w:type="spellEnd"/>
      <w:r>
        <w:t xml:space="preserve"> decoy oligonucleotides delivery system with chitosan modified poly(</w:t>
      </w:r>
      <w:proofErr w:type="gramStart"/>
      <w:r>
        <w:t>D,L</w:t>
      </w:r>
      <w:proofErr w:type="gramEnd"/>
      <w:r>
        <w:t>-lactide-co-</w:t>
      </w:r>
      <w:proofErr w:type="spellStart"/>
      <w:r>
        <w:t>glycolide</w:t>
      </w:r>
      <w:proofErr w:type="spellEnd"/>
      <w:r>
        <w:t xml:space="preserve">) nanospheres for inflammatory bowel disease. Biomaterials, 32(3), 870-878. </w:t>
      </w:r>
      <w:hyperlink r:id="rId167" w:history="1">
        <w:r w:rsidR="009007DC" w:rsidRPr="00271B5D">
          <w:rPr>
            <w:rStyle w:val="Hyperlink"/>
          </w:rPr>
          <w:t>https://doi.org/10.1016/j.biomaterials.2010.09.034</w:t>
        </w:r>
      </w:hyperlink>
      <w:r w:rsidR="009007DC">
        <w:t xml:space="preserve"> </w:t>
      </w:r>
    </w:p>
    <w:p w14:paraId="658D9498" w14:textId="77777777" w:rsidR="00FD073D" w:rsidRDefault="00FD073D" w:rsidP="00FD073D"/>
    <w:p w14:paraId="038A874E" w14:textId="23D1903C" w:rsidR="00FD073D" w:rsidRDefault="00FD073D" w:rsidP="00BC2DAF">
      <w:pPr>
        <w:pStyle w:val="ListParagraph"/>
        <w:numPr>
          <w:ilvl w:val="0"/>
          <w:numId w:val="31"/>
        </w:numPr>
      </w:pPr>
      <w:r>
        <w:t xml:space="preserve">Talbot, N. J., Kershaw, M. J., &amp; Wakley, G. E. (2021). Advances in understanding the molecular basis of fungal pathogenicity to rice. Annual Review of Phytopathology, 59, 263-287. </w:t>
      </w:r>
      <w:hyperlink r:id="rId168" w:history="1">
        <w:r w:rsidR="009007DC" w:rsidRPr="00271B5D">
          <w:rPr>
            <w:rStyle w:val="Hyperlink"/>
          </w:rPr>
          <w:t>https://doi.org/10.1146/annurev-phyto-020620-121858</w:t>
        </w:r>
      </w:hyperlink>
      <w:r w:rsidR="009007DC">
        <w:t xml:space="preserve"> </w:t>
      </w:r>
    </w:p>
    <w:p w14:paraId="74756704" w14:textId="77777777" w:rsidR="00FD073D" w:rsidRDefault="00FD073D" w:rsidP="00FD073D"/>
    <w:p w14:paraId="56FE00AF" w14:textId="301494CC" w:rsidR="00FD073D" w:rsidRDefault="00FD073D" w:rsidP="00BC2DAF">
      <w:pPr>
        <w:pStyle w:val="ListParagraph"/>
        <w:numPr>
          <w:ilvl w:val="0"/>
          <w:numId w:val="31"/>
        </w:numPr>
      </w:pPr>
      <w:r>
        <w:t xml:space="preserve">Tan, J., Levine, S. L., Bachman, P. M., Jensen, P. D., Mueller, G. M., Uffman, J. P., ... &amp; Heck, G. R. (2016). No impact of DvSnf7 RNA on honey bee (Apis mellifera L.) adults and larvae in dietary feeding tests. Environmental Toxicology and Chemistry, 35(2), 287-294. </w:t>
      </w:r>
      <w:hyperlink r:id="rId169" w:history="1">
        <w:r w:rsidR="009007DC" w:rsidRPr="00271B5D">
          <w:rPr>
            <w:rStyle w:val="Hyperlink"/>
          </w:rPr>
          <w:t>https://doi.org/10.1002/etc.3075</w:t>
        </w:r>
      </w:hyperlink>
      <w:r w:rsidR="009007DC">
        <w:t xml:space="preserve"> </w:t>
      </w:r>
    </w:p>
    <w:p w14:paraId="696D19B4" w14:textId="77777777" w:rsidR="00FD073D" w:rsidRDefault="00FD073D" w:rsidP="00FD073D"/>
    <w:p w14:paraId="19801052" w14:textId="578F1978" w:rsidR="00FD073D" w:rsidRDefault="00FD073D" w:rsidP="00BC2DAF">
      <w:pPr>
        <w:pStyle w:val="ListParagraph"/>
        <w:numPr>
          <w:ilvl w:val="0"/>
          <w:numId w:val="31"/>
        </w:numPr>
      </w:pPr>
      <w:r>
        <w:t>Taning, C. N. T., Arpaia, S., Christiaens, O., Dietz-</w:t>
      </w:r>
      <w:proofErr w:type="spellStart"/>
      <w:r>
        <w:t>Pfeilstetter</w:t>
      </w:r>
      <w:proofErr w:type="spellEnd"/>
      <w:r>
        <w:t xml:space="preserve">, A., Jones, H., Mezzetti, B., ... &amp; </w:t>
      </w:r>
      <w:proofErr w:type="spellStart"/>
      <w:r>
        <w:t>Smagghe</w:t>
      </w:r>
      <w:proofErr w:type="spellEnd"/>
      <w:r>
        <w:t xml:space="preserve">, G. (2020). RNA-based biocontrol compounds: Current status and perspectives to reach the market. Pest Management Science, 76(3), 841-845. </w:t>
      </w:r>
      <w:hyperlink r:id="rId170" w:history="1">
        <w:r w:rsidR="009007DC" w:rsidRPr="00271B5D">
          <w:rPr>
            <w:rStyle w:val="Hyperlink"/>
          </w:rPr>
          <w:t>https://doi.org/10.1002/ps.5686</w:t>
        </w:r>
      </w:hyperlink>
      <w:r w:rsidR="009007DC">
        <w:t xml:space="preserve"> </w:t>
      </w:r>
    </w:p>
    <w:p w14:paraId="60FECBEA" w14:textId="77777777" w:rsidR="00FD073D" w:rsidRDefault="00FD073D" w:rsidP="00FD073D"/>
    <w:p w14:paraId="29E1BDB4" w14:textId="22DFDAAD" w:rsidR="00FD073D" w:rsidRDefault="00FD073D" w:rsidP="00BC2DAF">
      <w:pPr>
        <w:pStyle w:val="ListParagraph"/>
        <w:numPr>
          <w:ilvl w:val="0"/>
          <w:numId w:val="31"/>
        </w:numPr>
      </w:pPr>
      <w:r>
        <w:t xml:space="preserve">Terenius, O., Papanicolaou, A., Garbutt, J. S., </w:t>
      </w:r>
      <w:proofErr w:type="spellStart"/>
      <w:r>
        <w:t>Eleftherianos</w:t>
      </w:r>
      <w:proofErr w:type="spellEnd"/>
      <w:r>
        <w:t xml:space="preserve">, I., </w:t>
      </w:r>
      <w:proofErr w:type="spellStart"/>
      <w:r>
        <w:t>Huvenne</w:t>
      </w:r>
      <w:proofErr w:type="spellEnd"/>
      <w:r>
        <w:t xml:space="preserve">, H., </w:t>
      </w:r>
      <w:proofErr w:type="spellStart"/>
      <w:r>
        <w:t>Kanginakudru</w:t>
      </w:r>
      <w:proofErr w:type="spellEnd"/>
      <w:r>
        <w:t xml:space="preserve">, S., ... &amp; </w:t>
      </w:r>
      <w:proofErr w:type="spellStart"/>
      <w:r>
        <w:t>Swevers</w:t>
      </w:r>
      <w:proofErr w:type="spellEnd"/>
      <w:r>
        <w:t xml:space="preserve">, L. (2011). RNA interference in Lepidoptera: An overview of successful and unsuccessful studies and implications for experimental design. Journal of Insect Physiology, 57(2), 231-245. </w:t>
      </w:r>
      <w:hyperlink r:id="rId171" w:history="1">
        <w:r w:rsidR="009007DC" w:rsidRPr="00271B5D">
          <w:rPr>
            <w:rStyle w:val="Hyperlink"/>
          </w:rPr>
          <w:t>https://doi.org/10.1016/j.jinsphys.2010.11.006</w:t>
        </w:r>
      </w:hyperlink>
      <w:r w:rsidR="009007DC">
        <w:t xml:space="preserve"> </w:t>
      </w:r>
    </w:p>
    <w:p w14:paraId="585DB0FA" w14:textId="77777777" w:rsidR="00FD073D" w:rsidRDefault="00FD073D" w:rsidP="00FD073D"/>
    <w:p w14:paraId="1D5B4143" w14:textId="1F36B5BF" w:rsidR="00FD073D" w:rsidRDefault="00FD073D" w:rsidP="00BC2DAF">
      <w:pPr>
        <w:pStyle w:val="ListParagraph"/>
        <w:numPr>
          <w:ilvl w:val="0"/>
          <w:numId w:val="31"/>
        </w:numPr>
      </w:pPr>
      <w:r>
        <w:t xml:space="preserve">Tripathi, D. K., Singh, S., Singh, S., Pandey, R., Singh, V. P., Sharma, N. C., ... &amp; Chauhan, D. K. (2017). An overview on manufactured nanoparticles in plants: Uptake, translocation, accumulation and phytotoxicity. Plant Physiology and Biochemistry, 110, 2-12. </w:t>
      </w:r>
      <w:hyperlink r:id="rId172" w:history="1">
        <w:r w:rsidR="009007DC" w:rsidRPr="00271B5D">
          <w:rPr>
            <w:rStyle w:val="Hyperlink"/>
          </w:rPr>
          <w:t>https://doi.org/10.1016/j.plaphy.2016.07.030</w:t>
        </w:r>
      </w:hyperlink>
      <w:r w:rsidR="009007DC">
        <w:t xml:space="preserve"> </w:t>
      </w:r>
    </w:p>
    <w:p w14:paraId="50E36408" w14:textId="77777777" w:rsidR="00FD073D" w:rsidRDefault="00FD073D" w:rsidP="00FD073D"/>
    <w:p w14:paraId="05270887" w14:textId="77777777" w:rsidR="00FD073D" w:rsidRDefault="00FD073D" w:rsidP="00FD073D"/>
    <w:p w14:paraId="457ED29F" w14:textId="588880B7" w:rsidR="00FD073D" w:rsidRDefault="00FD073D" w:rsidP="00BC2DAF">
      <w:pPr>
        <w:pStyle w:val="ListParagraph"/>
        <w:numPr>
          <w:ilvl w:val="0"/>
          <w:numId w:val="31"/>
        </w:numPr>
      </w:pPr>
      <w:r>
        <w:t xml:space="preserve">Usendi, V. O., Ochieng, J., Mathenge, M., &amp; Smale, M. (2020). Determinants of rice consumption and marketing preferences in Kenya. Journal of Agriculture and Rural Development in the Tropics and Subtropics, 121(2), 223-233. </w:t>
      </w:r>
      <w:hyperlink r:id="rId173" w:history="1">
        <w:r w:rsidR="009007DC" w:rsidRPr="00271B5D">
          <w:rPr>
            <w:rStyle w:val="Hyperlink"/>
          </w:rPr>
          <w:t>https://doi.org/10.17170/kobra-202010131907</w:t>
        </w:r>
      </w:hyperlink>
      <w:r w:rsidR="009007DC">
        <w:t xml:space="preserve"> </w:t>
      </w:r>
    </w:p>
    <w:p w14:paraId="2D6304B7" w14:textId="77777777" w:rsidR="00FD073D" w:rsidRDefault="00FD073D" w:rsidP="00FD073D"/>
    <w:p w14:paraId="4AB8A9FC" w14:textId="706FA84A" w:rsidR="00FD073D" w:rsidRDefault="00FD073D" w:rsidP="00BC2DAF">
      <w:pPr>
        <w:pStyle w:val="ListParagraph"/>
        <w:numPr>
          <w:ilvl w:val="0"/>
          <w:numId w:val="31"/>
        </w:numPr>
      </w:pPr>
      <w:r>
        <w:lastRenderedPageBreak/>
        <w:t xml:space="preserve">Van der Ploeg, M. J., </w:t>
      </w:r>
      <w:proofErr w:type="spellStart"/>
      <w:r>
        <w:t>Baveco</w:t>
      </w:r>
      <w:proofErr w:type="spellEnd"/>
      <w:r>
        <w:t xml:space="preserve">, J. M., Van der Hout, A., Bakker, R., </w:t>
      </w:r>
      <w:proofErr w:type="spellStart"/>
      <w:r>
        <w:t>Rietjens</w:t>
      </w:r>
      <w:proofErr w:type="spellEnd"/>
      <w:r>
        <w:t>, I. M., &amp; Van den Brink, N. W. (2011). Effects of C60 nanoparticle exposure on earthworms (</w:t>
      </w:r>
      <w:proofErr w:type="spellStart"/>
      <w:r>
        <w:t>Lumbricus</w:t>
      </w:r>
      <w:proofErr w:type="spellEnd"/>
      <w:r>
        <w:t xml:space="preserve"> </w:t>
      </w:r>
      <w:proofErr w:type="spellStart"/>
      <w:r>
        <w:t>rubellus</w:t>
      </w:r>
      <w:proofErr w:type="spellEnd"/>
      <w:r>
        <w:t xml:space="preserve">) and implications for population dynamics. Environmental Pollution, 159(1), 198-203. </w:t>
      </w:r>
      <w:hyperlink r:id="rId174" w:history="1">
        <w:r w:rsidR="009007DC" w:rsidRPr="00271B5D">
          <w:rPr>
            <w:rStyle w:val="Hyperlink"/>
          </w:rPr>
          <w:t>https://doi.org/10.1016/j.envpol.2010.09.003</w:t>
        </w:r>
      </w:hyperlink>
      <w:r w:rsidR="009007DC">
        <w:t xml:space="preserve"> </w:t>
      </w:r>
    </w:p>
    <w:p w14:paraId="295E09A8" w14:textId="77777777" w:rsidR="00FD073D" w:rsidRDefault="00FD073D" w:rsidP="00FD073D"/>
    <w:p w14:paraId="17A53518" w14:textId="7D74AFBC" w:rsidR="00FD073D" w:rsidRDefault="00FD073D" w:rsidP="00BC2DAF">
      <w:pPr>
        <w:pStyle w:val="ListParagraph"/>
        <w:numPr>
          <w:ilvl w:val="0"/>
          <w:numId w:val="31"/>
        </w:numPr>
      </w:pPr>
      <w:r>
        <w:t xml:space="preserve">Vance, M. E., Kuiken, T., </w:t>
      </w:r>
      <w:proofErr w:type="spellStart"/>
      <w:r>
        <w:t>Vejerano</w:t>
      </w:r>
      <w:proofErr w:type="spellEnd"/>
      <w:r>
        <w:t xml:space="preserve">, E. P., McGinnis, S. P., </w:t>
      </w:r>
      <w:proofErr w:type="spellStart"/>
      <w:r>
        <w:t>Hochella</w:t>
      </w:r>
      <w:proofErr w:type="spellEnd"/>
      <w:r>
        <w:t xml:space="preserve">, M. F., Rejeski, D., &amp; Hull, M. S. (2015). Nanotechnology in the real world: Redeveloping the nanomaterial consumer products inventory. Beilstein Journal of Nanotechnology, 6, 1769-1780. </w:t>
      </w:r>
      <w:hyperlink r:id="rId175" w:history="1">
        <w:r w:rsidR="009007DC" w:rsidRPr="00271B5D">
          <w:rPr>
            <w:rStyle w:val="Hyperlink"/>
          </w:rPr>
          <w:t>https://doi.org/10.3762/bjnano.6.181</w:t>
        </w:r>
      </w:hyperlink>
      <w:r w:rsidR="009007DC">
        <w:t xml:space="preserve"> </w:t>
      </w:r>
    </w:p>
    <w:p w14:paraId="37F2A300" w14:textId="77777777" w:rsidR="00FD073D" w:rsidRDefault="00FD073D" w:rsidP="00FD073D"/>
    <w:p w14:paraId="72640333" w14:textId="13779DD8" w:rsidR="00FD073D" w:rsidRDefault="00FD073D" w:rsidP="00BC2DAF">
      <w:pPr>
        <w:pStyle w:val="ListParagraph"/>
        <w:numPr>
          <w:ilvl w:val="0"/>
          <w:numId w:val="31"/>
        </w:numPr>
      </w:pPr>
      <w:r>
        <w:t xml:space="preserve">Wang, Z., Xie, X., Zhao, J., Liu, X., Feng, W., White, J. C., &amp; Xing, B. (2012). Xylem- and phloem-based transport of </w:t>
      </w:r>
      <w:proofErr w:type="spellStart"/>
      <w:r>
        <w:t>CuO</w:t>
      </w:r>
      <w:proofErr w:type="spellEnd"/>
      <w:r>
        <w:t xml:space="preserve"> nanoparticles in maize (Zea mays L.). Environmental Science &amp; Technology, 46(8), 4434-4441. </w:t>
      </w:r>
      <w:hyperlink r:id="rId176" w:history="1">
        <w:r w:rsidR="009007DC" w:rsidRPr="00271B5D">
          <w:rPr>
            <w:rStyle w:val="Hyperlink"/>
          </w:rPr>
          <w:t>https://doi.org/10.1021/es204212z</w:t>
        </w:r>
      </w:hyperlink>
      <w:r w:rsidR="009007DC">
        <w:t xml:space="preserve"> </w:t>
      </w:r>
    </w:p>
    <w:p w14:paraId="5C3D82E6" w14:textId="77777777" w:rsidR="00FD073D" w:rsidRDefault="00FD073D" w:rsidP="00FD073D"/>
    <w:p w14:paraId="3ED38912" w14:textId="3941F6E8" w:rsidR="00FD073D" w:rsidRDefault="00FD073D" w:rsidP="00BC2DAF">
      <w:pPr>
        <w:pStyle w:val="ListParagraph"/>
        <w:numPr>
          <w:ilvl w:val="0"/>
          <w:numId w:val="31"/>
        </w:numPr>
      </w:pPr>
      <w:r>
        <w:t xml:space="preserve">Whitley, A. R., </w:t>
      </w:r>
      <w:proofErr w:type="spellStart"/>
      <w:r>
        <w:t>Levard</w:t>
      </w:r>
      <w:proofErr w:type="spellEnd"/>
      <w:r>
        <w:t xml:space="preserve">, C., Oostveen, E., Bertsch, P. M., Matocha, C. J., von der Kammer, F., &amp; </w:t>
      </w:r>
      <w:proofErr w:type="spellStart"/>
      <w:r>
        <w:t>Unrine</w:t>
      </w:r>
      <w:proofErr w:type="spellEnd"/>
      <w:r>
        <w:t xml:space="preserve">, J. M. (2013). Behavior of Ag nanoparticles in soil: Effects of particle surface coating, aging and sewage sludge amendment. Environmental Pollution, 182, 141-149. </w:t>
      </w:r>
      <w:hyperlink r:id="rId177" w:history="1">
        <w:r w:rsidR="009007DC" w:rsidRPr="00271B5D">
          <w:rPr>
            <w:rStyle w:val="Hyperlink"/>
          </w:rPr>
          <w:t>https://doi.org/10.1016/j.envpol.2013.06.027</w:t>
        </w:r>
      </w:hyperlink>
      <w:r w:rsidR="009007DC">
        <w:t xml:space="preserve"> </w:t>
      </w:r>
    </w:p>
    <w:p w14:paraId="00D8F349" w14:textId="77777777" w:rsidR="00FD073D" w:rsidRDefault="00FD073D" w:rsidP="00FD073D"/>
    <w:p w14:paraId="3330B615" w14:textId="4B3CF8D4" w:rsidR="00FD073D" w:rsidRDefault="00FD073D" w:rsidP="00BC2DAF">
      <w:pPr>
        <w:pStyle w:val="ListParagraph"/>
        <w:numPr>
          <w:ilvl w:val="0"/>
          <w:numId w:val="31"/>
        </w:numPr>
      </w:pPr>
      <w:r>
        <w:t xml:space="preserve">Worrall, E. A., Hamid, A., Mody, K. T., Mitter, N., &amp; Pappu, H. R. (2018). Nanotechnology for plant disease management. Agronomy, 8(12), 285. </w:t>
      </w:r>
      <w:hyperlink r:id="rId178" w:history="1">
        <w:r w:rsidR="008A517F" w:rsidRPr="00271B5D">
          <w:rPr>
            <w:rStyle w:val="Hyperlink"/>
          </w:rPr>
          <w:t>https://doi.org/10.3390/agronomy8120285</w:t>
        </w:r>
      </w:hyperlink>
      <w:r w:rsidR="008A517F">
        <w:t xml:space="preserve"> </w:t>
      </w:r>
    </w:p>
    <w:p w14:paraId="6EC6194F" w14:textId="77777777" w:rsidR="00FD073D" w:rsidRDefault="00FD073D" w:rsidP="00FD073D"/>
    <w:p w14:paraId="40C5CD72" w14:textId="22A969AA" w:rsidR="00FD073D" w:rsidRDefault="00FD073D" w:rsidP="00BC2DAF">
      <w:pPr>
        <w:pStyle w:val="ListParagraph"/>
        <w:numPr>
          <w:ilvl w:val="0"/>
          <w:numId w:val="31"/>
        </w:numPr>
      </w:pPr>
      <w:r>
        <w:t xml:space="preserve">Xie, Y., He, Y., Irwin, P. L., Jin, T., &amp; Shi, X. (2011). Antibacterial activity and mechanism of action of zinc oxide nanoparticles against Campylobacter </w:t>
      </w:r>
      <w:proofErr w:type="spellStart"/>
      <w:r>
        <w:t>jejuni</w:t>
      </w:r>
      <w:proofErr w:type="spellEnd"/>
      <w:r>
        <w:t xml:space="preserve">. Applied and Environmental Microbiology, 77(7), 2325-2331. </w:t>
      </w:r>
      <w:hyperlink r:id="rId179" w:history="1">
        <w:r w:rsidR="008A517F" w:rsidRPr="00271B5D">
          <w:rPr>
            <w:rStyle w:val="Hyperlink"/>
          </w:rPr>
          <w:t>https://doi.org/10.1128/AEM.02149-10</w:t>
        </w:r>
      </w:hyperlink>
      <w:r w:rsidR="008A517F">
        <w:t xml:space="preserve"> </w:t>
      </w:r>
    </w:p>
    <w:p w14:paraId="7F675345" w14:textId="77777777" w:rsidR="00FD073D" w:rsidRDefault="00FD073D" w:rsidP="00FD073D"/>
    <w:p w14:paraId="39F27B7F" w14:textId="3125CB9F" w:rsidR="00FD073D" w:rsidRDefault="00FD073D" w:rsidP="00BC2DAF">
      <w:pPr>
        <w:pStyle w:val="ListParagraph"/>
        <w:numPr>
          <w:ilvl w:val="0"/>
          <w:numId w:val="31"/>
        </w:numPr>
      </w:pPr>
      <w:r>
        <w:t xml:space="preserve">Xiu, Z. M., Zhang, Q. B., Puppala, H. L., Colvin, V. L., &amp; Alvarez, P. J. (2012). Negligible particle-specific antibacterial activity of silver nanoparticles. Nano Letters, 12(8), 4271-4275. </w:t>
      </w:r>
      <w:hyperlink r:id="rId180" w:history="1">
        <w:r w:rsidR="008A517F" w:rsidRPr="00271B5D">
          <w:rPr>
            <w:rStyle w:val="Hyperlink"/>
          </w:rPr>
          <w:t>https://doi.org/10.1021/nl301934w</w:t>
        </w:r>
      </w:hyperlink>
      <w:r w:rsidR="008A517F">
        <w:t xml:space="preserve"> </w:t>
      </w:r>
    </w:p>
    <w:p w14:paraId="05F869F5" w14:textId="77777777" w:rsidR="00FD073D" w:rsidRDefault="00FD073D" w:rsidP="00FD073D"/>
    <w:p w14:paraId="260596F9" w14:textId="3291C775" w:rsidR="00FD073D" w:rsidRDefault="00FD073D" w:rsidP="00BC2DAF">
      <w:pPr>
        <w:pStyle w:val="ListParagraph"/>
        <w:numPr>
          <w:ilvl w:val="0"/>
          <w:numId w:val="31"/>
        </w:numPr>
      </w:pPr>
      <w:r>
        <w:t xml:space="preserve">Yan, S., Ren, B., &amp; Zeng, B. (2020). Delivery of dsRNA via layered double hydroxide nanoparticles for pest control. Pest Management Science, 76(8), 2623-2629. </w:t>
      </w:r>
      <w:hyperlink r:id="rId181" w:history="1">
        <w:r w:rsidR="008A517F" w:rsidRPr="00271B5D">
          <w:rPr>
            <w:rStyle w:val="Hyperlink"/>
          </w:rPr>
          <w:t>https://doi.org/10.1002/ps.5803</w:t>
        </w:r>
      </w:hyperlink>
      <w:r w:rsidR="008A517F">
        <w:t xml:space="preserve"> </w:t>
      </w:r>
    </w:p>
    <w:p w14:paraId="3F7DA66C" w14:textId="77777777" w:rsidR="00FD073D" w:rsidRDefault="00FD073D" w:rsidP="00FD073D"/>
    <w:p w14:paraId="52666083" w14:textId="29BBD43A" w:rsidR="00FD073D" w:rsidRDefault="00FD073D" w:rsidP="00BC2DAF">
      <w:pPr>
        <w:pStyle w:val="ListParagraph"/>
        <w:numPr>
          <w:ilvl w:val="0"/>
          <w:numId w:val="31"/>
        </w:numPr>
      </w:pPr>
      <w:r>
        <w:t xml:space="preserve">Yan, Y., Huang, Z., Ding, M., Gong, M., &amp; Liu, J. (2018). Layered double hydroxide-based herbicide nanohybrids with improved slow-release performance. Journal of Agricultural and Food Chemistry, 66(41), 10851-10858. </w:t>
      </w:r>
      <w:hyperlink r:id="rId182" w:history="1">
        <w:r w:rsidR="008A517F" w:rsidRPr="00271B5D">
          <w:rPr>
            <w:rStyle w:val="Hyperlink"/>
          </w:rPr>
          <w:t>https://doi.org/10.1021/acs.jafc.8b04137</w:t>
        </w:r>
      </w:hyperlink>
      <w:r w:rsidR="008A517F">
        <w:t xml:space="preserve"> </w:t>
      </w:r>
    </w:p>
    <w:p w14:paraId="3C917548" w14:textId="77777777" w:rsidR="00FD073D" w:rsidRDefault="00FD073D" w:rsidP="00FD073D"/>
    <w:p w14:paraId="334D1004" w14:textId="18F55DD4" w:rsidR="00FD073D" w:rsidRDefault="00FD073D" w:rsidP="00BC2DAF">
      <w:pPr>
        <w:pStyle w:val="ListParagraph"/>
        <w:numPr>
          <w:ilvl w:val="0"/>
          <w:numId w:val="31"/>
        </w:numPr>
      </w:pPr>
      <w:r>
        <w:t xml:space="preserve">Zaller, J. G., Cantelmo, C., Dos Santos, G., Muther, S., Gruber, E., </w:t>
      </w:r>
      <w:proofErr w:type="spellStart"/>
      <w:r>
        <w:t>Pallua</w:t>
      </w:r>
      <w:proofErr w:type="spellEnd"/>
      <w:r>
        <w:t xml:space="preserve">, P., ... &amp; Ehling-Schulz, M. (2014). Herbicides in vineyards reduce grapevine root mycorrhization and alter soil microorganisms and the nutrient composition in grapevine roots, leaves, xylem sap and grape juice. Environmental Science and Pollution Research, 21(2), 1816-1825. </w:t>
      </w:r>
      <w:hyperlink r:id="rId183" w:history="1">
        <w:r w:rsidR="008A517F" w:rsidRPr="00271B5D">
          <w:rPr>
            <w:rStyle w:val="Hyperlink"/>
          </w:rPr>
          <w:t>https://doi.org/10.1007/s11356-013-2073-y</w:t>
        </w:r>
      </w:hyperlink>
      <w:r w:rsidR="008A517F">
        <w:t xml:space="preserve"> </w:t>
      </w:r>
    </w:p>
    <w:p w14:paraId="2E6C4085" w14:textId="77777777" w:rsidR="00FD073D" w:rsidRDefault="00FD073D" w:rsidP="00FD073D"/>
    <w:p w14:paraId="09F40AB5" w14:textId="4F4A2A2E" w:rsidR="00FD073D" w:rsidRDefault="00FD073D" w:rsidP="00BC2DAF">
      <w:pPr>
        <w:pStyle w:val="ListParagraph"/>
        <w:numPr>
          <w:ilvl w:val="0"/>
          <w:numId w:val="31"/>
        </w:numPr>
      </w:pPr>
      <w:r>
        <w:t xml:space="preserve">Zha, W., Peng, X., Chen, R., Du, B., Zhu, L., &amp; He, G. (2011). Knockdown of midgut genes by dsRNA-transgenic plant-mediated RNA interference in the hemipteran insect </w:t>
      </w:r>
      <w:proofErr w:type="spellStart"/>
      <w:r w:rsidR="0005531A" w:rsidRPr="00BC2DAF">
        <w:rPr>
          <w:i/>
          <w:iCs/>
        </w:rPr>
        <w:t>Nilaparvata</w:t>
      </w:r>
      <w:proofErr w:type="spellEnd"/>
      <w:r w:rsidR="0005531A" w:rsidRPr="00BC2DAF">
        <w:rPr>
          <w:i/>
          <w:iCs/>
        </w:rPr>
        <w:t xml:space="preserve"> </w:t>
      </w:r>
      <w:proofErr w:type="spellStart"/>
      <w:r w:rsidR="0005531A" w:rsidRPr="00BC2DAF">
        <w:rPr>
          <w:i/>
          <w:iCs/>
        </w:rPr>
        <w:t>lugens</w:t>
      </w:r>
      <w:proofErr w:type="spellEnd"/>
      <w:r>
        <w:t xml:space="preserve">. </w:t>
      </w:r>
      <w:proofErr w:type="spellStart"/>
      <w:r>
        <w:t>PLoS</w:t>
      </w:r>
      <w:proofErr w:type="spellEnd"/>
      <w:r>
        <w:t xml:space="preserve"> ONE, 6(5), e20504. </w:t>
      </w:r>
      <w:hyperlink r:id="rId184" w:history="1">
        <w:r w:rsidR="00193AD8" w:rsidRPr="00271B5D">
          <w:rPr>
            <w:rStyle w:val="Hyperlink"/>
          </w:rPr>
          <w:t>https://doi.org/10.1371/journal.pone.0020504</w:t>
        </w:r>
      </w:hyperlink>
      <w:r w:rsidR="00193AD8">
        <w:t xml:space="preserve"> </w:t>
      </w:r>
    </w:p>
    <w:p w14:paraId="724B73CE" w14:textId="77777777" w:rsidR="00FD073D" w:rsidRDefault="00FD073D" w:rsidP="00FD073D"/>
    <w:p w14:paraId="53A68C90" w14:textId="7A52DC20" w:rsidR="00FD073D" w:rsidRDefault="00FD073D" w:rsidP="00BC2DAF">
      <w:pPr>
        <w:pStyle w:val="ListParagraph"/>
        <w:numPr>
          <w:ilvl w:val="0"/>
          <w:numId w:val="31"/>
        </w:numPr>
      </w:pPr>
      <w:r>
        <w:t xml:space="preserve">Zhang, J., Khan, S. A., Hasse, C., Ruf, S., Heckel, D. G., &amp; Bock, R. (2015). Full crop protection from an insect pest by expression of long double-stranded RNAs in plastids. Science, 347(6225), 991-994. </w:t>
      </w:r>
      <w:hyperlink r:id="rId185" w:history="1">
        <w:r w:rsidR="008A517F" w:rsidRPr="00271B5D">
          <w:rPr>
            <w:rStyle w:val="Hyperlink"/>
          </w:rPr>
          <w:t>https://doi.org/10.1126/science.1261680</w:t>
        </w:r>
      </w:hyperlink>
      <w:r w:rsidR="008A517F">
        <w:t xml:space="preserve"> </w:t>
      </w:r>
    </w:p>
    <w:p w14:paraId="09502EC0" w14:textId="77777777" w:rsidR="00FD073D" w:rsidRDefault="00FD073D" w:rsidP="00FD073D"/>
    <w:p w14:paraId="641E299B" w14:textId="0EA77C72" w:rsidR="00FD073D" w:rsidRDefault="00FD073D" w:rsidP="00BC2DAF">
      <w:pPr>
        <w:pStyle w:val="ListParagraph"/>
        <w:numPr>
          <w:ilvl w:val="0"/>
          <w:numId w:val="31"/>
        </w:numPr>
      </w:pPr>
      <w:r>
        <w:t xml:space="preserve">Zhang, X., Mysore, K., Flannery, E., Michel, K., Severson, D. W., Zhu, K. Y., &amp; Duman-Scheel, M. (2015). Chitosan/interfering RNA nanoparticle mediated gene silencing in disease vector mosquito larvae. Journal of Visualized Experiments, (97), e52523. </w:t>
      </w:r>
      <w:hyperlink r:id="rId186" w:history="1">
        <w:r w:rsidR="008A517F" w:rsidRPr="00271B5D">
          <w:rPr>
            <w:rStyle w:val="Hyperlink"/>
          </w:rPr>
          <w:t>https://doi.org/10.3791/52523</w:t>
        </w:r>
      </w:hyperlink>
      <w:r w:rsidR="008A517F">
        <w:t xml:space="preserve"> </w:t>
      </w:r>
    </w:p>
    <w:p w14:paraId="742EFF70" w14:textId="77777777" w:rsidR="00FD073D" w:rsidRDefault="00FD073D" w:rsidP="00FD073D"/>
    <w:p w14:paraId="4A0A6D9D" w14:textId="7A6E6CED" w:rsidR="00FD073D" w:rsidRDefault="00FD073D" w:rsidP="00BC2DAF">
      <w:pPr>
        <w:pStyle w:val="ListParagraph"/>
        <w:numPr>
          <w:ilvl w:val="0"/>
          <w:numId w:val="31"/>
        </w:numPr>
      </w:pPr>
      <w:r>
        <w:t xml:space="preserve">Zhang, Y., Chen, Y., Westerhoff, P., &amp; Crittenden, J. (2009). Impact of natural organic matter and divalent cations on the stability of aqueous nanoparticles. Water Research, 43(17), 4249-4257. </w:t>
      </w:r>
      <w:hyperlink r:id="rId187" w:history="1">
        <w:r w:rsidR="008A517F" w:rsidRPr="00271B5D">
          <w:rPr>
            <w:rStyle w:val="Hyperlink"/>
          </w:rPr>
          <w:t>https://doi.org/10.1016/j.watres.2009.06.005</w:t>
        </w:r>
      </w:hyperlink>
      <w:r w:rsidR="008A517F">
        <w:t xml:space="preserve"> </w:t>
      </w:r>
    </w:p>
    <w:p w14:paraId="0D1BF8AE" w14:textId="77777777" w:rsidR="00FD073D" w:rsidRDefault="00FD073D" w:rsidP="00FD073D"/>
    <w:p w14:paraId="051FDA1F" w14:textId="69C3B26F" w:rsidR="00FD073D" w:rsidRDefault="00FD073D" w:rsidP="00BC2DAF">
      <w:pPr>
        <w:pStyle w:val="ListParagraph"/>
        <w:numPr>
          <w:ilvl w:val="0"/>
          <w:numId w:val="31"/>
        </w:numPr>
      </w:pPr>
      <w:r>
        <w:t xml:space="preserve">Zhang, Y., Yan, Y., Zhao, X., Zhou, N., &amp; Huang, Z. (2018). Chitosan-based delivery systems for RNAi in pest management. Carbohydrate Polymers, 197, 606-614. </w:t>
      </w:r>
      <w:hyperlink r:id="rId188" w:history="1">
        <w:r w:rsidR="008A517F" w:rsidRPr="00271B5D">
          <w:rPr>
            <w:rStyle w:val="Hyperlink"/>
          </w:rPr>
          <w:t>https://doi.org/10.1016/j.carbpol.2018.06.038</w:t>
        </w:r>
      </w:hyperlink>
      <w:r w:rsidR="008A517F">
        <w:t xml:space="preserve"> </w:t>
      </w:r>
    </w:p>
    <w:p w14:paraId="57A6F8AB" w14:textId="569BCED9" w:rsidR="00FD073D" w:rsidRDefault="00FD073D" w:rsidP="00BC2DAF">
      <w:pPr>
        <w:ind w:firstLine="60"/>
      </w:pPr>
    </w:p>
    <w:p w14:paraId="3B9E9AE1" w14:textId="0E51CEDF" w:rsidR="00FD073D" w:rsidRDefault="00FD073D" w:rsidP="00BC2DAF">
      <w:pPr>
        <w:pStyle w:val="ListParagraph"/>
        <w:numPr>
          <w:ilvl w:val="0"/>
          <w:numId w:val="31"/>
        </w:numPr>
      </w:pPr>
      <w:r>
        <w:t xml:space="preserve">Zhao, C. M., &amp; Wang, W. X. (2012). Importance of surface coatings and soluble silver in silver nanoparticles toxicity to Daphnia magna. Nanotoxicology, 6(4), 361-370. </w:t>
      </w:r>
      <w:hyperlink r:id="rId189" w:history="1">
        <w:r w:rsidRPr="00271B5D">
          <w:rPr>
            <w:rStyle w:val="Hyperlink"/>
          </w:rPr>
          <w:t>https://doi.org/10.3109/17435390.2011.579632</w:t>
        </w:r>
      </w:hyperlink>
      <w:r>
        <w:t xml:space="preserve"> </w:t>
      </w:r>
    </w:p>
    <w:p w14:paraId="4EA86CA6" w14:textId="77777777" w:rsidR="00FD073D" w:rsidRDefault="00FD073D" w:rsidP="00FD073D"/>
    <w:p w14:paraId="2E5CFE03" w14:textId="13A23B2B" w:rsidR="00FD073D" w:rsidRDefault="00FD073D" w:rsidP="00BC2DAF">
      <w:pPr>
        <w:pStyle w:val="ListParagraph"/>
        <w:numPr>
          <w:ilvl w:val="0"/>
          <w:numId w:val="31"/>
        </w:numPr>
      </w:pPr>
      <w:r>
        <w:t xml:space="preserve">Zhao, L., Peralta-Videa, J. R., Ren, M., Varela-Ramirez, A., Li, C., Hernandez-Viezcas, J. A., ... &amp; </w:t>
      </w:r>
      <w:proofErr w:type="spellStart"/>
      <w:r>
        <w:t>Gardea-Torresdey</w:t>
      </w:r>
      <w:proofErr w:type="spellEnd"/>
      <w:r>
        <w:t xml:space="preserve">, J. L. (2012). Transport of Zn in a sandy loam soil treated with </w:t>
      </w:r>
      <w:proofErr w:type="spellStart"/>
      <w:r>
        <w:t>ZnO</w:t>
      </w:r>
      <w:proofErr w:type="spellEnd"/>
      <w:r>
        <w:t xml:space="preserve"> NPs and uptake by corn plants: Electron microprobe and confocal microscopy studies. Chemical Engineering Journal, 184, 1-8. </w:t>
      </w:r>
      <w:hyperlink r:id="rId190" w:history="1">
        <w:r w:rsidRPr="00271B5D">
          <w:rPr>
            <w:rStyle w:val="Hyperlink"/>
          </w:rPr>
          <w:t>https://doi.org/10.1016/j.cej.2012.01.041</w:t>
        </w:r>
      </w:hyperlink>
      <w:r>
        <w:t xml:space="preserve"> </w:t>
      </w:r>
    </w:p>
    <w:p w14:paraId="40898D89" w14:textId="77777777" w:rsidR="00FD073D" w:rsidRDefault="00FD073D" w:rsidP="00FD073D"/>
    <w:p w14:paraId="78078F71" w14:textId="082FC28E" w:rsidR="00FD073D" w:rsidRDefault="00FD073D" w:rsidP="00BC2DAF">
      <w:pPr>
        <w:pStyle w:val="ListParagraph"/>
        <w:numPr>
          <w:ilvl w:val="0"/>
          <w:numId w:val="31"/>
        </w:numPr>
      </w:pPr>
      <w:r>
        <w:t xml:space="preserve">Zhao, L., Sun, Y., Hernandez-Viezcas, J. A., Servin, A. D., Hong, J., Niu, G., ... &amp; </w:t>
      </w:r>
      <w:proofErr w:type="spellStart"/>
      <w:r>
        <w:t>Gardea-Torresdey</w:t>
      </w:r>
      <w:proofErr w:type="spellEnd"/>
      <w:r>
        <w:t xml:space="preserve">, J. L. (2013). Influence of </w:t>
      </w:r>
      <w:proofErr w:type="spellStart"/>
      <w:r>
        <w:t>CeO</w:t>
      </w:r>
      <w:proofErr w:type="spellEnd"/>
      <w:r w:rsidRPr="00BC2DAF">
        <w:rPr>
          <w:rFonts w:ascii="Cambria Math" w:hAnsi="Cambria Math" w:cs="Cambria Math"/>
        </w:rPr>
        <w:t>₂</w:t>
      </w:r>
      <w:r>
        <w:t xml:space="preserve"> and </w:t>
      </w:r>
      <w:proofErr w:type="spellStart"/>
      <w:r>
        <w:t>ZnO</w:t>
      </w:r>
      <w:proofErr w:type="spellEnd"/>
      <w:r>
        <w:t xml:space="preserve"> nanoparticles on cucumber physiological markers and bioaccumulation of Ce and Zn: A life cycle study. Journal of Agricultural and Food Chemistry, 61(49), 11945-11951. </w:t>
      </w:r>
      <w:hyperlink r:id="rId191" w:history="1">
        <w:r w:rsidRPr="00271B5D">
          <w:rPr>
            <w:rStyle w:val="Hyperlink"/>
          </w:rPr>
          <w:t>https://doi.org/10.1021/jf404328e</w:t>
        </w:r>
      </w:hyperlink>
      <w:r>
        <w:t xml:space="preserve"> </w:t>
      </w:r>
    </w:p>
    <w:p w14:paraId="5516D79D" w14:textId="77777777" w:rsidR="00FD073D" w:rsidRDefault="00FD073D" w:rsidP="00FD073D"/>
    <w:p w14:paraId="685A7BB9" w14:textId="4BEA1AE7" w:rsidR="00FD073D" w:rsidRDefault="00FD073D" w:rsidP="00BC2DAF">
      <w:pPr>
        <w:pStyle w:val="ListParagraph"/>
        <w:numPr>
          <w:ilvl w:val="0"/>
          <w:numId w:val="31"/>
        </w:numPr>
      </w:pPr>
      <w:r>
        <w:t xml:space="preserve">Zhao, X., Cui, H., Wang, Y., Sun, C., Cui, B., &amp; Zeng, Z. (2018). Development strategies and prospects of nano-based smart pesticide formulation. Journal of Agricultural and Food Chemistry, 66(26), 6504-6512. </w:t>
      </w:r>
      <w:hyperlink r:id="rId192" w:history="1">
        <w:r w:rsidRPr="00271B5D">
          <w:rPr>
            <w:rStyle w:val="Hyperlink"/>
          </w:rPr>
          <w:t>https://doi.org/10.1021/acs.jafc.7b02004</w:t>
        </w:r>
      </w:hyperlink>
      <w:r>
        <w:t xml:space="preserve"> </w:t>
      </w:r>
    </w:p>
    <w:p w14:paraId="7249524E" w14:textId="77777777" w:rsidR="00FD073D" w:rsidRDefault="00FD073D" w:rsidP="00FD073D"/>
    <w:p w14:paraId="01E75BF9" w14:textId="7A4AD7A2" w:rsidR="00FD073D" w:rsidRDefault="00FD073D" w:rsidP="00BC2DAF">
      <w:pPr>
        <w:pStyle w:val="ListParagraph"/>
        <w:numPr>
          <w:ilvl w:val="0"/>
          <w:numId w:val="31"/>
        </w:numPr>
      </w:pPr>
      <w:r>
        <w:t xml:space="preserve">Zhao, Y., Zhang, Y., Yan, Y., Huang, Z., Zhang, Y., &amp; Zhou, N. (2024). pH-responsive pesticide-loaded hollow mesoporous silica nanoparticles with </w:t>
      </w:r>
      <w:proofErr w:type="spellStart"/>
      <w:r>
        <w:t>ZnO</w:t>
      </w:r>
      <w:proofErr w:type="spellEnd"/>
      <w:r>
        <w:t xml:space="preserve"> quantum dots as a gatekeeper for control of rice blast disease. Materials, 17(6), 1344. </w:t>
      </w:r>
      <w:hyperlink r:id="rId193" w:history="1">
        <w:r w:rsidRPr="00271B5D">
          <w:rPr>
            <w:rStyle w:val="Hyperlink"/>
          </w:rPr>
          <w:t>https://doi.org/10.3390/ma17061344</w:t>
        </w:r>
      </w:hyperlink>
      <w:r>
        <w:t xml:space="preserve"> </w:t>
      </w:r>
    </w:p>
    <w:p w14:paraId="23C006A6" w14:textId="77777777" w:rsidR="00FD073D" w:rsidRDefault="00FD073D" w:rsidP="00FD073D"/>
    <w:p w14:paraId="18CBC1B6" w14:textId="0A0C812C" w:rsidR="00FD073D" w:rsidRDefault="00FD073D" w:rsidP="00BC2DAF">
      <w:pPr>
        <w:pStyle w:val="ListParagraph"/>
        <w:numPr>
          <w:ilvl w:val="0"/>
          <w:numId w:val="31"/>
        </w:numPr>
      </w:pPr>
      <w:r>
        <w:t xml:space="preserve">Zhao, X., Meng, Z., Wang, Y., Chen, W., Sun, C., Cui, B., ... &amp; Zeng, Z. (2020). Pollen </w:t>
      </w:r>
      <w:proofErr w:type="spellStart"/>
      <w:r>
        <w:t>magnetofection</w:t>
      </w:r>
      <w:proofErr w:type="spellEnd"/>
      <w:r>
        <w:t xml:space="preserve"> for genetic modification with magnetic nanoparticles as gene carriers. Nature Plants, 3(12), 956-964. </w:t>
      </w:r>
      <w:hyperlink r:id="rId194" w:history="1">
        <w:r w:rsidRPr="00271B5D">
          <w:rPr>
            <w:rStyle w:val="Hyperlink"/>
          </w:rPr>
          <w:t>https://doi.org/10.1038/nplants.2017.145</w:t>
        </w:r>
      </w:hyperlink>
      <w:r>
        <w:t xml:space="preserve"> </w:t>
      </w:r>
    </w:p>
    <w:p w14:paraId="5BD31E76" w14:textId="77777777" w:rsidR="00FD073D" w:rsidRDefault="00FD073D" w:rsidP="00FD073D"/>
    <w:p w14:paraId="4D446950" w14:textId="34B346BC" w:rsidR="00FD073D" w:rsidRDefault="00FD073D" w:rsidP="00BC2DAF">
      <w:pPr>
        <w:pStyle w:val="ListParagraph"/>
        <w:numPr>
          <w:ilvl w:val="0"/>
          <w:numId w:val="31"/>
        </w:numPr>
      </w:pPr>
      <w:r>
        <w:t xml:space="preserve">Zhu, F., Xu, J., Palli, R., Ferguson, J., &amp; Palli, S. R. (2011). Ingested RNA interference for managing the populations of the Colorado potato beetle, </w:t>
      </w:r>
      <w:proofErr w:type="spellStart"/>
      <w:r>
        <w:t>Leptinotarsa</w:t>
      </w:r>
      <w:proofErr w:type="spellEnd"/>
      <w:r>
        <w:t xml:space="preserve"> </w:t>
      </w:r>
      <w:proofErr w:type="spellStart"/>
      <w:r>
        <w:t>decemlineata</w:t>
      </w:r>
      <w:proofErr w:type="spellEnd"/>
      <w:r>
        <w:t xml:space="preserve">. Pest Management Science, 67(2), 175-182. </w:t>
      </w:r>
      <w:hyperlink r:id="rId195" w:history="1">
        <w:r w:rsidRPr="00271B5D">
          <w:rPr>
            <w:rStyle w:val="Hyperlink"/>
          </w:rPr>
          <w:t>https://doi.org/10.1002/ps.2048</w:t>
        </w:r>
      </w:hyperlink>
      <w:r>
        <w:t xml:space="preserve"> </w:t>
      </w:r>
    </w:p>
    <w:p w14:paraId="5488F0BC" w14:textId="77777777" w:rsidR="00FD073D" w:rsidRDefault="00FD073D" w:rsidP="00FD073D"/>
    <w:p w14:paraId="248851DD" w14:textId="0DF6C544" w:rsidR="00FD073D" w:rsidRDefault="00FD073D" w:rsidP="00BC2DAF">
      <w:pPr>
        <w:pStyle w:val="ListParagraph"/>
        <w:numPr>
          <w:ilvl w:val="0"/>
          <w:numId w:val="31"/>
        </w:numPr>
      </w:pPr>
      <w:r>
        <w:t xml:space="preserve">Zhu, X., Zhu, L., Duan, Z., Qi, R., Li, Y., &amp; Lang, Y. (2008). Comparative toxicity of several metal oxide nanoparticle aqueous suspensions to zebrafish (Danio rerio) early developmental stage. Journal of Environmental Science and Health, Part A, 43(3), 278-284. </w:t>
      </w:r>
      <w:hyperlink r:id="rId196" w:history="1">
        <w:r w:rsidRPr="00271B5D">
          <w:rPr>
            <w:rStyle w:val="Hyperlink"/>
          </w:rPr>
          <w:t>https://doi.org/10.1080/10934520701792779</w:t>
        </w:r>
      </w:hyperlink>
      <w:r>
        <w:t xml:space="preserve"> </w:t>
      </w:r>
    </w:p>
    <w:p w14:paraId="1CB93E8A" w14:textId="77777777" w:rsidR="00FD073D" w:rsidRDefault="00FD073D" w:rsidP="00FD073D"/>
    <w:p w14:paraId="09A0F0E7" w14:textId="3E7045A6" w:rsidR="00FD073D" w:rsidRDefault="00FD073D" w:rsidP="00BC2DAF">
      <w:pPr>
        <w:pStyle w:val="ListParagraph"/>
        <w:numPr>
          <w:ilvl w:val="0"/>
          <w:numId w:val="31"/>
        </w:numPr>
      </w:pPr>
      <w:r>
        <w:t xml:space="preserve">Zhu, X., Wang, J., Zhang, X., Chang, Y., &amp; Chen, Y. (2010). Trophic transfer of </w:t>
      </w:r>
      <w:proofErr w:type="spellStart"/>
      <w:r>
        <w:t>TiO</w:t>
      </w:r>
      <w:proofErr w:type="spellEnd"/>
      <w:r w:rsidRPr="00BC2DAF">
        <w:rPr>
          <w:rFonts w:ascii="Cambria Math" w:hAnsi="Cambria Math" w:cs="Cambria Math"/>
        </w:rPr>
        <w:t>₂</w:t>
      </w:r>
      <w:r>
        <w:t xml:space="preserve"> nanoparticles from daphnia to zebrafish in a simplified freshwater food chain. Chemosphere, 79(9), 928-933. </w:t>
      </w:r>
      <w:hyperlink r:id="rId197" w:history="1">
        <w:r w:rsidRPr="00271B5D">
          <w:rPr>
            <w:rStyle w:val="Hyperlink"/>
          </w:rPr>
          <w:t>https://doi.org/10.1016/j.chemosphere.2010.03.022</w:t>
        </w:r>
      </w:hyperlink>
      <w:r>
        <w:t xml:space="preserve"> </w:t>
      </w:r>
    </w:p>
    <w:p w14:paraId="7E468D4E" w14:textId="77777777" w:rsidR="00FD073D" w:rsidRDefault="00FD073D" w:rsidP="00FD073D"/>
    <w:p w14:paraId="2F519CCA" w14:textId="41270081" w:rsidR="00FD073D" w:rsidRPr="00FD073D" w:rsidRDefault="00FD073D" w:rsidP="00BC2DAF">
      <w:pPr>
        <w:pStyle w:val="ListParagraph"/>
        <w:numPr>
          <w:ilvl w:val="0"/>
          <w:numId w:val="31"/>
        </w:numPr>
      </w:pPr>
      <w:r>
        <w:t xml:space="preserve">Zotti, M., &amp; </w:t>
      </w:r>
      <w:proofErr w:type="spellStart"/>
      <w:r>
        <w:t>Smagghe</w:t>
      </w:r>
      <w:proofErr w:type="spellEnd"/>
      <w:r>
        <w:t xml:space="preserve">, G. (2015). RNAi technology for insect management and protection of beneficial insects from diseases: Lessons, challenges and risk assessments. Neotropical Entomology, 44(3), 197-213. </w:t>
      </w:r>
      <w:hyperlink r:id="rId198" w:history="1">
        <w:r w:rsidRPr="00271B5D">
          <w:rPr>
            <w:rStyle w:val="Hyperlink"/>
          </w:rPr>
          <w:t>https://doi.org/10.1007/s13744-015-0291-8</w:t>
        </w:r>
      </w:hyperlink>
      <w:r>
        <w:t xml:space="preserve"> </w:t>
      </w:r>
    </w:p>
    <w:sectPr w:rsidR="00FD073D" w:rsidRPr="00FD073D" w:rsidSect="00B27072">
      <w:headerReference w:type="even" r:id="rId199"/>
      <w:headerReference w:type="default" r:id="rId200"/>
      <w:footerReference w:type="even" r:id="rId201"/>
      <w:footerReference w:type="default" r:id="rId202"/>
      <w:headerReference w:type="first" r:id="rId203"/>
      <w:footerReference w:type="first" r:id="rId20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66A04" w14:textId="77777777" w:rsidR="00E57E07" w:rsidRDefault="00E57E07" w:rsidP="00C37E61">
      <w:r>
        <w:separator/>
      </w:r>
    </w:p>
  </w:endnote>
  <w:endnote w:type="continuationSeparator" w:id="0">
    <w:p w14:paraId="441525A5" w14:textId="77777777" w:rsidR="00E57E07" w:rsidRDefault="00E57E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EA703" w14:textId="77777777" w:rsidR="00BC2DAF" w:rsidRDefault="00BC2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1E17" w14:textId="77777777" w:rsidR="00BC2DAF" w:rsidRPr="00C37E61" w:rsidRDefault="00BC2DA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D500" w14:textId="77777777" w:rsidR="00BC2DAF" w:rsidRDefault="00BC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77B4" w14:textId="77777777" w:rsidR="00E57E07" w:rsidRDefault="00E57E07" w:rsidP="00C37E61">
      <w:r>
        <w:separator/>
      </w:r>
    </w:p>
  </w:footnote>
  <w:footnote w:type="continuationSeparator" w:id="0">
    <w:p w14:paraId="5CA88702" w14:textId="77777777" w:rsidR="00E57E07" w:rsidRDefault="00E57E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6CF8" w14:textId="1F642C2B" w:rsidR="00BC2DAF" w:rsidRDefault="00E57E07">
    <w:pPr>
      <w:pStyle w:val="Header"/>
    </w:pPr>
    <w:r>
      <w:rPr>
        <w:noProof/>
      </w:rPr>
      <w:pict w14:anchorId="2445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9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A057" w14:textId="7AEE41B1" w:rsidR="00BC2DAF" w:rsidRDefault="00E57E07">
    <w:pPr>
      <w:pStyle w:val="Header"/>
    </w:pPr>
    <w:r>
      <w:rPr>
        <w:noProof/>
      </w:rPr>
      <w:pict w14:anchorId="192D5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9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BED6" w14:textId="1109DB46" w:rsidR="00BC2DAF" w:rsidRDefault="00E57E07">
    <w:pPr>
      <w:pStyle w:val="Header"/>
    </w:pPr>
    <w:r>
      <w:rPr>
        <w:noProof/>
      </w:rPr>
      <w:pict w14:anchorId="13C1E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99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2149A6"/>
    <w:multiLevelType w:val="hybridMultilevel"/>
    <w:tmpl w:val="52668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DDD"/>
    <w:rsid w:val="0004579C"/>
    <w:rsid w:val="0005509E"/>
    <w:rsid w:val="0005531A"/>
    <w:rsid w:val="000A47FA"/>
    <w:rsid w:val="000A65D3"/>
    <w:rsid w:val="000B1E33"/>
    <w:rsid w:val="000D689F"/>
    <w:rsid w:val="000E7B7B"/>
    <w:rsid w:val="000E7D62"/>
    <w:rsid w:val="00103357"/>
    <w:rsid w:val="00121261"/>
    <w:rsid w:val="00123C9F"/>
    <w:rsid w:val="00126190"/>
    <w:rsid w:val="0012628A"/>
    <w:rsid w:val="00130F17"/>
    <w:rsid w:val="00130F86"/>
    <w:rsid w:val="001320BF"/>
    <w:rsid w:val="00134F21"/>
    <w:rsid w:val="00141945"/>
    <w:rsid w:val="00163BC4"/>
    <w:rsid w:val="00186ABE"/>
    <w:rsid w:val="00187CC7"/>
    <w:rsid w:val="00191062"/>
    <w:rsid w:val="00192B72"/>
    <w:rsid w:val="00193AD8"/>
    <w:rsid w:val="001A29D8"/>
    <w:rsid w:val="001A5CAA"/>
    <w:rsid w:val="001B0427"/>
    <w:rsid w:val="001D3A51"/>
    <w:rsid w:val="001E0B6B"/>
    <w:rsid w:val="001E10D2"/>
    <w:rsid w:val="001E25B4"/>
    <w:rsid w:val="001E44FE"/>
    <w:rsid w:val="00200595"/>
    <w:rsid w:val="00204835"/>
    <w:rsid w:val="00225BC1"/>
    <w:rsid w:val="00231920"/>
    <w:rsid w:val="0023195C"/>
    <w:rsid w:val="0024282C"/>
    <w:rsid w:val="002460DC"/>
    <w:rsid w:val="00250985"/>
    <w:rsid w:val="002556F6"/>
    <w:rsid w:val="00275FDF"/>
    <w:rsid w:val="00283105"/>
    <w:rsid w:val="00284C4C"/>
    <w:rsid w:val="00287E68"/>
    <w:rsid w:val="00296529"/>
    <w:rsid w:val="002B27FB"/>
    <w:rsid w:val="002B64F8"/>
    <w:rsid w:val="002B685A"/>
    <w:rsid w:val="002C57D2"/>
    <w:rsid w:val="002E0D56"/>
    <w:rsid w:val="002E278C"/>
    <w:rsid w:val="00315186"/>
    <w:rsid w:val="0032597F"/>
    <w:rsid w:val="0033343E"/>
    <w:rsid w:val="00343E0A"/>
    <w:rsid w:val="003512C2"/>
    <w:rsid w:val="00371FB6"/>
    <w:rsid w:val="003763C1"/>
    <w:rsid w:val="00376BBE"/>
    <w:rsid w:val="0039224F"/>
    <w:rsid w:val="003A43A4"/>
    <w:rsid w:val="003A7E18"/>
    <w:rsid w:val="003C103D"/>
    <w:rsid w:val="003C4C86"/>
    <w:rsid w:val="003C6258"/>
    <w:rsid w:val="003E2904"/>
    <w:rsid w:val="003E5501"/>
    <w:rsid w:val="003F761E"/>
    <w:rsid w:val="00401927"/>
    <w:rsid w:val="0041027F"/>
    <w:rsid w:val="00412475"/>
    <w:rsid w:val="00423789"/>
    <w:rsid w:val="00440F43"/>
    <w:rsid w:val="00441B6F"/>
    <w:rsid w:val="00446221"/>
    <w:rsid w:val="00450E62"/>
    <w:rsid w:val="00451DBF"/>
    <w:rsid w:val="004539DB"/>
    <w:rsid w:val="0045747D"/>
    <w:rsid w:val="00471A80"/>
    <w:rsid w:val="004D305E"/>
    <w:rsid w:val="004D4277"/>
    <w:rsid w:val="00502516"/>
    <w:rsid w:val="00505F06"/>
    <w:rsid w:val="00506828"/>
    <w:rsid w:val="0053056E"/>
    <w:rsid w:val="00554FDA"/>
    <w:rsid w:val="005967DE"/>
    <w:rsid w:val="005A2A79"/>
    <w:rsid w:val="005C37DA"/>
    <w:rsid w:val="005C784C"/>
    <w:rsid w:val="005D17F6"/>
    <w:rsid w:val="005E2918"/>
    <w:rsid w:val="005E5539"/>
    <w:rsid w:val="00602BF5"/>
    <w:rsid w:val="00617FDD"/>
    <w:rsid w:val="00633614"/>
    <w:rsid w:val="00633F68"/>
    <w:rsid w:val="00636EB2"/>
    <w:rsid w:val="006375B8"/>
    <w:rsid w:val="00655A31"/>
    <w:rsid w:val="0066510A"/>
    <w:rsid w:val="00671E5E"/>
    <w:rsid w:val="00673F9F"/>
    <w:rsid w:val="00676ADF"/>
    <w:rsid w:val="00686953"/>
    <w:rsid w:val="00687DEA"/>
    <w:rsid w:val="00687E67"/>
    <w:rsid w:val="006967F7"/>
    <w:rsid w:val="006A250C"/>
    <w:rsid w:val="006B21D3"/>
    <w:rsid w:val="006B57D0"/>
    <w:rsid w:val="006D30FF"/>
    <w:rsid w:val="006D6940"/>
    <w:rsid w:val="006E2E6E"/>
    <w:rsid w:val="006E61CF"/>
    <w:rsid w:val="006F11EC"/>
    <w:rsid w:val="0070082C"/>
    <w:rsid w:val="00735AEE"/>
    <w:rsid w:val="007369E6"/>
    <w:rsid w:val="00746E59"/>
    <w:rsid w:val="00754C9A"/>
    <w:rsid w:val="0075599A"/>
    <w:rsid w:val="00761D52"/>
    <w:rsid w:val="0077749E"/>
    <w:rsid w:val="00785EE9"/>
    <w:rsid w:val="00790ADA"/>
    <w:rsid w:val="007B0D69"/>
    <w:rsid w:val="007C4797"/>
    <w:rsid w:val="007D2288"/>
    <w:rsid w:val="007D53AA"/>
    <w:rsid w:val="007E088F"/>
    <w:rsid w:val="007F7B32"/>
    <w:rsid w:val="00802CF6"/>
    <w:rsid w:val="00804BC2"/>
    <w:rsid w:val="0081431A"/>
    <w:rsid w:val="0083216F"/>
    <w:rsid w:val="0084071C"/>
    <w:rsid w:val="00860000"/>
    <w:rsid w:val="00863BD3"/>
    <w:rsid w:val="00863CA1"/>
    <w:rsid w:val="008641ED"/>
    <w:rsid w:val="00866D66"/>
    <w:rsid w:val="008671C6"/>
    <w:rsid w:val="00875803"/>
    <w:rsid w:val="008A517F"/>
    <w:rsid w:val="008B2912"/>
    <w:rsid w:val="008B459E"/>
    <w:rsid w:val="008C774B"/>
    <w:rsid w:val="008E13AE"/>
    <w:rsid w:val="008E1506"/>
    <w:rsid w:val="008E276F"/>
    <w:rsid w:val="008E710C"/>
    <w:rsid w:val="008F69D6"/>
    <w:rsid w:val="009007DC"/>
    <w:rsid w:val="00900DAD"/>
    <w:rsid w:val="00902823"/>
    <w:rsid w:val="00915CA6"/>
    <w:rsid w:val="00925455"/>
    <w:rsid w:val="00927834"/>
    <w:rsid w:val="009500A6"/>
    <w:rsid w:val="00957C18"/>
    <w:rsid w:val="009628B6"/>
    <w:rsid w:val="009659BA"/>
    <w:rsid w:val="00983040"/>
    <w:rsid w:val="009B3FB9"/>
    <w:rsid w:val="009C19BC"/>
    <w:rsid w:val="009C2465"/>
    <w:rsid w:val="009C3929"/>
    <w:rsid w:val="009D35A0"/>
    <w:rsid w:val="009D7EB7"/>
    <w:rsid w:val="009E048A"/>
    <w:rsid w:val="009E08E9"/>
    <w:rsid w:val="009E3DB9"/>
    <w:rsid w:val="009E6E35"/>
    <w:rsid w:val="009F0EDA"/>
    <w:rsid w:val="00A03B96"/>
    <w:rsid w:val="00A05B19"/>
    <w:rsid w:val="00A109B7"/>
    <w:rsid w:val="00A1134E"/>
    <w:rsid w:val="00A24E7E"/>
    <w:rsid w:val="00A258C3"/>
    <w:rsid w:val="00A347C0"/>
    <w:rsid w:val="00A51431"/>
    <w:rsid w:val="00A539AD"/>
    <w:rsid w:val="00A94063"/>
    <w:rsid w:val="00AA1667"/>
    <w:rsid w:val="00AA6219"/>
    <w:rsid w:val="00AA74E0"/>
    <w:rsid w:val="00AB703F"/>
    <w:rsid w:val="00AB7226"/>
    <w:rsid w:val="00AC46BA"/>
    <w:rsid w:val="00AC6BB8"/>
    <w:rsid w:val="00AE008F"/>
    <w:rsid w:val="00B01FCD"/>
    <w:rsid w:val="00B1776C"/>
    <w:rsid w:val="00B27072"/>
    <w:rsid w:val="00B52583"/>
    <w:rsid w:val="00B52896"/>
    <w:rsid w:val="00B8291F"/>
    <w:rsid w:val="00B95236"/>
    <w:rsid w:val="00B96BD9"/>
    <w:rsid w:val="00BA1B01"/>
    <w:rsid w:val="00BA2641"/>
    <w:rsid w:val="00BB37AA"/>
    <w:rsid w:val="00BC2DAF"/>
    <w:rsid w:val="00BC53A0"/>
    <w:rsid w:val="00BC5983"/>
    <w:rsid w:val="00BE62AD"/>
    <w:rsid w:val="00BF121F"/>
    <w:rsid w:val="00BF1F80"/>
    <w:rsid w:val="00BF7AA8"/>
    <w:rsid w:val="00C166EF"/>
    <w:rsid w:val="00C17EB0"/>
    <w:rsid w:val="00C23390"/>
    <w:rsid w:val="00C23E1D"/>
    <w:rsid w:val="00C27F5F"/>
    <w:rsid w:val="00C30A0F"/>
    <w:rsid w:val="00C37E61"/>
    <w:rsid w:val="00C67177"/>
    <w:rsid w:val="00C70F1B"/>
    <w:rsid w:val="00C71A47"/>
    <w:rsid w:val="00C7464C"/>
    <w:rsid w:val="00C85588"/>
    <w:rsid w:val="00CD6755"/>
    <w:rsid w:val="00CD6856"/>
    <w:rsid w:val="00CE0089"/>
    <w:rsid w:val="00CE6425"/>
    <w:rsid w:val="00CE793C"/>
    <w:rsid w:val="00CF193C"/>
    <w:rsid w:val="00D173F1"/>
    <w:rsid w:val="00D34E75"/>
    <w:rsid w:val="00D377ED"/>
    <w:rsid w:val="00D74CB0"/>
    <w:rsid w:val="00D8295D"/>
    <w:rsid w:val="00DC2A65"/>
    <w:rsid w:val="00DD2FE6"/>
    <w:rsid w:val="00DE15F0"/>
    <w:rsid w:val="00DE5663"/>
    <w:rsid w:val="00DE78AA"/>
    <w:rsid w:val="00E053D0"/>
    <w:rsid w:val="00E12E39"/>
    <w:rsid w:val="00E15994"/>
    <w:rsid w:val="00E216F3"/>
    <w:rsid w:val="00E3114E"/>
    <w:rsid w:val="00E31A70"/>
    <w:rsid w:val="00E35B02"/>
    <w:rsid w:val="00E57E07"/>
    <w:rsid w:val="00E66496"/>
    <w:rsid w:val="00E66B35"/>
    <w:rsid w:val="00E66E10"/>
    <w:rsid w:val="00E734B8"/>
    <w:rsid w:val="00E769F6"/>
    <w:rsid w:val="00E8407C"/>
    <w:rsid w:val="00E84F3C"/>
    <w:rsid w:val="00E95405"/>
    <w:rsid w:val="00EA012C"/>
    <w:rsid w:val="00EB2CF6"/>
    <w:rsid w:val="00EC6A55"/>
    <w:rsid w:val="00ED0288"/>
    <w:rsid w:val="00EE52CB"/>
    <w:rsid w:val="00EF581D"/>
    <w:rsid w:val="00EF7FD8"/>
    <w:rsid w:val="00F06F59"/>
    <w:rsid w:val="00F17988"/>
    <w:rsid w:val="00F179F0"/>
    <w:rsid w:val="00F469F0"/>
    <w:rsid w:val="00F53273"/>
    <w:rsid w:val="00F755E4"/>
    <w:rsid w:val="00F77D02"/>
    <w:rsid w:val="00F83DA4"/>
    <w:rsid w:val="00FA1FB7"/>
    <w:rsid w:val="00FA5818"/>
    <w:rsid w:val="00FB3A86"/>
    <w:rsid w:val="00FC63B2"/>
    <w:rsid w:val="00FC78C6"/>
    <w:rsid w:val="00FD073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CFC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D07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2339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71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79F0"/>
    <w:pPr>
      <w:ind w:left="720"/>
      <w:contextualSpacing/>
    </w:pPr>
  </w:style>
  <w:style w:type="character" w:customStyle="1" w:styleId="Heading3Char">
    <w:name w:val="Heading 3 Char"/>
    <w:basedOn w:val="DefaultParagraphFont"/>
    <w:link w:val="Heading3"/>
    <w:semiHidden/>
    <w:rsid w:val="00C2339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671E5E"/>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FD073D"/>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D073D"/>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FD073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ecoenv.2014.05.009" TargetMode="External"/><Relationship Id="rId21" Type="http://schemas.openxmlformats.org/officeDocument/2006/relationships/hyperlink" Target="https://doi.org/10.3390/agronomy9080451" TargetMode="External"/><Relationship Id="rId42" Type="http://schemas.openxmlformats.org/officeDocument/2006/relationships/hyperlink" Target="https://doi.org/10.1080/10643389.2013.829767" TargetMode="External"/><Relationship Id="rId63" Type="http://schemas.openxmlformats.org/officeDocument/2006/relationships/hyperlink" Target="https://doi.org/10.1128/AEM.00941-12" TargetMode="External"/><Relationship Id="rId84" Type="http://schemas.openxmlformats.org/officeDocument/2006/relationships/hyperlink" Target="https://doi.org/10.1080/10643389.2012.671750" TargetMode="External"/><Relationship Id="rId138" Type="http://schemas.openxmlformats.org/officeDocument/2006/relationships/hyperlink" Target="https://doi.org/10.1007/s00253-019-10334-y" TargetMode="External"/><Relationship Id="rId159" Type="http://schemas.openxmlformats.org/officeDocument/2006/relationships/hyperlink" Target="https://doi.org/10.1007/s11356-015-4171-x" TargetMode="External"/><Relationship Id="rId170" Type="http://schemas.openxmlformats.org/officeDocument/2006/relationships/hyperlink" Target="https://doi.org/10.1002/ps.5686" TargetMode="External"/><Relationship Id="rId191" Type="http://schemas.openxmlformats.org/officeDocument/2006/relationships/hyperlink" Target="https://doi.org/10.1021/jf404328e" TargetMode="External"/><Relationship Id="rId205" Type="http://schemas.openxmlformats.org/officeDocument/2006/relationships/fontTable" Target="fontTable.xml"/><Relationship Id="rId107" Type="http://schemas.openxmlformats.org/officeDocument/2006/relationships/hyperlink" Target="https://doi.org/10.1021/nn300934k" TargetMode="External"/><Relationship Id="rId11" Type="http://schemas.openxmlformats.org/officeDocument/2006/relationships/image" Target="media/image4.png"/><Relationship Id="rId32" Type="http://schemas.openxmlformats.org/officeDocument/2006/relationships/hyperlink" Target="https://doi.org/10.1021/acs.jafc.5b06093" TargetMode="External"/><Relationship Id="rId53" Type="http://schemas.openxmlformats.org/officeDocument/2006/relationships/hyperlink" Target="https://doi.org/10.1016/j.nano.2015.11.016" TargetMode="External"/><Relationship Id="rId74" Type="http://schemas.openxmlformats.org/officeDocument/2006/relationships/hyperlink" Target="https://doi.org/10.1111/ppa.12443" TargetMode="External"/><Relationship Id="rId128" Type="http://schemas.openxmlformats.org/officeDocument/2006/relationships/hyperlink" Target="https://doi.org/10.1021/nn4034794" TargetMode="External"/><Relationship Id="rId149" Type="http://schemas.openxmlformats.org/officeDocument/2006/relationships/hyperlink" Target="https://doi.org/10.1016/j.ijbiomac.2015.01.027" TargetMode="External"/><Relationship Id="rId5" Type="http://schemas.openxmlformats.org/officeDocument/2006/relationships/webSettings" Target="webSettings.xml"/><Relationship Id="rId95" Type="http://schemas.openxmlformats.org/officeDocument/2006/relationships/hyperlink" Target="https://doi.org/10.4172/2155-6202.1000188" TargetMode="External"/><Relationship Id="rId160" Type="http://schemas.openxmlformats.org/officeDocument/2006/relationships/hyperlink" Target="https://doi.org/10.1016/j.btre.2020.e00427" TargetMode="External"/><Relationship Id="rId181" Type="http://schemas.openxmlformats.org/officeDocument/2006/relationships/hyperlink" Target="https://doi.org/10.1002/ps.5803" TargetMode="External"/><Relationship Id="rId22" Type="http://schemas.openxmlformats.org/officeDocument/2006/relationships/hyperlink" Target="https://doi.org/10.1007/s42729-023-01450-7" TargetMode="External"/><Relationship Id="rId43" Type="http://schemas.openxmlformats.org/officeDocument/2006/relationships/hyperlink" Target="https://doi.org/10.1016/j.jconrel.2012.01.043" TargetMode="External"/><Relationship Id="rId64" Type="http://schemas.openxmlformats.org/officeDocument/2006/relationships/hyperlink" Target="https://doi.org/10.1016/j.biotechadv.2011.06.007" TargetMode="External"/><Relationship Id="rId118" Type="http://schemas.openxmlformats.org/officeDocument/2006/relationships/hyperlink" Target="https://doi.org/10.1016/j.chemosphere.2014.09.031" TargetMode="External"/><Relationship Id="rId139" Type="http://schemas.openxmlformats.org/officeDocument/2006/relationships/hyperlink" Target="https://doi.org/10.1021/acs.jafc.7b02178" TargetMode="External"/><Relationship Id="rId85" Type="http://schemas.openxmlformats.org/officeDocument/2006/relationships/hyperlink" Target="https://doi.org/10.1038/s41565-018-0131-1" TargetMode="External"/><Relationship Id="rId150" Type="http://schemas.openxmlformats.org/officeDocument/2006/relationships/hyperlink" Target="https://doi.org/10.1016/j.chemosphere.2013.10.051" TargetMode="External"/><Relationship Id="rId171" Type="http://schemas.openxmlformats.org/officeDocument/2006/relationships/hyperlink" Target="https://doi.org/10.1016/j.jinsphys.2010.11.006" TargetMode="External"/><Relationship Id="rId192" Type="http://schemas.openxmlformats.org/officeDocument/2006/relationships/hyperlink" Target="https://doi.org/10.1021/acs.jafc.7b02004" TargetMode="External"/><Relationship Id="rId206" Type="http://schemas.openxmlformats.org/officeDocument/2006/relationships/theme" Target="theme/theme1.xml"/><Relationship Id="rId12" Type="http://schemas.openxmlformats.org/officeDocument/2006/relationships/image" Target="media/image5.png"/><Relationship Id="rId33" Type="http://schemas.openxmlformats.org/officeDocument/2006/relationships/hyperlink" Target="https://doi.org/10.1111/imb.12222" TargetMode="External"/><Relationship Id="rId108" Type="http://schemas.openxmlformats.org/officeDocument/2006/relationships/hyperlink" Target="https://doi.org/10.1016/j.ibmb.2010.06.007" TargetMode="External"/><Relationship Id="rId129" Type="http://schemas.openxmlformats.org/officeDocument/2006/relationships/hyperlink" Target="https://doi.org/10.1080/21691401.2018.1557671" TargetMode="External"/><Relationship Id="rId54" Type="http://schemas.openxmlformats.org/officeDocument/2006/relationships/hyperlink" Target="https://doi.org/10.54083/pha/1.3.2023/123-129" TargetMode="External"/><Relationship Id="rId75" Type="http://schemas.openxmlformats.org/officeDocument/2006/relationships/hyperlink" Target="https://doi.org/10.1039/C1GC15386B" TargetMode="External"/><Relationship Id="rId96" Type="http://schemas.openxmlformats.org/officeDocument/2006/relationships/hyperlink" Target="https://doi.org/10.1016/j.colsurfb.2009.09.001" TargetMode="External"/><Relationship Id="rId140" Type="http://schemas.openxmlformats.org/officeDocument/2006/relationships/hyperlink" Target="https://doi.org/10.1021/acs.jafc.5b05224" TargetMode="External"/><Relationship Id="rId161" Type="http://schemas.openxmlformats.org/officeDocument/2006/relationships/hyperlink" Target="https://doi.org/10.1146/annurev-phyto-020620-114752" TargetMode="External"/><Relationship Id="rId182" Type="http://schemas.openxmlformats.org/officeDocument/2006/relationships/hyperlink" Target="https://doi.org/10.1021/acs.jafc.8b04137" TargetMode="External"/><Relationship Id="rId6" Type="http://schemas.openxmlformats.org/officeDocument/2006/relationships/footnotes" Target="footnotes.xml"/><Relationship Id="rId23" Type="http://schemas.openxmlformats.org/officeDocument/2006/relationships/hyperlink" Target="https://doi.org/10.2147/IJN.S35347" TargetMode="External"/><Relationship Id="rId119" Type="http://schemas.openxmlformats.org/officeDocument/2006/relationships/hyperlink" Target="https://doi.org/10.1371/journal.pone.0097881" TargetMode="External"/><Relationship Id="rId44" Type="http://schemas.openxmlformats.org/officeDocument/2006/relationships/hyperlink" Target="https://doi.org/10.1021/acsami.5b05232" TargetMode="External"/><Relationship Id="rId65" Type="http://schemas.openxmlformats.org/officeDocument/2006/relationships/hyperlink" Target="https://doi.org/10.1166/jnn.2016.12332" TargetMode="External"/><Relationship Id="rId86" Type="http://schemas.openxmlformats.org/officeDocument/2006/relationships/hyperlink" Target="https://doi.org/10.1016/j.matlet.2013.10.011" TargetMode="External"/><Relationship Id="rId130" Type="http://schemas.openxmlformats.org/officeDocument/2006/relationships/hyperlink" Target="https://doi.org/10.3389/fmicb.2020.588326" TargetMode="External"/><Relationship Id="rId151" Type="http://schemas.openxmlformats.org/officeDocument/2006/relationships/hyperlink" Target="https://doi.org/10.1038/s41559-018-0793-y" TargetMode="External"/><Relationship Id="rId172" Type="http://schemas.openxmlformats.org/officeDocument/2006/relationships/hyperlink" Target="https://doi.org/10.1016/j.plaphy.2016.07.030" TargetMode="External"/><Relationship Id="rId193" Type="http://schemas.openxmlformats.org/officeDocument/2006/relationships/hyperlink" Target="https://doi.org/10.3390/ma17061344" TargetMode="External"/><Relationship Id="rId13" Type="http://schemas.openxmlformats.org/officeDocument/2006/relationships/hyperlink" Target="https://doi.org/10.3390/molecules25204795" TargetMode="External"/><Relationship Id="rId109" Type="http://schemas.openxmlformats.org/officeDocument/2006/relationships/hyperlink" Target="https://doi.org/10.1021/es300839e" TargetMode="External"/><Relationship Id="rId34" Type="http://schemas.openxmlformats.org/officeDocument/2006/relationships/hyperlink" Target="https://doi.org/10.1007/s11356-014-3277-x" TargetMode="External"/><Relationship Id="rId55" Type="http://schemas.openxmlformats.org/officeDocument/2006/relationships/hyperlink" Target="https://doi.org/10.2903/j.efsa.2018.5327" TargetMode="External"/><Relationship Id="rId76" Type="http://schemas.openxmlformats.org/officeDocument/2006/relationships/hyperlink" Target="https://doi.org/10.1186/s12915-016-0309-7" TargetMode="External"/><Relationship Id="rId97" Type="http://schemas.openxmlformats.org/officeDocument/2006/relationships/hyperlink" Target="https://doi.org/10.1016/j.jsps.2014.11.013" TargetMode="External"/><Relationship Id="rId120" Type="http://schemas.openxmlformats.org/officeDocument/2006/relationships/hyperlink" Target="https://doi.org/10.1038/nplants.2016.207" TargetMode="External"/><Relationship Id="rId141" Type="http://schemas.openxmlformats.org/officeDocument/2006/relationships/hyperlink" Target="https://doi.org/10.1016/B978-0-12-816897-4.00026-7" TargetMode="External"/><Relationship Id="rId7" Type="http://schemas.openxmlformats.org/officeDocument/2006/relationships/endnotes" Target="endnotes.xml"/><Relationship Id="rId162" Type="http://schemas.openxmlformats.org/officeDocument/2006/relationships/hyperlink" Target="https://doi.org/10.1007/s40820-015-0040-x" TargetMode="External"/><Relationship Id="rId183" Type="http://schemas.openxmlformats.org/officeDocument/2006/relationships/hyperlink" Target="https://doi.org/10.1007/s11356-013-2073-y" TargetMode="External"/><Relationship Id="rId24" Type="http://schemas.openxmlformats.org/officeDocument/2006/relationships/hyperlink" Target="https://doi.org/10.3389/fpls.2016.02001" TargetMode="External"/><Relationship Id="rId40" Type="http://schemas.openxmlformats.org/officeDocument/2006/relationships/hyperlink" Target="https://doi.org/10.1094/PDIS-06-23-1112-FE" TargetMode="External"/><Relationship Id="rId45" Type="http://schemas.openxmlformats.org/officeDocument/2006/relationships/hyperlink" Target="https://doi.org/10.1007/s13205-019-2040-9" TargetMode="External"/><Relationship Id="rId66" Type="http://schemas.openxmlformats.org/officeDocument/2006/relationships/hyperlink" Target="https://doi.org/10.1016/j.jhazmat.2012.06.019" TargetMode="External"/><Relationship Id="rId87" Type="http://schemas.openxmlformats.org/officeDocument/2006/relationships/hyperlink" Target="https://doi.org/10.1016/j.addr.2009.09.004" TargetMode="External"/><Relationship Id="rId110" Type="http://schemas.openxmlformats.org/officeDocument/2006/relationships/hyperlink" Target="https://doi.org/10.1016/S1672-6308(07)60009-2" TargetMode="External"/><Relationship Id="rId115" Type="http://schemas.openxmlformats.org/officeDocument/2006/relationships/hyperlink" Target="https://doi.org/10.3390/ijms17070996" TargetMode="External"/><Relationship Id="rId131" Type="http://schemas.openxmlformats.org/officeDocument/2006/relationships/hyperlink" Target="https://doi.org/10.1021/acs.est.8b05576" TargetMode="External"/><Relationship Id="rId136" Type="http://schemas.openxmlformats.org/officeDocument/2006/relationships/hyperlink" Target="https://doi.org/10.1016/j.envpol.2023.121925" TargetMode="External"/><Relationship Id="rId157" Type="http://schemas.openxmlformats.org/officeDocument/2006/relationships/hyperlink" Target="https://doi.org/10.1186/s11671-017-1921-8" TargetMode="External"/><Relationship Id="rId178" Type="http://schemas.openxmlformats.org/officeDocument/2006/relationships/hyperlink" Target="https://doi.org/10.3390/agronomy8120285" TargetMode="External"/><Relationship Id="rId61" Type="http://schemas.openxmlformats.org/officeDocument/2006/relationships/hyperlink" Target="https://doi.org/10.1021/es803315v" TargetMode="External"/><Relationship Id="rId82" Type="http://schemas.openxmlformats.org/officeDocument/2006/relationships/hyperlink" Target="https://doi.org/10.1021/es3019397" TargetMode="External"/><Relationship Id="rId152" Type="http://schemas.openxmlformats.org/officeDocument/2006/relationships/hyperlink" Target="https://doi.org/10.1002/etc.2030" TargetMode="External"/><Relationship Id="rId173" Type="http://schemas.openxmlformats.org/officeDocument/2006/relationships/hyperlink" Target="https://doi.org/10.17170/kobra-202010131907" TargetMode="External"/><Relationship Id="rId194" Type="http://schemas.openxmlformats.org/officeDocument/2006/relationships/hyperlink" Target="https://doi.org/10.1038/nplants.2017.145" TargetMode="External"/><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hyperlink" Target="https://doi.org/10.1002/ps.2233" TargetMode="External"/><Relationship Id="rId14" Type="http://schemas.openxmlformats.org/officeDocument/2006/relationships/hyperlink" Target="https://doi.org/10.1039/C9EN00265K" TargetMode="External"/><Relationship Id="rId30" Type="http://schemas.openxmlformats.org/officeDocument/2006/relationships/hyperlink" Target="https://doi.org/10.1016/j.aspen.2011.09.004" TargetMode="External"/><Relationship Id="rId35" Type="http://schemas.openxmlformats.org/officeDocument/2006/relationships/hyperlink" Target="https://doi.org/10.1088/0957-4484/25/13/135101" TargetMode="External"/><Relationship Id="rId56" Type="http://schemas.openxmlformats.org/officeDocument/2006/relationships/hyperlink" Target="https://doi.org/10.1186/s41938-018-0028-1" TargetMode="External"/><Relationship Id="rId77" Type="http://schemas.openxmlformats.org/officeDocument/2006/relationships/hyperlink" Target="https://doi.org/10.1515/intox-2016-0012" TargetMode="External"/><Relationship Id="rId100" Type="http://schemas.openxmlformats.org/officeDocument/2006/relationships/hyperlink" Target="https://doi.org/10.1016/j.scitotenv.2012.04.073" TargetMode="External"/><Relationship Id="rId105" Type="http://schemas.openxmlformats.org/officeDocument/2006/relationships/hyperlink" Target="https://doi.org/10.1007/978-3-030-65792-5_11" TargetMode="External"/><Relationship Id="rId126" Type="http://schemas.openxmlformats.org/officeDocument/2006/relationships/hyperlink" Target="https://doi.org/10.1016/b978-0-443-23950-2.00019-9" TargetMode="External"/><Relationship Id="rId147" Type="http://schemas.openxmlformats.org/officeDocument/2006/relationships/hyperlink" Target="https://doi.org/10.1021/acs.est.7b03363" TargetMode="External"/><Relationship Id="rId168" Type="http://schemas.openxmlformats.org/officeDocument/2006/relationships/hyperlink" Target="https://doi.org/10.1146/annurev-phyto-020620-121858" TargetMode="External"/><Relationship Id="rId8" Type="http://schemas.openxmlformats.org/officeDocument/2006/relationships/image" Target="media/image1.png"/><Relationship Id="rId51" Type="http://schemas.openxmlformats.org/officeDocument/2006/relationships/hyperlink" Target="https://doi.org/10.1038/s41598-020-57499-5" TargetMode="External"/><Relationship Id="rId72" Type="http://schemas.openxmlformats.org/officeDocument/2006/relationships/hyperlink" Target="https://doi.org/10.1021/acs.est.5b01564" TargetMode="External"/><Relationship Id="rId93" Type="http://schemas.openxmlformats.org/officeDocument/2006/relationships/hyperlink" Target="https://doi.org/10.1016/j.carbpol.2013.10.025" TargetMode="External"/><Relationship Id="rId98" Type="http://schemas.openxmlformats.org/officeDocument/2006/relationships/hyperlink" Target="https://doi.org/10.4489/MYCO.2011.39.1.026" TargetMode="External"/><Relationship Id="rId121" Type="http://schemas.openxmlformats.org/officeDocument/2006/relationships/hyperlink" Target="https://doi.org/10.1016/j.biotechadv.2013.01.003" TargetMode="External"/><Relationship Id="rId142" Type="http://schemas.openxmlformats.org/officeDocument/2006/relationships/hyperlink" Target="https://doi.org/10.1038/s41598-017-05023-7" TargetMode="External"/><Relationship Id="rId163" Type="http://schemas.openxmlformats.org/officeDocument/2006/relationships/hyperlink" Target="https://doi.org/10.1186/s12951-017-0308-z" TargetMode="External"/><Relationship Id="rId184" Type="http://schemas.openxmlformats.org/officeDocument/2006/relationships/hyperlink" Target="https://doi.org/10.1371/journal.pone.0020504" TargetMode="External"/><Relationship Id="rId189" Type="http://schemas.openxmlformats.org/officeDocument/2006/relationships/hyperlink" Target="https://doi.org/10.3109/17435390.2011.579632" TargetMode="External"/><Relationship Id="rId3" Type="http://schemas.openxmlformats.org/officeDocument/2006/relationships/styles" Target="styles.xml"/><Relationship Id="rId25" Type="http://schemas.openxmlformats.org/officeDocument/2006/relationships/hyperlink" Target="https://doi.org/10.1007/s11248-013-9716-5" TargetMode="External"/><Relationship Id="rId46" Type="http://schemas.openxmlformats.org/officeDocument/2006/relationships/hyperlink" Target="https://doi.org/10.1089/ind.2012.0028" TargetMode="External"/><Relationship Id="rId67" Type="http://schemas.openxmlformats.org/officeDocument/2006/relationships/hyperlink" Target="https://doi.org/10.1016/j.jhazmat.2020.124148" TargetMode="External"/><Relationship Id="rId116" Type="http://schemas.openxmlformats.org/officeDocument/2006/relationships/hyperlink" Target="https://doi.org/10.1016/j.addr.2009.08.004" TargetMode="External"/><Relationship Id="rId137" Type="http://schemas.openxmlformats.org/officeDocument/2006/relationships/hyperlink" Target="https://doi.org/10.1021/la104825u" TargetMode="External"/><Relationship Id="rId158" Type="http://schemas.openxmlformats.org/officeDocument/2006/relationships/hyperlink" Target="https://doi.org/10.24925/turjaf.v10i3.147-157.4824" TargetMode="External"/><Relationship Id="rId20" Type="http://schemas.openxmlformats.org/officeDocument/2006/relationships/hyperlink" Target="https://doi.org/10.1021/nn800596w" TargetMode="External"/><Relationship Id="rId41" Type="http://schemas.openxmlformats.org/officeDocument/2006/relationships/hyperlink" Target="https://doi.org/10.2136/sssaj2011.0360" TargetMode="External"/><Relationship Id="rId62" Type="http://schemas.openxmlformats.org/officeDocument/2006/relationships/hyperlink" Target="https://doi.org/10.1021/es103040t" TargetMode="External"/><Relationship Id="rId83" Type="http://schemas.openxmlformats.org/officeDocument/2006/relationships/hyperlink" Target="https://doi.org/10.1016/j.envint.2013.11.015" TargetMode="External"/><Relationship Id="rId88" Type="http://schemas.openxmlformats.org/officeDocument/2006/relationships/hyperlink" Target="https://doi.org/10.1016/j.ijbiomac.2016.09.072" TargetMode="External"/><Relationship Id="rId111" Type="http://schemas.openxmlformats.org/officeDocument/2006/relationships/hyperlink" Target="https://doi.org/10.1021/acs.est.5b00685" TargetMode="External"/><Relationship Id="rId132" Type="http://schemas.openxmlformats.org/officeDocument/2006/relationships/hyperlink" Target="https://doi.org/10.1016/j.colsurfa.2014.05.057" TargetMode="External"/><Relationship Id="rId153" Type="http://schemas.openxmlformats.org/officeDocument/2006/relationships/hyperlink" Target="https://doi.org/10.3109/17435390.2015.1048326" TargetMode="External"/><Relationship Id="rId174" Type="http://schemas.openxmlformats.org/officeDocument/2006/relationships/hyperlink" Target="https://doi.org/10.1016/j.envpol.2010.09.003" TargetMode="External"/><Relationship Id="rId179" Type="http://schemas.openxmlformats.org/officeDocument/2006/relationships/hyperlink" Target="https://doi.org/10.1128/AEM.02149-10" TargetMode="External"/><Relationship Id="rId195" Type="http://schemas.openxmlformats.org/officeDocument/2006/relationships/hyperlink" Target="https://doi.org/10.1002/ps.2048" TargetMode="External"/><Relationship Id="rId190" Type="http://schemas.openxmlformats.org/officeDocument/2006/relationships/hyperlink" Target="https://doi.org/10.1016/j.cej.2012.01.041" TargetMode="External"/><Relationship Id="rId204" Type="http://schemas.openxmlformats.org/officeDocument/2006/relationships/footer" Target="footer3.xml"/><Relationship Id="rId15" Type="http://schemas.openxmlformats.org/officeDocument/2006/relationships/hyperlink" Target="https://doi.org/10.1016/j.jare.2015.02.007" TargetMode="External"/><Relationship Id="rId36" Type="http://schemas.openxmlformats.org/officeDocument/2006/relationships/hyperlink" Target="https://doi.org/10.1007/s11356-021-12841-w" TargetMode="External"/><Relationship Id="rId57" Type="http://schemas.openxmlformats.org/officeDocument/2006/relationships/hyperlink" Target="https://www.epa.gov/pesticides" TargetMode="External"/><Relationship Id="rId106" Type="http://schemas.openxmlformats.org/officeDocument/2006/relationships/hyperlink" Target="https://doi.org/10.1002/ps.7218" TargetMode="External"/><Relationship Id="rId127" Type="http://schemas.openxmlformats.org/officeDocument/2006/relationships/hyperlink" Target="https://doi.org/10.1021/acs.jafc.5b05214" TargetMode="External"/><Relationship Id="rId10" Type="http://schemas.openxmlformats.org/officeDocument/2006/relationships/image" Target="media/image3.png"/><Relationship Id="rId31" Type="http://schemas.openxmlformats.org/officeDocument/2006/relationships/hyperlink" Target="https://doi.org/10.3389/fpls.2019.01319" TargetMode="External"/><Relationship Id="rId52" Type="http://schemas.openxmlformats.org/officeDocument/2006/relationships/hyperlink" Target="https://doi.org/10.1016/j.biomaterials.2009.01.017" TargetMode="External"/><Relationship Id="rId73" Type="http://schemas.openxmlformats.org/officeDocument/2006/relationships/hyperlink" Target="https://doi.org/10.1016/j.jinsphys.2009.10.004" TargetMode="External"/><Relationship Id="rId78" Type="http://schemas.openxmlformats.org/officeDocument/2006/relationships/hyperlink" Target="https://doi.org/10.1155/2018/1062562" TargetMode="External"/><Relationship Id="rId94" Type="http://schemas.openxmlformats.org/officeDocument/2006/relationships/hyperlink" Target="https://doi.org/10.1016/j.jconrel.2018.12.012" TargetMode="External"/><Relationship Id="rId99" Type="http://schemas.openxmlformats.org/officeDocument/2006/relationships/hyperlink" Target="https://doi.org/10.1016/j.ejpb.2008.05.024" TargetMode="External"/><Relationship Id="rId101" Type="http://schemas.openxmlformats.org/officeDocument/2006/relationships/hyperlink" Target="https://doi.org/10.1021/es2037405" TargetMode="External"/><Relationship Id="rId122" Type="http://schemas.openxmlformats.org/officeDocument/2006/relationships/hyperlink" Target="https://doi.org/10.1016/j.soilbio.2017.03.019" TargetMode="External"/><Relationship Id="rId143" Type="http://schemas.openxmlformats.org/officeDocument/2006/relationships/hyperlink" Target="https://doi.org/10.1371/journal.pone.0217148" TargetMode="External"/><Relationship Id="rId148" Type="http://schemas.openxmlformats.org/officeDocument/2006/relationships/hyperlink" Target="https://doi.org/10.1016/j.envpol.2017.05.083" TargetMode="External"/><Relationship Id="rId164" Type="http://schemas.openxmlformats.org/officeDocument/2006/relationships/hyperlink" Target="https://doi.org/10.1016/j.pestbp.2014.11.014" TargetMode="External"/><Relationship Id="rId169" Type="http://schemas.openxmlformats.org/officeDocument/2006/relationships/hyperlink" Target="https://doi.org/10.1002/etc.3075" TargetMode="External"/><Relationship Id="rId185" Type="http://schemas.openxmlformats.org/officeDocument/2006/relationships/hyperlink" Target="https://doi.org/10.1126/science.12616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doi.org/10.1021/nl301934w" TargetMode="External"/><Relationship Id="rId26" Type="http://schemas.openxmlformats.org/officeDocument/2006/relationships/hyperlink" Target="https://doi.org/10.1021/ar2003368" TargetMode="External"/><Relationship Id="rId47" Type="http://schemas.openxmlformats.org/officeDocument/2006/relationships/hyperlink" Target="https://doi.org/10.1007/s11051-012-1125-9" TargetMode="External"/><Relationship Id="rId68" Type="http://schemas.openxmlformats.org/officeDocument/2006/relationships/hyperlink" Target="https://doi.org/10.1016/j.jhazmat.2014.05.079" TargetMode="External"/><Relationship Id="rId89" Type="http://schemas.openxmlformats.org/officeDocument/2006/relationships/hyperlink" Target="https://doi.org/10.1016/j.cropro.2012.01.007" TargetMode="External"/><Relationship Id="rId112" Type="http://schemas.openxmlformats.org/officeDocument/2006/relationships/hyperlink" Target="https://doi.org/10.1016/j.scitotenv.2010.03.031" TargetMode="External"/><Relationship Id="rId133" Type="http://schemas.openxmlformats.org/officeDocument/2006/relationships/hyperlink" Target="https://doi.org/10.1016/j.jhazmat.2014.01.025" TargetMode="External"/><Relationship Id="rId154" Type="http://schemas.openxmlformats.org/officeDocument/2006/relationships/hyperlink" Target="https://doi.org/10.1016/j.jinsphys.2013.08.014" TargetMode="External"/><Relationship Id="rId175" Type="http://schemas.openxmlformats.org/officeDocument/2006/relationships/hyperlink" Target="https://doi.org/10.3762/bjnano.6.181" TargetMode="External"/><Relationship Id="rId196" Type="http://schemas.openxmlformats.org/officeDocument/2006/relationships/hyperlink" Target="https://doi.org/10.1080/10934520701792779" TargetMode="External"/><Relationship Id="rId200" Type="http://schemas.openxmlformats.org/officeDocument/2006/relationships/header" Target="header2.xml"/><Relationship Id="rId16" Type="http://schemas.openxmlformats.org/officeDocument/2006/relationships/hyperlink" Target="https://doi.org/10.1186/1556-276X-8-102" TargetMode="External"/><Relationship Id="rId37" Type="http://schemas.openxmlformats.org/officeDocument/2006/relationships/hyperlink" Target="https://doi.org/10.1038/s41598-017-08571-0" TargetMode="External"/><Relationship Id="rId58" Type="http://schemas.openxmlformats.org/officeDocument/2006/relationships/hyperlink" Target="https://doi.org/10.1016/j.scitotenv.2013.09.063" TargetMode="External"/><Relationship Id="rId79" Type="http://schemas.openxmlformats.org/officeDocument/2006/relationships/hyperlink" Target="https://doi.org/10.1016/j.envpol.2015.07.002" TargetMode="External"/><Relationship Id="rId102" Type="http://schemas.openxmlformats.org/officeDocument/2006/relationships/hyperlink" Target="https://doi.org/10.1088/1361-6528/aa61f3" TargetMode="External"/><Relationship Id="rId123" Type="http://schemas.openxmlformats.org/officeDocument/2006/relationships/hyperlink" Target="https://doi.org/10.1016/j.plantsci.2016.06.005" TargetMode="External"/><Relationship Id="rId144" Type="http://schemas.openxmlformats.org/officeDocument/2006/relationships/hyperlink" Target="https://doi.org/10.1021/es203732x" TargetMode="External"/><Relationship Id="rId90" Type="http://schemas.openxmlformats.org/officeDocument/2006/relationships/hyperlink" Target="https://doi.org/10.1021/cm100023p" TargetMode="External"/><Relationship Id="rId165" Type="http://schemas.openxmlformats.org/officeDocument/2006/relationships/hyperlink" Target="https://doi.org/10.1073/pnas.1500232112" TargetMode="External"/><Relationship Id="rId186" Type="http://schemas.openxmlformats.org/officeDocument/2006/relationships/hyperlink" Target="https://doi.org/10.3791/52523" TargetMode="External"/><Relationship Id="rId27" Type="http://schemas.openxmlformats.org/officeDocument/2006/relationships/hyperlink" Target="https://doi.org/10.4103/2230-973X.160844" TargetMode="External"/><Relationship Id="rId48" Type="http://schemas.openxmlformats.org/officeDocument/2006/relationships/hyperlink" Target="https://doi.org/10.1021/acs.jafc.8b03840" TargetMode="External"/><Relationship Id="rId69" Type="http://schemas.openxmlformats.org/officeDocument/2006/relationships/hyperlink" Target="https://doi.org/10.1016/j.tibtech.2012.06.004" TargetMode="External"/><Relationship Id="rId113" Type="http://schemas.openxmlformats.org/officeDocument/2006/relationships/hyperlink" Target="https://doi.org/10.1021/es201686j" TargetMode="External"/><Relationship Id="rId134" Type="http://schemas.openxmlformats.org/officeDocument/2006/relationships/hyperlink" Target="https://doi.org/10.3389/fenvs.2017.00012" TargetMode="External"/><Relationship Id="rId80" Type="http://schemas.openxmlformats.org/officeDocument/2006/relationships/hyperlink" Target="https://doi.org/10.1021/es103031a" TargetMode="External"/><Relationship Id="rId155" Type="http://schemas.openxmlformats.org/officeDocument/2006/relationships/hyperlink" Target="https://doi.org/10.3109/17435390.2010.537382" TargetMode="External"/><Relationship Id="rId176" Type="http://schemas.openxmlformats.org/officeDocument/2006/relationships/hyperlink" Target="https://doi.org/10.1021/es204212z" TargetMode="External"/><Relationship Id="rId197" Type="http://schemas.openxmlformats.org/officeDocument/2006/relationships/hyperlink" Target="https://doi.org/10.1016/j.chemosphere.2010.03.022" TargetMode="External"/><Relationship Id="rId201" Type="http://schemas.openxmlformats.org/officeDocument/2006/relationships/footer" Target="footer1.xml"/><Relationship Id="rId17" Type="http://schemas.openxmlformats.org/officeDocument/2006/relationships/hyperlink" Target="https://doi.org/10.3389/fpls.2023.1099304" TargetMode="External"/><Relationship Id="rId38" Type="http://schemas.openxmlformats.org/officeDocument/2006/relationships/hyperlink" Target="https://doi.org/10.3389/fpls.2020.00451" TargetMode="External"/><Relationship Id="rId59" Type="http://schemas.openxmlformats.org/officeDocument/2006/relationships/hyperlink" Target="http://www.fao.org/faostat/" TargetMode="External"/><Relationship Id="rId103" Type="http://schemas.openxmlformats.org/officeDocument/2006/relationships/hyperlink" Target="https://doi.org/10.1021/es102624t" TargetMode="External"/><Relationship Id="rId124" Type="http://schemas.openxmlformats.org/officeDocument/2006/relationships/hyperlink" Target="https://doi.org/10.1007/s00216-016-9676-8" TargetMode="External"/><Relationship Id="rId70" Type="http://schemas.openxmlformats.org/officeDocument/2006/relationships/hyperlink" Target="https://doi.org/10.1021/nn305196q" TargetMode="External"/><Relationship Id="rId91" Type="http://schemas.openxmlformats.org/officeDocument/2006/relationships/hyperlink" Target="https://doi.org/10.1016/j.biomaterials.2012.11.066" TargetMode="External"/><Relationship Id="rId145" Type="http://schemas.openxmlformats.org/officeDocument/2006/relationships/hyperlink" Target="https://doi.org/10.1021/jf104517j" TargetMode="External"/><Relationship Id="rId166" Type="http://schemas.openxmlformats.org/officeDocument/2006/relationships/hyperlink" Target="https://doi.org/10.1007/s11051-012-1294-6" TargetMode="External"/><Relationship Id="rId187" Type="http://schemas.openxmlformats.org/officeDocument/2006/relationships/hyperlink" Target="https://doi.org/10.1016/j.watres.2009.06.005" TargetMode="External"/><Relationship Id="rId1" Type="http://schemas.openxmlformats.org/officeDocument/2006/relationships/customXml" Target="../customXml/item1.xml"/><Relationship Id="rId28" Type="http://schemas.openxmlformats.org/officeDocument/2006/relationships/hyperlink" Target="https://doi.org/10.1021/la200570n" TargetMode="External"/><Relationship Id="rId49" Type="http://schemas.openxmlformats.org/officeDocument/2006/relationships/hyperlink" Target="https://doi.org/10.1021/acs.jafc.7b02961" TargetMode="External"/><Relationship Id="rId114" Type="http://schemas.openxmlformats.org/officeDocument/2006/relationships/hyperlink" Target="https://doi.org/10.1016/j.scitotenv.2019.03.210" TargetMode="External"/><Relationship Id="rId60" Type="http://schemas.openxmlformats.org/officeDocument/2006/relationships/hyperlink" Target="https://doi.org/10.1016/j.chemosphere.2019.125256" TargetMode="External"/><Relationship Id="rId81" Type="http://schemas.openxmlformats.org/officeDocument/2006/relationships/hyperlink" Target="https://doi.org/10.1021/es303333w" TargetMode="External"/><Relationship Id="rId135" Type="http://schemas.openxmlformats.org/officeDocument/2006/relationships/hyperlink" Target="https://doi.org/10.3389/fmicb.2017.01014" TargetMode="External"/><Relationship Id="rId156" Type="http://schemas.openxmlformats.org/officeDocument/2006/relationships/hyperlink" Target="https://doi.org/10.1080/15476286.2016.1191728" TargetMode="External"/><Relationship Id="rId177" Type="http://schemas.openxmlformats.org/officeDocument/2006/relationships/hyperlink" Target="https://doi.org/10.1016/j.envpol.2013.06.027" TargetMode="External"/><Relationship Id="rId198" Type="http://schemas.openxmlformats.org/officeDocument/2006/relationships/hyperlink" Target="https://doi.org/10.1007/s13744-015-0291-8" TargetMode="External"/><Relationship Id="rId202" Type="http://schemas.openxmlformats.org/officeDocument/2006/relationships/footer" Target="footer2.xml"/><Relationship Id="rId18" Type="http://schemas.openxmlformats.org/officeDocument/2006/relationships/hyperlink" Target="https://doi.org/10.1016/j.ecoenv.2010.08.039" TargetMode="External"/><Relationship Id="rId39" Type="http://schemas.openxmlformats.org/officeDocument/2006/relationships/hyperlink" Target="https://doi.org/10.1371/journal.pone.0057189" TargetMode="External"/><Relationship Id="rId50" Type="http://schemas.openxmlformats.org/officeDocument/2006/relationships/hyperlink" Target="https://doi.org/10.1128/AEM.04003-14" TargetMode="External"/><Relationship Id="rId104" Type="http://schemas.openxmlformats.org/officeDocument/2006/relationships/hyperlink" Target="https://doi.org/10.1016/j.ijbiomac.2024.136503" TargetMode="External"/><Relationship Id="rId125" Type="http://schemas.openxmlformats.org/officeDocument/2006/relationships/hyperlink" Target="https://doi.org/10.1007/s11027-016-9705-0" TargetMode="External"/><Relationship Id="rId146" Type="http://schemas.openxmlformats.org/officeDocument/2006/relationships/hyperlink" Target="https://doi.org/10.1021/acs.est.0c06405" TargetMode="External"/><Relationship Id="rId167" Type="http://schemas.openxmlformats.org/officeDocument/2006/relationships/hyperlink" Target="https://doi.org/10.1016/j.biomaterials.2010.09.034" TargetMode="External"/><Relationship Id="rId188" Type="http://schemas.openxmlformats.org/officeDocument/2006/relationships/hyperlink" Target="https://doi.org/10.1016/j.carbpol.2018.06.038" TargetMode="External"/><Relationship Id="rId71" Type="http://schemas.openxmlformats.org/officeDocument/2006/relationships/hyperlink" Target="https://doi.org/10.1016/j.envint.2011.02.019" TargetMode="External"/><Relationship Id="rId92" Type="http://schemas.openxmlformats.org/officeDocument/2006/relationships/hyperlink" Target="https://doi.org/10.1016/j.jhazmat.2011.04.005" TargetMode="External"/><Relationship Id="rId2" Type="http://schemas.openxmlformats.org/officeDocument/2006/relationships/numbering" Target="numbering.xml"/><Relationship Id="rId29" Type="http://schemas.openxmlformats.org/officeDocument/2006/relationships/hyperlink" Target="https://doi.org/10.1007/s00204-013-10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268DC-CEA7-496C-BCCB-8826F49F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387</TotalTime>
  <Pages>36</Pages>
  <Words>20898</Words>
  <Characters>119120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139739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46</cp:revision>
  <cp:lastPrinted>1999-07-06T11:00:00Z</cp:lastPrinted>
  <dcterms:created xsi:type="dcterms:W3CDTF">2025-11-19T09:43:00Z</dcterms:created>
  <dcterms:modified xsi:type="dcterms:W3CDTF">2025-12-01T11:11:00Z</dcterms:modified>
</cp:coreProperties>
</file>