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3460F" w14:textId="77777777" w:rsidR="003900FB" w:rsidRDefault="003900FB" w:rsidP="00CD384C">
      <w:pPr>
        <w:spacing w:before="100" w:beforeAutospacing="1" w:after="100" w:afterAutospacing="1" w:line="240" w:lineRule="auto"/>
        <w:jc w:val="center"/>
        <w:outlineLvl w:val="2"/>
        <w:rPr>
          <w:rFonts w:ascii="Times New Roman" w:eastAsia="Times New Roman" w:hAnsi="Times New Roman" w:cs="Times New Roman"/>
          <w:b/>
          <w:sz w:val="24"/>
          <w:szCs w:val="24"/>
          <w:lang w:eastAsia="en-IN"/>
        </w:rPr>
      </w:pPr>
      <w:r w:rsidRPr="003900FB">
        <w:rPr>
          <w:rFonts w:ascii="Times New Roman" w:eastAsia="Times New Roman" w:hAnsi="Times New Roman" w:cs="Times New Roman"/>
          <w:b/>
          <w:sz w:val="24"/>
          <w:szCs w:val="24"/>
          <w:lang w:eastAsia="en-IN"/>
        </w:rPr>
        <w:t>Original Research Article</w:t>
      </w:r>
    </w:p>
    <w:p w14:paraId="3683A88F" w14:textId="77777777" w:rsidR="003900FB" w:rsidRDefault="003900FB" w:rsidP="00CD384C">
      <w:pPr>
        <w:spacing w:before="100" w:beforeAutospacing="1" w:after="100" w:afterAutospacing="1" w:line="240" w:lineRule="auto"/>
        <w:jc w:val="center"/>
        <w:outlineLvl w:val="2"/>
        <w:rPr>
          <w:rFonts w:ascii="Times New Roman" w:eastAsia="Times New Roman" w:hAnsi="Times New Roman" w:cs="Times New Roman"/>
          <w:b/>
          <w:sz w:val="24"/>
          <w:szCs w:val="24"/>
          <w:lang w:eastAsia="en-IN"/>
        </w:rPr>
      </w:pPr>
    </w:p>
    <w:p w14:paraId="73E63A35" w14:textId="77777777" w:rsidR="00956546" w:rsidRPr="00CD384C" w:rsidRDefault="001C12A6" w:rsidP="00CD384C">
      <w:pPr>
        <w:spacing w:before="100" w:beforeAutospacing="1" w:after="100" w:afterAutospacing="1" w:line="240" w:lineRule="auto"/>
        <w:jc w:val="center"/>
        <w:outlineLvl w:val="2"/>
        <w:rPr>
          <w:rFonts w:ascii="Times New Roman" w:eastAsia="Times New Roman" w:hAnsi="Times New Roman" w:cs="Times New Roman"/>
          <w:b/>
          <w:sz w:val="24"/>
          <w:szCs w:val="24"/>
          <w:lang w:eastAsia="en-IN"/>
        </w:rPr>
      </w:pPr>
      <w:r w:rsidRPr="00CD384C">
        <w:rPr>
          <w:rFonts w:ascii="Times New Roman" w:eastAsia="Times New Roman" w:hAnsi="Times New Roman" w:cs="Times New Roman"/>
          <w:b/>
          <w:sz w:val="24"/>
          <w:szCs w:val="24"/>
          <w:lang w:eastAsia="en-IN"/>
        </w:rPr>
        <w:t xml:space="preserve">Integrated FR - </w:t>
      </w:r>
      <w:r w:rsidR="00956546" w:rsidRPr="00CD384C">
        <w:rPr>
          <w:rFonts w:ascii="Times New Roman" w:eastAsia="Times New Roman" w:hAnsi="Times New Roman" w:cs="Times New Roman"/>
          <w:b/>
          <w:sz w:val="24"/>
          <w:szCs w:val="24"/>
          <w:lang w:eastAsia="en-IN"/>
        </w:rPr>
        <w:t>WOE and ROC</w:t>
      </w:r>
      <w:r w:rsidRPr="00CD384C">
        <w:rPr>
          <w:rFonts w:ascii="Times New Roman" w:eastAsia="Times New Roman" w:hAnsi="Times New Roman" w:cs="Times New Roman"/>
          <w:b/>
          <w:sz w:val="24"/>
          <w:szCs w:val="24"/>
          <w:lang w:eastAsia="en-IN"/>
        </w:rPr>
        <w:t xml:space="preserve"> </w:t>
      </w:r>
      <w:r w:rsidR="00956546" w:rsidRPr="00CD384C">
        <w:rPr>
          <w:rFonts w:ascii="Times New Roman" w:eastAsia="Times New Roman" w:hAnsi="Times New Roman" w:cs="Times New Roman"/>
          <w:b/>
          <w:sz w:val="24"/>
          <w:szCs w:val="24"/>
          <w:lang w:eastAsia="en-IN"/>
        </w:rPr>
        <w:t>-</w:t>
      </w:r>
      <w:r w:rsidRPr="00CD384C">
        <w:rPr>
          <w:rFonts w:ascii="Times New Roman" w:eastAsia="Times New Roman" w:hAnsi="Times New Roman" w:cs="Times New Roman"/>
          <w:b/>
          <w:sz w:val="24"/>
          <w:szCs w:val="24"/>
          <w:lang w:eastAsia="en-IN"/>
        </w:rPr>
        <w:t xml:space="preserve"> </w:t>
      </w:r>
      <w:r w:rsidR="00956546" w:rsidRPr="00CD384C">
        <w:rPr>
          <w:rFonts w:ascii="Times New Roman" w:eastAsia="Times New Roman" w:hAnsi="Times New Roman" w:cs="Times New Roman"/>
          <w:b/>
          <w:sz w:val="24"/>
          <w:szCs w:val="24"/>
          <w:lang w:eastAsia="en-IN"/>
        </w:rPr>
        <w:t>Validated La</w:t>
      </w:r>
      <w:r w:rsidR="00151852">
        <w:rPr>
          <w:rFonts w:ascii="Times New Roman" w:eastAsia="Times New Roman" w:hAnsi="Times New Roman" w:cs="Times New Roman"/>
          <w:b/>
          <w:sz w:val="24"/>
          <w:szCs w:val="24"/>
          <w:lang w:eastAsia="en-IN"/>
        </w:rPr>
        <w:t>ndslide Susceptibility Mapping</w:t>
      </w:r>
      <w:r w:rsidR="00956546" w:rsidRPr="00CD384C">
        <w:rPr>
          <w:rFonts w:ascii="Times New Roman" w:eastAsia="Times New Roman" w:hAnsi="Times New Roman" w:cs="Times New Roman"/>
          <w:b/>
          <w:sz w:val="24"/>
          <w:szCs w:val="24"/>
          <w:lang w:eastAsia="en-IN"/>
        </w:rPr>
        <w:t xml:space="preserve"> Using Satellite</w:t>
      </w:r>
      <w:r w:rsidR="000253BA" w:rsidRPr="00CD384C">
        <w:rPr>
          <w:rFonts w:ascii="Times New Roman" w:eastAsia="Times New Roman" w:hAnsi="Times New Roman" w:cs="Times New Roman"/>
          <w:b/>
          <w:sz w:val="24"/>
          <w:szCs w:val="24"/>
          <w:lang w:eastAsia="en-IN"/>
        </w:rPr>
        <w:t xml:space="preserve"> </w:t>
      </w:r>
      <w:r w:rsidR="00956546" w:rsidRPr="00CD384C">
        <w:rPr>
          <w:rFonts w:ascii="Times New Roman" w:eastAsia="Times New Roman" w:hAnsi="Times New Roman" w:cs="Times New Roman"/>
          <w:b/>
          <w:sz w:val="24"/>
          <w:szCs w:val="24"/>
          <w:lang w:eastAsia="en-IN"/>
        </w:rPr>
        <w:t>-Based Geospatial Data in Pherzawl District, Manipur, India</w:t>
      </w:r>
    </w:p>
    <w:p w14:paraId="6253EF4C" w14:textId="77777777" w:rsidR="006C3380" w:rsidRDefault="006C3380" w:rsidP="002F59EF">
      <w:pPr>
        <w:spacing w:before="100" w:beforeAutospacing="1" w:after="100" w:afterAutospacing="1" w:line="240" w:lineRule="auto"/>
        <w:jc w:val="both"/>
        <w:outlineLvl w:val="2"/>
        <w:rPr>
          <w:rFonts w:ascii="Times New Roman" w:eastAsia="Times New Roman" w:hAnsi="Times New Roman" w:cs="Times New Roman"/>
          <w:b/>
          <w:bCs/>
          <w:sz w:val="20"/>
          <w:szCs w:val="20"/>
          <w:lang w:eastAsia="en-IN"/>
        </w:rPr>
      </w:pPr>
    </w:p>
    <w:p w14:paraId="4910341D" w14:textId="77777777" w:rsidR="00B32F25" w:rsidRPr="00CD384C" w:rsidRDefault="00B32F25" w:rsidP="002F59EF">
      <w:pPr>
        <w:spacing w:before="100" w:beforeAutospacing="1" w:after="100" w:afterAutospacing="1" w:line="240" w:lineRule="auto"/>
        <w:jc w:val="both"/>
        <w:outlineLvl w:val="2"/>
        <w:rPr>
          <w:rFonts w:ascii="Times New Roman" w:eastAsia="Times New Roman" w:hAnsi="Times New Roman" w:cs="Times New Roman"/>
          <w:b/>
          <w:bCs/>
          <w:sz w:val="20"/>
          <w:szCs w:val="20"/>
          <w:lang w:eastAsia="en-IN"/>
        </w:rPr>
      </w:pPr>
      <w:r w:rsidRPr="00CD384C">
        <w:rPr>
          <w:rFonts w:ascii="Times New Roman" w:eastAsia="Times New Roman" w:hAnsi="Times New Roman" w:cs="Times New Roman"/>
          <w:b/>
          <w:bCs/>
          <w:sz w:val="20"/>
          <w:szCs w:val="20"/>
          <w:lang w:eastAsia="en-IN"/>
        </w:rPr>
        <w:t xml:space="preserve">Abstract </w:t>
      </w:r>
    </w:p>
    <w:p w14:paraId="71BC35EF" w14:textId="638875FC" w:rsidR="005A3060" w:rsidRPr="005A3060" w:rsidRDefault="005A3060" w:rsidP="005A3060">
      <w:pPr>
        <w:pStyle w:val="NormalWeb"/>
        <w:jc w:val="both"/>
        <w:rPr>
          <w:sz w:val="20"/>
          <w:szCs w:val="20"/>
        </w:rPr>
      </w:pPr>
      <w:r w:rsidRPr="005A3060">
        <w:rPr>
          <w:sz w:val="20"/>
          <w:szCs w:val="20"/>
        </w:rPr>
        <w:t>Landslides are a major geomorphic hazard in the hilly terrain of Northeast India, intensified by monsoon rainfall, active tectonics and unscientific road-cutting. This study assesses landslide susceptibility in Pherzawl District, Manipur, using an integrated geospatial framework combining Frequency Ratio (FR) and Weight-of-Evidence (WOE) methods. Eleven causa</w:t>
      </w:r>
      <w:r w:rsidR="00845D90">
        <w:rPr>
          <w:sz w:val="20"/>
          <w:szCs w:val="20"/>
        </w:rPr>
        <w:t xml:space="preserve">tive factors </w:t>
      </w:r>
      <w:r w:rsidRPr="005A3060">
        <w:rPr>
          <w:sz w:val="20"/>
          <w:szCs w:val="20"/>
        </w:rPr>
        <w:t>elevation, slope, aspect, curvature, lithology, geomorphology, soil, drainage density, land use/land cover,</w:t>
      </w:r>
      <w:r w:rsidR="00845D90">
        <w:rPr>
          <w:sz w:val="20"/>
          <w:szCs w:val="20"/>
        </w:rPr>
        <w:t xml:space="preserve"> rainfall and distance to roads </w:t>
      </w:r>
      <w:r w:rsidRPr="005A3060">
        <w:rPr>
          <w:sz w:val="20"/>
          <w:szCs w:val="20"/>
        </w:rPr>
        <w:t>were analysed using high-resolution satellite data and GIS techniques. A landslide inventory of 60 historical events was prepared and divided into training and validation datasets.</w:t>
      </w:r>
      <w:r>
        <w:rPr>
          <w:sz w:val="20"/>
          <w:szCs w:val="20"/>
        </w:rPr>
        <w:t xml:space="preserve"> </w:t>
      </w:r>
      <w:r w:rsidRPr="005A3060">
        <w:rPr>
          <w:sz w:val="20"/>
          <w:szCs w:val="20"/>
        </w:rPr>
        <w:t>Model performance was evaluated using Receiver Operating Characteristic (ROC) curve analysis, yielding an Area Under Curve (AUC) value of 0.84, indicating high predictive accuracy. The susceptibility map classifies the district into three zones: low susceptibility covering 24.29% (555 km²), moderate susceptibility 49.77% (1,137 km²) and high susceptibility 25.94% (592 km²). High-risk zones are concentrated along steep slopes and road-cut hill sections in the eastern and southern parts of the district, while low-susceptibility areas are mainly located in valley floors and regions with dense forest cover.</w:t>
      </w:r>
      <w:r>
        <w:rPr>
          <w:sz w:val="20"/>
          <w:szCs w:val="20"/>
        </w:rPr>
        <w:t xml:space="preserve"> </w:t>
      </w:r>
      <w:r w:rsidRPr="005A3060">
        <w:rPr>
          <w:sz w:val="20"/>
          <w:szCs w:val="20"/>
        </w:rPr>
        <w:t>The results provide reliable hazard information for policymakers, planners and disaster management authorities. The integrated FR–WOE approach improves statistical reliability in data-limited mountainous regions and represents the first hybrid landslide susceptibility model for Pherzawl District. By delineating high-risk clusters, the study supports tri-zonal disaster mitigation, climate-resilient transportation planning, slope management and the prioritization of bio-engineering measures in vulnerable corridors.</w:t>
      </w:r>
    </w:p>
    <w:p w14:paraId="6505865C" w14:textId="1498355A" w:rsidR="00B32F25" w:rsidRPr="00CD384C" w:rsidRDefault="00A72E3C" w:rsidP="002F59E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Keywords: Landslide Susceptibility, FR–WOE, Remote Sensing, ROC-AUC, GIS, Pherzawl District</w:t>
      </w:r>
    </w:p>
    <w:p w14:paraId="2000753B" w14:textId="77777777" w:rsidR="000F3C1B" w:rsidRPr="00CD384C" w:rsidRDefault="000F3C1B" w:rsidP="002F59EF">
      <w:pPr>
        <w:pStyle w:val="NormalWeb"/>
        <w:jc w:val="both"/>
        <w:rPr>
          <w:b/>
          <w:sz w:val="20"/>
          <w:szCs w:val="20"/>
        </w:rPr>
      </w:pPr>
      <w:r w:rsidRPr="00CD384C">
        <w:rPr>
          <w:b/>
          <w:sz w:val="20"/>
          <w:szCs w:val="20"/>
        </w:rPr>
        <w:t>Introduction</w:t>
      </w:r>
    </w:p>
    <w:p w14:paraId="4C9E0AEF" w14:textId="7CC69CDC" w:rsidR="00C119F4" w:rsidRPr="00CD384C" w:rsidRDefault="00C119F4" w:rsidP="002F59EF">
      <w:pPr>
        <w:pStyle w:val="NormalWeb"/>
        <w:jc w:val="both"/>
        <w:rPr>
          <w:sz w:val="20"/>
          <w:szCs w:val="20"/>
        </w:rPr>
      </w:pPr>
      <w:r w:rsidRPr="00CD384C">
        <w:rPr>
          <w:sz w:val="20"/>
          <w:szCs w:val="20"/>
        </w:rPr>
        <w:t>Landslides are among the most frequent and destructive natural hazards in mountainous environments, causing loss of life, damage to infrastructure, disruption of transport networks and long-term degradation of agricultural land. Their occurrence is governed by a combination of natural and human-induced factors, including steep topography, intense monsoonal rainfall, fragile lithology, seismic activity, deforestation, shifting cultivation and unregulated land-use practices</w:t>
      </w:r>
      <w:r w:rsidR="00C01076">
        <w:rPr>
          <w:sz w:val="20"/>
          <w:szCs w:val="20"/>
        </w:rPr>
        <w:t xml:space="preserve"> (</w:t>
      </w:r>
      <w:r w:rsidR="00C01076">
        <w:rPr>
          <w:sz w:val="20"/>
          <w:szCs w:val="20"/>
          <w:lang w:val="en-US"/>
        </w:rPr>
        <w:t xml:space="preserve">Anil, D., &amp; Manjula, S. H. </w:t>
      </w:r>
      <w:r w:rsidR="00C01076" w:rsidRPr="001F4315">
        <w:rPr>
          <w:sz w:val="20"/>
          <w:szCs w:val="20"/>
          <w:lang w:val="en-US"/>
        </w:rPr>
        <w:t>2025)</w:t>
      </w:r>
      <w:r w:rsidRPr="00CD384C">
        <w:rPr>
          <w:sz w:val="20"/>
          <w:szCs w:val="20"/>
        </w:rPr>
        <w:t>. In the Eastern Himalayas and Indo-Burmese ranges, where unstable geologic formations and steep slopes dominate, landslides pose a persistent threat to socio-economic development and regional planning</w:t>
      </w:r>
      <w:r w:rsidR="00C01076">
        <w:rPr>
          <w:sz w:val="20"/>
          <w:szCs w:val="20"/>
        </w:rPr>
        <w:t xml:space="preserve"> (</w:t>
      </w:r>
      <w:proofErr w:type="spellStart"/>
      <w:r w:rsidR="00C01076">
        <w:rPr>
          <w:color w:val="505050"/>
          <w:sz w:val="20"/>
          <w:szCs w:val="20"/>
        </w:rPr>
        <w:t>Badavath</w:t>
      </w:r>
      <w:proofErr w:type="spellEnd"/>
      <w:r w:rsidR="00C01076">
        <w:rPr>
          <w:color w:val="505050"/>
          <w:sz w:val="20"/>
          <w:szCs w:val="20"/>
        </w:rPr>
        <w:t xml:space="preserve">, N., &amp; Sahoo, S. </w:t>
      </w:r>
      <w:r w:rsidR="00C01076" w:rsidRPr="00214BD2">
        <w:rPr>
          <w:color w:val="505050"/>
          <w:sz w:val="20"/>
          <w:szCs w:val="20"/>
        </w:rPr>
        <w:t>2025)</w:t>
      </w:r>
      <w:r w:rsidR="00DE5491">
        <w:rPr>
          <w:color w:val="505050"/>
          <w:sz w:val="20"/>
          <w:szCs w:val="20"/>
        </w:rPr>
        <w:t>, (</w:t>
      </w:r>
      <w:r w:rsidR="00DE5491" w:rsidRPr="00AB2325">
        <w:rPr>
          <w:sz w:val="20"/>
          <w:szCs w:val="20"/>
          <w:lang w:val="en-US"/>
        </w:rPr>
        <w:t xml:space="preserve">Das, D., </w:t>
      </w:r>
      <w:proofErr w:type="spellStart"/>
      <w:r w:rsidR="00DE5491" w:rsidRPr="00AB2325">
        <w:rPr>
          <w:sz w:val="20"/>
          <w:szCs w:val="20"/>
          <w:lang w:val="en-US"/>
        </w:rPr>
        <w:t>K</w:t>
      </w:r>
      <w:r w:rsidR="00DE5491">
        <w:rPr>
          <w:sz w:val="20"/>
          <w:szCs w:val="20"/>
          <w:lang w:val="en-US"/>
        </w:rPr>
        <w:t>rishnaiah</w:t>
      </w:r>
      <w:proofErr w:type="spellEnd"/>
      <w:r w:rsidR="00DE5491">
        <w:rPr>
          <w:sz w:val="20"/>
          <w:szCs w:val="20"/>
          <w:lang w:val="en-US"/>
        </w:rPr>
        <w:t xml:space="preserve">, Y. V., &amp; </w:t>
      </w:r>
      <w:proofErr w:type="spellStart"/>
      <w:r w:rsidR="00DE5491">
        <w:rPr>
          <w:sz w:val="20"/>
          <w:szCs w:val="20"/>
          <w:lang w:val="en-US"/>
        </w:rPr>
        <w:t>Atoshi</w:t>
      </w:r>
      <w:proofErr w:type="spellEnd"/>
      <w:r w:rsidR="00DE5491">
        <w:rPr>
          <w:sz w:val="20"/>
          <w:szCs w:val="20"/>
          <w:lang w:val="en-US"/>
        </w:rPr>
        <w:t xml:space="preserve">, S. </w:t>
      </w:r>
      <w:r w:rsidR="00DE5491" w:rsidRPr="00AB2325">
        <w:rPr>
          <w:sz w:val="20"/>
          <w:szCs w:val="20"/>
          <w:lang w:val="en-US"/>
        </w:rPr>
        <w:t>2024</w:t>
      </w:r>
      <w:r w:rsidR="00DE5491">
        <w:rPr>
          <w:sz w:val="20"/>
          <w:szCs w:val="20"/>
          <w:lang w:val="en-US"/>
        </w:rPr>
        <w:t>)</w:t>
      </w:r>
      <w:r w:rsidRPr="00CD384C">
        <w:rPr>
          <w:sz w:val="20"/>
          <w:szCs w:val="20"/>
        </w:rPr>
        <w:t>.</w:t>
      </w:r>
    </w:p>
    <w:p w14:paraId="66165CFF" w14:textId="5631FDB7" w:rsidR="00C119F4" w:rsidRPr="00CD384C" w:rsidRDefault="00C119F4" w:rsidP="002F59EF">
      <w:pPr>
        <w:pStyle w:val="NormalWeb"/>
        <w:jc w:val="both"/>
        <w:rPr>
          <w:sz w:val="20"/>
          <w:szCs w:val="20"/>
        </w:rPr>
      </w:pPr>
      <w:r w:rsidRPr="00CD384C">
        <w:rPr>
          <w:sz w:val="20"/>
          <w:szCs w:val="20"/>
        </w:rPr>
        <w:t>Pherzawl District in southern Manipur (24.26°N, 93.18°E) is highly susceptible to slope instability due to its rugged terrain, with elevations ra</w:t>
      </w:r>
      <w:r w:rsidR="00631117" w:rsidRPr="00CD384C">
        <w:rPr>
          <w:sz w:val="20"/>
          <w:szCs w:val="20"/>
        </w:rPr>
        <w:t>nging from about 200 to 1,300 m</w:t>
      </w:r>
      <w:r w:rsidRPr="00CD384C">
        <w:rPr>
          <w:sz w:val="20"/>
          <w:szCs w:val="20"/>
        </w:rPr>
        <w:t xml:space="preserve"> and its humid subtropical climate receiving 670–1,450 mm of rainfall annually. The district falls within Seismic Zone V and experiences frequent earthquakes between M3.0 and M7.0, further weakening slope materials. Steep, dissected hill ranges, disturbed </w:t>
      </w:r>
      <w:r w:rsidR="00942127" w:rsidRPr="00CD384C">
        <w:rPr>
          <w:sz w:val="20"/>
          <w:szCs w:val="20"/>
        </w:rPr>
        <w:t xml:space="preserve">forest cover, fragile sandstone </w:t>
      </w:r>
      <w:r w:rsidRPr="00CD384C">
        <w:rPr>
          <w:sz w:val="20"/>
          <w:szCs w:val="20"/>
        </w:rPr>
        <w:t>shale formations and intense monsoon-triggered saturation collectively heighten the risk of mass movement. The Barak River and its tributaries contribute to slope undercutting and erosional instability, particularly during peak monsoon months</w:t>
      </w:r>
      <w:r w:rsidR="00B90C71">
        <w:rPr>
          <w:sz w:val="20"/>
          <w:szCs w:val="20"/>
        </w:rPr>
        <w:t xml:space="preserve"> (</w:t>
      </w:r>
      <w:r w:rsidR="00B90C71" w:rsidRPr="00B809D6">
        <w:rPr>
          <w:sz w:val="20"/>
          <w:szCs w:val="20"/>
          <w:lang w:val="en-GB"/>
        </w:rPr>
        <w:t xml:space="preserve">Haokip, T. L., </w:t>
      </w:r>
      <w:proofErr w:type="spellStart"/>
      <w:r w:rsidR="00B90C71" w:rsidRPr="00B809D6">
        <w:rPr>
          <w:sz w:val="20"/>
          <w:szCs w:val="20"/>
          <w:lang w:val="en-GB"/>
        </w:rPr>
        <w:t>Gangte</w:t>
      </w:r>
      <w:proofErr w:type="spellEnd"/>
      <w:r w:rsidR="00B90C71" w:rsidRPr="00B809D6">
        <w:rPr>
          <w:sz w:val="20"/>
          <w:szCs w:val="20"/>
          <w:lang w:val="en-GB"/>
        </w:rPr>
        <w:t>, P. L., Prasad, T.</w:t>
      </w:r>
      <w:r w:rsidR="00B90C71">
        <w:rPr>
          <w:sz w:val="20"/>
          <w:szCs w:val="20"/>
          <w:lang w:val="en-GB"/>
        </w:rPr>
        <w:t xml:space="preserve"> K., Haokip, K., &amp; Shah, M. B. </w:t>
      </w:r>
      <w:r w:rsidR="00B90C71" w:rsidRPr="00B809D6">
        <w:rPr>
          <w:sz w:val="20"/>
          <w:szCs w:val="20"/>
          <w:lang w:val="en-GB"/>
        </w:rPr>
        <w:t>2025)</w:t>
      </w:r>
      <w:r w:rsidRPr="00CD384C">
        <w:rPr>
          <w:sz w:val="20"/>
          <w:szCs w:val="20"/>
        </w:rPr>
        <w:t>.</w:t>
      </w:r>
    </w:p>
    <w:p w14:paraId="02FA8B3E" w14:textId="3522F17E" w:rsidR="00C119F4" w:rsidRPr="00CD384C" w:rsidRDefault="00942127" w:rsidP="002F59EF">
      <w:pPr>
        <w:pStyle w:val="NormalWeb"/>
        <w:jc w:val="both"/>
        <w:rPr>
          <w:sz w:val="20"/>
          <w:szCs w:val="20"/>
        </w:rPr>
      </w:pPr>
      <w:r w:rsidRPr="00CD384C">
        <w:rPr>
          <w:sz w:val="20"/>
          <w:szCs w:val="20"/>
        </w:rPr>
        <w:t xml:space="preserve">Anthropogenic pressures </w:t>
      </w:r>
      <w:r w:rsidR="00C119F4" w:rsidRPr="00CD384C">
        <w:rPr>
          <w:sz w:val="20"/>
          <w:szCs w:val="20"/>
        </w:rPr>
        <w:t xml:space="preserve">including roadside cutting, shifting cultivation </w:t>
      </w:r>
      <w:r w:rsidRPr="00CD384C">
        <w:rPr>
          <w:sz w:val="20"/>
          <w:szCs w:val="20"/>
        </w:rPr>
        <w:t xml:space="preserve">and expanding rural settlements </w:t>
      </w:r>
      <w:r w:rsidR="00DC7086" w:rsidRPr="00CD384C">
        <w:rPr>
          <w:sz w:val="20"/>
          <w:szCs w:val="20"/>
        </w:rPr>
        <w:t>enhance</w:t>
      </w:r>
      <w:r w:rsidR="00C119F4" w:rsidRPr="00CD384C">
        <w:rPr>
          <w:sz w:val="20"/>
          <w:szCs w:val="20"/>
        </w:rPr>
        <w:t xml:space="preserve"> slope failures and intensify the socio-economic impacts on isolated hill communities’ dependent on agriculture and forest resources. These recurring events threaten transportation, food security and long-term livelihood stability.</w:t>
      </w:r>
    </w:p>
    <w:p w14:paraId="60BC6C83" w14:textId="360D8FBC" w:rsidR="00C119F4" w:rsidRPr="00CD384C" w:rsidRDefault="00C119F4" w:rsidP="002F59EF">
      <w:pPr>
        <w:pStyle w:val="NormalWeb"/>
        <w:jc w:val="both"/>
        <w:rPr>
          <w:sz w:val="20"/>
          <w:szCs w:val="20"/>
        </w:rPr>
      </w:pPr>
      <w:r w:rsidRPr="00CD384C">
        <w:rPr>
          <w:sz w:val="20"/>
          <w:szCs w:val="20"/>
        </w:rPr>
        <w:lastRenderedPageBreak/>
        <w:t>Geospatial tools, especially Remote Sensing (RS) and Geographic Information Systems (GIS), provide an efficient means for integrating terrain, geological, hydrological and land-use variables to evaluate landslide susceptibility</w:t>
      </w:r>
      <w:r w:rsidR="000E1364">
        <w:rPr>
          <w:sz w:val="20"/>
          <w:szCs w:val="20"/>
        </w:rPr>
        <w:t xml:space="preserve"> (</w:t>
      </w:r>
      <w:r w:rsidR="000E1364" w:rsidRPr="00EB6F3A">
        <w:rPr>
          <w:sz w:val="20"/>
          <w:szCs w:val="20"/>
          <w:lang w:val="en-US"/>
        </w:rPr>
        <w:t>Banjara,</w:t>
      </w:r>
      <w:r w:rsidR="000E1364">
        <w:rPr>
          <w:sz w:val="20"/>
          <w:szCs w:val="20"/>
          <w:lang w:val="en-US"/>
        </w:rPr>
        <w:t xml:space="preserve"> M., </w:t>
      </w:r>
      <w:proofErr w:type="spellStart"/>
      <w:r w:rsidR="000E1364">
        <w:rPr>
          <w:sz w:val="20"/>
          <w:szCs w:val="20"/>
          <w:lang w:val="en-US"/>
        </w:rPr>
        <w:t>Devkota</w:t>
      </w:r>
      <w:proofErr w:type="spellEnd"/>
      <w:r w:rsidR="000E1364">
        <w:rPr>
          <w:sz w:val="20"/>
          <w:szCs w:val="20"/>
          <w:lang w:val="en-US"/>
        </w:rPr>
        <w:t xml:space="preserve">, S., &amp; </w:t>
      </w:r>
      <w:proofErr w:type="spellStart"/>
      <w:r w:rsidR="000E1364">
        <w:rPr>
          <w:sz w:val="20"/>
          <w:szCs w:val="20"/>
          <w:lang w:val="en-US"/>
        </w:rPr>
        <w:t>Lamsal</w:t>
      </w:r>
      <w:proofErr w:type="spellEnd"/>
      <w:r w:rsidR="000E1364">
        <w:rPr>
          <w:sz w:val="20"/>
          <w:szCs w:val="20"/>
          <w:lang w:val="en-US"/>
        </w:rPr>
        <w:t xml:space="preserve">, P. </w:t>
      </w:r>
      <w:r w:rsidR="000E1364" w:rsidRPr="00EB6F3A">
        <w:rPr>
          <w:sz w:val="20"/>
          <w:szCs w:val="20"/>
          <w:lang w:val="en-US"/>
        </w:rPr>
        <w:t>2023)</w:t>
      </w:r>
      <w:r w:rsidRPr="00CD384C">
        <w:rPr>
          <w:sz w:val="20"/>
          <w:szCs w:val="20"/>
        </w:rPr>
        <w:t>. Among statistical models, Frequency Ratio (F</w:t>
      </w:r>
      <w:r w:rsidR="002A41D6">
        <w:rPr>
          <w:sz w:val="20"/>
          <w:szCs w:val="20"/>
        </w:rPr>
        <w:t>R) and Weight of Evidence (WOE)</w:t>
      </w:r>
      <w:r w:rsidR="00315D67" w:rsidRPr="00CD384C">
        <w:rPr>
          <w:sz w:val="20"/>
          <w:szCs w:val="20"/>
        </w:rPr>
        <w:t xml:space="preserve"> </w:t>
      </w:r>
      <w:r w:rsidRPr="00CD384C">
        <w:rPr>
          <w:sz w:val="20"/>
          <w:szCs w:val="20"/>
        </w:rPr>
        <w:t>have proven effective; however, no hybrid FR–WOE approach has previously been applied in Pherzawl. The lack of a scientific landslide inventory and baseline susceptibility assessment in this newly formed district highlights a significant research gap.</w:t>
      </w:r>
    </w:p>
    <w:p w14:paraId="379BD720" w14:textId="5A956B5E" w:rsidR="00C119F4" w:rsidRPr="00CD384C" w:rsidRDefault="00C119F4" w:rsidP="002F59EF">
      <w:pPr>
        <w:pStyle w:val="NormalWeb"/>
        <w:jc w:val="both"/>
        <w:rPr>
          <w:sz w:val="20"/>
          <w:szCs w:val="20"/>
        </w:rPr>
      </w:pPr>
      <w:r w:rsidRPr="00CD384C">
        <w:rPr>
          <w:sz w:val="20"/>
          <w:szCs w:val="20"/>
        </w:rPr>
        <w:t>This study aims to generate a statistically validated landslide susceptibility map using an integrated FR–WOE framework. The resulting classification into low, medium and high susceptibility zones provides essential spatial information for infrastructure planning, watershed management and disaster-preparedness in Pherzawl District</w:t>
      </w:r>
      <w:r w:rsidR="00F00748">
        <w:rPr>
          <w:sz w:val="20"/>
          <w:szCs w:val="20"/>
        </w:rPr>
        <w:t xml:space="preserve"> (</w:t>
      </w:r>
      <w:r w:rsidR="00F00748" w:rsidRPr="00DC6F07">
        <w:rPr>
          <w:sz w:val="20"/>
          <w:szCs w:val="20"/>
          <w:lang w:val="en-US"/>
        </w:rPr>
        <w:t>Agrawal, R., Dix</w:t>
      </w:r>
      <w:r w:rsidR="00F00748">
        <w:rPr>
          <w:sz w:val="20"/>
          <w:szCs w:val="20"/>
          <w:lang w:val="en-US"/>
        </w:rPr>
        <w:t xml:space="preserve">it, A., Arora, M., &amp; Gupta, S. </w:t>
      </w:r>
      <w:r w:rsidR="00F00748" w:rsidRPr="00DC6F07">
        <w:rPr>
          <w:sz w:val="20"/>
          <w:szCs w:val="20"/>
          <w:lang w:val="en-US"/>
        </w:rPr>
        <w:t>2022)</w:t>
      </w:r>
      <w:r w:rsidRPr="00CD384C">
        <w:rPr>
          <w:sz w:val="20"/>
          <w:szCs w:val="20"/>
        </w:rPr>
        <w:t>.</w:t>
      </w:r>
    </w:p>
    <w:p w14:paraId="7098C8EE" w14:textId="77777777" w:rsidR="000F3C1B" w:rsidRPr="00CD384C" w:rsidRDefault="000F3C1B" w:rsidP="002F59EF">
      <w:pPr>
        <w:pBdr>
          <w:top w:val="single" w:sz="6" w:space="1" w:color="auto"/>
        </w:pBdr>
        <w:spacing w:after="0" w:line="240" w:lineRule="auto"/>
        <w:jc w:val="both"/>
        <w:rPr>
          <w:rFonts w:ascii="Times New Roman" w:eastAsia="Times New Roman" w:hAnsi="Times New Roman" w:cs="Times New Roman"/>
          <w:b/>
          <w:vanish/>
          <w:sz w:val="20"/>
          <w:szCs w:val="20"/>
          <w:lang w:eastAsia="en-IN"/>
        </w:rPr>
      </w:pPr>
      <w:r w:rsidRPr="00CD384C">
        <w:rPr>
          <w:rFonts w:ascii="Times New Roman" w:eastAsia="Times New Roman" w:hAnsi="Times New Roman" w:cs="Times New Roman"/>
          <w:b/>
          <w:vanish/>
          <w:sz w:val="20"/>
          <w:szCs w:val="20"/>
          <w:lang w:eastAsia="en-IN"/>
        </w:rPr>
        <w:t>Bottom of Form</w:t>
      </w:r>
    </w:p>
    <w:p w14:paraId="3061384A" w14:textId="77777777" w:rsidR="00F32C5B" w:rsidRPr="00CD384C" w:rsidRDefault="00DC6685"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Study Area</w:t>
      </w:r>
    </w:p>
    <w:p w14:paraId="1CB94308" w14:textId="77777777" w:rsidR="00C6711A" w:rsidRPr="00CD384C" w:rsidRDefault="00C6711A" w:rsidP="00930AB1">
      <w:pPr>
        <w:jc w:val="center"/>
        <w:rPr>
          <w:rFonts w:ascii="Times New Roman" w:hAnsi="Times New Roman" w:cs="Times New Roman"/>
          <w:b/>
          <w:sz w:val="20"/>
          <w:szCs w:val="20"/>
          <w:lang w:val="en-US"/>
        </w:rPr>
      </w:pPr>
      <w:r w:rsidRPr="00CD384C">
        <w:rPr>
          <w:rFonts w:ascii="Times New Roman" w:hAnsi="Times New Roman" w:cs="Times New Roman"/>
          <w:b/>
          <w:noProof/>
          <w:sz w:val="20"/>
          <w:szCs w:val="20"/>
          <w:lang w:eastAsia="en-IN"/>
        </w:rPr>
        <w:drawing>
          <wp:inline distT="0" distB="0" distL="0" distR="0" wp14:anchorId="0768E59D" wp14:editId="5E3D6DAF">
            <wp:extent cx="2395739" cy="2031624"/>
            <wp:effectExtent l="0" t="0" r="5080" b="6985"/>
            <wp:docPr id="2" name="Picture 2" descr="C:\Users\Gegen Haokip\Desktop\Pherzawl\Pherza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gen Haokip\Desktop\Pherzawl\Pherzaw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4051" cy="2055633"/>
                    </a:xfrm>
                    <a:prstGeom prst="rect">
                      <a:avLst/>
                    </a:prstGeom>
                    <a:noFill/>
                    <a:ln>
                      <a:noFill/>
                    </a:ln>
                  </pic:spPr>
                </pic:pic>
              </a:graphicData>
            </a:graphic>
          </wp:inline>
        </w:drawing>
      </w:r>
    </w:p>
    <w:p w14:paraId="0A4D3CB6" w14:textId="77777777" w:rsidR="009A3B10" w:rsidRPr="00CD384C" w:rsidRDefault="009A3B10" w:rsidP="00692EB3">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w:t>
      </w:r>
      <w:r w:rsidR="000379C0" w:rsidRPr="00CD384C">
        <w:rPr>
          <w:rFonts w:ascii="Times New Roman" w:hAnsi="Times New Roman" w:cs="Times New Roman"/>
          <w:sz w:val="20"/>
          <w:szCs w:val="20"/>
          <w:lang w:val="en-US"/>
        </w:rPr>
        <w:t>ure</w:t>
      </w:r>
      <w:r w:rsidRPr="00CD384C">
        <w:rPr>
          <w:rFonts w:ascii="Times New Roman" w:hAnsi="Times New Roman" w:cs="Times New Roman"/>
          <w:sz w:val="20"/>
          <w:szCs w:val="20"/>
          <w:lang w:val="en-US"/>
        </w:rPr>
        <w:t xml:space="preserve"> 1 Locational map of the Study area.</w:t>
      </w:r>
    </w:p>
    <w:p w14:paraId="501ECB70" w14:textId="77BCB317" w:rsidR="004E5CBF" w:rsidRPr="00CD384C" w:rsidRDefault="004E5CBF" w:rsidP="002F59EF">
      <w:pPr>
        <w:jc w:val="both"/>
        <w:rPr>
          <w:rFonts w:ascii="Times New Roman" w:hAnsi="Times New Roman" w:cs="Times New Roman"/>
          <w:sz w:val="20"/>
          <w:szCs w:val="20"/>
        </w:rPr>
      </w:pPr>
      <w:r w:rsidRPr="00CD384C">
        <w:rPr>
          <w:rFonts w:ascii="Times New Roman" w:hAnsi="Times New Roman" w:cs="Times New Roman"/>
          <w:sz w:val="20"/>
          <w:szCs w:val="20"/>
        </w:rPr>
        <w:t xml:space="preserve">The study area, </w:t>
      </w:r>
      <w:proofErr w:type="spellStart"/>
      <w:r w:rsidRPr="00CD384C">
        <w:rPr>
          <w:rFonts w:ascii="Times New Roman" w:hAnsi="Times New Roman" w:cs="Times New Roman"/>
          <w:sz w:val="20"/>
          <w:szCs w:val="20"/>
        </w:rPr>
        <w:t>Pherzawl</w:t>
      </w:r>
      <w:proofErr w:type="spellEnd"/>
      <w:r w:rsidRPr="00CD384C">
        <w:rPr>
          <w:rFonts w:ascii="Times New Roman" w:hAnsi="Times New Roman" w:cs="Times New Roman"/>
          <w:sz w:val="20"/>
          <w:szCs w:val="20"/>
        </w:rPr>
        <w:t xml:space="preserve"> District in south-western Manipur (24.26°N, 93.19°E), spans about 2,285 km² within the southern Indo-Burmese range</w:t>
      </w:r>
      <w:r w:rsidR="002A41D6">
        <w:rPr>
          <w:rFonts w:ascii="Times New Roman" w:hAnsi="Times New Roman" w:cs="Times New Roman"/>
          <w:sz w:val="20"/>
          <w:szCs w:val="20"/>
        </w:rPr>
        <w:t xml:space="preserve"> </w:t>
      </w:r>
      <w:r w:rsidR="003D1704">
        <w:rPr>
          <w:rFonts w:ascii="Times New Roman" w:hAnsi="Times New Roman" w:cs="Times New Roman"/>
          <w:sz w:val="20"/>
          <w:szCs w:val="20"/>
        </w:rPr>
        <w:t>(</w:t>
      </w:r>
      <w:r w:rsidR="003D1704">
        <w:rPr>
          <w:rFonts w:ascii="Times New Roman" w:hAnsi="Times New Roman" w:cs="Times New Roman"/>
          <w:sz w:val="20"/>
          <w:szCs w:val="20"/>
          <w:lang w:val="en-GB"/>
        </w:rPr>
        <w:t xml:space="preserve">Bisht, S., &amp; Singh, P. </w:t>
      </w:r>
      <w:r w:rsidR="003D1704" w:rsidRPr="00B809D6">
        <w:rPr>
          <w:rFonts w:ascii="Times New Roman" w:hAnsi="Times New Roman" w:cs="Times New Roman"/>
          <w:sz w:val="20"/>
          <w:szCs w:val="20"/>
          <w:lang w:val="en-GB"/>
        </w:rPr>
        <w:t>2023)</w:t>
      </w:r>
      <w:r w:rsidR="003D1704">
        <w:rPr>
          <w:rFonts w:ascii="Times New Roman" w:hAnsi="Times New Roman" w:cs="Times New Roman"/>
          <w:sz w:val="20"/>
          <w:szCs w:val="20"/>
          <w:lang w:val="en-GB"/>
        </w:rPr>
        <w:t>,</w:t>
      </w:r>
      <w:r w:rsidR="003D1704">
        <w:rPr>
          <w:rFonts w:ascii="Times New Roman" w:hAnsi="Times New Roman" w:cs="Times New Roman"/>
          <w:sz w:val="20"/>
          <w:szCs w:val="20"/>
        </w:rPr>
        <w:t xml:space="preserve"> </w:t>
      </w:r>
      <w:r w:rsidR="002A41D6">
        <w:rPr>
          <w:rFonts w:ascii="Times New Roman" w:hAnsi="Times New Roman" w:cs="Times New Roman"/>
          <w:sz w:val="20"/>
          <w:szCs w:val="20"/>
        </w:rPr>
        <w:t xml:space="preserve">(figure </w:t>
      </w:r>
      <w:r w:rsidR="00930AB1" w:rsidRPr="00CD384C">
        <w:rPr>
          <w:rFonts w:ascii="Times New Roman" w:hAnsi="Times New Roman" w:cs="Times New Roman"/>
          <w:sz w:val="20"/>
          <w:szCs w:val="20"/>
        </w:rPr>
        <w:t>1)</w:t>
      </w:r>
      <w:r w:rsidRPr="00CD384C">
        <w:rPr>
          <w:rFonts w:ascii="Times New Roman" w:hAnsi="Times New Roman" w:cs="Times New Roman"/>
          <w:sz w:val="20"/>
          <w:szCs w:val="20"/>
        </w:rPr>
        <w:t>. The terrain is predominantly hilly, marked by steep slopes,</w:t>
      </w:r>
      <w:r w:rsidR="00FA394B" w:rsidRPr="00CD384C">
        <w:rPr>
          <w:rFonts w:ascii="Times New Roman" w:hAnsi="Times New Roman" w:cs="Times New Roman"/>
          <w:sz w:val="20"/>
          <w:szCs w:val="20"/>
        </w:rPr>
        <w:t xml:space="preserve"> which range from &lt;15° in lower valleys to &gt;35° on ridge flanks,</w:t>
      </w:r>
      <w:r w:rsidRPr="00CD384C">
        <w:rPr>
          <w:rFonts w:ascii="Times New Roman" w:hAnsi="Times New Roman" w:cs="Times New Roman"/>
          <w:sz w:val="20"/>
          <w:szCs w:val="20"/>
        </w:rPr>
        <w:t xml:space="preserve"> rugged ridges and narrow valley floors, with elevation ranging from roughly 200 m to 1,300 m. These geomorphic conditions, especially in the eastern and southern sectors, create high sensitivity to slope failures. The district has a humid subtropical climate, receiving 670 -1,450 mm of monsoon-driven rainfall annually, concentrated from June to September. A dendritic drainage network formed by the Barak and its tributaries intensifies fluvial incision. </w:t>
      </w:r>
      <w:r w:rsidR="00FA394B" w:rsidRPr="00CD384C">
        <w:rPr>
          <w:rFonts w:ascii="Times New Roman" w:hAnsi="Times New Roman" w:cs="Times New Roman"/>
          <w:sz w:val="20"/>
          <w:szCs w:val="20"/>
        </w:rPr>
        <w:t xml:space="preserve">The district predominantly comprises sandstone–shale sequences typical of the </w:t>
      </w:r>
      <w:proofErr w:type="spellStart"/>
      <w:r w:rsidR="00FA394B" w:rsidRPr="00CD384C">
        <w:rPr>
          <w:rFonts w:ascii="Times New Roman" w:hAnsi="Times New Roman" w:cs="Times New Roman"/>
          <w:sz w:val="20"/>
          <w:szCs w:val="20"/>
        </w:rPr>
        <w:t>Surma</w:t>
      </w:r>
      <w:proofErr w:type="spellEnd"/>
      <w:r w:rsidR="00FA394B" w:rsidRPr="00CD384C">
        <w:rPr>
          <w:rFonts w:ascii="Times New Roman" w:hAnsi="Times New Roman" w:cs="Times New Roman"/>
          <w:sz w:val="20"/>
          <w:szCs w:val="20"/>
        </w:rPr>
        <w:t xml:space="preserve"> and </w:t>
      </w:r>
      <w:proofErr w:type="spellStart"/>
      <w:r w:rsidR="00FA394B" w:rsidRPr="00CD384C">
        <w:rPr>
          <w:rFonts w:ascii="Times New Roman" w:hAnsi="Times New Roman" w:cs="Times New Roman"/>
          <w:sz w:val="20"/>
          <w:szCs w:val="20"/>
        </w:rPr>
        <w:t>Barail</w:t>
      </w:r>
      <w:proofErr w:type="spellEnd"/>
      <w:r w:rsidR="00FA394B" w:rsidRPr="00CD384C">
        <w:rPr>
          <w:rFonts w:ascii="Times New Roman" w:hAnsi="Times New Roman" w:cs="Times New Roman"/>
          <w:sz w:val="20"/>
          <w:szCs w:val="20"/>
        </w:rPr>
        <w:t xml:space="preserve"> groups, which are mechanically weak and prone to failure. </w:t>
      </w:r>
      <w:r w:rsidRPr="00CD384C">
        <w:rPr>
          <w:rFonts w:ascii="Times New Roman" w:hAnsi="Times New Roman" w:cs="Times New Roman"/>
          <w:sz w:val="20"/>
          <w:szCs w:val="20"/>
        </w:rPr>
        <w:t>Sparse rural settlements, road cutting, shifting cultivation and deforestation further contribute to landslide susceptibility.</w:t>
      </w:r>
    </w:p>
    <w:p w14:paraId="486F5FCE" w14:textId="77777777" w:rsidR="002D1AB2" w:rsidRPr="00CD384C" w:rsidRDefault="002D1AB2"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Materials</w:t>
      </w:r>
    </w:p>
    <w:p w14:paraId="73BB2CB0" w14:textId="77777777" w:rsidR="00B32F25" w:rsidRPr="00CD384C" w:rsidRDefault="00B32F25"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This study employed a comprehensive geospatial database to evaluate landslide susceptibility in Pherzawl District, Manipur. Multi-source satellite-derived datasets and ancillary thematic layers were used to construct the landslide conditioning factors. All spatial layers were processed in ArcGIS Pro and derived primarily from USGS Earth Explorer and open geospatial repositories. The analysis </w:t>
      </w:r>
      <w:r w:rsidR="00A560C0" w:rsidRPr="00CD384C">
        <w:rPr>
          <w:rFonts w:ascii="Times New Roman" w:hAnsi="Times New Roman" w:cs="Times New Roman"/>
          <w:sz w:val="20"/>
          <w:szCs w:val="20"/>
          <w:lang w:val="en-US"/>
        </w:rPr>
        <w:t>utilized</w:t>
      </w:r>
      <w:r w:rsidRPr="00CD384C">
        <w:rPr>
          <w:rFonts w:ascii="Times New Roman" w:hAnsi="Times New Roman" w:cs="Times New Roman"/>
          <w:sz w:val="20"/>
          <w:szCs w:val="20"/>
          <w:lang w:val="en-US"/>
        </w:rPr>
        <w:t xml:space="preserve"> 30-m spatial resolution datasets to ensure consistent pixel-based evaluation across the study area.</w:t>
      </w:r>
    </w:p>
    <w:p w14:paraId="6EAE4762" w14:textId="77777777" w:rsidR="00B32F25" w:rsidRPr="00CD384C" w:rsidRDefault="00B32F25"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Digital Elevation Model (DEM) data from Landsat-derived sources were used to extract topographic parameters including elev</w:t>
      </w:r>
      <w:r w:rsidR="00C516D3" w:rsidRPr="00CD384C">
        <w:rPr>
          <w:rFonts w:ascii="Times New Roman" w:hAnsi="Times New Roman" w:cs="Times New Roman"/>
          <w:sz w:val="20"/>
          <w:szCs w:val="20"/>
          <w:lang w:val="en-US"/>
        </w:rPr>
        <w:t>ation, slope, aspect, curvature and drainage density</w:t>
      </w:r>
      <w:r w:rsidRPr="00CD384C">
        <w:rPr>
          <w:rFonts w:ascii="Times New Roman" w:hAnsi="Times New Roman" w:cs="Times New Roman"/>
          <w:sz w:val="20"/>
          <w:szCs w:val="20"/>
          <w:lang w:val="en-US"/>
        </w:rPr>
        <w:t>. Land Use/Land Cover (LULC) information, geomorphology, lithology, soil types, and road networks were incorporated as thematic layers influencing terrain stability. Rainfall distribution data were obtained from gridded meteorological datasets and spatially interpolated to reflect local climatic gradients.</w:t>
      </w:r>
      <w:r w:rsidR="00035F5B" w:rsidRPr="00CD384C">
        <w:rPr>
          <w:rFonts w:ascii="Times New Roman" w:hAnsi="Times New Roman" w:cs="Times New Roman"/>
          <w:sz w:val="20"/>
          <w:szCs w:val="20"/>
          <w:lang w:val="en-US"/>
        </w:rPr>
        <w:t xml:space="preserve"> All datasets were projected to UTM Zone 46N (WGS-84). DEM and satellite products were standardized to 30 m resolution. The inventory was cross-verified using Google Earth time series and previous government hazard reports.</w:t>
      </w:r>
    </w:p>
    <w:p w14:paraId="2EF566B9" w14:textId="4FD487C6" w:rsidR="00B32F25" w:rsidRPr="00CD384C" w:rsidRDefault="00B32F25"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A total of 60 historical landslide locations were compiled from secondary sources and field references to construct the landslide inventory dataset</w:t>
      </w:r>
      <w:r w:rsidR="00F769D2">
        <w:rPr>
          <w:rFonts w:ascii="Times New Roman" w:hAnsi="Times New Roman" w:cs="Times New Roman"/>
          <w:sz w:val="20"/>
          <w:szCs w:val="20"/>
          <w:lang w:val="en-US"/>
        </w:rPr>
        <w:t xml:space="preserve"> (</w:t>
      </w:r>
      <w:proofErr w:type="spellStart"/>
      <w:r w:rsidR="00F769D2" w:rsidRPr="00012B18">
        <w:rPr>
          <w:sz w:val="20"/>
          <w:szCs w:val="20"/>
          <w:lang w:val="en-GB"/>
        </w:rPr>
        <w:t>Myronidis</w:t>
      </w:r>
      <w:proofErr w:type="spellEnd"/>
      <w:r w:rsidR="00F769D2" w:rsidRPr="00012B18">
        <w:rPr>
          <w:sz w:val="20"/>
          <w:szCs w:val="20"/>
          <w:lang w:val="en-GB"/>
        </w:rPr>
        <w:t xml:space="preserve">, D., </w:t>
      </w:r>
      <w:proofErr w:type="spellStart"/>
      <w:r w:rsidR="00F769D2" w:rsidRPr="00012B18">
        <w:rPr>
          <w:sz w:val="20"/>
          <w:szCs w:val="20"/>
          <w:lang w:val="en-GB"/>
        </w:rPr>
        <w:t>Papag</w:t>
      </w:r>
      <w:r w:rsidR="00F769D2">
        <w:rPr>
          <w:sz w:val="20"/>
          <w:szCs w:val="20"/>
          <w:lang w:val="en-GB"/>
        </w:rPr>
        <w:t>eorgiou</w:t>
      </w:r>
      <w:proofErr w:type="spellEnd"/>
      <w:r w:rsidR="00F769D2">
        <w:rPr>
          <w:sz w:val="20"/>
          <w:szCs w:val="20"/>
          <w:lang w:val="en-GB"/>
        </w:rPr>
        <w:t xml:space="preserve">, C., &amp; Theophanous, S. </w:t>
      </w:r>
      <w:r w:rsidR="00F769D2" w:rsidRPr="00012B18">
        <w:rPr>
          <w:sz w:val="20"/>
          <w:szCs w:val="20"/>
          <w:lang w:val="en-GB"/>
        </w:rPr>
        <w:t>2016</w:t>
      </w:r>
      <w:r w:rsidR="00F769D2">
        <w:rPr>
          <w:sz w:val="20"/>
          <w:szCs w:val="20"/>
          <w:lang w:val="en-GB"/>
        </w:rPr>
        <w:t>)</w:t>
      </w:r>
      <w:r w:rsidRPr="00CD384C">
        <w:rPr>
          <w:rFonts w:ascii="Times New Roman" w:hAnsi="Times New Roman" w:cs="Times New Roman"/>
          <w:sz w:val="20"/>
          <w:szCs w:val="20"/>
          <w:lang w:val="en-US"/>
        </w:rPr>
        <w:t xml:space="preserve">. The landslide </w:t>
      </w:r>
      <w:r w:rsidRPr="00CD384C">
        <w:rPr>
          <w:rFonts w:ascii="Times New Roman" w:hAnsi="Times New Roman" w:cs="Times New Roman"/>
          <w:sz w:val="20"/>
          <w:szCs w:val="20"/>
          <w:lang w:val="en-US"/>
        </w:rPr>
        <w:lastRenderedPageBreak/>
        <w:t>inventory served as the dependent variable for spatial modelling and was divided into training and validation sets (70:30 ratio) as per Q1-standard geospatial practice. Each raster layer was resampled to 30 m resolution and converted to polygon and pixel count</w:t>
      </w:r>
      <w:r w:rsidR="00692EB3">
        <w:rPr>
          <w:rFonts w:ascii="Times New Roman" w:hAnsi="Times New Roman" w:cs="Times New Roman"/>
          <w:sz w:val="20"/>
          <w:szCs w:val="20"/>
          <w:lang w:val="en-US"/>
        </w:rPr>
        <w:t xml:space="preserve">s as needed for frequency-ratio </w:t>
      </w:r>
      <w:r w:rsidRPr="00CD384C">
        <w:rPr>
          <w:rFonts w:ascii="Times New Roman" w:hAnsi="Times New Roman" w:cs="Times New Roman"/>
          <w:sz w:val="20"/>
          <w:szCs w:val="20"/>
          <w:lang w:val="en-US"/>
        </w:rPr>
        <w:t>based analysis. The Area Und</w:t>
      </w:r>
      <w:r w:rsidR="00A560C0" w:rsidRPr="00CD384C">
        <w:rPr>
          <w:rFonts w:ascii="Times New Roman" w:hAnsi="Times New Roman" w:cs="Times New Roman"/>
          <w:sz w:val="20"/>
          <w:szCs w:val="20"/>
          <w:lang w:val="en-US"/>
        </w:rPr>
        <w:t>er the Curve (AUC) value of 0.84</w:t>
      </w:r>
      <w:r w:rsidRPr="00CD384C">
        <w:rPr>
          <w:rFonts w:ascii="Times New Roman" w:hAnsi="Times New Roman" w:cs="Times New Roman"/>
          <w:sz w:val="20"/>
          <w:szCs w:val="20"/>
          <w:lang w:val="en-US"/>
        </w:rPr>
        <w:t xml:space="preserve"> confirmed </w:t>
      </w:r>
      <w:r w:rsidR="00A560C0" w:rsidRPr="00CD384C">
        <w:rPr>
          <w:rFonts w:ascii="Times New Roman" w:hAnsi="Times New Roman" w:cs="Times New Roman"/>
          <w:sz w:val="20"/>
          <w:szCs w:val="20"/>
          <w:lang w:val="en-US"/>
        </w:rPr>
        <w:t xml:space="preserve">very </w:t>
      </w:r>
      <w:r w:rsidRPr="00CD384C">
        <w:rPr>
          <w:rFonts w:ascii="Times New Roman" w:hAnsi="Times New Roman" w:cs="Times New Roman"/>
          <w:sz w:val="20"/>
          <w:szCs w:val="20"/>
          <w:lang w:val="en-US"/>
        </w:rPr>
        <w:t>good model performance, while total pixel records (2,538,635 pixels) reflected the spatial coverage of the 2,285 km² study area.</w:t>
      </w:r>
    </w:p>
    <w:p w14:paraId="1772A53F" w14:textId="77777777" w:rsidR="00B32F25" w:rsidRPr="00CD384C" w:rsidRDefault="00B32F25"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Methodology</w:t>
      </w:r>
    </w:p>
    <w:p w14:paraId="243A13CA" w14:textId="77777777" w:rsidR="00C12D4D" w:rsidRPr="00CD384C" w:rsidRDefault="0097785E" w:rsidP="000A5EDF">
      <w:pPr>
        <w:jc w:val="center"/>
        <w:rPr>
          <w:rFonts w:ascii="Times New Roman" w:hAnsi="Times New Roman" w:cs="Times New Roman"/>
          <w:b/>
          <w:sz w:val="20"/>
          <w:szCs w:val="20"/>
          <w:lang w:val="en-US"/>
        </w:rPr>
      </w:pPr>
      <w:r w:rsidRPr="00CD384C">
        <w:rPr>
          <w:rFonts w:ascii="Times New Roman" w:hAnsi="Times New Roman" w:cs="Times New Roman"/>
          <w:b/>
          <w:noProof/>
          <w:sz w:val="20"/>
          <w:szCs w:val="20"/>
          <w:lang w:eastAsia="en-IN"/>
        </w:rPr>
        <w:drawing>
          <wp:inline distT="0" distB="0" distL="0" distR="0" wp14:anchorId="75A5AE82" wp14:editId="7024AC8E">
            <wp:extent cx="3477600" cy="4477494"/>
            <wp:effectExtent l="0" t="0" r="8890" b="0"/>
            <wp:docPr id="18" name="Picture 18" descr="C:\Users\Gegen Haokip\Desktop\Pherzawl\NewP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gen Haokip\Desktop\Pherzawl\NewPZ.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6648" cy="4605020"/>
                    </a:xfrm>
                    <a:prstGeom prst="rect">
                      <a:avLst/>
                    </a:prstGeom>
                    <a:noFill/>
                    <a:ln>
                      <a:noFill/>
                    </a:ln>
                  </pic:spPr>
                </pic:pic>
              </a:graphicData>
            </a:graphic>
          </wp:inline>
        </w:drawing>
      </w:r>
    </w:p>
    <w:p w14:paraId="6316052C" w14:textId="305FA664" w:rsidR="002D36A7" w:rsidRPr="00CD384C" w:rsidRDefault="002D36A7" w:rsidP="00692EB3">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Chart 1. Methodological flow chart</w:t>
      </w:r>
      <w:r w:rsidR="00FC2AB6">
        <w:rPr>
          <w:rFonts w:ascii="Times New Roman" w:hAnsi="Times New Roman" w:cs="Times New Roman"/>
          <w:sz w:val="20"/>
          <w:szCs w:val="20"/>
          <w:lang w:val="en-US"/>
        </w:rPr>
        <w:t xml:space="preserve"> (generated using draw.io)</w:t>
      </w:r>
    </w:p>
    <w:p w14:paraId="5ED14C30" w14:textId="01B7F850" w:rsidR="004D06C8" w:rsidRPr="00CD384C" w:rsidRDefault="004D06C8"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This study employed a hybrid geospatial modelling framework integrating Frequency Ratio (FR) and Weight of Evidence (WOE), validated by Receiver Operating Characteristic (ROC) analysis, to assess landslide susceptibilit</w:t>
      </w:r>
      <w:r w:rsidR="00D9431B" w:rsidRPr="00CD384C">
        <w:rPr>
          <w:rFonts w:ascii="Times New Roman" w:eastAsia="Times New Roman" w:hAnsi="Times New Roman" w:cs="Times New Roman"/>
          <w:sz w:val="20"/>
          <w:szCs w:val="20"/>
          <w:lang w:eastAsia="en-IN"/>
        </w:rPr>
        <w:t>y in Pherzawl District, Manipur</w:t>
      </w:r>
      <w:r w:rsidRPr="00CD384C">
        <w:rPr>
          <w:rFonts w:ascii="Times New Roman" w:eastAsia="Times New Roman" w:hAnsi="Times New Roman" w:cs="Times New Roman"/>
          <w:sz w:val="20"/>
          <w:szCs w:val="20"/>
          <w:lang w:eastAsia="en-IN"/>
        </w:rPr>
        <w:t>.</w:t>
      </w:r>
    </w:p>
    <w:p w14:paraId="1E64BA29" w14:textId="61977C38" w:rsidR="00EE4751" w:rsidRPr="00CD384C" w:rsidRDefault="004D06C8"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Data Preparation and Inventory: A landslide inventory of 60 verified historical events was compiled using satellite imagery, secondary sources, and t</w:t>
      </w:r>
      <w:r w:rsidR="00EE4751" w:rsidRPr="00CD384C">
        <w:rPr>
          <w:rFonts w:ascii="Times New Roman" w:eastAsia="Times New Roman" w:hAnsi="Times New Roman" w:cs="Times New Roman"/>
          <w:sz w:val="20"/>
          <w:szCs w:val="20"/>
          <w:lang w:eastAsia="en-IN"/>
        </w:rPr>
        <w:t>errain interpretation (Chart 1)</w:t>
      </w:r>
      <w:r w:rsidRPr="00CD384C">
        <w:rPr>
          <w:rFonts w:ascii="Times New Roman" w:eastAsia="Times New Roman" w:hAnsi="Times New Roman" w:cs="Times New Roman"/>
          <w:sz w:val="20"/>
          <w:szCs w:val="20"/>
          <w:lang w:eastAsia="en-IN"/>
        </w:rPr>
        <w:t>. The inventory was randomly divided into training (70%) for model calibration and testing (30%) for indepe</w:t>
      </w:r>
      <w:r w:rsidR="00EE4751" w:rsidRPr="00CD384C">
        <w:rPr>
          <w:rFonts w:ascii="Times New Roman" w:eastAsia="Times New Roman" w:hAnsi="Times New Roman" w:cs="Times New Roman"/>
          <w:sz w:val="20"/>
          <w:szCs w:val="20"/>
          <w:lang w:eastAsia="en-IN"/>
        </w:rPr>
        <w:t>ndent accuracy validation</w:t>
      </w:r>
      <w:r w:rsidRPr="00CD384C">
        <w:rPr>
          <w:rFonts w:ascii="Times New Roman" w:eastAsia="Times New Roman" w:hAnsi="Times New Roman" w:cs="Times New Roman"/>
          <w:sz w:val="20"/>
          <w:szCs w:val="20"/>
          <w:lang w:eastAsia="en-IN"/>
        </w:rPr>
        <w:t>. The test sample adequately represented the district’s terrain variability, serving as an e</w:t>
      </w:r>
      <w:r w:rsidR="00EE4751" w:rsidRPr="00CD384C">
        <w:rPr>
          <w:rFonts w:ascii="Times New Roman" w:eastAsia="Times New Roman" w:hAnsi="Times New Roman" w:cs="Times New Roman"/>
          <w:sz w:val="20"/>
          <w:szCs w:val="20"/>
          <w:lang w:eastAsia="en-IN"/>
        </w:rPr>
        <w:t>ffective ground-truth reference</w:t>
      </w:r>
      <w:r w:rsidRPr="00CD384C">
        <w:rPr>
          <w:rFonts w:ascii="Times New Roman" w:eastAsia="Times New Roman" w:hAnsi="Times New Roman" w:cs="Times New Roman"/>
          <w:sz w:val="20"/>
          <w:szCs w:val="20"/>
          <w:lang w:eastAsia="en-IN"/>
        </w:rPr>
        <w:t>.</w:t>
      </w:r>
      <w:r w:rsidR="00EE4751" w:rsidRPr="00CD384C">
        <w:rPr>
          <w:rFonts w:ascii="Times New Roman" w:eastAsia="Times New Roman" w:hAnsi="Times New Roman" w:cs="Times New Roman"/>
          <w:sz w:val="20"/>
          <w:szCs w:val="20"/>
          <w:lang w:eastAsia="en-IN"/>
        </w:rPr>
        <w:t xml:space="preserve"> </w:t>
      </w:r>
      <w:r w:rsidRPr="00CD384C">
        <w:rPr>
          <w:rFonts w:ascii="Times New Roman" w:eastAsia="Times New Roman" w:hAnsi="Times New Roman" w:cs="Times New Roman"/>
          <w:sz w:val="20"/>
          <w:szCs w:val="20"/>
          <w:lang w:eastAsia="en-IN"/>
        </w:rPr>
        <w:t>All 11 spatial input layers (including elevation, slope, aspect, curvature, LULC, geomorphology, lithology, soil, d</w:t>
      </w:r>
      <w:r w:rsidR="00EE4751" w:rsidRPr="00CD384C">
        <w:rPr>
          <w:rFonts w:ascii="Times New Roman" w:eastAsia="Times New Roman" w:hAnsi="Times New Roman" w:cs="Times New Roman"/>
          <w:sz w:val="20"/>
          <w:szCs w:val="20"/>
          <w:lang w:eastAsia="en-IN"/>
        </w:rPr>
        <w:t>rainage density, road proximity</w:t>
      </w:r>
      <w:r w:rsidRPr="00CD384C">
        <w:rPr>
          <w:rFonts w:ascii="Times New Roman" w:eastAsia="Times New Roman" w:hAnsi="Times New Roman" w:cs="Times New Roman"/>
          <w:sz w:val="20"/>
          <w:szCs w:val="20"/>
          <w:lang w:eastAsia="en-IN"/>
        </w:rPr>
        <w:t xml:space="preserve"> and rainfall) were prepared at a 30-m resolution</w:t>
      </w:r>
      <w:r w:rsidR="00EE4751" w:rsidRPr="00CD384C">
        <w:rPr>
          <w:rFonts w:ascii="Times New Roman" w:eastAsia="Times New Roman" w:hAnsi="Times New Roman" w:cs="Times New Roman"/>
          <w:sz w:val="20"/>
          <w:szCs w:val="20"/>
          <w:lang w:eastAsia="en-IN"/>
        </w:rPr>
        <w:t xml:space="preserve"> using USGS and ArcGIS datasets</w:t>
      </w:r>
      <w:r w:rsidRPr="00CD384C">
        <w:rPr>
          <w:rFonts w:ascii="Times New Roman" w:eastAsia="Times New Roman" w:hAnsi="Times New Roman" w:cs="Times New Roman"/>
          <w:sz w:val="20"/>
          <w:szCs w:val="20"/>
          <w:lang w:eastAsia="en-IN"/>
        </w:rPr>
        <w:t xml:space="preserve">. Thematic layers were reclassified into </w:t>
      </w:r>
      <w:r w:rsidR="00EE4751" w:rsidRPr="00CD384C">
        <w:rPr>
          <w:rFonts w:ascii="Times New Roman" w:eastAsia="Times New Roman" w:hAnsi="Times New Roman" w:cs="Times New Roman"/>
          <w:sz w:val="20"/>
          <w:szCs w:val="20"/>
          <w:lang w:eastAsia="en-IN"/>
        </w:rPr>
        <w:t>geomorphological</w:t>
      </w:r>
      <w:r w:rsidRPr="00CD384C">
        <w:rPr>
          <w:rFonts w:ascii="Times New Roman" w:eastAsia="Times New Roman" w:hAnsi="Times New Roman" w:cs="Times New Roman"/>
          <w:sz w:val="20"/>
          <w:szCs w:val="20"/>
          <w:lang w:eastAsia="en-IN"/>
        </w:rPr>
        <w:t xml:space="preserve"> meaningf</w:t>
      </w:r>
      <w:r w:rsidR="00EE4751" w:rsidRPr="00CD384C">
        <w:rPr>
          <w:rFonts w:ascii="Times New Roman" w:eastAsia="Times New Roman" w:hAnsi="Times New Roman" w:cs="Times New Roman"/>
          <w:sz w:val="20"/>
          <w:szCs w:val="20"/>
          <w:lang w:eastAsia="en-IN"/>
        </w:rPr>
        <w:t>ul classes using natural breaks</w:t>
      </w:r>
      <w:r w:rsidR="00DD2683">
        <w:rPr>
          <w:rFonts w:ascii="Times New Roman" w:eastAsia="Times New Roman" w:hAnsi="Times New Roman" w:cs="Times New Roman"/>
          <w:sz w:val="20"/>
          <w:szCs w:val="20"/>
          <w:lang w:eastAsia="en-IN"/>
        </w:rPr>
        <w:t xml:space="preserve"> (</w:t>
      </w:r>
      <w:proofErr w:type="spellStart"/>
      <w:r w:rsidR="00DD2683" w:rsidRPr="00795E9A">
        <w:rPr>
          <w:rFonts w:ascii="Times New Roman" w:hAnsi="Times New Roman" w:cs="Times New Roman"/>
          <w:sz w:val="20"/>
          <w:szCs w:val="20"/>
          <w:lang w:val="en-US"/>
        </w:rPr>
        <w:t>Alsabhan</w:t>
      </w:r>
      <w:proofErr w:type="spellEnd"/>
      <w:r w:rsidR="00DD2683" w:rsidRPr="00795E9A">
        <w:rPr>
          <w:rFonts w:ascii="Times New Roman" w:hAnsi="Times New Roman" w:cs="Times New Roman"/>
          <w:sz w:val="20"/>
          <w:szCs w:val="20"/>
          <w:lang w:val="en-US"/>
        </w:rPr>
        <w:t xml:space="preserve">, A. H., Patel, </w:t>
      </w:r>
      <w:r w:rsidR="00DD2683">
        <w:rPr>
          <w:rFonts w:ascii="Times New Roman" w:hAnsi="Times New Roman" w:cs="Times New Roman"/>
          <w:sz w:val="20"/>
          <w:szCs w:val="20"/>
          <w:lang w:val="en-US"/>
        </w:rPr>
        <w:t xml:space="preserve">H. R., Joseph, S., &amp; Kumar, P. </w:t>
      </w:r>
      <w:r w:rsidR="00DD2683" w:rsidRPr="00795E9A">
        <w:rPr>
          <w:rFonts w:ascii="Times New Roman" w:hAnsi="Times New Roman" w:cs="Times New Roman"/>
          <w:sz w:val="20"/>
          <w:szCs w:val="20"/>
          <w:lang w:val="en-US"/>
        </w:rPr>
        <w:t>2023)</w:t>
      </w:r>
      <w:r w:rsidR="00DD2683">
        <w:rPr>
          <w:rFonts w:ascii="Times New Roman" w:hAnsi="Times New Roman" w:cs="Times New Roman"/>
          <w:sz w:val="20"/>
          <w:szCs w:val="20"/>
          <w:lang w:val="en-US"/>
        </w:rPr>
        <w:t>.</w:t>
      </w:r>
    </w:p>
    <w:p w14:paraId="19467FE1" w14:textId="77777777" w:rsidR="00062D2E" w:rsidRPr="00CD384C" w:rsidRDefault="004D06C8"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Hybrid Model Calibration</w:t>
      </w:r>
      <w:r w:rsidR="00EE4751" w:rsidRPr="00CD384C">
        <w:rPr>
          <w:rFonts w:ascii="Times New Roman" w:eastAsia="Times New Roman" w:hAnsi="Times New Roman" w:cs="Times New Roman"/>
          <w:sz w:val="20"/>
          <w:szCs w:val="20"/>
          <w:lang w:eastAsia="en-IN"/>
        </w:rPr>
        <w:t xml:space="preserve">: </w:t>
      </w:r>
      <w:r w:rsidRPr="00CD384C">
        <w:rPr>
          <w:rFonts w:ascii="Times New Roman" w:eastAsia="Times New Roman" w:hAnsi="Times New Roman" w:cs="Times New Roman"/>
          <w:sz w:val="20"/>
          <w:szCs w:val="20"/>
          <w:lang w:eastAsia="en-IN"/>
        </w:rPr>
        <w:t>The FR values were calculated for each class and then normalized using min–max scaling to ensure compati</w:t>
      </w:r>
      <w:r w:rsidR="00062D2E" w:rsidRPr="00CD384C">
        <w:rPr>
          <w:rFonts w:ascii="Times New Roman" w:eastAsia="Times New Roman" w:hAnsi="Times New Roman" w:cs="Times New Roman"/>
          <w:sz w:val="20"/>
          <w:szCs w:val="20"/>
          <w:lang w:eastAsia="en-IN"/>
        </w:rPr>
        <w:t>bility with WOE contrast values</w:t>
      </w:r>
      <w:r w:rsidRPr="00CD384C">
        <w:rPr>
          <w:rFonts w:ascii="Times New Roman" w:eastAsia="Times New Roman" w:hAnsi="Times New Roman" w:cs="Times New Roman"/>
          <w:sz w:val="20"/>
          <w:szCs w:val="20"/>
          <w:lang w:eastAsia="en-IN"/>
        </w:rPr>
        <w:t xml:space="preserve">. </w:t>
      </w:r>
      <w:r w:rsidR="00EE4751" w:rsidRPr="00CD384C">
        <w:rPr>
          <w:rFonts w:ascii="Times New Roman" w:eastAsia="Times New Roman" w:hAnsi="Times New Roman" w:cs="Times New Roman"/>
          <w:sz w:val="20"/>
          <w:szCs w:val="20"/>
          <w:lang w:eastAsia="en-IN"/>
        </w:rPr>
        <w:t>WOE analysis derived positive (W</w:t>
      </w:r>
      <w:r w:rsidR="00EE4751" w:rsidRPr="00CD384C">
        <w:rPr>
          <w:rFonts w:ascii="Times New Roman" w:eastAsia="Times New Roman" w:hAnsi="Times New Roman" w:cs="Times New Roman"/>
          <w:sz w:val="20"/>
          <w:szCs w:val="20"/>
          <w:vertAlign w:val="superscript"/>
          <w:lang w:eastAsia="en-IN"/>
        </w:rPr>
        <w:t>+</w:t>
      </w:r>
      <w:r w:rsidR="00EE4751" w:rsidRPr="00CD384C">
        <w:rPr>
          <w:rFonts w:ascii="Times New Roman" w:eastAsia="Times New Roman" w:hAnsi="Times New Roman" w:cs="Times New Roman"/>
          <w:sz w:val="20"/>
          <w:szCs w:val="20"/>
          <w:lang w:eastAsia="en-IN"/>
        </w:rPr>
        <w:t>) and negative (W</w:t>
      </w:r>
      <w:r w:rsidR="00EE4751"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weights based on the spatial correlation between conditioning facto</w:t>
      </w:r>
      <w:r w:rsidR="00062D2E" w:rsidRPr="00CD384C">
        <w:rPr>
          <w:rFonts w:ascii="Times New Roman" w:eastAsia="Times New Roman" w:hAnsi="Times New Roman" w:cs="Times New Roman"/>
          <w:sz w:val="20"/>
          <w:szCs w:val="20"/>
          <w:lang w:eastAsia="en-IN"/>
        </w:rPr>
        <w:t>rs and landslide occurrences</w:t>
      </w:r>
      <w:r w:rsidRPr="00CD384C">
        <w:rPr>
          <w:rFonts w:ascii="Times New Roman" w:eastAsia="Times New Roman" w:hAnsi="Times New Roman" w:cs="Times New Roman"/>
          <w:sz w:val="20"/>
          <w:szCs w:val="20"/>
          <w:lang w:eastAsia="en-IN"/>
        </w:rPr>
        <w:t>.</w:t>
      </w:r>
    </w:p>
    <w:p w14:paraId="40A48B11" w14:textId="77777777" w:rsidR="00062D2E" w:rsidRPr="00CD384C" w:rsidRDefault="004D06C8"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lastRenderedPageBreak/>
        <w:t>Hybrid weights were assigned to each layer by standardizing the WOE contrasts and summing the</w:t>
      </w:r>
      <w:r w:rsidR="00062D2E" w:rsidRPr="00CD384C">
        <w:rPr>
          <w:rFonts w:ascii="Times New Roman" w:eastAsia="Times New Roman" w:hAnsi="Times New Roman" w:cs="Times New Roman"/>
          <w:sz w:val="20"/>
          <w:szCs w:val="20"/>
          <w:lang w:eastAsia="en-IN"/>
        </w:rPr>
        <w:t>m with the normalized FR values</w:t>
      </w:r>
      <w:r w:rsidRPr="00CD384C">
        <w:rPr>
          <w:rFonts w:ascii="Times New Roman" w:eastAsia="Times New Roman" w:hAnsi="Times New Roman" w:cs="Times New Roman"/>
          <w:sz w:val="20"/>
          <w:szCs w:val="20"/>
          <w:lang w:eastAsia="en-IN"/>
        </w:rPr>
        <w:t>. The final Landslide Susceptibility Index (LSI) was produced through weighted linear summation and r</w:t>
      </w:r>
      <w:r w:rsidR="00062D2E" w:rsidRPr="00CD384C">
        <w:rPr>
          <w:rFonts w:ascii="Times New Roman" w:eastAsia="Times New Roman" w:hAnsi="Times New Roman" w:cs="Times New Roman"/>
          <w:sz w:val="20"/>
          <w:szCs w:val="20"/>
          <w:lang w:eastAsia="en-IN"/>
        </w:rPr>
        <w:t>aster overlay analysis</w:t>
      </w:r>
      <w:r w:rsidRPr="00CD384C">
        <w:rPr>
          <w:rFonts w:ascii="Times New Roman" w:eastAsia="Times New Roman" w:hAnsi="Times New Roman" w:cs="Times New Roman"/>
          <w:sz w:val="20"/>
          <w:szCs w:val="20"/>
          <w:lang w:eastAsia="en-IN"/>
        </w:rPr>
        <w:t>.</w:t>
      </w:r>
    </w:p>
    <w:p w14:paraId="0377EB17" w14:textId="77777777" w:rsidR="004D06C8" w:rsidRPr="00CD384C" w:rsidRDefault="004D06C8"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Model Validation and Zonation</w:t>
      </w:r>
      <w:r w:rsidR="00062D2E" w:rsidRPr="00CD384C">
        <w:rPr>
          <w:rFonts w:ascii="Times New Roman" w:eastAsia="Times New Roman" w:hAnsi="Times New Roman" w:cs="Times New Roman"/>
          <w:sz w:val="20"/>
          <w:szCs w:val="20"/>
          <w:lang w:eastAsia="en-IN"/>
        </w:rPr>
        <w:t xml:space="preserve">: </w:t>
      </w:r>
      <w:r w:rsidRPr="00CD384C">
        <w:rPr>
          <w:rFonts w:ascii="Times New Roman" w:eastAsia="Times New Roman" w:hAnsi="Times New Roman" w:cs="Times New Roman"/>
          <w:sz w:val="20"/>
          <w:szCs w:val="20"/>
          <w:lang w:eastAsia="en-IN"/>
        </w:rPr>
        <w:t>Model performance was evalu</w:t>
      </w:r>
      <w:r w:rsidR="00062D2E" w:rsidRPr="00CD384C">
        <w:rPr>
          <w:rFonts w:ascii="Times New Roman" w:eastAsia="Times New Roman" w:hAnsi="Times New Roman" w:cs="Times New Roman"/>
          <w:sz w:val="20"/>
          <w:szCs w:val="20"/>
          <w:lang w:eastAsia="en-IN"/>
        </w:rPr>
        <w:t>ated using ROC curve analysis</w:t>
      </w:r>
      <w:r w:rsidRPr="00CD384C">
        <w:rPr>
          <w:rFonts w:ascii="Times New Roman" w:eastAsia="Times New Roman" w:hAnsi="Times New Roman" w:cs="Times New Roman"/>
          <w:sz w:val="20"/>
          <w:szCs w:val="20"/>
          <w:lang w:eastAsia="en-IN"/>
        </w:rPr>
        <w:t>, yield</w:t>
      </w:r>
      <w:r w:rsidR="00062D2E" w:rsidRPr="00CD384C">
        <w:rPr>
          <w:rFonts w:ascii="Times New Roman" w:eastAsia="Times New Roman" w:hAnsi="Times New Roman" w:cs="Times New Roman"/>
          <w:sz w:val="20"/>
          <w:szCs w:val="20"/>
          <w:lang w:eastAsia="en-IN"/>
        </w:rPr>
        <w:t>ing an Area Under Curve (AUC) value of 0.84</w:t>
      </w:r>
      <w:r w:rsidRPr="00CD384C">
        <w:rPr>
          <w:rFonts w:ascii="Times New Roman" w:eastAsia="Times New Roman" w:hAnsi="Times New Roman" w:cs="Times New Roman"/>
          <w:sz w:val="20"/>
          <w:szCs w:val="20"/>
          <w:lang w:eastAsia="en-IN"/>
        </w:rPr>
        <w:t xml:space="preserve">. This value indicates strong predictive accuracy and robust classification </w:t>
      </w:r>
      <w:r w:rsidR="00062D2E" w:rsidRPr="00CD384C">
        <w:rPr>
          <w:rFonts w:ascii="Times New Roman" w:eastAsia="Times New Roman" w:hAnsi="Times New Roman" w:cs="Times New Roman"/>
          <w:sz w:val="20"/>
          <w:szCs w:val="20"/>
          <w:lang w:eastAsia="en-IN"/>
        </w:rPr>
        <w:t>capability</w:t>
      </w:r>
      <w:r w:rsidRPr="00CD384C">
        <w:rPr>
          <w:rFonts w:ascii="Times New Roman" w:eastAsia="Times New Roman" w:hAnsi="Times New Roman" w:cs="Times New Roman"/>
          <w:sz w:val="20"/>
          <w:szCs w:val="20"/>
          <w:lang w:eastAsia="en-IN"/>
        </w:rPr>
        <w:t>.</w:t>
      </w:r>
      <w:r w:rsidR="00062D2E" w:rsidRPr="00CD384C">
        <w:rPr>
          <w:rFonts w:ascii="Times New Roman" w:eastAsia="Times New Roman" w:hAnsi="Times New Roman" w:cs="Times New Roman"/>
          <w:sz w:val="20"/>
          <w:szCs w:val="20"/>
          <w:lang w:eastAsia="en-IN"/>
        </w:rPr>
        <w:t xml:space="preserve"> </w:t>
      </w:r>
      <w:r w:rsidRPr="00CD384C">
        <w:rPr>
          <w:rFonts w:ascii="Times New Roman" w:eastAsia="Times New Roman" w:hAnsi="Times New Roman" w:cs="Times New Roman"/>
          <w:sz w:val="20"/>
          <w:szCs w:val="20"/>
          <w:lang w:eastAsia="en-IN"/>
        </w:rPr>
        <w:t>The resulting susceptibility map categorized Pherz</w:t>
      </w:r>
      <w:r w:rsidR="00062D2E" w:rsidRPr="00CD384C">
        <w:rPr>
          <w:rFonts w:ascii="Times New Roman" w:eastAsia="Times New Roman" w:hAnsi="Times New Roman" w:cs="Times New Roman"/>
          <w:sz w:val="20"/>
          <w:szCs w:val="20"/>
          <w:lang w:eastAsia="en-IN"/>
        </w:rPr>
        <w:t>awl District into low, moderate</w:t>
      </w:r>
      <w:r w:rsidRPr="00CD384C">
        <w:rPr>
          <w:rFonts w:ascii="Times New Roman" w:eastAsia="Times New Roman" w:hAnsi="Times New Roman" w:cs="Times New Roman"/>
          <w:sz w:val="20"/>
          <w:szCs w:val="20"/>
          <w:lang w:eastAsia="en-IN"/>
        </w:rPr>
        <w:t xml:space="preserve"> and high-risk zones, validated agains</w:t>
      </w:r>
      <w:r w:rsidR="00062D2E" w:rsidRPr="00CD384C">
        <w:rPr>
          <w:rFonts w:ascii="Times New Roman" w:eastAsia="Times New Roman" w:hAnsi="Times New Roman" w:cs="Times New Roman"/>
          <w:sz w:val="20"/>
          <w:szCs w:val="20"/>
          <w:lang w:eastAsia="en-IN"/>
        </w:rPr>
        <w:t>t the independent test dataset</w:t>
      </w:r>
      <w:r w:rsidRPr="00CD384C">
        <w:rPr>
          <w:rFonts w:ascii="Times New Roman" w:eastAsia="Times New Roman" w:hAnsi="Times New Roman" w:cs="Times New Roman"/>
          <w:sz w:val="20"/>
          <w:szCs w:val="20"/>
          <w:lang w:eastAsia="en-IN"/>
        </w:rPr>
        <w:t>. All geospatial analysis and modellin</w:t>
      </w:r>
      <w:r w:rsidR="00062D2E" w:rsidRPr="00CD384C">
        <w:rPr>
          <w:rFonts w:ascii="Times New Roman" w:eastAsia="Times New Roman" w:hAnsi="Times New Roman" w:cs="Times New Roman"/>
          <w:sz w:val="20"/>
          <w:szCs w:val="20"/>
          <w:lang w:eastAsia="en-IN"/>
        </w:rPr>
        <w:t>g were performed in ArcGIS</w:t>
      </w:r>
      <w:r w:rsidRPr="00CD384C">
        <w:rPr>
          <w:rFonts w:ascii="Times New Roman" w:eastAsia="Times New Roman" w:hAnsi="Times New Roman" w:cs="Times New Roman"/>
          <w:sz w:val="20"/>
          <w:szCs w:val="20"/>
          <w:lang w:eastAsia="en-IN"/>
        </w:rPr>
        <w:t>.</w:t>
      </w:r>
    </w:p>
    <w:p w14:paraId="2A8271A7" w14:textId="77777777" w:rsidR="00C6711A" w:rsidRPr="00CD384C" w:rsidRDefault="00C6711A"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Parameters</w:t>
      </w:r>
    </w:p>
    <w:p w14:paraId="694ED228" w14:textId="77777777" w:rsidR="00E04149" w:rsidRPr="00CD384C" w:rsidRDefault="00E04149"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Elevation</w:t>
      </w:r>
    </w:p>
    <w:p w14:paraId="0FE1351B" w14:textId="5F3B1AF3" w:rsidR="00E04149" w:rsidRPr="00CD384C" w:rsidRDefault="00E0414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The elevation map shows varied topography across the study area, ranging from lowlands below 200 m to high mountainous zones above 1300 m. The western and central regions mostly consist of lower to mid-elevation terrain (200–900 m), while the eastern and southeastern parts exhibit higher elevations exceeding 1300 m. The rugged high-altitude zones suggest steep slopes and greater susceptibility to erosion and landslides</w:t>
      </w:r>
      <w:r w:rsidR="00702839">
        <w:rPr>
          <w:rFonts w:ascii="Times New Roman" w:hAnsi="Times New Roman" w:cs="Times New Roman"/>
          <w:sz w:val="20"/>
          <w:szCs w:val="20"/>
          <w:lang w:val="en-US"/>
        </w:rPr>
        <w:t xml:space="preserve"> (figure</w:t>
      </w:r>
      <w:r w:rsidR="00D52F58" w:rsidRPr="00CD384C">
        <w:rPr>
          <w:rFonts w:ascii="Times New Roman" w:hAnsi="Times New Roman" w:cs="Times New Roman"/>
          <w:sz w:val="20"/>
          <w:szCs w:val="20"/>
          <w:lang w:val="en-US"/>
        </w:rPr>
        <w:t xml:space="preserve"> 2)</w:t>
      </w:r>
      <w:r w:rsidRPr="00CD384C">
        <w:rPr>
          <w:rFonts w:ascii="Times New Roman" w:hAnsi="Times New Roman" w:cs="Times New Roman"/>
          <w:sz w:val="20"/>
          <w:szCs w:val="20"/>
          <w:lang w:val="en-US"/>
        </w:rPr>
        <w:t>.</w:t>
      </w:r>
    </w:p>
    <w:p w14:paraId="4DBF07DA" w14:textId="77777777" w:rsidR="00C6711A" w:rsidRPr="00CD384C" w:rsidRDefault="00C6711A" w:rsidP="002F59EF">
      <w:pPr>
        <w:jc w:val="both"/>
        <w:rPr>
          <w:rFonts w:ascii="Times New Roman" w:hAnsi="Times New Roman" w:cs="Times New Roman"/>
          <w:sz w:val="20"/>
          <w:szCs w:val="20"/>
          <w:lang w:val="en-US"/>
        </w:rPr>
      </w:pPr>
    </w:p>
    <w:p w14:paraId="349D1521" w14:textId="77777777" w:rsidR="00322EEB" w:rsidRPr="00CD384C" w:rsidRDefault="00C6711A" w:rsidP="00D52F58">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eastAsia="en-IN"/>
        </w:rPr>
        <w:drawing>
          <wp:inline distT="0" distB="0" distL="0" distR="0" wp14:anchorId="49FCC330" wp14:editId="00D8EF2B">
            <wp:extent cx="2064385" cy="2671557"/>
            <wp:effectExtent l="0" t="0" r="0" b="0"/>
            <wp:docPr id="3" name="Picture 3" descr="C:\Users\Gegen Haokip\Desktop\Pherzawl\MAPS\elevation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gen Haokip\Desktop\Pherzawl\MAPS\elevation 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6982" cy="2687859"/>
                    </a:xfrm>
                    <a:prstGeom prst="rect">
                      <a:avLst/>
                    </a:prstGeom>
                    <a:noFill/>
                    <a:ln>
                      <a:noFill/>
                    </a:ln>
                  </pic:spPr>
                </pic:pic>
              </a:graphicData>
            </a:graphic>
          </wp:inline>
        </w:drawing>
      </w:r>
    </w:p>
    <w:p w14:paraId="09407227" w14:textId="77777777" w:rsidR="00483658" w:rsidRPr="00CD384C" w:rsidRDefault="00322EEB" w:rsidP="00692EB3">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2. Digital Elevation Model (DEM</w:t>
      </w:r>
      <w:r w:rsidR="00483658" w:rsidRPr="00CD384C">
        <w:rPr>
          <w:rFonts w:ascii="Times New Roman" w:hAnsi="Times New Roman" w:cs="Times New Roman"/>
          <w:sz w:val="20"/>
          <w:szCs w:val="20"/>
          <w:lang w:val="en-US"/>
        </w:rPr>
        <w:t>) showing altitudinal variation.</w:t>
      </w:r>
    </w:p>
    <w:p w14:paraId="0867E982" w14:textId="77777777" w:rsidR="005141A9" w:rsidRPr="00CD384C" w:rsidRDefault="005141A9"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Slope</w:t>
      </w:r>
    </w:p>
    <w:p w14:paraId="1575E191" w14:textId="1535CA6B" w:rsidR="005141A9" w:rsidRPr="00CD384C" w:rsidRDefault="005141A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The slope map illustrates variation in terrain steepness across the region. Gentle slopes (0–15°) dominate the western and central parts, indicating relatively stable and suitable areas for settlement and agriculture. Moderate to steep slopes (15–45°) increase toward the east and southeast, where rugged mountainous terrain is evident. The steepest zones (&gt;45°) are concentrated in high-elevation ridges, indicating higher erosion and landslide susceptibility</w:t>
      </w:r>
      <w:r w:rsidR="00844B6F">
        <w:rPr>
          <w:rFonts w:ascii="Times New Roman" w:hAnsi="Times New Roman" w:cs="Times New Roman"/>
          <w:sz w:val="20"/>
          <w:szCs w:val="20"/>
          <w:lang w:val="en-US"/>
        </w:rPr>
        <w:t xml:space="preserve"> (figure</w:t>
      </w:r>
      <w:r w:rsidR="00570A75" w:rsidRPr="00CD384C">
        <w:rPr>
          <w:rFonts w:ascii="Times New Roman" w:hAnsi="Times New Roman" w:cs="Times New Roman"/>
          <w:sz w:val="20"/>
          <w:szCs w:val="20"/>
          <w:lang w:val="en-US"/>
        </w:rPr>
        <w:t xml:space="preserve"> 3)</w:t>
      </w:r>
      <w:r w:rsidRPr="00CD384C">
        <w:rPr>
          <w:rFonts w:ascii="Times New Roman" w:hAnsi="Times New Roman" w:cs="Times New Roman"/>
          <w:sz w:val="20"/>
          <w:szCs w:val="20"/>
          <w:lang w:val="en-US"/>
        </w:rPr>
        <w:t>.</w:t>
      </w:r>
    </w:p>
    <w:p w14:paraId="665B3A23" w14:textId="77777777" w:rsidR="00322EEB" w:rsidRPr="00CD384C" w:rsidRDefault="00C6711A" w:rsidP="00570A75">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eastAsia="en-IN"/>
        </w:rPr>
        <w:lastRenderedPageBreak/>
        <w:drawing>
          <wp:inline distT="0" distB="0" distL="0" distR="0" wp14:anchorId="191B3AE8" wp14:editId="44AFA2DC">
            <wp:extent cx="1937462" cy="2507304"/>
            <wp:effectExtent l="0" t="0" r="5715" b="7620"/>
            <wp:docPr id="4" name="Picture 4" descr="C:\Users\Gegen Haokip\Desktop\Pherzawl\MAPS\slo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gen Haokip\Desktop\Pherzawl\MAPS\slope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2917" cy="2514364"/>
                    </a:xfrm>
                    <a:prstGeom prst="rect">
                      <a:avLst/>
                    </a:prstGeom>
                    <a:noFill/>
                    <a:ln>
                      <a:noFill/>
                    </a:ln>
                  </pic:spPr>
                </pic:pic>
              </a:graphicData>
            </a:graphic>
          </wp:inline>
        </w:drawing>
      </w:r>
    </w:p>
    <w:p w14:paraId="54D22EF9" w14:textId="77777777" w:rsidR="00F32133" w:rsidRPr="00CD384C" w:rsidRDefault="00322EEB" w:rsidP="00692EB3">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3. Slope classification map depicting steep slope</w:t>
      </w:r>
      <w:r w:rsidR="00F32133" w:rsidRPr="00CD384C">
        <w:rPr>
          <w:rFonts w:ascii="Times New Roman" w:hAnsi="Times New Roman" w:cs="Times New Roman"/>
          <w:sz w:val="20"/>
          <w:szCs w:val="20"/>
          <w:lang w:val="en-US"/>
        </w:rPr>
        <w:t>.</w:t>
      </w:r>
    </w:p>
    <w:p w14:paraId="1E60F3A1" w14:textId="77777777" w:rsidR="005141A9" w:rsidRPr="00CD384C" w:rsidRDefault="005141A9"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Aspect</w:t>
      </w:r>
    </w:p>
    <w:p w14:paraId="086F33EB" w14:textId="58C9552A" w:rsidR="005141A9" w:rsidRPr="00CD384C" w:rsidRDefault="005141A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The aspect map depicts the directional orientation of slopes within the study area, revealing varied terrain exposure patterns. North-, east-, south-, and west-facing slopes are distributed throughout the region, reflecting complex topography. Aspect influences micro-climatic conditions, including sunlig</w:t>
      </w:r>
      <w:r w:rsidR="00692EB3">
        <w:rPr>
          <w:rFonts w:ascii="Times New Roman" w:hAnsi="Times New Roman" w:cs="Times New Roman"/>
          <w:sz w:val="20"/>
          <w:szCs w:val="20"/>
          <w:lang w:val="en-US"/>
        </w:rPr>
        <w:t>ht exposure, moisture retention</w:t>
      </w:r>
      <w:r w:rsidRPr="00CD384C">
        <w:rPr>
          <w:rFonts w:ascii="Times New Roman" w:hAnsi="Times New Roman" w:cs="Times New Roman"/>
          <w:sz w:val="20"/>
          <w:szCs w:val="20"/>
          <w:lang w:val="en-US"/>
        </w:rPr>
        <w:t xml:space="preserve"> and vegetation distribution. South- and southwest-facing slopes generally receive more sunlight, potentially increasing soil dryness and erosion vulnerability in steep zones</w:t>
      </w:r>
      <w:r w:rsidR="00232096">
        <w:rPr>
          <w:rFonts w:ascii="Times New Roman" w:hAnsi="Times New Roman" w:cs="Times New Roman"/>
          <w:sz w:val="20"/>
          <w:szCs w:val="20"/>
          <w:lang w:val="en-US"/>
        </w:rPr>
        <w:t xml:space="preserve"> (figure</w:t>
      </w:r>
      <w:r w:rsidR="00A44DA1" w:rsidRPr="00CD384C">
        <w:rPr>
          <w:rFonts w:ascii="Times New Roman" w:hAnsi="Times New Roman" w:cs="Times New Roman"/>
          <w:sz w:val="20"/>
          <w:szCs w:val="20"/>
          <w:lang w:val="en-US"/>
        </w:rPr>
        <w:t xml:space="preserve"> 4)</w:t>
      </w:r>
      <w:r w:rsidRPr="00CD384C">
        <w:rPr>
          <w:rFonts w:ascii="Times New Roman" w:hAnsi="Times New Roman" w:cs="Times New Roman"/>
          <w:sz w:val="20"/>
          <w:szCs w:val="20"/>
          <w:lang w:val="en-US"/>
        </w:rPr>
        <w:t>.</w:t>
      </w:r>
    </w:p>
    <w:p w14:paraId="2D277C57" w14:textId="77777777" w:rsidR="00322EEB" w:rsidRPr="00CD384C" w:rsidRDefault="00C6711A" w:rsidP="00A44DA1">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eastAsia="en-IN"/>
        </w:rPr>
        <w:drawing>
          <wp:inline distT="0" distB="0" distL="0" distR="0" wp14:anchorId="21079DD4" wp14:editId="3C3E8191">
            <wp:extent cx="1972416" cy="2552538"/>
            <wp:effectExtent l="0" t="0" r="8890" b="635"/>
            <wp:docPr id="5" name="Picture 5" descr="C:\Users\Gegen Haokip\Desktop\Pherzawl\MAPS\ASP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gen Haokip\Desktop\Pherzawl\MAPS\ASPEC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4848" cy="2555686"/>
                    </a:xfrm>
                    <a:prstGeom prst="rect">
                      <a:avLst/>
                    </a:prstGeom>
                    <a:noFill/>
                    <a:ln>
                      <a:noFill/>
                    </a:ln>
                  </pic:spPr>
                </pic:pic>
              </a:graphicData>
            </a:graphic>
          </wp:inline>
        </w:drawing>
      </w:r>
    </w:p>
    <w:p w14:paraId="5ED9D166" w14:textId="77777777" w:rsidR="00322EEB" w:rsidRPr="00CD384C" w:rsidRDefault="00322EEB" w:rsidP="005838FB">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4. Aspect map indicating directional slope orientation.</w:t>
      </w:r>
    </w:p>
    <w:p w14:paraId="65430DF2" w14:textId="77777777" w:rsidR="005141A9" w:rsidRPr="00CD384C" w:rsidRDefault="005141A9"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Curvature</w:t>
      </w:r>
    </w:p>
    <w:p w14:paraId="587AD939" w14:textId="77777777" w:rsidR="005141A9" w:rsidRPr="00CD384C" w:rsidRDefault="005141A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his curvature map analyzes the shape of the terrain. The legend classifies areas as convex (negative va</w:t>
      </w:r>
      <w:r w:rsidR="00670545">
        <w:rPr>
          <w:rFonts w:ascii="Times New Roman" w:hAnsi="Times New Roman" w:cs="Times New Roman"/>
          <w:sz w:val="20"/>
          <w:szCs w:val="20"/>
          <w:lang w:val="en-US"/>
        </w:rPr>
        <w:t>lues, ridges), flat (near-zero)</w:t>
      </w:r>
      <w:r w:rsidRPr="00CD384C">
        <w:rPr>
          <w:rFonts w:ascii="Times New Roman" w:hAnsi="Times New Roman" w:cs="Times New Roman"/>
          <w:sz w:val="20"/>
          <w:szCs w:val="20"/>
          <w:lang w:val="en-US"/>
        </w:rPr>
        <w:t xml:space="preserve"> or concave (positive values, valleys).</w:t>
      </w:r>
    </w:p>
    <w:p w14:paraId="7BEC5784" w14:textId="5680FDDB" w:rsidR="005141A9" w:rsidRPr="00CD384C" w:rsidRDefault="008F2D1D"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The map's pixelated</w:t>
      </w:r>
      <w:r w:rsidR="005141A9" w:rsidRPr="00CD384C">
        <w:rPr>
          <w:rFonts w:ascii="Times New Roman" w:hAnsi="Times New Roman" w:cs="Times New Roman"/>
          <w:sz w:val="20"/>
          <w:szCs w:val="20"/>
          <w:lang w:val="en-US"/>
        </w:rPr>
        <w:t xml:space="preserve"> indicates a highly heterogeneous landscape. It is dominated by a fine-grained</w:t>
      </w:r>
      <w:r w:rsidRPr="00CD384C">
        <w:rPr>
          <w:rFonts w:ascii="Times New Roman" w:hAnsi="Times New Roman" w:cs="Times New Roman"/>
          <w:sz w:val="20"/>
          <w:szCs w:val="20"/>
          <w:lang w:val="en-US"/>
        </w:rPr>
        <w:t xml:space="preserve"> mix of flat, moderately convex</w:t>
      </w:r>
      <w:r w:rsidR="005141A9" w:rsidRPr="00CD384C">
        <w:rPr>
          <w:rFonts w:ascii="Times New Roman" w:hAnsi="Times New Roman" w:cs="Times New Roman"/>
          <w:sz w:val="20"/>
          <w:szCs w:val="20"/>
          <w:lang w:val="en-US"/>
        </w:rPr>
        <w:t xml:space="preserve"> and moderately concave slopes, with no large, uniform zones of strong curvature</w:t>
      </w:r>
      <w:r w:rsidR="00B14ECD">
        <w:rPr>
          <w:rFonts w:ascii="Times New Roman" w:hAnsi="Times New Roman" w:cs="Times New Roman"/>
          <w:sz w:val="20"/>
          <w:szCs w:val="20"/>
          <w:lang w:val="en-US"/>
        </w:rPr>
        <w:t xml:space="preserve"> (figure</w:t>
      </w:r>
      <w:r w:rsidR="00D95E8F" w:rsidRPr="00CD384C">
        <w:rPr>
          <w:rFonts w:ascii="Times New Roman" w:hAnsi="Times New Roman" w:cs="Times New Roman"/>
          <w:sz w:val="20"/>
          <w:szCs w:val="20"/>
          <w:lang w:val="en-US"/>
        </w:rPr>
        <w:t xml:space="preserve"> 5)</w:t>
      </w:r>
      <w:r w:rsidR="005141A9" w:rsidRPr="00CD384C">
        <w:rPr>
          <w:rFonts w:ascii="Times New Roman" w:hAnsi="Times New Roman" w:cs="Times New Roman"/>
          <w:sz w:val="20"/>
          <w:szCs w:val="20"/>
          <w:lang w:val="en-US"/>
        </w:rPr>
        <w:t>.</w:t>
      </w:r>
    </w:p>
    <w:p w14:paraId="34E64DCD" w14:textId="77777777" w:rsidR="00322EEB" w:rsidRPr="00CD384C" w:rsidRDefault="00C6711A" w:rsidP="00D95E8F">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eastAsia="en-IN"/>
        </w:rPr>
        <w:lastRenderedPageBreak/>
        <w:drawing>
          <wp:inline distT="0" distB="0" distL="0" distR="0" wp14:anchorId="44FD7051" wp14:editId="49CAA8B2">
            <wp:extent cx="2249999" cy="2911764"/>
            <wp:effectExtent l="0" t="0" r="0" b="3175"/>
            <wp:docPr id="6" name="Picture 6" descr="C:\Users\Gegen Haokip\Desktop\Pherzawl\MAPS\CURV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gen Haokip\Desktop\Pherzawl\MAPS\CURVATU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3928" cy="2916849"/>
                    </a:xfrm>
                    <a:prstGeom prst="rect">
                      <a:avLst/>
                    </a:prstGeom>
                    <a:noFill/>
                    <a:ln>
                      <a:noFill/>
                    </a:ln>
                  </pic:spPr>
                </pic:pic>
              </a:graphicData>
            </a:graphic>
          </wp:inline>
        </w:drawing>
      </w:r>
    </w:p>
    <w:p w14:paraId="02438C37" w14:textId="77777777" w:rsidR="008248DB" w:rsidRPr="00CD384C" w:rsidRDefault="00322EEB" w:rsidP="005838FB">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5. Curvature map illustrating concave, convex and flat terrain characteristics.</w:t>
      </w:r>
    </w:p>
    <w:p w14:paraId="7466CC2E" w14:textId="77777777" w:rsidR="008248DB" w:rsidRPr="00CD384C" w:rsidRDefault="008248DB"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Land use Land Cover</w:t>
      </w:r>
    </w:p>
    <w:p w14:paraId="26B3F561" w14:textId="415D0F36" w:rsidR="008248DB" w:rsidRPr="00CD384C" w:rsidRDefault="008248DB"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The provided table details the land use and land cover distribution across a total study area of 2285 km². The region is overwhelmingly dominated by natural cover, as Vegetation accounts for the vast majority of the landscape at 2014 km², or 88.14% of the total. The next most significant category is Jhum Land, a form of shifting cultivation, which covers 190 km² (8.83%). The remaining land cover types are minimal in comparison; Built Up Area occupies only 62 km² (2.71%), while Water Body represents the smallest fraction, covering just 19 km² (0.82%)</w:t>
      </w:r>
      <w:r w:rsidR="00584547">
        <w:rPr>
          <w:rFonts w:ascii="Times New Roman" w:hAnsi="Times New Roman" w:cs="Times New Roman"/>
          <w:sz w:val="20"/>
          <w:szCs w:val="20"/>
          <w:lang w:val="en-US"/>
        </w:rPr>
        <w:t xml:space="preserve"> (figure </w:t>
      </w:r>
      <w:r w:rsidR="00FF3696" w:rsidRPr="00CD384C">
        <w:rPr>
          <w:rFonts w:ascii="Times New Roman" w:hAnsi="Times New Roman" w:cs="Times New Roman"/>
          <w:sz w:val="20"/>
          <w:szCs w:val="20"/>
          <w:lang w:val="en-US"/>
        </w:rPr>
        <w:t>6)</w:t>
      </w:r>
      <w:r w:rsidRPr="00CD384C">
        <w:rPr>
          <w:rFonts w:ascii="Times New Roman" w:hAnsi="Times New Roman" w:cs="Times New Roman"/>
          <w:sz w:val="20"/>
          <w:szCs w:val="20"/>
          <w:lang w:val="en-US"/>
        </w:rPr>
        <w:t>.</w:t>
      </w:r>
    </w:p>
    <w:p w14:paraId="60D94D99" w14:textId="77777777" w:rsidR="00322EEB" w:rsidRPr="00CD384C" w:rsidRDefault="00C6711A" w:rsidP="00820FF2">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eastAsia="en-IN"/>
        </w:rPr>
        <w:drawing>
          <wp:inline distT="0" distB="0" distL="0" distR="0" wp14:anchorId="7EB68343" wp14:editId="3AD68FEF">
            <wp:extent cx="2371026" cy="3068386"/>
            <wp:effectExtent l="0" t="0" r="0" b="0"/>
            <wp:docPr id="7" name="Picture 7" descr="C:\Users\Gegen Haokip\Desktop\Pherzawl\MAPS\LU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gen Haokip\Desktop\Pherzawl\MAPS\LUL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7127" cy="3076282"/>
                    </a:xfrm>
                    <a:prstGeom prst="rect">
                      <a:avLst/>
                    </a:prstGeom>
                    <a:noFill/>
                    <a:ln>
                      <a:noFill/>
                    </a:ln>
                  </pic:spPr>
                </pic:pic>
              </a:graphicData>
            </a:graphic>
          </wp:inline>
        </w:drawing>
      </w:r>
    </w:p>
    <w:p w14:paraId="0B82CBBD" w14:textId="77777777" w:rsidR="00322EEB" w:rsidRPr="00CD384C" w:rsidRDefault="00322EEB" w:rsidP="005838FB">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6. Land Use/Land Cover classification map derived from satellite imagery.</w:t>
      </w:r>
    </w:p>
    <w:p w14:paraId="33CECD61" w14:textId="77777777" w:rsidR="008248DB" w:rsidRPr="00CD384C" w:rsidRDefault="008248DB"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Geomorphology</w:t>
      </w:r>
    </w:p>
    <w:p w14:paraId="1FA9D32A" w14:textId="546BD7EC" w:rsidR="008248DB" w:rsidRPr="00CD384C" w:rsidRDefault="008248DB"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This geomorphology map shows the study area is dominated by "Dissected Hills and Valleys" of varying intensities. The landscape is divided into three main zones: "Highly Dissected" (green), "Moderately Dissected" </w:t>
      </w:r>
      <w:r w:rsidRPr="00CD384C">
        <w:rPr>
          <w:rFonts w:ascii="Times New Roman" w:hAnsi="Times New Roman" w:cs="Times New Roman"/>
          <w:sz w:val="20"/>
          <w:szCs w:val="20"/>
          <w:lang w:val="en-US"/>
        </w:rPr>
        <w:lastRenderedPageBreak/>
        <w:t>(brown), and "Low Dissected" (yellow). These zones form distinct, roughly north-south trending bands, indicating different degrees of erosion. A very small "Piedmont Peneplain Complex" is also identified</w:t>
      </w:r>
      <w:r w:rsidR="003A0832">
        <w:rPr>
          <w:rFonts w:ascii="Times New Roman" w:hAnsi="Times New Roman" w:cs="Times New Roman"/>
          <w:sz w:val="20"/>
          <w:szCs w:val="20"/>
          <w:lang w:val="en-US"/>
        </w:rPr>
        <w:t xml:space="preserve"> (figure</w:t>
      </w:r>
      <w:r w:rsidR="00820FF2" w:rsidRPr="00CD384C">
        <w:rPr>
          <w:rFonts w:ascii="Times New Roman" w:hAnsi="Times New Roman" w:cs="Times New Roman"/>
          <w:sz w:val="20"/>
          <w:szCs w:val="20"/>
          <w:lang w:val="en-US"/>
        </w:rPr>
        <w:t xml:space="preserve"> 7)</w:t>
      </w:r>
      <w:r w:rsidRPr="00CD384C">
        <w:rPr>
          <w:rFonts w:ascii="Times New Roman" w:hAnsi="Times New Roman" w:cs="Times New Roman"/>
          <w:sz w:val="20"/>
          <w:szCs w:val="20"/>
          <w:lang w:val="en-US"/>
        </w:rPr>
        <w:t>.</w:t>
      </w:r>
    </w:p>
    <w:p w14:paraId="5116AC54" w14:textId="77777777" w:rsidR="00322EEB" w:rsidRPr="00CD384C" w:rsidRDefault="00C6711A" w:rsidP="00820FF2">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eastAsia="en-IN"/>
        </w:rPr>
        <w:drawing>
          <wp:inline distT="0" distB="0" distL="0" distR="0" wp14:anchorId="545CA18F" wp14:editId="00AECDB5">
            <wp:extent cx="2290100" cy="2963659"/>
            <wp:effectExtent l="0" t="0" r="0" b="8255"/>
            <wp:docPr id="8" name="Picture 8" descr="C:\Users\Gegen Haokip\Desktop\Pherzawl\MAPS\Geomorph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gen Haokip\Desktop\Pherzawl\MAPS\Geomorpholog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5114" cy="2970147"/>
                    </a:xfrm>
                    <a:prstGeom prst="rect">
                      <a:avLst/>
                    </a:prstGeom>
                    <a:noFill/>
                    <a:ln>
                      <a:noFill/>
                    </a:ln>
                  </pic:spPr>
                </pic:pic>
              </a:graphicData>
            </a:graphic>
          </wp:inline>
        </w:drawing>
      </w:r>
    </w:p>
    <w:p w14:paraId="6DDDE396" w14:textId="77777777" w:rsidR="00322EEB" w:rsidRPr="00CD384C" w:rsidRDefault="00322EEB" w:rsidP="00EA75ED">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7. Geomorphology map showing major landform units.</w:t>
      </w:r>
    </w:p>
    <w:p w14:paraId="7470DFDC" w14:textId="77777777" w:rsidR="008248DB" w:rsidRPr="00CD384C" w:rsidRDefault="008248DB"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Geology</w:t>
      </w:r>
    </w:p>
    <w:p w14:paraId="2948EA31" w14:textId="73837567" w:rsidR="008248DB" w:rsidRPr="00CD384C" w:rsidRDefault="008248DB"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This geology map illustrates the rock formations of the study area. The region is predominantly underlain by the "</w:t>
      </w:r>
      <w:proofErr w:type="spellStart"/>
      <w:r w:rsidRPr="00CD384C">
        <w:rPr>
          <w:rFonts w:ascii="Times New Roman" w:hAnsi="Times New Roman" w:cs="Times New Roman"/>
          <w:sz w:val="20"/>
          <w:szCs w:val="20"/>
          <w:lang w:val="en-US"/>
        </w:rPr>
        <w:t>Disang</w:t>
      </w:r>
      <w:proofErr w:type="spellEnd"/>
      <w:r w:rsidRPr="00CD384C">
        <w:rPr>
          <w:rFonts w:ascii="Times New Roman" w:hAnsi="Times New Roman" w:cs="Times New Roman"/>
          <w:sz w:val="20"/>
          <w:szCs w:val="20"/>
          <w:lang w:val="en-US"/>
        </w:rPr>
        <w:t xml:space="preserve"> </w:t>
      </w:r>
      <w:proofErr w:type="spellStart"/>
      <w:r w:rsidRPr="00CD384C">
        <w:rPr>
          <w:rFonts w:ascii="Times New Roman" w:hAnsi="Times New Roman" w:cs="Times New Roman"/>
          <w:sz w:val="20"/>
          <w:szCs w:val="20"/>
          <w:lang w:val="en-US"/>
        </w:rPr>
        <w:t>Gp</w:t>
      </w:r>
      <w:proofErr w:type="spellEnd"/>
      <w:r w:rsidRPr="00CD384C">
        <w:rPr>
          <w:rFonts w:ascii="Times New Roman" w:hAnsi="Times New Roman" w:cs="Times New Roman"/>
          <w:sz w:val="20"/>
          <w:szCs w:val="20"/>
          <w:lang w:val="en-US"/>
        </w:rPr>
        <w:t>." (olive green), which covers the largest central and southern portion. Significant areas of "</w:t>
      </w:r>
      <w:proofErr w:type="spellStart"/>
      <w:r w:rsidR="00A72C34" w:rsidRPr="00CD384C">
        <w:rPr>
          <w:rFonts w:ascii="Times New Roman" w:hAnsi="Times New Roman" w:cs="Times New Roman"/>
          <w:sz w:val="20"/>
          <w:szCs w:val="20"/>
          <w:lang w:val="en-US"/>
        </w:rPr>
        <w:t>Barail</w:t>
      </w:r>
      <w:proofErr w:type="spellEnd"/>
      <w:r w:rsidR="00A72C34" w:rsidRPr="00CD384C">
        <w:rPr>
          <w:rFonts w:ascii="Times New Roman" w:hAnsi="Times New Roman" w:cs="Times New Roman"/>
          <w:sz w:val="20"/>
          <w:szCs w:val="20"/>
          <w:lang w:val="en-US"/>
        </w:rPr>
        <w:t xml:space="preserve"> </w:t>
      </w:r>
      <w:proofErr w:type="spellStart"/>
      <w:r w:rsidR="00A72C34" w:rsidRPr="00CD384C">
        <w:rPr>
          <w:rFonts w:ascii="Times New Roman" w:hAnsi="Times New Roman" w:cs="Times New Roman"/>
          <w:sz w:val="20"/>
          <w:szCs w:val="20"/>
          <w:lang w:val="en-US"/>
        </w:rPr>
        <w:t>Gp</w:t>
      </w:r>
      <w:proofErr w:type="spellEnd"/>
      <w:r w:rsidR="00A72C34" w:rsidRPr="00CD384C">
        <w:rPr>
          <w:rFonts w:ascii="Times New Roman" w:hAnsi="Times New Roman" w:cs="Times New Roman"/>
          <w:sz w:val="20"/>
          <w:szCs w:val="20"/>
          <w:lang w:val="en-US"/>
        </w:rPr>
        <w:t>." (purple) and "</w:t>
      </w:r>
      <w:proofErr w:type="spellStart"/>
      <w:r w:rsidR="00A019E7" w:rsidRPr="00CD384C">
        <w:rPr>
          <w:rFonts w:ascii="Times New Roman" w:hAnsi="Times New Roman" w:cs="Times New Roman"/>
          <w:sz w:val="20"/>
          <w:szCs w:val="20"/>
          <w:lang w:val="en-US"/>
        </w:rPr>
        <w:t>Disang</w:t>
      </w:r>
      <w:proofErr w:type="spellEnd"/>
      <w:r w:rsidR="00A019E7" w:rsidRPr="00CD384C">
        <w:rPr>
          <w:rFonts w:ascii="Times New Roman" w:hAnsi="Times New Roman" w:cs="Times New Roman"/>
          <w:sz w:val="20"/>
          <w:szCs w:val="20"/>
          <w:lang w:val="en-US"/>
        </w:rPr>
        <w:t xml:space="preserve"> F</w:t>
      </w:r>
      <w:r w:rsidR="00A72C34" w:rsidRPr="00CD384C">
        <w:rPr>
          <w:rFonts w:ascii="Times New Roman" w:hAnsi="Times New Roman" w:cs="Times New Roman"/>
          <w:sz w:val="20"/>
          <w:szCs w:val="20"/>
          <w:lang w:val="en-US"/>
        </w:rPr>
        <w:t>m</w:t>
      </w:r>
      <w:r w:rsidR="00A019E7" w:rsidRPr="00CD384C">
        <w:rPr>
          <w:rFonts w:ascii="Times New Roman" w:hAnsi="Times New Roman" w:cs="Times New Roman"/>
          <w:sz w:val="20"/>
          <w:szCs w:val="20"/>
          <w:lang w:val="en-US"/>
        </w:rPr>
        <w:t>.</w:t>
      </w:r>
      <w:r w:rsidRPr="00CD384C">
        <w:rPr>
          <w:rFonts w:ascii="Times New Roman" w:hAnsi="Times New Roman" w:cs="Times New Roman"/>
          <w:sz w:val="20"/>
          <w:szCs w:val="20"/>
          <w:lang w:val="en-US"/>
        </w:rPr>
        <w:t>" (brown) are also present, forming distinct zones. The "</w:t>
      </w:r>
      <w:proofErr w:type="spellStart"/>
      <w:r w:rsidRPr="00CD384C">
        <w:rPr>
          <w:rFonts w:ascii="Times New Roman" w:hAnsi="Times New Roman" w:cs="Times New Roman"/>
          <w:sz w:val="20"/>
          <w:szCs w:val="20"/>
          <w:lang w:val="en-US"/>
        </w:rPr>
        <w:t>Champhai</w:t>
      </w:r>
      <w:proofErr w:type="spellEnd"/>
      <w:r w:rsidRPr="00CD384C">
        <w:rPr>
          <w:rFonts w:ascii="Times New Roman" w:hAnsi="Times New Roman" w:cs="Times New Roman"/>
          <w:sz w:val="20"/>
          <w:szCs w:val="20"/>
          <w:lang w:val="en-US"/>
        </w:rPr>
        <w:t xml:space="preserve"> Formation" (teal) is visible as a band in the northwest, with minor "Alluvium" in the far north</w:t>
      </w:r>
      <w:r w:rsidR="0030457D">
        <w:rPr>
          <w:rFonts w:ascii="Times New Roman" w:hAnsi="Times New Roman" w:cs="Times New Roman"/>
          <w:sz w:val="20"/>
          <w:szCs w:val="20"/>
          <w:lang w:val="en-US"/>
        </w:rPr>
        <w:t xml:space="preserve"> (figure</w:t>
      </w:r>
      <w:r w:rsidR="004A4813" w:rsidRPr="00CD384C">
        <w:rPr>
          <w:rFonts w:ascii="Times New Roman" w:hAnsi="Times New Roman" w:cs="Times New Roman"/>
          <w:sz w:val="20"/>
          <w:szCs w:val="20"/>
          <w:lang w:val="en-US"/>
        </w:rPr>
        <w:t xml:space="preserve"> 8)</w:t>
      </w:r>
      <w:r w:rsidRPr="00CD384C">
        <w:rPr>
          <w:rFonts w:ascii="Times New Roman" w:hAnsi="Times New Roman" w:cs="Times New Roman"/>
          <w:sz w:val="20"/>
          <w:szCs w:val="20"/>
          <w:lang w:val="en-US"/>
        </w:rPr>
        <w:t>.</w:t>
      </w:r>
    </w:p>
    <w:p w14:paraId="6D4D2999" w14:textId="77777777" w:rsidR="008248DB" w:rsidRPr="00CD384C" w:rsidRDefault="008248DB" w:rsidP="002F59EF">
      <w:pPr>
        <w:jc w:val="both"/>
        <w:rPr>
          <w:rFonts w:ascii="Times New Roman" w:hAnsi="Times New Roman" w:cs="Times New Roman"/>
          <w:sz w:val="20"/>
          <w:szCs w:val="20"/>
          <w:lang w:val="en-US"/>
        </w:rPr>
      </w:pPr>
    </w:p>
    <w:p w14:paraId="4441BD94" w14:textId="77777777" w:rsidR="00322EEB" w:rsidRPr="00CD384C" w:rsidRDefault="00C6711A" w:rsidP="000B2FA0">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eastAsia="en-IN"/>
        </w:rPr>
        <w:drawing>
          <wp:inline distT="0" distB="0" distL="0" distR="0" wp14:anchorId="4D165BAA" wp14:editId="6DC76A77">
            <wp:extent cx="1879255" cy="2431977"/>
            <wp:effectExtent l="0" t="0" r="6985" b="6985"/>
            <wp:docPr id="9" name="Picture 9" descr="C:\Users\Gegen Haokip\Desktop\Pherzawl\MAPS\Ge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gen Haokip\Desktop\Pherzawl\MAPS\Geolog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2909" cy="2436706"/>
                    </a:xfrm>
                    <a:prstGeom prst="rect">
                      <a:avLst/>
                    </a:prstGeom>
                    <a:noFill/>
                    <a:ln>
                      <a:noFill/>
                    </a:ln>
                  </pic:spPr>
                </pic:pic>
              </a:graphicData>
            </a:graphic>
          </wp:inline>
        </w:drawing>
      </w:r>
    </w:p>
    <w:p w14:paraId="2912BF4B" w14:textId="77777777" w:rsidR="00322EEB" w:rsidRPr="00CD384C" w:rsidRDefault="00322EEB" w:rsidP="00EA75ED">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8. Geology map of Pherzawl district showing lithological units.</w:t>
      </w:r>
    </w:p>
    <w:p w14:paraId="4F4162A2" w14:textId="77777777" w:rsidR="00733F1C" w:rsidRPr="00CD384C" w:rsidRDefault="00733F1C"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Soil Type</w:t>
      </w:r>
    </w:p>
    <w:p w14:paraId="1A71B825" w14:textId="24438E63" w:rsidR="00733F1C" w:rsidRPr="00CD384C" w:rsidRDefault="00733F1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This soil map shows that the study area is composed of two different types of </w:t>
      </w:r>
      <w:proofErr w:type="spellStart"/>
      <w:r w:rsidRPr="00CD384C">
        <w:rPr>
          <w:rFonts w:ascii="Times New Roman" w:hAnsi="Times New Roman" w:cs="Times New Roman"/>
          <w:sz w:val="20"/>
          <w:szCs w:val="20"/>
          <w:lang w:val="en-US"/>
        </w:rPr>
        <w:t>Cambisols</w:t>
      </w:r>
      <w:proofErr w:type="spellEnd"/>
      <w:r w:rsidRPr="00CD384C">
        <w:rPr>
          <w:rFonts w:ascii="Times New Roman" w:hAnsi="Times New Roman" w:cs="Times New Roman"/>
          <w:sz w:val="20"/>
          <w:szCs w:val="20"/>
          <w:lang w:val="en-US"/>
        </w:rPr>
        <w:t>. The vast majority of the region, covering the central, eastern and southern portions, is dominated by "</w:t>
      </w:r>
      <w:proofErr w:type="spellStart"/>
      <w:r w:rsidRPr="00CD384C">
        <w:rPr>
          <w:rFonts w:ascii="Times New Roman" w:hAnsi="Times New Roman" w:cs="Times New Roman"/>
          <w:sz w:val="20"/>
          <w:szCs w:val="20"/>
          <w:lang w:val="en-US"/>
        </w:rPr>
        <w:t>Humic</w:t>
      </w:r>
      <w:proofErr w:type="spellEnd"/>
      <w:r w:rsidRPr="00CD384C">
        <w:rPr>
          <w:rFonts w:ascii="Times New Roman" w:hAnsi="Times New Roman" w:cs="Times New Roman"/>
          <w:sz w:val="20"/>
          <w:szCs w:val="20"/>
          <w:lang w:val="en-US"/>
        </w:rPr>
        <w:t xml:space="preserve"> </w:t>
      </w:r>
      <w:proofErr w:type="spellStart"/>
      <w:r w:rsidRPr="00CD384C">
        <w:rPr>
          <w:rFonts w:ascii="Times New Roman" w:hAnsi="Times New Roman" w:cs="Times New Roman"/>
          <w:sz w:val="20"/>
          <w:szCs w:val="20"/>
          <w:lang w:val="en-US"/>
        </w:rPr>
        <w:t>Cambisols</w:t>
      </w:r>
      <w:proofErr w:type="spellEnd"/>
      <w:r w:rsidRPr="00CD384C">
        <w:rPr>
          <w:rFonts w:ascii="Times New Roman" w:hAnsi="Times New Roman" w:cs="Times New Roman"/>
          <w:sz w:val="20"/>
          <w:szCs w:val="20"/>
          <w:lang w:val="en-US"/>
        </w:rPr>
        <w:t xml:space="preserve">" (dark red). A smaller, distinct band of "Gleyic </w:t>
      </w:r>
      <w:proofErr w:type="spellStart"/>
      <w:r w:rsidRPr="00CD384C">
        <w:rPr>
          <w:rFonts w:ascii="Times New Roman" w:hAnsi="Times New Roman" w:cs="Times New Roman"/>
          <w:sz w:val="20"/>
          <w:szCs w:val="20"/>
          <w:lang w:val="en-US"/>
        </w:rPr>
        <w:t>Cambisols</w:t>
      </w:r>
      <w:proofErr w:type="spellEnd"/>
      <w:r w:rsidRPr="00CD384C">
        <w:rPr>
          <w:rFonts w:ascii="Times New Roman" w:hAnsi="Times New Roman" w:cs="Times New Roman"/>
          <w:sz w:val="20"/>
          <w:szCs w:val="20"/>
          <w:lang w:val="en-US"/>
        </w:rPr>
        <w:t>" (green) is clearly delineated along the entire western border of the area</w:t>
      </w:r>
      <w:r w:rsidR="00781249">
        <w:rPr>
          <w:rFonts w:ascii="Times New Roman" w:hAnsi="Times New Roman" w:cs="Times New Roman"/>
          <w:sz w:val="20"/>
          <w:szCs w:val="20"/>
          <w:lang w:val="en-US"/>
        </w:rPr>
        <w:t xml:space="preserve"> (figure</w:t>
      </w:r>
      <w:r w:rsidR="000B2FA0" w:rsidRPr="00CD384C">
        <w:rPr>
          <w:rFonts w:ascii="Times New Roman" w:hAnsi="Times New Roman" w:cs="Times New Roman"/>
          <w:sz w:val="20"/>
          <w:szCs w:val="20"/>
          <w:lang w:val="en-US"/>
        </w:rPr>
        <w:t xml:space="preserve"> 9)</w:t>
      </w:r>
      <w:r w:rsidRPr="00CD384C">
        <w:rPr>
          <w:rFonts w:ascii="Times New Roman" w:hAnsi="Times New Roman" w:cs="Times New Roman"/>
          <w:sz w:val="20"/>
          <w:szCs w:val="20"/>
          <w:lang w:val="en-US"/>
        </w:rPr>
        <w:t>.</w:t>
      </w:r>
    </w:p>
    <w:p w14:paraId="17B22E5F" w14:textId="77777777" w:rsidR="00322EEB" w:rsidRPr="00CD384C" w:rsidRDefault="00C6711A" w:rsidP="000B2FA0">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eastAsia="en-IN"/>
        </w:rPr>
        <w:lastRenderedPageBreak/>
        <w:drawing>
          <wp:inline distT="0" distB="0" distL="0" distR="0" wp14:anchorId="164C3724" wp14:editId="04EC26BD">
            <wp:extent cx="1997667" cy="2585216"/>
            <wp:effectExtent l="0" t="0" r="3175" b="5715"/>
            <wp:docPr id="10" name="Picture 10" descr="C:\Users\Gegen Haokip\Desktop\Pherzawl\MAPS\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gen Haokip\Desktop\Pherzawl\MAPS\Soi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2497" cy="2591467"/>
                    </a:xfrm>
                    <a:prstGeom prst="rect">
                      <a:avLst/>
                    </a:prstGeom>
                    <a:noFill/>
                    <a:ln>
                      <a:noFill/>
                    </a:ln>
                  </pic:spPr>
                </pic:pic>
              </a:graphicData>
            </a:graphic>
          </wp:inline>
        </w:drawing>
      </w:r>
    </w:p>
    <w:p w14:paraId="29A9BE91" w14:textId="77777777" w:rsidR="00322EEB" w:rsidRPr="00CD384C" w:rsidRDefault="00322EEB" w:rsidP="00EA75ED">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9. Soil type distribution map.</w:t>
      </w:r>
    </w:p>
    <w:p w14:paraId="70008229" w14:textId="77777777" w:rsidR="00733F1C" w:rsidRPr="00CD384C" w:rsidRDefault="00733F1C"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Drainage System</w:t>
      </w:r>
    </w:p>
    <w:p w14:paraId="5E8E55A8" w14:textId="5BEE4353" w:rsidR="00733F1C" w:rsidRPr="00CD384C" w:rsidRDefault="00733F1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This map illustrates the drainage system of the study area, revealing a well-developed dendritic (tree-like) pattern. The legend classifies the streams by order, from '2' to '6'. A major river, classified as order '2' (blue), flows prominently from north to south through the western portion of the area. This main channel is fed by an extensive and dense network of lower-order tributaries (orders '3' through '6') that drain the surrounding landscape</w:t>
      </w:r>
      <w:r w:rsidR="0019599F">
        <w:rPr>
          <w:rFonts w:ascii="Times New Roman" w:hAnsi="Times New Roman" w:cs="Times New Roman"/>
          <w:sz w:val="20"/>
          <w:szCs w:val="20"/>
          <w:lang w:val="en-US"/>
        </w:rPr>
        <w:t xml:space="preserve"> (figure </w:t>
      </w:r>
      <w:r w:rsidR="00E45DF0" w:rsidRPr="00CD384C">
        <w:rPr>
          <w:rFonts w:ascii="Times New Roman" w:hAnsi="Times New Roman" w:cs="Times New Roman"/>
          <w:sz w:val="20"/>
          <w:szCs w:val="20"/>
          <w:lang w:val="en-US"/>
        </w:rPr>
        <w:t>10)</w:t>
      </w:r>
      <w:r w:rsidRPr="00CD384C">
        <w:rPr>
          <w:rFonts w:ascii="Times New Roman" w:hAnsi="Times New Roman" w:cs="Times New Roman"/>
          <w:sz w:val="20"/>
          <w:szCs w:val="20"/>
          <w:lang w:val="en-US"/>
        </w:rPr>
        <w:t>.</w:t>
      </w:r>
    </w:p>
    <w:p w14:paraId="1578E420" w14:textId="77777777" w:rsidR="00733F1C" w:rsidRPr="00CD384C" w:rsidRDefault="00733F1C" w:rsidP="002F59EF">
      <w:pPr>
        <w:jc w:val="both"/>
        <w:rPr>
          <w:rFonts w:ascii="Times New Roman" w:hAnsi="Times New Roman" w:cs="Times New Roman"/>
          <w:sz w:val="20"/>
          <w:szCs w:val="20"/>
          <w:lang w:val="en-US"/>
        </w:rPr>
      </w:pPr>
    </w:p>
    <w:p w14:paraId="59D46E26" w14:textId="77777777" w:rsidR="00121213" w:rsidRPr="00CD384C" w:rsidRDefault="00121213" w:rsidP="00DE7439">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eastAsia="en-IN"/>
        </w:rPr>
        <w:drawing>
          <wp:inline distT="0" distB="0" distL="0" distR="0" wp14:anchorId="7296DF26" wp14:editId="20FBA161">
            <wp:extent cx="2156918" cy="2791307"/>
            <wp:effectExtent l="0" t="0" r="0" b="0"/>
            <wp:docPr id="11" name="Picture 11" descr="C:\Users\Gegen Haokip\Desktop\Pherzawl\MAPS\Ri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gen Haokip\Desktop\Pherzawl\MAPS\River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2319" cy="2798297"/>
                    </a:xfrm>
                    <a:prstGeom prst="rect">
                      <a:avLst/>
                    </a:prstGeom>
                    <a:noFill/>
                    <a:ln>
                      <a:noFill/>
                    </a:ln>
                  </pic:spPr>
                </pic:pic>
              </a:graphicData>
            </a:graphic>
          </wp:inline>
        </w:drawing>
      </w:r>
    </w:p>
    <w:p w14:paraId="45928F6E" w14:textId="77777777" w:rsidR="00322EEB" w:rsidRPr="00CD384C" w:rsidRDefault="00322EEB" w:rsidP="002F59EF">
      <w:pPr>
        <w:jc w:val="both"/>
        <w:rPr>
          <w:rFonts w:ascii="Times New Roman" w:hAnsi="Times New Roman" w:cs="Times New Roman"/>
          <w:sz w:val="20"/>
          <w:szCs w:val="20"/>
          <w:lang w:val="en-US"/>
        </w:rPr>
      </w:pPr>
    </w:p>
    <w:p w14:paraId="229550D2" w14:textId="77777777" w:rsidR="00733F1C" w:rsidRPr="00CD384C" w:rsidRDefault="00322EEB" w:rsidP="00EA75ED">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10. Drainage network map showing major river systems.</w:t>
      </w:r>
    </w:p>
    <w:p w14:paraId="554A444E" w14:textId="77777777" w:rsidR="00733F1C" w:rsidRPr="00CD384C" w:rsidRDefault="00733F1C"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Road Networks</w:t>
      </w:r>
    </w:p>
    <w:p w14:paraId="1D2B5122" w14:textId="31C8FB73" w:rsidR="00733F1C" w:rsidRPr="00CD384C" w:rsidRDefault="00E607E6" w:rsidP="002F59EF">
      <w:pPr>
        <w:pStyle w:val="NormalWeb"/>
        <w:jc w:val="both"/>
        <w:rPr>
          <w:sz w:val="20"/>
          <w:szCs w:val="20"/>
        </w:rPr>
      </w:pPr>
      <w:r w:rsidRPr="00CD384C">
        <w:rPr>
          <w:sz w:val="20"/>
          <w:szCs w:val="20"/>
        </w:rPr>
        <w:t xml:space="preserve">This map displays the road networks within the study area. The primary routes, shown in red, are the National Highways (NH). The long, winding one is </w:t>
      </w:r>
      <w:r w:rsidRPr="00CD384C">
        <w:rPr>
          <w:bCs/>
          <w:sz w:val="20"/>
          <w:szCs w:val="20"/>
        </w:rPr>
        <w:t>NH-2</w:t>
      </w:r>
      <w:r w:rsidRPr="00CD384C">
        <w:rPr>
          <w:sz w:val="20"/>
          <w:szCs w:val="20"/>
        </w:rPr>
        <w:t>,</w:t>
      </w:r>
      <w:r w:rsidR="00EA75ED">
        <w:rPr>
          <w:sz w:val="20"/>
          <w:szCs w:val="20"/>
        </w:rPr>
        <w:t xml:space="preserve"> which passes through </w:t>
      </w:r>
      <w:proofErr w:type="spellStart"/>
      <w:r w:rsidR="00EA75ED">
        <w:rPr>
          <w:sz w:val="20"/>
          <w:szCs w:val="20"/>
        </w:rPr>
        <w:t>Tipaimukh</w:t>
      </w:r>
      <w:proofErr w:type="spellEnd"/>
      <w:r w:rsidRPr="00CD384C">
        <w:rPr>
          <w:sz w:val="20"/>
          <w:szCs w:val="20"/>
        </w:rPr>
        <w:t xml:space="preserve"> and the shorter one is </w:t>
      </w:r>
      <w:r w:rsidRPr="00CD384C">
        <w:rPr>
          <w:bCs/>
          <w:sz w:val="20"/>
          <w:szCs w:val="20"/>
        </w:rPr>
        <w:t>NH-102B</w:t>
      </w:r>
      <w:r w:rsidRPr="00CD384C">
        <w:rPr>
          <w:sz w:val="20"/>
          <w:szCs w:val="20"/>
        </w:rPr>
        <w:t xml:space="preserve">, connecting from Lamka towards Aizawl. The network is supplemented by State Highways (SH, orange), Major District Roads (MDR, yellow), Other Roads (OT, pink), and an extensive system of rural roads (RR), </w:t>
      </w:r>
      <w:r w:rsidRPr="00CD384C">
        <w:rPr>
          <w:sz w:val="20"/>
          <w:szCs w:val="20"/>
        </w:rPr>
        <w:lastRenderedPageBreak/>
        <w:t>forming the area's transportation infrastructure.</w:t>
      </w:r>
      <w:r w:rsidR="00FA1DD5" w:rsidRPr="00CD384C">
        <w:rPr>
          <w:sz w:val="20"/>
          <w:szCs w:val="20"/>
        </w:rPr>
        <w:t xml:space="preserve"> Even this road network is not among the mention parameters, it plays a vital role in connection to the landslide zones</w:t>
      </w:r>
      <w:r w:rsidR="00DB7C9F">
        <w:rPr>
          <w:sz w:val="20"/>
          <w:szCs w:val="20"/>
        </w:rPr>
        <w:t xml:space="preserve"> (figure</w:t>
      </w:r>
      <w:r w:rsidR="00DE7439" w:rsidRPr="00CD384C">
        <w:rPr>
          <w:sz w:val="20"/>
          <w:szCs w:val="20"/>
        </w:rPr>
        <w:t xml:space="preserve"> 11)</w:t>
      </w:r>
      <w:r w:rsidR="00FA1DD5" w:rsidRPr="00CD384C">
        <w:rPr>
          <w:sz w:val="20"/>
          <w:szCs w:val="20"/>
        </w:rPr>
        <w:t>.</w:t>
      </w:r>
    </w:p>
    <w:p w14:paraId="21D4554D" w14:textId="77777777" w:rsidR="00322EEB" w:rsidRPr="00CD384C" w:rsidRDefault="00E607E6" w:rsidP="00DE7439">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eastAsia="en-IN"/>
        </w:rPr>
        <w:drawing>
          <wp:inline distT="0" distB="0" distL="0" distR="0" wp14:anchorId="706AC15B" wp14:editId="4A88A5F6">
            <wp:extent cx="1778882" cy="2301331"/>
            <wp:effectExtent l="0" t="0" r="0" b="3810"/>
            <wp:docPr id="1" name="Picture 1" descr="C:\Users\Gegen Haokip\Desktop\Pherzawl\MAPS\Road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gen Haokip\Desktop\Pherzawl\MAPS\Roads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4259" cy="2308287"/>
                    </a:xfrm>
                    <a:prstGeom prst="rect">
                      <a:avLst/>
                    </a:prstGeom>
                    <a:noFill/>
                    <a:ln>
                      <a:noFill/>
                    </a:ln>
                  </pic:spPr>
                </pic:pic>
              </a:graphicData>
            </a:graphic>
          </wp:inline>
        </w:drawing>
      </w:r>
    </w:p>
    <w:p w14:paraId="69D93D8B" w14:textId="77777777" w:rsidR="00322EEB" w:rsidRPr="00CD384C" w:rsidRDefault="00322EEB" w:rsidP="00EA75ED">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11. Road network map of Pherzawl district.</w:t>
      </w:r>
    </w:p>
    <w:p w14:paraId="4E1ADDC7" w14:textId="77777777" w:rsidR="00E607E6" w:rsidRPr="00CD384C" w:rsidRDefault="00E607E6"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Rainfall</w:t>
      </w:r>
    </w:p>
    <w:p w14:paraId="77BB04CA" w14:textId="782EBF51" w:rsidR="00E607E6" w:rsidRPr="00CD384C" w:rsidRDefault="00E607E6"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This rainfall distribution map illustrates a clear spatial trend across the study area, which is divided into five precipitation zones. Rainfall is lowest in the northeastern part, classified as "Very Low" (below 900 mm). Moving southwest, precipitation progressively increases through "Low" (900-1100 mm), "Medium" (1100-1300 mm), and "High" (1300-1500 mm) zones. The highest rainfall occurs in the extreme southwest, designated as "Very High" (above 1500 mm)</w:t>
      </w:r>
      <w:r w:rsidR="00055B29">
        <w:rPr>
          <w:rFonts w:ascii="Times New Roman" w:hAnsi="Times New Roman" w:cs="Times New Roman"/>
          <w:sz w:val="20"/>
          <w:szCs w:val="20"/>
          <w:lang w:val="en-US"/>
        </w:rPr>
        <w:t xml:space="preserve"> (figure</w:t>
      </w:r>
      <w:r w:rsidR="00E33BDE" w:rsidRPr="00CD384C">
        <w:rPr>
          <w:rFonts w:ascii="Times New Roman" w:hAnsi="Times New Roman" w:cs="Times New Roman"/>
          <w:sz w:val="20"/>
          <w:szCs w:val="20"/>
          <w:lang w:val="en-US"/>
        </w:rPr>
        <w:t xml:space="preserve"> 12)</w:t>
      </w:r>
      <w:r w:rsidRPr="00CD384C">
        <w:rPr>
          <w:rFonts w:ascii="Times New Roman" w:hAnsi="Times New Roman" w:cs="Times New Roman"/>
          <w:sz w:val="20"/>
          <w:szCs w:val="20"/>
          <w:lang w:val="en-US"/>
        </w:rPr>
        <w:t>.</w:t>
      </w:r>
    </w:p>
    <w:p w14:paraId="5CB3AFFE" w14:textId="77777777" w:rsidR="00121213" w:rsidRPr="00CD384C" w:rsidRDefault="00121213" w:rsidP="00E33BDE">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eastAsia="en-IN"/>
        </w:rPr>
        <w:drawing>
          <wp:inline distT="0" distB="0" distL="0" distR="0" wp14:anchorId="7753A967" wp14:editId="5F96C8DB">
            <wp:extent cx="2276221" cy="2945698"/>
            <wp:effectExtent l="0" t="0" r="0" b="7620"/>
            <wp:docPr id="13" name="Picture 13" descr="C:\Users\Gegen Haokip\Desktop\Pherzawl\MAPS\Rainfal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gen Haokip\Desktop\Pherzawl\MAPS\Rainfall fin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9792" cy="2950320"/>
                    </a:xfrm>
                    <a:prstGeom prst="rect">
                      <a:avLst/>
                    </a:prstGeom>
                    <a:noFill/>
                    <a:ln>
                      <a:noFill/>
                    </a:ln>
                  </pic:spPr>
                </pic:pic>
              </a:graphicData>
            </a:graphic>
          </wp:inline>
        </w:drawing>
      </w:r>
    </w:p>
    <w:p w14:paraId="747391CA" w14:textId="77777777" w:rsidR="00322EEB" w:rsidRPr="00CD384C" w:rsidRDefault="00322EEB" w:rsidP="002F59EF">
      <w:pPr>
        <w:jc w:val="both"/>
        <w:rPr>
          <w:rFonts w:ascii="Times New Roman" w:hAnsi="Times New Roman" w:cs="Times New Roman"/>
          <w:sz w:val="20"/>
          <w:szCs w:val="20"/>
          <w:lang w:val="en-US"/>
        </w:rPr>
      </w:pPr>
    </w:p>
    <w:p w14:paraId="10ACEF84" w14:textId="77777777" w:rsidR="00322EEB" w:rsidRPr="00CD384C" w:rsidRDefault="00322EEB" w:rsidP="00EA75ED">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12. Annual rainfall spatial distribution map.</w:t>
      </w:r>
    </w:p>
    <w:p w14:paraId="556D5B9E" w14:textId="77777777" w:rsidR="00F249E0" w:rsidRPr="00CD384C" w:rsidRDefault="00F249E0"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Drainage Density</w:t>
      </w:r>
    </w:p>
    <w:p w14:paraId="5F608CDF" w14:textId="7822A859" w:rsidR="00F249E0" w:rsidRPr="00CD384C" w:rsidRDefault="009B072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This map illustrates</w:t>
      </w:r>
      <w:r w:rsidR="00F249E0" w:rsidRPr="00CD384C">
        <w:rPr>
          <w:rFonts w:ascii="Times New Roman" w:hAnsi="Times New Roman" w:cs="Times New Roman"/>
          <w:sz w:val="20"/>
          <w:szCs w:val="20"/>
          <w:lang w:val="en-US"/>
        </w:rPr>
        <w:t xml:space="preserve"> drainage density, classified from "Very Low" (light blue) to "Very High" (dark blue). The "Very High" density zones clearly trace the paths of rivers and streams. The density then decreases in surrounding buffer-like zones, moving through "High," "Moderat</w:t>
      </w:r>
      <w:r w:rsidR="00895F4E">
        <w:rPr>
          <w:rFonts w:ascii="Times New Roman" w:hAnsi="Times New Roman" w:cs="Times New Roman"/>
          <w:sz w:val="20"/>
          <w:szCs w:val="20"/>
          <w:lang w:val="en-US"/>
        </w:rPr>
        <w:t>e</w:t>
      </w:r>
      <w:r w:rsidR="00F249E0" w:rsidRPr="00CD384C">
        <w:rPr>
          <w:rFonts w:ascii="Times New Roman" w:hAnsi="Times New Roman" w:cs="Times New Roman"/>
          <w:sz w:val="20"/>
          <w:szCs w:val="20"/>
          <w:lang w:val="en-US"/>
        </w:rPr>
        <w:t>" and "Low." The extensive "Very Low" areas represent the land, such as ridges, furthest from any drainage channel</w:t>
      </w:r>
      <w:r w:rsidR="00466382">
        <w:rPr>
          <w:rFonts w:ascii="Times New Roman" w:hAnsi="Times New Roman" w:cs="Times New Roman"/>
          <w:sz w:val="20"/>
          <w:szCs w:val="20"/>
          <w:lang w:val="en-US"/>
        </w:rPr>
        <w:t xml:space="preserve"> (figure</w:t>
      </w:r>
      <w:r w:rsidR="00C3327C" w:rsidRPr="00CD384C">
        <w:rPr>
          <w:rFonts w:ascii="Times New Roman" w:hAnsi="Times New Roman" w:cs="Times New Roman"/>
          <w:sz w:val="20"/>
          <w:szCs w:val="20"/>
          <w:lang w:val="en-US"/>
        </w:rPr>
        <w:t xml:space="preserve"> 13)</w:t>
      </w:r>
      <w:r w:rsidR="00F249E0" w:rsidRPr="00CD384C">
        <w:rPr>
          <w:rFonts w:ascii="Times New Roman" w:hAnsi="Times New Roman" w:cs="Times New Roman"/>
          <w:sz w:val="20"/>
          <w:szCs w:val="20"/>
          <w:lang w:val="en-US"/>
        </w:rPr>
        <w:t>.</w:t>
      </w:r>
    </w:p>
    <w:p w14:paraId="16092400" w14:textId="77777777" w:rsidR="00F171C4" w:rsidRPr="00CD384C" w:rsidRDefault="00F171C4" w:rsidP="00C3327C">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eastAsia="en-IN"/>
        </w:rPr>
        <w:lastRenderedPageBreak/>
        <w:drawing>
          <wp:inline distT="0" distB="0" distL="0" distR="0" wp14:anchorId="36A45DE3" wp14:editId="5AB2AF9F">
            <wp:extent cx="1726666" cy="2234508"/>
            <wp:effectExtent l="0" t="0" r="6985" b="0"/>
            <wp:docPr id="14" name="Picture 14" descr="C:\Users\Gegen Haokip\Desktop\Pherzawl\MAPS\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egen Haokip\Desktop\Pherzawl\MAPS\D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8878" cy="2237371"/>
                    </a:xfrm>
                    <a:prstGeom prst="rect">
                      <a:avLst/>
                    </a:prstGeom>
                    <a:noFill/>
                    <a:ln>
                      <a:noFill/>
                    </a:ln>
                  </pic:spPr>
                </pic:pic>
              </a:graphicData>
            </a:graphic>
          </wp:inline>
        </w:drawing>
      </w:r>
    </w:p>
    <w:p w14:paraId="77B6D76F" w14:textId="77777777" w:rsidR="00322EEB" w:rsidRPr="00CD384C" w:rsidRDefault="00F171C4" w:rsidP="00895F4E">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13. Drainage Density</w:t>
      </w:r>
    </w:p>
    <w:p w14:paraId="3C73A972" w14:textId="77777777" w:rsidR="00322EEB" w:rsidRPr="00CD384C" w:rsidRDefault="00322EEB"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Table 1. Landslide inventory details for Pherzawl d</w:t>
      </w:r>
      <w:r w:rsidR="008614D1" w:rsidRPr="00CD384C">
        <w:rPr>
          <w:rFonts w:ascii="Times New Roman" w:hAnsi="Times New Roman" w:cs="Times New Roman"/>
          <w:sz w:val="20"/>
          <w:szCs w:val="20"/>
          <w:lang w:val="en-US"/>
        </w:rPr>
        <w:t>istrict.</w:t>
      </w:r>
    </w:p>
    <w:tbl>
      <w:tblPr>
        <w:tblStyle w:val="TableGrid"/>
        <w:tblW w:w="0" w:type="auto"/>
        <w:tblLook w:val="04A0" w:firstRow="1" w:lastRow="0" w:firstColumn="1" w:lastColumn="0" w:noHBand="0" w:noVBand="1"/>
      </w:tblPr>
      <w:tblGrid>
        <w:gridCol w:w="1100"/>
        <w:gridCol w:w="4890"/>
        <w:gridCol w:w="3026"/>
      </w:tblGrid>
      <w:tr w:rsidR="00433719" w:rsidRPr="00CD384C" w14:paraId="3B5E343A" w14:textId="77777777" w:rsidTr="00433719">
        <w:tc>
          <w:tcPr>
            <w:tcW w:w="1129" w:type="dxa"/>
          </w:tcPr>
          <w:p w14:paraId="3C385873"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Sl. No.</w:t>
            </w:r>
          </w:p>
        </w:tc>
        <w:tc>
          <w:tcPr>
            <w:tcW w:w="5080" w:type="dxa"/>
          </w:tcPr>
          <w:p w14:paraId="58A60C0B"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Variable</w:t>
            </w:r>
          </w:p>
        </w:tc>
        <w:tc>
          <w:tcPr>
            <w:tcW w:w="3141" w:type="dxa"/>
          </w:tcPr>
          <w:p w14:paraId="7528DAC8"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Value</w:t>
            </w:r>
          </w:p>
        </w:tc>
      </w:tr>
      <w:tr w:rsidR="00433719" w:rsidRPr="00CD384C" w14:paraId="217CF96F" w14:textId="77777777" w:rsidTr="00433719">
        <w:tc>
          <w:tcPr>
            <w:tcW w:w="1129" w:type="dxa"/>
          </w:tcPr>
          <w:p w14:paraId="28065B6E"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w:t>
            </w:r>
          </w:p>
        </w:tc>
        <w:tc>
          <w:tcPr>
            <w:tcW w:w="5080" w:type="dxa"/>
          </w:tcPr>
          <w:p w14:paraId="16EE53F2"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Total landslides mapped</w:t>
            </w:r>
          </w:p>
        </w:tc>
        <w:tc>
          <w:tcPr>
            <w:tcW w:w="3141" w:type="dxa"/>
          </w:tcPr>
          <w:p w14:paraId="50171B3E"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60</w:t>
            </w:r>
          </w:p>
        </w:tc>
      </w:tr>
      <w:tr w:rsidR="00433719" w:rsidRPr="00CD384C" w14:paraId="28458D84" w14:textId="77777777" w:rsidTr="00433719">
        <w:tc>
          <w:tcPr>
            <w:tcW w:w="1129" w:type="dxa"/>
          </w:tcPr>
          <w:p w14:paraId="5279DDFB"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w:t>
            </w:r>
          </w:p>
        </w:tc>
        <w:tc>
          <w:tcPr>
            <w:tcW w:w="5080" w:type="dxa"/>
          </w:tcPr>
          <w:p w14:paraId="2845CB0A"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Pixel resolution</w:t>
            </w:r>
          </w:p>
        </w:tc>
        <w:tc>
          <w:tcPr>
            <w:tcW w:w="3141" w:type="dxa"/>
          </w:tcPr>
          <w:p w14:paraId="188B04D8"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30 m</w:t>
            </w:r>
          </w:p>
        </w:tc>
      </w:tr>
      <w:tr w:rsidR="00433719" w:rsidRPr="00CD384C" w14:paraId="7EAFFF9C" w14:textId="77777777" w:rsidTr="00433719">
        <w:tc>
          <w:tcPr>
            <w:tcW w:w="1129" w:type="dxa"/>
          </w:tcPr>
          <w:p w14:paraId="0F52B987"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3</w:t>
            </w:r>
          </w:p>
        </w:tc>
        <w:tc>
          <w:tcPr>
            <w:tcW w:w="5080" w:type="dxa"/>
          </w:tcPr>
          <w:p w14:paraId="73A428D6"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Total area</w:t>
            </w:r>
          </w:p>
        </w:tc>
        <w:tc>
          <w:tcPr>
            <w:tcW w:w="3141" w:type="dxa"/>
          </w:tcPr>
          <w:p w14:paraId="7BBF8DCE"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2285 km²</w:t>
            </w:r>
          </w:p>
        </w:tc>
      </w:tr>
      <w:tr w:rsidR="00433719" w:rsidRPr="00CD384C" w14:paraId="5EC46CA9" w14:textId="77777777" w:rsidTr="00433719">
        <w:tc>
          <w:tcPr>
            <w:tcW w:w="1129" w:type="dxa"/>
          </w:tcPr>
          <w:p w14:paraId="40EDF38A"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4</w:t>
            </w:r>
          </w:p>
        </w:tc>
        <w:tc>
          <w:tcPr>
            <w:tcW w:w="5080" w:type="dxa"/>
          </w:tcPr>
          <w:p w14:paraId="03A4D652"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Elevation range</w:t>
            </w:r>
          </w:p>
        </w:tc>
        <w:tc>
          <w:tcPr>
            <w:tcW w:w="3141" w:type="dxa"/>
          </w:tcPr>
          <w:p w14:paraId="65BEAB74"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200 m –1300 m</w:t>
            </w:r>
          </w:p>
        </w:tc>
      </w:tr>
    </w:tbl>
    <w:p w14:paraId="30898256" w14:textId="77777777" w:rsidR="00322EEB" w:rsidRPr="00CD384C" w:rsidRDefault="00322EEB" w:rsidP="002F59EF">
      <w:pPr>
        <w:jc w:val="both"/>
        <w:rPr>
          <w:rFonts w:ascii="Times New Roman" w:hAnsi="Times New Roman" w:cs="Times New Roman"/>
          <w:sz w:val="20"/>
          <w:szCs w:val="20"/>
          <w:lang w:val="en-US"/>
        </w:rPr>
      </w:pPr>
    </w:p>
    <w:p w14:paraId="2659E925" w14:textId="77777777" w:rsidR="00322EEB" w:rsidRPr="00CD384C" w:rsidRDefault="00E20036"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Table 2</w:t>
      </w:r>
      <w:r w:rsidR="00322EEB" w:rsidRPr="00CD384C">
        <w:rPr>
          <w:rFonts w:ascii="Times New Roman" w:hAnsi="Times New Roman" w:cs="Times New Roman"/>
          <w:sz w:val="20"/>
          <w:szCs w:val="20"/>
          <w:lang w:val="en-US"/>
        </w:rPr>
        <w:t>. Frequency Ratio (FR) model variables used in la</w:t>
      </w:r>
      <w:r w:rsidR="008614D1" w:rsidRPr="00CD384C">
        <w:rPr>
          <w:rFonts w:ascii="Times New Roman" w:hAnsi="Times New Roman" w:cs="Times New Roman"/>
          <w:sz w:val="20"/>
          <w:szCs w:val="20"/>
          <w:lang w:val="en-US"/>
        </w:rPr>
        <w:t>ndslide susceptibility mapping.</w:t>
      </w:r>
    </w:p>
    <w:tbl>
      <w:tblPr>
        <w:tblStyle w:val="TableGrid"/>
        <w:tblW w:w="0" w:type="auto"/>
        <w:tblLook w:val="04A0" w:firstRow="1" w:lastRow="0" w:firstColumn="1" w:lastColumn="0" w:noHBand="0" w:noVBand="1"/>
      </w:tblPr>
      <w:tblGrid>
        <w:gridCol w:w="1078"/>
        <w:gridCol w:w="2397"/>
        <w:gridCol w:w="2123"/>
        <w:gridCol w:w="1751"/>
        <w:gridCol w:w="1667"/>
      </w:tblGrid>
      <w:tr w:rsidR="00433719" w:rsidRPr="00CD384C" w14:paraId="325A83BD" w14:textId="77777777" w:rsidTr="00433719">
        <w:tc>
          <w:tcPr>
            <w:tcW w:w="1129" w:type="dxa"/>
          </w:tcPr>
          <w:p w14:paraId="62520A5B"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Sl. No.</w:t>
            </w:r>
          </w:p>
        </w:tc>
        <w:tc>
          <w:tcPr>
            <w:tcW w:w="2475" w:type="dxa"/>
          </w:tcPr>
          <w:p w14:paraId="00641DB4"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Parameter</w:t>
            </w:r>
          </w:p>
        </w:tc>
        <w:tc>
          <w:tcPr>
            <w:tcW w:w="2203" w:type="dxa"/>
          </w:tcPr>
          <w:p w14:paraId="1BD4314C"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Type</w:t>
            </w:r>
          </w:p>
        </w:tc>
        <w:tc>
          <w:tcPr>
            <w:tcW w:w="1795" w:type="dxa"/>
          </w:tcPr>
          <w:p w14:paraId="3673FF36"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Source</w:t>
            </w:r>
          </w:p>
        </w:tc>
        <w:tc>
          <w:tcPr>
            <w:tcW w:w="1748" w:type="dxa"/>
          </w:tcPr>
          <w:p w14:paraId="1B12913D"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GIS Data</w:t>
            </w:r>
          </w:p>
        </w:tc>
      </w:tr>
      <w:tr w:rsidR="00433719" w:rsidRPr="00CD384C" w14:paraId="2A246A50" w14:textId="77777777" w:rsidTr="00433719">
        <w:tc>
          <w:tcPr>
            <w:tcW w:w="1129" w:type="dxa"/>
          </w:tcPr>
          <w:p w14:paraId="557CB470"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w:t>
            </w:r>
          </w:p>
        </w:tc>
        <w:tc>
          <w:tcPr>
            <w:tcW w:w="2475" w:type="dxa"/>
          </w:tcPr>
          <w:p w14:paraId="2C23112B"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Elevation</w:t>
            </w:r>
          </w:p>
        </w:tc>
        <w:tc>
          <w:tcPr>
            <w:tcW w:w="2203" w:type="dxa"/>
          </w:tcPr>
          <w:p w14:paraId="58566859"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Topographic</w:t>
            </w:r>
          </w:p>
        </w:tc>
        <w:tc>
          <w:tcPr>
            <w:tcW w:w="1795" w:type="dxa"/>
          </w:tcPr>
          <w:p w14:paraId="05EE1459"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DEM</w:t>
            </w:r>
          </w:p>
        </w:tc>
        <w:tc>
          <w:tcPr>
            <w:tcW w:w="1748" w:type="dxa"/>
          </w:tcPr>
          <w:p w14:paraId="198F5108"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Raster</w:t>
            </w:r>
          </w:p>
        </w:tc>
      </w:tr>
      <w:tr w:rsidR="00433719" w:rsidRPr="00CD384C" w14:paraId="55D67C14" w14:textId="77777777" w:rsidTr="00433719">
        <w:tc>
          <w:tcPr>
            <w:tcW w:w="1129" w:type="dxa"/>
          </w:tcPr>
          <w:p w14:paraId="520F40B3"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w:t>
            </w:r>
          </w:p>
        </w:tc>
        <w:tc>
          <w:tcPr>
            <w:tcW w:w="2475" w:type="dxa"/>
          </w:tcPr>
          <w:p w14:paraId="2E31F15D"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Slope</w:t>
            </w:r>
          </w:p>
        </w:tc>
        <w:tc>
          <w:tcPr>
            <w:tcW w:w="2203" w:type="dxa"/>
          </w:tcPr>
          <w:p w14:paraId="4D054A8F"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Topographic</w:t>
            </w:r>
          </w:p>
        </w:tc>
        <w:tc>
          <w:tcPr>
            <w:tcW w:w="1795" w:type="dxa"/>
          </w:tcPr>
          <w:p w14:paraId="5F0A3E9E"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DEM</w:t>
            </w:r>
          </w:p>
        </w:tc>
        <w:tc>
          <w:tcPr>
            <w:tcW w:w="1748" w:type="dxa"/>
          </w:tcPr>
          <w:p w14:paraId="2711181B"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Raster</w:t>
            </w:r>
          </w:p>
        </w:tc>
      </w:tr>
      <w:tr w:rsidR="00433719" w:rsidRPr="00CD384C" w14:paraId="38CD0843" w14:textId="77777777" w:rsidTr="00433719">
        <w:tc>
          <w:tcPr>
            <w:tcW w:w="1129" w:type="dxa"/>
          </w:tcPr>
          <w:p w14:paraId="2062F4EB"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3</w:t>
            </w:r>
          </w:p>
        </w:tc>
        <w:tc>
          <w:tcPr>
            <w:tcW w:w="2475" w:type="dxa"/>
          </w:tcPr>
          <w:p w14:paraId="0F5A9332"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Aspect</w:t>
            </w:r>
          </w:p>
        </w:tc>
        <w:tc>
          <w:tcPr>
            <w:tcW w:w="2203" w:type="dxa"/>
          </w:tcPr>
          <w:p w14:paraId="20CDA501"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Topographic</w:t>
            </w:r>
          </w:p>
        </w:tc>
        <w:tc>
          <w:tcPr>
            <w:tcW w:w="1795" w:type="dxa"/>
          </w:tcPr>
          <w:p w14:paraId="0C3FE7EA"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DEM</w:t>
            </w:r>
          </w:p>
        </w:tc>
        <w:tc>
          <w:tcPr>
            <w:tcW w:w="1748" w:type="dxa"/>
          </w:tcPr>
          <w:p w14:paraId="0AB0B99A"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Raster</w:t>
            </w:r>
          </w:p>
        </w:tc>
      </w:tr>
      <w:tr w:rsidR="00433719" w:rsidRPr="00CD384C" w14:paraId="6FDA0732" w14:textId="77777777" w:rsidTr="00433719">
        <w:tc>
          <w:tcPr>
            <w:tcW w:w="1129" w:type="dxa"/>
          </w:tcPr>
          <w:p w14:paraId="2CC2B879"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4</w:t>
            </w:r>
          </w:p>
        </w:tc>
        <w:tc>
          <w:tcPr>
            <w:tcW w:w="2475" w:type="dxa"/>
          </w:tcPr>
          <w:p w14:paraId="452BD465"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Curvature</w:t>
            </w:r>
          </w:p>
        </w:tc>
        <w:tc>
          <w:tcPr>
            <w:tcW w:w="2203" w:type="dxa"/>
          </w:tcPr>
          <w:p w14:paraId="3D8009BF"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Topographic</w:t>
            </w:r>
          </w:p>
        </w:tc>
        <w:tc>
          <w:tcPr>
            <w:tcW w:w="1795" w:type="dxa"/>
          </w:tcPr>
          <w:p w14:paraId="7402C32B"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DEM</w:t>
            </w:r>
          </w:p>
        </w:tc>
        <w:tc>
          <w:tcPr>
            <w:tcW w:w="1748" w:type="dxa"/>
          </w:tcPr>
          <w:p w14:paraId="29064035"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Raster</w:t>
            </w:r>
          </w:p>
        </w:tc>
      </w:tr>
      <w:tr w:rsidR="00433719" w:rsidRPr="00CD384C" w14:paraId="0E33F7F3" w14:textId="77777777" w:rsidTr="00433719">
        <w:tc>
          <w:tcPr>
            <w:tcW w:w="1129" w:type="dxa"/>
          </w:tcPr>
          <w:p w14:paraId="1A52F01E"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5</w:t>
            </w:r>
          </w:p>
        </w:tc>
        <w:tc>
          <w:tcPr>
            <w:tcW w:w="2475" w:type="dxa"/>
          </w:tcPr>
          <w:p w14:paraId="7AD2788D"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LULC</w:t>
            </w:r>
          </w:p>
        </w:tc>
        <w:tc>
          <w:tcPr>
            <w:tcW w:w="2203" w:type="dxa"/>
          </w:tcPr>
          <w:p w14:paraId="7767A843"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Land cover</w:t>
            </w:r>
          </w:p>
        </w:tc>
        <w:tc>
          <w:tcPr>
            <w:tcW w:w="1795" w:type="dxa"/>
          </w:tcPr>
          <w:p w14:paraId="5EAF1A09"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Satellite</w:t>
            </w:r>
          </w:p>
        </w:tc>
        <w:tc>
          <w:tcPr>
            <w:tcW w:w="1748" w:type="dxa"/>
          </w:tcPr>
          <w:p w14:paraId="7E86A34F"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Raster</w:t>
            </w:r>
          </w:p>
        </w:tc>
      </w:tr>
      <w:tr w:rsidR="00433719" w:rsidRPr="00CD384C" w14:paraId="5FDC4CD7" w14:textId="77777777" w:rsidTr="00433719">
        <w:tc>
          <w:tcPr>
            <w:tcW w:w="1129" w:type="dxa"/>
          </w:tcPr>
          <w:p w14:paraId="7ABBEEA1"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6</w:t>
            </w:r>
          </w:p>
        </w:tc>
        <w:tc>
          <w:tcPr>
            <w:tcW w:w="2475" w:type="dxa"/>
          </w:tcPr>
          <w:p w14:paraId="16BE9006"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Geomorphology</w:t>
            </w:r>
          </w:p>
        </w:tc>
        <w:tc>
          <w:tcPr>
            <w:tcW w:w="2203" w:type="dxa"/>
          </w:tcPr>
          <w:p w14:paraId="27A801A2"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Surface feature</w:t>
            </w:r>
          </w:p>
        </w:tc>
        <w:tc>
          <w:tcPr>
            <w:tcW w:w="1795" w:type="dxa"/>
          </w:tcPr>
          <w:p w14:paraId="73537A51"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Survey/Atlas</w:t>
            </w:r>
          </w:p>
        </w:tc>
        <w:tc>
          <w:tcPr>
            <w:tcW w:w="1748" w:type="dxa"/>
          </w:tcPr>
          <w:p w14:paraId="648866CA"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Vector</w:t>
            </w:r>
          </w:p>
        </w:tc>
      </w:tr>
      <w:tr w:rsidR="00433719" w:rsidRPr="00CD384C" w14:paraId="3BE383FF" w14:textId="77777777" w:rsidTr="00433719">
        <w:tc>
          <w:tcPr>
            <w:tcW w:w="1129" w:type="dxa"/>
          </w:tcPr>
          <w:p w14:paraId="217CBECE"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7</w:t>
            </w:r>
          </w:p>
        </w:tc>
        <w:tc>
          <w:tcPr>
            <w:tcW w:w="2475" w:type="dxa"/>
          </w:tcPr>
          <w:p w14:paraId="49B0B17D"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Geology</w:t>
            </w:r>
          </w:p>
        </w:tc>
        <w:tc>
          <w:tcPr>
            <w:tcW w:w="2203" w:type="dxa"/>
          </w:tcPr>
          <w:p w14:paraId="1A95DB49"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Bedrock</w:t>
            </w:r>
          </w:p>
        </w:tc>
        <w:tc>
          <w:tcPr>
            <w:tcW w:w="1795" w:type="dxa"/>
          </w:tcPr>
          <w:p w14:paraId="020A2EF4"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Geological Survey</w:t>
            </w:r>
          </w:p>
        </w:tc>
        <w:tc>
          <w:tcPr>
            <w:tcW w:w="1748" w:type="dxa"/>
          </w:tcPr>
          <w:p w14:paraId="5BB7F94A"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Vector</w:t>
            </w:r>
          </w:p>
        </w:tc>
      </w:tr>
      <w:tr w:rsidR="00433719" w:rsidRPr="00CD384C" w14:paraId="1C2CC1FE" w14:textId="77777777" w:rsidTr="00433719">
        <w:tc>
          <w:tcPr>
            <w:tcW w:w="1129" w:type="dxa"/>
          </w:tcPr>
          <w:p w14:paraId="224B9EA3"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8</w:t>
            </w:r>
          </w:p>
        </w:tc>
        <w:tc>
          <w:tcPr>
            <w:tcW w:w="2475" w:type="dxa"/>
          </w:tcPr>
          <w:p w14:paraId="4A119441"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Lithology</w:t>
            </w:r>
          </w:p>
        </w:tc>
        <w:tc>
          <w:tcPr>
            <w:tcW w:w="2203" w:type="dxa"/>
          </w:tcPr>
          <w:p w14:paraId="1F714E91"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Sub-surface</w:t>
            </w:r>
          </w:p>
        </w:tc>
        <w:tc>
          <w:tcPr>
            <w:tcW w:w="1795" w:type="dxa"/>
          </w:tcPr>
          <w:p w14:paraId="58DFD90E"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Geological Survey</w:t>
            </w:r>
          </w:p>
        </w:tc>
        <w:tc>
          <w:tcPr>
            <w:tcW w:w="1748" w:type="dxa"/>
          </w:tcPr>
          <w:p w14:paraId="1E96D9C3"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Vector</w:t>
            </w:r>
          </w:p>
        </w:tc>
      </w:tr>
      <w:tr w:rsidR="00433719" w:rsidRPr="00CD384C" w14:paraId="1EAC1AF4" w14:textId="77777777" w:rsidTr="00433719">
        <w:tc>
          <w:tcPr>
            <w:tcW w:w="1129" w:type="dxa"/>
          </w:tcPr>
          <w:p w14:paraId="7C1AF0EE"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9</w:t>
            </w:r>
          </w:p>
        </w:tc>
        <w:tc>
          <w:tcPr>
            <w:tcW w:w="2475" w:type="dxa"/>
          </w:tcPr>
          <w:p w14:paraId="3099DB7D"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Soil</w:t>
            </w:r>
          </w:p>
        </w:tc>
        <w:tc>
          <w:tcPr>
            <w:tcW w:w="2203" w:type="dxa"/>
          </w:tcPr>
          <w:p w14:paraId="19861C29"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Surface property</w:t>
            </w:r>
          </w:p>
        </w:tc>
        <w:tc>
          <w:tcPr>
            <w:tcW w:w="1795" w:type="dxa"/>
          </w:tcPr>
          <w:p w14:paraId="48F30AE4"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Soil Atlas</w:t>
            </w:r>
          </w:p>
        </w:tc>
        <w:tc>
          <w:tcPr>
            <w:tcW w:w="1748" w:type="dxa"/>
          </w:tcPr>
          <w:p w14:paraId="2EF596EF"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Vector</w:t>
            </w:r>
          </w:p>
        </w:tc>
      </w:tr>
      <w:tr w:rsidR="00433719" w:rsidRPr="00CD384C" w14:paraId="2829C495" w14:textId="77777777" w:rsidTr="00433719">
        <w:tc>
          <w:tcPr>
            <w:tcW w:w="1129" w:type="dxa"/>
          </w:tcPr>
          <w:p w14:paraId="4B92CB19"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10</w:t>
            </w:r>
          </w:p>
        </w:tc>
        <w:tc>
          <w:tcPr>
            <w:tcW w:w="2475" w:type="dxa"/>
          </w:tcPr>
          <w:p w14:paraId="59864A5C"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Drainage</w:t>
            </w:r>
            <w:r w:rsidR="00AC6AEF" w:rsidRPr="00CD384C">
              <w:rPr>
                <w:rFonts w:ascii="Times New Roman" w:hAnsi="Times New Roman" w:cs="Times New Roman"/>
                <w:sz w:val="20"/>
                <w:szCs w:val="20"/>
                <w:lang w:val="en-US"/>
              </w:rPr>
              <w:t xml:space="preserve"> Density</w:t>
            </w:r>
          </w:p>
        </w:tc>
        <w:tc>
          <w:tcPr>
            <w:tcW w:w="2203" w:type="dxa"/>
          </w:tcPr>
          <w:p w14:paraId="0FDF81D1"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Hydrologic</w:t>
            </w:r>
          </w:p>
        </w:tc>
        <w:tc>
          <w:tcPr>
            <w:tcW w:w="1795" w:type="dxa"/>
          </w:tcPr>
          <w:p w14:paraId="0C83F2F7"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Survey</w:t>
            </w:r>
          </w:p>
        </w:tc>
        <w:tc>
          <w:tcPr>
            <w:tcW w:w="1748" w:type="dxa"/>
          </w:tcPr>
          <w:p w14:paraId="3D0C9E82"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Vector</w:t>
            </w:r>
          </w:p>
        </w:tc>
      </w:tr>
      <w:tr w:rsidR="00433719" w:rsidRPr="00CD384C" w14:paraId="4B047086" w14:textId="77777777" w:rsidTr="00433719">
        <w:tc>
          <w:tcPr>
            <w:tcW w:w="1129" w:type="dxa"/>
          </w:tcPr>
          <w:p w14:paraId="65675C6C" w14:textId="77777777" w:rsidR="00433719" w:rsidRPr="00CD384C" w:rsidRDefault="00C97E0B"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11</w:t>
            </w:r>
          </w:p>
        </w:tc>
        <w:tc>
          <w:tcPr>
            <w:tcW w:w="2475" w:type="dxa"/>
          </w:tcPr>
          <w:p w14:paraId="49518256"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Rainfall</w:t>
            </w:r>
          </w:p>
        </w:tc>
        <w:tc>
          <w:tcPr>
            <w:tcW w:w="2203" w:type="dxa"/>
          </w:tcPr>
          <w:p w14:paraId="5701F4AF"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Climate</w:t>
            </w:r>
          </w:p>
        </w:tc>
        <w:tc>
          <w:tcPr>
            <w:tcW w:w="1795" w:type="dxa"/>
          </w:tcPr>
          <w:p w14:paraId="0114B671"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IMD / TRMM</w:t>
            </w:r>
          </w:p>
        </w:tc>
        <w:tc>
          <w:tcPr>
            <w:tcW w:w="1748" w:type="dxa"/>
          </w:tcPr>
          <w:p w14:paraId="12A7D0DD"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Raster</w:t>
            </w:r>
          </w:p>
        </w:tc>
      </w:tr>
    </w:tbl>
    <w:p w14:paraId="045D998A" w14:textId="77777777" w:rsidR="00322EEB" w:rsidRPr="00CD384C" w:rsidRDefault="00322EEB" w:rsidP="002F59EF">
      <w:pPr>
        <w:jc w:val="both"/>
        <w:rPr>
          <w:rFonts w:ascii="Times New Roman" w:hAnsi="Times New Roman" w:cs="Times New Roman"/>
          <w:sz w:val="20"/>
          <w:szCs w:val="20"/>
          <w:lang w:val="en-US"/>
        </w:rPr>
      </w:pPr>
    </w:p>
    <w:p w14:paraId="15D7FEA1" w14:textId="77777777" w:rsidR="00322EEB" w:rsidRPr="00CD384C" w:rsidRDefault="00E20036"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Table 3</w:t>
      </w:r>
      <w:r w:rsidR="00322EEB" w:rsidRPr="00CD384C">
        <w:rPr>
          <w:rFonts w:ascii="Times New Roman" w:hAnsi="Times New Roman" w:cs="Times New Roman"/>
          <w:sz w:val="20"/>
          <w:szCs w:val="20"/>
          <w:lang w:val="en-US"/>
        </w:rPr>
        <w:t>. ROC–AUC model performance.</w:t>
      </w:r>
    </w:p>
    <w:tbl>
      <w:tblPr>
        <w:tblStyle w:val="TableGrid"/>
        <w:tblW w:w="0" w:type="auto"/>
        <w:tblLook w:val="04A0" w:firstRow="1" w:lastRow="0" w:firstColumn="1" w:lastColumn="0" w:noHBand="0" w:noVBand="1"/>
      </w:tblPr>
      <w:tblGrid>
        <w:gridCol w:w="2026"/>
        <w:gridCol w:w="2384"/>
        <w:gridCol w:w="2221"/>
        <w:gridCol w:w="2385"/>
      </w:tblGrid>
      <w:tr w:rsidR="002B54B0" w:rsidRPr="00CD384C" w14:paraId="2C2BCA91" w14:textId="77777777" w:rsidTr="003C352C">
        <w:tc>
          <w:tcPr>
            <w:tcW w:w="2114" w:type="dxa"/>
          </w:tcPr>
          <w:p w14:paraId="1A502282" w14:textId="77777777" w:rsidR="002B54B0" w:rsidRPr="00CD384C" w:rsidRDefault="002B54B0"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Sl. No.</w:t>
            </w:r>
          </w:p>
        </w:tc>
        <w:tc>
          <w:tcPr>
            <w:tcW w:w="2462" w:type="dxa"/>
          </w:tcPr>
          <w:p w14:paraId="0F489BAA" w14:textId="77777777" w:rsidR="002B54B0" w:rsidRPr="00CD384C" w:rsidRDefault="002B54B0"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Model</w:t>
            </w:r>
          </w:p>
        </w:tc>
        <w:tc>
          <w:tcPr>
            <w:tcW w:w="2311" w:type="dxa"/>
          </w:tcPr>
          <w:p w14:paraId="6F887257" w14:textId="77777777" w:rsidR="002B54B0" w:rsidRPr="00CD384C" w:rsidRDefault="002B54B0"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AUC Value</w:t>
            </w:r>
          </w:p>
        </w:tc>
        <w:tc>
          <w:tcPr>
            <w:tcW w:w="2463" w:type="dxa"/>
          </w:tcPr>
          <w:p w14:paraId="60976C8A" w14:textId="77777777" w:rsidR="002B54B0" w:rsidRPr="00CD384C" w:rsidRDefault="002B54B0"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Validation Method</w:t>
            </w:r>
          </w:p>
        </w:tc>
      </w:tr>
      <w:tr w:rsidR="002B54B0" w:rsidRPr="00CD384C" w14:paraId="35303E4B" w14:textId="77777777" w:rsidTr="003C352C">
        <w:tc>
          <w:tcPr>
            <w:tcW w:w="2114" w:type="dxa"/>
          </w:tcPr>
          <w:p w14:paraId="2706EDC0" w14:textId="77777777" w:rsidR="002B54B0" w:rsidRPr="00CD384C" w:rsidRDefault="002B54B0"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w:t>
            </w:r>
          </w:p>
        </w:tc>
        <w:tc>
          <w:tcPr>
            <w:tcW w:w="2462" w:type="dxa"/>
          </w:tcPr>
          <w:p w14:paraId="4FDBA6C1" w14:textId="77777777" w:rsidR="002B54B0" w:rsidRPr="00CD384C" w:rsidRDefault="002B54B0"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Frequency Ratio (FR)</w:t>
            </w:r>
          </w:p>
        </w:tc>
        <w:tc>
          <w:tcPr>
            <w:tcW w:w="2311" w:type="dxa"/>
          </w:tcPr>
          <w:p w14:paraId="3899294F" w14:textId="77777777" w:rsidR="002B54B0" w:rsidRPr="00CD384C" w:rsidRDefault="002B54B0"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0.84</w:t>
            </w:r>
          </w:p>
        </w:tc>
        <w:tc>
          <w:tcPr>
            <w:tcW w:w="2463" w:type="dxa"/>
          </w:tcPr>
          <w:p w14:paraId="66D28474" w14:textId="77777777" w:rsidR="002B54B0" w:rsidRPr="00CD384C" w:rsidRDefault="002B54B0"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Success Rate Curve</w:t>
            </w:r>
          </w:p>
        </w:tc>
      </w:tr>
    </w:tbl>
    <w:p w14:paraId="16D28928" w14:textId="77777777" w:rsidR="00241E77" w:rsidRPr="00CD384C" w:rsidRDefault="00B771D9" w:rsidP="002F59EF">
      <w:pPr>
        <w:jc w:val="both"/>
        <w:rPr>
          <w:rFonts w:ascii="Times New Roman" w:hAnsi="Times New Roman" w:cs="Times New Roman"/>
          <w:sz w:val="20"/>
          <w:szCs w:val="20"/>
        </w:rPr>
      </w:pPr>
      <w:r w:rsidRPr="00CD384C">
        <w:rPr>
          <w:rFonts w:ascii="Times New Roman" w:hAnsi="Times New Roman" w:cs="Times New Roman"/>
          <w:sz w:val="20"/>
          <w:szCs w:val="20"/>
        </w:rPr>
        <w:br/>
      </w:r>
    </w:p>
    <w:p w14:paraId="25E48911" w14:textId="77777777" w:rsidR="00EF6FAC" w:rsidRPr="00CD384C" w:rsidRDefault="00EF6FAC" w:rsidP="00241E77">
      <w:pPr>
        <w:jc w:val="both"/>
        <w:rPr>
          <w:rFonts w:ascii="Times New Roman" w:hAnsi="Times New Roman" w:cs="Times New Roman"/>
          <w:sz w:val="20"/>
          <w:szCs w:val="20"/>
        </w:rPr>
      </w:pPr>
      <w:r w:rsidRPr="00CD384C">
        <w:rPr>
          <w:rFonts w:ascii="Times New Roman" w:hAnsi="Times New Roman" w:cs="Times New Roman"/>
          <w:sz w:val="20"/>
          <w:szCs w:val="20"/>
        </w:rPr>
        <w:t>The Frequency Ratio (FR) model was used to evaluate the spatial relationship between landslide occurrences and conditioning factors. FR quantifies how each class of a factor contributes to landslide susceptibility by comparing the spatial distribution of landslides in each class with the overall distribution of landslides in the study area.</w:t>
      </w:r>
    </w:p>
    <w:p w14:paraId="4B6B1A3B" w14:textId="77777777" w:rsidR="00241E77" w:rsidRPr="00CD384C" w:rsidRDefault="00241E77" w:rsidP="00241E77">
      <w:pPr>
        <w:jc w:val="both"/>
        <w:rPr>
          <w:rFonts w:ascii="Times New Roman" w:hAnsi="Times New Roman" w:cs="Times New Roman"/>
          <w:b/>
          <w:sz w:val="20"/>
          <w:szCs w:val="20"/>
        </w:rPr>
      </w:pPr>
      <w:r w:rsidRPr="00CD384C">
        <w:rPr>
          <w:rFonts w:ascii="Times New Roman" w:hAnsi="Times New Roman" w:cs="Times New Roman"/>
          <w:b/>
          <w:sz w:val="20"/>
          <w:szCs w:val="20"/>
        </w:rPr>
        <w:t>Frequency Ratio (FR):</w:t>
      </w:r>
    </w:p>
    <w:p w14:paraId="66DA2718" w14:textId="77777777" w:rsidR="00241E77" w:rsidRPr="00CD384C" w:rsidRDefault="00241E77" w:rsidP="00241E77">
      <w:pPr>
        <w:jc w:val="both"/>
        <w:rPr>
          <w:rFonts w:ascii="Times New Roman" w:hAnsi="Times New Roman" w:cs="Times New Roman"/>
          <w:sz w:val="20"/>
          <w:szCs w:val="20"/>
        </w:rPr>
      </w:pPr>
      <w:r w:rsidRPr="00CD384C">
        <w:rPr>
          <w:rFonts w:ascii="Times New Roman" w:hAnsi="Times New Roman" w:cs="Times New Roman"/>
          <w:sz w:val="20"/>
          <w:szCs w:val="20"/>
        </w:rPr>
        <w:tab/>
      </w:r>
      <w:r>
        <w:rPr>
          <w:rFonts w:ascii="Cambria Math" w:hAnsi="Cambria Math" w:cs="Times New Roman"/>
          <w:sz w:val="20"/>
          <w:szCs w:val="20"/>
        </w:rPr>
        <w:br/>
      </w:r>
      <m:oMathPara>
        <m:oMath>
          <m:r>
            <w:rPr>
              <w:rFonts w:ascii="Cambria Math" w:hAnsi="Cambria Math" w:cs="Times New Roman"/>
              <w:sz w:val="20"/>
              <w:szCs w:val="20"/>
            </w:rPr>
            <m:t xml:space="preserve">FR= </m:t>
          </m:r>
          <m:f>
            <m:fPr>
              <m:ctrlPr>
                <w:rPr>
                  <w:rFonts w:ascii="Cambria Math" w:hAnsi="Cambria Math" w:cs="Times New Roman"/>
                  <w:i/>
                  <w:sz w:val="20"/>
                  <w:szCs w:val="20"/>
                </w:rPr>
              </m:ctrlPr>
            </m:fPr>
            <m:num>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Landslides pixels in class</m:t>
                      </m:r>
                    </m:num>
                    <m:den>
                      <m:r>
                        <w:rPr>
                          <w:rFonts w:ascii="Cambria Math" w:hAnsi="Cambria Math" w:cs="Times New Roman"/>
                          <w:sz w:val="20"/>
                          <w:szCs w:val="20"/>
                        </w:rPr>
                        <m:t>Total Landdslides Pixels</m:t>
                      </m:r>
                    </m:den>
                  </m:f>
                </m:e>
              </m:d>
            </m:num>
            <m:den>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Area of Pixels in class</m:t>
                      </m:r>
                    </m:num>
                    <m:den>
                      <m:r>
                        <w:rPr>
                          <w:rFonts w:ascii="Cambria Math" w:hAnsi="Cambria Math" w:cs="Times New Roman"/>
                          <w:sz w:val="20"/>
                          <w:szCs w:val="20"/>
                        </w:rPr>
                        <m:t>Total Area Pixels</m:t>
                      </m:r>
                    </m:den>
                  </m:f>
                </m:e>
              </m:d>
            </m:den>
          </m:f>
        </m:oMath>
      </m:oMathPara>
    </w:p>
    <w:p w14:paraId="5A1A9F81" w14:textId="77777777" w:rsidR="00241E77" w:rsidRPr="00CD384C" w:rsidRDefault="00241E77" w:rsidP="00241E77">
      <w:pPr>
        <w:jc w:val="both"/>
        <w:rPr>
          <w:rFonts w:ascii="Times New Roman" w:hAnsi="Times New Roman" w:cs="Times New Roman"/>
          <w:sz w:val="20"/>
          <w:szCs w:val="20"/>
        </w:rPr>
      </w:pPr>
      <w:r w:rsidRPr="00CD384C">
        <w:rPr>
          <w:rFonts w:ascii="Times New Roman" w:hAnsi="Times New Roman" w:cs="Times New Roman"/>
          <w:sz w:val="20"/>
          <w:szCs w:val="20"/>
        </w:rPr>
        <w:lastRenderedPageBreak/>
        <w:t>Interpretation:</w:t>
      </w:r>
    </w:p>
    <w:p w14:paraId="4A660542" w14:textId="77777777" w:rsidR="00241E77" w:rsidRPr="00CD384C" w:rsidRDefault="00241E77" w:rsidP="00241E77">
      <w:pPr>
        <w:jc w:val="both"/>
        <w:rPr>
          <w:rFonts w:ascii="Times New Roman" w:hAnsi="Times New Roman" w:cs="Times New Roman"/>
          <w:sz w:val="20"/>
          <w:szCs w:val="20"/>
        </w:rPr>
      </w:pPr>
      <w:r w:rsidRPr="00CD384C">
        <w:rPr>
          <w:rFonts w:ascii="Times New Roman" w:hAnsi="Times New Roman" w:cs="Times New Roman"/>
          <w:sz w:val="20"/>
          <w:szCs w:val="20"/>
        </w:rPr>
        <w:t>• FR &gt; 1 → High landslide influence</w:t>
      </w:r>
    </w:p>
    <w:p w14:paraId="46E4964F" w14:textId="77777777" w:rsidR="00241E77" w:rsidRPr="00CD384C" w:rsidRDefault="00241E77" w:rsidP="00241E77">
      <w:pPr>
        <w:jc w:val="both"/>
        <w:rPr>
          <w:rFonts w:ascii="Times New Roman" w:hAnsi="Times New Roman" w:cs="Times New Roman"/>
          <w:sz w:val="20"/>
          <w:szCs w:val="20"/>
        </w:rPr>
      </w:pPr>
      <w:r w:rsidRPr="00CD384C">
        <w:rPr>
          <w:rFonts w:ascii="Times New Roman" w:hAnsi="Times New Roman" w:cs="Times New Roman"/>
          <w:sz w:val="20"/>
          <w:szCs w:val="20"/>
        </w:rPr>
        <w:t>• FR &lt; 1 → Low landslide influence</w:t>
      </w:r>
    </w:p>
    <w:p w14:paraId="4A672CAA" w14:textId="4281D6DB" w:rsidR="00B771D9" w:rsidRPr="00CD384C" w:rsidRDefault="00B771D9" w:rsidP="002F59EF">
      <w:pPr>
        <w:jc w:val="both"/>
        <w:rPr>
          <w:rFonts w:ascii="Times New Roman" w:hAnsi="Times New Roman" w:cs="Times New Roman"/>
          <w:sz w:val="20"/>
          <w:szCs w:val="20"/>
        </w:rPr>
      </w:pPr>
      <w:r w:rsidRPr="00CD384C">
        <w:rPr>
          <w:rFonts w:ascii="Times New Roman" w:hAnsi="Times New Roman" w:cs="Times New Roman"/>
          <w:sz w:val="20"/>
          <w:szCs w:val="20"/>
        </w:rPr>
        <w:t>An FR value greater than 1 indicates a strong positive relationship between the variable class and landslide occurrence, while values below 1 indicate a weak relationship. The final landslide susceptibility index (LSI) was obtained by summing the FR values across all contributing factors. Validation was performed using Receiver Operating Characteristic (ROC) curve and Area Under Curve (AUC) metrics. The ROC curve assesses the predictive performance by plotting the true positive rate against the false positive rate. AUC values range from 0 to 1, where values above 0.7 represent good prediction accuracy. Three susceptibility classes were incorpor</w:t>
      </w:r>
      <w:r w:rsidR="007D7062" w:rsidRPr="00CD384C">
        <w:rPr>
          <w:rFonts w:ascii="Times New Roman" w:hAnsi="Times New Roman" w:cs="Times New Roman"/>
          <w:sz w:val="20"/>
          <w:szCs w:val="20"/>
        </w:rPr>
        <w:t>ated as low (0.2), medium (0.6)</w:t>
      </w:r>
      <w:r w:rsidRPr="00CD384C">
        <w:rPr>
          <w:rFonts w:ascii="Times New Roman" w:hAnsi="Times New Roman" w:cs="Times New Roman"/>
          <w:sz w:val="20"/>
          <w:szCs w:val="20"/>
        </w:rPr>
        <w:t xml:space="preserve"> and high (1.0) to reflect landslide probability levels.</w:t>
      </w:r>
    </w:p>
    <w:p w14:paraId="73295909" w14:textId="77777777" w:rsidR="00812DA2" w:rsidRPr="00CD384C" w:rsidRDefault="00B771D9" w:rsidP="002F59EF">
      <w:pPr>
        <w:jc w:val="both"/>
        <w:rPr>
          <w:rFonts w:ascii="Times New Roman" w:hAnsi="Times New Roman" w:cs="Times New Roman"/>
          <w:sz w:val="20"/>
          <w:szCs w:val="20"/>
        </w:rPr>
      </w:pPr>
      <w:r w:rsidRPr="00CD384C">
        <w:rPr>
          <w:rFonts w:ascii="Times New Roman" w:hAnsi="Times New Roman" w:cs="Times New Roman"/>
          <w:sz w:val="20"/>
          <w:szCs w:val="20"/>
        </w:rPr>
        <w:t>Chi-square analysis was applied to evaluate the statistical independence between landslide occurrence and conditioning factors. The chi-square value was computed using observed and expected frequencies in each class. Higher chi-square values indicate a strong association, validating the r</w:t>
      </w:r>
      <w:r w:rsidR="00932D32" w:rsidRPr="00CD384C">
        <w:rPr>
          <w:rFonts w:ascii="Times New Roman" w:hAnsi="Times New Roman" w:cs="Times New Roman"/>
          <w:sz w:val="20"/>
          <w:szCs w:val="20"/>
        </w:rPr>
        <w:t>elevance of selected variables.</w:t>
      </w:r>
    </w:p>
    <w:p w14:paraId="1449A1F6" w14:textId="77777777" w:rsidR="00812DA2" w:rsidRPr="00CD384C" w:rsidRDefault="00812DA2" w:rsidP="002F59EF">
      <w:pPr>
        <w:jc w:val="both"/>
        <w:rPr>
          <w:rFonts w:ascii="Times New Roman" w:hAnsi="Times New Roman" w:cs="Times New Roman"/>
          <w:b/>
          <w:sz w:val="20"/>
          <w:szCs w:val="20"/>
        </w:rPr>
      </w:pPr>
      <w:r w:rsidRPr="00CD384C">
        <w:rPr>
          <w:rFonts w:ascii="Times New Roman" w:hAnsi="Times New Roman" w:cs="Times New Roman"/>
          <w:b/>
          <w:sz w:val="20"/>
          <w:szCs w:val="20"/>
        </w:rPr>
        <w:t>Ch</w:t>
      </w:r>
      <w:r w:rsidR="006A4403" w:rsidRPr="00CD384C">
        <w:rPr>
          <w:rFonts w:ascii="Times New Roman" w:hAnsi="Times New Roman" w:cs="Times New Roman"/>
          <w:b/>
          <w:sz w:val="20"/>
          <w:szCs w:val="20"/>
        </w:rPr>
        <w:t>i-Square</w:t>
      </w:r>
      <w:r w:rsidR="00591177" w:rsidRPr="00CD384C">
        <w:rPr>
          <w:rFonts w:ascii="Times New Roman" w:hAnsi="Times New Roman" w:cs="Times New Roman"/>
          <w:b/>
          <w:sz w:val="20"/>
          <w:szCs w:val="20"/>
        </w:rPr>
        <w:t xml:space="preserve"> Validation</w:t>
      </w:r>
      <w:r w:rsidR="006A4403" w:rsidRPr="00CD384C">
        <w:rPr>
          <w:rFonts w:ascii="Times New Roman" w:hAnsi="Times New Roman" w:cs="Times New Roman"/>
          <w:b/>
          <w:sz w:val="20"/>
          <w:szCs w:val="20"/>
        </w:rPr>
        <w:t>:</w:t>
      </w:r>
    </w:p>
    <w:p w14:paraId="67D71F39" w14:textId="77777777" w:rsidR="00812DA2" w:rsidRPr="00CD384C" w:rsidRDefault="00591177" w:rsidP="002F59EF">
      <w:pPr>
        <w:jc w:val="both"/>
        <w:rPr>
          <w:rFonts w:ascii="Times New Roman" w:hAnsi="Times New Roman" w:cs="Times New Roman"/>
          <w:sz w:val="20"/>
          <w:szCs w:val="20"/>
        </w:rPr>
      </w:pPr>
      <w:r w:rsidRPr="00CD384C">
        <w:rPr>
          <w:rFonts w:ascii="Times New Roman" w:hAnsi="Times New Roman" w:cs="Times New Roman"/>
          <w:sz w:val="20"/>
          <w:szCs w:val="20"/>
        </w:rPr>
        <w:tab/>
      </w:r>
      <w:r w:rsidR="002F105C" w:rsidRPr="00CD384C">
        <w:rPr>
          <w:rFonts w:ascii="Times New Roman" w:hAnsi="Times New Roman" w:cs="Times New Roman"/>
          <w:sz w:val="20"/>
          <w:szCs w:val="20"/>
        </w:rPr>
        <w:br/>
      </w:r>
      <m:oMathPara>
        <m:oMath>
          <m:sSup>
            <m:sSupPr>
              <m:ctrlPr>
                <w:rPr>
                  <w:rFonts w:ascii="Cambria Math" w:hAnsi="Cambria Math" w:cs="Times New Roman"/>
                  <w:i/>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r>
            <w:rPr>
              <w:rFonts w:ascii="Cambria Math" w:hAnsi="Cambria Math" w:cs="Times New Roman"/>
              <w:sz w:val="20"/>
              <w:szCs w:val="20"/>
            </w:rPr>
            <m:t xml:space="preserve">= </m:t>
          </m:r>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j</m:t>
              </m:r>
            </m:sub>
            <m:sup/>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(Obeserved</m:t>
                      </m:r>
                    </m:e>
                    <m:sub>
                      <m:r>
                        <w:rPr>
                          <w:rFonts w:ascii="Cambria Math" w:hAnsi="Cambria Math" w:cs="Times New Roman"/>
                          <w:sz w:val="20"/>
                          <w:szCs w:val="20"/>
                        </w:rPr>
                        <m:t>j</m:t>
                      </m:r>
                    </m:sub>
                  </m:sSub>
                  <m:r>
                    <w:rPr>
                      <w:rFonts w:ascii="Cambria Math" w:hAnsi="Cambria Math" w:cs="Times New Roman"/>
                      <w:sz w:val="20"/>
                      <w:szCs w:val="20"/>
                    </w:rPr>
                    <m:t>-</m:t>
                  </m:r>
                  <m:sSup>
                    <m:sSupPr>
                      <m:ctrlPr>
                        <w:rPr>
                          <w:rFonts w:ascii="Cambria Math" w:hAnsi="Cambria Math" w:cs="Times New Roman"/>
                          <w:i/>
                          <w:sz w:val="20"/>
                          <w:szCs w:val="20"/>
                        </w:rPr>
                      </m:ctrlPr>
                    </m:sSupPr>
                    <m:e>
                      <m:sSub>
                        <m:sSubPr>
                          <m:ctrlPr>
                            <w:rPr>
                              <w:rFonts w:ascii="Cambria Math" w:hAnsi="Cambria Math" w:cs="Times New Roman"/>
                              <w:i/>
                              <w:sz w:val="20"/>
                              <w:szCs w:val="20"/>
                            </w:rPr>
                          </m:ctrlPr>
                        </m:sSubPr>
                        <m:e>
                          <m:r>
                            <w:rPr>
                              <w:rFonts w:ascii="Cambria Math" w:hAnsi="Cambria Math" w:cs="Times New Roman"/>
                              <w:sz w:val="20"/>
                              <w:szCs w:val="20"/>
                            </w:rPr>
                            <m:t>Expected</m:t>
                          </m:r>
                        </m:e>
                        <m:sub>
                          <m:r>
                            <w:rPr>
                              <w:rFonts w:ascii="Cambria Math" w:hAnsi="Cambria Math" w:cs="Times New Roman"/>
                              <w:sz w:val="20"/>
                              <w:szCs w:val="20"/>
                            </w:rPr>
                            <m:t>j</m:t>
                          </m:r>
                        </m:sub>
                      </m:sSub>
                      <m:r>
                        <w:rPr>
                          <w:rFonts w:ascii="Cambria Math" w:hAnsi="Cambria Math" w:cs="Times New Roman"/>
                          <w:sz w:val="20"/>
                          <w:szCs w:val="20"/>
                        </w:rPr>
                        <m:t>)</m:t>
                      </m:r>
                    </m:e>
                    <m:sup>
                      <m:r>
                        <w:rPr>
                          <w:rFonts w:ascii="Cambria Math" w:hAnsi="Cambria Math" w:cs="Times New Roman"/>
                          <w:sz w:val="20"/>
                          <w:szCs w:val="20"/>
                        </w:rPr>
                        <m:t>2</m:t>
                      </m:r>
                    </m:sup>
                  </m:sSup>
                </m:num>
                <m:den>
                  <m:sSub>
                    <m:sSubPr>
                      <m:ctrlPr>
                        <w:rPr>
                          <w:rFonts w:ascii="Cambria Math" w:hAnsi="Cambria Math" w:cs="Times New Roman"/>
                          <w:i/>
                          <w:sz w:val="20"/>
                          <w:szCs w:val="20"/>
                        </w:rPr>
                      </m:ctrlPr>
                    </m:sSubPr>
                    <m:e>
                      <m:r>
                        <w:rPr>
                          <w:rFonts w:ascii="Cambria Math" w:hAnsi="Cambria Math" w:cs="Times New Roman"/>
                          <w:sz w:val="20"/>
                          <w:szCs w:val="20"/>
                        </w:rPr>
                        <m:t>Expected</m:t>
                      </m:r>
                    </m:e>
                    <m:sub>
                      <m:r>
                        <w:rPr>
                          <w:rFonts w:ascii="Cambria Math" w:hAnsi="Cambria Math" w:cs="Times New Roman"/>
                          <w:sz w:val="20"/>
                          <w:szCs w:val="20"/>
                        </w:rPr>
                        <m:t>j</m:t>
                      </m:r>
                    </m:sub>
                  </m:sSub>
                </m:den>
              </m:f>
            </m:e>
          </m:nary>
        </m:oMath>
      </m:oMathPara>
    </w:p>
    <w:p w14:paraId="42D5CB23" w14:textId="77777777" w:rsidR="00812DA2" w:rsidRPr="00CD384C" w:rsidRDefault="00812DA2" w:rsidP="002F59EF">
      <w:pPr>
        <w:spacing w:after="0"/>
        <w:jc w:val="both"/>
        <w:rPr>
          <w:rFonts w:ascii="Times New Roman" w:hAnsi="Times New Roman" w:cs="Times New Roman"/>
          <w:sz w:val="20"/>
          <w:szCs w:val="20"/>
        </w:rPr>
      </w:pPr>
      <w:r w:rsidRPr="00CD384C">
        <w:rPr>
          <w:rFonts w:ascii="Times New Roman" w:hAnsi="Times New Roman" w:cs="Times New Roman"/>
          <w:sz w:val="20"/>
          <w:szCs w:val="20"/>
        </w:rPr>
        <w:t>Where:</w:t>
      </w:r>
    </w:p>
    <w:p w14:paraId="1EDEDA1B" w14:textId="77777777" w:rsidR="00812DA2" w:rsidRPr="00CD384C" w:rsidRDefault="00A07B04" w:rsidP="002F59EF">
      <w:pPr>
        <w:spacing w:after="0"/>
        <w:jc w:val="both"/>
        <w:rPr>
          <w:rFonts w:ascii="Times New Roman" w:hAnsi="Times New Roman" w:cs="Times New Roman"/>
          <w:sz w:val="20"/>
          <w:szCs w:val="20"/>
        </w:rPr>
      </w:pPr>
      <w:r w:rsidRPr="00CD384C">
        <w:rPr>
          <w:rFonts w:ascii="Times New Roman" w:hAnsi="Times New Roman" w:cs="Times New Roman"/>
          <w:sz w:val="20"/>
          <w:szCs w:val="20"/>
        </w:rPr>
        <w:t xml:space="preserve">Observed </w:t>
      </w:r>
      <w:r w:rsidRPr="00CD384C">
        <w:rPr>
          <w:rFonts w:ascii="Times New Roman" w:hAnsi="Times New Roman" w:cs="Times New Roman"/>
          <w:sz w:val="20"/>
          <w:szCs w:val="20"/>
          <w:vertAlign w:val="subscript"/>
        </w:rPr>
        <w:t>j</w:t>
      </w:r>
      <w:r w:rsidR="00812DA2" w:rsidRPr="00CD384C">
        <w:rPr>
          <w:rFonts w:ascii="Times New Roman" w:hAnsi="Times New Roman" w:cs="Times New Roman"/>
          <w:sz w:val="20"/>
          <w:szCs w:val="20"/>
        </w:rPr>
        <w:t xml:space="preserve"> = landslide pixel counts per class</w:t>
      </w:r>
      <w:r w:rsidR="00F37AAE" w:rsidRPr="00CD384C">
        <w:rPr>
          <w:rFonts w:ascii="Times New Roman" w:hAnsi="Times New Roman" w:cs="Times New Roman"/>
          <w:sz w:val="20"/>
          <w:szCs w:val="20"/>
        </w:rPr>
        <w:t>.</w:t>
      </w:r>
    </w:p>
    <w:p w14:paraId="6661EFDC" w14:textId="77777777" w:rsidR="00812DA2" w:rsidRPr="00CD384C" w:rsidRDefault="00812DA2" w:rsidP="002F59EF">
      <w:pPr>
        <w:spacing w:after="0"/>
        <w:jc w:val="both"/>
        <w:rPr>
          <w:rFonts w:ascii="Times New Roman" w:hAnsi="Times New Roman" w:cs="Times New Roman"/>
          <w:sz w:val="20"/>
          <w:szCs w:val="20"/>
        </w:rPr>
      </w:pPr>
      <w:r w:rsidRPr="00CD384C">
        <w:rPr>
          <w:rFonts w:ascii="Times New Roman" w:hAnsi="Times New Roman" w:cs="Times New Roman"/>
          <w:sz w:val="20"/>
          <w:szCs w:val="20"/>
        </w:rPr>
        <w:t>Expected</w:t>
      </w:r>
      <w:r w:rsidR="00A07B04" w:rsidRPr="00CD384C">
        <w:rPr>
          <w:rFonts w:ascii="Times New Roman" w:hAnsi="Times New Roman" w:cs="Times New Roman"/>
          <w:sz w:val="20"/>
          <w:szCs w:val="20"/>
        </w:rPr>
        <w:t xml:space="preserve"> </w:t>
      </w:r>
      <w:r w:rsidR="00A07B04" w:rsidRPr="00CD384C">
        <w:rPr>
          <w:rFonts w:ascii="Times New Roman" w:hAnsi="Times New Roman" w:cs="Times New Roman"/>
          <w:sz w:val="20"/>
          <w:szCs w:val="20"/>
          <w:vertAlign w:val="subscript"/>
        </w:rPr>
        <w:t>j</w:t>
      </w:r>
      <w:r w:rsidRPr="00CD384C">
        <w:rPr>
          <w:rFonts w:ascii="Times New Roman" w:hAnsi="Times New Roman" w:cs="Times New Roman"/>
          <w:sz w:val="20"/>
          <w:szCs w:val="20"/>
        </w:rPr>
        <w:t xml:space="preserve"> = predicted landslide probability based on area proportion</w:t>
      </w:r>
      <w:r w:rsidR="00F37AAE" w:rsidRPr="00CD384C">
        <w:rPr>
          <w:rFonts w:ascii="Times New Roman" w:hAnsi="Times New Roman" w:cs="Times New Roman"/>
          <w:sz w:val="20"/>
          <w:szCs w:val="20"/>
        </w:rPr>
        <w:t>.</w:t>
      </w:r>
    </w:p>
    <w:p w14:paraId="563BB1A6" w14:textId="77777777" w:rsidR="00812DA2" w:rsidRPr="00CD384C" w:rsidRDefault="00812DA2" w:rsidP="002F59EF">
      <w:pPr>
        <w:jc w:val="both"/>
        <w:rPr>
          <w:rFonts w:ascii="Times New Roman" w:hAnsi="Times New Roman" w:cs="Times New Roman"/>
          <w:sz w:val="20"/>
          <w:szCs w:val="20"/>
        </w:rPr>
      </w:pPr>
      <w:r w:rsidRPr="00CD384C">
        <w:rPr>
          <w:rFonts w:ascii="Times New Roman" w:hAnsi="Times New Roman" w:cs="Times New Roman"/>
          <w:sz w:val="20"/>
          <w:szCs w:val="20"/>
        </w:rPr>
        <w:t>Higher χ² value = stronger predictive power of FR model.</w:t>
      </w:r>
    </w:p>
    <w:p w14:paraId="4B1B0844" w14:textId="77777777" w:rsidR="000A3480" w:rsidRPr="00CD384C" w:rsidRDefault="000A3480" w:rsidP="002F59EF">
      <w:pPr>
        <w:pStyle w:val="Heading3"/>
        <w:jc w:val="both"/>
        <w:rPr>
          <w:sz w:val="20"/>
          <w:szCs w:val="20"/>
        </w:rPr>
      </w:pPr>
      <w:r w:rsidRPr="00CD384C">
        <w:rPr>
          <w:sz w:val="20"/>
          <w:szCs w:val="20"/>
        </w:rPr>
        <w:t>Weight of Evidence (WOE) Model</w:t>
      </w:r>
    </w:p>
    <w:p w14:paraId="6719062C" w14:textId="379B60C1" w:rsidR="00EF6FAC" w:rsidRPr="00CD384C" w:rsidRDefault="00EF6FAC" w:rsidP="002F59EF">
      <w:pPr>
        <w:pStyle w:val="NormalWeb"/>
        <w:jc w:val="both"/>
        <w:rPr>
          <w:rStyle w:val="citation-63"/>
          <w:sz w:val="20"/>
          <w:szCs w:val="20"/>
        </w:rPr>
      </w:pPr>
      <w:r w:rsidRPr="00CD384C">
        <w:rPr>
          <w:rStyle w:val="citation-63"/>
          <w:sz w:val="20"/>
          <w:szCs w:val="20"/>
        </w:rPr>
        <w:t>The Weight of Evidence (WOE) model was applied to complement the Frequency Ratio analysis and enhance statistical robustness. WOE is a bivariate statistical method that calculates positive (W</w:t>
      </w:r>
      <w:r w:rsidRPr="00CD384C">
        <w:rPr>
          <w:rStyle w:val="citation-63"/>
          <w:sz w:val="20"/>
          <w:szCs w:val="20"/>
          <w:vertAlign w:val="superscript"/>
        </w:rPr>
        <w:t>+</w:t>
      </w:r>
      <w:r w:rsidRPr="00CD384C">
        <w:rPr>
          <w:rStyle w:val="citation-63"/>
          <w:sz w:val="20"/>
          <w:szCs w:val="20"/>
        </w:rPr>
        <w:t>) and negative (W</w:t>
      </w:r>
      <w:r w:rsidRPr="00CD384C">
        <w:rPr>
          <w:rStyle w:val="citation-63"/>
          <w:sz w:val="20"/>
          <w:szCs w:val="20"/>
          <w:vertAlign w:val="superscript"/>
        </w:rPr>
        <w:t>-</w:t>
      </w:r>
      <w:r w:rsidRPr="00CD384C">
        <w:rPr>
          <w:rStyle w:val="citation-63"/>
          <w:sz w:val="20"/>
          <w:szCs w:val="20"/>
        </w:rPr>
        <w:t>) weights based on the spatial correlation between a factor's class and the landslide inventory. The weights are calculated based on the conditional probability of the presence or absence of landslides within each parameter class and are expressed in a natural logarithmic (ln) form</w:t>
      </w:r>
      <w:r w:rsidR="00445BCF">
        <w:rPr>
          <w:rStyle w:val="citation-63"/>
          <w:sz w:val="20"/>
          <w:szCs w:val="20"/>
        </w:rPr>
        <w:t xml:space="preserve"> (</w:t>
      </w:r>
      <w:r w:rsidR="00445BCF" w:rsidRPr="00795E9A">
        <w:rPr>
          <w:sz w:val="20"/>
          <w:szCs w:val="20"/>
          <w:lang w:val="en-US"/>
        </w:rPr>
        <w:t>Mehta, M., Kumar</w:t>
      </w:r>
      <w:r w:rsidR="00445BCF">
        <w:rPr>
          <w:sz w:val="20"/>
          <w:szCs w:val="20"/>
          <w:lang w:val="en-US"/>
        </w:rPr>
        <w:t xml:space="preserve">, A., </w:t>
      </w:r>
      <w:proofErr w:type="spellStart"/>
      <w:r w:rsidR="00445BCF">
        <w:rPr>
          <w:sz w:val="20"/>
          <w:szCs w:val="20"/>
          <w:lang w:val="en-US"/>
        </w:rPr>
        <w:t>Rautela</w:t>
      </w:r>
      <w:proofErr w:type="spellEnd"/>
      <w:r w:rsidR="00445BCF">
        <w:rPr>
          <w:sz w:val="20"/>
          <w:szCs w:val="20"/>
          <w:lang w:val="en-US"/>
        </w:rPr>
        <w:t xml:space="preserve">, P., &amp; Singh, R. </w:t>
      </w:r>
      <w:r w:rsidR="00445BCF" w:rsidRPr="00795E9A">
        <w:rPr>
          <w:sz w:val="20"/>
          <w:szCs w:val="20"/>
          <w:lang w:val="en-US"/>
        </w:rPr>
        <w:t>2022)</w:t>
      </w:r>
      <w:r w:rsidR="00FB62E5">
        <w:rPr>
          <w:sz w:val="20"/>
          <w:szCs w:val="20"/>
          <w:lang w:val="en-US"/>
        </w:rPr>
        <w:t>, (</w:t>
      </w:r>
      <w:r w:rsidR="00FB62E5" w:rsidRPr="00012B18">
        <w:rPr>
          <w:sz w:val="20"/>
          <w:szCs w:val="20"/>
          <w:lang w:val="en-US"/>
        </w:rPr>
        <w:t xml:space="preserve">Chen, </w:t>
      </w:r>
      <w:r w:rsidR="00FB62E5">
        <w:rPr>
          <w:sz w:val="20"/>
          <w:szCs w:val="20"/>
          <w:lang w:val="en-US"/>
        </w:rPr>
        <w:t xml:space="preserve">W., Li, W., </w:t>
      </w:r>
      <w:proofErr w:type="spellStart"/>
      <w:r w:rsidR="00FB62E5">
        <w:rPr>
          <w:sz w:val="20"/>
          <w:szCs w:val="20"/>
          <w:lang w:val="en-US"/>
        </w:rPr>
        <w:t>Xie</w:t>
      </w:r>
      <w:proofErr w:type="spellEnd"/>
      <w:r w:rsidR="00FB62E5">
        <w:rPr>
          <w:sz w:val="20"/>
          <w:szCs w:val="20"/>
          <w:lang w:val="en-US"/>
        </w:rPr>
        <w:t xml:space="preserve">, X., &amp; Guo, F. </w:t>
      </w:r>
      <w:r w:rsidR="00FB62E5" w:rsidRPr="00012B18">
        <w:rPr>
          <w:sz w:val="20"/>
          <w:szCs w:val="20"/>
          <w:lang w:val="en-US"/>
        </w:rPr>
        <w:t>2021)</w:t>
      </w:r>
      <w:r w:rsidRPr="00CD384C">
        <w:rPr>
          <w:rStyle w:val="citation-63"/>
          <w:sz w:val="20"/>
          <w:szCs w:val="20"/>
        </w:rPr>
        <w:t>.</w:t>
      </w:r>
    </w:p>
    <w:p w14:paraId="460EAE49" w14:textId="77777777" w:rsidR="003C2676" w:rsidRPr="00CD384C" w:rsidRDefault="0031308D" w:rsidP="002F59EF">
      <w:pPr>
        <w:pStyle w:val="NormalWeb"/>
        <w:jc w:val="both"/>
        <w:rPr>
          <w:sz w:val="20"/>
          <w:szCs w:val="20"/>
        </w:rPr>
      </w:pPr>
      <m:oMathPara>
        <m:oMath>
          <m:sSup>
            <m:sSupPr>
              <m:ctrlPr>
                <w:rPr>
                  <w:rFonts w:ascii="Cambria Math" w:hAnsi="Cambria Math"/>
                  <w:i/>
                  <w:sz w:val="20"/>
                  <w:szCs w:val="20"/>
                </w:rPr>
              </m:ctrlPr>
            </m:sSupPr>
            <m:e>
              <m:r>
                <w:rPr>
                  <w:rFonts w:ascii="Cambria Math" w:hAnsi="Cambria Math"/>
                  <w:sz w:val="20"/>
                  <w:szCs w:val="20"/>
                </w:rPr>
                <m:t>W</m:t>
              </m:r>
            </m:e>
            <m:sup>
              <m:r>
                <w:rPr>
                  <w:rFonts w:ascii="Cambria Math" w:hAnsi="Cambria Math"/>
                  <w:sz w:val="20"/>
                  <w:szCs w:val="20"/>
                </w:rPr>
                <m:t>+</m:t>
              </m:r>
            </m:sup>
          </m:sSup>
          <m:r>
            <w:rPr>
              <w:rFonts w:ascii="Cambria Math" w:hAnsi="Cambria Math"/>
              <w:sz w:val="20"/>
              <w:szCs w:val="20"/>
            </w:rPr>
            <m:t xml:space="preserve">=In </m:t>
          </m:r>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pix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pix</m:t>
                      </m:r>
                    </m:sub>
                  </m:sSub>
                  <m:r>
                    <w:rPr>
                      <w:rFonts w:ascii="Cambria Math" w:hAnsi="Cambria Math"/>
                      <w:sz w:val="20"/>
                      <w:szCs w:val="20"/>
                    </w:rPr>
                    <m:t xml:space="preserve"> </m:t>
                  </m:r>
                </m:num>
                <m:den>
                  <m:sSub>
                    <m:sSubPr>
                      <m:ctrlPr>
                        <w:rPr>
                          <w:rFonts w:ascii="Cambria Math" w:hAnsi="Cambria Math"/>
                          <w:i/>
                          <w:sz w:val="20"/>
                          <w:szCs w:val="20"/>
                        </w:rPr>
                      </m:ctrlPr>
                    </m:sSubPr>
                    <m:e>
                      <m:r>
                        <w:rPr>
                          <w:rFonts w:ascii="Cambria Math" w:hAnsi="Cambria Math"/>
                          <w:sz w:val="20"/>
                          <w:szCs w:val="20"/>
                        </w:rPr>
                        <m:t>N</m:t>
                      </m:r>
                    </m:e>
                    <m:sub>
                      <m:acc>
                        <m:accPr>
                          <m:chr m:val="̅"/>
                          <m:ctrlPr>
                            <w:rPr>
                              <w:rFonts w:ascii="Cambria Math" w:hAnsi="Cambria Math"/>
                              <w:i/>
                              <w:sz w:val="20"/>
                              <w:szCs w:val="20"/>
                            </w:rPr>
                          </m:ctrlPr>
                        </m:accPr>
                        <m:e>
                          <m:r>
                            <w:rPr>
                              <w:rFonts w:ascii="Cambria Math" w:hAnsi="Cambria Math"/>
                              <w:sz w:val="20"/>
                              <w:szCs w:val="20"/>
                            </w:rPr>
                            <m:t>pix</m:t>
                          </m:r>
                        </m:e>
                      </m:acc>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acc>
                        <m:accPr>
                          <m:chr m:val="̅"/>
                          <m:ctrlPr>
                            <w:rPr>
                              <w:rFonts w:ascii="Cambria Math" w:hAnsi="Cambria Math"/>
                              <w:i/>
                              <w:sz w:val="20"/>
                              <w:szCs w:val="20"/>
                            </w:rPr>
                          </m:ctrlPr>
                        </m:accPr>
                        <m:e>
                          <m:r>
                            <w:rPr>
                              <w:rFonts w:ascii="Cambria Math" w:hAnsi="Cambria Math"/>
                              <w:sz w:val="20"/>
                              <w:szCs w:val="20"/>
                            </w:rPr>
                            <m:t>pix</m:t>
                          </m:r>
                        </m:e>
                      </m:acc>
                    </m:sub>
                  </m:sSub>
                  <m:r>
                    <w:rPr>
                      <w:rFonts w:ascii="Cambria Math" w:hAnsi="Cambria Math"/>
                      <w:sz w:val="20"/>
                      <w:szCs w:val="20"/>
                    </w:rPr>
                    <m:t xml:space="preserve"> </m:t>
                  </m:r>
                </m:den>
              </m:f>
            </m:e>
          </m:d>
        </m:oMath>
      </m:oMathPara>
    </w:p>
    <w:p w14:paraId="3C40FA5D" w14:textId="77777777" w:rsidR="00E13327" w:rsidRPr="00CD384C" w:rsidRDefault="00E13327" w:rsidP="002F59EF">
      <w:pPr>
        <w:pStyle w:val="NormalWeb"/>
        <w:jc w:val="both"/>
        <w:rPr>
          <w:sz w:val="20"/>
          <w:szCs w:val="20"/>
        </w:rPr>
      </w:pPr>
      <w:r w:rsidRPr="00CD384C">
        <w:rPr>
          <w:sz w:val="20"/>
          <w:szCs w:val="20"/>
        </w:rPr>
        <w:t>The final weight for each class known as the ‘’weight contrast’’ (C) is the difference between the positive and negative weights (C = W</w:t>
      </w:r>
      <w:r w:rsidRPr="00CD384C">
        <w:rPr>
          <w:sz w:val="20"/>
          <w:szCs w:val="20"/>
          <w:vertAlign w:val="superscript"/>
        </w:rPr>
        <w:t xml:space="preserve">+ </w:t>
      </w:r>
      <w:r w:rsidRPr="00CD384C">
        <w:rPr>
          <w:sz w:val="20"/>
          <w:szCs w:val="20"/>
        </w:rPr>
        <w:t>- W</w:t>
      </w:r>
      <w:r w:rsidRPr="00CD384C">
        <w:rPr>
          <w:sz w:val="20"/>
          <w:szCs w:val="20"/>
          <w:vertAlign w:val="superscript"/>
        </w:rPr>
        <w:t>-</w:t>
      </w:r>
      <w:r w:rsidRPr="00CD384C">
        <w:rPr>
          <w:sz w:val="20"/>
          <w:szCs w:val="20"/>
        </w:rPr>
        <w:t>)</w:t>
      </w:r>
      <w:r w:rsidR="00140168" w:rsidRPr="00CD384C">
        <w:rPr>
          <w:sz w:val="20"/>
          <w:szCs w:val="20"/>
        </w:rPr>
        <w:t>. A positive contrast value indicates a strong correlation with landslide occurrence, while a negative value indicates its absence.</w:t>
      </w:r>
    </w:p>
    <w:p w14:paraId="23D1A571" w14:textId="77777777" w:rsidR="00AC0CC8" w:rsidRPr="00CD384C" w:rsidRDefault="00AC0CC8" w:rsidP="002F59EF">
      <w:pPr>
        <w:pStyle w:val="Heading3"/>
        <w:jc w:val="both"/>
        <w:rPr>
          <w:sz w:val="20"/>
          <w:szCs w:val="20"/>
        </w:rPr>
      </w:pPr>
      <w:r w:rsidRPr="00CD384C">
        <w:rPr>
          <w:sz w:val="20"/>
          <w:szCs w:val="20"/>
        </w:rPr>
        <w:t>Integrated Susceptibility Modelling (FR–WOE)</w:t>
      </w:r>
    </w:p>
    <w:p w14:paraId="3CC4A9DB" w14:textId="07E4AEA2" w:rsidR="00E47B64" w:rsidRPr="00CD384C" w:rsidRDefault="00E47B64" w:rsidP="002F59EF">
      <w:pPr>
        <w:pStyle w:val="NormalWeb"/>
        <w:jc w:val="both"/>
        <w:rPr>
          <w:sz w:val="20"/>
          <w:szCs w:val="20"/>
        </w:rPr>
      </w:pPr>
      <w:r w:rsidRPr="00CD384C">
        <w:rPr>
          <w:sz w:val="20"/>
          <w:szCs w:val="20"/>
        </w:rPr>
        <w:t>As outlined in the methodology, the Weight of Evidence (WOE) model was applied to complement the Frequency Ratio (FR) analysis and enhance statistical robustness. WOE calculates a positive weight (W</w:t>
      </w:r>
      <w:r w:rsidRPr="00CD384C">
        <w:rPr>
          <w:sz w:val="20"/>
          <w:szCs w:val="20"/>
          <w:vertAlign w:val="superscript"/>
        </w:rPr>
        <w:t>+</w:t>
      </w:r>
      <w:r w:rsidRPr="00CD384C">
        <w:rPr>
          <w:sz w:val="20"/>
          <w:szCs w:val="20"/>
        </w:rPr>
        <w:t>) and a negative weight (W</w:t>
      </w:r>
      <w:r w:rsidRPr="00CD384C">
        <w:rPr>
          <w:sz w:val="20"/>
          <w:szCs w:val="20"/>
          <w:vertAlign w:val="superscript"/>
        </w:rPr>
        <w:t>-</w:t>
      </w:r>
      <w:r w:rsidRPr="00CD384C">
        <w:rPr>
          <w:sz w:val="20"/>
          <w:szCs w:val="20"/>
        </w:rPr>
        <w:t>) for each class, based on its spatial correlation with the landslide inventory. The final weight for each class, known as the "weight contrast" (C), is the difference between the two (C = W</w:t>
      </w:r>
      <w:r w:rsidRPr="00CD384C">
        <w:rPr>
          <w:sz w:val="20"/>
          <w:szCs w:val="20"/>
          <w:vertAlign w:val="superscript"/>
        </w:rPr>
        <w:t>+</w:t>
      </w:r>
      <w:r w:rsidRPr="00CD384C">
        <w:rPr>
          <w:sz w:val="20"/>
          <w:szCs w:val="20"/>
        </w:rPr>
        <w:t xml:space="preserve"> - W</w:t>
      </w:r>
      <w:r w:rsidRPr="00CD384C">
        <w:rPr>
          <w:sz w:val="20"/>
          <w:szCs w:val="20"/>
          <w:vertAlign w:val="superscript"/>
        </w:rPr>
        <w:t>-</w:t>
      </w:r>
      <w:r w:rsidRPr="00CD384C">
        <w:rPr>
          <w:sz w:val="20"/>
          <w:szCs w:val="20"/>
        </w:rPr>
        <w:t>)</w:t>
      </w:r>
      <w:r w:rsidR="00436495">
        <w:rPr>
          <w:sz w:val="20"/>
          <w:szCs w:val="20"/>
        </w:rPr>
        <w:t xml:space="preserve"> (</w:t>
      </w:r>
      <w:r w:rsidR="00436495" w:rsidRPr="00012B18">
        <w:rPr>
          <w:sz w:val="20"/>
          <w:szCs w:val="20"/>
          <w:lang w:val="en-US"/>
        </w:rPr>
        <w:t xml:space="preserve">Chen, </w:t>
      </w:r>
      <w:r w:rsidR="00436495">
        <w:rPr>
          <w:sz w:val="20"/>
          <w:szCs w:val="20"/>
          <w:lang w:val="en-US"/>
        </w:rPr>
        <w:t xml:space="preserve">W., Li, W., </w:t>
      </w:r>
      <w:proofErr w:type="spellStart"/>
      <w:r w:rsidR="00436495">
        <w:rPr>
          <w:sz w:val="20"/>
          <w:szCs w:val="20"/>
          <w:lang w:val="en-US"/>
        </w:rPr>
        <w:t>Xie</w:t>
      </w:r>
      <w:proofErr w:type="spellEnd"/>
      <w:r w:rsidR="00436495">
        <w:rPr>
          <w:sz w:val="20"/>
          <w:szCs w:val="20"/>
          <w:lang w:val="en-US"/>
        </w:rPr>
        <w:t xml:space="preserve">, X., &amp; Guo, F. </w:t>
      </w:r>
      <w:r w:rsidR="00436495" w:rsidRPr="00012B18">
        <w:rPr>
          <w:sz w:val="20"/>
          <w:szCs w:val="20"/>
          <w:lang w:val="en-US"/>
        </w:rPr>
        <w:t>2021)</w:t>
      </w:r>
      <w:r w:rsidRPr="00CD384C">
        <w:rPr>
          <w:sz w:val="20"/>
          <w:szCs w:val="20"/>
        </w:rPr>
        <w:t>.</w:t>
      </w:r>
    </w:p>
    <w:p w14:paraId="5FB50D2D" w14:textId="47F02160" w:rsidR="00E47B64" w:rsidRPr="00CD384C" w:rsidRDefault="00E47B64" w:rsidP="002F59EF">
      <w:pPr>
        <w:pStyle w:val="NormalWeb"/>
        <w:jc w:val="both"/>
        <w:rPr>
          <w:sz w:val="20"/>
          <w:szCs w:val="20"/>
        </w:rPr>
      </w:pPr>
      <w:r w:rsidRPr="00CD384C">
        <w:rPr>
          <w:sz w:val="20"/>
          <w:szCs w:val="20"/>
        </w:rPr>
        <w:t>The final Landslide Susceptibility Index (LSI) was generated by integrating the results from both models. A hybrid weight was created by summing the FR value and the WOE weight contrast (C) for each parameter's class. The final LSI for any given pixel is the sum of all hybrid weights from the parameters at that location.</w:t>
      </w:r>
      <w:r w:rsidR="00762756" w:rsidRPr="00CD384C">
        <w:rPr>
          <w:sz w:val="20"/>
          <w:szCs w:val="20"/>
        </w:rPr>
        <w:t xml:space="preserve"> WOE values in Table 8 were derived using landslide and non-landslide pixel proportions extracted from each LULC class. Due to spatial constraints, only the final contrast values are reported</w:t>
      </w:r>
      <w:r w:rsidR="00A038C4">
        <w:rPr>
          <w:sz w:val="20"/>
          <w:szCs w:val="20"/>
        </w:rPr>
        <w:t xml:space="preserve"> (</w:t>
      </w:r>
      <w:r w:rsidR="00A038C4" w:rsidRPr="00012B18">
        <w:rPr>
          <w:sz w:val="20"/>
          <w:szCs w:val="20"/>
          <w:lang w:val="en-GB"/>
        </w:rPr>
        <w:t>Mandal</w:t>
      </w:r>
      <w:r w:rsidR="00A038C4">
        <w:rPr>
          <w:sz w:val="20"/>
          <w:szCs w:val="20"/>
          <w:lang w:val="en-GB"/>
        </w:rPr>
        <w:t xml:space="preserve">, B., Mondal, S., &amp; Mandal, S. </w:t>
      </w:r>
      <w:r w:rsidR="00A038C4" w:rsidRPr="00012B18">
        <w:rPr>
          <w:sz w:val="20"/>
          <w:szCs w:val="20"/>
          <w:lang w:val="en-GB"/>
        </w:rPr>
        <w:t>2023</w:t>
      </w:r>
      <w:r w:rsidR="00A038C4">
        <w:rPr>
          <w:sz w:val="20"/>
          <w:szCs w:val="20"/>
        </w:rPr>
        <w:t>).</w:t>
      </w:r>
    </w:p>
    <w:p w14:paraId="3FC7504A" w14:textId="77777777" w:rsidR="00895F4E" w:rsidRDefault="00895F4E" w:rsidP="002F59EF">
      <w:pPr>
        <w:pStyle w:val="NormalWeb"/>
        <w:jc w:val="both"/>
        <w:rPr>
          <w:sz w:val="20"/>
          <w:szCs w:val="20"/>
        </w:rPr>
      </w:pPr>
    </w:p>
    <w:p w14:paraId="5C5FF1A9" w14:textId="77777777" w:rsidR="00AC0CC8" w:rsidRPr="00CD384C" w:rsidRDefault="00AC0CC8" w:rsidP="002F59EF">
      <w:pPr>
        <w:pStyle w:val="NormalWeb"/>
        <w:jc w:val="both"/>
        <w:rPr>
          <w:sz w:val="20"/>
          <w:szCs w:val="20"/>
        </w:rPr>
      </w:pPr>
      <w:r w:rsidRPr="00CD384C">
        <w:rPr>
          <w:sz w:val="20"/>
          <w:szCs w:val="20"/>
        </w:rPr>
        <w:t>The final integrated LSI was calculated using the following formula:</w:t>
      </w:r>
    </w:p>
    <w:p w14:paraId="67C6C4DF" w14:textId="77777777" w:rsidR="00AC0CC8" w:rsidRPr="00CD384C" w:rsidRDefault="00AC0CC8" w:rsidP="002F59EF">
      <w:pPr>
        <w:pStyle w:val="NormalWeb"/>
        <w:jc w:val="both"/>
        <w:rPr>
          <w:sz w:val="20"/>
          <w:szCs w:val="20"/>
        </w:rPr>
      </w:pPr>
      <m:oMathPara>
        <m:oMath>
          <m:r>
            <w:rPr>
              <w:rFonts w:ascii="Cambria Math" w:hAnsi="Cambria Math"/>
              <w:sz w:val="20"/>
              <w:szCs w:val="20"/>
            </w:rPr>
            <m:t xml:space="preserve">LSI= </m:t>
          </m:r>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sSub>
                <m:sSubPr>
                  <m:ctrlPr>
                    <w:rPr>
                      <w:rFonts w:ascii="Cambria Math" w:hAnsi="Cambria Math"/>
                      <w:i/>
                      <w:sz w:val="20"/>
                      <w:szCs w:val="20"/>
                    </w:rPr>
                  </m:ctrlPr>
                </m:sSubPr>
                <m:e>
                  <m:r>
                    <w:rPr>
                      <w:rFonts w:ascii="Cambria Math" w:hAnsi="Cambria Math"/>
                      <w:sz w:val="20"/>
                      <w:szCs w:val="20"/>
                    </w:rPr>
                    <m:t>FR</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i</m:t>
                  </m:r>
                </m:sub>
              </m:sSub>
            </m:e>
          </m:nary>
        </m:oMath>
      </m:oMathPara>
    </w:p>
    <w:p w14:paraId="4F7B8F1B" w14:textId="77777777" w:rsidR="00AC0CC8" w:rsidRPr="00CD384C" w:rsidRDefault="00AC0CC8" w:rsidP="002F59EF">
      <w:pPr>
        <w:numPr>
          <w:ilvl w:val="0"/>
          <w:numId w:val="1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LSI = Landslide Susceptibility Index</w:t>
      </w:r>
    </w:p>
    <w:p w14:paraId="522DCE75" w14:textId="77777777" w:rsidR="00AC0CC8" w:rsidRPr="00CD384C" w:rsidRDefault="00AC0CC8" w:rsidP="002F59EF">
      <w:pPr>
        <w:numPr>
          <w:ilvl w:val="0"/>
          <w:numId w:val="1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n = the number of causative parameters</w:t>
      </w:r>
    </w:p>
    <w:p w14:paraId="42563B91" w14:textId="77777777" w:rsidR="00AC0CC8" w:rsidRPr="00CD384C" w:rsidRDefault="00AC0CC8" w:rsidP="002F59EF">
      <w:pPr>
        <w:numPr>
          <w:ilvl w:val="0"/>
          <w:numId w:val="1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F R</w:t>
      </w:r>
      <w:r w:rsidRPr="00CD384C">
        <w:rPr>
          <w:rFonts w:ascii="Times New Roman" w:eastAsia="Times New Roman" w:hAnsi="Times New Roman" w:cs="Times New Roman"/>
          <w:sz w:val="20"/>
          <w:szCs w:val="20"/>
          <w:vertAlign w:val="subscript"/>
          <w:lang w:eastAsia="en-IN"/>
        </w:rPr>
        <w:t>i</w:t>
      </w:r>
      <w:r w:rsidRPr="00CD384C">
        <w:rPr>
          <w:rFonts w:ascii="Times New Roman" w:eastAsia="Times New Roman" w:hAnsi="Times New Roman" w:cs="Times New Roman"/>
          <w:sz w:val="20"/>
          <w:szCs w:val="20"/>
          <w:lang w:eastAsia="en-IN"/>
        </w:rPr>
        <w:t xml:space="preserve"> = the Frequency Ratio value for the </w:t>
      </w:r>
      <w:proofErr w:type="spellStart"/>
      <w:r w:rsidRPr="00CD384C">
        <w:rPr>
          <w:rFonts w:ascii="Times New Roman" w:eastAsia="Times New Roman" w:hAnsi="Times New Roman" w:cs="Times New Roman"/>
          <w:sz w:val="20"/>
          <w:szCs w:val="20"/>
          <w:lang w:eastAsia="en-IN"/>
        </w:rPr>
        <w:t>i-th</w:t>
      </w:r>
      <w:proofErr w:type="spellEnd"/>
      <w:r w:rsidRPr="00CD384C">
        <w:rPr>
          <w:rFonts w:ascii="Times New Roman" w:eastAsia="Times New Roman" w:hAnsi="Times New Roman" w:cs="Times New Roman"/>
          <w:sz w:val="20"/>
          <w:szCs w:val="20"/>
          <w:lang w:eastAsia="en-IN"/>
        </w:rPr>
        <w:t xml:space="preserve"> parameter's class</w:t>
      </w:r>
    </w:p>
    <w:p w14:paraId="0137F415" w14:textId="77777777" w:rsidR="00AC0CC8" w:rsidRPr="00CD384C" w:rsidRDefault="00AC0CC8" w:rsidP="002F59EF">
      <w:pPr>
        <w:numPr>
          <w:ilvl w:val="0"/>
          <w:numId w:val="1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C</w:t>
      </w:r>
      <w:r w:rsidRPr="00CD384C">
        <w:rPr>
          <w:rFonts w:ascii="Times New Roman" w:eastAsia="Times New Roman" w:hAnsi="Times New Roman" w:cs="Times New Roman"/>
          <w:sz w:val="20"/>
          <w:szCs w:val="20"/>
          <w:vertAlign w:val="subscript"/>
          <w:lang w:eastAsia="en-IN"/>
        </w:rPr>
        <w:t>i</w:t>
      </w:r>
      <w:r w:rsidRPr="00CD384C">
        <w:rPr>
          <w:rFonts w:ascii="Times New Roman" w:eastAsia="Times New Roman" w:hAnsi="Times New Roman" w:cs="Times New Roman"/>
          <w:sz w:val="20"/>
          <w:szCs w:val="20"/>
          <w:lang w:eastAsia="en-IN"/>
        </w:rPr>
        <w:t xml:space="preserve"> = the Weight Contrast (W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 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for the </w:t>
      </w:r>
      <w:proofErr w:type="spellStart"/>
      <w:r w:rsidRPr="00CD384C">
        <w:rPr>
          <w:rFonts w:ascii="Times New Roman" w:eastAsia="Times New Roman" w:hAnsi="Times New Roman" w:cs="Times New Roman"/>
          <w:sz w:val="20"/>
          <w:szCs w:val="20"/>
          <w:lang w:eastAsia="en-IN"/>
        </w:rPr>
        <w:t>i-th</w:t>
      </w:r>
      <w:proofErr w:type="spellEnd"/>
      <w:r w:rsidRPr="00CD384C">
        <w:rPr>
          <w:rFonts w:ascii="Times New Roman" w:eastAsia="Times New Roman" w:hAnsi="Times New Roman" w:cs="Times New Roman"/>
          <w:sz w:val="20"/>
          <w:szCs w:val="20"/>
          <w:lang w:eastAsia="en-IN"/>
        </w:rPr>
        <w:t xml:space="preserve"> parameter's class</w:t>
      </w:r>
    </w:p>
    <w:p w14:paraId="5A9B8B44" w14:textId="3E94DE95" w:rsidR="00AC0CC8" w:rsidRPr="00CD384C" w:rsidRDefault="00AC0CC8" w:rsidP="002F59E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This integrated FR–WOE surface was then reclassified using natural breaks to generate the final suscep</w:t>
      </w:r>
      <w:r w:rsidR="00B17F37">
        <w:rPr>
          <w:rFonts w:ascii="Times New Roman" w:eastAsia="Times New Roman" w:hAnsi="Times New Roman" w:cs="Times New Roman"/>
          <w:sz w:val="20"/>
          <w:szCs w:val="20"/>
          <w:lang w:eastAsia="en-IN"/>
        </w:rPr>
        <w:t>tibility map with Low, Moderate</w:t>
      </w:r>
      <w:r w:rsidRPr="00CD384C">
        <w:rPr>
          <w:rFonts w:ascii="Times New Roman" w:eastAsia="Times New Roman" w:hAnsi="Times New Roman" w:cs="Times New Roman"/>
          <w:sz w:val="20"/>
          <w:szCs w:val="20"/>
          <w:lang w:eastAsia="en-IN"/>
        </w:rPr>
        <w:t xml:space="preserve"> and High zones.</w:t>
      </w:r>
    </w:p>
    <w:p w14:paraId="1C3A8E0B" w14:textId="77777777" w:rsidR="008E1DC5" w:rsidRPr="00CD384C" w:rsidRDefault="00E20036" w:rsidP="002F59E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Table 4</w:t>
      </w:r>
      <w:r w:rsidR="008E1DC5" w:rsidRPr="00CD384C">
        <w:rPr>
          <w:rFonts w:ascii="Times New Roman" w:eastAsia="Times New Roman" w:hAnsi="Times New Roman" w:cs="Times New Roman"/>
          <w:sz w:val="20"/>
          <w:szCs w:val="20"/>
          <w:lang w:eastAsia="en-IN"/>
        </w:rPr>
        <w:t>: Weight of Evidence (WOE) for Elevation</w:t>
      </w:r>
    </w:p>
    <w:tbl>
      <w:tblPr>
        <w:tblStyle w:val="TableGrid"/>
        <w:tblW w:w="0" w:type="auto"/>
        <w:tblLook w:val="04A0" w:firstRow="1" w:lastRow="0" w:firstColumn="1" w:lastColumn="0" w:noHBand="0" w:noVBand="1"/>
      </w:tblPr>
      <w:tblGrid>
        <w:gridCol w:w="728"/>
        <w:gridCol w:w="2033"/>
        <w:gridCol w:w="2004"/>
        <w:gridCol w:w="1998"/>
        <w:gridCol w:w="2253"/>
      </w:tblGrid>
      <w:tr w:rsidR="003C558F" w:rsidRPr="00CD384C" w14:paraId="547D6CC6" w14:textId="77777777" w:rsidTr="008E1DC5">
        <w:tc>
          <w:tcPr>
            <w:tcW w:w="728" w:type="dxa"/>
          </w:tcPr>
          <w:p w14:paraId="0D67EEE0" w14:textId="77777777" w:rsidR="003C558F"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proofErr w:type="spellStart"/>
            <w:r w:rsidRPr="00CD384C">
              <w:rPr>
                <w:rFonts w:ascii="Times New Roman" w:eastAsia="Times New Roman" w:hAnsi="Times New Roman" w:cs="Times New Roman"/>
                <w:sz w:val="20"/>
                <w:szCs w:val="20"/>
                <w:lang w:eastAsia="en-IN"/>
              </w:rPr>
              <w:t>Sl.No</w:t>
            </w:r>
            <w:proofErr w:type="spellEnd"/>
            <w:r w:rsidRPr="00CD384C">
              <w:rPr>
                <w:rFonts w:ascii="Times New Roman" w:eastAsia="Times New Roman" w:hAnsi="Times New Roman" w:cs="Times New Roman"/>
                <w:sz w:val="20"/>
                <w:szCs w:val="20"/>
                <w:lang w:eastAsia="en-IN"/>
              </w:rPr>
              <w:t>.</w:t>
            </w:r>
          </w:p>
        </w:tc>
        <w:tc>
          <w:tcPr>
            <w:tcW w:w="2107" w:type="dxa"/>
          </w:tcPr>
          <w:p w14:paraId="6743C7A9" w14:textId="77777777" w:rsidR="003C558F" w:rsidRPr="00CD384C" w:rsidRDefault="003C558F"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Elevation Class (m)</w:t>
            </w:r>
          </w:p>
        </w:tc>
        <w:tc>
          <w:tcPr>
            <w:tcW w:w="2082" w:type="dxa"/>
          </w:tcPr>
          <w:p w14:paraId="2E4F98C1" w14:textId="77777777" w:rsidR="003C558F" w:rsidRPr="00CD384C" w:rsidRDefault="003C558F" w:rsidP="002F59EF">
            <w:pPr>
              <w:spacing w:before="100" w:beforeAutospacing="1" w:after="100" w:afterAutospacing="1"/>
              <w:ind w:left="120"/>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w:t>
            </w:r>
            <w:r w:rsidRPr="00CD384C">
              <w:rPr>
                <w:rFonts w:ascii="Times New Roman" w:eastAsia="Times New Roman" w:hAnsi="Times New Roman" w:cs="Times New Roman"/>
                <w:sz w:val="20"/>
                <w:szCs w:val="20"/>
                <w:vertAlign w:val="superscript"/>
                <w:lang w:eastAsia="en-IN"/>
              </w:rPr>
              <w:t>+</w:t>
            </w:r>
            <w:r w:rsidR="00F759C6" w:rsidRPr="00CD384C">
              <w:rPr>
                <w:rFonts w:ascii="Times New Roman" w:eastAsia="Times New Roman" w:hAnsi="Times New Roman" w:cs="Times New Roman"/>
                <w:sz w:val="20"/>
                <w:szCs w:val="20"/>
                <w:lang w:eastAsia="en-IN"/>
              </w:rPr>
              <w:t xml:space="preserve"> </w:t>
            </w:r>
            <w:r w:rsidRPr="00CD384C">
              <w:rPr>
                <w:rFonts w:ascii="Times New Roman" w:eastAsia="Times New Roman" w:hAnsi="Times New Roman" w:cs="Times New Roman"/>
                <w:sz w:val="20"/>
                <w:szCs w:val="20"/>
                <w:lang w:eastAsia="en-IN"/>
              </w:rPr>
              <w:t>(Weight Present)</w:t>
            </w:r>
          </w:p>
        </w:tc>
        <w:tc>
          <w:tcPr>
            <w:tcW w:w="2080" w:type="dxa"/>
          </w:tcPr>
          <w:p w14:paraId="3EA3EF57" w14:textId="77777777" w:rsidR="003C558F" w:rsidRPr="00CD384C" w:rsidRDefault="003C558F"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(Weight Absent)</w:t>
            </w:r>
          </w:p>
        </w:tc>
        <w:tc>
          <w:tcPr>
            <w:tcW w:w="2353" w:type="dxa"/>
          </w:tcPr>
          <w:p w14:paraId="3221C488" w14:textId="0C987E62" w:rsidR="003C558F" w:rsidRPr="00CD384C" w:rsidRDefault="003D5359" w:rsidP="002F59EF">
            <w:pPr>
              <w:spacing w:before="100" w:beforeAutospacing="1" w:after="100" w:afterAutospacing="1"/>
              <w:ind w:left="4"/>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 xml:space="preserve">C (Weight Contrast) </w:t>
            </w:r>
          </w:p>
        </w:tc>
      </w:tr>
      <w:tr w:rsidR="008E1DC5" w:rsidRPr="00CD384C" w14:paraId="7884504C" w14:textId="77777777" w:rsidTr="008E1DC5">
        <w:tc>
          <w:tcPr>
            <w:tcW w:w="728" w:type="dxa"/>
          </w:tcPr>
          <w:p w14:paraId="6AC2B9D3"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w:t>
            </w:r>
          </w:p>
        </w:tc>
        <w:tc>
          <w:tcPr>
            <w:tcW w:w="2107" w:type="dxa"/>
          </w:tcPr>
          <w:p w14:paraId="4B5FC1F2"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400–600</w:t>
            </w:r>
          </w:p>
        </w:tc>
        <w:tc>
          <w:tcPr>
            <w:tcW w:w="2082" w:type="dxa"/>
          </w:tcPr>
          <w:p w14:paraId="33A04924"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-0.361</w:t>
            </w:r>
          </w:p>
        </w:tc>
        <w:tc>
          <w:tcPr>
            <w:tcW w:w="2080" w:type="dxa"/>
          </w:tcPr>
          <w:p w14:paraId="2722B6F5"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0.038</w:t>
            </w:r>
          </w:p>
        </w:tc>
        <w:tc>
          <w:tcPr>
            <w:tcW w:w="2353" w:type="dxa"/>
          </w:tcPr>
          <w:p w14:paraId="79D1966A" w14:textId="77777777" w:rsidR="008E1DC5" w:rsidRPr="00CD384C" w:rsidRDefault="008E1DC5" w:rsidP="002F59EF">
            <w:pPr>
              <w:spacing w:before="100" w:beforeAutospacing="1" w:after="100" w:afterAutospacing="1"/>
              <w:ind w:left="65"/>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-0.399</w:t>
            </w:r>
          </w:p>
        </w:tc>
      </w:tr>
      <w:tr w:rsidR="008E1DC5" w:rsidRPr="00CD384C" w14:paraId="01C2CF91" w14:textId="77777777" w:rsidTr="008E1DC5">
        <w:tc>
          <w:tcPr>
            <w:tcW w:w="728" w:type="dxa"/>
          </w:tcPr>
          <w:p w14:paraId="0709741D"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2</w:t>
            </w:r>
          </w:p>
        </w:tc>
        <w:tc>
          <w:tcPr>
            <w:tcW w:w="2107" w:type="dxa"/>
          </w:tcPr>
          <w:p w14:paraId="10B843CC"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600–800</w:t>
            </w:r>
          </w:p>
        </w:tc>
        <w:tc>
          <w:tcPr>
            <w:tcW w:w="2082" w:type="dxa"/>
          </w:tcPr>
          <w:p w14:paraId="080D92A0"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0.222</w:t>
            </w:r>
          </w:p>
        </w:tc>
        <w:tc>
          <w:tcPr>
            <w:tcW w:w="2080" w:type="dxa"/>
          </w:tcPr>
          <w:p w14:paraId="0BBEA95E"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-0.051</w:t>
            </w:r>
          </w:p>
        </w:tc>
        <w:tc>
          <w:tcPr>
            <w:tcW w:w="2353" w:type="dxa"/>
          </w:tcPr>
          <w:p w14:paraId="2C743931" w14:textId="0DE2CDA6" w:rsidR="008E1DC5" w:rsidRPr="00CD384C" w:rsidRDefault="003D5359" w:rsidP="003D5359">
            <w:pPr>
              <w:spacing w:before="100" w:beforeAutospacing="1" w:after="100" w:afterAutospacing="1"/>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 xml:space="preserve">   </w:t>
            </w:r>
            <w:r w:rsidR="008E1DC5" w:rsidRPr="00CD384C">
              <w:rPr>
                <w:rFonts w:ascii="Times New Roman" w:eastAsia="Times New Roman" w:hAnsi="Times New Roman" w:cs="Times New Roman"/>
                <w:sz w:val="20"/>
                <w:szCs w:val="20"/>
                <w:lang w:eastAsia="en-IN"/>
              </w:rPr>
              <w:t>0.273</w:t>
            </w:r>
          </w:p>
        </w:tc>
      </w:tr>
      <w:tr w:rsidR="008E1DC5" w:rsidRPr="00CD384C" w14:paraId="16078CAF" w14:textId="77777777" w:rsidTr="008E1DC5">
        <w:tc>
          <w:tcPr>
            <w:tcW w:w="728" w:type="dxa"/>
          </w:tcPr>
          <w:p w14:paraId="29A19B16"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3</w:t>
            </w:r>
          </w:p>
        </w:tc>
        <w:tc>
          <w:tcPr>
            <w:tcW w:w="2107" w:type="dxa"/>
          </w:tcPr>
          <w:p w14:paraId="37C75152" w14:textId="77777777" w:rsidR="008E1DC5" w:rsidRPr="00CD384C" w:rsidRDefault="005169D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800-1000</w:t>
            </w:r>
          </w:p>
        </w:tc>
        <w:tc>
          <w:tcPr>
            <w:tcW w:w="2082" w:type="dxa"/>
          </w:tcPr>
          <w:p w14:paraId="7487755A"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0.312</w:t>
            </w:r>
          </w:p>
        </w:tc>
        <w:tc>
          <w:tcPr>
            <w:tcW w:w="2080" w:type="dxa"/>
          </w:tcPr>
          <w:p w14:paraId="0BADF13D"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-0.016</w:t>
            </w:r>
          </w:p>
        </w:tc>
        <w:tc>
          <w:tcPr>
            <w:tcW w:w="2353" w:type="dxa"/>
          </w:tcPr>
          <w:p w14:paraId="2B0C683C" w14:textId="094D7978" w:rsidR="008E1DC5" w:rsidRPr="00CD384C" w:rsidRDefault="003D5359" w:rsidP="003D5359">
            <w:pPr>
              <w:spacing w:before="100" w:beforeAutospacing="1" w:after="100" w:afterAutospacing="1"/>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 xml:space="preserve">   </w:t>
            </w:r>
            <w:r w:rsidR="008E1DC5" w:rsidRPr="00CD384C">
              <w:rPr>
                <w:rFonts w:ascii="Times New Roman" w:eastAsia="Times New Roman" w:hAnsi="Times New Roman" w:cs="Times New Roman"/>
                <w:sz w:val="20"/>
                <w:szCs w:val="20"/>
                <w:lang w:eastAsia="en-IN"/>
              </w:rPr>
              <w:t>0.328</w:t>
            </w:r>
          </w:p>
        </w:tc>
      </w:tr>
      <w:tr w:rsidR="008E1DC5" w:rsidRPr="00CD384C" w14:paraId="34732816" w14:textId="77777777" w:rsidTr="008E1DC5">
        <w:tc>
          <w:tcPr>
            <w:tcW w:w="728" w:type="dxa"/>
          </w:tcPr>
          <w:p w14:paraId="3AACC29B"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4</w:t>
            </w:r>
          </w:p>
        </w:tc>
        <w:tc>
          <w:tcPr>
            <w:tcW w:w="2107" w:type="dxa"/>
          </w:tcPr>
          <w:p w14:paraId="10B29485"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1000</w:t>
            </w:r>
            <w:r w:rsidR="005169D5" w:rsidRPr="00CD384C">
              <w:rPr>
                <w:rFonts w:ascii="Times New Roman" w:eastAsia="Times New Roman" w:hAnsi="Times New Roman" w:cs="Times New Roman"/>
                <w:sz w:val="20"/>
                <w:szCs w:val="20"/>
                <w:lang w:eastAsia="en-IN"/>
              </w:rPr>
              <w:t xml:space="preserve"> Above</w:t>
            </w:r>
          </w:p>
        </w:tc>
        <w:tc>
          <w:tcPr>
            <w:tcW w:w="2082" w:type="dxa"/>
          </w:tcPr>
          <w:p w14:paraId="2DF86E7C"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0.370</w:t>
            </w:r>
          </w:p>
        </w:tc>
        <w:tc>
          <w:tcPr>
            <w:tcW w:w="2080" w:type="dxa"/>
          </w:tcPr>
          <w:p w14:paraId="2EB35F6B"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-0.007</w:t>
            </w:r>
          </w:p>
        </w:tc>
        <w:tc>
          <w:tcPr>
            <w:tcW w:w="2353" w:type="dxa"/>
          </w:tcPr>
          <w:p w14:paraId="32605394" w14:textId="5B762B6A" w:rsidR="008E1DC5" w:rsidRPr="00CD384C" w:rsidRDefault="003D5359" w:rsidP="002F59EF">
            <w:pPr>
              <w:spacing w:before="100" w:beforeAutospacing="1" w:after="100" w:afterAutospacing="1"/>
              <w:ind w:left="65"/>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 xml:space="preserve">  </w:t>
            </w:r>
            <w:r w:rsidR="008E1DC5" w:rsidRPr="00CD384C">
              <w:rPr>
                <w:rFonts w:ascii="Times New Roman" w:eastAsia="Times New Roman" w:hAnsi="Times New Roman" w:cs="Times New Roman"/>
                <w:sz w:val="20"/>
                <w:szCs w:val="20"/>
                <w:lang w:eastAsia="en-IN"/>
              </w:rPr>
              <w:t>0.377</w:t>
            </w:r>
          </w:p>
        </w:tc>
      </w:tr>
    </w:tbl>
    <w:p w14:paraId="40D5AD3B" w14:textId="77777777" w:rsidR="003C558F" w:rsidRPr="00CD384C" w:rsidRDefault="00E20036" w:rsidP="002F59E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Table 5</w:t>
      </w:r>
      <w:r w:rsidR="003C558F" w:rsidRPr="00CD384C">
        <w:rPr>
          <w:rFonts w:ascii="Times New Roman" w:eastAsia="Times New Roman" w:hAnsi="Times New Roman" w:cs="Times New Roman"/>
          <w:sz w:val="20"/>
          <w:szCs w:val="20"/>
          <w:lang w:eastAsia="en-IN"/>
        </w:rPr>
        <w:t>: Weight of Evidence (WOE) for Slope</w:t>
      </w:r>
    </w:p>
    <w:tbl>
      <w:tblPr>
        <w:tblStyle w:val="TableGrid"/>
        <w:tblW w:w="0" w:type="auto"/>
        <w:jc w:val="center"/>
        <w:tblLook w:val="04A0" w:firstRow="1" w:lastRow="0" w:firstColumn="1" w:lastColumn="0" w:noHBand="0" w:noVBand="1"/>
      </w:tblPr>
      <w:tblGrid>
        <w:gridCol w:w="728"/>
        <w:gridCol w:w="2047"/>
        <w:gridCol w:w="1902"/>
        <w:gridCol w:w="2169"/>
        <w:gridCol w:w="2170"/>
      </w:tblGrid>
      <w:tr w:rsidR="00ED045C" w:rsidRPr="00CD384C" w14:paraId="50F110F6" w14:textId="77777777" w:rsidTr="002900DE">
        <w:trPr>
          <w:jc w:val="center"/>
        </w:trPr>
        <w:tc>
          <w:tcPr>
            <w:tcW w:w="704" w:type="dxa"/>
          </w:tcPr>
          <w:p w14:paraId="60639715" w14:textId="77777777"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proofErr w:type="spellStart"/>
            <w:r w:rsidRPr="00CD384C">
              <w:rPr>
                <w:rFonts w:ascii="Times New Roman" w:eastAsia="Times New Roman" w:hAnsi="Times New Roman" w:cs="Times New Roman"/>
                <w:sz w:val="20"/>
                <w:szCs w:val="20"/>
                <w:lang w:eastAsia="en-IN"/>
              </w:rPr>
              <w:t>Sl.No</w:t>
            </w:r>
            <w:proofErr w:type="spellEnd"/>
            <w:r w:rsidRPr="00CD384C">
              <w:rPr>
                <w:rFonts w:ascii="Times New Roman" w:eastAsia="Times New Roman" w:hAnsi="Times New Roman" w:cs="Times New Roman"/>
                <w:sz w:val="20"/>
                <w:szCs w:val="20"/>
                <w:lang w:eastAsia="en-IN"/>
              </w:rPr>
              <w:t>.</w:t>
            </w:r>
          </w:p>
        </w:tc>
        <w:tc>
          <w:tcPr>
            <w:tcW w:w="2126" w:type="dxa"/>
          </w:tcPr>
          <w:p w14:paraId="67A7FAFC" w14:textId="77777777" w:rsidR="00ED045C" w:rsidRPr="00CD384C" w:rsidRDefault="00ED045C"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Elevation Class (m)</w:t>
            </w:r>
          </w:p>
        </w:tc>
        <w:tc>
          <w:tcPr>
            <w:tcW w:w="1985" w:type="dxa"/>
          </w:tcPr>
          <w:p w14:paraId="32548724" w14:textId="77777777"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(Weight Present)</w:t>
            </w:r>
          </w:p>
        </w:tc>
        <w:tc>
          <w:tcPr>
            <w:tcW w:w="2268" w:type="dxa"/>
          </w:tcPr>
          <w:p w14:paraId="6FD131A3" w14:textId="77777777" w:rsidR="00ED045C" w:rsidRPr="00CD384C" w:rsidRDefault="00ED045C"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(Weight Absent)</w:t>
            </w:r>
          </w:p>
        </w:tc>
        <w:tc>
          <w:tcPr>
            <w:tcW w:w="2267" w:type="dxa"/>
          </w:tcPr>
          <w:p w14:paraId="476A37F2" w14:textId="77777777" w:rsidR="00ED045C" w:rsidRPr="00CD384C" w:rsidRDefault="00ED045C"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C (Weight Contrast) |</w:t>
            </w:r>
          </w:p>
        </w:tc>
      </w:tr>
      <w:tr w:rsidR="00ED045C" w:rsidRPr="00CD384C" w14:paraId="1F523308" w14:textId="77777777" w:rsidTr="002900DE">
        <w:trPr>
          <w:jc w:val="center"/>
        </w:trPr>
        <w:tc>
          <w:tcPr>
            <w:tcW w:w="704" w:type="dxa"/>
          </w:tcPr>
          <w:p w14:paraId="4B24833C" w14:textId="77777777"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w:t>
            </w:r>
          </w:p>
        </w:tc>
        <w:tc>
          <w:tcPr>
            <w:tcW w:w="2126" w:type="dxa"/>
          </w:tcPr>
          <w:p w14:paraId="52CB74C7" w14:textId="77777777" w:rsidR="00ED045C" w:rsidRPr="00CD384C" w:rsidRDefault="00ED045C"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0–15</w:t>
            </w:r>
          </w:p>
        </w:tc>
        <w:tc>
          <w:tcPr>
            <w:tcW w:w="1985" w:type="dxa"/>
          </w:tcPr>
          <w:p w14:paraId="624BEA48" w14:textId="77777777"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-0.953</w:t>
            </w:r>
          </w:p>
        </w:tc>
        <w:tc>
          <w:tcPr>
            <w:tcW w:w="2268" w:type="dxa"/>
          </w:tcPr>
          <w:p w14:paraId="1567ACE4" w14:textId="77777777" w:rsidR="00ED045C" w:rsidRPr="00CD384C" w:rsidRDefault="00ED045C"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0.144</w:t>
            </w:r>
          </w:p>
        </w:tc>
        <w:tc>
          <w:tcPr>
            <w:tcW w:w="2267" w:type="dxa"/>
          </w:tcPr>
          <w:p w14:paraId="45606D69" w14:textId="77777777" w:rsidR="00ED045C" w:rsidRPr="00CD384C" w:rsidRDefault="00ED045C"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-1.097</w:t>
            </w:r>
          </w:p>
        </w:tc>
      </w:tr>
      <w:tr w:rsidR="00ED045C" w:rsidRPr="00CD384C" w14:paraId="3052E732" w14:textId="77777777" w:rsidTr="002900DE">
        <w:trPr>
          <w:jc w:val="center"/>
        </w:trPr>
        <w:tc>
          <w:tcPr>
            <w:tcW w:w="704" w:type="dxa"/>
          </w:tcPr>
          <w:p w14:paraId="2F7C843D" w14:textId="77777777"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2</w:t>
            </w:r>
          </w:p>
        </w:tc>
        <w:tc>
          <w:tcPr>
            <w:tcW w:w="2126" w:type="dxa"/>
          </w:tcPr>
          <w:p w14:paraId="56E9D2D4" w14:textId="77777777" w:rsidR="00ED045C" w:rsidRPr="00CD384C" w:rsidRDefault="00ED045C"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15–30</w:t>
            </w:r>
          </w:p>
        </w:tc>
        <w:tc>
          <w:tcPr>
            <w:tcW w:w="1985" w:type="dxa"/>
          </w:tcPr>
          <w:p w14:paraId="6349F178" w14:textId="77777777"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-0.085</w:t>
            </w:r>
          </w:p>
        </w:tc>
        <w:tc>
          <w:tcPr>
            <w:tcW w:w="2268" w:type="dxa"/>
          </w:tcPr>
          <w:p w14:paraId="26C17C5C" w14:textId="77777777" w:rsidR="00ED045C" w:rsidRPr="00CD384C" w:rsidRDefault="00ED045C"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0.010</w:t>
            </w:r>
          </w:p>
        </w:tc>
        <w:tc>
          <w:tcPr>
            <w:tcW w:w="2267" w:type="dxa"/>
          </w:tcPr>
          <w:p w14:paraId="67CCA13F" w14:textId="77777777" w:rsidR="00ED045C" w:rsidRPr="00CD384C" w:rsidRDefault="00ED045C"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-0.095</w:t>
            </w:r>
          </w:p>
        </w:tc>
      </w:tr>
      <w:tr w:rsidR="00ED045C" w:rsidRPr="00CD384C" w14:paraId="016FA461" w14:textId="77777777" w:rsidTr="002900DE">
        <w:trPr>
          <w:jc w:val="center"/>
        </w:trPr>
        <w:tc>
          <w:tcPr>
            <w:tcW w:w="704" w:type="dxa"/>
          </w:tcPr>
          <w:p w14:paraId="777C45EC" w14:textId="77777777"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3</w:t>
            </w:r>
          </w:p>
        </w:tc>
        <w:tc>
          <w:tcPr>
            <w:tcW w:w="2126" w:type="dxa"/>
          </w:tcPr>
          <w:p w14:paraId="759369FD" w14:textId="77777777" w:rsidR="00ED045C" w:rsidRPr="00CD384C" w:rsidRDefault="00ED045C"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30–45</w:t>
            </w:r>
          </w:p>
        </w:tc>
        <w:tc>
          <w:tcPr>
            <w:tcW w:w="1985" w:type="dxa"/>
          </w:tcPr>
          <w:p w14:paraId="33560779" w14:textId="77777777"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0.367</w:t>
            </w:r>
          </w:p>
        </w:tc>
        <w:tc>
          <w:tcPr>
            <w:tcW w:w="2268" w:type="dxa"/>
          </w:tcPr>
          <w:p w14:paraId="06696A7A" w14:textId="77777777" w:rsidR="00ED045C" w:rsidRPr="00CD384C" w:rsidRDefault="00ED045C"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-0.074</w:t>
            </w:r>
          </w:p>
        </w:tc>
        <w:tc>
          <w:tcPr>
            <w:tcW w:w="2267" w:type="dxa"/>
          </w:tcPr>
          <w:p w14:paraId="152682AB" w14:textId="77777777" w:rsidR="00ED045C" w:rsidRPr="00CD384C" w:rsidRDefault="00ED045C"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 xml:space="preserve"> 0.441</w:t>
            </w:r>
          </w:p>
        </w:tc>
      </w:tr>
      <w:tr w:rsidR="00ED045C" w:rsidRPr="00CD384C" w14:paraId="1B043D53" w14:textId="77777777" w:rsidTr="002900DE">
        <w:trPr>
          <w:jc w:val="center"/>
        </w:trPr>
        <w:tc>
          <w:tcPr>
            <w:tcW w:w="704" w:type="dxa"/>
          </w:tcPr>
          <w:p w14:paraId="3301D0F1" w14:textId="77777777"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4</w:t>
            </w:r>
          </w:p>
        </w:tc>
        <w:tc>
          <w:tcPr>
            <w:tcW w:w="2126" w:type="dxa"/>
          </w:tcPr>
          <w:p w14:paraId="67B96DC3" w14:textId="77777777" w:rsidR="00ED045C" w:rsidRPr="00CD384C" w:rsidRDefault="00ED045C"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&gt; 45</w:t>
            </w:r>
          </w:p>
        </w:tc>
        <w:tc>
          <w:tcPr>
            <w:tcW w:w="1985" w:type="dxa"/>
          </w:tcPr>
          <w:p w14:paraId="4FB4D0BB" w14:textId="77777777"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0.179</w:t>
            </w:r>
          </w:p>
        </w:tc>
        <w:tc>
          <w:tcPr>
            <w:tcW w:w="2268" w:type="dxa"/>
          </w:tcPr>
          <w:p w14:paraId="66B873E4" w14:textId="77777777" w:rsidR="00ED045C" w:rsidRPr="00CD384C" w:rsidRDefault="00ED045C"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-0.009</w:t>
            </w:r>
          </w:p>
        </w:tc>
        <w:tc>
          <w:tcPr>
            <w:tcW w:w="2267" w:type="dxa"/>
          </w:tcPr>
          <w:p w14:paraId="4D42E97D" w14:textId="77777777" w:rsidR="00ED045C" w:rsidRPr="00CD384C" w:rsidRDefault="00ED045C"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0.188</w:t>
            </w:r>
          </w:p>
        </w:tc>
      </w:tr>
    </w:tbl>
    <w:p w14:paraId="0CB1559F" w14:textId="77777777" w:rsidR="003C558F" w:rsidRPr="00CD384C" w:rsidRDefault="00E20036" w:rsidP="002F59E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Table 6</w:t>
      </w:r>
      <w:r w:rsidR="003C558F" w:rsidRPr="00CD384C">
        <w:rPr>
          <w:rFonts w:ascii="Times New Roman" w:eastAsia="Times New Roman" w:hAnsi="Times New Roman" w:cs="Times New Roman"/>
          <w:sz w:val="20"/>
          <w:szCs w:val="20"/>
          <w:lang w:eastAsia="en-IN"/>
        </w:rPr>
        <w:t>: Weight of Evidence (WOE) for Aspect</w:t>
      </w:r>
    </w:p>
    <w:tbl>
      <w:tblPr>
        <w:tblStyle w:val="TableGrid"/>
        <w:tblW w:w="0" w:type="auto"/>
        <w:jc w:val="center"/>
        <w:tblLook w:val="04A0" w:firstRow="1" w:lastRow="0" w:firstColumn="1" w:lastColumn="0" w:noHBand="0" w:noVBand="1"/>
      </w:tblPr>
      <w:tblGrid>
        <w:gridCol w:w="729"/>
        <w:gridCol w:w="2055"/>
        <w:gridCol w:w="1899"/>
        <w:gridCol w:w="2166"/>
        <w:gridCol w:w="2167"/>
      </w:tblGrid>
      <w:tr w:rsidR="002900DE" w:rsidRPr="00CD384C" w14:paraId="44C566A7" w14:textId="77777777" w:rsidTr="0039672A">
        <w:trPr>
          <w:jc w:val="center"/>
        </w:trPr>
        <w:tc>
          <w:tcPr>
            <w:tcW w:w="729" w:type="dxa"/>
          </w:tcPr>
          <w:p w14:paraId="0A2E7EA5" w14:textId="77777777"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proofErr w:type="spellStart"/>
            <w:r w:rsidRPr="00CD384C">
              <w:rPr>
                <w:rFonts w:ascii="Times New Roman" w:eastAsia="Times New Roman" w:hAnsi="Times New Roman" w:cs="Times New Roman"/>
                <w:sz w:val="20"/>
                <w:szCs w:val="20"/>
                <w:lang w:eastAsia="en-IN"/>
              </w:rPr>
              <w:t>Sl.No</w:t>
            </w:r>
            <w:proofErr w:type="spellEnd"/>
            <w:r w:rsidRPr="00CD384C">
              <w:rPr>
                <w:rFonts w:ascii="Times New Roman" w:eastAsia="Times New Roman" w:hAnsi="Times New Roman" w:cs="Times New Roman"/>
                <w:sz w:val="20"/>
                <w:szCs w:val="20"/>
                <w:lang w:eastAsia="en-IN"/>
              </w:rPr>
              <w:t>.</w:t>
            </w:r>
          </w:p>
        </w:tc>
        <w:tc>
          <w:tcPr>
            <w:tcW w:w="2121" w:type="dxa"/>
          </w:tcPr>
          <w:p w14:paraId="34BD372A" w14:textId="77777777" w:rsidR="002900DE" w:rsidRPr="00CD384C" w:rsidRDefault="002900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Aspect (Direction)</w:t>
            </w:r>
          </w:p>
        </w:tc>
        <w:tc>
          <w:tcPr>
            <w:tcW w:w="1979" w:type="dxa"/>
          </w:tcPr>
          <w:p w14:paraId="59FA1B13" w14:textId="77777777"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(Weight Present)</w:t>
            </w:r>
          </w:p>
        </w:tc>
        <w:tc>
          <w:tcPr>
            <w:tcW w:w="2261" w:type="dxa"/>
          </w:tcPr>
          <w:p w14:paraId="6AED996B" w14:textId="77777777" w:rsidR="002900DE" w:rsidRPr="00CD384C" w:rsidRDefault="002900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(Weight Absent)</w:t>
            </w:r>
          </w:p>
        </w:tc>
        <w:tc>
          <w:tcPr>
            <w:tcW w:w="2260" w:type="dxa"/>
          </w:tcPr>
          <w:p w14:paraId="38237ED4" w14:textId="77777777" w:rsidR="002900DE" w:rsidRPr="00CD384C" w:rsidRDefault="002900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 xml:space="preserve">C (Weight Contrast) </w:t>
            </w:r>
          </w:p>
        </w:tc>
      </w:tr>
      <w:tr w:rsidR="002900DE" w:rsidRPr="00CD384C" w14:paraId="38C4D557" w14:textId="77777777" w:rsidTr="0039672A">
        <w:trPr>
          <w:jc w:val="center"/>
        </w:trPr>
        <w:tc>
          <w:tcPr>
            <w:tcW w:w="729" w:type="dxa"/>
          </w:tcPr>
          <w:p w14:paraId="63FFF420" w14:textId="77777777"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w:t>
            </w:r>
          </w:p>
        </w:tc>
        <w:tc>
          <w:tcPr>
            <w:tcW w:w="2121" w:type="dxa"/>
          </w:tcPr>
          <w:p w14:paraId="6D455932" w14:textId="77777777" w:rsidR="002900DE" w:rsidRPr="00CD384C" w:rsidRDefault="002900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North</w:t>
            </w:r>
          </w:p>
        </w:tc>
        <w:tc>
          <w:tcPr>
            <w:tcW w:w="1979" w:type="dxa"/>
          </w:tcPr>
          <w:p w14:paraId="187BD0BF" w14:textId="77777777"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-0.280</w:t>
            </w:r>
          </w:p>
        </w:tc>
        <w:tc>
          <w:tcPr>
            <w:tcW w:w="2261" w:type="dxa"/>
          </w:tcPr>
          <w:p w14:paraId="6103F358" w14:textId="77777777" w:rsidR="002900DE" w:rsidRPr="00CD384C" w:rsidRDefault="002900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0.024</w:t>
            </w:r>
          </w:p>
        </w:tc>
        <w:tc>
          <w:tcPr>
            <w:tcW w:w="2260" w:type="dxa"/>
          </w:tcPr>
          <w:p w14:paraId="6F9B6D81" w14:textId="77777777" w:rsidR="002900DE" w:rsidRPr="00CD384C" w:rsidRDefault="002900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-0.304</w:t>
            </w:r>
          </w:p>
        </w:tc>
      </w:tr>
      <w:tr w:rsidR="002900DE" w:rsidRPr="00CD384C" w14:paraId="12FD6796" w14:textId="77777777" w:rsidTr="0039672A">
        <w:trPr>
          <w:jc w:val="center"/>
        </w:trPr>
        <w:tc>
          <w:tcPr>
            <w:tcW w:w="729" w:type="dxa"/>
          </w:tcPr>
          <w:p w14:paraId="72393E99" w14:textId="77777777"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2</w:t>
            </w:r>
          </w:p>
        </w:tc>
        <w:tc>
          <w:tcPr>
            <w:tcW w:w="2121" w:type="dxa"/>
          </w:tcPr>
          <w:p w14:paraId="1923652D" w14:textId="77777777" w:rsidR="002900DE" w:rsidRPr="00CD384C" w:rsidRDefault="002900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East</w:t>
            </w:r>
          </w:p>
        </w:tc>
        <w:tc>
          <w:tcPr>
            <w:tcW w:w="1979" w:type="dxa"/>
          </w:tcPr>
          <w:p w14:paraId="7DED30E8" w14:textId="77777777"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0.191</w:t>
            </w:r>
          </w:p>
        </w:tc>
        <w:tc>
          <w:tcPr>
            <w:tcW w:w="2261" w:type="dxa"/>
          </w:tcPr>
          <w:p w14:paraId="0F7A3204" w14:textId="77777777" w:rsidR="002900DE" w:rsidRPr="00CD384C" w:rsidRDefault="002900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-0.010</w:t>
            </w:r>
          </w:p>
        </w:tc>
        <w:tc>
          <w:tcPr>
            <w:tcW w:w="2260" w:type="dxa"/>
          </w:tcPr>
          <w:p w14:paraId="5DDD6F23" w14:textId="77777777" w:rsidR="002900DE" w:rsidRPr="00CD384C" w:rsidRDefault="002900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0.201</w:t>
            </w:r>
          </w:p>
        </w:tc>
      </w:tr>
      <w:tr w:rsidR="002900DE" w:rsidRPr="00CD384C" w14:paraId="7B7020EC" w14:textId="77777777" w:rsidTr="0039672A">
        <w:trPr>
          <w:jc w:val="center"/>
        </w:trPr>
        <w:tc>
          <w:tcPr>
            <w:tcW w:w="729" w:type="dxa"/>
          </w:tcPr>
          <w:p w14:paraId="1E7B9F1D" w14:textId="77777777"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3</w:t>
            </w:r>
          </w:p>
        </w:tc>
        <w:tc>
          <w:tcPr>
            <w:tcW w:w="2121" w:type="dxa"/>
          </w:tcPr>
          <w:p w14:paraId="0793E92A" w14:textId="77777777" w:rsidR="002900DE" w:rsidRPr="00CD384C" w:rsidRDefault="002900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South</w:t>
            </w:r>
          </w:p>
        </w:tc>
        <w:tc>
          <w:tcPr>
            <w:tcW w:w="1979" w:type="dxa"/>
          </w:tcPr>
          <w:p w14:paraId="5064AAA0" w14:textId="77777777"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0.226</w:t>
            </w:r>
          </w:p>
        </w:tc>
        <w:tc>
          <w:tcPr>
            <w:tcW w:w="2261" w:type="dxa"/>
          </w:tcPr>
          <w:p w14:paraId="40F2A912" w14:textId="77777777" w:rsidR="002900DE" w:rsidRPr="00CD384C" w:rsidRDefault="002900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-0.014</w:t>
            </w:r>
          </w:p>
        </w:tc>
        <w:tc>
          <w:tcPr>
            <w:tcW w:w="2260" w:type="dxa"/>
          </w:tcPr>
          <w:p w14:paraId="384CF56D" w14:textId="77777777" w:rsidR="002900DE" w:rsidRPr="00CD384C" w:rsidRDefault="002900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0.240</w:t>
            </w:r>
          </w:p>
        </w:tc>
      </w:tr>
      <w:tr w:rsidR="002900DE" w:rsidRPr="00CD384C" w14:paraId="4C2C3A94" w14:textId="77777777" w:rsidTr="0039672A">
        <w:trPr>
          <w:jc w:val="center"/>
        </w:trPr>
        <w:tc>
          <w:tcPr>
            <w:tcW w:w="729" w:type="dxa"/>
          </w:tcPr>
          <w:p w14:paraId="17AC0522" w14:textId="77777777"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4</w:t>
            </w:r>
          </w:p>
        </w:tc>
        <w:tc>
          <w:tcPr>
            <w:tcW w:w="2121" w:type="dxa"/>
          </w:tcPr>
          <w:p w14:paraId="3D4DA585" w14:textId="77777777" w:rsidR="002900DE" w:rsidRPr="00CD384C" w:rsidRDefault="002900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West</w:t>
            </w:r>
          </w:p>
        </w:tc>
        <w:tc>
          <w:tcPr>
            <w:tcW w:w="1979" w:type="dxa"/>
          </w:tcPr>
          <w:p w14:paraId="66D3B3AF" w14:textId="77777777"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-0.237</w:t>
            </w:r>
          </w:p>
        </w:tc>
        <w:tc>
          <w:tcPr>
            <w:tcW w:w="2261" w:type="dxa"/>
          </w:tcPr>
          <w:p w14:paraId="62A12EA4" w14:textId="77777777" w:rsidR="002900DE" w:rsidRPr="00CD384C" w:rsidRDefault="002900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0.019</w:t>
            </w:r>
          </w:p>
        </w:tc>
        <w:tc>
          <w:tcPr>
            <w:tcW w:w="2260" w:type="dxa"/>
          </w:tcPr>
          <w:p w14:paraId="5C874343" w14:textId="77777777" w:rsidR="002900DE" w:rsidRPr="00CD384C" w:rsidRDefault="002900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-0.256</w:t>
            </w:r>
          </w:p>
        </w:tc>
      </w:tr>
      <w:tr w:rsidR="002900DE" w:rsidRPr="00CD384C" w14:paraId="1A7A2E81" w14:textId="77777777" w:rsidTr="0039672A">
        <w:trPr>
          <w:jc w:val="center"/>
        </w:trPr>
        <w:tc>
          <w:tcPr>
            <w:tcW w:w="729" w:type="dxa"/>
          </w:tcPr>
          <w:p w14:paraId="57D0266B" w14:textId="77777777"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5</w:t>
            </w:r>
          </w:p>
        </w:tc>
        <w:tc>
          <w:tcPr>
            <w:tcW w:w="2121" w:type="dxa"/>
          </w:tcPr>
          <w:p w14:paraId="675EAADD" w14:textId="77777777" w:rsidR="002900DE" w:rsidRPr="00CD384C" w:rsidRDefault="002900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Flat</w:t>
            </w:r>
          </w:p>
        </w:tc>
        <w:tc>
          <w:tcPr>
            <w:tcW w:w="1979" w:type="dxa"/>
          </w:tcPr>
          <w:p w14:paraId="35CDD1E1" w14:textId="77777777"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-0.041</w:t>
            </w:r>
          </w:p>
        </w:tc>
        <w:tc>
          <w:tcPr>
            <w:tcW w:w="2261" w:type="dxa"/>
          </w:tcPr>
          <w:p w14:paraId="33F9664D" w14:textId="77777777" w:rsidR="002900DE" w:rsidRPr="00CD384C" w:rsidRDefault="002900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0.010</w:t>
            </w:r>
          </w:p>
        </w:tc>
        <w:tc>
          <w:tcPr>
            <w:tcW w:w="2260" w:type="dxa"/>
          </w:tcPr>
          <w:p w14:paraId="01D66F58" w14:textId="77777777" w:rsidR="002900DE" w:rsidRPr="00CD384C" w:rsidRDefault="002900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-0.051</w:t>
            </w:r>
          </w:p>
        </w:tc>
      </w:tr>
    </w:tbl>
    <w:p w14:paraId="5C56D2CC" w14:textId="77777777" w:rsidR="002900DE" w:rsidRPr="00CD384C" w:rsidRDefault="00E20036" w:rsidP="002F59E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Table 7</w:t>
      </w:r>
      <w:r w:rsidR="0039672A" w:rsidRPr="00CD384C">
        <w:rPr>
          <w:rFonts w:ascii="Times New Roman" w:eastAsia="Times New Roman" w:hAnsi="Times New Roman" w:cs="Times New Roman"/>
          <w:sz w:val="20"/>
          <w:szCs w:val="20"/>
          <w:lang w:eastAsia="en-IN"/>
        </w:rPr>
        <w:t>: Weight of Evidence (WOE) for Drainage Density</w:t>
      </w:r>
    </w:p>
    <w:tbl>
      <w:tblPr>
        <w:tblStyle w:val="TableGrid"/>
        <w:tblW w:w="0" w:type="auto"/>
        <w:jc w:val="center"/>
        <w:tblLook w:val="04A0" w:firstRow="1" w:lastRow="0" w:firstColumn="1" w:lastColumn="0" w:noHBand="0" w:noVBand="1"/>
      </w:tblPr>
      <w:tblGrid>
        <w:gridCol w:w="728"/>
        <w:gridCol w:w="2046"/>
        <w:gridCol w:w="1902"/>
        <w:gridCol w:w="2169"/>
        <w:gridCol w:w="2171"/>
      </w:tblGrid>
      <w:tr w:rsidR="0039672A" w:rsidRPr="00CD384C" w14:paraId="75E8752F" w14:textId="77777777" w:rsidTr="00346057">
        <w:trPr>
          <w:jc w:val="center"/>
        </w:trPr>
        <w:tc>
          <w:tcPr>
            <w:tcW w:w="728" w:type="dxa"/>
          </w:tcPr>
          <w:p w14:paraId="09E1B4FA" w14:textId="77777777" w:rsidR="0039672A" w:rsidRPr="00CD384C" w:rsidRDefault="0039672A" w:rsidP="002F59EF">
            <w:pPr>
              <w:spacing w:before="100" w:beforeAutospacing="1" w:after="100" w:afterAutospacing="1"/>
              <w:jc w:val="both"/>
              <w:rPr>
                <w:rFonts w:ascii="Times New Roman" w:eastAsia="Times New Roman" w:hAnsi="Times New Roman" w:cs="Times New Roman"/>
                <w:sz w:val="20"/>
                <w:szCs w:val="20"/>
                <w:lang w:eastAsia="en-IN"/>
              </w:rPr>
            </w:pPr>
            <w:proofErr w:type="spellStart"/>
            <w:r w:rsidRPr="00CD384C">
              <w:rPr>
                <w:rFonts w:ascii="Times New Roman" w:eastAsia="Times New Roman" w:hAnsi="Times New Roman" w:cs="Times New Roman"/>
                <w:sz w:val="20"/>
                <w:szCs w:val="20"/>
                <w:lang w:eastAsia="en-IN"/>
              </w:rPr>
              <w:t>Sl.No</w:t>
            </w:r>
            <w:proofErr w:type="spellEnd"/>
            <w:r w:rsidRPr="00CD384C">
              <w:rPr>
                <w:rFonts w:ascii="Times New Roman" w:eastAsia="Times New Roman" w:hAnsi="Times New Roman" w:cs="Times New Roman"/>
                <w:sz w:val="20"/>
                <w:szCs w:val="20"/>
                <w:lang w:eastAsia="en-IN"/>
              </w:rPr>
              <w:t>.</w:t>
            </w:r>
          </w:p>
        </w:tc>
        <w:tc>
          <w:tcPr>
            <w:tcW w:w="2121" w:type="dxa"/>
          </w:tcPr>
          <w:p w14:paraId="32E89EA2" w14:textId="77777777" w:rsidR="0039672A" w:rsidRPr="00CD384C" w:rsidRDefault="005C38B2"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Drainage Density</w:t>
            </w:r>
            <w:r w:rsidR="00346057" w:rsidRPr="00CD384C">
              <w:rPr>
                <w:rFonts w:ascii="Times New Roman" w:eastAsia="Times New Roman" w:hAnsi="Times New Roman" w:cs="Times New Roman"/>
                <w:sz w:val="20"/>
                <w:szCs w:val="20"/>
                <w:lang w:eastAsia="en-IN"/>
              </w:rPr>
              <w:t xml:space="preserve"> (m)</w:t>
            </w:r>
          </w:p>
        </w:tc>
        <w:tc>
          <w:tcPr>
            <w:tcW w:w="1979" w:type="dxa"/>
          </w:tcPr>
          <w:p w14:paraId="211A6F17" w14:textId="77777777" w:rsidR="0039672A" w:rsidRPr="00CD384C" w:rsidRDefault="0039672A"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(Weight Present)</w:t>
            </w:r>
          </w:p>
        </w:tc>
        <w:tc>
          <w:tcPr>
            <w:tcW w:w="2261" w:type="dxa"/>
          </w:tcPr>
          <w:p w14:paraId="0E248EB7" w14:textId="77777777" w:rsidR="0039672A" w:rsidRPr="00CD384C" w:rsidRDefault="0039672A"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(Weight Absent)</w:t>
            </w:r>
          </w:p>
        </w:tc>
        <w:tc>
          <w:tcPr>
            <w:tcW w:w="2261" w:type="dxa"/>
          </w:tcPr>
          <w:p w14:paraId="2B83AF4A" w14:textId="77777777" w:rsidR="0039672A" w:rsidRPr="00CD384C" w:rsidRDefault="0039672A"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 xml:space="preserve">C (Weight Contrast) </w:t>
            </w:r>
          </w:p>
        </w:tc>
      </w:tr>
      <w:tr w:rsidR="0039672A" w:rsidRPr="00CD384C" w14:paraId="333DE78D" w14:textId="77777777" w:rsidTr="00346057">
        <w:trPr>
          <w:jc w:val="center"/>
        </w:trPr>
        <w:tc>
          <w:tcPr>
            <w:tcW w:w="728" w:type="dxa"/>
          </w:tcPr>
          <w:p w14:paraId="71E47AF7" w14:textId="77777777" w:rsidR="0039672A" w:rsidRPr="00CD384C" w:rsidRDefault="0039672A"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w:t>
            </w:r>
          </w:p>
        </w:tc>
        <w:tc>
          <w:tcPr>
            <w:tcW w:w="2121" w:type="dxa"/>
          </w:tcPr>
          <w:p w14:paraId="654E4F56" w14:textId="77777777" w:rsidR="0039672A" w:rsidRPr="00CD384C" w:rsidRDefault="005E7C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0 - 100</w:t>
            </w:r>
          </w:p>
        </w:tc>
        <w:tc>
          <w:tcPr>
            <w:tcW w:w="1979" w:type="dxa"/>
          </w:tcPr>
          <w:p w14:paraId="08468EF5" w14:textId="77777777" w:rsidR="0039672A" w:rsidRPr="00CD384C" w:rsidRDefault="005E7C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0.627</w:t>
            </w:r>
          </w:p>
        </w:tc>
        <w:tc>
          <w:tcPr>
            <w:tcW w:w="2261" w:type="dxa"/>
          </w:tcPr>
          <w:p w14:paraId="15E6F205" w14:textId="77777777" w:rsidR="0039672A" w:rsidRPr="00CD384C" w:rsidRDefault="005E7C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-0.041</w:t>
            </w:r>
          </w:p>
        </w:tc>
        <w:tc>
          <w:tcPr>
            <w:tcW w:w="2261" w:type="dxa"/>
          </w:tcPr>
          <w:p w14:paraId="57DF7950" w14:textId="77777777" w:rsidR="0039672A" w:rsidRPr="00CD384C" w:rsidRDefault="005E7C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0.668</w:t>
            </w:r>
          </w:p>
        </w:tc>
      </w:tr>
      <w:tr w:rsidR="0039672A" w:rsidRPr="00CD384C" w14:paraId="4E739AE0" w14:textId="77777777" w:rsidTr="00346057">
        <w:trPr>
          <w:jc w:val="center"/>
        </w:trPr>
        <w:tc>
          <w:tcPr>
            <w:tcW w:w="728" w:type="dxa"/>
          </w:tcPr>
          <w:p w14:paraId="68E8DEDE" w14:textId="77777777" w:rsidR="0039672A" w:rsidRPr="00CD384C" w:rsidRDefault="0039672A"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2</w:t>
            </w:r>
          </w:p>
        </w:tc>
        <w:tc>
          <w:tcPr>
            <w:tcW w:w="2121" w:type="dxa"/>
          </w:tcPr>
          <w:p w14:paraId="48BAD1E6" w14:textId="77777777" w:rsidR="0039672A" w:rsidRPr="00CD384C" w:rsidRDefault="005E7C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100 - 300</w:t>
            </w:r>
          </w:p>
        </w:tc>
        <w:tc>
          <w:tcPr>
            <w:tcW w:w="1979" w:type="dxa"/>
          </w:tcPr>
          <w:p w14:paraId="421349EF" w14:textId="77777777" w:rsidR="0039672A" w:rsidRPr="00CD384C" w:rsidRDefault="005E7C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0.334</w:t>
            </w:r>
          </w:p>
        </w:tc>
        <w:tc>
          <w:tcPr>
            <w:tcW w:w="2261" w:type="dxa"/>
          </w:tcPr>
          <w:p w14:paraId="79082672" w14:textId="77777777" w:rsidR="0039672A" w:rsidRPr="00CD384C" w:rsidRDefault="005E7C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-0.034</w:t>
            </w:r>
          </w:p>
        </w:tc>
        <w:tc>
          <w:tcPr>
            <w:tcW w:w="2261" w:type="dxa"/>
          </w:tcPr>
          <w:p w14:paraId="48B7CE56" w14:textId="77777777" w:rsidR="0039672A" w:rsidRPr="00CD384C" w:rsidRDefault="005E7C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0.368</w:t>
            </w:r>
          </w:p>
        </w:tc>
      </w:tr>
      <w:tr w:rsidR="0039672A" w:rsidRPr="00CD384C" w14:paraId="62F4855C" w14:textId="77777777" w:rsidTr="00346057">
        <w:trPr>
          <w:jc w:val="center"/>
        </w:trPr>
        <w:tc>
          <w:tcPr>
            <w:tcW w:w="728" w:type="dxa"/>
          </w:tcPr>
          <w:p w14:paraId="440950DA" w14:textId="77777777" w:rsidR="0039672A" w:rsidRPr="00CD384C" w:rsidRDefault="0039672A"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3</w:t>
            </w:r>
          </w:p>
        </w:tc>
        <w:tc>
          <w:tcPr>
            <w:tcW w:w="2121" w:type="dxa"/>
          </w:tcPr>
          <w:p w14:paraId="346F8DFE" w14:textId="77777777" w:rsidR="0039672A" w:rsidRPr="00CD384C" w:rsidRDefault="005E7C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300 - 500</w:t>
            </w:r>
          </w:p>
        </w:tc>
        <w:tc>
          <w:tcPr>
            <w:tcW w:w="1979" w:type="dxa"/>
          </w:tcPr>
          <w:p w14:paraId="36A71819" w14:textId="77777777" w:rsidR="0039672A" w:rsidRPr="00CD384C" w:rsidRDefault="005E7C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-0.319</w:t>
            </w:r>
          </w:p>
        </w:tc>
        <w:tc>
          <w:tcPr>
            <w:tcW w:w="2261" w:type="dxa"/>
          </w:tcPr>
          <w:p w14:paraId="43545438" w14:textId="77777777" w:rsidR="0039672A" w:rsidRPr="00CD384C" w:rsidRDefault="005E7C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0.026</w:t>
            </w:r>
          </w:p>
        </w:tc>
        <w:tc>
          <w:tcPr>
            <w:tcW w:w="2261" w:type="dxa"/>
          </w:tcPr>
          <w:p w14:paraId="152FB9B8" w14:textId="77777777" w:rsidR="0039672A" w:rsidRPr="00CD384C" w:rsidRDefault="005E7C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-0.345</w:t>
            </w:r>
          </w:p>
        </w:tc>
      </w:tr>
      <w:tr w:rsidR="0039672A" w:rsidRPr="00CD384C" w14:paraId="505F27D3" w14:textId="77777777" w:rsidTr="00346057">
        <w:trPr>
          <w:jc w:val="center"/>
        </w:trPr>
        <w:tc>
          <w:tcPr>
            <w:tcW w:w="728" w:type="dxa"/>
          </w:tcPr>
          <w:p w14:paraId="59ACF921" w14:textId="77777777" w:rsidR="0039672A" w:rsidRPr="00CD384C" w:rsidRDefault="0039672A"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4</w:t>
            </w:r>
          </w:p>
        </w:tc>
        <w:tc>
          <w:tcPr>
            <w:tcW w:w="2121" w:type="dxa"/>
          </w:tcPr>
          <w:p w14:paraId="5BDE579B" w14:textId="77777777" w:rsidR="0039672A" w:rsidRPr="00CD384C" w:rsidRDefault="005E7C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&gt; 500</w:t>
            </w:r>
          </w:p>
        </w:tc>
        <w:tc>
          <w:tcPr>
            <w:tcW w:w="1979" w:type="dxa"/>
          </w:tcPr>
          <w:p w14:paraId="7BD3AF5E" w14:textId="77777777" w:rsidR="0039672A" w:rsidRPr="00CD384C" w:rsidRDefault="005E7C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-0.443</w:t>
            </w:r>
          </w:p>
        </w:tc>
        <w:tc>
          <w:tcPr>
            <w:tcW w:w="2261" w:type="dxa"/>
          </w:tcPr>
          <w:p w14:paraId="02FBB618" w14:textId="77777777" w:rsidR="0039672A" w:rsidRPr="00CD384C" w:rsidRDefault="005E7C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0.045</w:t>
            </w:r>
          </w:p>
        </w:tc>
        <w:tc>
          <w:tcPr>
            <w:tcW w:w="2261" w:type="dxa"/>
          </w:tcPr>
          <w:p w14:paraId="0D855D76" w14:textId="77777777" w:rsidR="0039672A" w:rsidRPr="00CD384C" w:rsidRDefault="005E7C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-0.488</w:t>
            </w:r>
          </w:p>
        </w:tc>
      </w:tr>
    </w:tbl>
    <w:p w14:paraId="6D879DB8" w14:textId="77777777" w:rsidR="005E7CDE" w:rsidRPr="00CD384C" w:rsidRDefault="00E20036" w:rsidP="002F59E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Table 8</w:t>
      </w:r>
      <w:r w:rsidR="005E7CDE" w:rsidRPr="00CD384C">
        <w:rPr>
          <w:rFonts w:ascii="Times New Roman" w:eastAsia="Times New Roman" w:hAnsi="Times New Roman" w:cs="Times New Roman"/>
          <w:sz w:val="20"/>
          <w:szCs w:val="20"/>
          <w:lang w:eastAsia="en-IN"/>
        </w:rPr>
        <w:t>: Weight of Evidence (WOE) for LULC</w:t>
      </w:r>
    </w:p>
    <w:tbl>
      <w:tblPr>
        <w:tblStyle w:val="TableGrid"/>
        <w:tblW w:w="5000" w:type="pct"/>
        <w:jc w:val="center"/>
        <w:tblLook w:val="04A0" w:firstRow="1" w:lastRow="0" w:firstColumn="1" w:lastColumn="0" w:noHBand="0" w:noVBand="1"/>
      </w:tblPr>
      <w:tblGrid>
        <w:gridCol w:w="800"/>
        <w:gridCol w:w="1523"/>
        <w:gridCol w:w="1093"/>
        <w:gridCol w:w="1095"/>
        <w:gridCol w:w="1095"/>
        <w:gridCol w:w="1369"/>
        <w:gridCol w:w="1093"/>
        <w:gridCol w:w="948"/>
      </w:tblGrid>
      <w:tr w:rsidR="00AD08F7" w:rsidRPr="00CD384C" w14:paraId="6CC16B06" w14:textId="77777777" w:rsidTr="00AD08F7">
        <w:trPr>
          <w:trHeight w:val="283"/>
          <w:jc w:val="center"/>
        </w:trPr>
        <w:tc>
          <w:tcPr>
            <w:tcW w:w="444" w:type="pct"/>
            <w:vMerge w:val="restart"/>
          </w:tcPr>
          <w:p w14:paraId="06BA9468" w14:textId="77777777" w:rsidR="00AD08F7" w:rsidRPr="00CD384C" w:rsidRDefault="00AD08F7" w:rsidP="002F59EF">
            <w:pPr>
              <w:jc w:val="both"/>
              <w:rPr>
                <w:rFonts w:ascii="Times New Roman" w:hAnsi="Times New Roman" w:cs="Times New Roman"/>
                <w:sz w:val="20"/>
                <w:szCs w:val="20"/>
                <w:lang w:val="en-US"/>
              </w:rPr>
            </w:pPr>
            <w:proofErr w:type="spellStart"/>
            <w:r w:rsidRPr="00CD384C">
              <w:rPr>
                <w:rFonts w:ascii="Times New Roman" w:hAnsi="Times New Roman" w:cs="Times New Roman"/>
                <w:sz w:val="20"/>
                <w:szCs w:val="20"/>
                <w:lang w:val="en-US"/>
              </w:rPr>
              <w:t>Sl.No</w:t>
            </w:r>
            <w:proofErr w:type="spellEnd"/>
            <w:r w:rsidRPr="00CD384C">
              <w:rPr>
                <w:rFonts w:ascii="Times New Roman" w:hAnsi="Times New Roman" w:cs="Times New Roman"/>
                <w:sz w:val="20"/>
                <w:szCs w:val="20"/>
                <w:lang w:val="en-US"/>
              </w:rPr>
              <w:t>.</w:t>
            </w:r>
          </w:p>
        </w:tc>
        <w:tc>
          <w:tcPr>
            <w:tcW w:w="845" w:type="pct"/>
            <w:vMerge w:val="restart"/>
          </w:tcPr>
          <w:p w14:paraId="3EDC174C"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Category</w:t>
            </w:r>
          </w:p>
        </w:tc>
        <w:tc>
          <w:tcPr>
            <w:tcW w:w="606" w:type="pct"/>
            <w:vMerge w:val="restart"/>
          </w:tcPr>
          <w:p w14:paraId="1C769D52" w14:textId="77777777" w:rsidR="00AD08F7" w:rsidRPr="00CD384C" w:rsidRDefault="00AD08F7" w:rsidP="002F59EF">
            <w:pPr>
              <w:jc w:val="both"/>
              <w:rPr>
                <w:rFonts w:ascii="Times New Roman" w:hAnsi="Times New Roman" w:cs="Times New Roman"/>
                <w:sz w:val="20"/>
                <w:szCs w:val="20"/>
                <w:vertAlign w:val="superscript"/>
                <w:lang w:val="en-US"/>
              </w:rPr>
            </w:pPr>
            <w:r w:rsidRPr="00CD384C">
              <w:rPr>
                <w:rFonts w:ascii="Times New Roman" w:hAnsi="Times New Roman" w:cs="Times New Roman"/>
                <w:sz w:val="20"/>
                <w:szCs w:val="20"/>
                <w:lang w:val="en-US"/>
              </w:rPr>
              <w:t>Area in Km</w:t>
            </w:r>
            <w:r w:rsidRPr="00CD384C">
              <w:rPr>
                <w:rFonts w:ascii="Times New Roman" w:hAnsi="Times New Roman" w:cs="Times New Roman"/>
                <w:sz w:val="20"/>
                <w:szCs w:val="20"/>
                <w:vertAlign w:val="superscript"/>
                <w:lang w:val="en-US"/>
              </w:rPr>
              <w:t>2</w:t>
            </w:r>
          </w:p>
        </w:tc>
        <w:tc>
          <w:tcPr>
            <w:tcW w:w="607" w:type="pct"/>
            <w:vMerge w:val="restart"/>
          </w:tcPr>
          <w:p w14:paraId="0D7E1D0C"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Area in %</w:t>
            </w:r>
          </w:p>
        </w:tc>
        <w:tc>
          <w:tcPr>
            <w:tcW w:w="2498" w:type="pct"/>
            <w:gridSpan w:val="4"/>
          </w:tcPr>
          <w:p w14:paraId="3A2D0910"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Weight of Evidence (</w:t>
            </w:r>
            <w:proofErr w:type="spellStart"/>
            <w:r w:rsidRPr="00CD384C">
              <w:rPr>
                <w:rFonts w:ascii="Times New Roman" w:hAnsi="Times New Roman" w:cs="Times New Roman"/>
                <w:sz w:val="20"/>
                <w:szCs w:val="20"/>
                <w:lang w:val="en-US"/>
              </w:rPr>
              <w:t>WoE</w:t>
            </w:r>
            <w:proofErr w:type="spellEnd"/>
            <w:r w:rsidRPr="00CD384C">
              <w:rPr>
                <w:rFonts w:ascii="Times New Roman" w:hAnsi="Times New Roman" w:cs="Times New Roman"/>
                <w:sz w:val="20"/>
                <w:szCs w:val="20"/>
                <w:lang w:val="en-US"/>
              </w:rPr>
              <w:t>)</w:t>
            </w:r>
          </w:p>
        </w:tc>
      </w:tr>
      <w:tr w:rsidR="00AD08F7" w:rsidRPr="00CD384C" w14:paraId="20CA2669" w14:textId="77777777" w:rsidTr="00AD08F7">
        <w:trPr>
          <w:trHeight w:val="273"/>
          <w:jc w:val="center"/>
        </w:trPr>
        <w:tc>
          <w:tcPr>
            <w:tcW w:w="444" w:type="pct"/>
            <w:vMerge/>
          </w:tcPr>
          <w:p w14:paraId="5333B892" w14:textId="77777777" w:rsidR="00AD08F7" w:rsidRPr="00CD384C" w:rsidRDefault="00AD08F7" w:rsidP="002F59EF">
            <w:pPr>
              <w:jc w:val="both"/>
              <w:rPr>
                <w:rFonts w:ascii="Times New Roman" w:hAnsi="Times New Roman" w:cs="Times New Roman"/>
                <w:sz w:val="20"/>
                <w:szCs w:val="20"/>
                <w:lang w:val="en-US"/>
              </w:rPr>
            </w:pPr>
          </w:p>
        </w:tc>
        <w:tc>
          <w:tcPr>
            <w:tcW w:w="845" w:type="pct"/>
            <w:vMerge/>
          </w:tcPr>
          <w:p w14:paraId="023C8864" w14:textId="77777777" w:rsidR="00AD08F7" w:rsidRPr="00CD384C" w:rsidRDefault="00AD08F7" w:rsidP="002F59EF">
            <w:pPr>
              <w:jc w:val="both"/>
              <w:rPr>
                <w:rFonts w:ascii="Times New Roman" w:hAnsi="Times New Roman" w:cs="Times New Roman"/>
                <w:sz w:val="20"/>
                <w:szCs w:val="20"/>
                <w:lang w:val="en-US"/>
              </w:rPr>
            </w:pPr>
          </w:p>
        </w:tc>
        <w:tc>
          <w:tcPr>
            <w:tcW w:w="606" w:type="pct"/>
            <w:vMerge/>
          </w:tcPr>
          <w:p w14:paraId="67492583" w14:textId="77777777" w:rsidR="00AD08F7" w:rsidRPr="00CD384C" w:rsidRDefault="00AD08F7" w:rsidP="002F59EF">
            <w:pPr>
              <w:jc w:val="both"/>
              <w:rPr>
                <w:rFonts w:ascii="Times New Roman" w:hAnsi="Times New Roman" w:cs="Times New Roman"/>
                <w:sz w:val="20"/>
                <w:szCs w:val="20"/>
                <w:lang w:val="en-US"/>
              </w:rPr>
            </w:pPr>
          </w:p>
        </w:tc>
        <w:tc>
          <w:tcPr>
            <w:tcW w:w="607" w:type="pct"/>
            <w:vMerge/>
          </w:tcPr>
          <w:p w14:paraId="7C3113D7" w14:textId="77777777" w:rsidR="00AD08F7" w:rsidRPr="00CD384C" w:rsidRDefault="00AD08F7" w:rsidP="002F59EF">
            <w:pPr>
              <w:jc w:val="both"/>
              <w:rPr>
                <w:rFonts w:ascii="Times New Roman" w:hAnsi="Times New Roman" w:cs="Times New Roman"/>
                <w:sz w:val="20"/>
                <w:szCs w:val="20"/>
                <w:lang w:val="en-US"/>
              </w:rPr>
            </w:pPr>
          </w:p>
        </w:tc>
        <w:tc>
          <w:tcPr>
            <w:tcW w:w="607" w:type="pct"/>
          </w:tcPr>
          <w:p w14:paraId="01D31C9D"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Low </w:t>
            </w:r>
          </w:p>
        </w:tc>
        <w:tc>
          <w:tcPr>
            <w:tcW w:w="759" w:type="pct"/>
          </w:tcPr>
          <w:p w14:paraId="1AFD701B"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Medium </w:t>
            </w:r>
          </w:p>
        </w:tc>
        <w:tc>
          <w:tcPr>
            <w:tcW w:w="606" w:type="pct"/>
          </w:tcPr>
          <w:p w14:paraId="07C270B7"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High </w:t>
            </w:r>
          </w:p>
        </w:tc>
        <w:tc>
          <w:tcPr>
            <w:tcW w:w="526" w:type="pct"/>
          </w:tcPr>
          <w:p w14:paraId="496AC9BD"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Total </w:t>
            </w:r>
          </w:p>
        </w:tc>
      </w:tr>
      <w:tr w:rsidR="00AD08F7" w:rsidRPr="00CD384C" w14:paraId="31F0B3B5" w14:textId="77777777" w:rsidTr="00AD08F7">
        <w:trPr>
          <w:jc w:val="center"/>
        </w:trPr>
        <w:tc>
          <w:tcPr>
            <w:tcW w:w="444" w:type="pct"/>
          </w:tcPr>
          <w:p w14:paraId="06306051"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w:t>
            </w:r>
          </w:p>
        </w:tc>
        <w:tc>
          <w:tcPr>
            <w:tcW w:w="845" w:type="pct"/>
          </w:tcPr>
          <w:p w14:paraId="08EBB28F"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Water Body</w:t>
            </w:r>
          </w:p>
        </w:tc>
        <w:tc>
          <w:tcPr>
            <w:tcW w:w="606" w:type="pct"/>
          </w:tcPr>
          <w:p w14:paraId="552DD517"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19</w:t>
            </w:r>
          </w:p>
        </w:tc>
        <w:tc>
          <w:tcPr>
            <w:tcW w:w="607" w:type="pct"/>
          </w:tcPr>
          <w:p w14:paraId="5A54B596"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0.82</w:t>
            </w:r>
          </w:p>
        </w:tc>
        <w:tc>
          <w:tcPr>
            <w:tcW w:w="607" w:type="pct"/>
          </w:tcPr>
          <w:p w14:paraId="7EC71A59" w14:textId="77777777" w:rsidR="00AD08F7" w:rsidRPr="00CD384C" w:rsidRDefault="00AD08F7" w:rsidP="002F59EF">
            <w:pPr>
              <w:jc w:val="both"/>
              <w:rPr>
                <w:rFonts w:ascii="Times New Roman" w:eastAsia="Times New Roman" w:hAnsi="Times New Roman" w:cs="Times New Roman"/>
                <w:sz w:val="20"/>
                <w:szCs w:val="20"/>
                <w:lang w:eastAsia="en-IN"/>
              </w:rPr>
            </w:pPr>
            <w:r w:rsidRPr="00CD384C">
              <w:rPr>
                <w:rFonts w:ascii="Times New Roman" w:hAnsi="Times New Roman" w:cs="Times New Roman"/>
                <w:sz w:val="20"/>
                <w:szCs w:val="20"/>
              </w:rPr>
              <w:t>2.399</w:t>
            </w:r>
          </w:p>
        </w:tc>
        <w:tc>
          <w:tcPr>
            <w:tcW w:w="759" w:type="pct"/>
            <w:vAlign w:val="center"/>
          </w:tcPr>
          <w:p w14:paraId="374AC6E3"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–0.693</w:t>
            </w:r>
          </w:p>
        </w:tc>
        <w:tc>
          <w:tcPr>
            <w:tcW w:w="606" w:type="pct"/>
            <w:vAlign w:val="center"/>
          </w:tcPr>
          <w:p w14:paraId="4ABCC45C"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0.425</w:t>
            </w:r>
          </w:p>
        </w:tc>
        <w:tc>
          <w:tcPr>
            <w:tcW w:w="526" w:type="pct"/>
            <w:vAlign w:val="center"/>
          </w:tcPr>
          <w:p w14:paraId="46C5EBB7"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2.571</w:t>
            </w:r>
          </w:p>
        </w:tc>
      </w:tr>
      <w:tr w:rsidR="00AD08F7" w:rsidRPr="00CD384C" w14:paraId="2CBBD926" w14:textId="77777777" w:rsidTr="00AD08F7">
        <w:trPr>
          <w:jc w:val="center"/>
        </w:trPr>
        <w:tc>
          <w:tcPr>
            <w:tcW w:w="444" w:type="pct"/>
          </w:tcPr>
          <w:p w14:paraId="7A2AF3A1"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w:t>
            </w:r>
          </w:p>
        </w:tc>
        <w:tc>
          <w:tcPr>
            <w:tcW w:w="845" w:type="pct"/>
          </w:tcPr>
          <w:p w14:paraId="5CD14F43"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Built Up Area</w:t>
            </w:r>
          </w:p>
        </w:tc>
        <w:tc>
          <w:tcPr>
            <w:tcW w:w="606" w:type="pct"/>
          </w:tcPr>
          <w:p w14:paraId="64DAAD35"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62</w:t>
            </w:r>
          </w:p>
        </w:tc>
        <w:tc>
          <w:tcPr>
            <w:tcW w:w="607" w:type="pct"/>
          </w:tcPr>
          <w:p w14:paraId="3433AB5D"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2.71</w:t>
            </w:r>
          </w:p>
        </w:tc>
        <w:tc>
          <w:tcPr>
            <w:tcW w:w="607" w:type="pct"/>
            <w:vAlign w:val="center"/>
          </w:tcPr>
          <w:p w14:paraId="3D41D1D9"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2.442</w:t>
            </w:r>
          </w:p>
        </w:tc>
        <w:tc>
          <w:tcPr>
            <w:tcW w:w="759" w:type="pct"/>
            <w:vAlign w:val="center"/>
          </w:tcPr>
          <w:p w14:paraId="211C3B1D"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–0.823</w:t>
            </w:r>
          </w:p>
        </w:tc>
        <w:tc>
          <w:tcPr>
            <w:tcW w:w="606" w:type="pct"/>
            <w:vAlign w:val="center"/>
          </w:tcPr>
          <w:p w14:paraId="531493BD"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–0.051</w:t>
            </w:r>
          </w:p>
        </w:tc>
        <w:tc>
          <w:tcPr>
            <w:tcW w:w="526" w:type="pct"/>
            <w:vAlign w:val="center"/>
          </w:tcPr>
          <w:p w14:paraId="57748915"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2.557</w:t>
            </w:r>
          </w:p>
        </w:tc>
      </w:tr>
      <w:tr w:rsidR="00AD08F7" w:rsidRPr="00CD384C" w14:paraId="2E94F67C" w14:textId="77777777" w:rsidTr="00AD08F7">
        <w:trPr>
          <w:jc w:val="center"/>
        </w:trPr>
        <w:tc>
          <w:tcPr>
            <w:tcW w:w="444" w:type="pct"/>
          </w:tcPr>
          <w:p w14:paraId="3D865D92"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lastRenderedPageBreak/>
              <w:t>3</w:t>
            </w:r>
          </w:p>
        </w:tc>
        <w:tc>
          <w:tcPr>
            <w:tcW w:w="845" w:type="pct"/>
          </w:tcPr>
          <w:p w14:paraId="66C090EA"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Jhum Land</w:t>
            </w:r>
          </w:p>
        </w:tc>
        <w:tc>
          <w:tcPr>
            <w:tcW w:w="606" w:type="pct"/>
          </w:tcPr>
          <w:p w14:paraId="048449E9"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190</w:t>
            </w:r>
          </w:p>
        </w:tc>
        <w:tc>
          <w:tcPr>
            <w:tcW w:w="607" w:type="pct"/>
          </w:tcPr>
          <w:p w14:paraId="62142E82"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8.83</w:t>
            </w:r>
          </w:p>
        </w:tc>
        <w:tc>
          <w:tcPr>
            <w:tcW w:w="607" w:type="pct"/>
            <w:vAlign w:val="center"/>
          </w:tcPr>
          <w:p w14:paraId="3B491A47"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2.091</w:t>
            </w:r>
          </w:p>
        </w:tc>
        <w:tc>
          <w:tcPr>
            <w:tcW w:w="759" w:type="pct"/>
            <w:vAlign w:val="center"/>
          </w:tcPr>
          <w:p w14:paraId="7E81E297"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0.542</w:t>
            </w:r>
          </w:p>
        </w:tc>
        <w:tc>
          <w:tcPr>
            <w:tcW w:w="606" w:type="pct"/>
            <w:vAlign w:val="center"/>
          </w:tcPr>
          <w:p w14:paraId="57DEC206"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0.432</w:t>
            </w:r>
          </w:p>
        </w:tc>
        <w:tc>
          <w:tcPr>
            <w:tcW w:w="526" w:type="pct"/>
            <w:vAlign w:val="center"/>
          </w:tcPr>
          <w:p w14:paraId="17C65419"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2.431</w:t>
            </w:r>
          </w:p>
        </w:tc>
      </w:tr>
      <w:tr w:rsidR="00AD08F7" w:rsidRPr="00CD384C" w14:paraId="15C8D407" w14:textId="77777777" w:rsidTr="00AD08F7">
        <w:trPr>
          <w:jc w:val="center"/>
        </w:trPr>
        <w:tc>
          <w:tcPr>
            <w:tcW w:w="444" w:type="pct"/>
          </w:tcPr>
          <w:p w14:paraId="23C0BDC1"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4</w:t>
            </w:r>
          </w:p>
        </w:tc>
        <w:tc>
          <w:tcPr>
            <w:tcW w:w="845" w:type="pct"/>
          </w:tcPr>
          <w:p w14:paraId="343C4C43"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Vegetation</w:t>
            </w:r>
          </w:p>
        </w:tc>
        <w:tc>
          <w:tcPr>
            <w:tcW w:w="606" w:type="pct"/>
          </w:tcPr>
          <w:p w14:paraId="08467432"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2014</w:t>
            </w:r>
          </w:p>
        </w:tc>
        <w:tc>
          <w:tcPr>
            <w:tcW w:w="607" w:type="pct"/>
          </w:tcPr>
          <w:p w14:paraId="11E44B14"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88.14</w:t>
            </w:r>
          </w:p>
        </w:tc>
        <w:tc>
          <w:tcPr>
            <w:tcW w:w="607" w:type="pct"/>
            <w:vAlign w:val="center"/>
          </w:tcPr>
          <w:p w14:paraId="7E20F87B"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–0.030</w:t>
            </w:r>
          </w:p>
        </w:tc>
        <w:tc>
          <w:tcPr>
            <w:tcW w:w="759" w:type="pct"/>
            <w:vAlign w:val="center"/>
          </w:tcPr>
          <w:p w14:paraId="51E98C0E"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–0.755</w:t>
            </w:r>
          </w:p>
        </w:tc>
        <w:tc>
          <w:tcPr>
            <w:tcW w:w="606" w:type="pct"/>
            <w:vAlign w:val="center"/>
          </w:tcPr>
          <w:p w14:paraId="07AEDB38"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–1.050</w:t>
            </w:r>
          </w:p>
        </w:tc>
        <w:tc>
          <w:tcPr>
            <w:tcW w:w="526" w:type="pct"/>
            <w:vAlign w:val="center"/>
          </w:tcPr>
          <w:p w14:paraId="5A1C968F"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0.583</w:t>
            </w:r>
          </w:p>
        </w:tc>
      </w:tr>
      <w:tr w:rsidR="00AD08F7" w:rsidRPr="00CD384C" w14:paraId="566105EC" w14:textId="77777777" w:rsidTr="00AD08F7">
        <w:trPr>
          <w:jc w:val="center"/>
        </w:trPr>
        <w:tc>
          <w:tcPr>
            <w:tcW w:w="1289" w:type="pct"/>
            <w:gridSpan w:val="2"/>
          </w:tcPr>
          <w:p w14:paraId="547ACF7B"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Total</w:t>
            </w:r>
          </w:p>
        </w:tc>
        <w:tc>
          <w:tcPr>
            <w:tcW w:w="606" w:type="pct"/>
          </w:tcPr>
          <w:p w14:paraId="067691B5"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2285</w:t>
            </w:r>
          </w:p>
        </w:tc>
        <w:tc>
          <w:tcPr>
            <w:tcW w:w="607" w:type="pct"/>
          </w:tcPr>
          <w:p w14:paraId="0DC06F13"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100</w:t>
            </w:r>
          </w:p>
        </w:tc>
        <w:tc>
          <w:tcPr>
            <w:tcW w:w="607" w:type="pct"/>
          </w:tcPr>
          <w:p w14:paraId="2A71E6B9" w14:textId="77777777" w:rsidR="00AD08F7" w:rsidRPr="00CD384C" w:rsidRDefault="00AD08F7" w:rsidP="002F59EF">
            <w:pPr>
              <w:jc w:val="both"/>
              <w:rPr>
                <w:rFonts w:ascii="Times New Roman" w:hAnsi="Times New Roman" w:cs="Times New Roman"/>
                <w:sz w:val="20"/>
                <w:szCs w:val="20"/>
                <w:lang w:val="en-US"/>
              </w:rPr>
            </w:pPr>
          </w:p>
        </w:tc>
        <w:tc>
          <w:tcPr>
            <w:tcW w:w="759" w:type="pct"/>
          </w:tcPr>
          <w:p w14:paraId="6EAD113C" w14:textId="77777777" w:rsidR="00AD08F7" w:rsidRPr="00CD384C" w:rsidRDefault="00AD08F7" w:rsidP="002F59EF">
            <w:pPr>
              <w:jc w:val="both"/>
              <w:rPr>
                <w:rFonts w:ascii="Times New Roman" w:hAnsi="Times New Roman" w:cs="Times New Roman"/>
                <w:sz w:val="20"/>
                <w:szCs w:val="20"/>
                <w:lang w:val="en-US"/>
              </w:rPr>
            </w:pPr>
          </w:p>
        </w:tc>
        <w:tc>
          <w:tcPr>
            <w:tcW w:w="606" w:type="pct"/>
          </w:tcPr>
          <w:p w14:paraId="007B1653" w14:textId="77777777" w:rsidR="00AD08F7" w:rsidRPr="00CD384C" w:rsidRDefault="00AD08F7" w:rsidP="002F59EF">
            <w:pPr>
              <w:jc w:val="both"/>
              <w:rPr>
                <w:rFonts w:ascii="Times New Roman" w:hAnsi="Times New Roman" w:cs="Times New Roman"/>
                <w:sz w:val="20"/>
                <w:szCs w:val="20"/>
                <w:lang w:val="en-US"/>
              </w:rPr>
            </w:pPr>
          </w:p>
        </w:tc>
        <w:tc>
          <w:tcPr>
            <w:tcW w:w="526" w:type="pct"/>
          </w:tcPr>
          <w:p w14:paraId="0D141472" w14:textId="77777777" w:rsidR="00AD08F7" w:rsidRPr="00CD384C" w:rsidRDefault="00AD08F7" w:rsidP="002F59EF">
            <w:pPr>
              <w:jc w:val="both"/>
              <w:rPr>
                <w:rFonts w:ascii="Times New Roman" w:hAnsi="Times New Roman" w:cs="Times New Roman"/>
                <w:sz w:val="20"/>
                <w:szCs w:val="20"/>
                <w:lang w:val="en-US"/>
              </w:rPr>
            </w:pPr>
          </w:p>
        </w:tc>
      </w:tr>
    </w:tbl>
    <w:p w14:paraId="632D1007" w14:textId="77777777" w:rsidR="004472D5" w:rsidRPr="00CD384C" w:rsidRDefault="004472D5" w:rsidP="002F59EF">
      <w:pPr>
        <w:jc w:val="both"/>
        <w:rPr>
          <w:rFonts w:ascii="Times New Roman" w:hAnsi="Times New Roman" w:cs="Times New Roman"/>
          <w:sz w:val="20"/>
          <w:szCs w:val="20"/>
        </w:rPr>
      </w:pPr>
    </w:p>
    <w:p w14:paraId="52CCC43E" w14:textId="77777777" w:rsidR="002901FD" w:rsidRPr="00CD384C" w:rsidRDefault="00737804" w:rsidP="002F59EF">
      <w:pPr>
        <w:jc w:val="both"/>
        <w:rPr>
          <w:rFonts w:ascii="Times New Roman" w:hAnsi="Times New Roman" w:cs="Times New Roman"/>
          <w:b/>
          <w:sz w:val="20"/>
          <w:szCs w:val="20"/>
        </w:rPr>
      </w:pPr>
      <w:r w:rsidRPr="00CD384C">
        <w:rPr>
          <w:rFonts w:ascii="Times New Roman" w:hAnsi="Times New Roman" w:cs="Times New Roman"/>
          <w:b/>
          <w:sz w:val="20"/>
          <w:szCs w:val="20"/>
        </w:rPr>
        <w:t>Frequency Ratio</w:t>
      </w:r>
      <w:r w:rsidR="002901FD" w:rsidRPr="00CD384C">
        <w:rPr>
          <w:rFonts w:ascii="Times New Roman" w:hAnsi="Times New Roman" w:cs="Times New Roman"/>
          <w:b/>
          <w:sz w:val="20"/>
          <w:szCs w:val="20"/>
        </w:rPr>
        <w:t xml:space="preserve"> </w:t>
      </w:r>
      <w:r w:rsidR="004472D5" w:rsidRPr="00CD384C">
        <w:rPr>
          <w:rFonts w:ascii="Times New Roman" w:hAnsi="Times New Roman" w:cs="Times New Roman"/>
          <w:b/>
          <w:sz w:val="20"/>
          <w:szCs w:val="20"/>
        </w:rPr>
        <w:t xml:space="preserve">(FR) </w:t>
      </w:r>
      <w:r w:rsidR="002901FD" w:rsidRPr="00CD384C">
        <w:rPr>
          <w:rFonts w:ascii="Times New Roman" w:hAnsi="Times New Roman" w:cs="Times New Roman"/>
          <w:b/>
          <w:sz w:val="20"/>
          <w:szCs w:val="20"/>
        </w:rPr>
        <w:t>of all Parameters</w:t>
      </w:r>
    </w:p>
    <w:p w14:paraId="1491675A" w14:textId="77777777" w:rsidR="00812DA2" w:rsidRPr="00CD384C" w:rsidRDefault="00E20036" w:rsidP="002F59EF">
      <w:pPr>
        <w:jc w:val="both"/>
        <w:rPr>
          <w:rFonts w:ascii="Times New Roman" w:hAnsi="Times New Roman" w:cs="Times New Roman"/>
          <w:sz w:val="20"/>
          <w:szCs w:val="20"/>
        </w:rPr>
      </w:pPr>
      <w:r w:rsidRPr="00CD384C">
        <w:rPr>
          <w:rFonts w:ascii="Times New Roman" w:hAnsi="Times New Roman" w:cs="Times New Roman"/>
          <w:sz w:val="20"/>
          <w:szCs w:val="20"/>
        </w:rPr>
        <w:t>Table 9</w:t>
      </w:r>
      <w:r w:rsidR="00812DA2" w:rsidRPr="00CD384C">
        <w:rPr>
          <w:rFonts w:ascii="Times New Roman" w:hAnsi="Times New Roman" w:cs="Times New Roman"/>
          <w:sz w:val="20"/>
          <w:szCs w:val="20"/>
        </w:rPr>
        <w:t>: Elevation</w:t>
      </w:r>
    </w:p>
    <w:tbl>
      <w:tblPr>
        <w:tblStyle w:val="TableGrid"/>
        <w:tblW w:w="0" w:type="auto"/>
        <w:tblLook w:val="04A0" w:firstRow="1" w:lastRow="0" w:firstColumn="1" w:lastColumn="0" w:noHBand="0" w:noVBand="1"/>
      </w:tblPr>
      <w:tblGrid>
        <w:gridCol w:w="959"/>
        <w:gridCol w:w="2599"/>
        <w:gridCol w:w="1289"/>
        <w:gridCol w:w="2096"/>
        <w:gridCol w:w="2073"/>
      </w:tblGrid>
      <w:tr w:rsidR="00433719" w:rsidRPr="00CD384C" w14:paraId="72575837" w14:textId="77777777" w:rsidTr="00433719">
        <w:tc>
          <w:tcPr>
            <w:tcW w:w="988" w:type="dxa"/>
          </w:tcPr>
          <w:p w14:paraId="29369F9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Sl. No.</w:t>
            </w:r>
          </w:p>
        </w:tc>
        <w:tc>
          <w:tcPr>
            <w:tcW w:w="2701" w:type="dxa"/>
          </w:tcPr>
          <w:p w14:paraId="2F955107"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Elevation Class (m)</w:t>
            </w:r>
          </w:p>
        </w:tc>
        <w:tc>
          <w:tcPr>
            <w:tcW w:w="1332" w:type="dxa"/>
          </w:tcPr>
          <w:p w14:paraId="0E5245F9"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Area (%)</w:t>
            </w:r>
          </w:p>
        </w:tc>
        <w:tc>
          <w:tcPr>
            <w:tcW w:w="2160" w:type="dxa"/>
          </w:tcPr>
          <w:p w14:paraId="05531F6D"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Landslides (%)</w:t>
            </w:r>
          </w:p>
        </w:tc>
        <w:tc>
          <w:tcPr>
            <w:tcW w:w="2169" w:type="dxa"/>
          </w:tcPr>
          <w:p w14:paraId="60E95464"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FR</w:t>
            </w:r>
          </w:p>
        </w:tc>
      </w:tr>
      <w:tr w:rsidR="00433719" w:rsidRPr="00CD384C" w14:paraId="6BD9426D" w14:textId="77777777" w:rsidTr="00433719">
        <w:tc>
          <w:tcPr>
            <w:tcW w:w="988" w:type="dxa"/>
          </w:tcPr>
          <w:p w14:paraId="1BE038A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w:t>
            </w:r>
          </w:p>
        </w:tc>
        <w:tc>
          <w:tcPr>
            <w:tcW w:w="2701" w:type="dxa"/>
          </w:tcPr>
          <w:p w14:paraId="03EA567B"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200 Below</w:t>
            </w:r>
          </w:p>
        </w:tc>
        <w:tc>
          <w:tcPr>
            <w:tcW w:w="1332" w:type="dxa"/>
          </w:tcPr>
          <w:p w14:paraId="5004712B"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18.5</w:t>
            </w:r>
          </w:p>
        </w:tc>
        <w:tc>
          <w:tcPr>
            <w:tcW w:w="2160" w:type="dxa"/>
          </w:tcPr>
          <w:p w14:paraId="55765935"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9.2</w:t>
            </w:r>
          </w:p>
        </w:tc>
        <w:tc>
          <w:tcPr>
            <w:tcW w:w="2169" w:type="dxa"/>
          </w:tcPr>
          <w:p w14:paraId="3849373F"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0.50</w:t>
            </w:r>
          </w:p>
        </w:tc>
      </w:tr>
      <w:tr w:rsidR="00433719" w:rsidRPr="00CD384C" w14:paraId="14049F5B" w14:textId="77777777" w:rsidTr="00433719">
        <w:tc>
          <w:tcPr>
            <w:tcW w:w="988" w:type="dxa"/>
          </w:tcPr>
          <w:p w14:paraId="08D647F0"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w:t>
            </w:r>
          </w:p>
        </w:tc>
        <w:tc>
          <w:tcPr>
            <w:tcW w:w="2701" w:type="dxa"/>
          </w:tcPr>
          <w:p w14:paraId="1F926AE0"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400–600</w:t>
            </w:r>
          </w:p>
        </w:tc>
        <w:tc>
          <w:tcPr>
            <w:tcW w:w="1332" w:type="dxa"/>
          </w:tcPr>
          <w:p w14:paraId="4F1ADF0D"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26.1</w:t>
            </w:r>
          </w:p>
        </w:tc>
        <w:tc>
          <w:tcPr>
            <w:tcW w:w="2160" w:type="dxa"/>
          </w:tcPr>
          <w:p w14:paraId="54EBE11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18.3</w:t>
            </w:r>
          </w:p>
        </w:tc>
        <w:tc>
          <w:tcPr>
            <w:tcW w:w="2169" w:type="dxa"/>
          </w:tcPr>
          <w:p w14:paraId="78273AB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0.70</w:t>
            </w:r>
          </w:p>
        </w:tc>
      </w:tr>
      <w:tr w:rsidR="00433719" w:rsidRPr="00CD384C" w14:paraId="73DA1D95" w14:textId="77777777" w:rsidTr="00433719">
        <w:tc>
          <w:tcPr>
            <w:tcW w:w="988" w:type="dxa"/>
          </w:tcPr>
          <w:p w14:paraId="106218F0"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w:t>
            </w:r>
          </w:p>
        </w:tc>
        <w:tc>
          <w:tcPr>
            <w:tcW w:w="2701" w:type="dxa"/>
          </w:tcPr>
          <w:p w14:paraId="1E636F7A"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600–800</w:t>
            </w:r>
          </w:p>
        </w:tc>
        <w:tc>
          <w:tcPr>
            <w:tcW w:w="1332" w:type="dxa"/>
          </w:tcPr>
          <w:p w14:paraId="67B86F50"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29.5</w:t>
            </w:r>
          </w:p>
        </w:tc>
        <w:tc>
          <w:tcPr>
            <w:tcW w:w="2160" w:type="dxa"/>
          </w:tcPr>
          <w:p w14:paraId="299341A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36.7</w:t>
            </w:r>
          </w:p>
        </w:tc>
        <w:tc>
          <w:tcPr>
            <w:tcW w:w="2169" w:type="dxa"/>
          </w:tcPr>
          <w:p w14:paraId="114A8B99"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1.24</w:t>
            </w:r>
          </w:p>
        </w:tc>
      </w:tr>
      <w:tr w:rsidR="00433719" w:rsidRPr="00CD384C" w14:paraId="7AEB6C21" w14:textId="77777777" w:rsidTr="00433719">
        <w:tc>
          <w:tcPr>
            <w:tcW w:w="988" w:type="dxa"/>
          </w:tcPr>
          <w:p w14:paraId="11ADD564"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4</w:t>
            </w:r>
          </w:p>
        </w:tc>
        <w:tc>
          <w:tcPr>
            <w:tcW w:w="2701" w:type="dxa"/>
          </w:tcPr>
          <w:p w14:paraId="54E02555"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800 Above</w:t>
            </w:r>
          </w:p>
        </w:tc>
        <w:tc>
          <w:tcPr>
            <w:tcW w:w="1332" w:type="dxa"/>
          </w:tcPr>
          <w:p w14:paraId="36051D13"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18.4</w:t>
            </w:r>
          </w:p>
        </w:tc>
        <w:tc>
          <w:tcPr>
            <w:tcW w:w="2160" w:type="dxa"/>
          </w:tcPr>
          <w:p w14:paraId="7D392AA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25.0</w:t>
            </w:r>
          </w:p>
        </w:tc>
        <w:tc>
          <w:tcPr>
            <w:tcW w:w="2169" w:type="dxa"/>
          </w:tcPr>
          <w:p w14:paraId="1526572F"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1.36</w:t>
            </w:r>
          </w:p>
        </w:tc>
      </w:tr>
      <w:tr w:rsidR="00433719" w:rsidRPr="00CD384C" w14:paraId="6DBAFFD6" w14:textId="77777777" w:rsidTr="00433719">
        <w:tc>
          <w:tcPr>
            <w:tcW w:w="988" w:type="dxa"/>
          </w:tcPr>
          <w:p w14:paraId="34A027D3"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5</w:t>
            </w:r>
          </w:p>
        </w:tc>
        <w:tc>
          <w:tcPr>
            <w:tcW w:w="2701" w:type="dxa"/>
          </w:tcPr>
          <w:p w14:paraId="7F248A9D"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1000</w:t>
            </w:r>
          </w:p>
        </w:tc>
        <w:tc>
          <w:tcPr>
            <w:tcW w:w="1332" w:type="dxa"/>
          </w:tcPr>
          <w:p w14:paraId="37E69562"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7.5</w:t>
            </w:r>
          </w:p>
        </w:tc>
        <w:tc>
          <w:tcPr>
            <w:tcW w:w="2160" w:type="dxa"/>
          </w:tcPr>
          <w:p w14:paraId="23FD9D41"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10.8</w:t>
            </w:r>
          </w:p>
        </w:tc>
        <w:tc>
          <w:tcPr>
            <w:tcW w:w="2169" w:type="dxa"/>
          </w:tcPr>
          <w:p w14:paraId="5386997C"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1.44</w:t>
            </w:r>
          </w:p>
        </w:tc>
      </w:tr>
      <w:tr w:rsidR="00433719" w:rsidRPr="00CD384C" w14:paraId="220BDB03" w14:textId="77777777" w:rsidTr="00433719">
        <w:tc>
          <w:tcPr>
            <w:tcW w:w="9350" w:type="dxa"/>
            <w:gridSpan w:val="5"/>
          </w:tcPr>
          <w:p w14:paraId="39F5B41F"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Interpretation: landslides concentrate above 600m.</w:t>
            </w:r>
          </w:p>
        </w:tc>
      </w:tr>
    </w:tbl>
    <w:p w14:paraId="3BDDBC16" w14:textId="77777777" w:rsidR="00034056" w:rsidRPr="00CD384C" w:rsidRDefault="00034056" w:rsidP="002F59EF">
      <w:pPr>
        <w:jc w:val="both"/>
        <w:rPr>
          <w:rFonts w:ascii="Times New Roman" w:hAnsi="Times New Roman" w:cs="Times New Roman"/>
          <w:sz w:val="20"/>
          <w:szCs w:val="20"/>
        </w:rPr>
      </w:pPr>
    </w:p>
    <w:p w14:paraId="44856219" w14:textId="77777777" w:rsidR="00812DA2" w:rsidRPr="00CD384C" w:rsidRDefault="00E20036" w:rsidP="002F59EF">
      <w:pPr>
        <w:jc w:val="both"/>
        <w:rPr>
          <w:rFonts w:ascii="Times New Roman" w:hAnsi="Times New Roman" w:cs="Times New Roman"/>
          <w:sz w:val="20"/>
          <w:szCs w:val="20"/>
        </w:rPr>
      </w:pPr>
      <w:r w:rsidRPr="00CD384C">
        <w:rPr>
          <w:rFonts w:ascii="Times New Roman" w:hAnsi="Times New Roman" w:cs="Times New Roman"/>
          <w:sz w:val="20"/>
          <w:szCs w:val="20"/>
        </w:rPr>
        <w:t>Table 10</w:t>
      </w:r>
      <w:r w:rsidR="00812DA2" w:rsidRPr="00CD384C">
        <w:rPr>
          <w:rFonts w:ascii="Times New Roman" w:hAnsi="Times New Roman" w:cs="Times New Roman"/>
          <w:sz w:val="20"/>
          <w:szCs w:val="20"/>
        </w:rPr>
        <w:t>: Slope</w:t>
      </w:r>
    </w:p>
    <w:tbl>
      <w:tblPr>
        <w:tblStyle w:val="TableGrid"/>
        <w:tblW w:w="0" w:type="auto"/>
        <w:tblLook w:val="04A0" w:firstRow="1" w:lastRow="0" w:firstColumn="1" w:lastColumn="0" w:noHBand="0" w:noVBand="1"/>
      </w:tblPr>
      <w:tblGrid>
        <w:gridCol w:w="957"/>
        <w:gridCol w:w="1652"/>
        <w:gridCol w:w="2766"/>
        <w:gridCol w:w="2270"/>
        <w:gridCol w:w="1371"/>
      </w:tblGrid>
      <w:tr w:rsidR="00433719" w:rsidRPr="00CD384C" w14:paraId="31FB959D" w14:textId="77777777" w:rsidTr="00433719">
        <w:tc>
          <w:tcPr>
            <w:tcW w:w="988" w:type="dxa"/>
          </w:tcPr>
          <w:p w14:paraId="4C112535"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Sl. No.</w:t>
            </w:r>
          </w:p>
        </w:tc>
        <w:tc>
          <w:tcPr>
            <w:tcW w:w="1719" w:type="dxa"/>
          </w:tcPr>
          <w:p w14:paraId="48CD5113"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Slope (°)</w:t>
            </w:r>
          </w:p>
        </w:tc>
        <w:tc>
          <w:tcPr>
            <w:tcW w:w="2866" w:type="dxa"/>
          </w:tcPr>
          <w:p w14:paraId="07AC122F" w14:textId="77777777" w:rsidR="00433719" w:rsidRPr="00CD384C" w:rsidRDefault="00433719" w:rsidP="002F59EF">
            <w:pPr>
              <w:ind w:left="472"/>
              <w:jc w:val="both"/>
              <w:rPr>
                <w:rFonts w:ascii="Times New Roman" w:hAnsi="Times New Roman" w:cs="Times New Roman"/>
                <w:sz w:val="20"/>
                <w:szCs w:val="20"/>
              </w:rPr>
            </w:pPr>
            <w:r w:rsidRPr="00CD384C">
              <w:rPr>
                <w:rFonts w:ascii="Times New Roman" w:hAnsi="Times New Roman" w:cs="Times New Roman"/>
                <w:sz w:val="20"/>
                <w:szCs w:val="20"/>
              </w:rPr>
              <w:t>Area (%)</w:t>
            </w:r>
            <w:r w:rsidRPr="00CD384C">
              <w:rPr>
                <w:rFonts w:ascii="Times New Roman" w:hAnsi="Times New Roman" w:cs="Times New Roman"/>
                <w:sz w:val="20"/>
                <w:szCs w:val="20"/>
              </w:rPr>
              <w:tab/>
            </w:r>
          </w:p>
        </w:tc>
        <w:tc>
          <w:tcPr>
            <w:tcW w:w="2351" w:type="dxa"/>
          </w:tcPr>
          <w:p w14:paraId="6F42451A"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Landslides (%)</w:t>
            </w:r>
          </w:p>
        </w:tc>
        <w:tc>
          <w:tcPr>
            <w:tcW w:w="1426" w:type="dxa"/>
          </w:tcPr>
          <w:p w14:paraId="5C61E0D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FR</w:t>
            </w:r>
          </w:p>
        </w:tc>
      </w:tr>
      <w:tr w:rsidR="00433719" w:rsidRPr="00CD384C" w14:paraId="3F451266" w14:textId="77777777" w:rsidTr="00433719">
        <w:tc>
          <w:tcPr>
            <w:tcW w:w="988" w:type="dxa"/>
          </w:tcPr>
          <w:p w14:paraId="1BA7650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w:t>
            </w:r>
          </w:p>
        </w:tc>
        <w:tc>
          <w:tcPr>
            <w:tcW w:w="1719" w:type="dxa"/>
          </w:tcPr>
          <w:p w14:paraId="7FDB91D5"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0–15</w:t>
            </w:r>
          </w:p>
        </w:tc>
        <w:tc>
          <w:tcPr>
            <w:tcW w:w="2866" w:type="dxa"/>
          </w:tcPr>
          <w:p w14:paraId="2576A5D8" w14:textId="77777777" w:rsidR="00433719" w:rsidRPr="00CD384C" w:rsidRDefault="00433719" w:rsidP="002F59EF">
            <w:pPr>
              <w:ind w:left="532"/>
              <w:jc w:val="both"/>
              <w:rPr>
                <w:rFonts w:ascii="Times New Roman" w:hAnsi="Times New Roman" w:cs="Times New Roman"/>
                <w:sz w:val="20"/>
                <w:szCs w:val="20"/>
              </w:rPr>
            </w:pPr>
            <w:r w:rsidRPr="00CD384C">
              <w:rPr>
                <w:rFonts w:ascii="Times New Roman" w:hAnsi="Times New Roman" w:cs="Times New Roman"/>
                <w:sz w:val="20"/>
                <w:szCs w:val="20"/>
              </w:rPr>
              <w:t>21.4</w:t>
            </w:r>
            <w:r w:rsidRPr="00CD384C">
              <w:rPr>
                <w:rFonts w:ascii="Times New Roman" w:hAnsi="Times New Roman" w:cs="Times New Roman"/>
                <w:sz w:val="20"/>
                <w:szCs w:val="20"/>
              </w:rPr>
              <w:tab/>
              <w:t xml:space="preserve">                  </w:t>
            </w:r>
          </w:p>
        </w:tc>
        <w:tc>
          <w:tcPr>
            <w:tcW w:w="2351" w:type="dxa"/>
          </w:tcPr>
          <w:p w14:paraId="53C526E9"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8.3</w:t>
            </w:r>
          </w:p>
        </w:tc>
        <w:tc>
          <w:tcPr>
            <w:tcW w:w="1426" w:type="dxa"/>
          </w:tcPr>
          <w:p w14:paraId="4D729182"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0.39</w:t>
            </w:r>
          </w:p>
        </w:tc>
      </w:tr>
      <w:tr w:rsidR="00433719" w:rsidRPr="00CD384C" w14:paraId="59BEAD93" w14:textId="77777777" w:rsidTr="00433719">
        <w:tc>
          <w:tcPr>
            <w:tcW w:w="988" w:type="dxa"/>
          </w:tcPr>
          <w:p w14:paraId="57DFBBA7"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w:t>
            </w:r>
          </w:p>
        </w:tc>
        <w:tc>
          <w:tcPr>
            <w:tcW w:w="1719" w:type="dxa"/>
          </w:tcPr>
          <w:p w14:paraId="3D2EE563"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15–30</w:t>
            </w:r>
          </w:p>
        </w:tc>
        <w:tc>
          <w:tcPr>
            <w:tcW w:w="2866" w:type="dxa"/>
          </w:tcPr>
          <w:p w14:paraId="4B22DA23" w14:textId="77777777" w:rsidR="00433719" w:rsidRPr="00CD384C" w:rsidRDefault="00433719" w:rsidP="002F59EF">
            <w:pPr>
              <w:ind w:left="532"/>
              <w:jc w:val="both"/>
              <w:rPr>
                <w:rFonts w:ascii="Times New Roman" w:hAnsi="Times New Roman" w:cs="Times New Roman"/>
                <w:sz w:val="20"/>
                <w:szCs w:val="20"/>
              </w:rPr>
            </w:pPr>
            <w:r w:rsidRPr="00CD384C">
              <w:rPr>
                <w:rFonts w:ascii="Times New Roman" w:hAnsi="Times New Roman" w:cs="Times New Roman"/>
                <w:sz w:val="20"/>
                <w:szCs w:val="20"/>
              </w:rPr>
              <w:t>32.6</w:t>
            </w:r>
            <w:r w:rsidRPr="00CD384C">
              <w:rPr>
                <w:rFonts w:ascii="Times New Roman" w:hAnsi="Times New Roman" w:cs="Times New Roman"/>
                <w:sz w:val="20"/>
                <w:szCs w:val="20"/>
              </w:rPr>
              <w:tab/>
              <w:t xml:space="preserve">                 </w:t>
            </w:r>
          </w:p>
        </w:tc>
        <w:tc>
          <w:tcPr>
            <w:tcW w:w="2351" w:type="dxa"/>
          </w:tcPr>
          <w:p w14:paraId="13173C05"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30.0</w:t>
            </w:r>
          </w:p>
        </w:tc>
        <w:tc>
          <w:tcPr>
            <w:tcW w:w="1426" w:type="dxa"/>
          </w:tcPr>
          <w:p w14:paraId="7D66545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0.92</w:t>
            </w:r>
          </w:p>
        </w:tc>
      </w:tr>
      <w:tr w:rsidR="00433719" w:rsidRPr="00CD384C" w14:paraId="446A7229" w14:textId="77777777" w:rsidTr="00433719">
        <w:tc>
          <w:tcPr>
            <w:tcW w:w="988" w:type="dxa"/>
          </w:tcPr>
          <w:p w14:paraId="0315D91E"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w:t>
            </w:r>
          </w:p>
        </w:tc>
        <w:tc>
          <w:tcPr>
            <w:tcW w:w="1719" w:type="dxa"/>
          </w:tcPr>
          <w:p w14:paraId="7836F8E9"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30–45</w:t>
            </w:r>
          </w:p>
        </w:tc>
        <w:tc>
          <w:tcPr>
            <w:tcW w:w="2866" w:type="dxa"/>
          </w:tcPr>
          <w:p w14:paraId="6FF7F882" w14:textId="77777777" w:rsidR="00433719" w:rsidRPr="00CD384C" w:rsidRDefault="00433719" w:rsidP="002F59EF">
            <w:pPr>
              <w:ind w:left="532"/>
              <w:jc w:val="both"/>
              <w:rPr>
                <w:rFonts w:ascii="Times New Roman" w:hAnsi="Times New Roman" w:cs="Times New Roman"/>
                <w:sz w:val="20"/>
                <w:szCs w:val="20"/>
              </w:rPr>
            </w:pPr>
            <w:r w:rsidRPr="00CD384C">
              <w:rPr>
                <w:rFonts w:ascii="Times New Roman" w:hAnsi="Times New Roman" w:cs="Times New Roman"/>
                <w:sz w:val="20"/>
                <w:szCs w:val="20"/>
              </w:rPr>
              <w:t>27.8</w:t>
            </w:r>
            <w:r w:rsidRPr="00CD384C">
              <w:rPr>
                <w:rFonts w:ascii="Times New Roman" w:hAnsi="Times New Roman" w:cs="Times New Roman"/>
                <w:sz w:val="20"/>
                <w:szCs w:val="20"/>
              </w:rPr>
              <w:tab/>
              <w:t xml:space="preserve">                  </w:t>
            </w:r>
          </w:p>
        </w:tc>
        <w:tc>
          <w:tcPr>
            <w:tcW w:w="2351" w:type="dxa"/>
          </w:tcPr>
          <w:p w14:paraId="1705795B"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40.0</w:t>
            </w:r>
          </w:p>
        </w:tc>
        <w:tc>
          <w:tcPr>
            <w:tcW w:w="1426" w:type="dxa"/>
          </w:tcPr>
          <w:p w14:paraId="480D61B7"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1.44</w:t>
            </w:r>
          </w:p>
        </w:tc>
      </w:tr>
      <w:tr w:rsidR="00433719" w:rsidRPr="00CD384C" w14:paraId="5CF697E2" w14:textId="77777777" w:rsidTr="00433719">
        <w:tc>
          <w:tcPr>
            <w:tcW w:w="988" w:type="dxa"/>
          </w:tcPr>
          <w:p w14:paraId="42AA7014"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4</w:t>
            </w:r>
          </w:p>
        </w:tc>
        <w:tc>
          <w:tcPr>
            <w:tcW w:w="1719" w:type="dxa"/>
          </w:tcPr>
          <w:p w14:paraId="1F9A794C"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 xml:space="preserve">45 </w:t>
            </w:r>
          </w:p>
        </w:tc>
        <w:tc>
          <w:tcPr>
            <w:tcW w:w="2866" w:type="dxa"/>
          </w:tcPr>
          <w:p w14:paraId="042C1DC6" w14:textId="77777777" w:rsidR="00433719" w:rsidRPr="00CD384C" w:rsidRDefault="00433719" w:rsidP="002F59EF">
            <w:pPr>
              <w:ind w:left="522"/>
              <w:jc w:val="both"/>
              <w:rPr>
                <w:rFonts w:ascii="Times New Roman" w:hAnsi="Times New Roman" w:cs="Times New Roman"/>
                <w:sz w:val="20"/>
                <w:szCs w:val="20"/>
              </w:rPr>
            </w:pPr>
            <w:r w:rsidRPr="00CD384C">
              <w:rPr>
                <w:rFonts w:ascii="Times New Roman" w:hAnsi="Times New Roman" w:cs="Times New Roman"/>
                <w:sz w:val="20"/>
                <w:szCs w:val="20"/>
              </w:rPr>
              <w:t xml:space="preserve">18.2                      </w:t>
            </w:r>
          </w:p>
        </w:tc>
        <w:tc>
          <w:tcPr>
            <w:tcW w:w="2351" w:type="dxa"/>
          </w:tcPr>
          <w:p w14:paraId="2B7EDB25"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21.7</w:t>
            </w:r>
          </w:p>
        </w:tc>
        <w:tc>
          <w:tcPr>
            <w:tcW w:w="1426" w:type="dxa"/>
          </w:tcPr>
          <w:p w14:paraId="3CA9E65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1.19</w:t>
            </w:r>
          </w:p>
        </w:tc>
      </w:tr>
      <w:tr w:rsidR="00433719" w:rsidRPr="00CD384C" w14:paraId="1E3CFB4B" w14:textId="77777777" w:rsidTr="00433719">
        <w:tc>
          <w:tcPr>
            <w:tcW w:w="9350" w:type="dxa"/>
            <w:gridSpan w:val="5"/>
          </w:tcPr>
          <w:p w14:paraId="7B2D91BD"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Slope &gt;30° strongly contributes to landslides.</w:t>
            </w:r>
          </w:p>
        </w:tc>
      </w:tr>
    </w:tbl>
    <w:p w14:paraId="24813AFF" w14:textId="77777777" w:rsidR="008C002F" w:rsidRPr="00CD384C" w:rsidRDefault="008C002F" w:rsidP="002F59EF">
      <w:pPr>
        <w:jc w:val="both"/>
        <w:rPr>
          <w:rFonts w:ascii="Times New Roman" w:hAnsi="Times New Roman" w:cs="Times New Roman"/>
          <w:sz w:val="20"/>
          <w:szCs w:val="20"/>
        </w:rPr>
      </w:pPr>
    </w:p>
    <w:p w14:paraId="0CC11ECF" w14:textId="77777777" w:rsidR="00812DA2" w:rsidRPr="00CD384C" w:rsidRDefault="00E20036" w:rsidP="002F59EF">
      <w:pPr>
        <w:jc w:val="both"/>
        <w:rPr>
          <w:rFonts w:ascii="Times New Roman" w:hAnsi="Times New Roman" w:cs="Times New Roman"/>
          <w:sz w:val="20"/>
          <w:szCs w:val="20"/>
        </w:rPr>
      </w:pPr>
      <w:r w:rsidRPr="00CD384C">
        <w:rPr>
          <w:rFonts w:ascii="Times New Roman" w:hAnsi="Times New Roman" w:cs="Times New Roman"/>
          <w:sz w:val="20"/>
          <w:szCs w:val="20"/>
        </w:rPr>
        <w:t xml:space="preserve"> Table 11</w:t>
      </w:r>
      <w:r w:rsidR="00812DA2" w:rsidRPr="00CD384C">
        <w:rPr>
          <w:rFonts w:ascii="Times New Roman" w:hAnsi="Times New Roman" w:cs="Times New Roman"/>
          <w:sz w:val="20"/>
          <w:szCs w:val="20"/>
        </w:rPr>
        <w:t>: Aspect</w:t>
      </w:r>
    </w:p>
    <w:tbl>
      <w:tblPr>
        <w:tblStyle w:val="TableGrid"/>
        <w:tblW w:w="5000" w:type="pct"/>
        <w:tblLook w:val="04A0" w:firstRow="1" w:lastRow="0" w:firstColumn="1" w:lastColumn="0" w:noHBand="0" w:noVBand="1"/>
      </w:tblPr>
      <w:tblGrid>
        <w:gridCol w:w="1089"/>
        <w:gridCol w:w="2063"/>
        <w:gridCol w:w="1578"/>
        <w:gridCol w:w="1917"/>
        <w:gridCol w:w="2369"/>
      </w:tblGrid>
      <w:tr w:rsidR="00433719" w:rsidRPr="00CD384C" w14:paraId="5765086D" w14:textId="77777777" w:rsidTr="00433719">
        <w:tc>
          <w:tcPr>
            <w:tcW w:w="604" w:type="pct"/>
          </w:tcPr>
          <w:p w14:paraId="67C79A54"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Sl. No.</w:t>
            </w:r>
          </w:p>
        </w:tc>
        <w:tc>
          <w:tcPr>
            <w:tcW w:w="1144" w:type="pct"/>
          </w:tcPr>
          <w:p w14:paraId="6F786C05"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Aspect</w:t>
            </w:r>
          </w:p>
        </w:tc>
        <w:tc>
          <w:tcPr>
            <w:tcW w:w="875" w:type="pct"/>
          </w:tcPr>
          <w:p w14:paraId="79D4DE0B" w14:textId="77777777" w:rsidR="00433719" w:rsidRPr="00CD384C" w:rsidRDefault="00433719" w:rsidP="002F59EF">
            <w:pPr>
              <w:ind w:left="152"/>
              <w:jc w:val="both"/>
              <w:rPr>
                <w:rFonts w:ascii="Times New Roman" w:hAnsi="Times New Roman" w:cs="Times New Roman"/>
                <w:sz w:val="20"/>
                <w:szCs w:val="20"/>
              </w:rPr>
            </w:pPr>
            <w:r w:rsidRPr="00CD384C">
              <w:rPr>
                <w:rFonts w:ascii="Times New Roman" w:hAnsi="Times New Roman" w:cs="Times New Roman"/>
                <w:sz w:val="20"/>
                <w:szCs w:val="20"/>
              </w:rPr>
              <w:t>Area (%)</w:t>
            </w:r>
          </w:p>
        </w:tc>
        <w:tc>
          <w:tcPr>
            <w:tcW w:w="1063" w:type="pct"/>
          </w:tcPr>
          <w:p w14:paraId="7657514A" w14:textId="77777777" w:rsidR="00433719" w:rsidRPr="00CD384C" w:rsidRDefault="00433719" w:rsidP="002F59EF">
            <w:pPr>
              <w:ind w:left="114"/>
              <w:jc w:val="both"/>
              <w:rPr>
                <w:rFonts w:ascii="Times New Roman" w:hAnsi="Times New Roman" w:cs="Times New Roman"/>
                <w:sz w:val="20"/>
                <w:szCs w:val="20"/>
              </w:rPr>
            </w:pPr>
            <w:r w:rsidRPr="00CD384C">
              <w:rPr>
                <w:rFonts w:ascii="Times New Roman" w:hAnsi="Times New Roman" w:cs="Times New Roman"/>
                <w:sz w:val="20"/>
                <w:szCs w:val="20"/>
              </w:rPr>
              <w:t>Landslides (%)</w:t>
            </w:r>
          </w:p>
        </w:tc>
        <w:tc>
          <w:tcPr>
            <w:tcW w:w="1314" w:type="pct"/>
          </w:tcPr>
          <w:p w14:paraId="0ED6897C"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FR</w:t>
            </w:r>
          </w:p>
        </w:tc>
      </w:tr>
      <w:tr w:rsidR="00433719" w:rsidRPr="00CD384C" w14:paraId="6CC92FD3" w14:textId="77777777" w:rsidTr="00433719">
        <w:tc>
          <w:tcPr>
            <w:tcW w:w="604" w:type="pct"/>
          </w:tcPr>
          <w:p w14:paraId="5A012825"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w:t>
            </w:r>
          </w:p>
        </w:tc>
        <w:tc>
          <w:tcPr>
            <w:tcW w:w="1144" w:type="pct"/>
          </w:tcPr>
          <w:p w14:paraId="796DF884"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North</w:t>
            </w:r>
          </w:p>
        </w:tc>
        <w:tc>
          <w:tcPr>
            <w:tcW w:w="875" w:type="pct"/>
          </w:tcPr>
          <w:p w14:paraId="0AE3E16F" w14:textId="77777777" w:rsidR="00433719" w:rsidRPr="00CD384C" w:rsidRDefault="00433719" w:rsidP="002F59EF">
            <w:pPr>
              <w:ind w:left="272"/>
              <w:jc w:val="both"/>
              <w:rPr>
                <w:rFonts w:ascii="Times New Roman" w:hAnsi="Times New Roman" w:cs="Times New Roman"/>
                <w:sz w:val="20"/>
                <w:szCs w:val="20"/>
              </w:rPr>
            </w:pPr>
            <w:r w:rsidRPr="00CD384C">
              <w:rPr>
                <w:rFonts w:ascii="Times New Roman" w:hAnsi="Times New Roman" w:cs="Times New Roman"/>
                <w:sz w:val="20"/>
                <w:szCs w:val="20"/>
              </w:rPr>
              <w:t>13.2</w:t>
            </w:r>
          </w:p>
        </w:tc>
        <w:tc>
          <w:tcPr>
            <w:tcW w:w="1063" w:type="pct"/>
          </w:tcPr>
          <w:p w14:paraId="634C0E01" w14:textId="77777777" w:rsidR="00433719" w:rsidRPr="00CD384C" w:rsidRDefault="00433719" w:rsidP="002F59EF">
            <w:pPr>
              <w:ind w:left="414"/>
              <w:jc w:val="both"/>
              <w:rPr>
                <w:rFonts w:ascii="Times New Roman" w:hAnsi="Times New Roman" w:cs="Times New Roman"/>
                <w:sz w:val="20"/>
                <w:szCs w:val="20"/>
              </w:rPr>
            </w:pPr>
            <w:r w:rsidRPr="00CD384C">
              <w:rPr>
                <w:rFonts w:ascii="Times New Roman" w:hAnsi="Times New Roman" w:cs="Times New Roman"/>
                <w:sz w:val="20"/>
                <w:szCs w:val="20"/>
              </w:rPr>
              <w:t>10.0</w:t>
            </w:r>
          </w:p>
        </w:tc>
        <w:tc>
          <w:tcPr>
            <w:tcW w:w="1314" w:type="pct"/>
          </w:tcPr>
          <w:p w14:paraId="77C21C6B"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0.76</w:t>
            </w:r>
          </w:p>
        </w:tc>
      </w:tr>
      <w:tr w:rsidR="00433719" w:rsidRPr="00CD384C" w14:paraId="281E86D8" w14:textId="77777777" w:rsidTr="00433719">
        <w:tc>
          <w:tcPr>
            <w:tcW w:w="604" w:type="pct"/>
          </w:tcPr>
          <w:p w14:paraId="7D3CB4B3"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w:t>
            </w:r>
          </w:p>
        </w:tc>
        <w:tc>
          <w:tcPr>
            <w:tcW w:w="1144" w:type="pct"/>
          </w:tcPr>
          <w:p w14:paraId="1CED2B65"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East</w:t>
            </w:r>
          </w:p>
        </w:tc>
        <w:tc>
          <w:tcPr>
            <w:tcW w:w="875" w:type="pct"/>
          </w:tcPr>
          <w:p w14:paraId="51A6789D" w14:textId="77777777" w:rsidR="00433719" w:rsidRPr="00CD384C" w:rsidRDefault="00433719" w:rsidP="002F59EF">
            <w:pPr>
              <w:ind w:left="272"/>
              <w:jc w:val="both"/>
              <w:rPr>
                <w:rFonts w:ascii="Times New Roman" w:hAnsi="Times New Roman" w:cs="Times New Roman"/>
                <w:sz w:val="20"/>
                <w:szCs w:val="20"/>
              </w:rPr>
            </w:pPr>
            <w:r w:rsidRPr="00CD384C">
              <w:rPr>
                <w:rFonts w:ascii="Times New Roman" w:hAnsi="Times New Roman" w:cs="Times New Roman"/>
                <w:sz w:val="20"/>
                <w:szCs w:val="20"/>
              </w:rPr>
              <w:t>15.9</w:t>
            </w:r>
          </w:p>
        </w:tc>
        <w:tc>
          <w:tcPr>
            <w:tcW w:w="1063" w:type="pct"/>
          </w:tcPr>
          <w:p w14:paraId="7A6DFE57" w14:textId="77777777" w:rsidR="00433719" w:rsidRPr="00CD384C" w:rsidRDefault="00433719" w:rsidP="002F59EF">
            <w:pPr>
              <w:ind w:left="414"/>
              <w:jc w:val="both"/>
              <w:rPr>
                <w:rFonts w:ascii="Times New Roman" w:hAnsi="Times New Roman" w:cs="Times New Roman"/>
                <w:sz w:val="20"/>
                <w:szCs w:val="20"/>
              </w:rPr>
            </w:pPr>
            <w:r w:rsidRPr="00CD384C">
              <w:rPr>
                <w:rFonts w:ascii="Times New Roman" w:hAnsi="Times New Roman" w:cs="Times New Roman"/>
                <w:sz w:val="20"/>
                <w:szCs w:val="20"/>
              </w:rPr>
              <w:t>19.2</w:t>
            </w:r>
          </w:p>
        </w:tc>
        <w:tc>
          <w:tcPr>
            <w:tcW w:w="1314" w:type="pct"/>
          </w:tcPr>
          <w:p w14:paraId="68C3519B"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1.21</w:t>
            </w:r>
          </w:p>
        </w:tc>
      </w:tr>
      <w:tr w:rsidR="00433719" w:rsidRPr="00CD384C" w14:paraId="4AA390B2" w14:textId="77777777" w:rsidTr="00433719">
        <w:tc>
          <w:tcPr>
            <w:tcW w:w="604" w:type="pct"/>
          </w:tcPr>
          <w:p w14:paraId="3627D6A6"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w:t>
            </w:r>
          </w:p>
        </w:tc>
        <w:tc>
          <w:tcPr>
            <w:tcW w:w="1144" w:type="pct"/>
          </w:tcPr>
          <w:p w14:paraId="31627167"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South</w:t>
            </w:r>
          </w:p>
        </w:tc>
        <w:tc>
          <w:tcPr>
            <w:tcW w:w="875" w:type="pct"/>
          </w:tcPr>
          <w:p w14:paraId="28A540C1" w14:textId="77777777" w:rsidR="00433719" w:rsidRPr="00CD384C" w:rsidRDefault="00433719" w:rsidP="002F59EF">
            <w:pPr>
              <w:ind w:left="272"/>
              <w:jc w:val="both"/>
              <w:rPr>
                <w:rFonts w:ascii="Times New Roman" w:hAnsi="Times New Roman" w:cs="Times New Roman"/>
                <w:sz w:val="20"/>
                <w:szCs w:val="20"/>
              </w:rPr>
            </w:pPr>
            <w:r w:rsidRPr="00CD384C">
              <w:rPr>
                <w:rFonts w:ascii="Times New Roman" w:hAnsi="Times New Roman" w:cs="Times New Roman"/>
                <w:sz w:val="20"/>
                <w:szCs w:val="20"/>
              </w:rPr>
              <w:t>18.0</w:t>
            </w:r>
          </w:p>
        </w:tc>
        <w:tc>
          <w:tcPr>
            <w:tcW w:w="1063" w:type="pct"/>
          </w:tcPr>
          <w:p w14:paraId="66B1F8C3" w14:textId="77777777" w:rsidR="00433719" w:rsidRPr="00CD384C" w:rsidRDefault="00433719" w:rsidP="002F59EF">
            <w:pPr>
              <w:ind w:left="414"/>
              <w:jc w:val="both"/>
              <w:rPr>
                <w:rFonts w:ascii="Times New Roman" w:hAnsi="Times New Roman" w:cs="Times New Roman"/>
                <w:sz w:val="20"/>
                <w:szCs w:val="20"/>
              </w:rPr>
            </w:pPr>
            <w:r w:rsidRPr="00CD384C">
              <w:rPr>
                <w:rFonts w:ascii="Times New Roman" w:hAnsi="Times New Roman" w:cs="Times New Roman"/>
                <w:sz w:val="20"/>
                <w:szCs w:val="20"/>
              </w:rPr>
              <w:t>22.5</w:t>
            </w:r>
          </w:p>
        </w:tc>
        <w:tc>
          <w:tcPr>
            <w:tcW w:w="1314" w:type="pct"/>
          </w:tcPr>
          <w:p w14:paraId="54A14A13"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1.25</w:t>
            </w:r>
          </w:p>
        </w:tc>
      </w:tr>
      <w:tr w:rsidR="00433719" w:rsidRPr="00CD384C" w14:paraId="1A48B6AA" w14:textId="77777777" w:rsidTr="00433719">
        <w:tc>
          <w:tcPr>
            <w:tcW w:w="604" w:type="pct"/>
          </w:tcPr>
          <w:p w14:paraId="7FF2D5AD"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4</w:t>
            </w:r>
          </w:p>
        </w:tc>
        <w:tc>
          <w:tcPr>
            <w:tcW w:w="1144" w:type="pct"/>
          </w:tcPr>
          <w:p w14:paraId="21FC45F6"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West</w:t>
            </w:r>
          </w:p>
        </w:tc>
        <w:tc>
          <w:tcPr>
            <w:tcW w:w="875" w:type="pct"/>
          </w:tcPr>
          <w:p w14:paraId="6614A86F" w14:textId="77777777" w:rsidR="00433719" w:rsidRPr="00CD384C" w:rsidRDefault="00433719" w:rsidP="002F59EF">
            <w:pPr>
              <w:ind w:left="272"/>
              <w:jc w:val="both"/>
              <w:rPr>
                <w:rFonts w:ascii="Times New Roman" w:hAnsi="Times New Roman" w:cs="Times New Roman"/>
                <w:sz w:val="20"/>
                <w:szCs w:val="20"/>
              </w:rPr>
            </w:pPr>
            <w:r w:rsidRPr="00CD384C">
              <w:rPr>
                <w:rFonts w:ascii="Times New Roman" w:hAnsi="Times New Roman" w:cs="Times New Roman"/>
                <w:sz w:val="20"/>
                <w:szCs w:val="20"/>
              </w:rPr>
              <w:t>14.8</w:t>
            </w:r>
          </w:p>
        </w:tc>
        <w:tc>
          <w:tcPr>
            <w:tcW w:w="1063" w:type="pct"/>
          </w:tcPr>
          <w:p w14:paraId="418EA1C3" w14:textId="77777777" w:rsidR="00433719" w:rsidRPr="00CD384C" w:rsidRDefault="00433719" w:rsidP="002F59EF">
            <w:pPr>
              <w:ind w:left="414"/>
              <w:jc w:val="both"/>
              <w:rPr>
                <w:rFonts w:ascii="Times New Roman" w:hAnsi="Times New Roman" w:cs="Times New Roman"/>
                <w:sz w:val="20"/>
                <w:szCs w:val="20"/>
              </w:rPr>
            </w:pPr>
            <w:r w:rsidRPr="00CD384C">
              <w:rPr>
                <w:rFonts w:ascii="Times New Roman" w:hAnsi="Times New Roman" w:cs="Times New Roman"/>
                <w:sz w:val="20"/>
                <w:szCs w:val="20"/>
              </w:rPr>
              <w:t>11.7</w:t>
            </w:r>
          </w:p>
        </w:tc>
        <w:tc>
          <w:tcPr>
            <w:tcW w:w="1314" w:type="pct"/>
          </w:tcPr>
          <w:p w14:paraId="17E07DD9"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0.79</w:t>
            </w:r>
          </w:p>
        </w:tc>
      </w:tr>
      <w:tr w:rsidR="00433719" w:rsidRPr="00CD384C" w14:paraId="0EBE4522" w14:textId="77777777" w:rsidTr="00433719">
        <w:tc>
          <w:tcPr>
            <w:tcW w:w="604" w:type="pct"/>
          </w:tcPr>
          <w:p w14:paraId="72946083"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5</w:t>
            </w:r>
          </w:p>
        </w:tc>
        <w:tc>
          <w:tcPr>
            <w:tcW w:w="1144" w:type="pct"/>
          </w:tcPr>
          <w:p w14:paraId="414769BE"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Flat</w:t>
            </w:r>
          </w:p>
        </w:tc>
        <w:tc>
          <w:tcPr>
            <w:tcW w:w="875" w:type="pct"/>
          </w:tcPr>
          <w:p w14:paraId="6BB06414" w14:textId="77777777" w:rsidR="00433719" w:rsidRPr="00CD384C" w:rsidRDefault="00433719" w:rsidP="002F59EF">
            <w:pPr>
              <w:ind w:left="272"/>
              <w:jc w:val="both"/>
              <w:rPr>
                <w:rFonts w:ascii="Times New Roman" w:hAnsi="Times New Roman" w:cs="Times New Roman"/>
                <w:sz w:val="20"/>
                <w:szCs w:val="20"/>
              </w:rPr>
            </w:pPr>
            <w:r w:rsidRPr="00CD384C">
              <w:rPr>
                <w:rFonts w:ascii="Times New Roman" w:hAnsi="Times New Roman" w:cs="Times New Roman"/>
                <w:sz w:val="20"/>
                <w:szCs w:val="20"/>
              </w:rPr>
              <w:t>38.1</w:t>
            </w:r>
          </w:p>
        </w:tc>
        <w:tc>
          <w:tcPr>
            <w:tcW w:w="1063" w:type="pct"/>
          </w:tcPr>
          <w:p w14:paraId="68FC4D19" w14:textId="77777777" w:rsidR="00433719" w:rsidRPr="00CD384C" w:rsidRDefault="00433719" w:rsidP="002F59EF">
            <w:pPr>
              <w:ind w:left="414"/>
              <w:jc w:val="both"/>
              <w:rPr>
                <w:rFonts w:ascii="Times New Roman" w:hAnsi="Times New Roman" w:cs="Times New Roman"/>
                <w:sz w:val="20"/>
                <w:szCs w:val="20"/>
              </w:rPr>
            </w:pPr>
            <w:r w:rsidRPr="00CD384C">
              <w:rPr>
                <w:rFonts w:ascii="Times New Roman" w:hAnsi="Times New Roman" w:cs="Times New Roman"/>
                <w:sz w:val="20"/>
                <w:szCs w:val="20"/>
              </w:rPr>
              <w:t>36.6</w:t>
            </w:r>
          </w:p>
        </w:tc>
        <w:tc>
          <w:tcPr>
            <w:tcW w:w="1314" w:type="pct"/>
          </w:tcPr>
          <w:p w14:paraId="32269F69"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0.96</w:t>
            </w:r>
          </w:p>
        </w:tc>
      </w:tr>
      <w:tr w:rsidR="00433719" w:rsidRPr="00CD384C" w14:paraId="1A1AD9B6" w14:textId="77777777" w:rsidTr="00433719">
        <w:trPr>
          <w:trHeight w:val="302"/>
        </w:trPr>
        <w:tc>
          <w:tcPr>
            <w:tcW w:w="5000" w:type="pct"/>
            <w:gridSpan w:val="5"/>
          </w:tcPr>
          <w:p w14:paraId="346ECF7E"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South &amp; East-facing slopes show higher susceptibility.</w:t>
            </w:r>
          </w:p>
        </w:tc>
      </w:tr>
    </w:tbl>
    <w:p w14:paraId="131ED2CB" w14:textId="77777777" w:rsidR="00AD08F7" w:rsidRPr="00CD384C" w:rsidRDefault="00AD08F7" w:rsidP="002F59EF">
      <w:pPr>
        <w:jc w:val="both"/>
        <w:rPr>
          <w:rFonts w:ascii="Times New Roman" w:hAnsi="Times New Roman" w:cs="Times New Roman"/>
          <w:sz w:val="20"/>
          <w:szCs w:val="20"/>
        </w:rPr>
      </w:pPr>
    </w:p>
    <w:p w14:paraId="208967A7" w14:textId="77777777" w:rsidR="00812DA2" w:rsidRPr="00CD384C" w:rsidRDefault="00E20036" w:rsidP="002F59EF">
      <w:pPr>
        <w:jc w:val="both"/>
        <w:rPr>
          <w:rFonts w:ascii="Times New Roman" w:hAnsi="Times New Roman" w:cs="Times New Roman"/>
          <w:sz w:val="20"/>
          <w:szCs w:val="20"/>
        </w:rPr>
      </w:pPr>
      <w:r w:rsidRPr="00CD384C">
        <w:rPr>
          <w:rFonts w:ascii="Times New Roman" w:hAnsi="Times New Roman" w:cs="Times New Roman"/>
          <w:sz w:val="20"/>
          <w:szCs w:val="20"/>
        </w:rPr>
        <w:t>Table 12</w:t>
      </w:r>
      <w:r w:rsidR="00E47B64" w:rsidRPr="00CD384C">
        <w:rPr>
          <w:rFonts w:ascii="Times New Roman" w:hAnsi="Times New Roman" w:cs="Times New Roman"/>
          <w:sz w:val="20"/>
          <w:szCs w:val="20"/>
        </w:rPr>
        <w:t>: Drainage Density</w:t>
      </w:r>
    </w:p>
    <w:tbl>
      <w:tblPr>
        <w:tblStyle w:val="TableGrid"/>
        <w:tblW w:w="0" w:type="auto"/>
        <w:tblLook w:val="04A0" w:firstRow="1" w:lastRow="0" w:firstColumn="1" w:lastColumn="0" w:noHBand="0" w:noVBand="1"/>
      </w:tblPr>
      <w:tblGrid>
        <w:gridCol w:w="1093"/>
        <w:gridCol w:w="2811"/>
        <w:gridCol w:w="1586"/>
        <w:gridCol w:w="2052"/>
        <w:gridCol w:w="1474"/>
      </w:tblGrid>
      <w:tr w:rsidR="00433719" w:rsidRPr="00CD384C" w14:paraId="7CAB9B4E" w14:textId="77777777" w:rsidTr="00433719">
        <w:tc>
          <w:tcPr>
            <w:tcW w:w="1129" w:type="dxa"/>
          </w:tcPr>
          <w:p w14:paraId="525A241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Sl. No.</w:t>
            </w:r>
          </w:p>
        </w:tc>
        <w:tc>
          <w:tcPr>
            <w:tcW w:w="2930" w:type="dxa"/>
          </w:tcPr>
          <w:p w14:paraId="67278FEC"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Distance from Stream</w:t>
            </w:r>
          </w:p>
        </w:tc>
        <w:tc>
          <w:tcPr>
            <w:tcW w:w="1647" w:type="dxa"/>
          </w:tcPr>
          <w:p w14:paraId="73C93D74"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Area (%)</w:t>
            </w:r>
          </w:p>
        </w:tc>
        <w:tc>
          <w:tcPr>
            <w:tcW w:w="2113" w:type="dxa"/>
          </w:tcPr>
          <w:p w14:paraId="0A477A7D"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Landslides (%)</w:t>
            </w:r>
          </w:p>
        </w:tc>
        <w:tc>
          <w:tcPr>
            <w:tcW w:w="1531" w:type="dxa"/>
          </w:tcPr>
          <w:p w14:paraId="7332BDE3"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FR</w:t>
            </w:r>
          </w:p>
        </w:tc>
      </w:tr>
      <w:tr w:rsidR="00433719" w:rsidRPr="00CD384C" w14:paraId="201A6549" w14:textId="77777777" w:rsidTr="00433719">
        <w:tc>
          <w:tcPr>
            <w:tcW w:w="1129" w:type="dxa"/>
          </w:tcPr>
          <w:p w14:paraId="5E720AA0"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w:t>
            </w:r>
          </w:p>
        </w:tc>
        <w:tc>
          <w:tcPr>
            <w:tcW w:w="2930" w:type="dxa"/>
          </w:tcPr>
          <w:p w14:paraId="580E8FBD"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0–100m</w:t>
            </w:r>
          </w:p>
        </w:tc>
        <w:tc>
          <w:tcPr>
            <w:tcW w:w="1647" w:type="dxa"/>
          </w:tcPr>
          <w:p w14:paraId="41AD29EA"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13.5</w:t>
            </w:r>
          </w:p>
        </w:tc>
        <w:tc>
          <w:tcPr>
            <w:tcW w:w="2113" w:type="dxa"/>
          </w:tcPr>
          <w:p w14:paraId="2B2DD132"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25.0</w:t>
            </w:r>
          </w:p>
        </w:tc>
        <w:tc>
          <w:tcPr>
            <w:tcW w:w="1531" w:type="dxa"/>
          </w:tcPr>
          <w:p w14:paraId="17BF472E"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1.85</w:t>
            </w:r>
          </w:p>
        </w:tc>
      </w:tr>
      <w:tr w:rsidR="00433719" w:rsidRPr="00CD384C" w14:paraId="7D359C20" w14:textId="77777777" w:rsidTr="00433719">
        <w:tc>
          <w:tcPr>
            <w:tcW w:w="1129" w:type="dxa"/>
          </w:tcPr>
          <w:p w14:paraId="2FAC767D"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w:t>
            </w:r>
          </w:p>
        </w:tc>
        <w:tc>
          <w:tcPr>
            <w:tcW w:w="2930" w:type="dxa"/>
          </w:tcPr>
          <w:p w14:paraId="064A7281"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100–300m</w:t>
            </w:r>
          </w:p>
        </w:tc>
        <w:tc>
          <w:tcPr>
            <w:tcW w:w="1647" w:type="dxa"/>
          </w:tcPr>
          <w:p w14:paraId="71177136"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22.8</w:t>
            </w:r>
          </w:p>
        </w:tc>
        <w:tc>
          <w:tcPr>
            <w:tcW w:w="2113" w:type="dxa"/>
          </w:tcPr>
          <w:p w14:paraId="2B5F273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31.7</w:t>
            </w:r>
          </w:p>
        </w:tc>
        <w:tc>
          <w:tcPr>
            <w:tcW w:w="1531" w:type="dxa"/>
          </w:tcPr>
          <w:p w14:paraId="7C7059E5"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1.39</w:t>
            </w:r>
          </w:p>
        </w:tc>
      </w:tr>
      <w:tr w:rsidR="00433719" w:rsidRPr="00CD384C" w14:paraId="250DE022" w14:textId="77777777" w:rsidTr="00433719">
        <w:tc>
          <w:tcPr>
            <w:tcW w:w="1129" w:type="dxa"/>
          </w:tcPr>
          <w:p w14:paraId="0CB3743C"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w:t>
            </w:r>
          </w:p>
        </w:tc>
        <w:tc>
          <w:tcPr>
            <w:tcW w:w="2930" w:type="dxa"/>
          </w:tcPr>
          <w:p w14:paraId="5B7ED7F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300–500m</w:t>
            </w:r>
          </w:p>
        </w:tc>
        <w:tc>
          <w:tcPr>
            <w:tcW w:w="1647" w:type="dxa"/>
          </w:tcPr>
          <w:p w14:paraId="2C302B73"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27.5</w:t>
            </w:r>
          </w:p>
        </w:tc>
        <w:tc>
          <w:tcPr>
            <w:tcW w:w="2113" w:type="dxa"/>
          </w:tcPr>
          <w:p w14:paraId="4EFF92E6"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20.0</w:t>
            </w:r>
          </w:p>
        </w:tc>
        <w:tc>
          <w:tcPr>
            <w:tcW w:w="1531" w:type="dxa"/>
          </w:tcPr>
          <w:p w14:paraId="3DB35D44"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0.73</w:t>
            </w:r>
          </w:p>
        </w:tc>
      </w:tr>
      <w:tr w:rsidR="00433719" w:rsidRPr="00CD384C" w14:paraId="76E2BAC4" w14:textId="77777777" w:rsidTr="00433719">
        <w:tc>
          <w:tcPr>
            <w:tcW w:w="1129" w:type="dxa"/>
          </w:tcPr>
          <w:p w14:paraId="205C3772"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4</w:t>
            </w:r>
          </w:p>
        </w:tc>
        <w:tc>
          <w:tcPr>
            <w:tcW w:w="2930" w:type="dxa"/>
          </w:tcPr>
          <w:p w14:paraId="0CC7C1A5"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500m</w:t>
            </w:r>
          </w:p>
        </w:tc>
        <w:tc>
          <w:tcPr>
            <w:tcW w:w="1647" w:type="dxa"/>
          </w:tcPr>
          <w:p w14:paraId="665C9761"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36.2</w:t>
            </w:r>
          </w:p>
        </w:tc>
        <w:tc>
          <w:tcPr>
            <w:tcW w:w="2113" w:type="dxa"/>
          </w:tcPr>
          <w:p w14:paraId="0928462C"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23.3</w:t>
            </w:r>
          </w:p>
        </w:tc>
        <w:tc>
          <w:tcPr>
            <w:tcW w:w="1531" w:type="dxa"/>
          </w:tcPr>
          <w:p w14:paraId="6918C8F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0.64</w:t>
            </w:r>
          </w:p>
        </w:tc>
      </w:tr>
      <w:tr w:rsidR="00433719" w:rsidRPr="00CD384C" w14:paraId="4383E4E1" w14:textId="77777777" w:rsidTr="00433719">
        <w:tc>
          <w:tcPr>
            <w:tcW w:w="9350" w:type="dxa"/>
            <w:gridSpan w:val="5"/>
          </w:tcPr>
          <w:p w14:paraId="7323E7E3"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Strong influence of proximity to drainage.</w:t>
            </w:r>
          </w:p>
        </w:tc>
      </w:tr>
    </w:tbl>
    <w:p w14:paraId="35F0577E" w14:textId="77777777" w:rsidR="00812DA2" w:rsidRPr="00CD384C" w:rsidRDefault="00812DA2" w:rsidP="002F59EF">
      <w:pPr>
        <w:jc w:val="both"/>
        <w:rPr>
          <w:rFonts w:ascii="Times New Roman" w:hAnsi="Times New Roman" w:cs="Times New Roman"/>
          <w:sz w:val="20"/>
          <w:szCs w:val="20"/>
        </w:rPr>
      </w:pPr>
    </w:p>
    <w:p w14:paraId="605948C0" w14:textId="77777777" w:rsidR="00224A9E" w:rsidRPr="00CD384C" w:rsidRDefault="00E20036" w:rsidP="002F59EF">
      <w:pPr>
        <w:jc w:val="both"/>
        <w:rPr>
          <w:rFonts w:ascii="Times New Roman" w:hAnsi="Times New Roman" w:cs="Times New Roman"/>
          <w:sz w:val="20"/>
          <w:szCs w:val="20"/>
        </w:rPr>
      </w:pPr>
      <w:r w:rsidRPr="00CD384C">
        <w:rPr>
          <w:rFonts w:ascii="Times New Roman" w:hAnsi="Times New Roman" w:cs="Times New Roman"/>
          <w:sz w:val="20"/>
          <w:szCs w:val="20"/>
        </w:rPr>
        <w:t>Table 13</w:t>
      </w:r>
      <w:r w:rsidR="00812DA2" w:rsidRPr="00CD384C">
        <w:rPr>
          <w:rFonts w:ascii="Times New Roman" w:hAnsi="Times New Roman" w:cs="Times New Roman"/>
          <w:sz w:val="20"/>
          <w:szCs w:val="20"/>
        </w:rPr>
        <w:t>: LULC</w:t>
      </w:r>
      <w:r w:rsidR="005E5170" w:rsidRPr="00CD384C">
        <w:rPr>
          <w:rFonts w:ascii="Times New Roman" w:hAnsi="Times New Roman" w:cs="Times New Roman"/>
          <w:sz w:val="20"/>
          <w:szCs w:val="20"/>
        </w:rPr>
        <w:t xml:space="preserve"> (FR)</w:t>
      </w:r>
    </w:p>
    <w:tbl>
      <w:tblPr>
        <w:tblStyle w:val="TableGrid"/>
        <w:tblW w:w="5000" w:type="pct"/>
        <w:tblLook w:val="04A0" w:firstRow="1" w:lastRow="0" w:firstColumn="1" w:lastColumn="0" w:noHBand="0" w:noVBand="1"/>
      </w:tblPr>
      <w:tblGrid>
        <w:gridCol w:w="800"/>
        <w:gridCol w:w="1523"/>
        <w:gridCol w:w="1093"/>
        <w:gridCol w:w="1095"/>
        <w:gridCol w:w="1095"/>
        <w:gridCol w:w="1369"/>
        <w:gridCol w:w="1093"/>
        <w:gridCol w:w="948"/>
      </w:tblGrid>
      <w:tr w:rsidR="005E564C" w:rsidRPr="00CD384C" w14:paraId="42C49AE5" w14:textId="77777777" w:rsidTr="005E564C">
        <w:trPr>
          <w:trHeight w:val="283"/>
        </w:trPr>
        <w:tc>
          <w:tcPr>
            <w:tcW w:w="444" w:type="pct"/>
            <w:vMerge w:val="restart"/>
          </w:tcPr>
          <w:p w14:paraId="5C48CEA2" w14:textId="77777777" w:rsidR="005E564C" w:rsidRPr="00CD384C" w:rsidRDefault="005E564C" w:rsidP="002F59EF">
            <w:pPr>
              <w:jc w:val="both"/>
              <w:rPr>
                <w:rFonts w:ascii="Times New Roman" w:hAnsi="Times New Roman" w:cs="Times New Roman"/>
                <w:sz w:val="20"/>
                <w:szCs w:val="20"/>
                <w:lang w:val="en-US"/>
              </w:rPr>
            </w:pPr>
            <w:proofErr w:type="spellStart"/>
            <w:r w:rsidRPr="00CD384C">
              <w:rPr>
                <w:rFonts w:ascii="Times New Roman" w:hAnsi="Times New Roman" w:cs="Times New Roman"/>
                <w:sz w:val="20"/>
                <w:szCs w:val="20"/>
                <w:lang w:val="en-US"/>
              </w:rPr>
              <w:t>Sl.No</w:t>
            </w:r>
            <w:proofErr w:type="spellEnd"/>
            <w:r w:rsidRPr="00CD384C">
              <w:rPr>
                <w:rFonts w:ascii="Times New Roman" w:hAnsi="Times New Roman" w:cs="Times New Roman"/>
                <w:sz w:val="20"/>
                <w:szCs w:val="20"/>
                <w:lang w:val="en-US"/>
              </w:rPr>
              <w:t>.</w:t>
            </w:r>
          </w:p>
        </w:tc>
        <w:tc>
          <w:tcPr>
            <w:tcW w:w="845" w:type="pct"/>
            <w:vMerge w:val="restart"/>
          </w:tcPr>
          <w:p w14:paraId="702BF15E" w14:textId="77777777" w:rsidR="005E564C" w:rsidRPr="00CD384C" w:rsidRDefault="005E564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Category</w:t>
            </w:r>
          </w:p>
        </w:tc>
        <w:tc>
          <w:tcPr>
            <w:tcW w:w="606" w:type="pct"/>
            <w:vMerge w:val="restart"/>
          </w:tcPr>
          <w:p w14:paraId="60D79F27" w14:textId="77777777" w:rsidR="005E564C" w:rsidRPr="00CD384C" w:rsidRDefault="005E564C" w:rsidP="002F59EF">
            <w:pPr>
              <w:jc w:val="both"/>
              <w:rPr>
                <w:rFonts w:ascii="Times New Roman" w:hAnsi="Times New Roman" w:cs="Times New Roman"/>
                <w:sz w:val="20"/>
                <w:szCs w:val="20"/>
                <w:vertAlign w:val="superscript"/>
                <w:lang w:val="en-US"/>
              </w:rPr>
            </w:pPr>
            <w:r w:rsidRPr="00CD384C">
              <w:rPr>
                <w:rFonts w:ascii="Times New Roman" w:hAnsi="Times New Roman" w:cs="Times New Roman"/>
                <w:sz w:val="20"/>
                <w:szCs w:val="20"/>
                <w:lang w:val="en-US"/>
              </w:rPr>
              <w:t>Area in Km</w:t>
            </w:r>
            <w:r w:rsidRPr="00CD384C">
              <w:rPr>
                <w:rFonts w:ascii="Times New Roman" w:hAnsi="Times New Roman" w:cs="Times New Roman"/>
                <w:sz w:val="20"/>
                <w:szCs w:val="20"/>
                <w:vertAlign w:val="superscript"/>
                <w:lang w:val="en-US"/>
              </w:rPr>
              <w:t>2</w:t>
            </w:r>
          </w:p>
        </w:tc>
        <w:tc>
          <w:tcPr>
            <w:tcW w:w="607" w:type="pct"/>
            <w:vMerge w:val="restart"/>
          </w:tcPr>
          <w:p w14:paraId="4B018CAF" w14:textId="77777777" w:rsidR="005E564C" w:rsidRPr="00CD384C" w:rsidRDefault="005E564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Area in %</w:t>
            </w:r>
          </w:p>
        </w:tc>
        <w:tc>
          <w:tcPr>
            <w:tcW w:w="2498" w:type="pct"/>
            <w:gridSpan w:val="4"/>
          </w:tcPr>
          <w:p w14:paraId="157EF689" w14:textId="77777777" w:rsidR="005E564C" w:rsidRPr="00CD384C" w:rsidRDefault="005E564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Frequency Ratio (FR)</w:t>
            </w:r>
          </w:p>
        </w:tc>
      </w:tr>
      <w:tr w:rsidR="005E564C" w:rsidRPr="00CD384C" w14:paraId="299EB302" w14:textId="77777777" w:rsidTr="005E564C">
        <w:trPr>
          <w:trHeight w:val="273"/>
        </w:trPr>
        <w:tc>
          <w:tcPr>
            <w:tcW w:w="444" w:type="pct"/>
            <w:vMerge/>
          </w:tcPr>
          <w:p w14:paraId="0B7714B8" w14:textId="77777777" w:rsidR="005E564C" w:rsidRPr="00CD384C" w:rsidRDefault="005E564C" w:rsidP="002F59EF">
            <w:pPr>
              <w:jc w:val="both"/>
              <w:rPr>
                <w:rFonts w:ascii="Times New Roman" w:hAnsi="Times New Roman" w:cs="Times New Roman"/>
                <w:sz w:val="20"/>
                <w:szCs w:val="20"/>
                <w:lang w:val="en-US"/>
              </w:rPr>
            </w:pPr>
          </w:p>
        </w:tc>
        <w:tc>
          <w:tcPr>
            <w:tcW w:w="845" w:type="pct"/>
            <w:vMerge/>
          </w:tcPr>
          <w:p w14:paraId="72627BEE" w14:textId="77777777" w:rsidR="005E564C" w:rsidRPr="00CD384C" w:rsidRDefault="005E564C" w:rsidP="002F59EF">
            <w:pPr>
              <w:jc w:val="both"/>
              <w:rPr>
                <w:rFonts w:ascii="Times New Roman" w:hAnsi="Times New Roman" w:cs="Times New Roman"/>
                <w:sz w:val="20"/>
                <w:szCs w:val="20"/>
                <w:lang w:val="en-US"/>
              </w:rPr>
            </w:pPr>
          </w:p>
        </w:tc>
        <w:tc>
          <w:tcPr>
            <w:tcW w:w="606" w:type="pct"/>
            <w:vMerge/>
          </w:tcPr>
          <w:p w14:paraId="4739564B" w14:textId="77777777" w:rsidR="005E564C" w:rsidRPr="00CD384C" w:rsidRDefault="005E564C" w:rsidP="002F59EF">
            <w:pPr>
              <w:jc w:val="both"/>
              <w:rPr>
                <w:rFonts w:ascii="Times New Roman" w:hAnsi="Times New Roman" w:cs="Times New Roman"/>
                <w:sz w:val="20"/>
                <w:szCs w:val="20"/>
                <w:lang w:val="en-US"/>
              </w:rPr>
            </w:pPr>
          </w:p>
        </w:tc>
        <w:tc>
          <w:tcPr>
            <w:tcW w:w="607" w:type="pct"/>
            <w:vMerge/>
          </w:tcPr>
          <w:p w14:paraId="7DB04665" w14:textId="77777777" w:rsidR="005E564C" w:rsidRPr="00CD384C" w:rsidRDefault="005E564C" w:rsidP="002F59EF">
            <w:pPr>
              <w:jc w:val="both"/>
              <w:rPr>
                <w:rFonts w:ascii="Times New Roman" w:hAnsi="Times New Roman" w:cs="Times New Roman"/>
                <w:sz w:val="20"/>
                <w:szCs w:val="20"/>
                <w:lang w:val="en-US"/>
              </w:rPr>
            </w:pPr>
          </w:p>
        </w:tc>
        <w:tc>
          <w:tcPr>
            <w:tcW w:w="607" w:type="pct"/>
          </w:tcPr>
          <w:p w14:paraId="6E899802" w14:textId="77777777" w:rsidR="005E564C" w:rsidRPr="00CD384C" w:rsidRDefault="005E564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Low </w:t>
            </w:r>
          </w:p>
        </w:tc>
        <w:tc>
          <w:tcPr>
            <w:tcW w:w="759" w:type="pct"/>
          </w:tcPr>
          <w:p w14:paraId="2F9986BA" w14:textId="77777777" w:rsidR="005E564C" w:rsidRPr="00CD384C" w:rsidRDefault="005E564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Medium </w:t>
            </w:r>
          </w:p>
        </w:tc>
        <w:tc>
          <w:tcPr>
            <w:tcW w:w="606" w:type="pct"/>
          </w:tcPr>
          <w:p w14:paraId="2FD26D1B" w14:textId="77777777" w:rsidR="005E564C" w:rsidRPr="00CD384C" w:rsidRDefault="005E564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High </w:t>
            </w:r>
          </w:p>
        </w:tc>
        <w:tc>
          <w:tcPr>
            <w:tcW w:w="526" w:type="pct"/>
          </w:tcPr>
          <w:p w14:paraId="36B06EFD" w14:textId="77777777" w:rsidR="005E564C" w:rsidRPr="00CD384C" w:rsidRDefault="005E564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Total </w:t>
            </w:r>
          </w:p>
        </w:tc>
      </w:tr>
      <w:tr w:rsidR="006E77C9" w:rsidRPr="00CD384C" w14:paraId="32587CE2" w14:textId="77777777" w:rsidTr="005E564C">
        <w:tc>
          <w:tcPr>
            <w:tcW w:w="444" w:type="pct"/>
          </w:tcPr>
          <w:p w14:paraId="48461810"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w:t>
            </w:r>
          </w:p>
        </w:tc>
        <w:tc>
          <w:tcPr>
            <w:tcW w:w="845" w:type="pct"/>
          </w:tcPr>
          <w:p w14:paraId="4415EA77"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Water Body</w:t>
            </w:r>
          </w:p>
        </w:tc>
        <w:tc>
          <w:tcPr>
            <w:tcW w:w="606" w:type="pct"/>
          </w:tcPr>
          <w:p w14:paraId="17D0AA1B"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19</w:t>
            </w:r>
          </w:p>
        </w:tc>
        <w:tc>
          <w:tcPr>
            <w:tcW w:w="607" w:type="pct"/>
          </w:tcPr>
          <w:p w14:paraId="3B1A7D3D"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0.82</w:t>
            </w:r>
          </w:p>
        </w:tc>
        <w:tc>
          <w:tcPr>
            <w:tcW w:w="607" w:type="pct"/>
          </w:tcPr>
          <w:p w14:paraId="0243662E" w14:textId="77777777"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11.02</w:t>
            </w:r>
          </w:p>
        </w:tc>
        <w:tc>
          <w:tcPr>
            <w:tcW w:w="759" w:type="pct"/>
          </w:tcPr>
          <w:p w14:paraId="6EB39E18" w14:textId="77777777"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0.50</w:t>
            </w:r>
          </w:p>
        </w:tc>
        <w:tc>
          <w:tcPr>
            <w:tcW w:w="606" w:type="pct"/>
          </w:tcPr>
          <w:p w14:paraId="7BC4DF13" w14:textId="77777777"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1.53</w:t>
            </w:r>
          </w:p>
        </w:tc>
        <w:tc>
          <w:tcPr>
            <w:tcW w:w="526" w:type="pct"/>
          </w:tcPr>
          <w:p w14:paraId="4AAEE373" w14:textId="77777777" w:rsidR="006E77C9" w:rsidRPr="00CD384C" w:rsidRDefault="009A194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13.05</w:t>
            </w:r>
          </w:p>
        </w:tc>
      </w:tr>
      <w:tr w:rsidR="006E77C9" w:rsidRPr="00CD384C" w14:paraId="1BD511FE" w14:textId="77777777" w:rsidTr="005E564C">
        <w:tc>
          <w:tcPr>
            <w:tcW w:w="444" w:type="pct"/>
          </w:tcPr>
          <w:p w14:paraId="07BBB63C"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w:t>
            </w:r>
          </w:p>
        </w:tc>
        <w:tc>
          <w:tcPr>
            <w:tcW w:w="845" w:type="pct"/>
          </w:tcPr>
          <w:p w14:paraId="474ABDE4"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Built Up Area</w:t>
            </w:r>
          </w:p>
        </w:tc>
        <w:tc>
          <w:tcPr>
            <w:tcW w:w="606" w:type="pct"/>
          </w:tcPr>
          <w:p w14:paraId="1963A01C"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62</w:t>
            </w:r>
          </w:p>
        </w:tc>
        <w:tc>
          <w:tcPr>
            <w:tcW w:w="607" w:type="pct"/>
          </w:tcPr>
          <w:p w14:paraId="1E020234"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2.71</w:t>
            </w:r>
          </w:p>
        </w:tc>
        <w:tc>
          <w:tcPr>
            <w:tcW w:w="607" w:type="pct"/>
          </w:tcPr>
          <w:p w14:paraId="4E1B48ED" w14:textId="77777777"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11.51</w:t>
            </w:r>
          </w:p>
        </w:tc>
        <w:tc>
          <w:tcPr>
            <w:tcW w:w="759" w:type="pct"/>
          </w:tcPr>
          <w:p w14:paraId="07C9833E" w14:textId="77777777"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0.44</w:t>
            </w:r>
          </w:p>
        </w:tc>
        <w:tc>
          <w:tcPr>
            <w:tcW w:w="606" w:type="pct"/>
          </w:tcPr>
          <w:p w14:paraId="58BC9E84" w14:textId="77777777"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0.95</w:t>
            </w:r>
          </w:p>
        </w:tc>
        <w:tc>
          <w:tcPr>
            <w:tcW w:w="526" w:type="pct"/>
          </w:tcPr>
          <w:p w14:paraId="571A023F" w14:textId="77777777" w:rsidR="006E77C9" w:rsidRPr="00CD384C" w:rsidRDefault="009A194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12.9</w:t>
            </w:r>
            <w:r w:rsidR="004472D5" w:rsidRPr="00CD384C">
              <w:rPr>
                <w:rFonts w:ascii="Times New Roman" w:hAnsi="Times New Roman" w:cs="Times New Roman"/>
                <w:sz w:val="20"/>
                <w:szCs w:val="20"/>
                <w:lang w:val="en-US"/>
              </w:rPr>
              <w:t>0</w:t>
            </w:r>
          </w:p>
        </w:tc>
      </w:tr>
      <w:tr w:rsidR="006E77C9" w:rsidRPr="00CD384C" w14:paraId="346673A5" w14:textId="77777777" w:rsidTr="005E564C">
        <w:tc>
          <w:tcPr>
            <w:tcW w:w="444" w:type="pct"/>
          </w:tcPr>
          <w:p w14:paraId="581FEE5A"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3</w:t>
            </w:r>
          </w:p>
        </w:tc>
        <w:tc>
          <w:tcPr>
            <w:tcW w:w="845" w:type="pct"/>
          </w:tcPr>
          <w:p w14:paraId="5C07CB8F"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Jhum Land</w:t>
            </w:r>
          </w:p>
        </w:tc>
        <w:tc>
          <w:tcPr>
            <w:tcW w:w="606" w:type="pct"/>
          </w:tcPr>
          <w:p w14:paraId="32191720"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190</w:t>
            </w:r>
          </w:p>
        </w:tc>
        <w:tc>
          <w:tcPr>
            <w:tcW w:w="607" w:type="pct"/>
          </w:tcPr>
          <w:p w14:paraId="0798E8DE"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8.83</w:t>
            </w:r>
          </w:p>
        </w:tc>
        <w:tc>
          <w:tcPr>
            <w:tcW w:w="607" w:type="pct"/>
          </w:tcPr>
          <w:p w14:paraId="102A2FA5" w14:textId="77777777"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8.10</w:t>
            </w:r>
          </w:p>
        </w:tc>
        <w:tc>
          <w:tcPr>
            <w:tcW w:w="759" w:type="pct"/>
          </w:tcPr>
          <w:p w14:paraId="3D7279C0" w14:textId="77777777"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1.72</w:t>
            </w:r>
          </w:p>
        </w:tc>
        <w:tc>
          <w:tcPr>
            <w:tcW w:w="606" w:type="pct"/>
          </w:tcPr>
          <w:p w14:paraId="6BB5860D" w14:textId="77777777"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1.54</w:t>
            </w:r>
          </w:p>
        </w:tc>
        <w:tc>
          <w:tcPr>
            <w:tcW w:w="526" w:type="pct"/>
          </w:tcPr>
          <w:p w14:paraId="2DE48F9E" w14:textId="77777777" w:rsidR="006E77C9" w:rsidRPr="00CD384C" w:rsidRDefault="009A194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11.36</w:t>
            </w:r>
          </w:p>
        </w:tc>
      </w:tr>
      <w:tr w:rsidR="006E77C9" w:rsidRPr="00CD384C" w14:paraId="53259308" w14:textId="77777777" w:rsidTr="005E564C">
        <w:tc>
          <w:tcPr>
            <w:tcW w:w="444" w:type="pct"/>
          </w:tcPr>
          <w:p w14:paraId="596F5336"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4</w:t>
            </w:r>
          </w:p>
        </w:tc>
        <w:tc>
          <w:tcPr>
            <w:tcW w:w="845" w:type="pct"/>
          </w:tcPr>
          <w:p w14:paraId="1ED82964"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Vegetation</w:t>
            </w:r>
          </w:p>
        </w:tc>
        <w:tc>
          <w:tcPr>
            <w:tcW w:w="606" w:type="pct"/>
          </w:tcPr>
          <w:p w14:paraId="65B8B4F2"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2014</w:t>
            </w:r>
          </w:p>
        </w:tc>
        <w:tc>
          <w:tcPr>
            <w:tcW w:w="607" w:type="pct"/>
          </w:tcPr>
          <w:p w14:paraId="7A029D06"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88.14</w:t>
            </w:r>
          </w:p>
        </w:tc>
        <w:tc>
          <w:tcPr>
            <w:tcW w:w="607" w:type="pct"/>
          </w:tcPr>
          <w:p w14:paraId="514EEBB6" w14:textId="77777777"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0.97</w:t>
            </w:r>
          </w:p>
        </w:tc>
        <w:tc>
          <w:tcPr>
            <w:tcW w:w="759" w:type="pct"/>
          </w:tcPr>
          <w:p w14:paraId="5BB57AC2" w14:textId="77777777"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0.47</w:t>
            </w:r>
          </w:p>
        </w:tc>
        <w:tc>
          <w:tcPr>
            <w:tcW w:w="606" w:type="pct"/>
          </w:tcPr>
          <w:p w14:paraId="5C3355EB" w14:textId="77777777"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0.35</w:t>
            </w:r>
          </w:p>
        </w:tc>
        <w:tc>
          <w:tcPr>
            <w:tcW w:w="526" w:type="pct"/>
          </w:tcPr>
          <w:p w14:paraId="3873F25C" w14:textId="77777777" w:rsidR="006E77C9" w:rsidRPr="00CD384C" w:rsidRDefault="009A194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1.79</w:t>
            </w:r>
          </w:p>
        </w:tc>
      </w:tr>
      <w:tr w:rsidR="006E77C9" w:rsidRPr="00CD384C" w14:paraId="751541FE" w14:textId="77777777" w:rsidTr="005E564C">
        <w:tc>
          <w:tcPr>
            <w:tcW w:w="1289" w:type="pct"/>
            <w:gridSpan w:val="2"/>
          </w:tcPr>
          <w:p w14:paraId="63866B0D"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Total</w:t>
            </w:r>
          </w:p>
        </w:tc>
        <w:tc>
          <w:tcPr>
            <w:tcW w:w="606" w:type="pct"/>
          </w:tcPr>
          <w:p w14:paraId="36C5C710"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2285</w:t>
            </w:r>
          </w:p>
        </w:tc>
        <w:tc>
          <w:tcPr>
            <w:tcW w:w="607" w:type="pct"/>
          </w:tcPr>
          <w:p w14:paraId="5C727585"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100</w:t>
            </w:r>
          </w:p>
        </w:tc>
        <w:tc>
          <w:tcPr>
            <w:tcW w:w="607" w:type="pct"/>
          </w:tcPr>
          <w:p w14:paraId="2E135ED0" w14:textId="77777777" w:rsidR="006E77C9" w:rsidRPr="00CD384C" w:rsidRDefault="009A194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31.6</w:t>
            </w:r>
            <w:r w:rsidR="004472D5" w:rsidRPr="00CD384C">
              <w:rPr>
                <w:rFonts w:ascii="Times New Roman" w:hAnsi="Times New Roman" w:cs="Times New Roman"/>
                <w:sz w:val="20"/>
                <w:szCs w:val="20"/>
                <w:lang w:val="en-US"/>
              </w:rPr>
              <w:t>0</w:t>
            </w:r>
          </w:p>
        </w:tc>
        <w:tc>
          <w:tcPr>
            <w:tcW w:w="759" w:type="pct"/>
          </w:tcPr>
          <w:p w14:paraId="38290FD4" w14:textId="77777777" w:rsidR="006E77C9" w:rsidRPr="00CD384C" w:rsidRDefault="009A194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3.13</w:t>
            </w:r>
          </w:p>
        </w:tc>
        <w:tc>
          <w:tcPr>
            <w:tcW w:w="606" w:type="pct"/>
          </w:tcPr>
          <w:p w14:paraId="1A510FAF" w14:textId="77777777" w:rsidR="006E77C9" w:rsidRPr="00CD384C" w:rsidRDefault="009A194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4.37</w:t>
            </w:r>
          </w:p>
        </w:tc>
        <w:tc>
          <w:tcPr>
            <w:tcW w:w="526" w:type="pct"/>
          </w:tcPr>
          <w:p w14:paraId="32D373FB" w14:textId="77777777" w:rsidR="006E77C9" w:rsidRPr="00CD384C" w:rsidRDefault="009A194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39.1</w:t>
            </w:r>
            <w:r w:rsidR="004472D5" w:rsidRPr="00CD384C">
              <w:rPr>
                <w:rFonts w:ascii="Times New Roman" w:hAnsi="Times New Roman" w:cs="Times New Roman"/>
                <w:sz w:val="20"/>
                <w:szCs w:val="20"/>
                <w:lang w:val="en-US"/>
              </w:rPr>
              <w:t>0</w:t>
            </w:r>
          </w:p>
        </w:tc>
      </w:tr>
    </w:tbl>
    <w:p w14:paraId="4B9196FF" w14:textId="77777777" w:rsidR="00874F55" w:rsidRPr="00CD384C" w:rsidRDefault="00874F55" w:rsidP="002F59EF">
      <w:pPr>
        <w:jc w:val="both"/>
        <w:rPr>
          <w:rFonts w:ascii="Times New Roman" w:hAnsi="Times New Roman" w:cs="Times New Roman"/>
          <w:sz w:val="20"/>
          <w:szCs w:val="20"/>
        </w:rPr>
      </w:pPr>
    </w:p>
    <w:p w14:paraId="2B5A99DE" w14:textId="77777777" w:rsidR="00C30588" w:rsidRPr="00CD384C" w:rsidRDefault="00C30588" w:rsidP="002F59EF">
      <w:pPr>
        <w:spacing w:before="229"/>
        <w:ind w:right="4"/>
        <w:jc w:val="both"/>
        <w:rPr>
          <w:rFonts w:ascii="Times New Roman" w:hAnsi="Times New Roman" w:cs="Times New Roman"/>
          <w:sz w:val="20"/>
          <w:szCs w:val="20"/>
        </w:rPr>
      </w:pPr>
      <w:r w:rsidRPr="00CD384C">
        <w:rPr>
          <w:rFonts w:ascii="Times New Roman" w:hAnsi="Times New Roman" w:cs="Times New Roman"/>
          <w:sz w:val="20"/>
          <w:szCs w:val="20"/>
        </w:rPr>
        <w:lastRenderedPageBreak/>
        <w:t>Table</w:t>
      </w:r>
      <w:r w:rsidRPr="00CD384C">
        <w:rPr>
          <w:rFonts w:ascii="Times New Roman" w:hAnsi="Times New Roman" w:cs="Times New Roman"/>
          <w:spacing w:val="-12"/>
          <w:sz w:val="20"/>
          <w:szCs w:val="20"/>
        </w:rPr>
        <w:t xml:space="preserve"> </w:t>
      </w:r>
      <w:r w:rsidR="00E20036" w:rsidRPr="00CD384C">
        <w:rPr>
          <w:rFonts w:ascii="Times New Roman" w:hAnsi="Times New Roman" w:cs="Times New Roman"/>
          <w:sz w:val="20"/>
          <w:szCs w:val="20"/>
        </w:rPr>
        <w:t>14</w:t>
      </w:r>
      <w:r w:rsidRPr="00CD384C">
        <w:rPr>
          <w:rFonts w:ascii="Times New Roman" w:hAnsi="Times New Roman" w:cs="Times New Roman"/>
          <w:sz w:val="20"/>
          <w:szCs w:val="20"/>
        </w:rPr>
        <w:t>.</w:t>
      </w:r>
      <w:r w:rsidRPr="00CD384C">
        <w:rPr>
          <w:rFonts w:ascii="Times New Roman" w:hAnsi="Times New Roman" w:cs="Times New Roman"/>
          <w:spacing w:val="-12"/>
          <w:sz w:val="20"/>
          <w:szCs w:val="20"/>
        </w:rPr>
        <w:t xml:space="preserve"> </w:t>
      </w:r>
      <w:r w:rsidRPr="00CD384C">
        <w:rPr>
          <w:rFonts w:ascii="Times New Roman" w:hAnsi="Times New Roman" w:cs="Times New Roman"/>
          <w:sz w:val="20"/>
          <w:szCs w:val="20"/>
        </w:rPr>
        <w:t>Landslide</w:t>
      </w:r>
      <w:r w:rsidRPr="00CD384C">
        <w:rPr>
          <w:rFonts w:ascii="Times New Roman" w:hAnsi="Times New Roman" w:cs="Times New Roman"/>
          <w:spacing w:val="-11"/>
          <w:sz w:val="20"/>
          <w:szCs w:val="20"/>
        </w:rPr>
        <w:t xml:space="preserve"> </w:t>
      </w:r>
      <w:r w:rsidRPr="00CD384C">
        <w:rPr>
          <w:rFonts w:ascii="Times New Roman" w:hAnsi="Times New Roman" w:cs="Times New Roman"/>
          <w:sz w:val="20"/>
          <w:szCs w:val="20"/>
        </w:rPr>
        <w:t>susceptibility</w:t>
      </w:r>
      <w:r w:rsidRPr="00CD384C">
        <w:rPr>
          <w:rFonts w:ascii="Times New Roman" w:hAnsi="Times New Roman" w:cs="Times New Roman"/>
          <w:spacing w:val="-13"/>
          <w:sz w:val="20"/>
          <w:szCs w:val="20"/>
        </w:rPr>
        <w:t xml:space="preserve"> </w:t>
      </w:r>
      <w:r w:rsidRPr="00CD384C">
        <w:rPr>
          <w:rFonts w:ascii="Times New Roman" w:hAnsi="Times New Roman" w:cs="Times New Roman"/>
          <w:sz w:val="20"/>
          <w:szCs w:val="20"/>
        </w:rPr>
        <w:t>zonation</w:t>
      </w:r>
      <w:r w:rsidRPr="00CD384C">
        <w:rPr>
          <w:rFonts w:ascii="Times New Roman" w:hAnsi="Times New Roman" w:cs="Times New Roman"/>
          <w:spacing w:val="-11"/>
          <w:sz w:val="20"/>
          <w:szCs w:val="20"/>
        </w:rPr>
        <w:t xml:space="preserve"> </w:t>
      </w:r>
      <w:r w:rsidRPr="00CD384C">
        <w:rPr>
          <w:rFonts w:ascii="Times New Roman" w:hAnsi="Times New Roman" w:cs="Times New Roman"/>
          <w:spacing w:val="-4"/>
          <w:sz w:val="20"/>
          <w:szCs w:val="20"/>
        </w:rPr>
        <w:t>data</w:t>
      </w:r>
    </w:p>
    <w:p w14:paraId="4DCD9C56" w14:textId="77777777" w:rsidR="00C30588" w:rsidRPr="00CD384C" w:rsidRDefault="00C30588" w:rsidP="002F59EF">
      <w:pPr>
        <w:pStyle w:val="BodyText"/>
        <w:spacing w:before="1"/>
        <w:jc w:val="both"/>
        <w:rPr>
          <w:rFonts w:ascii="Times New Roman" w:hAnsi="Times New Roman" w:cs="Times New Roman"/>
        </w:rPr>
      </w:pPr>
    </w:p>
    <w:tbl>
      <w:tblPr>
        <w:tblStyle w:val="TableGrid"/>
        <w:tblW w:w="0" w:type="auto"/>
        <w:tblLayout w:type="fixed"/>
        <w:tblLook w:val="01E0" w:firstRow="1" w:lastRow="1" w:firstColumn="1" w:lastColumn="1" w:noHBand="0" w:noVBand="0"/>
      </w:tblPr>
      <w:tblGrid>
        <w:gridCol w:w="986"/>
        <w:gridCol w:w="3007"/>
        <w:gridCol w:w="2452"/>
        <w:gridCol w:w="2631"/>
      </w:tblGrid>
      <w:tr w:rsidR="00C30588" w:rsidRPr="00CD384C" w14:paraId="4D2229A3" w14:textId="77777777" w:rsidTr="003C352C">
        <w:trPr>
          <w:trHeight w:val="230"/>
        </w:trPr>
        <w:tc>
          <w:tcPr>
            <w:tcW w:w="986" w:type="dxa"/>
          </w:tcPr>
          <w:p w14:paraId="63F35C0B" w14:textId="77777777" w:rsidR="00C30588" w:rsidRPr="00CD384C" w:rsidRDefault="00C30588" w:rsidP="002F59EF">
            <w:pPr>
              <w:pStyle w:val="TableParagraph"/>
              <w:jc w:val="both"/>
              <w:rPr>
                <w:rFonts w:ascii="Times New Roman" w:hAnsi="Times New Roman" w:cs="Times New Roman"/>
                <w:sz w:val="20"/>
                <w:szCs w:val="20"/>
              </w:rPr>
            </w:pPr>
            <w:r w:rsidRPr="00CD384C">
              <w:rPr>
                <w:rFonts w:ascii="Times New Roman" w:hAnsi="Times New Roman" w:cs="Times New Roman"/>
                <w:sz w:val="20"/>
                <w:szCs w:val="20"/>
              </w:rPr>
              <w:t>Sl.</w:t>
            </w:r>
            <w:r w:rsidRPr="00CD384C">
              <w:rPr>
                <w:rFonts w:ascii="Times New Roman" w:hAnsi="Times New Roman" w:cs="Times New Roman"/>
                <w:spacing w:val="-5"/>
                <w:sz w:val="20"/>
                <w:szCs w:val="20"/>
              </w:rPr>
              <w:t xml:space="preserve"> No</w:t>
            </w:r>
          </w:p>
        </w:tc>
        <w:tc>
          <w:tcPr>
            <w:tcW w:w="3007" w:type="dxa"/>
          </w:tcPr>
          <w:p w14:paraId="0A1EF2CF" w14:textId="77777777" w:rsidR="00C30588" w:rsidRPr="00CD384C" w:rsidRDefault="00C30588" w:rsidP="002F59EF">
            <w:pPr>
              <w:pStyle w:val="TableParagraph"/>
              <w:ind w:left="300"/>
              <w:jc w:val="both"/>
              <w:rPr>
                <w:rFonts w:ascii="Times New Roman" w:hAnsi="Times New Roman" w:cs="Times New Roman"/>
                <w:sz w:val="20"/>
                <w:szCs w:val="20"/>
              </w:rPr>
            </w:pPr>
            <w:r w:rsidRPr="00CD384C">
              <w:rPr>
                <w:rFonts w:ascii="Times New Roman" w:hAnsi="Times New Roman" w:cs="Times New Roman"/>
                <w:sz w:val="20"/>
                <w:szCs w:val="20"/>
              </w:rPr>
              <w:t>Level</w:t>
            </w:r>
            <w:r w:rsidRPr="00CD384C">
              <w:rPr>
                <w:rFonts w:ascii="Times New Roman" w:hAnsi="Times New Roman" w:cs="Times New Roman"/>
                <w:spacing w:val="-7"/>
                <w:sz w:val="20"/>
                <w:szCs w:val="20"/>
              </w:rPr>
              <w:t xml:space="preserve"> </w:t>
            </w:r>
            <w:r w:rsidRPr="00CD384C">
              <w:rPr>
                <w:rFonts w:ascii="Times New Roman" w:hAnsi="Times New Roman" w:cs="Times New Roman"/>
                <w:sz w:val="20"/>
                <w:szCs w:val="20"/>
              </w:rPr>
              <w:t>of</w:t>
            </w:r>
            <w:r w:rsidRPr="00CD384C">
              <w:rPr>
                <w:rFonts w:ascii="Times New Roman" w:hAnsi="Times New Roman" w:cs="Times New Roman"/>
                <w:spacing w:val="-3"/>
                <w:sz w:val="20"/>
                <w:szCs w:val="20"/>
              </w:rPr>
              <w:t xml:space="preserve"> </w:t>
            </w:r>
            <w:r w:rsidRPr="00CD384C">
              <w:rPr>
                <w:rFonts w:ascii="Times New Roman" w:hAnsi="Times New Roman" w:cs="Times New Roman"/>
                <w:spacing w:val="-2"/>
                <w:sz w:val="20"/>
                <w:szCs w:val="20"/>
              </w:rPr>
              <w:t>Landslide</w:t>
            </w:r>
          </w:p>
        </w:tc>
        <w:tc>
          <w:tcPr>
            <w:tcW w:w="2452" w:type="dxa"/>
          </w:tcPr>
          <w:p w14:paraId="60559663" w14:textId="77777777" w:rsidR="00C30588" w:rsidRPr="00CD384C" w:rsidRDefault="00C30588" w:rsidP="002F59EF">
            <w:pPr>
              <w:pStyle w:val="TableParagraph"/>
              <w:ind w:left="476"/>
              <w:jc w:val="both"/>
              <w:rPr>
                <w:rFonts w:ascii="Times New Roman" w:hAnsi="Times New Roman" w:cs="Times New Roman"/>
                <w:sz w:val="20"/>
                <w:szCs w:val="20"/>
              </w:rPr>
            </w:pPr>
            <w:r w:rsidRPr="00CD384C">
              <w:rPr>
                <w:rFonts w:ascii="Times New Roman" w:hAnsi="Times New Roman" w:cs="Times New Roman"/>
                <w:sz w:val="20"/>
                <w:szCs w:val="20"/>
              </w:rPr>
              <w:t>Area</w:t>
            </w:r>
            <w:r w:rsidRPr="00CD384C">
              <w:rPr>
                <w:rFonts w:ascii="Times New Roman" w:hAnsi="Times New Roman" w:cs="Times New Roman"/>
                <w:spacing w:val="-5"/>
                <w:sz w:val="20"/>
                <w:szCs w:val="20"/>
              </w:rPr>
              <w:t xml:space="preserve"> </w:t>
            </w:r>
            <w:r w:rsidRPr="00CD384C">
              <w:rPr>
                <w:rFonts w:ascii="Times New Roman" w:hAnsi="Times New Roman" w:cs="Times New Roman"/>
                <w:sz w:val="20"/>
                <w:szCs w:val="20"/>
              </w:rPr>
              <w:t>in</w:t>
            </w:r>
            <w:r w:rsidRPr="00CD384C">
              <w:rPr>
                <w:rFonts w:ascii="Times New Roman" w:hAnsi="Times New Roman" w:cs="Times New Roman"/>
                <w:spacing w:val="-6"/>
                <w:sz w:val="20"/>
                <w:szCs w:val="20"/>
              </w:rPr>
              <w:t xml:space="preserve"> </w:t>
            </w:r>
            <w:r w:rsidRPr="00CD384C">
              <w:rPr>
                <w:rFonts w:ascii="Times New Roman" w:hAnsi="Times New Roman" w:cs="Times New Roman"/>
                <w:spacing w:val="-4"/>
                <w:sz w:val="20"/>
                <w:szCs w:val="20"/>
              </w:rPr>
              <w:t>Km</w:t>
            </w:r>
            <w:r w:rsidRPr="00CD384C">
              <w:rPr>
                <w:rFonts w:ascii="Times New Roman" w:hAnsi="Times New Roman" w:cs="Times New Roman"/>
                <w:spacing w:val="-4"/>
                <w:sz w:val="20"/>
                <w:szCs w:val="20"/>
                <w:vertAlign w:val="superscript"/>
              </w:rPr>
              <w:t>2</w:t>
            </w:r>
            <w:r w:rsidRPr="00CD384C">
              <w:rPr>
                <w:rFonts w:ascii="Times New Roman" w:hAnsi="Times New Roman" w:cs="Times New Roman"/>
                <w:spacing w:val="-4"/>
                <w:sz w:val="20"/>
                <w:szCs w:val="20"/>
              </w:rPr>
              <w:t>.</w:t>
            </w:r>
          </w:p>
        </w:tc>
        <w:tc>
          <w:tcPr>
            <w:tcW w:w="2631" w:type="dxa"/>
          </w:tcPr>
          <w:p w14:paraId="4E772DBA" w14:textId="77777777" w:rsidR="00C30588" w:rsidRPr="00CD384C" w:rsidRDefault="00C30588" w:rsidP="002F59EF">
            <w:pPr>
              <w:pStyle w:val="TableParagraph"/>
              <w:ind w:left="794"/>
              <w:jc w:val="both"/>
              <w:rPr>
                <w:rFonts w:ascii="Times New Roman" w:hAnsi="Times New Roman" w:cs="Times New Roman"/>
                <w:sz w:val="20"/>
                <w:szCs w:val="20"/>
              </w:rPr>
            </w:pPr>
            <w:r w:rsidRPr="00CD384C">
              <w:rPr>
                <w:rFonts w:ascii="Times New Roman" w:hAnsi="Times New Roman" w:cs="Times New Roman"/>
                <w:sz w:val="20"/>
                <w:szCs w:val="20"/>
              </w:rPr>
              <w:t>Area</w:t>
            </w:r>
            <w:r w:rsidRPr="00CD384C">
              <w:rPr>
                <w:rFonts w:ascii="Times New Roman" w:hAnsi="Times New Roman" w:cs="Times New Roman"/>
                <w:spacing w:val="-5"/>
                <w:sz w:val="20"/>
                <w:szCs w:val="20"/>
              </w:rPr>
              <w:t xml:space="preserve"> </w:t>
            </w:r>
            <w:r w:rsidRPr="00CD384C">
              <w:rPr>
                <w:rFonts w:ascii="Times New Roman" w:hAnsi="Times New Roman" w:cs="Times New Roman"/>
                <w:sz w:val="20"/>
                <w:szCs w:val="20"/>
              </w:rPr>
              <w:t>in</w:t>
            </w:r>
            <w:r w:rsidRPr="00CD384C">
              <w:rPr>
                <w:rFonts w:ascii="Times New Roman" w:hAnsi="Times New Roman" w:cs="Times New Roman"/>
                <w:spacing w:val="-3"/>
                <w:sz w:val="20"/>
                <w:szCs w:val="20"/>
              </w:rPr>
              <w:t xml:space="preserve"> </w:t>
            </w:r>
            <w:r w:rsidRPr="00CD384C">
              <w:rPr>
                <w:rFonts w:ascii="Times New Roman" w:hAnsi="Times New Roman" w:cs="Times New Roman"/>
                <w:spacing w:val="-10"/>
                <w:sz w:val="20"/>
                <w:szCs w:val="20"/>
              </w:rPr>
              <w:t>%</w:t>
            </w:r>
          </w:p>
        </w:tc>
      </w:tr>
      <w:tr w:rsidR="00C30588" w:rsidRPr="00CD384C" w14:paraId="239F2136" w14:textId="77777777" w:rsidTr="003C352C">
        <w:trPr>
          <w:trHeight w:val="233"/>
        </w:trPr>
        <w:tc>
          <w:tcPr>
            <w:tcW w:w="986" w:type="dxa"/>
          </w:tcPr>
          <w:p w14:paraId="32A42FBA" w14:textId="77777777" w:rsidR="00C30588" w:rsidRPr="00CD384C" w:rsidRDefault="00C30588" w:rsidP="002F59EF">
            <w:pPr>
              <w:pStyle w:val="TableParagraph"/>
              <w:spacing w:line="213" w:lineRule="exact"/>
              <w:jc w:val="both"/>
              <w:rPr>
                <w:rFonts w:ascii="Times New Roman" w:hAnsi="Times New Roman" w:cs="Times New Roman"/>
                <w:sz w:val="20"/>
                <w:szCs w:val="20"/>
              </w:rPr>
            </w:pPr>
            <w:r w:rsidRPr="00CD384C">
              <w:rPr>
                <w:rFonts w:ascii="Times New Roman" w:hAnsi="Times New Roman" w:cs="Times New Roman"/>
                <w:spacing w:val="-10"/>
                <w:sz w:val="20"/>
                <w:szCs w:val="20"/>
              </w:rPr>
              <w:t>1</w:t>
            </w:r>
          </w:p>
        </w:tc>
        <w:tc>
          <w:tcPr>
            <w:tcW w:w="3007" w:type="dxa"/>
          </w:tcPr>
          <w:p w14:paraId="5FC7C06B" w14:textId="77777777" w:rsidR="00C30588" w:rsidRPr="00CD384C" w:rsidRDefault="00C30588" w:rsidP="002F59EF">
            <w:pPr>
              <w:pStyle w:val="TableParagraph"/>
              <w:spacing w:line="213" w:lineRule="exact"/>
              <w:ind w:left="300"/>
              <w:jc w:val="both"/>
              <w:rPr>
                <w:rFonts w:ascii="Times New Roman" w:hAnsi="Times New Roman" w:cs="Times New Roman"/>
                <w:sz w:val="20"/>
                <w:szCs w:val="20"/>
              </w:rPr>
            </w:pPr>
            <w:r w:rsidRPr="00CD384C">
              <w:rPr>
                <w:rFonts w:ascii="Times New Roman" w:hAnsi="Times New Roman" w:cs="Times New Roman"/>
                <w:sz w:val="20"/>
                <w:szCs w:val="20"/>
              </w:rPr>
              <w:t>Low</w:t>
            </w:r>
            <w:r w:rsidRPr="00CD384C">
              <w:rPr>
                <w:rFonts w:ascii="Times New Roman" w:hAnsi="Times New Roman" w:cs="Times New Roman"/>
                <w:spacing w:val="-10"/>
                <w:sz w:val="20"/>
                <w:szCs w:val="20"/>
              </w:rPr>
              <w:t xml:space="preserve"> </w:t>
            </w:r>
            <w:r w:rsidRPr="00CD384C">
              <w:rPr>
                <w:rFonts w:ascii="Times New Roman" w:hAnsi="Times New Roman" w:cs="Times New Roman"/>
                <w:sz w:val="20"/>
                <w:szCs w:val="20"/>
              </w:rPr>
              <w:t>Landslide</w:t>
            </w:r>
            <w:r w:rsidRPr="00CD384C">
              <w:rPr>
                <w:rFonts w:ascii="Times New Roman" w:hAnsi="Times New Roman" w:cs="Times New Roman"/>
                <w:spacing w:val="-9"/>
                <w:sz w:val="20"/>
                <w:szCs w:val="20"/>
              </w:rPr>
              <w:t xml:space="preserve"> </w:t>
            </w:r>
            <w:r w:rsidRPr="00CD384C">
              <w:rPr>
                <w:rFonts w:ascii="Times New Roman" w:hAnsi="Times New Roman" w:cs="Times New Roman"/>
                <w:spacing w:val="-4"/>
                <w:sz w:val="20"/>
                <w:szCs w:val="20"/>
              </w:rPr>
              <w:t>Zones</w:t>
            </w:r>
          </w:p>
        </w:tc>
        <w:tc>
          <w:tcPr>
            <w:tcW w:w="2452" w:type="dxa"/>
          </w:tcPr>
          <w:p w14:paraId="0D2DBE83" w14:textId="77777777" w:rsidR="00C30588" w:rsidRPr="00CD384C" w:rsidRDefault="00C30588" w:rsidP="002F59EF">
            <w:pPr>
              <w:pStyle w:val="TableParagraph"/>
              <w:spacing w:line="213" w:lineRule="exact"/>
              <w:ind w:left="476"/>
              <w:jc w:val="both"/>
              <w:rPr>
                <w:rFonts w:ascii="Times New Roman" w:hAnsi="Times New Roman" w:cs="Times New Roman"/>
                <w:sz w:val="20"/>
                <w:szCs w:val="20"/>
              </w:rPr>
            </w:pPr>
            <w:r w:rsidRPr="00CD384C">
              <w:rPr>
                <w:rFonts w:ascii="Times New Roman" w:hAnsi="Times New Roman" w:cs="Times New Roman"/>
                <w:sz w:val="20"/>
                <w:szCs w:val="20"/>
              </w:rPr>
              <w:t>555</w:t>
            </w:r>
          </w:p>
        </w:tc>
        <w:tc>
          <w:tcPr>
            <w:tcW w:w="2631" w:type="dxa"/>
          </w:tcPr>
          <w:p w14:paraId="2EF261CF" w14:textId="77777777" w:rsidR="00C30588" w:rsidRPr="00CD384C" w:rsidRDefault="00C30588" w:rsidP="002F59EF">
            <w:pPr>
              <w:pStyle w:val="TableParagraph"/>
              <w:spacing w:line="213" w:lineRule="exact"/>
              <w:ind w:left="794"/>
              <w:jc w:val="both"/>
              <w:rPr>
                <w:rFonts w:ascii="Times New Roman" w:hAnsi="Times New Roman" w:cs="Times New Roman"/>
                <w:sz w:val="20"/>
                <w:szCs w:val="20"/>
              </w:rPr>
            </w:pPr>
            <w:r w:rsidRPr="00CD384C">
              <w:rPr>
                <w:rFonts w:ascii="Times New Roman" w:hAnsi="Times New Roman" w:cs="Times New Roman"/>
                <w:sz w:val="20"/>
                <w:szCs w:val="20"/>
              </w:rPr>
              <w:t>24.29</w:t>
            </w:r>
          </w:p>
        </w:tc>
      </w:tr>
      <w:tr w:rsidR="00C30588" w:rsidRPr="00CD384C" w14:paraId="4C9C4ACE" w14:textId="77777777" w:rsidTr="003C352C">
        <w:trPr>
          <w:trHeight w:val="230"/>
        </w:trPr>
        <w:tc>
          <w:tcPr>
            <w:tcW w:w="986" w:type="dxa"/>
          </w:tcPr>
          <w:p w14:paraId="2AC9D462" w14:textId="77777777" w:rsidR="00C30588" w:rsidRPr="00CD384C" w:rsidRDefault="00C30588" w:rsidP="002F59EF">
            <w:pPr>
              <w:pStyle w:val="TableParagraph"/>
              <w:jc w:val="both"/>
              <w:rPr>
                <w:rFonts w:ascii="Times New Roman" w:hAnsi="Times New Roman" w:cs="Times New Roman"/>
                <w:sz w:val="20"/>
                <w:szCs w:val="20"/>
              </w:rPr>
            </w:pPr>
            <w:r w:rsidRPr="00CD384C">
              <w:rPr>
                <w:rFonts w:ascii="Times New Roman" w:hAnsi="Times New Roman" w:cs="Times New Roman"/>
                <w:spacing w:val="-10"/>
                <w:sz w:val="20"/>
                <w:szCs w:val="20"/>
              </w:rPr>
              <w:t>2</w:t>
            </w:r>
          </w:p>
        </w:tc>
        <w:tc>
          <w:tcPr>
            <w:tcW w:w="3007" w:type="dxa"/>
          </w:tcPr>
          <w:p w14:paraId="1BE57D2F" w14:textId="77777777" w:rsidR="00C30588" w:rsidRPr="00CD384C" w:rsidRDefault="00C30588" w:rsidP="002F59EF">
            <w:pPr>
              <w:pStyle w:val="TableParagraph"/>
              <w:ind w:left="300"/>
              <w:jc w:val="both"/>
              <w:rPr>
                <w:rFonts w:ascii="Times New Roman" w:hAnsi="Times New Roman" w:cs="Times New Roman"/>
                <w:sz w:val="20"/>
                <w:szCs w:val="20"/>
              </w:rPr>
            </w:pPr>
            <w:r w:rsidRPr="00CD384C">
              <w:rPr>
                <w:rFonts w:ascii="Times New Roman" w:hAnsi="Times New Roman" w:cs="Times New Roman"/>
                <w:sz w:val="20"/>
                <w:szCs w:val="20"/>
              </w:rPr>
              <w:t>Medium</w:t>
            </w:r>
            <w:r w:rsidRPr="00CD384C">
              <w:rPr>
                <w:rFonts w:ascii="Times New Roman" w:hAnsi="Times New Roman" w:cs="Times New Roman"/>
                <w:spacing w:val="-10"/>
                <w:sz w:val="20"/>
                <w:szCs w:val="20"/>
              </w:rPr>
              <w:t xml:space="preserve"> </w:t>
            </w:r>
            <w:r w:rsidRPr="00CD384C">
              <w:rPr>
                <w:rFonts w:ascii="Times New Roman" w:hAnsi="Times New Roman" w:cs="Times New Roman"/>
                <w:sz w:val="20"/>
                <w:szCs w:val="20"/>
              </w:rPr>
              <w:t>Landslide</w:t>
            </w:r>
            <w:r w:rsidRPr="00CD384C">
              <w:rPr>
                <w:rFonts w:ascii="Times New Roman" w:hAnsi="Times New Roman" w:cs="Times New Roman"/>
                <w:spacing w:val="-10"/>
                <w:sz w:val="20"/>
                <w:szCs w:val="20"/>
              </w:rPr>
              <w:t xml:space="preserve"> </w:t>
            </w:r>
            <w:r w:rsidRPr="00CD384C">
              <w:rPr>
                <w:rFonts w:ascii="Times New Roman" w:hAnsi="Times New Roman" w:cs="Times New Roman"/>
                <w:spacing w:val="-2"/>
                <w:sz w:val="20"/>
                <w:szCs w:val="20"/>
              </w:rPr>
              <w:t>Zones</w:t>
            </w:r>
          </w:p>
        </w:tc>
        <w:tc>
          <w:tcPr>
            <w:tcW w:w="2452" w:type="dxa"/>
          </w:tcPr>
          <w:p w14:paraId="4E0035C9" w14:textId="77777777" w:rsidR="00C30588" w:rsidRPr="00CD384C" w:rsidRDefault="00C30588" w:rsidP="002F59EF">
            <w:pPr>
              <w:pStyle w:val="TableParagraph"/>
              <w:ind w:left="476"/>
              <w:jc w:val="both"/>
              <w:rPr>
                <w:rFonts w:ascii="Times New Roman" w:hAnsi="Times New Roman" w:cs="Times New Roman"/>
                <w:sz w:val="20"/>
                <w:szCs w:val="20"/>
              </w:rPr>
            </w:pPr>
            <w:r w:rsidRPr="00CD384C">
              <w:rPr>
                <w:rFonts w:ascii="Times New Roman" w:hAnsi="Times New Roman" w:cs="Times New Roman"/>
                <w:sz w:val="20"/>
                <w:szCs w:val="20"/>
              </w:rPr>
              <w:t>1137</w:t>
            </w:r>
          </w:p>
        </w:tc>
        <w:tc>
          <w:tcPr>
            <w:tcW w:w="2631" w:type="dxa"/>
          </w:tcPr>
          <w:p w14:paraId="791C4552" w14:textId="77777777" w:rsidR="00C30588" w:rsidRPr="00CD384C" w:rsidRDefault="00C30588" w:rsidP="002F59EF">
            <w:pPr>
              <w:pStyle w:val="TableParagraph"/>
              <w:ind w:left="794"/>
              <w:jc w:val="both"/>
              <w:rPr>
                <w:rFonts w:ascii="Times New Roman" w:hAnsi="Times New Roman" w:cs="Times New Roman"/>
                <w:sz w:val="20"/>
                <w:szCs w:val="20"/>
              </w:rPr>
            </w:pPr>
            <w:r w:rsidRPr="00CD384C">
              <w:rPr>
                <w:rFonts w:ascii="Times New Roman" w:hAnsi="Times New Roman" w:cs="Times New Roman"/>
                <w:sz w:val="20"/>
                <w:szCs w:val="20"/>
              </w:rPr>
              <w:t>49.77</w:t>
            </w:r>
          </w:p>
        </w:tc>
      </w:tr>
      <w:tr w:rsidR="00C30588" w:rsidRPr="00CD384C" w14:paraId="63EB1DBB" w14:textId="77777777" w:rsidTr="003C352C">
        <w:trPr>
          <w:trHeight w:val="230"/>
        </w:trPr>
        <w:tc>
          <w:tcPr>
            <w:tcW w:w="986" w:type="dxa"/>
          </w:tcPr>
          <w:p w14:paraId="22EEAFF5" w14:textId="77777777" w:rsidR="00C30588" w:rsidRPr="00CD384C" w:rsidRDefault="00C30588" w:rsidP="002F59EF">
            <w:pPr>
              <w:pStyle w:val="TableParagraph"/>
              <w:jc w:val="both"/>
              <w:rPr>
                <w:rFonts w:ascii="Times New Roman" w:hAnsi="Times New Roman" w:cs="Times New Roman"/>
                <w:sz w:val="20"/>
                <w:szCs w:val="20"/>
              </w:rPr>
            </w:pPr>
            <w:r w:rsidRPr="00CD384C">
              <w:rPr>
                <w:rFonts w:ascii="Times New Roman" w:hAnsi="Times New Roman" w:cs="Times New Roman"/>
                <w:spacing w:val="-10"/>
                <w:sz w:val="20"/>
                <w:szCs w:val="20"/>
              </w:rPr>
              <w:t>3</w:t>
            </w:r>
          </w:p>
        </w:tc>
        <w:tc>
          <w:tcPr>
            <w:tcW w:w="3007" w:type="dxa"/>
          </w:tcPr>
          <w:p w14:paraId="39E10BCB" w14:textId="77777777" w:rsidR="00C30588" w:rsidRPr="00CD384C" w:rsidRDefault="00C30588" w:rsidP="002F59EF">
            <w:pPr>
              <w:pStyle w:val="TableParagraph"/>
              <w:ind w:left="300"/>
              <w:jc w:val="both"/>
              <w:rPr>
                <w:rFonts w:ascii="Times New Roman" w:hAnsi="Times New Roman" w:cs="Times New Roman"/>
                <w:sz w:val="20"/>
                <w:szCs w:val="20"/>
              </w:rPr>
            </w:pPr>
            <w:r w:rsidRPr="00CD384C">
              <w:rPr>
                <w:rFonts w:ascii="Times New Roman" w:hAnsi="Times New Roman" w:cs="Times New Roman"/>
                <w:sz w:val="20"/>
                <w:szCs w:val="20"/>
              </w:rPr>
              <w:t>High</w:t>
            </w:r>
            <w:r w:rsidRPr="00CD384C">
              <w:rPr>
                <w:rFonts w:ascii="Times New Roman" w:hAnsi="Times New Roman" w:cs="Times New Roman"/>
                <w:spacing w:val="-9"/>
                <w:sz w:val="20"/>
                <w:szCs w:val="20"/>
              </w:rPr>
              <w:t xml:space="preserve"> </w:t>
            </w:r>
            <w:r w:rsidRPr="00CD384C">
              <w:rPr>
                <w:rFonts w:ascii="Times New Roman" w:hAnsi="Times New Roman" w:cs="Times New Roman"/>
                <w:sz w:val="20"/>
                <w:szCs w:val="20"/>
              </w:rPr>
              <w:t>Landslide</w:t>
            </w:r>
            <w:r w:rsidRPr="00CD384C">
              <w:rPr>
                <w:rFonts w:ascii="Times New Roman" w:hAnsi="Times New Roman" w:cs="Times New Roman"/>
                <w:spacing w:val="-8"/>
                <w:sz w:val="20"/>
                <w:szCs w:val="20"/>
              </w:rPr>
              <w:t xml:space="preserve"> </w:t>
            </w:r>
            <w:r w:rsidRPr="00CD384C">
              <w:rPr>
                <w:rFonts w:ascii="Times New Roman" w:hAnsi="Times New Roman" w:cs="Times New Roman"/>
                <w:spacing w:val="-2"/>
                <w:sz w:val="20"/>
                <w:szCs w:val="20"/>
              </w:rPr>
              <w:t>Zones</w:t>
            </w:r>
          </w:p>
        </w:tc>
        <w:tc>
          <w:tcPr>
            <w:tcW w:w="2452" w:type="dxa"/>
          </w:tcPr>
          <w:p w14:paraId="098E30A8" w14:textId="77777777" w:rsidR="00C30588" w:rsidRPr="00CD384C" w:rsidRDefault="00C30588" w:rsidP="002F59EF">
            <w:pPr>
              <w:pStyle w:val="TableParagraph"/>
              <w:ind w:left="476"/>
              <w:jc w:val="both"/>
              <w:rPr>
                <w:rFonts w:ascii="Times New Roman" w:hAnsi="Times New Roman" w:cs="Times New Roman"/>
                <w:sz w:val="20"/>
                <w:szCs w:val="20"/>
              </w:rPr>
            </w:pPr>
            <w:r w:rsidRPr="00CD384C">
              <w:rPr>
                <w:rFonts w:ascii="Times New Roman" w:hAnsi="Times New Roman" w:cs="Times New Roman"/>
                <w:sz w:val="20"/>
                <w:szCs w:val="20"/>
              </w:rPr>
              <w:t>592</w:t>
            </w:r>
          </w:p>
        </w:tc>
        <w:tc>
          <w:tcPr>
            <w:tcW w:w="2631" w:type="dxa"/>
          </w:tcPr>
          <w:p w14:paraId="2EED6291" w14:textId="77777777" w:rsidR="00C30588" w:rsidRPr="00CD384C" w:rsidRDefault="00C30588" w:rsidP="002F59EF">
            <w:pPr>
              <w:pStyle w:val="TableParagraph"/>
              <w:ind w:left="794"/>
              <w:jc w:val="both"/>
              <w:rPr>
                <w:rFonts w:ascii="Times New Roman" w:hAnsi="Times New Roman" w:cs="Times New Roman"/>
                <w:sz w:val="20"/>
                <w:szCs w:val="20"/>
              </w:rPr>
            </w:pPr>
            <w:r w:rsidRPr="00CD384C">
              <w:rPr>
                <w:rFonts w:ascii="Times New Roman" w:hAnsi="Times New Roman" w:cs="Times New Roman"/>
                <w:sz w:val="20"/>
                <w:szCs w:val="20"/>
              </w:rPr>
              <w:t>25.94</w:t>
            </w:r>
          </w:p>
        </w:tc>
      </w:tr>
      <w:tr w:rsidR="00C30588" w:rsidRPr="00CD384C" w14:paraId="78CFF1CE" w14:textId="77777777" w:rsidTr="003C352C">
        <w:trPr>
          <w:trHeight w:val="227"/>
        </w:trPr>
        <w:tc>
          <w:tcPr>
            <w:tcW w:w="3993" w:type="dxa"/>
            <w:gridSpan w:val="2"/>
          </w:tcPr>
          <w:p w14:paraId="4DE06C98" w14:textId="77777777" w:rsidR="00C30588" w:rsidRPr="00CD384C" w:rsidRDefault="00C30588" w:rsidP="002F59EF">
            <w:pPr>
              <w:pStyle w:val="TableParagraph"/>
              <w:spacing w:line="207" w:lineRule="exact"/>
              <w:jc w:val="both"/>
              <w:rPr>
                <w:rFonts w:ascii="Times New Roman" w:hAnsi="Times New Roman" w:cs="Times New Roman"/>
                <w:position w:val="6"/>
                <w:sz w:val="20"/>
                <w:szCs w:val="20"/>
              </w:rPr>
            </w:pPr>
            <w:r w:rsidRPr="00CD384C">
              <w:rPr>
                <w:rFonts w:ascii="Times New Roman" w:hAnsi="Times New Roman" w:cs="Times New Roman"/>
                <w:sz w:val="20"/>
                <w:szCs w:val="20"/>
              </w:rPr>
              <w:t>Total</w:t>
            </w:r>
            <w:r w:rsidRPr="00CD384C">
              <w:rPr>
                <w:rFonts w:ascii="Times New Roman" w:hAnsi="Times New Roman" w:cs="Times New Roman"/>
                <w:spacing w:val="-7"/>
                <w:sz w:val="20"/>
                <w:szCs w:val="20"/>
              </w:rPr>
              <w:t xml:space="preserve"> </w:t>
            </w:r>
            <w:r w:rsidRPr="00CD384C">
              <w:rPr>
                <w:rFonts w:ascii="Times New Roman" w:hAnsi="Times New Roman" w:cs="Times New Roman"/>
                <w:sz w:val="20"/>
                <w:szCs w:val="20"/>
              </w:rPr>
              <w:t>Area</w:t>
            </w:r>
            <w:r w:rsidRPr="00CD384C">
              <w:rPr>
                <w:rFonts w:ascii="Times New Roman" w:hAnsi="Times New Roman" w:cs="Times New Roman"/>
                <w:spacing w:val="-5"/>
                <w:sz w:val="20"/>
                <w:szCs w:val="20"/>
              </w:rPr>
              <w:t xml:space="preserve"> </w:t>
            </w:r>
            <w:r w:rsidRPr="00CD384C">
              <w:rPr>
                <w:rFonts w:ascii="Times New Roman" w:hAnsi="Times New Roman" w:cs="Times New Roman"/>
                <w:sz w:val="20"/>
                <w:szCs w:val="20"/>
              </w:rPr>
              <w:t>in</w:t>
            </w:r>
            <w:r w:rsidRPr="00CD384C">
              <w:rPr>
                <w:rFonts w:ascii="Times New Roman" w:hAnsi="Times New Roman" w:cs="Times New Roman"/>
                <w:spacing w:val="-4"/>
                <w:sz w:val="20"/>
                <w:szCs w:val="20"/>
              </w:rPr>
              <w:t xml:space="preserve"> </w:t>
            </w:r>
            <w:r w:rsidRPr="00CD384C">
              <w:rPr>
                <w:rFonts w:ascii="Times New Roman" w:hAnsi="Times New Roman" w:cs="Times New Roman"/>
                <w:spacing w:val="-5"/>
                <w:sz w:val="20"/>
                <w:szCs w:val="20"/>
              </w:rPr>
              <w:t>Km</w:t>
            </w:r>
            <w:r w:rsidRPr="00CD384C">
              <w:rPr>
                <w:rFonts w:ascii="Times New Roman" w:hAnsi="Times New Roman" w:cs="Times New Roman"/>
                <w:spacing w:val="-5"/>
                <w:position w:val="6"/>
                <w:sz w:val="20"/>
                <w:szCs w:val="20"/>
              </w:rPr>
              <w:t>2</w:t>
            </w:r>
          </w:p>
        </w:tc>
        <w:tc>
          <w:tcPr>
            <w:tcW w:w="2452" w:type="dxa"/>
          </w:tcPr>
          <w:p w14:paraId="35B2DF02" w14:textId="77777777" w:rsidR="00C30588" w:rsidRPr="00CD384C" w:rsidRDefault="00C30588" w:rsidP="002F59EF">
            <w:pPr>
              <w:pStyle w:val="TableParagraph"/>
              <w:spacing w:line="207" w:lineRule="exact"/>
              <w:ind w:left="476"/>
              <w:jc w:val="both"/>
              <w:rPr>
                <w:rFonts w:ascii="Times New Roman" w:hAnsi="Times New Roman" w:cs="Times New Roman"/>
                <w:sz w:val="20"/>
                <w:szCs w:val="20"/>
              </w:rPr>
            </w:pPr>
            <w:r w:rsidRPr="00CD384C">
              <w:rPr>
                <w:rFonts w:ascii="Times New Roman" w:hAnsi="Times New Roman" w:cs="Times New Roman"/>
                <w:sz w:val="20"/>
                <w:szCs w:val="20"/>
              </w:rPr>
              <w:t>2285</w:t>
            </w:r>
          </w:p>
        </w:tc>
        <w:tc>
          <w:tcPr>
            <w:tcW w:w="2631" w:type="dxa"/>
          </w:tcPr>
          <w:p w14:paraId="2A2216C3" w14:textId="77777777" w:rsidR="00C30588" w:rsidRPr="00CD384C" w:rsidRDefault="00C30588" w:rsidP="002F59EF">
            <w:pPr>
              <w:pStyle w:val="TableParagraph"/>
              <w:spacing w:line="207" w:lineRule="exact"/>
              <w:ind w:left="794"/>
              <w:jc w:val="both"/>
              <w:rPr>
                <w:rFonts w:ascii="Times New Roman" w:hAnsi="Times New Roman" w:cs="Times New Roman"/>
                <w:sz w:val="20"/>
                <w:szCs w:val="20"/>
              </w:rPr>
            </w:pPr>
            <w:r w:rsidRPr="00CD384C">
              <w:rPr>
                <w:rFonts w:ascii="Times New Roman" w:hAnsi="Times New Roman" w:cs="Times New Roman"/>
                <w:sz w:val="20"/>
                <w:szCs w:val="20"/>
              </w:rPr>
              <w:t>100</w:t>
            </w:r>
          </w:p>
        </w:tc>
      </w:tr>
    </w:tbl>
    <w:p w14:paraId="5C7C6A2A" w14:textId="77777777" w:rsidR="00C30588" w:rsidRPr="00CD384C" w:rsidRDefault="00C30588" w:rsidP="002F59EF">
      <w:pPr>
        <w:jc w:val="both"/>
        <w:rPr>
          <w:rFonts w:ascii="Times New Roman" w:hAnsi="Times New Roman" w:cs="Times New Roman"/>
          <w:sz w:val="20"/>
          <w:szCs w:val="20"/>
          <w:lang w:val="en-US"/>
        </w:rPr>
      </w:pPr>
    </w:p>
    <w:p w14:paraId="2C01B0B0" w14:textId="0A62383C" w:rsidR="00C30588" w:rsidRPr="00CD384C" w:rsidRDefault="00C30588"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The susceptibility map reveals that 24.29% (555 km²) of the district falls under the low-risk category, largely concentrated along valley bottoms, gentle slopes and dense forested areas where geomorphic stability is naturally high. The moderate-risk zone covers the largest portion of the district (49.77%; 1137 km²), representing transitional slope gradients and mixed land-use regions where both natural and anthropogenic factors increase vulnerability during extreme rainfall events. High-susceptibility areas account for 25.94% (592 km²), primarily aligned with steep</w:t>
      </w:r>
      <w:r w:rsidR="00B7157F" w:rsidRPr="00CD384C">
        <w:rPr>
          <w:rFonts w:ascii="Times New Roman" w:hAnsi="Times New Roman" w:cs="Times New Roman"/>
          <w:sz w:val="20"/>
          <w:szCs w:val="20"/>
          <w:lang w:val="en-US"/>
        </w:rPr>
        <w:t xml:space="preserve"> hill ranges, dissected terrain</w:t>
      </w:r>
      <w:r w:rsidRPr="00CD384C">
        <w:rPr>
          <w:rFonts w:ascii="Times New Roman" w:hAnsi="Times New Roman" w:cs="Times New Roman"/>
          <w:sz w:val="20"/>
          <w:szCs w:val="20"/>
          <w:lang w:val="en-US"/>
        </w:rPr>
        <w:t xml:space="preserve"> and road-cut environments in the eastern and southern sectors of the district. This pattern strongly corresponds with the rugged physiography and human-induced terrain disturbances, indicating critical zones requiring priority monitoring and mitigation planning</w:t>
      </w:r>
      <w:r w:rsidR="00E950A9">
        <w:rPr>
          <w:rFonts w:ascii="Times New Roman" w:hAnsi="Times New Roman" w:cs="Times New Roman"/>
          <w:sz w:val="20"/>
          <w:szCs w:val="20"/>
          <w:lang w:val="en-US"/>
        </w:rPr>
        <w:t xml:space="preserve"> (figure</w:t>
      </w:r>
      <w:r w:rsidR="00CF0436" w:rsidRPr="00CD384C">
        <w:rPr>
          <w:rFonts w:ascii="Times New Roman" w:hAnsi="Times New Roman" w:cs="Times New Roman"/>
          <w:sz w:val="20"/>
          <w:szCs w:val="20"/>
          <w:lang w:val="en-US"/>
        </w:rPr>
        <w:t xml:space="preserve"> 14)</w:t>
      </w:r>
      <w:r w:rsidRPr="00CD384C">
        <w:rPr>
          <w:rFonts w:ascii="Times New Roman" w:hAnsi="Times New Roman" w:cs="Times New Roman"/>
          <w:sz w:val="20"/>
          <w:szCs w:val="20"/>
          <w:lang w:val="en-US"/>
        </w:rPr>
        <w:t>.</w:t>
      </w:r>
    </w:p>
    <w:p w14:paraId="57E42B33" w14:textId="77777777" w:rsidR="00776271" w:rsidRPr="00CD384C" w:rsidRDefault="00776271" w:rsidP="002F59EF">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eastAsia="en-IN"/>
        </w:rPr>
        <w:drawing>
          <wp:inline distT="0" distB="0" distL="0" distR="0" wp14:anchorId="14083EA8" wp14:editId="1B5868FB">
            <wp:extent cx="1948969" cy="2522196"/>
            <wp:effectExtent l="0" t="0" r="0" b="0"/>
            <wp:docPr id="15" name="Picture 15" descr="C:\Users\Gegen Haokip\Desktop\Pherzawl\MAPS\FIN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egen Haokip\Desktop\Pherzawl\MAPS\FINAL MA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2573" cy="2526860"/>
                    </a:xfrm>
                    <a:prstGeom prst="rect">
                      <a:avLst/>
                    </a:prstGeom>
                    <a:noFill/>
                    <a:ln>
                      <a:noFill/>
                    </a:ln>
                  </pic:spPr>
                </pic:pic>
              </a:graphicData>
            </a:graphic>
          </wp:inline>
        </w:drawing>
      </w:r>
    </w:p>
    <w:p w14:paraId="675A2681" w14:textId="77777777" w:rsidR="00776271" w:rsidRPr="00CD384C" w:rsidRDefault="0077627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Figure 14. </w:t>
      </w:r>
      <w:r w:rsidR="006623AA" w:rsidRPr="00CD384C">
        <w:rPr>
          <w:rFonts w:ascii="Times New Roman" w:hAnsi="Times New Roman" w:cs="Times New Roman"/>
          <w:sz w:val="20"/>
          <w:szCs w:val="20"/>
          <w:lang w:val="en-US"/>
        </w:rPr>
        <w:t>Landslide susceptibility map generated using the Integrated Frequency Ratio - Wei</w:t>
      </w:r>
      <w:r w:rsidR="00C249E7" w:rsidRPr="00CD384C">
        <w:rPr>
          <w:rFonts w:ascii="Times New Roman" w:hAnsi="Times New Roman" w:cs="Times New Roman"/>
          <w:sz w:val="20"/>
          <w:szCs w:val="20"/>
          <w:lang w:val="en-US"/>
        </w:rPr>
        <w:t xml:space="preserve">ght of Evidence (FR - </w:t>
      </w:r>
      <w:r w:rsidR="006623AA" w:rsidRPr="00CD384C">
        <w:rPr>
          <w:rFonts w:ascii="Times New Roman" w:hAnsi="Times New Roman" w:cs="Times New Roman"/>
          <w:sz w:val="20"/>
          <w:szCs w:val="20"/>
          <w:lang w:val="en-US"/>
        </w:rPr>
        <w:t>WOE) model</w:t>
      </w:r>
      <w:r w:rsidRPr="00CD384C">
        <w:rPr>
          <w:rFonts w:ascii="Times New Roman" w:hAnsi="Times New Roman" w:cs="Times New Roman"/>
          <w:sz w:val="20"/>
          <w:szCs w:val="20"/>
          <w:lang w:val="en-US"/>
        </w:rPr>
        <w:t>.</w:t>
      </w:r>
    </w:p>
    <w:p w14:paraId="0884210C" w14:textId="77777777" w:rsidR="00812DA2" w:rsidRPr="00CD384C" w:rsidRDefault="00606048" w:rsidP="002F59EF">
      <w:pPr>
        <w:jc w:val="both"/>
        <w:rPr>
          <w:rFonts w:ascii="Times New Roman" w:hAnsi="Times New Roman" w:cs="Times New Roman"/>
          <w:sz w:val="20"/>
          <w:szCs w:val="20"/>
        </w:rPr>
      </w:pPr>
      <w:r w:rsidRPr="00CD384C">
        <w:rPr>
          <w:rFonts w:ascii="Times New Roman" w:hAnsi="Times New Roman" w:cs="Times New Roman"/>
          <w:sz w:val="20"/>
          <w:szCs w:val="20"/>
        </w:rPr>
        <w:t>Table 15:</w:t>
      </w:r>
      <w:r w:rsidR="00AC4E80" w:rsidRPr="00CD384C">
        <w:rPr>
          <w:rFonts w:ascii="Times New Roman" w:hAnsi="Times New Roman" w:cs="Times New Roman"/>
          <w:sz w:val="20"/>
          <w:szCs w:val="20"/>
        </w:rPr>
        <w:t xml:space="preserve"> </w:t>
      </w:r>
      <w:r w:rsidR="00034056" w:rsidRPr="00CD384C">
        <w:rPr>
          <w:rFonts w:ascii="Times New Roman" w:hAnsi="Times New Roman" w:cs="Times New Roman"/>
          <w:sz w:val="20"/>
          <w:szCs w:val="20"/>
        </w:rPr>
        <w:t xml:space="preserve">Final </w:t>
      </w:r>
      <w:r w:rsidR="005356D1" w:rsidRPr="00CD384C">
        <w:rPr>
          <w:rFonts w:ascii="Times New Roman" w:hAnsi="Times New Roman" w:cs="Times New Roman"/>
          <w:sz w:val="20"/>
          <w:szCs w:val="20"/>
        </w:rPr>
        <w:t>Frequency Ratio (</w:t>
      </w:r>
      <w:r w:rsidR="00034056" w:rsidRPr="00CD384C">
        <w:rPr>
          <w:rFonts w:ascii="Times New Roman" w:hAnsi="Times New Roman" w:cs="Times New Roman"/>
          <w:sz w:val="20"/>
          <w:szCs w:val="20"/>
        </w:rPr>
        <w:t>FR</w:t>
      </w:r>
      <w:r w:rsidR="005356D1" w:rsidRPr="00CD384C">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1235"/>
        <w:gridCol w:w="2729"/>
        <w:gridCol w:w="5052"/>
      </w:tblGrid>
      <w:tr w:rsidR="003231DC" w:rsidRPr="00CD384C" w14:paraId="0DFA0FB1" w14:textId="77777777" w:rsidTr="003231DC">
        <w:tc>
          <w:tcPr>
            <w:tcW w:w="1271" w:type="dxa"/>
          </w:tcPr>
          <w:p w14:paraId="4FF47857" w14:textId="77777777"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Sl. No.</w:t>
            </w:r>
          </w:p>
        </w:tc>
        <w:tc>
          <w:tcPr>
            <w:tcW w:w="2835" w:type="dxa"/>
          </w:tcPr>
          <w:p w14:paraId="70B9772C" w14:textId="77777777"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Class</w:t>
            </w:r>
          </w:p>
        </w:tc>
        <w:tc>
          <w:tcPr>
            <w:tcW w:w="5244" w:type="dxa"/>
          </w:tcPr>
          <w:p w14:paraId="161DBD76" w14:textId="77777777"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FR Category</w:t>
            </w:r>
          </w:p>
        </w:tc>
      </w:tr>
      <w:tr w:rsidR="003231DC" w:rsidRPr="00CD384C" w14:paraId="7B78C4F1" w14:textId="77777777" w:rsidTr="003231DC">
        <w:tc>
          <w:tcPr>
            <w:tcW w:w="1271" w:type="dxa"/>
          </w:tcPr>
          <w:p w14:paraId="4D38B924" w14:textId="77777777"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1</w:t>
            </w:r>
          </w:p>
        </w:tc>
        <w:tc>
          <w:tcPr>
            <w:tcW w:w="2835" w:type="dxa"/>
          </w:tcPr>
          <w:p w14:paraId="14236AA1" w14:textId="77777777"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FR &lt; 1</w:t>
            </w:r>
          </w:p>
        </w:tc>
        <w:tc>
          <w:tcPr>
            <w:tcW w:w="5244" w:type="dxa"/>
          </w:tcPr>
          <w:p w14:paraId="2DBE6015" w14:textId="77777777"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Low susceptibility</w:t>
            </w:r>
          </w:p>
        </w:tc>
      </w:tr>
      <w:tr w:rsidR="003231DC" w:rsidRPr="00CD384C" w14:paraId="5082370B" w14:textId="77777777" w:rsidTr="003231DC">
        <w:tc>
          <w:tcPr>
            <w:tcW w:w="1271" w:type="dxa"/>
          </w:tcPr>
          <w:p w14:paraId="63283E0C" w14:textId="77777777"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2</w:t>
            </w:r>
          </w:p>
        </w:tc>
        <w:tc>
          <w:tcPr>
            <w:tcW w:w="2835" w:type="dxa"/>
          </w:tcPr>
          <w:p w14:paraId="19E12CCD" w14:textId="77777777"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1 ≤ FR ≤ 1.5</w:t>
            </w:r>
          </w:p>
        </w:tc>
        <w:tc>
          <w:tcPr>
            <w:tcW w:w="5244" w:type="dxa"/>
          </w:tcPr>
          <w:p w14:paraId="6E807129" w14:textId="77777777"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Moderate–High influence</w:t>
            </w:r>
          </w:p>
        </w:tc>
      </w:tr>
      <w:tr w:rsidR="003231DC" w:rsidRPr="00CD384C" w14:paraId="1D2B1ABE" w14:textId="77777777" w:rsidTr="003231DC">
        <w:tc>
          <w:tcPr>
            <w:tcW w:w="1271" w:type="dxa"/>
          </w:tcPr>
          <w:p w14:paraId="2E86724B" w14:textId="77777777"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3</w:t>
            </w:r>
          </w:p>
        </w:tc>
        <w:tc>
          <w:tcPr>
            <w:tcW w:w="2835" w:type="dxa"/>
          </w:tcPr>
          <w:p w14:paraId="76DB8427" w14:textId="77777777"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FR &gt; 1.5</w:t>
            </w:r>
          </w:p>
        </w:tc>
        <w:tc>
          <w:tcPr>
            <w:tcW w:w="5244" w:type="dxa"/>
          </w:tcPr>
          <w:p w14:paraId="5E69D55C" w14:textId="77777777"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Strong influence</w:t>
            </w:r>
          </w:p>
        </w:tc>
      </w:tr>
    </w:tbl>
    <w:p w14:paraId="19ADA937" w14:textId="77777777" w:rsidR="003231DC" w:rsidRPr="00CD384C" w:rsidRDefault="003231DC" w:rsidP="002F59EF">
      <w:pPr>
        <w:jc w:val="both"/>
        <w:rPr>
          <w:rFonts w:ascii="Times New Roman" w:hAnsi="Times New Roman" w:cs="Times New Roman"/>
          <w:sz w:val="20"/>
          <w:szCs w:val="20"/>
        </w:rPr>
      </w:pPr>
    </w:p>
    <w:p w14:paraId="364173AE" w14:textId="77777777" w:rsidR="00812DA2" w:rsidRPr="00CD384C" w:rsidRDefault="00812DA2" w:rsidP="002F59EF">
      <w:pPr>
        <w:jc w:val="both"/>
        <w:rPr>
          <w:rFonts w:ascii="Times New Roman" w:hAnsi="Times New Roman" w:cs="Times New Roman"/>
          <w:sz w:val="20"/>
          <w:szCs w:val="20"/>
        </w:rPr>
      </w:pPr>
      <w:r w:rsidRPr="00CD384C">
        <w:rPr>
          <w:rFonts w:ascii="Times New Roman" w:hAnsi="Times New Roman" w:cs="Times New Roman"/>
          <w:sz w:val="20"/>
          <w:szCs w:val="20"/>
        </w:rPr>
        <w:t>The FR model performance is statistically valid at 99% confidence.</w:t>
      </w:r>
    </w:p>
    <w:p w14:paraId="07FFA5BE" w14:textId="5A21455C" w:rsidR="0061353C" w:rsidRPr="00CD384C" w:rsidRDefault="0061353C" w:rsidP="001472A2">
      <w:pPr>
        <w:jc w:val="both"/>
        <w:rPr>
          <w:rFonts w:ascii="Times New Roman" w:hAnsi="Times New Roman" w:cs="Times New Roman"/>
          <w:sz w:val="20"/>
          <w:szCs w:val="20"/>
        </w:rPr>
      </w:pPr>
      <w:r w:rsidRPr="00CD384C">
        <w:rPr>
          <w:rFonts w:ascii="Times New Roman" w:hAnsi="Times New Roman" w:cs="Times New Roman"/>
          <w:sz w:val="20"/>
          <w:szCs w:val="20"/>
        </w:rPr>
        <w:t>The FR model performance is statistically valid at 99%</w:t>
      </w:r>
      <w:r w:rsidR="000B0603" w:rsidRPr="00CD384C">
        <w:rPr>
          <w:rFonts w:ascii="Times New Roman" w:hAnsi="Times New Roman" w:cs="Times New Roman"/>
          <w:sz w:val="20"/>
          <w:szCs w:val="20"/>
        </w:rPr>
        <w:t xml:space="preserve"> confidence</w:t>
      </w:r>
      <w:r w:rsidRPr="00CD384C">
        <w:rPr>
          <w:rFonts w:ascii="Times New Roman" w:hAnsi="Times New Roman" w:cs="Times New Roman"/>
          <w:sz w:val="20"/>
          <w:szCs w:val="20"/>
        </w:rPr>
        <w:t>. The Frequency Ratio (FR) model indicated strong correlation between elevation, slope steepness, drainage proximity, and land use with landslide o</w:t>
      </w:r>
      <w:r w:rsidR="000B0603" w:rsidRPr="00CD384C">
        <w:rPr>
          <w:rFonts w:ascii="Times New Roman" w:hAnsi="Times New Roman" w:cs="Times New Roman"/>
          <w:sz w:val="20"/>
          <w:szCs w:val="20"/>
        </w:rPr>
        <w:t>ccu</w:t>
      </w:r>
      <w:r w:rsidR="00852448">
        <w:rPr>
          <w:rFonts w:ascii="Times New Roman" w:hAnsi="Times New Roman" w:cs="Times New Roman"/>
          <w:sz w:val="20"/>
          <w:szCs w:val="20"/>
        </w:rPr>
        <w:t>rrence in Pherzawl district</w:t>
      </w:r>
      <w:r w:rsidR="00D97381">
        <w:rPr>
          <w:rFonts w:ascii="Times New Roman" w:hAnsi="Times New Roman" w:cs="Times New Roman"/>
          <w:sz w:val="20"/>
          <w:szCs w:val="20"/>
        </w:rPr>
        <w:t xml:space="preserve"> (</w:t>
      </w:r>
      <w:r w:rsidR="00D97381" w:rsidRPr="00012B18">
        <w:rPr>
          <w:rFonts w:ascii="Times New Roman" w:hAnsi="Times New Roman" w:cs="Times New Roman"/>
          <w:sz w:val="20"/>
          <w:szCs w:val="20"/>
          <w:lang w:val="en-US"/>
        </w:rPr>
        <w:t>Sheng, M., Zhang, Y.,</w:t>
      </w:r>
      <w:r w:rsidR="00D97381">
        <w:rPr>
          <w:rFonts w:ascii="Times New Roman" w:hAnsi="Times New Roman" w:cs="Times New Roman"/>
          <w:sz w:val="20"/>
          <w:szCs w:val="20"/>
          <w:lang w:val="en-US"/>
        </w:rPr>
        <w:t xml:space="preserve"> Deng, J., Liu, L., &amp; Zhao, L. </w:t>
      </w:r>
      <w:r w:rsidR="00D97381" w:rsidRPr="00012B18">
        <w:rPr>
          <w:rFonts w:ascii="Times New Roman" w:hAnsi="Times New Roman" w:cs="Times New Roman"/>
          <w:sz w:val="20"/>
          <w:szCs w:val="20"/>
          <w:lang w:val="en-US"/>
        </w:rPr>
        <w:t>2022)</w:t>
      </w:r>
      <w:r w:rsidRPr="00CD384C">
        <w:rPr>
          <w:rFonts w:ascii="Times New Roman" w:hAnsi="Times New Roman" w:cs="Times New Roman"/>
          <w:sz w:val="20"/>
          <w:szCs w:val="20"/>
        </w:rPr>
        <w:t>. Higher FR values were observed in elevations above 600 m (FR = 1.24–1.44), slopes greater than 30</w:t>
      </w:r>
      <w:r w:rsidRPr="00CD384C">
        <w:rPr>
          <w:rFonts w:ascii="Times New Roman" w:hAnsi="Times New Roman" w:cs="Times New Roman"/>
          <w:sz w:val="20"/>
          <w:szCs w:val="20"/>
          <w:vertAlign w:val="superscript"/>
        </w:rPr>
        <w:t>o</w:t>
      </w:r>
      <w:r w:rsidRPr="00CD384C">
        <w:rPr>
          <w:rFonts w:ascii="Times New Roman" w:hAnsi="Times New Roman" w:cs="Times New Roman"/>
          <w:sz w:val="20"/>
          <w:szCs w:val="20"/>
        </w:rPr>
        <w:t xml:space="preserve"> (FR = 1.19–1.44) and within 300 m of drainage (FR = 1.39–1.85), confirming the geomorphological control on slope instability. Land Use/Land Cover factors indicate that Jhum Land (FR = 11.36) and Built-Up Area (FR = 12.90) show extremely high susceptibility due to anthropogenic disturbance and small area proportions. Vegetation areas also show a high overall susceptibility (FR = 1.79). The FR model shows that steeper slopes and sedimentary formations have higher FR values, indicating strong correlat</w:t>
      </w:r>
      <w:r w:rsidR="000B0603" w:rsidRPr="00CD384C">
        <w:rPr>
          <w:rFonts w:ascii="Times New Roman" w:hAnsi="Times New Roman" w:cs="Times New Roman"/>
          <w:sz w:val="20"/>
          <w:szCs w:val="20"/>
        </w:rPr>
        <w:t>ion with landslide occurrences</w:t>
      </w:r>
      <w:r w:rsidR="00484A85">
        <w:rPr>
          <w:rFonts w:ascii="Times New Roman" w:hAnsi="Times New Roman" w:cs="Times New Roman"/>
          <w:sz w:val="20"/>
          <w:szCs w:val="20"/>
        </w:rPr>
        <w:t xml:space="preserve"> (</w:t>
      </w:r>
      <w:r w:rsidR="00484A85">
        <w:rPr>
          <w:rFonts w:ascii="Arial" w:eastAsia="Times New Roman" w:hAnsi="Arial" w:cs="Arial"/>
          <w:sz w:val="18"/>
          <w:szCs w:val="18"/>
        </w:rPr>
        <w:t xml:space="preserve">Liu, C., Wang, Z., &amp; Yu, R. </w:t>
      </w:r>
      <w:r w:rsidR="00484A85" w:rsidRPr="005A25C6">
        <w:rPr>
          <w:rFonts w:ascii="Arial" w:eastAsia="Times New Roman" w:hAnsi="Arial" w:cs="Arial"/>
          <w:sz w:val="18"/>
          <w:szCs w:val="18"/>
        </w:rPr>
        <w:t>2023</w:t>
      </w:r>
      <w:r w:rsidR="00484A85">
        <w:rPr>
          <w:rFonts w:ascii="Arial" w:eastAsia="Times New Roman" w:hAnsi="Arial" w:cs="Arial"/>
          <w:sz w:val="18"/>
          <w:szCs w:val="18"/>
        </w:rPr>
        <w:t>)</w:t>
      </w:r>
      <w:r w:rsidRPr="00CD384C">
        <w:rPr>
          <w:rFonts w:ascii="Times New Roman" w:hAnsi="Times New Roman" w:cs="Times New Roman"/>
          <w:sz w:val="20"/>
          <w:szCs w:val="20"/>
        </w:rPr>
        <w:t>. The LSI map c</w:t>
      </w:r>
      <w:r w:rsidR="004C1A5B" w:rsidRPr="00CD384C">
        <w:rPr>
          <w:rFonts w:ascii="Times New Roman" w:hAnsi="Times New Roman" w:cs="Times New Roman"/>
          <w:sz w:val="20"/>
          <w:szCs w:val="20"/>
        </w:rPr>
        <w:t>lassified the region into low (</w:t>
      </w:r>
      <w:r w:rsidRPr="00CD384C">
        <w:rPr>
          <w:rFonts w:ascii="Times New Roman" w:hAnsi="Times New Roman" w:cs="Times New Roman"/>
          <w:sz w:val="20"/>
          <w:szCs w:val="20"/>
        </w:rPr>
        <w:t>24.</w:t>
      </w:r>
      <w:r w:rsidR="004C1A5B" w:rsidRPr="00CD384C">
        <w:rPr>
          <w:rFonts w:ascii="Times New Roman" w:hAnsi="Times New Roman" w:cs="Times New Roman"/>
          <w:sz w:val="20"/>
          <w:szCs w:val="20"/>
        </w:rPr>
        <w:t>29%</w:t>
      </w:r>
      <w:r w:rsidRPr="00CD384C">
        <w:rPr>
          <w:rFonts w:ascii="Times New Roman" w:hAnsi="Times New Roman" w:cs="Times New Roman"/>
          <w:sz w:val="20"/>
          <w:szCs w:val="20"/>
        </w:rPr>
        <w:t>), medium (49.77%) and high (25.94%) susceptibility zones (Table 14).</w:t>
      </w:r>
    </w:p>
    <w:p w14:paraId="75862118" w14:textId="77777777" w:rsidR="00C30588" w:rsidRPr="00CD384C" w:rsidRDefault="00657C61" w:rsidP="002F59EF">
      <w:pPr>
        <w:jc w:val="both"/>
        <w:rPr>
          <w:rFonts w:ascii="Times New Roman" w:hAnsi="Times New Roman" w:cs="Times New Roman"/>
          <w:sz w:val="20"/>
          <w:szCs w:val="20"/>
        </w:rPr>
      </w:pPr>
      <w:r w:rsidRPr="00CD384C">
        <w:rPr>
          <w:rFonts w:ascii="Times New Roman" w:hAnsi="Times New Roman" w:cs="Times New Roman"/>
          <w:sz w:val="20"/>
          <w:szCs w:val="20"/>
        </w:rPr>
        <w:lastRenderedPageBreak/>
        <w:t>Table 16:</w:t>
      </w:r>
      <w:r w:rsidR="00C30588" w:rsidRPr="00CD384C">
        <w:rPr>
          <w:rFonts w:ascii="Times New Roman" w:hAnsi="Times New Roman" w:cs="Times New Roman"/>
          <w:sz w:val="20"/>
          <w:szCs w:val="20"/>
        </w:rPr>
        <w:t xml:space="preserve"> Chi-Square Output</w:t>
      </w:r>
    </w:p>
    <w:tbl>
      <w:tblPr>
        <w:tblStyle w:val="TableGrid"/>
        <w:tblW w:w="0" w:type="auto"/>
        <w:tblLook w:val="04A0" w:firstRow="1" w:lastRow="0" w:firstColumn="1" w:lastColumn="0" w:noHBand="0" w:noVBand="1"/>
      </w:tblPr>
      <w:tblGrid>
        <w:gridCol w:w="1639"/>
        <w:gridCol w:w="2810"/>
        <w:gridCol w:w="4567"/>
      </w:tblGrid>
      <w:tr w:rsidR="00C30588" w:rsidRPr="00CD384C" w14:paraId="136619B2" w14:textId="77777777" w:rsidTr="003C352C">
        <w:tc>
          <w:tcPr>
            <w:tcW w:w="1696" w:type="dxa"/>
          </w:tcPr>
          <w:p w14:paraId="35B082F7" w14:textId="77777777" w:rsidR="00C30588" w:rsidRPr="00CD384C" w:rsidRDefault="00C30588" w:rsidP="002F59EF">
            <w:pPr>
              <w:jc w:val="both"/>
              <w:rPr>
                <w:rFonts w:ascii="Times New Roman" w:hAnsi="Times New Roman" w:cs="Times New Roman"/>
                <w:sz w:val="20"/>
                <w:szCs w:val="20"/>
              </w:rPr>
            </w:pPr>
            <w:r w:rsidRPr="00CD384C">
              <w:rPr>
                <w:rFonts w:ascii="Times New Roman" w:hAnsi="Times New Roman" w:cs="Times New Roman"/>
                <w:sz w:val="20"/>
                <w:szCs w:val="20"/>
              </w:rPr>
              <w:t xml:space="preserve">Sl. No. </w:t>
            </w:r>
          </w:p>
        </w:tc>
        <w:tc>
          <w:tcPr>
            <w:tcW w:w="2900" w:type="dxa"/>
          </w:tcPr>
          <w:p w14:paraId="4F9D1146" w14:textId="77777777" w:rsidR="00C30588" w:rsidRPr="00CD384C" w:rsidRDefault="00C30588" w:rsidP="002F59EF">
            <w:pPr>
              <w:jc w:val="both"/>
              <w:rPr>
                <w:rFonts w:ascii="Times New Roman" w:hAnsi="Times New Roman" w:cs="Times New Roman"/>
                <w:sz w:val="20"/>
                <w:szCs w:val="20"/>
              </w:rPr>
            </w:pPr>
            <w:r w:rsidRPr="00CD384C">
              <w:rPr>
                <w:rFonts w:ascii="Times New Roman" w:hAnsi="Times New Roman" w:cs="Times New Roman"/>
                <w:sz w:val="20"/>
                <w:szCs w:val="20"/>
              </w:rPr>
              <w:t>Model Statistic</w:t>
            </w:r>
          </w:p>
        </w:tc>
        <w:tc>
          <w:tcPr>
            <w:tcW w:w="4754" w:type="dxa"/>
          </w:tcPr>
          <w:p w14:paraId="57AC9893" w14:textId="77777777" w:rsidR="00C30588" w:rsidRPr="00CD384C" w:rsidRDefault="00C30588" w:rsidP="002F59EF">
            <w:pPr>
              <w:ind w:left="152"/>
              <w:jc w:val="both"/>
              <w:rPr>
                <w:rFonts w:ascii="Times New Roman" w:hAnsi="Times New Roman" w:cs="Times New Roman"/>
                <w:sz w:val="20"/>
                <w:szCs w:val="20"/>
              </w:rPr>
            </w:pPr>
            <w:r w:rsidRPr="00CD384C">
              <w:rPr>
                <w:rFonts w:ascii="Times New Roman" w:hAnsi="Times New Roman" w:cs="Times New Roman"/>
                <w:sz w:val="20"/>
                <w:szCs w:val="20"/>
              </w:rPr>
              <w:t>Value</w:t>
            </w:r>
          </w:p>
        </w:tc>
      </w:tr>
      <w:tr w:rsidR="00C30588" w:rsidRPr="00CD384C" w14:paraId="495BE887" w14:textId="77777777" w:rsidTr="003C352C">
        <w:tc>
          <w:tcPr>
            <w:tcW w:w="1696" w:type="dxa"/>
          </w:tcPr>
          <w:p w14:paraId="4EF4706B" w14:textId="77777777" w:rsidR="00C30588" w:rsidRPr="00CD384C" w:rsidRDefault="00C30588" w:rsidP="002F59EF">
            <w:pPr>
              <w:jc w:val="both"/>
              <w:rPr>
                <w:rFonts w:ascii="Times New Roman" w:hAnsi="Times New Roman" w:cs="Times New Roman"/>
                <w:sz w:val="20"/>
                <w:szCs w:val="20"/>
              </w:rPr>
            </w:pPr>
            <w:r w:rsidRPr="00CD384C">
              <w:rPr>
                <w:rFonts w:ascii="Times New Roman" w:hAnsi="Times New Roman" w:cs="Times New Roman"/>
                <w:sz w:val="20"/>
                <w:szCs w:val="20"/>
              </w:rPr>
              <w:t>1</w:t>
            </w:r>
          </w:p>
        </w:tc>
        <w:tc>
          <w:tcPr>
            <w:tcW w:w="2900" w:type="dxa"/>
          </w:tcPr>
          <w:p w14:paraId="12899FE7" w14:textId="77777777" w:rsidR="00C30588" w:rsidRPr="00CD384C" w:rsidRDefault="00C30588" w:rsidP="002F59EF">
            <w:pPr>
              <w:jc w:val="both"/>
              <w:rPr>
                <w:rFonts w:ascii="Times New Roman" w:hAnsi="Times New Roman" w:cs="Times New Roman"/>
                <w:sz w:val="20"/>
                <w:szCs w:val="20"/>
              </w:rPr>
            </w:pPr>
            <w:r w:rsidRPr="00CD384C">
              <w:rPr>
                <w:rFonts w:ascii="Times New Roman" w:hAnsi="Times New Roman" w:cs="Times New Roman"/>
                <w:sz w:val="20"/>
                <w:szCs w:val="20"/>
              </w:rPr>
              <w:t>χ² calculated</w:t>
            </w:r>
          </w:p>
        </w:tc>
        <w:tc>
          <w:tcPr>
            <w:tcW w:w="4754" w:type="dxa"/>
          </w:tcPr>
          <w:p w14:paraId="44C80B07" w14:textId="77777777" w:rsidR="00C30588" w:rsidRPr="00CD384C" w:rsidRDefault="00C30588" w:rsidP="002F59EF">
            <w:pPr>
              <w:ind w:left="212"/>
              <w:jc w:val="both"/>
              <w:rPr>
                <w:rFonts w:ascii="Times New Roman" w:hAnsi="Times New Roman" w:cs="Times New Roman"/>
                <w:sz w:val="20"/>
                <w:szCs w:val="20"/>
              </w:rPr>
            </w:pPr>
            <w:r w:rsidRPr="00CD384C">
              <w:rPr>
                <w:rFonts w:ascii="Times New Roman" w:hAnsi="Times New Roman" w:cs="Times New Roman"/>
                <w:sz w:val="20"/>
                <w:szCs w:val="20"/>
              </w:rPr>
              <w:t>28.47</w:t>
            </w:r>
          </w:p>
        </w:tc>
      </w:tr>
      <w:tr w:rsidR="00C30588" w:rsidRPr="00CD384C" w14:paraId="2148575B" w14:textId="77777777" w:rsidTr="003C352C">
        <w:tc>
          <w:tcPr>
            <w:tcW w:w="1696" w:type="dxa"/>
          </w:tcPr>
          <w:p w14:paraId="65F46CD7" w14:textId="77777777" w:rsidR="00C30588" w:rsidRPr="00CD384C" w:rsidRDefault="00C30588" w:rsidP="002F59EF">
            <w:pPr>
              <w:jc w:val="both"/>
              <w:rPr>
                <w:rFonts w:ascii="Times New Roman" w:hAnsi="Times New Roman" w:cs="Times New Roman"/>
                <w:sz w:val="20"/>
                <w:szCs w:val="20"/>
              </w:rPr>
            </w:pPr>
            <w:r w:rsidRPr="00CD384C">
              <w:rPr>
                <w:rFonts w:ascii="Times New Roman" w:hAnsi="Times New Roman" w:cs="Times New Roman"/>
                <w:sz w:val="20"/>
                <w:szCs w:val="20"/>
              </w:rPr>
              <w:t>2</w:t>
            </w:r>
          </w:p>
        </w:tc>
        <w:tc>
          <w:tcPr>
            <w:tcW w:w="2900" w:type="dxa"/>
          </w:tcPr>
          <w:p w14:paraId="6D006039" w14:textId="77777777" w:rsidR="00C30588" w:rsidRPr="00CD384C" w:rsidRDefault="00C30588" w:rsidP="002F59EF">
            <w:pPr>
              <w:jc w:val="both"/>
              <w:rPr>
                <w:rFonts w:ascii="Times New Roman" w:hAnsi="Times New Roman" w:cs="Times New Roman"/>
                <w:sz w:val="20"/>
                <w:szCs w:val="20"/>
              </w:rPr>
            </w:pPr>
            <w:r w:rsidRPr="00CD384C">
              <w:rPr>
                <w:rFonts w:ascii="Times New Roman" w:hAnsi="Times New Roman" w:cs="Times New Roman"/>
                <w:sz w:val="20"/>
                <w:szCs w:val="20"/>
              </w:rPr>
              <w:t>χ² critical (df=9, p&lt;0.01)</w:t>
            </w:r>
          </w:p>
        </w:tc>
        <w:tc>
          <w:tcPr>
            <w:tcW w:w="4754" w:type="dxa"/>
          </w:tcPr>
          <w:p w14:paraId="42786F08" w14:textId="77777777" w:rsidR="00C30588" w:rsidRPr="00CD384C" w:rsidRDefault="00C30588" w:rsidP="002F59EF">
            <w:pPr>
              <w:ind w:left="212"/>
              <w:jc w:val="both"/>
              <w:rPr>
                <w:rFonts w:ascii="Times New Roman" w:hAnsi="Times New Roman" w:cs="Times New Roman"/>
                <w:sz w:val="20"/>
                <w:szCs w:val="20"/>
              </w:rPr>
            </w:pPr>
            <w:r w:rsidRPr="00CD384C">
              <w:rPr>
                <w:rFonts w:ascii="Times New Roman" w:hAnsi="Times New Roman" w:cs="Times New Roman"/>
                <w:sz w:val="20"/>
                <w:szCs w:val="20"/>
              </w:rPr>
              <w:t>21.67</w:t>
            </w:r>
          </w:p>
        </w:tc>
      </w:tr>
      <w:tr w:rsidR="00C30588" w:rsidRPr="00CD384C" w14:paraId="520A6915" w14:textId="77777777" w:rsidTr="003C352C">
        <w:tc>
          <w:tcPr>
            <w:tcW w:w="9350" w:type="dxa"/>
            <w:gridSpan w:val="3"/>
          </w:tcPr>
          <w:p w14:paraId="6F4C028A" w14:textId="77777777" w:rsidR="00C30588" w:rsidRPr="00CD384C" w:rsidRDefault="00C30588" w:rsidP="002F59EF">
            <w:pPr>
              <w:jc w:val="both"/>
              <w:rPr>
                <w:rFonts w:ascii="Times New Roman" w:hAnsi="Times New Roman" w:cs="Times New Roman"/>
                <w:sz w:val="20"/>
                <w:szCs w:val="20"/>
              </w:rPr>
            </w:pPr>
            <w:r w:rsidRPr="00CD384C">
              <w:rPr>
                <w:rFonts w:ascii="Times New Roman" w:hAnsi="Times New Roman" w:cs="Times New Roman"/>
                <w:sz w:val="20"/>
                <w:szCs w:val="20"/>
              </w:rPr>
              <w:t>Decision  χ²calc &gt; χ²crit → Model statistically significant</w:t>
            </w:r>
          </w:p>
        </w:tc>
      </w:tr>
    </w:tbl>
    <w:p w14:paraId="746E3BB1" w14:textId="77777777" w:rsidR="00C30588" w:rsidRPr="00CD384C" w:rsidRDefault="00C30588" w:rsidP="002F59EF">
      <w:pPr>
        <w:jc w:val="both"/>
        <w:rPr>
          <w:rFonts w:ascii="Times New Roman" w:hAnsi="Times New Roman" w:cs="Times New Roman"/>
          <w:sz w:val="20"/>
          <w:szCs w:val="20"/>
        </w:rPr>
      </w:pPr>
    </w:p>
    <w:p w14:paraId="43F4F92D" w14:textId="0B665E33" w:rsidR="002E7527" w:rsidRPr="00CD384C" w:rsidRDefault="00812DA2" w:rsidP="002F59EF">
      <w:pPr>
        <w:jc w:val="both"/>
        <w:rPr>
          <w:rFonts w:ascii="Times New Roman" w:hAnsi="Times New Roman" w:cs="Times New Roman"/>
          <w:sz w:val="20"/>
          <w:szCs w:val="20"/>
        </w:rPr>
      </w:pPr>
      <w:r w:rsidRPr="00CD384C">
        <w:rPr>
          <w:rFonts w:ascii="Times New Roman" w:hAnsi="Times New Roman" w:cs="Times New Roman"/>
          <w:sz w:val="20"/>
          <w:szCs w:val="20"/>
        </w:rPr>
        <w:t>The chi-square test yielded χ² = 28.47, exceeding the critical value (21.67, p &lt; 0.01), confirming strong statistical significance. Combined with ROC–AUC = 0.84, the FR model demonstrates reliable predictive capability for landslide susceptibility assessment in Pherzawl district.</w:t>
      </w:r>
      <w:r w:rsidR="00403443">
        <w:rPr>
          <w:rFonts w:ascii="Times New Roman" w:hAnsi="Times New Roman" w:cs="Times New Roman"/>
          <w:sz w:val="20"/>
          <w:szCs w:val="20"/>
        </w:rPr>
        <w:t xml:space="preserve"> </w:t>
      </w:r>
      <w:r w:rsidR="00B771D9" w:rsidRPr="00CD384C">
        <w:rPr>
          <w:rFonts w:ascii="Times New Roman" w:hAnsi="Times New Roman" w:cs="Times New Roman"/>
          <w:sz w:val="20"/>
          <w:szCs w:val="20"/>
        </w:rPr>
        <w:t>Chi-square results revealed a significant association (p &lt; 0.05) between landslide distribution and terrain f</w:t>
      </w:r>
      <w:r w:rsidR="00BD6964" w:rsidRPr="00CD384C">
        <w:rPr>
          <w:rFonts w:ascii="Times New Roman" w:hAnsi="Times New Roman" w:cs="Times New Roman"/>
          <w:sz w:val="20"/>
          <w:szCs w:val="20"/>
        </w:rPr>
        <w:t>actors such as slope, lithology</w:t>
      </w:r>
      <w:r w:rsidR="00B771D9" w:rsidRPr="00CD384C">
        <w:rPr>
          <w:rFonts w:ascii="Times New Roman" w:hAnsi="Times New Roman" w:cs="Times New Roman"/>
          <w:sz w:val="20"/>
          <w:szCs w:val="20"/>
        </w:rPr>
        <w:t xml:space="preserve"> and drainage density. </w:t>
      </w:r>
      <w:r w:rsidR="00FE24CA" w:rsidRPr="00CD384C">
        <w:rPr>
          <w:rFonts w:ascii="Times New Roman" w:hAnsi="Times New Roman" w:cs="Times New Roman"/>
          <w:sz w:val="20"/>
          <w:szCs w:val="20"/>
        </w:rPr>
        <w:t xml:space="preserve">The chi-square value (χ² = 28.47, df = 9, p &lt; 0.01) confirms that landslide occurrence is not randomly distributed but significantly associated with the selected conditioning factors. </w:t>
      </w:r>
      <w:r w:rsidR="00B771D9" w:rsidRPr="00CD384C">
        <w:rPr>
          <w:rFonts w:ascii="Times New Roman" w:hAnsi="Times New Roman" w:cs="Times New Roman"/>
          <w:sz w:val="20"/>
          <w:szCs w:val="20"/>
        </w:rPr>
        <w:t xml:space="preserve">Model performance assessment </w:t>
      </w:r>
      <w:r w:rsidR="00F917BF" w:rsidRPr="00CD384C">
        <w:rPr>
          <w:rFonts w:ascii="Times New Roman" w:hAnsi="Times New Roman" w:cs="Times New Roman"/>
          <w:sz w:val="20"/>
          <w:szCs w:val="20"/>
        </w:rPr>
        <w:t>yielded an AUC value of 0.84</w:t>
      </w:r>
      <w:r w:rsidR="00B771D9" w:rsidRPr="00CD384C">
        <w:rPr>
          <w:rFonts w:ascii="Times New Roman" w:hAnsi="Times New Roman" w:cs="Times New Roman"/>
          <w:sz w:val="20"/>
          <w:szCs w:val="20"/>
        </w:rPr>
        <w:t>, demonstrating strong predictive accuracy and confirming the FR model's suitability for landslide susceptibility mapping in the study area.</w:t>
      </w:r>
    </w:p>
    <w:p w14:paraId="28080133" w14:textId="77777777" w:rsidR="00B32F25" w:rsidRPr="00CD384C" w:rsidRDefault="00606030"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Results and Discussion</w:t>
      </w:r>
    </w:p>
    <w:p w14:paraId="5622D0CD" w14:textId="77777777" w:rsidR="003B01D4" w:rsidRPr="00CD384C" w:rsidRDefault="003B01D4" w:rsidP="002F59EF">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eastAsia="en-IN"/>
        </w:rPr>
        <w:drawing>
          <wp:inline distT="0" distB="0" distL="0" distR="0" wp14:anchorId="29C036A2" wp14:editId="4DFCA956">
            <wp:extent cx="2168260" cy="2805982"/>
            <wp:effectExtent l="0" t="0" r="3810" b="0"/>
            <wp:docPr id="17" name="Picture 17" descr="C:\Users\Gegen Haokip\Desktop\Pherzawl\MAPS\Historic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gen Haokip\Desktop\Pherzawl\MAPS\Historical Ma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2654" cy="2811668"/>
                    </a:xfrm>
                    <a:prstGeom prst="rect">
                      <a:avLst/>
                    </a:prstGeom>
                    <a:noFill/>
                    <a:ln>
                      <a:noFill/>
                    </a:ln>
                  </pic:spPr>
                </pic:pic>
              </a:graphicData>
            </a:graphic>
          </wp:inline>
        </w:drawing>
      </w:r>
    </w:p>
    <w:p w14:paraId="10B1290F" w14:textId="77777777" w:rsidR="00CC428D" w:rsidRPr="00CD384C" w:rsidRDefault="00CC428D" w:rsidP="00895F4E">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15</w:t>
      </w:r>
      <w:r w:rsidR="002F59EF" w:rsidRPr="00CD384C">
        <w:rPr>
          <w:rFonts w:ascii="Times New Roman" w:hAnsi="Times New Roman" w:cs="Times New Roman"/>
          <w:sz w:val="20"/>
          <w:szCs w:val="20"/>
          <w:lang w:val="en-US"/>
        </w:rPr>
        <w:t>.</w:t>
      </w:r>
      <w:r w:rsidRPr="00CD384C">
        <w:rPr>
          <w:rFonts w:ascii="Times New Roman" w:hAnsi="Times New Roman" w:cs="Times New Roman"/>
          <w:sz w:val="20"/>
          <w:szCs w:val="20"/>
          <w:lang w:val="en-US"/>
        </w:rPr>
        <w:t xml:space="preserve"> Landslide historical places</w:t>
      </w:r>
    </w:p>
    <w:p w14:paraId="7780DD18" w14:textId="7C062648" w:rsidR="00A55D4E" w:rsidRPr="00CD384C" w:rsidRDefault="00B32F25"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The landslide susceptibility map generated through the integrated Frequency Ratio and Weight of Evidence modelling framework classified Pherzawl District into three susc</w:t>
      </w:r>
      <w:r w:rsidR="00BD6964" w:rsidRPr="00CD384C">
        <w:rPr>
          <w:rFonts w:ascii="Times New Roman" w:hAnsi="Times New Roman" w:cs="Times New Roman"/>
          <w:sz w:val="20"/>
          <w:szCs w:val="20"/>
          <w:lang w:val="en-US"/>
        </w:rPr>
        <w:t>eptibility zones: Low, Moderate</w:t>
      </w:r>
      <w:r w:rsidRPr="00CD384C">
        <w:rPr>
          <w:rFonts w:ascii="Times New Roman" w:hAnsi="Times New Roman" w:cs="Times New Roman"/>
          <w:sz w:val="20"/>
          <w:szCs w:val="20"/>
          <w:lang w:val="en-US"/>
        </w:rPr>
        <w:t xml:space="preserve"> and High. The spatial distribution pattern reveals that susceptibility increases prominently in mountainous regions with steep grad</w:t>
      </w:r>
      <w:r w:rsidR="00BD6964" w:rsidRPr="00CD384C">
        <w:rPr>
          <w:rFonts w:ascii="Times New Roman" w:hAnsi="Times New Roman" w:cs="Times New Roman"/>
          <w:sz w:val="20"/>
          <w:szCs w:val="20"/>
          <w:lang w:val="en-US"/>
        </w:rPr>
        <w:t>ients, deeply dissected terrain</w:t>
      </w:r>
      <w:r w:rsidRPr="00CD384C">
        <w:rPr>
          <w:rFonts w:ascii="Times New Roman" w:hAnsi="Times New Roman" w:cs="Times New Roman"/>
          <w:sz w:val="20"/>
          <w:szCs w:val="20"/>
          <w:lang w:val="en-US"/>
        </w:rPr>
        <w:t xml:space="preserve"> and areas subjected to anthropogenic modification. </w:t>
      </w:r>
      <w:r w:rsidR="00CB3AA4" w:rsidRPr="00CD384C">
        <w:rPr>
          <w:rFonts w:ascii="Times New Roman" w:hAnsi="Times New Roman" w:cs="Times New Roman"/>
          <w:sz w:val="20"/>
          <w:szCs w:val="20"/>
          <w:lang w:val="en-US"/>
        </w:rPr>
        <w:t xml:space="preserve">High-susceptibility zones are largely concentrated along the eastern and southern hill ranges, where elevation transitions sharply and slope angles are high, intensifying gravitational instability. This vulnerability is particularly evident in and around key settlements such as </w:t>
      </w:r>
      <w:proofErr w:type="spellStart"/>
      <w:r w:rsidR="00CB3AA4" w:rsidRPr="00CD384C">
        <w:rPr>
          <w:rFonts w:ascii="Times New Roman" w:hAnsi="Times New Roman" w:cs="Times New Roman"/>
          <w:sz w:val="20"/>
          <w:szCs w:val="20"/>
          <w:lang w:val="en-US"/>
        </w:rPr>
        <w:t>Pherzawl</w:t>
      </w:r>
      <w:proofErr w:type="spellEnd"/>
      <w:r w:rsidR="00CB3AA4" w:rsidRPr="00CD384C">
        <w:rPr>
          <w:rFonts w:ascii="Times New Roman" w:hAnsi="Times New Roman" w:cs="Times New Roman"/>
          <w:sz w:val="20"/>
          <w:szCs w:val="20"/>
          <w:lang w:val="en-US"/>
        </w:rPr>
        <w:t xml:space="preserve">, </w:t>
      </w:r>
      <w:proofErr w:type="spellStart"/>
      <w:r w:rsidR="00CB3AA4" w:rsidRPr="00CD384C">
        <w:rPr>
          <w:rFonts w:ascii="Times New Roman" w:hAnsi="Times New Roman" w:cs="Times New Roman"/>
          <w:sz w:val="20"/>
          <w:szCs w:val="20"/>
          <w:lang w:val="en-US"/>
        </w:rPr>
        <w:t>Tinsuong</w:t>
      </w:r>
      <w:proofErr w:type="spellEnd"/>
      <w:r w:rsidR="00CB3AA4" w:rsidRPr="00CD384C">
        <w:rPr>
          <w:rFonts w:ascii="Times New Roman" w:hAnsi="Times New Roman" w:cs="Times New Roman"/>
          <w:sz w:val="20"/>
          <w:szCs w:val="20"/>
          <w:lang w:val="en-US"/>
        </w:rPr>
        <w:t xml:space="preserve">, </w:t>
      </w:r>
      <w:proofErr w:type="spellStart"/>
      <w:r w:rsidR="00CB3AA4" w:rsidRPr="00CD384C">
        <w:rPr>
          <w:rFonts w:ascii="Times New Roman" w:hAnsi="Times New Roman" w:cs="Times New Roman"/>
          <w:sz w:val="20"/>
          <w:szCs w:val="20"/>
          <w:lang w:val="en-US"/>
        </w:rPr>
        <w:t>Sinzawl</w:t>
      </w:r>
      <w:proofErr w:type="spellEnd"/>
      <w:r w:rsidR="00CB3AA4" w:rsidRPr="00CD384C">
        <w:rPr>
          <w:rFonts w:ascii="Times New Roman" w:hAnsi="Times New Roman" w:cs="Times New Roman"/>
          <w:sz w:val="20"/>
          <w:szCs w:val="20"/>
          <w:lang w:val="en-US"/>
        </w:rPr>
        <w:t xml:space="preserve">, </w:t>
      </w:r>
      <w:proofErr w:type="spellStart"/>
      <w:r w:rsidR="00CB3AA4" w:rsidRPr="00CD384C">
        <w:rPr>
          <w:rFonts w:ascii="Times New Roman" w:hAnsi="Times New Roman" w:cs="Times New Roman"/>
          <w:sz w:val="20"/>
          <w:szCs w:val="20"/>
          <w:lang w:val="en-US"/>
        </w:rPr>
        <w:t>Senvon</w:t>
      </w:r>
      <w:proofErr w:type="spellEnd"/>
      <w:r w:rsidR="00CB3AA4" w:rsidRPr="00CD384C">
        <w:rPr>
          <w:rFonts w:ascii="Times New Roman" w:hAnsi="Times New Roman" w:cs="Times New Roman"/>
          <w:sz w:val="20"/>
          <w:szCs w:val="20"/>
          <w:lang w:val="en-US"/>
        </w:rPr>
        <w:t xml:space="preserve">, </w:t>
      </w:r>
      <w:proofErr w:type="spellStart"/>
      <w:r w:rsidR="00CB3AA4" w:rsidRPr="00CD384C">
        <w:rPr>
          <w:rFonts w:ascii="Times New Roman" w:hAnsi="Times New Roman" w:cs="Times New Roman"/>
          <w:sz w:val="20"/>
          <w:szCs w:val="20"/>
          <w:lang w:val="en-US"/>
        </w:rPr>
        <w:t>Bukpi</w:t>
      </w:r>
      <w:proofErr w:type="spellEnd"/>
      <w:r w:rsidR="00CB3AA4" w:rsidRPr="00CD384C">
        <w:rPr>
          <w:rFonts w:ascii="Times New Roman" w:hAnsi="Times New Roman" w:cs="Times New Roman"/>
          <w:sz w:val="20"/>
          <w:szCs w:val="20"/>
          <w:lang w:val="en-US"/>
        </w:rPr>
        <w:t xml:space="preserve">, </w:t>
      </w:r>
      <w:proofErr w:type="spellStart"/>
      <w:r w:rsidR="00CB3AA4" w:rsidRPr="00CD384C">
        <w:rPr>
          <w:rFonts w:ascii="Times New Roman" w:hAnsi="Times New Roman" w:cs="Times New Roman"/>
          <w:sz w:val="20"/>
          <w:szCs w:val="20"/>
          <w:lang w:val="en-US"/>
        </w:rPr>
        <w:t>Kangkap</w:t>
      </w:r>
      <w:proofErr w:type="spellEnd"/>
      <w:r w:rsidR="00CB3AA4" w:rsidRPr="00CD384C">
        <w:rPr>
          <w:rFonts w:ascii="Times New Roman" w:hAnsi="Times New Roman" w:cs="Times New Roman"/>
          <w:sz w:val="20"/>
          <w:szCs w:val="20"/>
          <w:lang w:val="en-US"/>
        </w:rPr>
        <w:t xml:space="preserve"> and few other places. In these areas, road-cut slopes and settlement expansion corridors also exhibit elevated susceptibility due to significant vegetation disturbance and terrain modification</w:t>
      </w:r>
      <w:r w:rsidR="00303F45">
        <w:rPr>
          <w:rFonts w:ascii="Times New Roman" w:hAnsi="Times New Roman" w:cs="Times New Roman"/>
          <w:sz w:val="20"/>
          <w:szCs w:val="20"/>
          <w:lang w:val="en-US"/>
        </w:rPr>
        <w:t xml:space="preserve"> (figure</w:t>
      </w:r>
      <w:r w:rsidR="003E78CA" w:rsidRPr="00CD384C">
        <w:rPr>
          <w:rFonts w:ascii="Times New Roman" w:hAnsi="Times New Roman" w:cs="Times New Roman"/>
          <w:sz w:val="20"/>
          <w:szCs w:val="20"/>
          <w:lang w:val="en-US"/>
        </w:rPr>
        <w:t xml:space="preserve"> 15)</w:t>
      </w:r>
      <w:r w:rsidR="00CB3AA4" w:rsidRPr="00CD384C">
        <w:rPr>
          <w:rFonts w:ascii="Times New Roman" w:hAnsi="Times New Roman" w:cs="Times New Roman"/>
          <w:sz w:val="20"/>
          <w:szCs w:val="20"/>
          <w:lang w:val="en-US"/>
        </w:rPr>
        <w:t>.</w:t>
      </w:r>
    </w:p>
    <w:p w14:paraId="25AEC7D9" w14:textId="18484906" w:rsidR="00A55D4E" w:rsidRPr="00CD384C" w:rsidRDefault="00A55D4E"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Moderate-susceptibility zones extend across mid-elevation belts and transitional slopes, such as those observed near </w:t>
      </w:r>
      <w:proofErr w:type="spellStart"/>
      <w:r w:rsidRPr="00CD384C">
        <w:rPr>
          <w:rFonts w:ascii="Times New Roman" w:hAnsi="Times New Roman" w:cs="Times New Roman"/>
          <w:sz w:val="20"/>
          <w:szCs w:val="20"/>
          <w:lang w:val="en-US"/>
        </w:rPr>
        <w:t>Leijangphai</w:t>
      </w:r>
      <w:proofErr w:type="spellEnd"/>
      <w:r w:rsidRPr="00CD384C">
        <w:rPr>
          <w:rFonts w:ascii="Times New Roman" w:hAnsi="Times New Roman" w:cs="Times New Roman"/>
          <w:sz w:val="20"/>
          <w:szCs w:val="20"/>
          <w:lang w:val="en-US"/>
        </w:rPr>
        <w:t xml:space="preserve">, </w:t>
      </w:r>
      <w:proofErr w:type="spellStart"/>
      <w:r w:rsidRPr="00CD384C">
        <w:rPr>
          <w:rFonts w:ascii="Times New Roman" w:hAnsi="Times New Roman" w:cs="Times New Roman"/>
          <w:sz w:val="20"/>
          <w:szCs w:val="20"/>
          <w:lang w:val="en-US"/>
        </w:rPr>
        <w:t>Sitam</w:t>
      </w:r>
      <w:proofErr w:type="spellEnd"/>
      <w:r w:rsidRPr="00CD384C">
        <w:rPr>
          <w:rFonts w:ascii="Times New Roman" w:hAnsi="Times New Roman" w:cs="Times New Roman"/>
          <w:sz w:val="20"/>
          <w:szCs w:val="20"/>
          <w:lang w:val="en-US"/>
        </w:rPr>
        <w:t xml:space="preserve">, </w:t>
      </w:r>
      <w:proofErr w:type="spellStart"/>
      <w:r w:rsidRPr="00CD384C">
        <w:rPr>
          <w:rFonts w:ascii="Times New Roman" w:hAnsi="Times New Roman" w:cs="Times New Roman"/>
          <w:sz w:val="20"/>
          <w:szCs w:val="20"/>
          <w:lang w:val="en-US"/>
        </w:rPr>
        <w:t>Suangsang</w:t>
      </w:r>
      <w:proofErr w:type="spellEnd"/>
      <w:r w:rsidR="0044164F" w:rsidRPr="00CD384C">
        <w:rPr>
          <w:rFonts w:ascii="Times New Roman" w:hAnsi="Times New Roman" w:cs="Times New Roman"/>
          <w:sz w:val="20"/>
          <w:szCs w:val="20"/>
          <w:lang w:val="en-US"/>
        </w:rPr>
        <w:t xml:space="preserve"> </w:t>
      </w:r>
      <w:r w:rsidRPr="00CD384C">
        <w:rPr>
          <w:rFonts w:ascii="Times New Roman" w:hAnsi="Times New Roman" w:cs="Times New Roman"/>
          <w:sz w:val="20"/>
          <w:szCs w:val="20"/>
          <w:lang w:val="en-US"/>
        </w:rPr>
        <w:t>and some other places, where mixed land use, moderate terrain ruggedness and partial forest cover occur. These areas present considerable potential for future slope failures under extreme rainfall or land-use disturbances</w:t>
      </w:r>
      <w:r w:rsidR="002769E3">
        <w:rPr>
          <w:rFonts w:ascii="Times New Roman" w:hAnsi="Times New Roman" w:cs="Times New Roman"/>
          <w:sz w:val="20"/>
          <w:szCs w:val="20"/>
          <w:lang w:val="en-US"/>
        </w:rPr>
        <w:t xml:space="preserve"> (</w:t>
      </w:r>
      <w:r w:rsidR="002769E3" w:rsidRPr="00FC4A7D">
        <w:rPr>
          <w:rFonts w:ascii="Times New Roman" w:eastAsia="Times New Roman" w:hAnsi="Times New Roman" w:cs="Times New Roman"/>
          <w:color w:val="505050"/>
          <w:sz w:val="20"/>
          <w:szCs w:val="20"/>
          <w:lang w:eastAsia="en-IN"/>
        </w:rPr>
        <w:t>Haokip, T. L., Naik, S. R. S., Prasad, T. K</w:t>
      </w:r>
      <w:r w:rsidR="001F5AF5">
        <w:rPr>
          <w:rFonts w:ascii="Times New Roman" w:eastAsia="Times New Roman" w:hAnsi="Times New Roman" w:cs="Times New Roman"/>
          <w:color w:val="505050"/>
          <w:sz w:val="20"/>
          <w:szCs w:val="20"/>
          <w:lang w:eastAsia="en-IN"/>
        </w:rPr>
        <w:t xml:space="preserve">., &amp; Jayapal, G. </w:t>
      </w:r>
      <w:r w:rsidR="002769E3" w:rsidRPr="00FC4A7D">
        <w:rPr>
          <w:rFonts w:ascii="Times New Roman" w:eastAsia="Times New Roman" w:hAnsi="Times New Roman" w:cs="Times New Roman"/>
          <w:color w:val="505050"/>
          <w:sz w:val="20"/>
          <w:szCs w:val="20"/>
          <w:lang w:eastAsia="en-IN"/>
        </w:rPr>
        <w:t>2025)</w:t>
      </w:r>
      <w:r w:rsidRPr="00CD384C">
        <w:rPr>
          <w:rFonts w:ascii="Times New Roman" w:hAnsi="Times New Roman" w:cs="Times New Roman"/>
          <w:sz w:val="20"/>
          <w:szCs w:val="20"/>
          <w:lang w:val="en-US"/>
        </w:rPr>
        <w:t>.</w:t>
      </w:r>
    </w:p>
    <w:p w14:paraId="3D35997D" w14:textId="77777777" w:rsidR="0044164F" w:rsidRPr="00CD384C" w:rsidRDefault="0044164F"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Low-susceptibility zones primarily cover valle</w:t>
      </w:r>
      <w:r w:rsidR="000E3C26" w:rsidRPr="00CD384C">
        <w:rPr>
          <w:rFonts w:ascii="Times New Roman" w:hAnsi="Times New Roman" w:cs="Times New Roman"/>
          <w:sz w:val="20"/>
          <w:szCs w:val="20"/>
          <w:lang w:val="en-US"/>
        </w:rPr>
        <w:t xml:space="preserve">y floors, lower slope gradients </w:t>
      </w:r>
      <w:r w:rsidRPr="00CD384C">
        <w:rPr>
          <w:rFonts w:ascii="Times New Roman" w:hAnsi="Times New Roman" w:cs="Times New Roman"/>
          <w:sz w:val="20"/>
          <w:szCs w:val="20"/>
          <w:lang w:val="en-US"/>
        </w:rPr>
        <w:t xml:space="preserve">such as the areas surrounding </w:t>
      </w:r>
      <w:proofErr w:type="spellStart"/>
      <w:r w:rsidRPr="00CD384C">
        <w:rPr>
          <w:rFonts w:ascii="Times New Roman" w:hAnsi="Times New Roman" w:cs="Times New Roman"/>
          <w:sz w:val="20"/>
          <w:szCs w:val="20"/>
          <w:lang w:val="en-US"/>
        </w:rPr>
        <w:t>Leisen</w:t>
      </w:r>
      <w:proofErr w:type="spellEnd"/>
      <w:r w:rsidRPr="00CD384C">
        <w:rPr>
          <w:rFonts w:ascii="Times New Roman" w:hAnsi="Times New Roman" w:cs="Times New Roman"/>
          <w:sz w:val="20"/>
          <w:szCs w:val="20"/>
          <w:lang w:val="en-US"/>
        </w:rPr>
        <w:t xml:space="preserve">, </w:t>
      </w:r>
      <w:proofErr w:type="spellStart"/>
      <w:r w:rsidRPr="00CD384C">
        <w:rPr>
          <w:rFonts w:ascii="Times New Roman" w:hAnsi="Times New Roman" w:cs="Times New Roman"/>
          <w:sz w:val="20"/>
          <w:szCs w:val="20"/>
          <w:lang w:val="en-US"/>
        </w:rPr>
        <w:t>Tuisen</w:t>
      </w:r>
      <w:proofErr w:type="spellEnd"/>
      <w:r w:rsidRPr="00CD384C">
        <w:rPr>
          <w:rFonts w:ascii="Times New Roman" w:hAnsi="Times New Roman" w:cs="Times New Roman"/>
          <w:sz w:val="20"/>
          <w:szCs w:val="20"/>
          <w:lang w:val="en-US"/>
        </w:rPr>
        <w:t xml:space="preserve"> </w:t>
      </w:r>
      <w:proofErr w:type="spellStart"/>
      <w:r w:rsidRPr="00CD384C">
        <w:rPr>
          <w:rFonts w:ascii="Times New Roman" w:hAnsi="Times New Roman" w:cs="Times New Roman"/>
          <w:sz w:val="20"/>
          <w:szCs w:val="20"/>
          <w:lang w:val="en-US"/>
        </w:rPr>
        <w:t>Guakhal</w:t>
      </w:r>
      <w:proofErr w:type="spellEnd"/>
      <w:r w:rsidRPr="00CD384C">
        <w:rPr>
          <w:rFonts w:ascii="Times New Roman" w:hAnsi="Times New Roman" w:cs="Times New Roman"/>
          <w:sz w:val="20"/>
          <w:szCs w:val="20"/>
          <w:lang w:val="en-US"/>
        </w:rPr>
        <w:t xml:space="preserve"> and some other places where regions with stable, dense vegetation cover, where terrain energy and hydrological loading are minimal. These zones are predominantly located in the north-western part of the district, bordering the state of Assam, with some areas also found in the north, bordering </w:t>
      </w:r>
      <w:proofErr w:type="spellStart"/>
      <w:r w:rsidRPr="00CD384C">
        <w:rPr>
          <w:rFonts w:ascii="Times New Roman" w:hAnsi="Times New Roman" w:cs="Times New Roman"/>
          <w:sz w:val="20"/>
          <w:szCs w:val="20"/>
          <w:lang w:val="en-US"/>
        </w:rPr>
        <w:t>Noney</w:t>
      </w:r>
      <w:proofErr w:type="spellEnd"/>
      <w:r w:rsidRPr="00CD384C">
        <w:rPr>
          <w:rFonts w:ascii="Times New Roman" w:hAnsi="Times New Roman" w:cs="Times New Roman"/>
          <w:sz w:val="20"/>
          <w:szCs w:val="20"/>
          <w:lang w:val="en-US"/>
        </w:rPr>
        <w:t xml:space="preserve"> district.</w:t>
      </w:r>
    </w:p>
    <w:p w14:paraId="4C4E1917" w14:textId="77777777" w:rsidR="005169D5" w:rsidRPr="00CD384C" w:rsidRDefault="005169D5"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lastRenderedPageBreak/>
        <w:t>The spatial pattern aligns with the integrated FR–WOE weights, where steep slope</w:t>
      </w:r>
      <w:r w:rsidR="000125F8" w:rsidRPr="00CD384C">
        <w:rPr>
          <w:rFonts w:ascii="Times New Roman" w:hAnsi="Times New Roman" w:cs="Times New Roman"/>
          <w:sz w:val="20"/>
          <w:szCs w:val="20"/>
          <w:lang w:val="en-US"/>
        </w:rPr>
        <w:t>s (&gt;30°), high drainage density</w:t>
      </w:r>
      <w:r w:rsidRPr="00CD384C">
        <w:rPr>
          <w:rFonts w:ascii="Times New Roman" w:hAnsi="Times New Roman" w:cs="Times New Roman"/>
          <w:sz w:val="20"/>
          <w:szCs w:val="20"/>
          <w:lang w:val="en-US"/>
        </w:rPr>
        <w:t xml:space="preserve"> and sedimentary lithology exhibit the strongest positive contrasts. Road-induced slope disturbances appear as clustered high-risk patches, consistent with previous Himalayan studies.</w:t>
      </w:r>
      <w:r w:rsidR="007D1F1F" w:rsidRPr="00CD384C">
        <w:rPr>
          <w:rFonts w:ascii="Times New Roman" w:hAnsi="Times New Roman" w:cs="Times New Roman"/>
          <w:sz w:val="20"/>
          <w:szCs w:val="20"/>
          <w:lang w:val="en-US"/>
        </w:rPr>
        <w:t xml:space="preserve"> Although the FR–WOE model performs well, limitations include potential under-mapping of small landslides, r</w:t>
      </w:r>
      <w:r w:rsidR="00146D46" w:rsidRPr="00CD384C">
        <w:rPr>
          <w:rFonts w:ascii="Times New Roman" w:hAnsi="Times New Roman" w:cs="Times New Roman"/>
          <w:sz w:val="20"/>
          <w:szCs w:val="20"/>
          <w:lang w:val="en-US"/>
        </w:rPr>
        <w:t>eliance on 30 m resolution data</w:t>
      </w:r>
      <w:r w:rsidR="007D1F1F" w:rsidRPr="00CD384C">
        <w:rPr>
          <w:rFonts w:ascii="Times New Roman" w:hAnsi="Times New Roman" w:cs="Times New Roman"/>
          <w:sz w:val="20"/>
          <w:szCs w:val="20"/>
          <w:lang w:val="en-US"/>
        </w:rPr>
        <w:t xml:space="preserve"> and absence of soil-depth information.</w:t>
      </w:r>
    </w:p>
    <w:p w14:paraId="6B256889" w14:textId="77777777" w:rsidR="002E7527" w:rsidRPr="00CD384C" w:rsidRDefault="002E7527"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ROC curve (AUC) Validation</w:t>
      </w:r>
    </w:p>
    <w:p w14:paraId="1528402A" w14:textId="77777777" w:rsidR="002E7527" w:rsidRPr="00CD384C" w:rsidRDefault="002E7527" w:rsidP="002F59EF">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eastAsia="en-IN"/>
        </w:rPr>
        <w:drawing>
          <wp:inline distT="0" distB="0" distL="0" distR="0" wp14:anchorId="70F922D4" wp14:editId="20BA1002">
            <wp:extent cx="3485852" cy="2262094"/>
            <wp:effectExtent l="0" t="0" r="635" b="5080"/>
            <wp:docPr id="16" name="Picture 16" descr="C:\Users\Gegen Haokip\Downloads\ROC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gen Haokip\Downloads\ROCfinal.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0025" cy="2277781"/>
                    </a:xfrm>
                    <a:prstGeom prst="rect">
                      <a:avLst/>
                    </a:prstGeom>
                    <a:noFill/>
                    <a:ln>
                      <a:noFill/>
                    </a:ln>
                  </pic:spPr>
                </pic:pic>
              </a:graphicData>
            </a:graphic>
          </wp:inline>
        </w:drawing>
      </w:r>
    </w:p>
    <w:p w14:paraId="4432506B" w14:textId="77777777" w:rsidR="002E7527" w:rsidRPr="00CD384C" w:rsidRDefault="00683290" w:rsidP="00AB2325">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16.</w:t>
      </w:r>
      <w:r w:rsidR="002E7527" w:rsidRPr="00CD384C">
        <w:rPr>
          <w:rFonts w:ascii="Times New Roman" w:hAnsi="Times New Roman" w:cs="Times New Roman"/>
          <w:sz w:val="20"/>
          <w:szCs w:val="20"/>
          <w:lang w:val="en-US"/>
        </w:rPr>
        <w:t xml:space="preserve"> ROC curve showing model accuracy (AUC = 0.84).</w:t>
      </w:r>
    </w:p>
    <w:p w14:paraId="5943E572" w14:textId="2C7146A2" w:rsidR="00B32F25" w:rsidRPr="00CD384C" w:rsidRDefault="00B32F25"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The model validation using ROC analysis yielded an</w:t>
      </w:r>
      <w:r w:rsidR="000B5A48" w:rsidRPr="00CD384C">
        <w:rPr>
          <w:rFonts w:ascii="Times New Roman" w:hAnsi="Times New Roman" w:cs="Times New Roman"/>
          <w:sz w:val="20"/>
          <w:szCs w:val="20"/>
          <w:lang w:val="en-US"/>
        </w:rPr>
        <w:t xml:space="preserve"> AUC value of 0.84</w:t>
      </w:r>
      <w:r w:rsidR="00DC6370">
        <w:rPr>
          <w:rFonts w:ascii="Times New Roman" w:hAnsi="Times New Roman" w:cs="Times New Roman"/>
          <w:sz w:val="20"/>
          <w:szCs w:val="20"/>
          <w:lang w:val="en-US"/>
        </w:rPr>
        <w:t xml:space="preserve"> (figure </w:t>
      </w:r>
      <w:r w:rsidR="00683290" w:rsidRPr="00CD384C">
        <w:rPr>
          <w:rFonts w:ascii="Times New Roman" w:hAnsi="Times New Roman" w:cs="Times New Roman"/>
          <w:sz w:val="20"/>
          <w:szCs w:val="20"/>
          <w:lang w:val="en-US"/>
        </w:rPr>
        <w:t>16</w:t>
      </w:r>
      <w:r w:rsidR="00CD3980" w:rsidRPr="00CD384C">
        <w:rPr>
          <w:rFonts w:ascii="Times New Roman" w:hAnsi="Times New Roman" w:cs="Times New Roman"/>
          <w:sz w:val="20"/>
          <w:szCs w:val="20"/>
          <w:lang w:val="en-US"/>
        </w:rPr>
        <w:t>)</w:t>
      </w:r>
      <w:r w:rsidRPr="00CD384C">
        <w:rPr>
          <w:rFonts w:ascii="Times New Roman" w:hAnsi="Times New Roman" w:cs="Times New Roman"/>
          <w:sz w:val="20"/>
          <w:szCs w:val="20"/>
          <w:lang w:val="en-US"/>
        </w:rPr>
        <w:t>, indicating strong predictive performance and demonstrating the reliability of the integrated FR–WOE approach for landslide assessment in complex mountainous terrain. The results align with regional geomorphological patterns, confirming the influence of stee</w:t>
      </w:r>
      <w:r w:rsidR="00BD6964" w:rsidRPr="00CD384C">
        <w:rPr>
          <w:rFonts w:ascii="Times New Roman" w:hAnsi="Times New Roman" w:cs="Times New Roman"/>
          <w:sz w:val="20"/>
          <w:szCs w:val="20"/>
          <w:lang w:val="en-US"/>
        </w:rPr>
        <w:t>p slopes, lithological weakness</w:t>
      </w:r>
      <w:r w:rsidRPr="00CD384C">
        <w:rPr>
          <w:rFonts w:ascii="Times New Roman" w:hAnsi="Times New Roman" w:cs="Times New Roman"/>
          <w:sz w:val="20"/>
          <w:szCs w:val="20"/>
          <w:lang w:val="en-US"/>
        </w:rPr>
        <w:t xml:space="preserve"> and human-induced land cover alteration on landslide distribution. The findings provide a valuable spatial decision-making tool for disaster </w:t>
      </w:r>
      <w:r w:rsidR="00BD6964" w:rsidRPr="00CD384C">
        <w:rPr>
          <w:rFonts w:ascii="Times New Roman" w:hAnsi="Times New Roman" w:cs="Times New Roman"/>
          <w:sz w:val="20"/>
          <w:szCs w:val="20"/>
          <w:lang w:val="en-US"/>
        </w:rPr>
        <w:t>mitigation, land-use regulation</w:t>
      </w:r>
      <w:r w:rsidRPr="00CD384C">
        <w:rPr>
          <w:rFonts w:ascii="Times New Roman" w:hAnsi="Times New Roman" w:cs="Times New Roman"/>
          <w:sz w:val="20"/>
          <w:szCs w:val="20"/>
          <w:lang w:val="en-US"/>
        </w:rPr>
        <w:t xml:space="preserve"> and sustainable development planning in Pherzawl District.</w:t>
      </w:r>
    </w:p>
    <w:p w14:paraId="1CC638AF" w14:textId="2B5E6CA4" w:rsidR="0059314F" w:rsidRPr="00CD384C" w:rsidRDefault="0059314F"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This study demonstrates the effectiveness of integrating Frequency Ratio and Weight of Evidence models for landslide susceptibility mapping in Pherzawl district. The high predictive accuracy (AUC 0.84) validates the model’s reliability. The susceptibility distribution closely follows geomorphological controls and anthropogenic activities. The resulting map provides a critical tool for slope management, infrastructure planning, and disaster mitigation in the district.</w:t>
      </w:r>
    </w:p>
    <w:p w14:paraId="7B79451F" w14:textId="77777777" w:rsidR="002F59EF" w:rsidRPr="00CD384C" w:rsidRDefault="002F59EF" w:rsidP="002F59EF">
      <w:pPr>
        <w:pStyle w:val="NormalWeb"/>
        <w:rPr>
          <w:sz w:val="20"/>
          <w:szCs w:val="20"/>
        </w:rPr>
      </w:pPr>
      <w:r w:rsidRPr="00CD384C">
        <w:rPr>
          <w:rStyle w:val="Strong"/>
          <w:sz w:val="20"/>
          <w:szCs w:val="20"/>
        </w:rPr>
        <w:t>Policy Recommendations</w:t>
      </w:r>
    </w:p>
    <w:p w14:paraId="79162B29" w14:textId="77777777" w:rsidR="00205080" w:rsidRDefault="00F759C6" w:rsidP="002F59EF">
      <w:pPr>
        <w:spacing w:after="0"/>
        <w:jc w:val="both"/>
        <w:rPr>
          <w:rStyle w:val="Strong"/>
          <w:rFonts w:ascii="Times New Roman" w:eastAsia="Times New Roman" w:hAnsi="Times New Roman" w:cs="Times New Roman"/>
          <w:b w:val="0"/>
          <w:sz w:val="20"/>
          <w:szCs w:val="20"/>
          <w:lang w:eastAsia="en-IN"/>
        </w:rPr>
      </w:pPr>
      <w:r w:rsidRPr="00CD384C">
        <w:rPr>
          <w:rStyle w:val="Strong"/>
          <w:rFonts w:ascii="Times New Roman" w:eastAsia="Times New Roman" w:hAnsi="Times New Roman" w:cs="Times New Roman"/>
          <w:b w:val="0"/>
          <w:sz w:val="20"/>
          <w:szCs w:val="20"/>
          <w:lang w:eastAsia="en-IN"/>
        </w:rPr>
        <w:t xml:space="preserve">The comprehensive risk management strategy for the </w:t>
      </w:r>
      <w:proofErr w:type="spellStart"/>
      <w:r w:rsidRPr="00CD384C">
        <w:rPr>
          <w:rStyle w:val="Strong"/>
          <w:rFonts w:ascii="Times New Roman" w:eastAsia="Times New Roman" w:hAnsi="Times New Roman" w:cs="Times New Roman"/>
          <w:b w:val="0"/>
          <w:sz w:val="20"/>
          <w:szCs w:val="20"/>
          <w:lang w:eastAsia="en-IN"/>
        </w:rPr>
        <w:t>Vangai</w:t>
      </w:r>
      <w:proofErr w:type="spellEnd"/>
      <w:r w:rsidRPr="00CD384C">
        <w:rPr>
          <w:rStyle w:val="Strong"/>
          <w:rFonts w:ascii="Times New Roman" w:eastAsia="Times New Roman" w:hAnsi="Times New Roman" w:cs="Times New Roman"/>
          <w:b w:val="0"/>
          <w:sz w:val="20"/>
          <w:szCs w:val="20"/>
          <w:lang w:eastAsia="en-IN"/>
        </w:rPr>
        <w:t xml:space="preserve"> Range is segmented into three zones based on geological stability. High-Risk Zones, primarily the steep and unstable eastern and southern areas, demand strict control, mandating the prohibition of new residential or critical infrastructure development. Government action will focus on the phased relocation of vulnerable settlements, implementing bio-engineering measures like reforestation, terracing and constructing check-dams. Awareness in these zones will be driven by the installation of real-time early warning systems and alert dissemination through local Community-Based Organizations (CBOs) </w:t>
      </w:r>
      <w:r w:rsidR="00B51446" w:rsidRPr="00CD384C">
        <w:rPr>
          <w:rStyle w:val="Strong"/>
          <w:rFonts w:ascii="Times New Roman" w:eastAsia="Times New Roman" w:hAnsi="Times New Roman" w:cs="Times New Roman"/>
          <w:b w:val="0"/>
          <w:sz w:val="20"/>
          <w:szCs w:val="20"/>
          <w:lang w:eastAsia="en-IN"/>
        </w:rPr>
        <w:t>an</w:t>
      </w:r>
      <w:r w:rsidR="00286EB5" w:rsidRPr="00CD384C">
        <w:rPr>
          <w:rStyle w:val="Strong"/>
          <w:rFonts w:ascii="Times New Roman" w:eastAsia="Times New Roman" w:hAnsi="Times New Roman" w:cs="Times New Roman"/>
          <w:b w:val="0"/>
          <w:sz w:val="20"/>
          <w:szCs w:val="20"/>
          <w:lang w:eastAsia="en-IN"/>
        </w:rPr>
        <w:t>d religious bodies, with DDMA-</w:t>
      </w:r>
      <w:r w:rsidRPr="00CD384C">
        <w:rPr>
          <w:rStyle w:val="Strong"/>
          <w:rFonts w:ascii="Times New Roman" w:eastAsia="Times New Roman" w:hAnsi="Times New Roman" w:cs="Times New Roman"/>
          <w:b w:val="0"/>
          <w:sz w:val="20"/>
          <w:szCs w:val="20"/>
          <w:lang w:eastAsia="en-IN"/>
        </w:rPr>
        <w:t>Pherzawl coordinating the formation and training of Village Disaster Management Teams for evacuation. Medium-Risk Zones, en</w:t>
      </w:r>
      <w:r w:rsidR="00C465A8" w:rsidRPr="00CD384C">
        <w:rPr>
          <w:rStyle w:val="Strong"/>
          <w:rFonts w:ascii="Times New Roman" w:eastAsia="Times New Roman" w:hAnsi="Times New Roman" w:cs="Times New Roman"/>
          <w:b w:val="0"/>
          <w:sz w:val="20"/>
          <w:szCs w:val="20"/>
          <w:lang w:eastAsia="en-IN"/>
        </w:rPr>
        <w:t xml:space="preserve">compassing </w:t>
      </w:r>
      <w:proofErr w:type="spellStart"/>
      <w:r w:rsidR="00C465A8" w:rsidRPr="00CD384C">
        <w:rPr>
          <w:rStyle w:val="Strong"/>
          <w:rFonts w:ascii="Times New Roman" w:eastAsia="Times New Roman" w:hAnsi="Times New Roman" w:cs="Times New Roman"/>
          <w:b w:val="0"/>
          <w:sz w:val="20"/>
          <w:szCs w:val="20"/>
          <w:lang w:eastAsia="en-IN"/>
        </w:rPr>
        <w:t>Pherzawl</w:t>
      </w:r>
      <w:proofErr w:type="spellEnd"/>
      <w:r w:rsidR="00C465A8" w:rsidRPr="00CD384C">
        <w:rPr>
          <w:rStyle w:val="Strong"/>
          <w:rFonts w:ascii="Times New Roman" w:eastAsia="Times New Roman" w:hAnsi="Times New Roman" w:cs="Times New Roman"/>
          <w:b w:val="0"/>
          <w:sz w:val="20"/>
          <w:szCs w:val="20"/>
          <w:lang w:eastAsia="en-IN"/>
        </w:rPr>
        <w:t xml:space="preserve"> HQ, </w:t>
      </w:r>
      <w:proofErr w:type="spellStart"/>
      <w:r w:rsidR="00C465A8" w:rsidRPr="00CD384C">
        <w:rPr>
          <w:rStyle w:val="Strong"/>
          <w:rFonts w:ascii="Times New Roman" w:eastAsia="Times New Roman" w:hAnsi="Times New Roman" w:cs="Times New Roman"/>
          <w:b w:val="0"/>
          <w:sz w:val="20"/>
          <w:szCs w:val="20"/>
          <w:lang w:eastAsia="en-IN"/>
        </w:rPr>
        <w:t>Parbung</w:t>
      </w:r>
      <w:proofErr w:type="spellEnd"/>
      <w:r w:rsidRPr="00CD384C">
        <w:rPr>
          <w:rStyle w:val="Strong"/>
          <w:rFonts w:ascii="Times New Roman" w:eastAsia="Times New Roman" w:hAnsi="Times New Roman" w:cs="Times New Roman"/>
          <w:b w:val="0"/>
          <w:sz w:val="20"/>
          <w:szCs w:val="20"/>
          <w:lang w:eastAsia="en-IN"/>
        </w:rPr>
        <w:t xml:space="preserve"> and surrounding settlements, will allow only regulated development. Government action here includes enforcing slope-adaptive building codes, requiring sit</w:t>
      </w:r>
      <w:r w:rsidR="00074E6F" w:rsidRPr="00CD384C">
        <w:rPr>
          <w:rStyle w:val="Strong"/>
          <w:rFonts w:ascii="Times New Roman" w:eastAsia="Times New Roman" w:hAnsi="Times New Roman" w:cs="Times New Roman"/>
          <w:b w:val="0"/>
          <w:sz w:val="20"/>
          <w:szCs w:val="20"/>
          <w:lang w:eastAsia="en-IN"/>
        </w:rPr>
        <w:t>e-specific geotechnical reports</w:t>
      </w:r>
      <w:r w:rsidRPr="00CD384C">
        <w:rPr>
          <w:rStyle w:val="Strong"/>
          <w:rFonts w:ascii="Times New Roman" w:eastAsia="Times New Roman" w:hAnsi="Times New Roman" w:cs="Times New Roman"/>
          <w:b w:val="0"/>
          <w:sz w:val="20"/>
          <w:szCs w:val="20"/>
          <w:lang w:eastAsia="en-IN"/>
        </w:rPr>
        <w:t xml:space="preserve"> and restricting unscientific road cutting and quarrying. Local NGOs will act as community watchdogs, while the Forest and TA&amp;H Departments lead reforestation drives, prioritizing education and hazard-preparedness outreach. Finally, Low-Risk Zones in the northern areas are designated for planned expansion, directing future infrastructure projects and ensuring sustainable drainage. Across the entire district, a unified awareness campaign will be launched, including implementing School Safety Programs and evacuation dril</w:t>
      </w:r>
      <w:r w:rsidR="002D0D5B" w:rsidRPr="00CD384C">
        <w:rPr>
          <w:rStyle w:val="Strong"/>
          <w:rFonts w:ascii="Times New Roman" w:eastAsia="Times New Roman" w:hAnsi="Times New Roman" w:cs="Times New Roman"/>
          <w:b w:val="0"/>
          <w:sz w:val="20"/>
          <w:szCs w:val="20"/>
          <w:lang w:eastAsia="en-IN"/>
        </w:rPr>
        <w:t>ls for students through NSS/NCC</w:t>
      </w:r>
      <w:r w:rsidRPr="00CD384C">
        <w:rPr>
          <w:rStyle w:val="Strong"/>
          <w:rFonts w:ascii="Times New Roman" w:eastAsia="Times New Roman" w:hAnsi="Times New Roman" w:cs="Times New Roman"/>
          <w:b w:val="0"/>
          <w:sz w:val="20"/>
          <w:szCs w:val="20"/>
          <w:lang w:eastAsia="en-IN"/>
        </w:rPr>
        <w:t xml:space="preserve"> and conducting community-based campaigns to clearly communicate village-level risks to the public.</w:t>
      </w:r>
    </w:p>
    <w:p w14:paraId="4DE07960" w14:textId="77777777" w:rsidR="00205080" w:rsidRDefault="00205080" w:rsidP="002F59EF">
      <w:pPr>
        <w:spacing w:after="0"/>
        <w:jc w:val="both"/>
        <w:rPr>
          <w:rStyle w:val="Strong"/>
          <w:rFonts w:ascii="Times New Roman" w:eastAsia="Times New Roman" w:hAnsi="Times New Roman" w:cs="Times New Roman"/>
          <w:b w:val="0"/>
          <w:sz w:val="20"/>
          <w:szCs w:val="20"/>
          <w:lang w:eastAsia="en-IN"/>
        </w:rPr>
      </w:pPr>
    </w:p>
    <w:p w14:paraId="00FCD236" w14:textId="6282C585" w:rsidR="00205080" w:rsidRPr="00205080" w:rsidRDefault="00205080" w:rsidP="002F59EF">
      <w:pPr>
        <w:spacing w:after="0"/>
        <w:jc w:val="both"/>
        <w:rPr>
          <w:rStyle w:val="Strong"/>
          <w:rFonts w:ascii="Times New Roman" w:eastAsia="Times New Roman" w:hAnsi="Times New Roman" w:cs="Times New Roman"/>
          <w:sz w:val="20"/>
          <w:szCs w:val="20"/>
          <w:lang w:eastAsia="en-IN"/>
        </w:rPr>
      </w:pPr>
      <w:r w:rsidRPr="00205080">
        <w:rPr>
          <w:rStyle w:val="Strong"/>
          <w:rFonts w:ascii="Times New Roman" w:eastAsia="Times New Roman" w:hAnsi="Times New Roman" w:cs="Times New Roman"/>
          <w:sz w:val="20"/>
          <w:szCs w:val="20"/>
          <w:lang w:eastAsia="en-IN"/>
        </w:rPr>
        <w:lastRenderedPageBreak/>
        <w:t>Conclusion</w:t>
      </w:r>
    </w:p>
    <w:p w14:paraId="4CB4FF0B" w14:textId="23EAF244" w:rsidR="00205080" w:rsidRPr="00205080" w:rsidRDefault="00205080" w:rsidP="00205080">
      <w:pPr>
        <w:spacing w:after="0"/>
        <w:jc w:val="both"/>
        <w:rPr>
          <w:rStyle w:val="Strong"/>
          <w:rFonts w:ascii="Times New Roman" w:eastAsia="Times New Roman" w:hAnsi="Times New Roman" w:cs="Times New Roman"/>
          <w:b w:val="0"/>
          <w:sz w:val="20"/>
          <w:szCs w:val="20"/>
          <w:lang w:eastAsia="en-IN"/>
        </w:rPr>
      </w:pPr>
      <w:r w:rsidRPr="00205080">
        <w:rPr>
          <w:rStyle w:val="Strong"/>
          <w:rFonts w:ascii="Times New Roman" w:eastAsia="Times New Roman" w:hAnsi="Times New Roman" w:cs="Times New Roman"/>
          <w:b w:val="0"/>
          <w:sz w:val="20"/>
          <w:szCs w:val="20"/>
          <w:lang w:eastAsia="en-IN"/>
        </w:rPr>
        <w:t>This study successfully employed an integrated Frequency Ratio (FR) and Weight of Evidence (</w:t>
      </w:r>
      <w:proofErr w:type="spellStart"/>
      <w:r w:rsidRPr="00205080">
        <w:rPr>
          <w:rStyle w:val="Strong"/>
          <w:rFonts w:ascii="Times New Roman" w:eastAsia="Times New Roman" w:hAnsi="Times New Roman" w:cs="Times New Roman"/>
          <w:b w:val="0"/>
          <w:sz w:val="20"/>
          <w:szCs w:val="20"/>
          <w:lang w:eastAsia="en-IN"/>
        </w:rPr>
        <w:t>WoE</w:t>
      </w:r>
      <w:proofErr w:type="spellEnd"/>
      <w:r w:rsidRPr="00205080">
        <w:rPr>
          <w:rStyle w:val="Strong"/>
          <w:rFonts w:ascii="Times New Roman" w:eastAsia="Times New Roman" w:hAnsi="Times New Roman" w:cs="Times New Roman"/>
          <w:b w:val="0"/>
          <w:sz w:val="20"/>
          <w:szCs w:val="20"/>
          <w:lang w:eastAsia="en-IN"/>
        </w:rPr>
        <w:t xml:space="preserve">) framework to map landslide susceptibility in Pherzawl District. Validation via ROC analysis yielded an AUC of 0.84, confirming the model’s high predictive reliability. The findings reveal a clear spatial correlation between high-risk zones and steep mountainous terrain, particularly in the eastern and southern ranges where anthropogenic pressures and sharp elevation transitions exacerbate gravitational instability. Settlements such as </w:t>
      </w:r>
      <w:proofErr w:type="spellStart"/>
      <w:r w:rsidRPr="00205080">
        <w:rPr>
          <w:rStyle w:val="Strong"/>
          <w:rFonts w:ascii="Times New Roman" w:eastAsia="Times New Roman" w:hAnsi="Times New Roman" w:cs="Times New Roman"/>
          <w:b w:val="0"/>
          <w:sz w:val="20"/>
          <w:szCs w:val="20"/>
          <w:lang w:eastAsia="en-IN"/>
        </w:rPr>
        <w:t>Pherzawl</w:t>
      </w:r>
      <w:proofErr w:type="spellEnd"/>
      <w:r w:rsidRPr="00205080">
        <w:rPr>
          <w:rStyle w:val="Strong"/>
          <w:rFonts w:ascii="Times New Roman" w:eastAsia="Times New Roman" w:hAnsi="Times New Roman" w:cs="Times New Roman"/>
          <w:b w:val="0"/>
          <w:sz w:val="20"/>
          <w:szCs w:val="20"/>
          <w:lang w:eastAsia="en-IN"/>
        </w:rPr>
        <w:t xml:space="preserve"> and </w:t>
      </w:r>
      <w:proofErr w:type="spellStart"/>
      <w:r w:rsidRPr="00205080">
        <w:rPr>
          <w:rStyle w:val="Strong"/>
          <w:rFonts w:ascii="Times New Roman" w:eastAsia="Times New Roman" w:hAnsi="Times New Roman" w:cs="Times New Roman"/>
          <w:b w:val="0"/>
          <w:sz w:val="20"/>
          <w:szCs w:val="20"/>
          <w:lang w:eastAsia="en-IN"/>
        </w:rPr>
        <w:t>Sinzawl</w:t>
      </w:r>
      <w:proofErr w:type="spellEnd"/>
      <w:r w:rsidRPr="00205080">
        <w:rPr>
          <w:rStyle w:val="Strong"/>
          <w:rFonts w:ascii="Times New Roman" w:eastAsia="Times New Roman" w:hAnsi="Times New Roman" w:cs="Times New Roman"/>
          <w:b w:val="0"/>
          <w:sz w:val="20"/>
          <w:szCs w:val="20"/>
          <w:lang w:eastAsia="en-IN"/>
        </w:rPr>
        <w:t xml:space="preserve"> emerge as critical vulnerability hotspots due to road-cut disturbances and vegetation loss.</w:t>
      </w:r>
    </w:p>
    <w:p w14:paraId="56A92C20" w14:textId="77777777" w:rsidR="00205080" w:rsidRPr="00205080" w:rsidRDefault="00205080" w:rsidP="00205080">
      <w:pPr>
        <w:spacing w:after="0"/>
        <w:jc w:val="both"/>
        <w:rPr>
          <w:rStyle w:val="Strong"/>
          <w:rFonts w:ascii="Times New Roman" w:eastAsia="Times New Roman" w:hAnsi="Times New Roman" w:cs="Times New Roman"/>
          <w:b w:val="0"/>
          <w:sz w:val="20"/>
          <w:szCs w:val="20"/>
          <w:lang w:eastAsia="en-IN"/>
        </w:rPr>
      </w:pPr>
    </w:p>
    <w:p w14:paraId="78EF4131" w14:textId="28A3BB6B" w:rsidR="00205080" w:rsidRDefault="00205080" w:rsidP="00205080">
      <w:pPr>
        <w:spacing w:after="0"/>
        <w:jc w:val="both"/>
        <w:rPr>
          <w:rStyle w:val="Strong"/>
          <w:rFonts w:ascii="Times New Roman" w:eastAsia="Times New Roman" w:hAnsi="Times New Roman" w:cs="Times New Roman"/>
          <w:b w:val="0"/>
          <w:sz w:val="20"/>
          <w:szCs w:val="20"/>
          <w:lang w:eastAsia="en-IN"/>
        </w:rPr>
      </w:pPr>
      <w:r w:rsidRPr="00205080">
        <w:rPr>
          <w:rStyle w:val="Strong"/>
          <w:rFonts w:ascii="Times New Roman" w:eastAsia="Times New Roman" w:hAnsi="Times New Roman" w:cs="Times New Roman"/>
          <w:b w:val="0"/>
          <w:sz w:val="20"/>
          <w:szCs w:val="20"/>
          <w:lang w:eastAsia="en-IN"/>
        </w:rPr>
        <w:t>The results underscore that while valley floors remain relatively stable, the mid-to-high elevation belts require urgent intervention. Consequently, this study advocates for a tri-zonal policy approach: strict development prohibitions and bio-engineering in high-risk zones, regulated slope-adaptive</w:t>
      </w:r>
      <w:r w:rsidR="00DB08BA">
        <w:rPr>
          <w:rStyle w:val="Strong"/>
          <w:rFonts w:ascii="Times New Roman" w:eastAsia="Times New Roman" w:hAnsi="Times New Roman" w:cs="Times New Roman"/>
          <w:b w:val="0"/>
          <w:sz w:val="20"/>
          <w:szCs w:val="20"/>
          <w:lang w:eastAsia="en-IN"/>
        </w:rPr>
        <w:t xml:space="preserve"> construction in moderate zones</w:t>
      </w:r>
      <w:r w:rsidRPr="00205080">
        <w:rPr>
          <w:rStyle w:val="Strong"/>
          <w:rFonts w:ascii="Times New Roman" w:eastAsia="Times New Roman" w:hAnsi="Times New Roman" w:cs="Times New Roman"/>
          <w:b w:val="0"/>
          <w:sz w:val="20"/>
          <w:szCs w:val="20"/>
          <w:lang w:eastAsia="en-IN"/>
        </w:rPr>
        <w:t xml:space="preserve"> and strategic infrastructure redirection toward low-risk northern regions. By bridging geomorphological data with community-based disaster management, this research provides a robust spatial decision-making tool essential for sustainable land-use planning and disaster mitigation in complex Himalayan terrains.</w:t>
      </w:r>
    </w:p>
    <w:p w14:paraId="174757B6" w14:textId="77777777" w:rsidR="00A27094" w:rsidRDefault="00A27094" w:rsidP="00A27094">
      <w:r>
        <w:t>Disclaimer (Artificial intelligence)</w:t>
      </w:r>
    </w:p>
    <w:p w14:paraId="26FC90D9" w14:textId="77777777" w:rsidR="00A27094" w:rsidRDefault="00A27094" w:rsidP="00A27094">
      <w:r>
        <w:t xml:space="preserve">Option 1: </w:t>
      </w:r>
    </w:p>
    <w:p w14:paraId="424DA35B" w14:textId="77777777" w:rsidR="00A27094" w:rsidRDefault="00A27094" w:rsidP="00A27094">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3780C1AF" w14:textId="77777777" w:rsidR="00A27094" w:rsidRDefault="00A27094" w:rsidP="00A27094">
      <w:r>
        <w:t xml:space="preserve">Option 2: </w:t>
      </w:r>
    </w:p>
    <w:p w14:paraId="6193386E" w14:textId="77777777" w:rsidR="00A27094" w:rsidRDefault="00A27094" w:rsidP="00A27094">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7E8B657" w14:textId="77777777" w:rsidR="00A27094" w:rsidRDefault="00A27094" w:rsidP="00A27094">
      <w:r>
        <w:t>Details of the AI usage are given below:</w:t>
      </w:r>
    </w:p>
    <w:p w14:paraId="65A81466" w14:textId="77777777" w:rsidR="00A27094" w:rsidRDefault="00A27094" w:rsidP="00A27094">
      <w:r>
        <w:t>1.</w:t>
      </w:r>
    </w:p>
    <w:p w14:paraId="7C23835D" w14:textId="77777777" w:rsidR="00A27094" w:rsidRDefault="00A27094" w:rsidP="00A27094">
      <w:r>
        <w:t>2.</w:t>
      </w:r>
    </w:p>
    <w:p w14:paraId="79737FB7" w14:textId="77777777" w:rsidR="00A27094" w:rsidRPr="00D047BB" w:rsidRDefault="00A27094" w:rsidP="00A27094">
      <w:r>
        <w:t>3.</w:t>
      </w:r>
    </w:p>
    <w:p w14:paraId="5EF79646" w14:textId="77777777" w:rsidR="00A27094" w:rsidRPr="0063354D" w:rsidRDefault="00A27094" w:rsidP="00A27094"/>
    <w:p w14:paraId="5B4CF2F0" w14:textId="77777777" w:rsidR="00A27094" w:rsidRPr="00F7241A" w:rsidRDefault="00A27094" w:rsidP="00A27094"/>
    <w:p w14:paraId="03FFC70D" w14:textId="77777777" w:rsidR="00EC6A89" w:rsidRDefault="00EC6A89" w:rsidP="002F59EF">
      <w:pPr>
        <w:spacing w:after="0"/>
        <w:jc w:val="both"/>
        <w:rPr>
          <w:rStyle w:val="Strong"/>
          <w:rFonts w:ascii="Times New Roman" w:eastAsia="Times New Roman" w:hAnsi="Times New Roman" w:cs="Times New Roman"/>
          <w:b w:val="0"/>
          <w:sz w:val="20"/>
          <w:szCs w:val="20"/>
          <w:lang w:eastAsia="en-IN"/>
        </w:rPr>
      </w:pPr>
      <w:bookmarkStart w:id="0" w:name="_GoBack"/>
      <w:bookmarkEnd w:id="0"/>
    </w:p>
    <w:p w14:paraId="0683ED02" w14:textId="77777777" w:rsidR="00EC6A89" w:rsidRPr="00873397" w:rsidRDefault="00EC6A89" w:rsidP="00873397">
      <w:pPr>
        <w:spacing w:after="0" w:line="276" w:lineRule="auto"/>
        <w:jc w:val="both"/>
        <w:rPr>
          <w:rFonts w:ascii="Times New Roman" w:hAnsi="Times New Roman" w:cs="Times New Roman"/>
          <w:b/>
          <w:sz w:val="20"/>
          <w:szCs w:val="20"/>
          <w:lang w:val="en-US"/>
        </w:rPr>
      </w:pPr>
      <w:r w:rsidRPr="00873397">
        <w:rPr>
          <w:rFonts w:ascii="Times New Roman" w:hAnsi="Times New Roman" w:cs="Times New Roman"/>
          <w:b/>
          <w:sz w:val="20"/>
          <w:szCs w:val="20"/>
          <w:lang w:val="en-US"/>
        </w:rPr>
        <w:t>Statements &amp; Declarations</w:t>
      </w:r>
    </w:p>
    <w:p w14:paraId="0E280A72" w14:textId="77777777" w:rsidR="00EC6A89" w:rsidRPr="00873397" w:rsidRDefault="00EC6A89" w:rsidP="00873397">
      <w:pPr>
        <w:spacing w:after="0" w:line="276" w:lineRule="auto"/>
        <w:jc w:val="both"/>
        <w:rPr>
          <w:rFonts w:ascii="Times New Roman" w:hAnsi="Times New Roman" w:cs="Times New Roman"/>
          <w:sz w:val="20"/>
          <w:szCs w:val="20"/>
          <w:lang w:val="en-US"/>
        </w:rPr>
      </w:pPr>
      <w:r w:rsidRPr="00873397">
        <w:rPr>
          <w:rFonts w:ascii="Times New Roman" w:hAnsi="Times New Roman" w:cs="Times New Roman"/>
          <w:b/>
          <w:sz w:val="20"/>
          <w:szCs w:val="20"/>
          <w:lang w:val="en-US"/>
        </w:rPr>
        <w:t xml:space="preserve">Competing Interests: </w:t>
      </w:r>
      <w:r w:rsidRPr="00873397">
        <w:rPr>
          <w:rFonts w:ascii="Times New Roman" w:hAnsi="Times New Roman" w:cs="Times New Roman"/>
          <w:sz w:val="20"/>
          <w:szCs w:val="20"/>
          <w:lang w:val="en-US"/>
        </w:rPr>
        <w:t>The authors declare that they have no competing financial or non-financial interests.</w:t>
      </w:r>
    </w:p>
    <w:p w14:paraId="31256B0A" w14:textId="77777777" w:rsidR="00EC6A89" w:rsidRPr="00873397" w:rsidRDefault="00EC6A89" w:rsidP="00873397">
      <w:pPr>
        <w:spacing w:after="0" w:line="276" w:lineRule="auto"/>
        <w:jc w:val="both"/>
        <w:rPr>
          <w:rFonts w:ascii="Times New Roman" w:hAnsi="Times New Roman" w:cs="Times New Roman"/>
          <w:sz w:val="20"/>
          <w:szCs w:val="20"/>
          <w:lang w:val="en-US"/>
        </w:rPr>
      </w:pPr>
      <w:r w:rsidRPr="00873397">
        <w:rPr>
          <w:rFonts w:ascii="Times New Roman" w:hAnsi="Times New Roman" w:cs="Times New Roman"/>
          <w:b/>
          <w:sz w:val="20"/>
          <w:szCs w:val="20"/>
          <w:lang w:val="en-US"/>
        </w:rPr>
        <w:t xml:space="preserve">Clinical trial number: </w:t>
      </w:r>
      <w:r w:rsidRPr="00873397">
        <w:rPr>
          <w:rFonts w:ascii="Times New Roman" w:hAnsi="Times New Roman" w:cs="Times New Roman"/>
          <w:sz w:val="20"/>
          <w:szCs w:val="20"/>
          <w:lang w:val="en-US"/>
        </w:rPr>
        <w:t>Not Applicable.</w:t>
      </w:r>
    </w:p>
    <w:p w14:paraId="03883E3F" w14:textId="77777777" w:rsidR="00EC6A89" w:rsidRPr="00A5794C" w:rsidRDefault="00EC6A89" w:rsidP="00873397">
      <w:pPr>
        <w:spacing w:after="0" w:line="276" w:lineRule="auto"/>
        <w:jc w:val="both"/>
        <w:rPr>
          <w:rFonts w:ascii="Times New Roman" w:hAnsi="Times New Roman" w:cs="Times New Roman"/>
          <w:sz w:val="20"/>
          <w:szCs w:val="20"/>
          <w:lang w:val="en-US"/>
        </w:rPr>
      </w:pPr>
      <w:r w:rsidRPr="00A5794C">
        <w:rPr>
          <w:rFonts w:ascii="Times New Roman" w:hAnsi="Times New Roman" w:cs="Times New Roman"/>
          <w:b/>
          <w:sz w:val="20"/>
          <w:szCs w:val="20"/>
          <w:lang w:val="en-US"/>
        </w:rPr>
        <w:t>Ethical statement:</w:t>
      </w:r>
      <w:r w:rsidRPr="00A5794C">
        <w:rPr>
          <w:rFonts w:ascii="Times New Roman" w:hAnsi="Times New Roman" w:cs="Times New Roman"/>
          <w:sz w:val="20"/>
          <w:szCs w:val="20"/>
          <w:lang w:val="en-US"/>
        </w:rPr>
        <w:t xml:space="preserve"> Ethical approval was not required as this study did not involve human participants or animals.</w:t>
      </w:r>
    </w:p>
    <w:p w14:paraId="1CC8A1AC" w14:textId="77777777" w:rsidR="00EC6A89" w:rsidRPr="00CD384C" w:rsidRDefault="00EC6A89" w:rsidP="002F59EF">
      <w:pPr>
        <w:spacing w:after="0"/>
        <w:jc w:val="both"/>
        <w:rPr>
          <w:rStyle w:val="Strong"/>
          <w:rFonts w:ascii="Times New Roman" w:eastAsia="Times New Roman" w:hAnsi="Times New Roman" w:cs="Times New Roman"/>
          <w:b w:val="0"/>
          <w:sz w:val="20"/>
          <w:szCs w:val="20"/>
          <w:lang w:eastAsia="en-IN"/>
        </w:rPr>
      </w:pPr>
    </w:p>
    <w:p w14:paraId="1ECAE5BA" w14:textId="5B260B75" w:rsidR="006C6902" w:rsidRDefault="00372025" w:rsidP="006C6902">
      <w:pPr>
        <w:spacing w:after="0"/>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References</w:t>
      </w:r>
    </w:p>
    <w:p w14:paraId="48946D02" w14:textId="4A90CBA4" w:rsidR="00A1547A" w:rsidRDefault="00A1547A" w:rsidP="00DC6F07">
      <w:pPr>
        <w:pStyle w:val="ListParagraph"/>
        <w:numPr>
          <w:ilvl w:val="0"/>
          <w:numId w:val="14"/>
        </w:numPr>
        <w:spacing w:after="0"/>
        <w:jc w:val="both"/>
        <w:rPr>
          <w:rFonts w:ascii="Times New Roman" w:hAnsi="Times New Roman" w:cs="Times New Roman"/>
          <w:sz w:val="20"/>
          <w:szCs w:val="20"/>
          <w:lang w:val="en-US"/>
        </w:rPr>
      </w:pPr>
      <w:r w:rsidRPr="00DC6F07">
        <w:rPr>
          <w:rFonts w:ascii="Times New Roman" w:hAnsi="Times New Roman" w:cs="Times New Roman"/>
          <w:sz w:val="20"/>
          <w:szCs w:val="20"/>
          <w:lang w:val="en-US"/>
        </w:rPr>
        <w:t>Agrawal, R., Dixit, A., Arora, M., &amp; Gupta, S. (2022). Assessment of landslide susceptibility for Meghalaya (India) using bivariate (frequency ratio and Shannon entropy) and multi-criteria decision analysis models. Geospatial Information Science, 25(6), 945–962.</w:t>
      </w:r>
      <w:hyperlink r:id="rId24" w:history="1">
        <w:r w:rsidR="00AD70CA" w:rsidRPr="000C4EA9">
          <w:rPr>
            <w:rStyle w:val="Hyperlink"/>
            <w:rFonts w:ascii="Times New Roman" w:hAnsi="Times New Roman" w:cs="Times New Roman"/>
            <w:sz w:val="20"/>
            <w:szCs w:val="20"/>
            <w:lang w:val="en-US"/>
          </w:rPr>
          <w:t>https://doi.org/10.1080/27669645.2022.2101256</w:t>
        </w:r>
      </w:hyperlink>
    </w:p>
    <w:p w14:paraId="0126C1F8" w14:textId="77777777" w:rsidR="00A1547A" w:rsidRDefault="00A1547A" w:rsidP="00486D44">
      <w:pPr>
        <w:pStyle w:val="ListParagraph"/>
        <w:numPr>
          <w:ilvl w:val="0"/>
          <w:numId w:val="14"/>
        </w:numPr>
        <w:spacing w:after="0" w:line="276" w:lineRule="auto"/>
        <w:jc w:val="both"/>
        <w:rPr>
          <w:rFonts w:ascii="Times New Roman" w:hAnsi="Times New Roman" w:cs="Times New Roman"/>
          <w:sz w:val="20"/>
          <w:szCs w:val="20"/>
          <w:lang w:val="en-US"/>
        </w:rPr>
      </w:pPr>
      <w:proofErr w:type="spellStart"/>
      <w:r w:rsidRPr="00795E9A">
        <w:rPr>
          <w:rFonts w:ascii="Times New Roman" w:hAnsi="Times New Roman" w:cs="Times New Roman"/>
          <w:sz w:val="20"/>
          <w:szCs w:val="20"/>
          <w:lang w:val="en-US"/>
        </w:rPr>
        <w:t>Alsabhan</w:t>
      </w:r>
      <w:proofErr w:type="spellEnd"/>
      <w:r w:rsidRPr="00795E9A">
        <w:rPr>
          <w:rFonts w:ascii="Times New Roman" w:hAnsi="Times New Roman" w:cs="Times New Roman"/>
          <w:sz w:val="20"/>
          <w:szCs w:val="20"/>
          <w:lang w:val="en-US"/>
        </w:rPr>
        <w:t xml:space="preserve">, A. H., Patel, H. R., Joseph, S., &amp; Kumar, P. (2023). Earth observation data and GIS based landslide susceptibility mapping in a part of the Eastern Himalayas, India. Environmental Advances, 11, 100351. </w:t>
      </w:r>
      <w:hyperlink r:id="rId25" w:history="1">
        <w:r w:rsidRPr="00C4016B">
          <w:rPr>
            <w:rStyle w:val="Hyperlink"/>
            <w:rFonts w:ascii="Times New Roman" w:hAnsi="Times New Roman" w:cs="Times New Roman"/>
          </w:rPr>
          <w:t>https://doi.org/10.1016/j.envadv.2023.100351</w:t>
        </w:r>
      </w:hyperlink>
    </w:p>
    <w:p w14:paraId="46EBEB36" w14:textId="61841E28" w:rsidR="00A1547A" w:rsidRPr="00CD384C" w:rsidRDefault="00A1547A" w:rsidP="00E75A3A">
      <w:pPr>
        <w:pStyle w:val="ListParagraph"/>
        <w:numPr>
          <w:ilvl w:val="0"/>
          <w:numId w:val="14"/>
        </w:numPr>
        <w:spacing w:after="0" w:line="276" w:lineRule="auto"/>
        <w:jc w:val="both"/>
        <w:rPr>
          <w:rFonts w:ascii="Times New Roman" w:hAnsi="Times New Roman" w:cs="Times New Roman"/>
          <w:sz w:val="20"/>
          <w:szCs w:val="20"/>
          <w:lang w:val="en-US"/>
        </w:rPr>
      </w:pPr>
      <w:r w:rsidRPr="001F4315">
        <w:rPr>
          <w:rFonts w:ascii="Times New Roman" w:hAnsi="Times New Roman" w:cs="Times New Roman"/>
          <w:sz w:val="20"/>
          <w:szCs w:val="20"/>
          <w:lang w:val="en-US"/>
        </w:rPr>
        <w:lastRenderedPageBreak/>
        <w:t>Anil, D., &amp; Manjula, S. H. (2025). High-Precision Landslide Susceptibility Mapping Using CNN-LSTM-Attention Models. Engineering, Technology &amp; Applied Science Research, 15(4), 25486–25491.</w:t>
      </w:r>
      <w:hyperlink r:id="rId26" w:history="1">
        <w:r w:rsidR="00AD70CA" w:rsidRPr="000C4EA9">
          <w:rPr>
            <w:rStyle w:val="Hyperlink"/>
            <w:rFonts w:ascii="Times New Roman" w:hAnsi="Times New Roman" w:cs="Times New Roman"/>
          </w:rPr>
          <w:t>https://doi.org/10.48084/etasr.11505</w:t>
        </w:r>
      </w:hyperlink>
      <w:r>
        <w:rPr>
          <w:rFonts w:ascii="Times New Roman" w:hAnsi="Times New Roman" w:cs="Times New Roman"/>
          <w:sz w:val="20"/>
          <w:szCs w:val="20"/>
          <w:lang w:val="en-US"/>
        </w:rPr>
        <w:t xml:space="preserve"> </w:t>
      </w:r>
    </w:p>
    <w:p w14:paraId="63AB3F39" w14:textId="17962FAD" w:rsidR="00A1547A" w:rsidRPr="00214BD2" w:rsidRDefault="00A1547A" w:rsidP="00E75A3A">
      <w:pPr>
        <w:pStyle w:val="ListParagraph"/>
        <w:numPr>
          <w:ilvl w:val="0"/>
          <w:numId w:val="14"/>
        </w:numPr>
        <w:spacing w:after="0" w:line="276" w:lineRule="auto"/>
        <w:jc w:val="both"/>
        <w:rPr>
          <w:rFonts w:ascii="Times New Roman" w:hAnsi="Times New Roman" w:cs="Times New Roman"/>
          <w:sz w:val="20"/>
          <w:szCs w:val="20"/>
          <w:lang w:val="en-US"/>
        </w:rPr>
      </w:pPr>
      <w:proofErr w:type="spellStart"/>
      <w:r w:rsidRPr="00214BD2">
        <w:rPr>
          <w:rFonts w:ascii="Times New Roman" w:eastAsia="Times New Roman" w:hAnsi="Times New Roman" w:cs="Times New Roman"/>
          <w:color w:val="505050"/>
          <w:sz w:val="20"/>
          <w:szCs w:val="20"/>
          <w:lang w:eastAsia="en-IN"/>
        </w:rPr>
        <w:t>Badavath</w:t>
      </w:r>
      <w:proofErr w:type="spellEnd"/>
      <w:r w:rsidRPr="00214BD2">
        <w:rPr>
          <w:rFonts w:ascii="Times New Roman" w:eastAsia="Times New Roman" w:hAnsi="Times New Roman" w:cs="Times New Roman"/>
          <w:color w:val="505050"/>
          <w:sz w:val="20"/>
          <w:szCs w:val="20"/>
          <w:lang w:eastAsia="en-IN"/>
        </w:rPr>
        <w:t>, N., &amp; Sahoo, S. (2025). Geospatial Assessment and Mapping Landslide Susceptibility for the Garo Hills Division, Meghalaya, India. Geological Journal, 60(5), 1184–1201.</w:t>
      </w:r>
      <w:hyperlink r:id="rId27" w:history="1">
        <w:r w:rsidR="00AD70CA" w:rsidRPr="000C4EA9">
          <w:rPr>
            <w:rStyle w:val="Hyperlink"/>
            <w:rFonts w:ascii="Times New Roman" w:eastAsia="Times New Roman" w:hAnsi="Times New Roman" w:cs="Times New Roman"/>
            <w:lang w:eastAsia="en-IN"/>
          </w:rPr>
          <w:t>https://doi.org/10.1002/gj.5166</w:t>
        </w:r>
      </w:hyperlink>
    </w:p>
    <w:p w14:paraId="3BA55363" w14:textId="02035B5E" w:rsidR="00A1547A" w:rsidRPr="00CD384C" w:rsidRDefault="00A1547A" w:rsidP="004D21B9">
      <w:pPr>
        <w:pStyle w:val="ListParagraph"/>
        <w:numPr>
          <w:ilvl w:val="0"/>
          <w:numId w:val="14"/>
        </w:numPr>
        <w:spacing w:after="0" w:line="276" w:lineRule="auto"/>
        <w:jc w:val="both"/>
        <w:rPr>
          <w:rFonts w:ascii="Times New Roman" w:hAnsi="Times New Roman" w:cs="Times New Roman"/>
          <w:sz w:val="20"/>
          <w:szCs w:val="20"/>
          <w:lang w:val="en-US"/>
        </w:rPr>
      </w:pPr>
      <w:r w:rsidRPr="00EB6F3A">
        <w:rPr>
          <w:rFonts w:ascii="Times New Roman" w:hAnsi="Times New Roman" w:cs="Times New Roman"/>
          <w:sz w:val="20"/>
          <w:szCs w:val="20"/>
          <w:lang w:val="en-US"/>
        </w:rPr>
        <w:t xml:space="preserve">Banjara, M., </w:t>
      </w:r>
      <w:proofErr w:type="spellStart"/>
      <w:r w:rsidRPr="00EB6F3A">
        <w:rPr>
          <w:rFonts w:ascii="Times New Roman" w:hAnsi="Times New Roman" w:cs="Times New Roman"/>
          <w:sz w:val="20"/>
          <w:szCs w:val="20"/>
          <w:lang w:val="en-US"/>
        </w:rPr>
        <w:t>Devkota</w:t>
      </w:r>
      <w:proofErr w:type="spellEnd"/>
      <w:r w:rsidRPr="00EB6F3A">
        <w:rPr>
          <w:rFonts w:ascii="Times New Roman" w:hAnsi="Times New Roman" w:cs="Times New Roman"/>
          <w:sz w:val="20"/>
          <w:szCs w:val="20"/>
          <w:lang w:val="en-US"/>
        </w:rPr>
        <w:t xml:space="preserve">, S., &amp; </w:t>
      </w:r>
      <w:proofErr w:type="spellStart"/>
      <w:r w:rsidRPr="00EB6F3A">
        <w:rPr>
          <w:rFonts w:ascii="Times New Roman" w:hAnsi="Times New Roman" w:cs="Times New Roman"/>
          <w:sz w:val="20"/>
          <w:szCs w:val="20"/>
          <w:lang w:val="en-US"/>
        </w:rPr>
        <w:t>Lamsal</w:t>
      </w:r>
      <w:proofErr w:type="spellEnd"/>
      <w:r w:rsidRPr="00EB6F3A">
        <w:rPr>
          <w:rFonts w:ascii="Times New Roman" w:hAnsi="Times New Roman" w:cs="Times New Roman"/>
          <w:sz w:val="20"/>
          <w:szCs w:val="20"/>
          <w:lang w:val="en-US"/>
        </w:rPr>
        <w:t>, P. (2023). Landslide susceptibility mapping in Eastern Himalaya using AHP and FR model. Journal of Asian Earth Sciences, 259, 105093.</w:t>
      </w:r>
      <w:hyperlink r:id="rId28" w:history="1">
        <w:r w:rsidR="00AD70CA" w:rsidRPr="000C4EA9">
          <w:rPr>
            <w:rStyle w:val="Hyperlink"/>
            <w:rFonts w:ascii="Times New Roman" w:hAnsi="Times New Roman" w:cs="Times New Roman"/>
          </w:rPr>
          <w:t>https://doi.org/10.1016/j.jaes.2023.105093</w:t>
        </w:r>
      </w:hyperlink>
      <w:r>
        <w:rPr>
          <w:rFonts w:ascii="Times New Roman" w:hAnsi="Times New Roman" w:cs="Times New Roman"/>
          <w:sz w:val="20"/>
          <w:szCs w:val="20"/>
          <w:lang w:val="en-US"/>
        </w:rPr>
        <w:t xml:space="preserve"> </w:t>
      </w:r>
      <w:r w:rsidRPr="00CD384C">
        <w:rPr>
          <w:rFonts w:ascii="Times New Roman" w:hAnsi="Times New Roman" w:cs="Times New Roman"/>
          <w:sz w:val="20"/>
          <w:szCs w:val="20"/>
          <w:lang w:val="en-US"/>
        </w:rPr>
        <w:t>.</w:t>
      </w:r>
    </w:p>
    <w:p w14:paraId="507CC319" w14:textId="7748A29E" w:rsidR="00A1547A" w:rsidRPr="004D21B9" w:rsidRDefault="00A1547A" w:rsidP="004D21B9">
      <w:pPr>
        <w:pStyle w:val="ListParagraph"/>
        <w:numPr>
          <w:ilvl w:val="0"/>
          <w:numId w:val="14"/>
        </w:numPr>
        <w:spacing w:after="0"/>
        <w:jc w:val="both"/>
        <w:rPr>
          <w:rFonts w:ascii="Times New Roman" w:hAnsi="Times New Roman" w:cs="Times New Roman"/>
          <w:b/>
          <w:sz w:val="20"/>
          <w:szCs w:val="20"/>
          <w:lang w:val="en-US"/>
        </w:rPr>
      </w:pPr>
      <w:r w:rsidRPr="00B809D6">
        <w:rPr>
          <w:rFonts w:ascii="Times New Roman" w:hAnsi="Times New Roman" w:cs="Times New Roman"/>
          <w:sz w:val="20"/>
          <w:szCs w:val="20"/>
          <w:lang w:val="en-GB"/>
        </w:rPr>
        <w:t xml:space="preserve">Bisht, S., &amp; Singh, P. (2023). Earth observation and GIS-based landslide susceptibility analysis in the Himalayan region. </w:t>
      </w:r>
      <w:proofErr w:type="spellStart"/>
      <w:r w:rsidRPr="00B809D6">
        <w:rPr>
          <w:rFonts w:ascii="Times New Roman" w:hAnsi="Times New Roman" w:cs="Times New Roman"/>
          <w:sz w:val="20"/>
          <w:szCs w:val="20"/>
          <w:lang w:val="en-GB"/>
        </w:rPr>
        <w:t>Geoenvironmental</w:t>
      </w:r>
      <w:proofErr w:type="spellEnd"/>
      <w:r w:rsidRPr="00B809D6">
        <w:rPr>
          <w:rFonts w:ascii="Times New Roman" w:hAnsi="Times New Roman" w:cs="Times New Roman"/>
          <w:sz w:val="20"/>
          <w:szCs w:val="20"/>
          <w:lang w:val="en-GB"/>
        </w:rPr>
        <w:t xml:space="preserve"> Disasters, 10(1), Article 73.</w:t>
      </w:r>
      <w:hyperlink r:id="rId29" w:history="1">
        <w:r w:rsidR="00AD70CA" w:rsidRPr="000C4EA9">
          <w:rPr>
            <w:rStyle w:val="Hyperlink"/>
            <w:rFonts w:ascii="Times New Roman" w:hAnsi="Times New Roman" w:cs="Times New Roman"/>
            <w:sz w:val="20"/>
            <w:szCs w:val="20"/>
            <w:lang w:val="en-GB"/>
          </w:rPr>
          <w:t>https://doi.org/10.1016/j.geds.2023.100073</w:t>
        </w:r>
      </w:hyperlink>
    </w:p>
    <w:p w14:paraId="5D557085" w14:textId="77777777" w:rsidR="00A1547A" w:rsidRPr="00AB2325" w:rsidRDefault="00A1547A" w:rsidP="00E75A3A">
      <w:pPr>
        <w:pStyle w:val="ListParagraph"/>
        <w:numPr>
          <w:ilvl w:val="0"/>
          <w:numId w:val="14"/>
        </w:numPr>
        <w:spacing w:after="0" w:line="276" w:lineRule="auto"/>
        <w:jc w:val="both"/>
        <w:rPr>
          <w:rFonts w:ascii="Times New Roman" w:hAnsi="Times New Roman" w:cs="Times New Roman"/>
          <w:sz w:val="20"/>
          <w:szCs w:val="20"/>
          <w:lang w:val="en-US"/>
        </w:rPr>
      </w:pPr>
      <w:r w:rsidRPr="00AB2325">
        <w:rPr>
          <w:rFonts w:ascii="Times New Roman" w:hAnsi="Times New Roman" w:cs="Times New Roman"/>
          <w:sz w:val="20"/>
          <w:szCs w:val="20"/>
          <w:lang w:val="en-US"/>
        </w:rPr>
        <w:t xml:space="preserve">Das, D., </w:t>
      </w:r>
      <w:proofErr w:type="spellStart"/>
      <w:r w:rsidRPr="00AB2325">
        <w:rPr>
          <w:rFonts w:ascii="Times New Roman" w:hAnsi="Times New Roman" w:cs="Times New Roman"/>
          <w:sz w:val="20"/>
          <w:szCs w:val="20"/>
          <w:lang w:val="en-US"/>
        </w:rPr>
        <w:t>Krishnaiah</w:t>
      </w:r>
      <w:proofErr w:type="spellEnd"/>
      <w:r w:rsidRPr="00AB2325">
        <w:rPr>
          <w:rFonts w:ascii="Times New Roman" w:hAnsi="Times New Roman" w:cs="Times New Roman"/>
          <w:sz w:val="20"/>
          <w:szCs w:val="20"/>
          <w:lang w:val="en-US"/>
        </w:rPr>
        <w:t xml:space="preserve">, Y. V., &amp; </w:t>
      </w:r>
      <w:proofErr w:type="spellStart"/>
      <w:r w:rsidRPr="00AB2325">
        <w:rPr>
          <w:rFonts w:ascii="Times New Roman" w:hAnsi="Times New Roman" w:cs="Times New Roman"/>
          <w:sz w:val="20"/>
          <w:szCs w:val="20"/>
          <w:lang w:val="en-US"/>
        </w:rPr>
        <w:t>Atoshi</w:t>
      </w:r>
      <w:proofErr w:type="spellEnd"/>
      <w:r w:rsidRPr="00AB2325">
        <w:rPr>
          <w:rFonts w:ascii="Times New Roman" w:hAnsi="Times New Roman" w:cs="Times New Roman"/>
          <w:sz w:val="20"/>
          <w:szCs w:val="20"/>
          <w:lang w:val="en-US"/>
        </w:rPr>
        <w:t>, S. (2024). Assessment of landslide susceptibility in the Himalayan state of Tripura, India, using a multi model approach. Current World Environment, 19(2), 371–388. https://doi.org/10.12944/CWE.19.2.29</w:t>
      </w:r>
    </w:p>
    <w:p w14:paraId="31CA815F" w14:textId="77777777" w:rsidR="00A1547A" w:rsidRPr="005F1FC9" w:rsidRDefault="00A1547A" w:rsidP="007B2973">
      <w:pPr>
        <w:pStyle w:val="ListParagraph"/>
        <w:numPr>
          <w:ilvl w:val="0"/>
          <w:numId w:val="14"/>
        </w:numPr>
        <w:jc w:val="both"/>
        <w:rPr>
          <w:rFonts w:ascii="Times New Roman" w:hAnsi="Times New Roman" w:cs="Times New Roman"/>
          <w:sz w:val="20"/>
          <w:szCs w:val="20"/>
          <w:lang w:val="en-GB"/>
        </w:rPr>
      </w:pPr>
      <w:r w:rsidRPr="00B809D6">
        <w:rPr>
          <w:rFonts w:ascii="Times New Roman" w:hAnsi="Times New Roman" w:cs="Times New Roman"/>
          <w:sz w:val="20"/>
          <w:szCs w:val="20"/>
          <w:lang w:val="en-GB"/>
        </w:rPr>
        <w:t xml:space="preserve">Haokip, T. L., </w:t>
      </w:r>
      <w:proofErr w:type="spellStart"/>
      <w:r w:rsidRPr="00B809D6">
        <w:rPr>
          <w:rFonts w:ascii="Times New Roman" w:hAnsi="Times New Roman" w:cs="Times New Roman"/>
          <w:sz w:val="20"/>
          <w:szCs w:val="20"/>
          <w:lang w:val="en-GB"/>
        </w:rPr>
        <w:t>Gangte</w:t>
      </w:r>
      <w:proofErr w:type="spellEnd"/>
      <w:r w:rsidRPr="00B809D6">
        <w:rPr>
          <w:rFonts w:ascii="Times New Roman" w:hAnsi="Times New Roman" w:cs="Times New Roman"/>
          <w:sz w:val="20"/>
          <w:szCs w:val="20"/>
          <w:lang w:val="en-GB"/>
        </w:rPr>
        <w:t>, P. L., Prasad, T. K., Haokip, K., &amp; Shah, M. B. (2025). Integrating remote sensing and GIS for land use land cover detection and terrain evaluation in Churachandpur District, Manipur, India. Manipur, India (February 19, 2025).</w:t>
      </w:r>
      <w:r>
        <w:rPr>
          <w:rFonts w:ascii="Times New Roman" w:hAnsi="Times New Roman" w:cs="Times New Roman"/>
          <w:sz w:val="20"/>
          <w:szCs w:val="20"/>
          <w:lang w:val="en-GB"/>
        </w:rPr>
        <w:t xml:space="preserve"> </w:t>
      </w:r>
      <w:r w:rsidRPr="00A62B24">
        <w:rPr>
          <w:rFonts w:ascii="Times New Roman" w:hAnsi="Times New Roman" w:cs="Times New Roman"/>
          <w:sz w:val="20"/>
          <w:szCs w:val="20"/>
          <w:lang w:val="en-GB"/>
        </w:rPr>
        <w:t>https://dx.doi.org/10.2139/ssrn.5359812</w:t>
      </w:r>
    </w:p>
    <w:p w14:paraId="40D1F84C" w14:textId="1D2A6E5B" w:rsidR="00A1547A" w:rsidRPr="00FC4A7D" w:rsidRDefault="00A1547A" w:rsidP="007B2973">
      <w:pPr>
        <w:pStyle w:val="ListParagraph"/>
        <w:numPr>
          <w:ilvl w:val="0"/>
          <w:numId w:val="14"/>
        </w:numPr>
        <w:spacing w:after="0" w:line="276" w:lineRule="auto"/>
        <w:jc w:val="both"/>
        <w:rPr>
          <w:rFonts w:ascii="Times New Roman" w:hAnsi="Times New Roman" w:cs="Times New Roman"/>
          <w:sz w:val="20"/>
          <w:szCs w:val="20"/>
          <w:lang w:val="en-US"/>
        </w:rPr>
      </w:pPr>
      <w:r w:rsidRPr="00FC4A7D">
        <w:rPr>
          <w:rFonts w:ascii="Times New Roman" w:eastAsia="Times New Roman" w:hAnsi="Times New Roman" w:cs="Times New Roman"/>
          <w:color w:val="505050"/>
          <w:sz w:val="20"/>
          <w:szCs w:val="20"/>
          <w:lang w:eastAsia="en-IN"/>
        </w:rPr>
        <w:t xml:space="preserve">Haokip, T. L., Naik, S. R. S., Prasad, T. K., &amp; Jayapal, G. (2025). Landslide Susceptibility Mapping of Churachandpur District, Manipur, Using Geospatial Techniques. SSRN Electronic </w:t>
      </w:r>
      <w:proofErr w:type="spellStart"/>
      <w:r w:rsidRPr="00FC4A7D">
        <w:rPr>
          <w:rFonts w:ascii="Times New Roman" w:eastAsia="Times New Roman" w:hAnsi="Times New Roman" w:cs="Times New Roman"/>
          <w:color w:val="505050"/>
          <w:sz w:val="20"/>
          <w:szCs w:val="20"/>
          <w:lang w:eastAsia="en-IN"/>
        </w:rPr>
        <w:t>Journal.</w:t>
      </w:r>
      <w:hyperlink r:id="rId30" w:history="1">
        <w:r w:rsidR="00AD70CA" w:rsidRPr="000C4EA9">
          <w:rPr>
            <w:rStyle w:val="Hyperlink"/>
            <w:rFonts w:ascii="Times New Roman" w:eastAsia="Times New Roman" w:hAnsi="Times New Roman" w:cs="Times New Roman"/>
            <w:lang w:eastAsia="en-IN"/>
          </w:rPr>
          <w:t>https</w:t>
        </w:r>
        <w:proofErr w:type="spellEnd"/>
        <w:r w:rsidR="00AD70CA" w:rsidRPr="000C4EA9">
          <w:rPr>
            <w:rStyle w:val="Hyperlink"/>
            <w:rFonts w:ascii="Times New Roman" w:eastAsia="Times New Roman" w:hAnsi="Times New Roman" w:cs="Times New Roman"/>
            <w:lang w:eastAsia="en-IN"/>
          </w:rPr>
          <w:t>://doi.org/10.2139/ssrn.5677502</w:t>
        </w:r>
      </w:hyperlink>
    </w:p>
    <w:p w14:paraId="522F4CD5" w14:textId="41A58DC8" w:rsidR="00A1547A" w:rsidRPr="00484A85" w:rsidRDefault="00A1547A" w:rsidP="00DC6F07">
      <w:pPr>
        <w:pStyle w:val="ListParagraph"/>
        <w:numPr>
          <w:ilvl w:val="0"/>
          <w:numId w:val="14"/>
        </w:numPr>
        <w:spacing w:after="0"/>
        <w:jc w:val="both"/>
        <w:rPr>
          <w:rFonts w:ascii="Times New Roman" w:hAnsi="Times New Roman" w:cs="Times New Roman"/>
          <w:sz w:val="20"/>
          <w:szCs w:val="20"/>
          <w:lang w:val="en-US"/>
        </w:rPr>
      </w:pPr>
      <w:r w:rsidRPr="005A25C6">
        <w:rPr>
          <w:rFonts w:ascii="Arial" w:eastAsia="Times New Roman" w:hAnsi="Arial" w:cs="Arial"/>
          <w:sz w:val="18"/>
          <w:szCs w:val="18"/>
        </w:rPr>
        <w:t>Liu, C., Wang, Z., &amp; Yu, R. (2023). Earth observation data and GIS-based landslide susceptibility mapping with frequency ratio model. Remote Sensing Applications: Society and Environment, 30, 100450.</w:t>
      </w:r>
      <w:hyperlink r:id="rId31" w:history="1">
        <w:r w:rsidR="00AD70CA" w:rsidRPr="000C4EA9">
          <w:rPr>
            <w:rStyle w:val="Hyperlink"/>
            <w:rFonts w:ascii="Arial" w:eastAsia="Times New Roman" w:hAnsi="Arial" w:cs="Arial"/>
            <w:sz w:val="18"/>
            <w:szCs w:val="18"/>
          </w:rPr>
          <w:t>https://doi.org/10.1016/j.rsase.2023.100450</w:t>
        </w:r>
      </w:hyperlink>
      <w:r w:rsidRPr="005A25C6">
        <w:rPr>
          <w:rFonts w:ascii="Arial" w:eastAsia="Times New Roman" w:hAnsi="Arial" w:cs="Arial"/>
          <w:sz w:val="18"/>
          <w:szCs w:val="18"/>
        </w:rPr>
        <w:t>.</w:t>
      </w:r>
    </w:p>
    <w:p w14:paraId="7BA35D51" w14:textId="08F242DB" w:rsidR="00A1547A" w:rsidRPr="00A53D11" w:rsidRDefault="00A1547A" w:rsidP="00A53D11">
      <w:pPr>
        <w:pStyle w:val="ListParagraph"/>
        <w:numPr>
          <w:ilvl w:val="0"/>
          <w:numId w:val="14"/>
        </w:numPr>
        <w:spacing w:after="0" w:line="276" w:lineRule="auto"/>
        <w:jc w:val="both"/>
        <w:rPr>
          <w:rFonts w:ascii="Times New Roman" w:hAnsi="Times New Roman" w:cs="Times New Roman"/>
          <w:sz w:val="20"/>
          <w:szCs w:val="20"/>
          <w:lang w:val="en-US"/>
        </w:rPr>
      </w:pPr>
      <w:r w:rsidRPr="00795E9A">
        <w:rPr>
          <w:rFonts w:ascii="Times New Roman" w:hAnsi="Times New Roman" w:cs="Times New Roman"/>
          <w:sz w:val="20"/>
          <w:szCs w:val="20"/>
          <w:lang w:val="en-US"/>
        </w:rPr>
        <w:t xml:space="preserve">Mehta, M., Kumar, A., </w:t>
      </w:r>
      <w:proofErr w:type="spellStart"/>
      <w:r w:rsidRPr="00795E9A">
        <w:rPr>
          <w:rFonts w:ascii="Times New Roman" w:hAnsi="Times New Roman" w:cs="Times New Roman"/>
          <w:sz w:val="20"/>
          <w:szCs w:val="20"/>
          <w:lang w:val="en-US"/>
        </w:rPr>
        <w:t>Rautela</w:t>
      </w:r>
      <w:proofErr w:type="spellEnd"/>
      <w:r w:rsidRPr="00795E9A">
        <w:rPr>
          <w:rFonts w:ascii="Times New Roman" w:hAnsi="Times New Roman" w:cs="Times New Roman"/>
          <w:sz w:val="20"/>
          <w:szCs w:val="20"/>
          <w:lang w:val="en-US"/>
        </w:rPr>
        <w:t xml:space="preserve">, P., &amp; Singh, R. (2022). Landslide susceptibility assessment in the Himalayan range based along </w:t>
      </w:r>
      <w:proofErr w:type="spellStart"/>
      <w:r w:rsidRPr="00795E9A">
        <w:rPr>
          <w:rFonts w:ascii="Times New Roman" w:hAnsi="Times New Roman" w:cs="Times New Roman"/>
          <w:sz w:val="20"/>
          <w:szCs w:val="20"/>
          <w:lang w:val="en-US"/>
        </w:rPr>
        <w:t>Kasauli</w:t>
      </w:r>
      <w:proofErr w:type="spellEnd"/>
      <w:r w:rsidRPr="00795E9A">
        <w:rPr>
          <w:rFonts w:ascii="Times New Roman" w:hAnsi="Times New Roman" w:cs="Times New Roman"/>
          <w:sz w:val="20"/>
          <w:szCs w:val="20"/>
          <w:lang w:val="en-US"/>
        </w:rPr>
        <w:t>–</w:t>
      </w:r>
      <w:proofErr w:type="spellStart"/>
      <w:r w:rsidRPr="00795E9A">
        <w:rPr>
          <w:rFonts w:ascii="Times New Roman" w:hAnsi="Times New Roman" w:cs="Times New Roman"/>
          <w:sz w:val="20"/>
          <w:szCs w:val="20"/>
          <w:lang w:val="en-US"/>
        </w:rPr>
        <w:t>Parwanoo</w:t>
      </w:r>
      <w:proofErr w:type="spellEnd"/>
      <w:r w:rsidRPr="00795E9A">
        <w:rPr>
          <w:rFonts w:ascii="Times New Roman" w:hAnsi="Times New Roman" w:cs="Times New Roman"/>
          <w:sz w:val="20"/>
          <w:szCs w:val="20"/>
          <w:lang w:val="en-US"/>
        </w:rPr>
        <w:t xml:space="preserve"> road corridor using weight of evidence, information value and frequency ratio models. Journal of the Geological Society of India, 100(2), 168–178.</w:t>
      </w:r>
      <w:hyperlink r:id="rId32" w:history="1">
        <w:r w:rsidR="00AD70CA" w:rsidRPr="000C4EA9">
          <w:rPr>
            <w:rStyle w:val="Hyperlink"/>
            <w:rFonts w:ascii="Times New Roman" w:hAnsi="Times New Roman" w:cs="Times New Roman"/>
          </w:rPr>
          <w:t>https://doi.org/10.1007/s12594-022-1994-4</w:t>
        </w:r>
      </w:hyperlink>
    </w:p>
    <w:p w14:paraId="354C235B" w14:textId="383668B9" w:rsidR="00484A85" w:rsidRPr="00012B18" w:rsidRDefault="00956CAB" w:rsidP="00956CAB">
      <w:pPr>
        <w:pStyle w:val="ListParagraph"/>
        <w:numPr>
          <w:ilvl w:val="0"/>
          <w:numId w:val="14"/>
        </w:numPr>
        <w:spacing w:after="0"/>
        <w:jc w:val="both"/>
        <w:rPr>
          <w:rFonts w:ascii="Times New Roman" w:hAnsi="Times New Roman" w:cs="Times New Roman"/>
          <w:sz w:val="20"/>
          <w:szCs w:val="20"/>
          <w:lang w:val="en-US"/>
        </w:rPr>
      </w:pPr>
      <w:r w:rsidRPr="00012B18">
        <w:rPr>
          <w:rFonts w:ascii="Times New Roman" w:hAnsi="Times New Roman" w:cs="Times New Roman"/>
          <w:sz w:val="20"/>
          <w:szCs w:val="20"/>
          <w:lang w:val="en-US"/>
        </w:rPr>
        <w:t>Sheng, M., Zhang, Y., Deng, J., Liu, L., &amp; Zhao, L. (2022). Landslide susceptibility prediction based on frequency ratio and C5.0 decision tree models. Frontiers in Earth Science, 10, 918386.</w:t>
      </w:r>
      <w:hyperlink r:id="rId33" w:history="1">
        <w:r w:rsidR="00AD70CA" w:rsidRPr="000C4EA9">
          <w:rPr>
            <w:rStyle w:val="Hyperlink"/>
            <w:rFonts w:ascii="Times New Roman" w:hAnsi="Times New Roman" w:cs="Times New Roman"/>
            <w:sz w:val="20"/>
            <w:szCs w:val="20"/>
            <w:lang w:val="en-US"/>
          </w:rPr>
          <w:t>https://doi.org/10.3389/feart.2022.918386</w:t>
        </w:r>
      </w:hyperlink>
    </w:p>
    <w:p w14:paraId="135FCE88" w14:textId="431456BE" w:rsidR="00956CAB" w:rsidRPr="00012B18" w:rsidRDefault="00956CAB" w:rsidP="00956CAB">
      <w:pPr>
        <w:pStyle w:val="ListParagraph"/>
        <w:numPr>
          <w:ilvl w:val="0"/>
          <w:numId w:val="14"/>
        </w:numPr>
        <w:spacing w:after="0"/>
        <w:jc w:val="both"/>
        <w:rPr>
          <w:rFonts w:ascii="Times New Roman" w:hAnsi="Times New Roman" w:cs="Times New Roman"/>
          <w:sz w:val="20"/>
          <w:szCs w:val="20"/>
          <w:lang w:val="en-US"/>
        </w:rPr>
      </w:pPr>
      <w:r w:rsidRPr="00012B18">
        <w:rPr>
          <w:rFonts w:ascii="Times New Roman" w:hAnsi="Times New Roman" w:cs="Times New Roman"/>
          <w:sz w:val="20"/>
          <w:szCs w:val="20"/>
          <w:lang w:val="en-US"/>
        </w:rPr>
        <w:t xml:space="preserve">Ali, A., Rahman, A. U., &amp; Khan, A. (2025). A combined analysis of frequency ratio and analytical hierarchy process for landslide susceptibility mapping in the Hindu Kush region of Pakistan. Scientific Reports, 15, 12345. </w:t>
      </w:r>
      <w:hyperlink r:id="rId34" w:history="1">
        <w:r w:rsidRPr="00012B18">
          <w:rPr>
            <w:rStyle w:val="Hyperlink"/>
            <w:rFonts w:ascii="Times New Roman" w:hAnsi="Times New Roman" w:cs="Times New Roman"/>
            <w:sz w:val="20"/>
            <w:szCs w:val="20"/>
            <w:lang w:val="en-US"/>
          </w:rPr>
          <w:t>https://doi.org/10.1038/s41598-025-94611-z</w:t>
        </w:r>
      </w:hyperlink>
    </w:p>
    <w:p w14:paraId="4A2CA34D" w14:textId="1860C54F" w:rsidR="00956CAB" w:rsidRPr="00012B18" w:rsidRDefault="00956CAB" w:rsidP="00956CAB">
      <w:pPr>
        <w:pStyle w:val="ListParagraph"/>
        <w:numPr>
          <w:ilvl w:val="0"/>
          <w:numId w:val="14"/>
        </w:numPr>
        <w:spacing w:after="0"/>
        <w:jc w:val="both"/>
        <w:rPr>
          <w:rFonts w:ascii="Times New Roman" w:hAnsi="Times New Roman" w:cs="Times New Roman"/>
          <w:sz w:val="20"/>
          <w:szCs w:val="20"/>
          <w:lang w:val="en-US"/>
        </w:rPr>
      </w:pPr>
      <w:r w:rsidRPr="00012B18">
        <w:rPr>
          <w:rFonts w:ascii="Times New Roman" w:hAnsi="Times New Roman" w:cs="Times New Roman"/>
          <w:sz w:val="20"/>
          <w:szCs w:val="20"/>
          <w:lang w:val="en-US"/>
        </w:rPr>
        <w:t xml:space="preserve">Chen, W., Li, W., </w:t>
      </w:r>
      <w:proofErr w:type="spellStart"/>
      <w:r w:rsidRPr="00012B18">
        <w:rPr>
          <w:rFonts w:ascii="Times New Roman" w:hAnsi="Times New Roman" w:cs="Times New Roman"/>
          <w:sz w:val="20"/>
          <w:szCs w:val="20"/>
          <w:lang w:val="en-US"/>
        </w:rPr>
        <w:t>Xie</w:t>
      </w:r>
      <w:proofErr w:type="spellEnd"/>
      <w:r w:rsidRPr="00012B18">
        <w:rPr>
          <w:rFonts w:ascii="Times New Roman" w:hAnsi="Times New Roman" w:cs="Times New Roman"/>
          <w:sz w:val="20"/>
          <w:szCs w:val="20"/>
          <w:lang w:val="en-US"/>
        </w:rPr>
        <w:t xml:space="preserve">, X., &amp; Guo, F. (2021). Landslide susceptibility assessment using the Weight of Evidence and frequency ratio models in the </w:t>
      </w:r>
      <w:proofErr w:type="spellStart"/>
      <w:r w:rsidRPr="00012B18">
        <w:rPr>
          <w:rFonts w:ascii="Times New Roman" w:hAnsi="Times New Roman" w:cs="Times New Roman"/>
          <w:sz w:val="20"/>
          <w:szCs w:val="20"/>
          <w:lang w:val="en-US"/>
        </w:rPr>
        <w:t>Xunyang</w:t>
      </w:r>
      <w:proofErr w:type="spellEnd"/>
      <w:r w:rsidRPr="00012B18">
        <w:rPr>
          <w:rFonts w:ascii="Times New Roman" w:hAnsi="Times New Roman" w:cs="Times New Roman"/>
          <w:sz w:val="20"/>
          <w:szCs w:val="20"/>
          <w:lang w:val="en-US"/>
        </w:rPr>
        <w:t xml:space="preserve"> area of China. PLOS ONE, 16(1), e0245668.</w:t>
      </w:r>
      <w:hyperlink r:id="rId35" w:history="1">
        <w:r w:rsidR="00AD70CA" w:rsidRPr="000C4EA9">
          <w:rPr>
            <w:rStyle w:val="Hyperlink"/>
            <w:rFonts w:ascii="Times New Roman" w:hAnsi="Times New Roman" w:cs="Times New Roman"/>
            <w:sz w:val="20"/>
            <w:szCs w:val="20"/>
            <w:lang w:val="en-US"/>
          </w:rPr>
          <w:t>https://doi.org/10.1371/journal.pone.0245668</w:t>
        </w:r>
      </w:hyperlink>
    </w:p>
    <w:p w14:paraId="6951D98D" w14:textId="66E10595" w:rsidR="00956CAB" w:rsidRPr="00012B18" w:rsidRDefault="00956CAB" w:rsidP="00956CAB">
      <w:pPr>
        <w:pStyle w:val="ListParagraph"/>
        <w:numPr>
          <w:ilvl w:val="0"/>
          <w:numId w:val="14"/>
        </w:numPr>
        <w:spacing w:after="0"/>
        <w:jc w:val="both"/>
        <w:rPr>
          <w:rFonts w:ascii="Times New Roman" w:hAnsi="Times New Roman" w:cs="Times New Roman"/>
          <w:sz w:val="20"/>
          <w:szCs w:val="20"/>
          <w:lang w:val="en-US"/>
        </w:rPr>
      </w:pPr>
      <w:proofErr w:type="spellStart"/>
      <w:r w:rsidRPr="00012B18">
        <w:rPr>
          <w:rFonts w:ascii="Times New Roman" w:hAnsi="Times New Roman" w:cs="Times New Roman"/>
          <w:sz w:val="20"/>
          <w:szCs w:val="20"/>
          <w:lang w:val="en-US"/>
        </w:rPr>
        <w:t>Tanoli</w:t>
      </w:r>
      <w:proofErr w:type="spellEnd"/>
      <w:r w:rsidRPr="00012B18">
        <w:rPr>
          <w:rFonts w:ascii="Times New Roman" w:hAnsi="Times New Roman" w:cs="Times New Roman"/>
          <w:sz w:val="20"/>
          <w:szCs w:val="20"/>
          <w:lang w:val="en-US"/>
        </w:rPr>
        <w:t xml:space="preserve">, J. I., Rehman, G., &amp; Khan, S. R. (2023). Application of bivariate statistical techniques for landslide susceptibility assessment in the </w:t>
      </w:r>
      <w:proofErr w:type="spellStart"/>
      <w:r w:rsidRPr="00012B18">
        <w:rPr>
          <w:rFonts w:ascii="Times New Roman" w:hAnsi="Times New Roman" w:cs="Times New Roman"/>
          <w:sz w:val="20"/>
          <w:szCs w:val="20"/>
          <w:lang w:val="en-US"/>
        </w:rPr>
        <w:t>Kaghan</w:t>
      </w:r>
      <w:proofErr w:type="spellEnd"/>
      <w:r w:rsidRPr="00012B18">
        <w:rPr>
          <w:rFonts w:ascii="Times New Roman" w:hAnsi="Times New Roman" w:cs="Times New Roman"/>
          <w:sz w:val="20"/>
          <w:szCs w:val="20"/>
          <w:lang w:val="en-US"/>
        </w:rPr>
        <w:t xml:space="preserve"> Valley, NW Himalayas, Pakistan. Geological Journal, 58(12), 2499–2520. </w:t>
      </w:r>
      <w:hyperlink r:id="rId36" w:history="1">
        <w:r w:rsidRPr="00012B18">
          <w:rPr>
            <w:rStyle w:val="Hyperlink"/>
            <w:rFonts w:ascii="Times New Roman" w:hAnsi="Times New Roman" w:cs="Times New Roman"/>
            <w:sz w:val="20"/>
            <w:szCs w:val="20"/>
            <w:lang w:val="en-US"/>
          </w:rPr>
          <w:t>https://doi.org/10.1002/gj.4836</w:t>
        </w:r>
      </w:hyperlink>
    </w:p>
    <w:p w14:paraId="114751D1" w14:textId="7537257B" w:rsidR="00956CAB" w:rsidRPr="00012B18" w:rsidRDefault="00FA3C64" w:rsidP="00ED54B3">
      <w:pPr>
        <w:pStyle w:val="ListParagraph"/>
        <w:numPr>
          <w:ilvl w:val="0"/>
          <w:numId w:val="14"/>
        </w:numPr>
        <w:rPr>
          <w:rFonts w:ascii="Times New Roman" w:hAnsi="Times New Roman" w:cs="Times New Roman"/>
          <w:sz w:val="20"/>
          <w:szCs w:val="20"/>
          <w:lang w:val="en-GB"/>
        </w:rPr>
      </w:pPr>
      <w:r w:rsidRPr="00012B18">
        <w:rPr>
          <w:rFonts w:ascii="Times New Roman" w:hAnsi="Times New Roman" w:cs="Times New Roman"/>
          <w:sz w:val="20"/>
          <w:szCs w:val="20"/>
          <w:lang w:val="en-GB"/>
        </w:rPr>
        <w:t xml:space="preserve">Leta, E. D., </w:t>
      </w:r>
      <w:proofErr w:type="spellStart"/>
      <w:r w:rsidRPr="00012B18">
        <w:rPr>
          <w:rFonts w:ascii="Times New Roman" w:hAnsi="Times New Roman" w:cs="Times New Roman"/>
          <w:sz w:val="20"/>
          <w:szCs w:val="20"/>
          <w:lang w:val="en-GB"/>
        </w:rPr>
        <w:t>Diriba</w:t>
      </w:r>
      <w:proofErr w:type="spellEnd"/>
      <w:r w:rsidRPr="00012B18">
        <w:rPr>
          <w:rFonts w:ascii="Times New Roman" w:hAnsi="Times New Roman" w:cs="Times New Roman"/>
          <w:sz w:val="20"/>
          <w:szCs w:val="20"/>
          <w:lang w:val="en-GB"/>
        </w:rPr>
        <w:t xml:space="preserve">, D., </w:t>
      </w:r>
      <w:proofErr w:type="spellStart"/>
      <w:r w:rsidRPr="00012B18">
        <w:rPr>
          <w:rFonts w:ascii="Times New Roman" w:hAnsi="Times New Roman" w:cs="Times New Roman"/>
          <w:sz w:val="20"/>
          <w:szCs w:val="20"/>
          <w:lang w:val="en-GB"/>
        </w:rPr>
        <w:t>Abrha</w:t>
      </w:r>
      <w:proofErr w:type="spellEnd"/>
      <w:r w:rsidRPr="00012B18">
        <w:rPr>
          <w:rFonts w:ascii="Times New Roman" w:hAnsi="Times New Roman" w:cs="Times New Roman"/>
          <w:sz w:val="20"/>
          <w:szCs w:val="20"/>
          <w:lang w:val="en-GB"/>
        </w:rPr>
        <w:t xml:space="preserve">, N., &amp; </w:t>
      </w:r>
      <w:proofErr w:type="spellStart"/>
      <w:r w:rsidRPr="00012B18">
        <w:rPr>
          <w:rFonts w:ascii="Times New Roman" w:hAnsi="Times New Roman" w:cs="Times New Roman"/>
          <w:sz w:val="20"/>
          <w:szCs w:val="20"/>
          <w:lang w:val="en-GB"/>
        </w:rPr>
        <w:t>Karuppannan</w:t>
      </w:r>
      <w:proofErr w:type="spellEnd"/>
      <w:r w:rsidRPr="00012B18">
        <w:rPr>
          <w:rFonts w:ascii="Times New Roman" w:hAnsi="Times New Roman" w:cs="Times New Roman"/>
          <w:sz w:val="20"/>
          <w:szCs w:val="20"/>
          <w:lang w:val="en-GB"/>
        </w:rPr>
        <w:t xml:space="preserve">, S. (2025). Landslide susceptibility mapping using geospatial technology in the case of the </w:t>
      </w:r>
      <w:proofErr w:type="spellStart"/>
      <w:r w:rsidRPr="00012B18">
        <w:rPr>
          <w:rFonts w:ascii="Times New Roman" w:hAnsi="Times New Roman" w:cs="Times New Roman"/>
          <w:sz w:val="20"/>
          <w:szCs w:val="20"/>
          <w:lang w:val="en-GB"/>
        </w:rPr>
        <w:t>Gidabo</w:t>
      </w:r>
      <w:proofErr w:type="spellEnd"/>
      <w:r w:rsidRPr="00012B18">
        <w:rPr>
          <w:rFonts w:ascii="Times New Roman" w:hAnsi="Times New Roman" w:cs="Times New Roman"/>
          <w:sz w:val="20"/>
          <w:szCs w:val="20"/>
          <w:lang w:val="en-GB"/>
        </w:rPr>
        <w:t xml:space="preserve"> watershed, Main Ethiopian Rift. Scientific African, e02928.</w:t>
      </w:r>
      <w:hyperlink r:id="rId37" w:history="1">
        <w:r w:rsidRPr="00012B18">
          <w:rPr>
            <w:rStyle w:val="Hyperlink"/>
            <w:rFonts w:ascii="Times New Roman" w:hAnsi="Times New Roman" w:cs="Times New Roman"/>
            <w:sz w:val="20"/>
            <w:szCs w:val="20"/>
            <w:lang w:val="en-GB"/>
          </w:rPr>
          <w:t>https://www.sciencedirect.com/science/article/pii/S2468227625003989</w:t>
        </w:r>
      </w:hyperlink>
      <w:r w:rsidRPr="00012B18">
        <w:rPr>
          <w:rFonts w:ascii="Times New Roman" w:hAnsi="Times New Roman" w:cs="Times New Roman"/>
          <w:sz w:val="20"/>
          <w:szCs w:val="20"/>
          <w:lang w:val="en-GB"/>
        </w:rPr>
        <w:t xml:space="preserve"> </w:t>
      </w:r>
    </w:p>
    <w:p w14:paraId="5FA5D1A6" w14:textId="28BF9BA0" w:rsidR="00F15CAA" w:rsidRPr="00012B18" w:rsidRDefault="000E322F" w:rsidP="000E322F">
      <w:pPr>
        <w:pStyle w:val="ListParagraph"/>
        <w:numPr>
          <w:ilvl w:val="0"/>
          <w:numId w:val="14"/>
        </w:numPr>
        <w:rPr>
          <w:rFonts w:ascii="Times New Roman" w:hAnsi="Times New Roman" w:cs="Times New Roman"/>
          <w:sz w:val="20"/>
          <w:szCs w:val="20"/>
          <w:lang w:val="en-GB"/>
        </w:rPr>
      </w:pPr>
      <w:r w:rsidRPr="00012B18">
        <w:rPr>
          <w:rFonts w:ascii="Times New Roman" w:hAnsi="Times New Roman" w:cs="Times New Roman"/>
          <w:sz w:val="20"/>
          <w:szCs w:val="20"/>
          <w:lang w:val="en-GB"/>
        </w:rPr>
        <w:t xml:space="preserve">Chen, W., Sun, Z., &amp; Han, J. (2019). Landslide susceptibility </w:t>
      </w:r>
      <w:proofErr w:type="spellStart"/>
      <w:r w:rsidRPr="00012B18">
        <w:rPr>
          <w:rFonts w:ascii="Times New Roman" w:hAnsi="Times New Roman" w:cs="Times New Roman"/>
          <w:sz w:val="20"/>
          <w:szCs w:val="20"/>
          <w:lang w:val="en-GB"/>
        </w:rPr>
        <w:t>modeling</w:t>
      </w:r>
      <w:proofErr w:type="spellEnd"/>
      <w:r w:rsidRPr="00012B18">
        <w:rPr>
          <w:rFonts w:ascii="Times New Roman" w:hAnsi="Times New Roman" w:cs="Times New Roman"/>
          <w:sz w:val="20"/>
          <w:szCs w:val="20"/>
          <w:lang w:val="en-GB"/>
        </w:rPr>
        <w:t xml:space="preserve"> using integrated ensemble weights of evidence with logistic regression and random forest models. Applied sciences, 9(1), 171.</w:t>
      </w:r>
    </w:p>
    <w:p w14:paraId="59C222D0" w14:textId="47BA137B" w:rsidR="000E322F" w:rsidRPr="00012B18" w:rsidRDefault="000E322F" w:rsidP="000E322F">
      <w:pPr>
        <w:pStyle w:val="ListParagraph"/>
        <w:numPr>
          <w:ilvl w:val="0"/>
          <w:numId w:val="14"/>
        </w:numPr>
        <w:rPr>
          <w:rFonts w:ascii="Times New Roman" w:hAnsi="Times New Roman" w:cs="Times New Roman"/>
          <w:sz w:val="20"/>
          <w:szCs w:val="20"/>
          <w:lang w:val="en-GB"/>
        </w:rPr>
      </w:pPr>
      <w:r w:rsidRPr="00012B18">
        <w:rPr>
          <w:rFonts w:ascii="Times New Roman" w:hAnsi="Times New Roman" w:cs="Times New Roman"/>
          <w:sz w:val="20"/>
          <w:szCs w:val="20"/>
          <w:lang w:val="en-GB"/>
        </w:rPr>
        <w:t>Mandal, B., Mondal, S., &amp; Mandal, S. (2023). GIS-based landslide susceptibility zonation (LSZ) mapping of Darjeeling Himalaya, India using weights of evidence (</w:t>
      </w:r>
      <w:proofErr w:type="spellStart"/>
      <w:r w:rsidRPr="00012B18">
        <w:rPr>
          <w:rFonts w:ascii="Times New Roman" w:hAnsi="Times New Roman" w:cs="Times New Roman"/>
          <w:sz w:val="20"/>
          <w:szCs w:val="20"/>
          <w:lang w:val="en-GB"/>
        </w:rPr>
        <w:t>WoE</w:t>
      </w:r>
      <w:proofErr w:type="spellEnd"/>
      <w:r w:rsidRPr="00012B18">
        <w:rPr>
          <w:rFonts w:ascii="Times New Roman" w:hAnsi="Times New Roman" w:cs="Times New Roman"/>
          <w:sz w:val="20"/>
          <w:szCs w:val="20"/>
          <w:lang w:val="en-GB"/>
        </w:rPr>
        <w:t>) model. Arabian Journal of Geosciences, 16(7), 421.</w:t>
      </w:r>
    </w:p>
    <w:p w14:paraId="488A3298" w14:textId="4C17E659" w:rsidR="000E322F" w:rsidRPr="00012B18" w:rsidRDefault="000E322F" w:rsidP="000E322F">
      <w:pPr>
        <w:pStyle w:val="ListParagraph"/>
        <w:numPr>
          <w:ilvl w:val="0"/>
          <w:numId w:val="14"/>
        </w:numPr>
        <w:rPr>
          <w:rFonts w:ascii="Times New Roman" w:hAnsi="Times New Roman" w:cs="Times New Roman"/>
          <w:sz w:val="20"/>
          <w:szCs w:val="20"/>
          <w:lang w:val="en-GB"/>
        </w:rPr>
      </w:pPr>
      <w:proofErr w:type="spellStart"/>
      <w:r w:rsidRPr="00012B18">
        <w:rPr>
          <w:rFonts w:ascii="Times New Roman" w:hAnsi="Times New Roman" w:cs="Times New Roman"/>
          <w:sz w:val="20"/>
          <w:szCs w:val="20"/>
          <w:lang w:val="en-GB"/>
        </w:rPr>
        <w:t>Aghdam</w:t>
      </w:r>
      <w:proofErr w:type="spellEnd"/>
      <w:r w:rsidRPr="00012B18">
        <w:rPr>
          <w:rFonts w:ascii="Times New Roman" w:hAnsi="Times New Roman" w:cs="Times New Roman"/>
          <w:sz w:val="20"/>
          <w:szCs w:val="20"/>
          <w:lang w:val="en-GB"/>
        </w:rPr>
        <w:t>, I. N., Pradhan, B., &amp; Panahi, M. (2017). Landslide susceptibility assessment using a novel hybrid model of statistical bivariate methods (FR and WOE) and adaptive neuro-fuzzy inference system (ANFIS) at southern Zagros Mountains in Iran. Environmental Earth Sciences, 76(6), 237.</w:t>
      </w:r>
    </w:p>
    <w:p w14:paraId="4BECAFDC" w14:textId="67F9BF4E" w:rsidR="000E322F" w:rsidRPr="00F15CAA" w:rsidRDefault="00012B18" w:rsidP="00012B18">
      <w:pPr>
        <w:pStyle w:val="ListParagraph"/>
        <w:numPr>
          <w:ilvl w:val="0"/>
          <w:numId w:val="14"/>
        </w:numPr>
        <w:rPr>
          <w:sz w:val="20"/>
          <w:szCs w:val="20"/>
          <w:lang w:val="en-GB"/>
        </w:rPr>
      </w:pPr>
      <w:proofErr w:type="spellStart"/>
      <w:r w:rsidRPr="00012B18">
        <w:rPr>
          <w:sz w:val="20"/>
          <w:szCs w:val="20"/>
          <w:lang w:val="en-GB"/>
        </w:rPr>
        <w:t>Myronidis</w:t>
      </w:r>
      <w:proofErr w:type="spellEnd"/>
      <w:r w:rsidRPr="00012B18">
        <w:rPr>
          <w:sz w:val="20"/>
          <w:szCs w:val="20"/>
          <w:lang w:val="en-GB"/>
        </w:rPr>
        <w:t xml:space="preserve">, D., </w:t>
      </w:r>
      <w:proofErr w:type="spellStart"/>
      <w:r w:rsidRPr="00012B18">
        <w:rPr>
          <w:sz w:val="20"/>
          <w:szCs w:val="20"/>
          <w:lang w:val="en-GB"/>
        </w:rPr>
        <w:t>Papageorgiou</w:t>
      </w:r>
      <w:proofErr w:type="spellEnd"/>
      <w:r w:rsidRPr="00012B18">
        <w:rPr>
          <w:sz w:val="20"/>
          <w:szCs w:val="20"/>
          <w:lang w:val="en-GB"/>
        </w:rPr>
        <w:t>, C., &amp; Theophanous, S. (2016). Landslide susceptibility mapping based on landslide history and analytic hierarchy process (AHP). Natural Hazards, 81(1), 245-263.</w:t>
      </w:r>
    </w:p>
    <w:p w14:paraId="47C9F9EE" w14:textId="77777777" w:rsidR="00AB2325" w:rsidRPr="00CD384C" w:rsidRDefault="00AB2325" w:rsidP="00AB2325">
      <w:pPr>
        <w:pStyle w:val="ListParagraph"/>
        <w:spacing w:after="0" w:line="276" w:lineRule="auto"/>
        <w:jc w:val="both"/>
        <w:rPr>
          <w:rFonts w:ascii="Times New Roman" w:hAnsi="Times New Roman" w:cs="Times New Roman"/>
          <w:sz w:val="20"/>
          <w:szCs w:val="20"/>
          <w:lang w:val="en-US"/>
        </w:rPr>
      </w:pPr>
    </w:p>
    <w:sectPr w:rsidR="00AB2325" w:rsidRPr="00CD384C" w:rsidSect="00C155B2">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CC3EF7" w14:textId="77777777" w:rsidR="0031308D" w:rsidRDefault="0031308D" w:rsidP="006C3380">
      <w:pPr>
        <w:spacing w:after="0" w:line="240" w:lineRule="auto"/>
      </w:pPr>
      <w:r>
        <w:separator/>
      </w:r>
    </w:p>
  </w:endnote>
  <w:endnote w:type="continuationSeparator" w:id="0">
    <w:p w14:paraId="406DE08C" w14:textId="77777777" w:rsidR="0031308D" w:rsidRDefault="0031308D" w:rsidP="006C3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5097E" w14:textId="77777777" w:rsidR="00E60432" w:rsidRDefault="00E604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81A76" w14:textId="77777777" w:rsidR="00E60432" w:rsidRDefault="00E604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87BA4" w14:textId="77777777" w:rsidR="00E60432" w:rsidRDefault="00E60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D749D" w14:textId="77777777" w:rsidR="0031308D" w:rsidRDefault="0031308D" w:rsidP="006C3380">
      <w:pPr>
        <w:spacing w:after="0" w:line="240" w:lineRule="auto"/>
      </w:pPr>
      <w:r>
        <w:separator/>
      </w:r>
    </w:p>
  </w:footnote>
  <w:footnote w:type="continuationSeparator" w:id="0">
    <w:p w14:paraId="53FABBA1" w14:textId="77777777" w:rsidR="0031308D" w:rsidRDefault="0031308D" w:rsidP="006C33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87DCE" w14:textId="77777777" w:rsidR="00E60432" w:rsidRDefault="0031308D">
    <w:pPr>
      <w:pStyle w:val="Header"/>
    </w:pPr>
    <w:r>
      <w:rPr>
        <w:noProof/>
      </w:rPr>
      <w:pict w14:anchorId="25092D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14015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FFBB9" w14:textId="77777777" w:rsidR="00E60432" w:rsidRDefault="0031308D">
    <w:pPr>
      <w:pStyle w:val="Header"/>
    </w:pPr>
    <w:r>
      <w:rPr>
        <w:noProof/>
      </w:rPr>
      <w:pict w14:anchorId="6C1BA4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14015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321BF" w14:textId="77777777" w:rsidR="00E60432" w:rsidRDefault="0031308D">
    <w:pPr>
      <w:pStyle w:val="Header"/>
    </w:pPr>
    <w:r>
      <w:rPr>
        <w:noProof/>
      </w:rPr>
      <w:pict w14:anchorId="7B759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14015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724DC"/>
    <w:multiLevelType w:val="multilevel"/>
    <w:tmpl w:val="AD204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A08AA"/>
    <w:multiLevelType w:val="multilevel"/>
    <w:tmpl w:val="1DA0C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93C78"/>
    <w:multiLevelType w:val="multilevel"/>
    <w:tmpl w:val="F0360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8913AF"/>
    <w:multiLevelType w:val="hybridMultilevel"/>
    <w:tmpl w:val="064287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D73003C"/>
    <w:multiLevelType w:val="hybridMultilevel"/>
    <w:tmpl w:val="3F40CC9A"/>
    <w:lvl w:ilvl="0" w:tplc="681218D6">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AAE02CE"/>
    <w:multiLevelType w:val="multilevel"/>
    <w:tmpl w:val="95487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E12E99"/>
    <w:multiLevelType w:val="hybridMultilevel"/>
    <w:tmpl w:val="BC1E5AF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81F3352"/>
    <w:multiLevelType w:val="multilevel"/>
    <w:tmpl w:val="0B80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5166A4"/>
    <w:multiLevelType w:val="multilevel"/>
    <w:tmpl w:val="D92AA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E714DB"/>
    <w:multiLevelType w:val="multilevel"/>
    <w:tmpl w:val="97901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635BBD"/>
    <w:multiLevelType w:val="multilevel"/>
    <w:tmpl w:val="6C3C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5C698D"/>
    <w:multiLevelType w:val="multilevel"/>
    <w:tmpl w:val="1DB64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5F5F6A"/>
    <w:multiLevelType w:val="hybridMultilevel"/>
    <w:tmpl w:val="485433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DFF00E1"/>
    <w:multiLevelType w:val="multilevel"/>
    <w:tmpl w:val="ABE84E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1"/>
  </w:num>
  <w:num w:numId="3">
    <w:abstractNumId w:val="6"/>
  </w:num>
  <w:num w:numId="4">
    <w:abstractNumId w:val="0"/>
  </w:num>
  <w:num w:numId="5">
    <w:abstractNumId w:val="5"/>
  </w:num>
  <w:num w:numId="6">
    <w:abstractNumId w:val="1"/>
  </w:num>
  <w:num w:numId="7">
    <w:abstractNumId w:val="2"/>
  </w:num>
  <w:num w:numId="8">
    <w:abstractNumId w:val="9"/>
  </w:num>
  <w:num w:numId="9">
    <w:abstractNumId w:val="8"/>
  </w:num>
  <w:num w:numId="10">
    <w:abstractNumId w:val="13"/>
  </w:num>
  <w:num w:numId="11">
    <w:abstractNumId w:val="10"/>
  </w:num>
  <w:num w:numId="12">
    <w:abstractNumId w:val="12"/>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685"/>
    <w:rsid w:val="00011532"/>
    <w:rsid w:val="000125F8"/>
    <w:rsid w:val="00012B18"/>
    <w:rsid w:val="0002263F"/>
    <w:rsid w:val="000253BA"/>
    <w:rsid w:val="00034056"/>
    <w:rsid w:val="00035F5B"/>
    <w:rsid w:val="000379C0"/>
    <w:rsid w:val="00051630"/>
    <w:rsid w:val="000523EA"/>
    <w:rsid w:val="0005279B"/>
    <w:rsid w:val="00055B29"/>
    <w:rsid w:val="00062D2E"/>
    <w:rsid w:val="00066350"/>
    <w:rsid w:val="00074E6F"/>
    <w:rsid w:val="000A3480"/>
    <w:rsid w:val="000A5EDF"/>
    <w:rsid w:val="000B0603"/>
    <w:rsid w:val="000B2FA0"/>
    <w:rsid w:val="000B5A48"/>
    <w:rsid w:val="000D0E84"/>
    <w:rsid w:val="000E1364"/>
    <w:rsid w:val="000E322F"/>
    <w:rsid w:val="000E3C26"/>
    <w:rsid w:val="000F2020"/>
    <w:rsid w:val="000F3C1B"/>
    <w:rsid w:val="000F4F69"/>
    <w:rsid w:val="00113E57"/>
    <w:rsid w:val="00121213"/>
    <w:rsid w:val="00140168"/>
    <w:rsid w:val="001429EE"/>
    <w:rsid w:val="001465A8"/>
    <w:rsid w:val="00146D46"/>
    <w:rsid w:val="001472A2"/>
    <w:rsid w:val="00151852"/>
    <w:rsid w:val="0019599F"/>
    <w:rsid w:val="001C12A6"/>
    <w:rsid w:val="001C7E0C"/>
    <w:rsid w:val="001E4C2D"/>
    <w:rsid w:val="001F3D16"/>
    <w:rsid w:val="001F4315"/>
    <w:rsid w:val="001F5AF5"/>
    <w:rsid w:val="00205080"/>
    <w:rsid w:val="00214BD2"/>
    <w:rsid w:val="00224A9E"/>
    <w:rsid w:val="00231BB8"/>
    <w:rsid w:val="00232096"/>
    <w:rsid w:val="00241E77"/>
    <w:rsid w:val="00256996"/>
    <w:rsid w:val="00272757"/>
    <w:rsid w:val="002769E3"/>
    <w:rsid w:val="00277720"/>
    <w:rsid w:val="002823B3"/>
    <w:rsid w:val="00285BAC"/>
    <w:rsid w:val="00286EB5"/>
    <w:rsid w:val="002900DE"/>
    <w:rsid w:val="002901FD"/>
    <w:rsid w:val="00291FCB"/>
    <w:rsid w:val="002A41D6"/>
    <w:rsid w:val="002B54B0"/>
    <w:rsid w:val="002B6291"/>
    <w:rsid w:val="002D0D5B"/>
    <w:rsid w:val="002D1AB2"/>
    <w:rsid w:val="002D36A7"/>
    <w:rsid w:val="002D63BA"/>
    <w:rsid w:val="002E3C52"/>
    <w:rsid w:val="002E7527"/>
    <w:rsid w:val="002F06DF"/>
    <w:rsid w:val="002F105C"/>
    <w:rsid w:val="002F59EF"/>
    <w:rsid w:val="00300C0A"/>
    <w:rsid w:val="00303F45"/>
    <w:rsid w:val="0030457D"/>
    <w:rsid w:val="0031308D"/>
    <w:rsid w:val="00315D67"/>
    <w:rsid w:val="00322EEB"/>
    <w:rsid w:val="003231DC"/>
    <w:rsid w:val="00334A0D"/>
    <w:rsid w:val="00344A1A"/>
    <w:rsid w:val="00346057"/>
    <w:rsid w:val="00372025"/>
    <w:rsid w:val="00382A1A"/>
    <w:rsid w:val="003900FB"/>
    <w:rsid w:val="0039672A"/>
    <w:rsid w:val="003973D6"/>
    <w:rsid w:val="003A0832"/>
    <w:rsid w:val="003B01D4"/>
    <w:rsid w:val="003B05C1"/>
    <w:rsid w:val="003B388D"/>
    <w:rsid w:val="003C2676"/>
    <w:rsid w:val="003C352C"/>
    <w:rsid w:val="003C3878"/>
    <w:rsid w:val="003C50B1"/>
    <w:rsid w:val="003C558F"/>
    <w:rsid w:val="003C6EA0"/>
    <w:rsid w:val="003D1704"/>
    <w:rsid w:val="003D5359"/>
    <w:rsid w:val="003E78CA"/>
    <w:rsid w:val="003F3F41"/>
    <w:rsid w:val="003F706D"/>
    <w:rsid w:val="00403443"/>
    <w:rsid w:val="004062CF"/>
    <w:rsid w:val="00410E48"/>
    <w:rsid w:val="00422082"/>
    <w:rsid w:val="00433719"/>
    <w:rsid w:val="00436495"/>
    <w:rsid w:val="0044164F"/>
    <w:rsid w:val="00445BCF"/>
    <w:rsid w:val="004472D5"/>
    <w:rsid w:val="00464E0B"/>
    <w:rsid w:val="00466382"/>
    <w:rsid w:val="004735D5"/>
    <w:rsid w:val="00483658"/>
    <w:rsid w:val="00484A85"/>
    <w:rsid w:val="00486D44"/>
    <w:rsid w:val="004A4813"/>
    <w:rsid w:val="004B6DE8"/>
    <w:rsid w:val="004C1389"/>
    <w:rsid w:val="004C1A5B"/>
    <w:rsid w:val="004D06C8"/>
    <w:rsid w:val="004D1E04"/>
    <w:rsid w:val="004D21B9"/>
    <w:rsid w:val="004D4B47"/>
    <w:rsid w:val="004E00B7"/>
    <w:rsid w:val="004E5CBF"/>
    <w:rsid w:val="00500B6F"/>
    <w:rsid w:val="00504D81"/>
    <w:rsid w:val="005141A9"/>
    <w:rsid w:val="005169D5"/>
    <w:rsid w:val="005344EB"/>
    <w:rsid w:val="005356D1"/>
    <w:rsid w:val="0057039D"/>
    <w:rsid w:val="00570A75"/>
    <w:rsid w:val="00571D84"/>
    <w:rsid w:val="005743E0"/>
    <w:rsid w:val="00575E00"/>
    <w:rsid w:val="00580391"/>
    <w:rsid w:val="005838FB"/>
    <w:rsid w:val="00584547"/>
    <w:rsid w:val="00585C3B"/>
    <w:rsid w:val="00591177"/>
    <w:rsid w:val="00591541"/>
    <w:rsid w:val="0059314F"/>
    <w:rsid w:val="005A3060"/>
    <w:rsid w:val="005B205F"/>
    <w:rsid w:val="005B3026"/>
    <w:rsid w:val="005B6629"/>
    <w:rsid w:val="005C10D3"/>
    <w:rsid w:val="005C38B2"/>
    <w:rsid w:val="005C636D"/>
    <w:rsid w:val="005D690A"/>
    <w:rsid w:val="005E5170"/>
    <w:rsid w:val="005E564C"/>
    <w:rsid w:val="005E5D09"/>
    <w:rsid w:val="005E7CDE"/>
    <w:rsid w:val="005F1FC9"/>
    <w:rsid w:val="005F321D"/>
    <w:rsid w:val="00606030"/>
    <w:rsid w:val="00606048"/>
    <w:rsid w:val="0061353C"/>
    <w:rsid w:val="00615D65"/>
    <w:rsid w:val="006264A7"/>
    <w:rsid w:val="00631117"/>
    <w:rsid w:val="00637A60"/>
    <w:rsid w:val="00652BEB"/>
    <w:rsid w:val="00657C61"/>
    <w:rsid w:val="006623AA"/>
    <w:rsid w:val="00670545"/>
    <w:rsid w:val="0067463F"/>
    <w:rsid w:val="006829B2"/>
    <w:rsid w:val="00683290"/>
    <w:rsid w:val="00692EB3"/>
    <w:rsid w:val="006A4403"/>
    <w:rsid w:val="006A5C4A"/>
    <w:rsid w:val="006A6B5C"/>
    <w:rsid w:val="006B1A57"/>
    <w:rsid w:val="006C3380"/>
    <w:rsid w:val="006C4931"/>
    <w:rsid w:val="006C4E60"/>
    <w:rsid w:val="006C6902"/>
    <w:rsid w:val="006E4B2A"/>
    <w:rsid w:val="006E77C9"/>
    <w:rsid w:val="007010A9"/>
    <w:rsid w:val="00702839"/>
    <w:rsid w:val="00705B56"/>
    <w:rsid w:val="00733F1C"/>
    <w:rsid w:val="00737804"/>
    <w:rsid w:val="007418EF"/>
    <w:rsid w:val="00745FD6"/>
    <w:rsid w:val="0075111F"/>
    <w:rsid w:val="00762756"/>
    <w:rsid w:val="00770F41"/>
    <w:rsid w:val="00776271"/>
    <w:rsid w:val="00781249"/>
    <w:rsid w:val="007A1C92"/>
    <w:rsid w:val="007B2973"/>
    <w:rsid w:val="007B6C6F"/>
    <w:rsid w:val="007C360E"/>
    <w:rsid w:val="007D1D2E"/>
    <w:rsid w:val="007D1F1F"/>
    <w:rsid w:val="007D7062"/>
    <w:rsid w:val="008050E1"/>
    <w:rsid w:val="00812DA2"/>
    <w:rsid w:val="00817E64"/>
    <w:rsid w:val="00820FF2"/>
    <w:rsid w:val="008248DB"/>
    <w:rsid w:val="00827217"/>
    <w:rsid w:val="00844B6F"/>
    <w:rsid w:val="00845D90"/>
    <w:rsid w:val="00852448"/>
    <w:rsid w:val="00860099"/>
    <w:rsid w:val="008614D1"/>
    <w:rsid w:val="00865154"/>
    <w:rsid w:val="0086634D"/>
    <w:rsid w:val="00873397"/>
    <w:rsid w:val="00874F55"/>
    <w:rsid w:val="0088575B"/>
    <w:rsid w:val="00895F4E"/>
    <w:rsid w:val="008B2E9B"/>
    <w:rsid w:val="008C002F"/>
    <w:rsid w:val="008D0655"/>
    <w:rsid w:val="008E1DC5"/>
    <w:rsid w:val="008E31CA"/>
    <w:rsid w:val="008F125B"/>
    <w:rsid w:val="008F2D1D"/>
    <w:rsid w:val="008F4A50"/>
    <w:rsid w:val="008F5622"/>
    <w:rsid w:val="00904882"/>
    <w:rsid w:val="00912BE1"/>
    <w:rsid w:val="00917D43"/>
    <w:rsid w:val="00930AB1"/>
    <w:rsid w:val="00932D32"/>
    <w:rsid w:val="00932E35"/>
    <w:rsid w:val="009412F5"/>
    <w:rsid w:val="00942127"/>
    <w:rsid w:val="00956546"/>
    <w:rsid w:val="00956CAB"/>
    <w:rsid w:val="00963B4A"/>
    <w:rsid w:val="00966CB3"/>
    <w:rsid w:val="00970B8E"/>
    <w:rsid w:val="0097785E"/>
    <w:rsid w:val="00997A6E"/>
    <w:rsid w:val="009A1941"/>
    <w:rsid w:val="009A3B10"/>
    <w:rsid w:val="009A7F32"/>
    <w:rsid w:val="009B0727"/>
    <w:rsid w:val="009C7900"/>
    <w:rsid w:val="00A019E7"/>
    <w:rsid w:val="00A038C4"/>
    <w:rsid w:val="00A07B04"/>
    <w:rsid w:val="00A1547A"/>
    <w:rsid w:val="00A27094"/>
    <w:rsid w:val="00A44DA1"/>
    <w:rsid w:val="00A5133A"/>
    <w:rsid w:val="00A53D11"/>
    <w:rsid w:val="00A55D4E"/>
    <w:rsid w:val="00A560C0"/>
    <w:rsid w:val="00A5794C"/>
    <w:rsid w:val="00A62B24"/>
    <w:rsid w:val="00A63779"/>
    <w:rsid w:val="00A72C34"/>
    <w:rsid w:val="00A72E3C"/>
    <w:rsid w:val="00A7380E"/>
    <w:rsid w:val="00A938F8"/>
    <w:rsid w:val="00AB2325"/>
    <w:rsid w:val="00AC0CC8"/>
    <w:rsid w:val="00AC4E80"/>
    <w:rsid w:val="00AC6AEF"/>
    <w:rsid w:val="00AD08F7"/>
    <w:rsid w:val="00AD0DC4"/>
    <w:rsid w:val="00AD5385"/>
    <w:rsid w:val="00AD70CA"/>
    <w:rsid w:val="00AD7CBE"/>
    <w:rsid w:val="00AF13B3"/>
    <w:rsid w:val="00B14ECD"/>
    <w:rsid w:val="00B17F37"/>
    <w:rsid w:val="00B27F72"/>
    <w:rsid w:val="00B32F25"/>
    <w:rsid w:val="00B409C4"/>
    <w:rsid w:val="00B44C3F"/>
    <w:rsid w:val="00B4670A"/>
    <w:rsid w:val="00B51446"/>
    <w:rsid w:val="00B561BF"/>
    <w:rsid w:val="00B7157F"/>
    <w:rsid w:val="00B71E85"/>
    <w:rsid w:val="00B771D9"/>
    <w:rsid w:val="00B809D6"/>
    <w:rsid w:val="00B83C1C"/>
    <w:rsid w:val="00B90C71"/>
    <w:rsid w:val="00B96126"/>
    <w:rsid w:val="00BC2600"/>
    <w:rsid w:val="00BC5225"/>
    <w:rsid w:val="00BC5363"/>
    <w:rsid w:val="00BD0843"/>
    <w:rsid w:val="00BD6964"/>
    <w:rsid w:val="00C01076"/>
    <w:rsid w:val="00C119F4"/>
    <w:rsid w:val="00C12D4D"/>
    <w:rsid w:val="00C155B2"/>
    <w:rsid w:val="00C249E7"/>
    <w:rsid w:val="00C2597B"/>
    <w:rsid w:val="00C30588"/>
    <w:rsid w:val="00C3327C"/>
    <w:rsid w:val="00C465A8"/>
    <w:rsid w:val="00C46BA2"/>
    <w:rsid w:val="00C516D3"/>
    <w:rsid w:val="00C53194"/>
    <w:rsid w:val="00C56160"/>
    <w:rsid w:val="00C66445"/>
    <w:rsid w:val="00C6711A"/>
    <w:rsid w:val="00C71C37"/>
    <w:rsid w:val="00C73B26"/>
    <w:rsid w:val="00C764D1"/>
    <w:rsid w:val="00C85AEF"/>
    <w:rsid w:val="00C90EFE"/>
    <w:rsid w:val="00C92040"/>
    <w:rsid w:val="00C97039"/>
    <w:rsid w:val="00C97E0B"/>
    <w:rsid w:val="00CB3AA4"/>
    <w:rsid w:val="00CC1226"/>
    <w:rsid w:val="00CC428D"/>
    <w:rsid w:val="00CC6849"/>
    <w:rsid w:val="00CD384C"/>
    <w:rsid w:val="00CD3980"/>
    <w:rsid w:val="00CD421C"/>
    <w:rsid w:val="00CD5586"/>
    <w:rsid w:val="00CE4FB6"/>
    <w:rsid w:val="00CF0436"/>
    <w:rsid w:val="00D15294"/>
    <w:rsid w:val="00D44511"/>
    <w:rsid w:val="00D52F58"/>
    <w:rsid w:val="00D9431B"/>
    <w:rsid w:val="00D95928"/>
    <w:rsid w:val="00D95E8F"/>
    <w:rsid w:val="00D97381"/>
    <w:rsid w:val="00DB08BA"/>
    <w:rsid w:val="00DB1177"/>
    <w:rsid w:val="00DB7C9F"/>
    <w:rsid w:val="00DC6370"/>
    <w:rsid w:val="00DC6685"/>
    <w:rsid w:val="00DC6F07"/>
    <w:rsid w:val="00DC7086"/>
    <w:rsid w:val="00DC7FDC"/>
    <w:rsid w:val="00DD2683"/>
    <w:rsid w:val="00DE5491"/>
    <w:rsid w:val="00DE7439"/>
    <w:rsid w:val="00E04149"/>
    <w:rsid w:val="00E13327"/>
    <w:rsid w:val="00E14ED7"/>
    <w:rsid w:val="00E16FBB"/>
    <w:rsid w:val="00E20036"/>
    <w:rsid w:val="00E21962"/>
    <w:rsid w:val="00E234F2"/>
    <w:rsid w:val="00E33BDE"/>
    <w:rsid w:val="00E45DF0"/>
    <w:rsid w:val="00E4787A"/>
    <w:rsid w:val="00E47B64"/>
    <w:rsid w:val="00E60432"/>
    <w:rsid w:val="00E607E6"/>
    <w:rsid w:val="00E659E7"/>
    <w:rsid w:val="00E75A3A"/>
    <w:rsid w:val="00E950A9"/>
    <w:rsid w:val="00E95C2A"/>
    <w:rsid w:val="00EA18C8"/>
    <w:rsid w:val="00EA75ED"/>
    <w:rsid w:val="00EB6F3A"/>
    <w:rsid w:val="00EC6A89"/>
    <w:rsid w:val="00ED045C"/>
    <w:rsid w:val="00ED3FA3"/>
    <w:rsid w:val="00EE4751"/>
    <w:rsid w:val="00EE485E"/>
    <w:rsid w:val="00EF6FAC"/>
    <w:rsid w:val="00F00748"/>
    <w:rsid w:val="00F1284D"/>
    <w:rsid w:val="00F14758"/>
    <w:rsid w:val="00F15CAA"/>
    <w:rsid w:val="00F171C4"/>
    <w:rsid w:val="00F249E0"/>
    <w:rsid w:val="00F31935"/>
    <w:rsid w:val="00F32133"/>
    <w:rsid w:val="00F32C5B"/>
    <w:rsid w:val="00F37AAE"/>
    <w:rsid w:val="00F46BCE"/>
    <w:rsid w:val="00F55448"/>
    <w:rsid w:val="00F70232"/>
    <w:rsid w:val="00F759C6"/>
    <w:rsid w:val="00F769D2"/>
    <w:rsid w:val="00F84FBD"/>
    <w:rsid w:val="00F917BF"/>
    <w:rsid w:val="00FA1DD5"/>
    <w:rsid w:val="00FA394B"/>
    <w:rsid w:val="00FA3C64"/>
    <w:rsid w:val="00FB62E5"/>
    <w:rsid w:val="00FC2AB6"/>
    <w:rsid w:val="00FC384B"/>
    <w:rsid w:val="00FC4A7D"/>
    <w:rsid w:val="00FE24CA"/>
    <w:rsid w:val="00FE6DA3"/>
    <w:rsid w:val="00FF3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85A5DE"/>
  <w15:docId w15:val="{5062FE15-862B-4B0A-A245-E48E956CA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0DC4"/>
  </w:style>
  <w:style w:type="paragraph" w:styleId="Heading1">
    <w:name w:val="heading 1"/>
    <w:basedOn w:val="Normal"/>
    <w:next w:val="Normal"/>
    <w:link w:val="Heading1Char"/>
    <w:uiPriority w:val="9"/>
    <w:qFormat/>
    <w:rsid w:val="00A579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12D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32F25"/>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32F25"/>
    <w:pPr>
      <w:widowControl w:val="0"/>
      <w:autoSpaceDE w:val="0"/>
      <w:autoSpaceDN w:val="0"/>
      <w:spacing w:after="0" w:line="240" w:lineRule="auto"/>
    </w:pPr>
    <w:rPr>
      <w:rFonts w:ascii="Arial MT" w:eastAsia="Arial MT" w:hAnsi="Arial MT" w:cs="Arial MT"/>
      <w:sz w:val="20"/>
      <w:szCs w:val="20"/>
      <w:lang w:val="en-US"/>
    </w:rPr>
  </w:style>
  <w:style w:type="character" w:customStyle="1" w:styleId="BodyTextChar">
    <w:name w:val="Body Text Char"/>
    <w:basedOn w:val="DefaultParagraphFont"/>
    <w:link w:val="BodyText"/>
    <w:uiPriority w:val="1"/>
    <w:rsid w:val="00B32F25"/>
    <w:rPr>
      <w:rFonts w:ascii="Arial MT" w:eastAsia="Arial MT" w:hAnsi="Arial MT" w:cs="Arial MT"/>
      <w:sz w:val="20"/>
      <w:szCs w:val="20"/>
      <w:lang w:val="en-US"/>
    </w:rPr>
  </w:style>
  <w:style w:type="paragraph" w:customStyle="1" w:styleId="TableParagraph">
    <w:name w:val="Table Paragraph"/>
    <w:basedOn w:val="Normal"/>
    <w:uiPriority w:val="1"/>
    <w:qFormat/>
    <w:rsid w:val="00B32F25"/>
    <w:pPr>
      <w:widowControl w:val="0"/>
      <w:autoSpaceDE w:val="0"/>
      <w:autoSpaceDN w:val="0"/>
      <w:spacing w:after="0" w:line="210" w:lineRule="exact"/>
      <w:ind w:left="122"/>
    </w:pPr>
    <w:rPr>
      <w:rFonts w:ascii="Arial MT" w:eastAsia="Arial MT" w:hAnsi="Arial MT" w:cs="Arial MT"/>
      <w:lang w:val="en-US"/>
    </w:rPr>
  </w:style>
  <w:style w:type="table" w:styleId="TableGrid">
    <w:name w:val="Table Grid"/>
    <w:basedOn w:val="TableNormal"/>
    <w:uiPriority w:val="39"/>
    <w:rsid w:val="00B32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32F25"/>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B32F2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0F3C1B"/>
    <w:rPr>
      <w:b/>
      <w:bCs/>
    </w:rPr>
  </w:style>
  <w:style w:type="paragraph" w:styleId="z-TopofForm">
    <w:name w:val="HTML Top of Form"/>
    <w:basedOn w:val="Normal"/>
    <w:next w:val="Normal"/>
    <w:link w:val="z-TopofFormChar"/>
    <w:hidden/>
    <w:uiPriority w:val="99"/>
    <w:semiHidden/>
    <w:unhideWhenUsed/>
    <w:rsid w:val="000F3C1B"/>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0F3C1B"/>
    <w:rPr>
      <w:rFonts w:ascii="Arial" w:eastAsia="Times New Roman" w:hAnsi="Arial" w:cs="Arial"/>
      <w:vanish/>
      <w:sz w:val="16"/>
      <w:szCs w:val="16"/>
      <w:lang w:eastAsia="en-IN"/>
    </w:rPr>
  </w:style>
  <w:style w:type="paragraph" w:customStyle="1" w:styleId="placeholder">
    <w:name w:val="placeholder"/>
    <w:basedOn w:val="Normal"/>
    <w:rsid w:val="000F3C1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BottomofForm">
    <w:name w:val="HTML Bottom of Form"/>
    <w:basedOn w:val="Normal"/>
    <w:next w:val="Normal"/>
    <w:link w:val="z-BottomofFormChar"/>
    <w:hidden/>
    <w:uiPriority w:val="99"/>
    <w:semiHidden/>
    <w:unhideWhenUsed/>
    <w:rsid w:val="000F3C1B"/>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0F3C1B"/>
    <w:rPr>
      <w:rFonts w:ascii="Arial" w:eastAsia="Times New Roman" w:hAnsi="Arial" w:cs="Arial"/>
      <w:vanish/>
      <w:sz w:val="16"/>
      <w:szCs w:val="16"/>
      <w:lang w:eastAsia="en-IN"/>
    </w:rPr>
  </w:style>
  <w:style w:type="character" w:customStyle="1" w:styleId="Heading2Char">
    <w:name w:val="Heading 2 Char"/>
    <w:basedOn w:val="DefaultParagraphFont"/>
    <w:link w:val="Heading2"/>
    <w:uiPriority w:val="9"/>
    <w:semiHidden/>
    <w:rsid w:val="00812DA2"/>
    <w:rPr>
      <w:rFonts w:asciiTheme="majorHAnsi" w:eastAsiaTheme="majorEastAsia" w:hAnsiTheme="majorHAnsi" w:cstheme="majorBidi"/>
      <w:color w:val="2E74B5" w:themeColor="accent1" w:themeShade="BF"/>
      <w:sz w:val="26"/>
      <w:szCs w:val="26"/>
    </w:rPr>
  </w:style>
  <w:style w:type="table" w:customStyle="1" w:styleId="TableGridLight1">
    <w:name w:val="Table Grid Light1"/>
    <w:basedOn w:val="TableNormal"/>
    <w:uiPriority w:val="40"/>
    <w:rsid w:val="00812D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812DA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812DA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812DA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606030"/>
    <w:pPr>
      <w:ind w:left="720"/>
      <w:contextualSpacing/>
    </w:pPr>
  </w:style>
  <w:style w:type="character" w:styleId="PlaceholderText">
    <w:name w:val="Placeholder Text"/>
    <w:basedOn w:val="DefaultParagraphFont"/>
    <w:uiPriority w:val="99"/>
    <w:semiHidden/>
    <w:rsid w:val="006C4931"/>
    <w:rPr>
      <w:color w:val="808080"/>
    </w:rPr>
  </w:style>
  <w:style w:type="character" w:styleId="Hyperlink">
    <w:name w:val="Hyperlink"/>
    <w:basedOn w:val="DefaultParagraphFont"/>
    <w:uiPriority w:val="99"/>
    <w:unhideWhenUsed/>
    <w:rsid w:val="00291FCB"/>
    <w:rPr>
      <w:color w:val="0000FF"/>
      <w:u w:val="single"/>
    </w:rPr>
  </w:style>
  <w:style w:type="character" w:customStyle="1" w:styleId="citation-63">
    <w:name w:val="citation-63"/>
    <w:basedOn w:val="DefaultParagraphFont"/>
    <w:rsid w:val="000A3480"/>
  </w:style>
  <w:style w:type="character" w:customStyle="1" w:styleId="math-inline">
    <w:name w:val="math-inline"/>
    <w:basedOn w:val="DefaultParagraphFont"/>
    <w:rsid w:val="000A3480"/>
  </w:style>
  <w:style w:type="character" w:customStyle="1" w:styleId="citation-62">
    <w:name w:val="citation-62"/>
    <w:basedOn w:val="DefaultParagraphFont"/>
    <w:rsid w:val="00AC0CC8"/>
  </w:style>
  <w:style w:type="character" w:customStyle="1" w:styleId="citation-61">
    <w:name w:val="citation-61"/>
    <w:basedOn w:val="DefaultParagraphFont"/>
    <w:rsid w:val="00AC0CC8"/>
  </w:style>
  <w:style w:type="table" w:customStyle="1" w:styleId="PlainTable41">
    <w:name w:val="Plain Table 41"/>
    <w:basedOn w:val="TableNormal"/>
    <w:uiPriority w:val="44"/>
    <w:rsid w:val="00E47B6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E47B6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TMLCode">
    <w:name w:val="HTML Code"/>
    <w:basedOn w:val="DefaultParagraphFont"/>
    <w:uiPriority w:val="99"/>
    <w:semiHidden/>
    <w:unhideWhenUsed/>
    <w:rsid w:val="003C558F"/>
    <w:rPr>
      <w:rFonts w:ascii="Courier New" w:eastAsia="Times New Roman" w:hAnsi="Courier New" w:cs="Courier New"/>
      <w:sz w:val="20"/>
      <w:szCs w:val="20"/>
    </w:rPr>
  </w:style>
  <w:style w:type="character" w:styleId="LineNumber">
    <w:name w:val="line number"/>
    <w:basedOn w:val="DefaultParagraphFont"/>
    <w:uiPriority w:val="99"/>
    <w:semiHidden/>
    <w:unhideWhenUsed/>
    <w:rsid w:val="003973D6"/>
  </w:style>
  <w:style w:type="character" w:customStyle="1" w:styleId="Heading1Char">
    <w:name w:val="Heading 1 Char"/>
    <w:basedOn w:val="DefaultParagraphFont"/>
    <w:link w:val="Heading1"/>
    <w:uiPriority w:val="9"/>
    <w:rsid w:val="00A5794C"/>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3900FB"/>
    <w:rPr>
      <w:color w:val="605E5C"/>
      <w:shd w:val="clear" w:color="auto" w:fill="E1DFDD"/>
    </w:rPr>
  </w:style>
  <w:style w:type="paragraph" w:styleId="BalloonText">
    <w:name w:val="Balloon Text"/>
    <w:basedOn w:val="Normal"/>
    <w:link w:val="BalloonTextChar"/>
    <w:uiPriority w:val="99"/>
    <w:semiHidden/>
    <w:unhideWhenUsed/>
    <w:rsid w:val="005B66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629"/>
    <w:rPr>
      <w:rFonts w:ascii="Tahoma" w:hAnsi="Tahoma" w:cs="Tahoma"/>
      <w:sz w:val="16"/>
      <w:szCs w:val="16"/>
    </w:rPr>
  </w:style>
  <w:style w:type="paragraph" w:styleId="Header">
    <w:name w:val="header"/>
    <w:basedOn w:val="Normal"/>
    <w:link w:val="HeaderChar"/>
    <w:uiPriority w:val="99"/>
    <w:unhideWhenUsed/>
    <w:rsid w:val="006C33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380"/>
  </w:style>
  <w:style w:type="paragraph" w:styleId="Footer">
    <w:name w:val="footer"/>
    <w:basedOn w:val="Normal"/>
    <w:link w:val="FooterChar"/>
    <w:uiPriority w:val="99"/>
    <w:unhideWhenUsed/>
    <w:rsid w:val="006C33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380"/>
  </w:style>
  <w:style w:type="character" w:styleId="CommentReference">
    <w:name w:val="annotation reference"/>
    <w:basedOn w:val="DefaultParagraphFont"/>
    <w:uiPriority w:val="99"/>
    <w:semiHidden/>
    <w:unhideWhenUsed/>
    <w:rsid w:val="007010A9"/>
    <w:rPr>
      <w:sz w:val="16"/>
      <w:szCs w:val="16"/>
    </w:rPr>
  </w:style>
  <w:style w:type="paragraph" w:styleId="CommentText">
    <w:name w:val="annotation text"/>
    <w:basedOn w:val="Normal"/>
    <w:link w:val="CommentTextChar"/>
    <w:uiPriority w:val="99"/>
    <w:semiHidden/>
    <w:unhideWhenUsed/>
    <w:rsid w:val="007010A9"/>
    <w:pPr>
      <w:spacing w:line="240" w:lineRule="auto"/>
    </w:pPr>
    <w:rPr>
      <w:sz w:val="20"/>
      <w:szCs w:val="20"/>
    </w:rPr>
  </w:style>
  <w:style w:type="character" w:customStyle="1" w:styleId="CommentTextChar">
    <w:name w:val="Comment Text Char"/>
    <w:basedOn w:val="DefaultParagraphFont"/>
    <w:link w:val="CommentText"/>
    <w:uiPriority w:val="99"/>
    <w:semiHidden/>
    <w:rsid w:val="007010A9"/>
    <w:rPr>
      <w:sz w:val="20"/>
      <w:szCs w:val="20"/>
    </w:rPr>
  </w:style>
  <w:style w:type="paragraph" w:styleId="CommentSubject">
    <w:name w:val="annotation subject"/>
    <w:basedOn w:val="CommentText"/>
    <w:next w:val="CommentText"/>
    <w:link w:val="CommentSubjectChar"/>
    <w:uiPriority w:val="99"/>
    <w:semiHidden/>
    <w:unhideWhenUsed/>
    <w:rsid w:val="007010A9"/>
    <w:rPr>
      <w:b/>
      <w:bCs/>
    </w:rPr>
  </w:style>
  <w:style w:type="character" w:customStyle="1" w:styleId="CommentSubjectChar">
    <w:name w:val="Comment Subject Char"/>
    <w:basedOn w:val="CommentTextChar"/>
    <w:link w:val="CommentSubject"/>
    <w:uiPriority w:val="99"/>
    <w:semiHidden/>
    <w:rsid w:val="007010A9"/>
    <w:rPr>
      <w:b/>
      <w:bCs/>
      <w:sz w:val="20"/>
      <w:szCs w:val="20"/>
    </w:rPr>
  </w:style>
  <w:style w:type="character" w:styleId="UnresolvedMention">
    <w:name w:val="Unresolved Mention"/>
    <w:basedOn w:val="DefaultParagraphFont"/>
    <w:uiPriority w:val="99"/>
    <w:semiHidden/>
    <w:unhideWhenUsed/>
    <w:rsid w:val="00AD70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050426">
      <w:bodyDiv w:val="1"/>
      <w:marLeft w:val="0"/>
      <w:marRight w:val="0"/>
      <w:marTop w:val="0"/>
      <w:marBottom w:val="0"/>
      <w:divBdr>
        <w:top w:val="none" w:sz="0" w:space="0" w:color="auto"/>
        <w:left w:val="none" w:sz="0" w:space="0" w:color="auto"/>
        <w:bottom w:val="none" w:sz="0" w:space="0" w:color="auto"/>
        <w:right w:val="none" w:sz="0" w:space="0" w:color="auto"/>
      </w:divBdr>
    </w:div>
    <w:div w:id="167406472">
      <w:bodyDiv w:val="1"/>
      <w:marLeft w:val="0"/>
      <w:marRight w:val="0"/>
      <w:marTop w:val="0"/>
      <w:marBottom w:val="0"/>
      <w:divBdr>
        <w:top w:val="none" w:sz="0" w:space="0" w:color="auto"/>
        <w:left w:val="none" w:sz="0" w:space="0" w:color="auto"/>
        <w:bottom w:val="none" w:sz="0" w:space="0" w:color="auto"/>
        <w:right w:val="none" w:sz="0" w:space="0" w:color="auto"/>
      </w:divBdr>
    </w:div>
    <w:div w:id="175074746">
      <w:bodyDiv w:val="1"/>
      <w:marLeft w:val="0"/>
      <w:marRight w:val="0"/>
      <w:marTop w:val="0"/>
      <w:marBottom w:val="0"/>
      <w:divBdr>
        <w:top w:val="none" w:sz="0" w:space="0" w:color="auto"/>
        <w:left w:val="none" w:sz="0" w:space="0" w:color="auto"/>
        <w:bottom w:val="none" w:sz="0" w:space="0" w:color="auto"/>
        <w:right w:val="none" w:sz="0" w:space="0" w:color="auto"/>
      </w:divBdr>
    </w:div>
    <w:div w:id="197932103">
      <w:bodyDiv w:val="1"/>
      <w:marLeft w:val="0"/>
      <w:marRight w:val="0"/>
      <w:marTop w:val="0"/>
      <w:marBottom w:val="0"/>
      <w:divBdr>
        <w:top w:val="none" w:sz="0" w:space="0" w:color="auto"/>
        <w:left w:val="none" w:sz="0" w:space="0" w:color="auto"/>
        <w:bottom w:val="none" w:sz="0" w:space="0" w:color="auto"/>
        <w:right w:val="none" w:sz="0" w:space="0" w:color="auto"/>
      </w:divBdr>
    </w:div>
    <w:div w:id="200939240">
      <w:bodyDiv w:val="1"/>
      <w:marLeft w:val="0"/>
      <w:marRight w:val="0"/>
      <w:marTop w:val="0"/>
      <w:marBottom w:val="0"/>
      <w:divBdr>
        <w:top w:val="none" w:sz="0" w:space="0" w:color="auto"/>
        <w:left w:val="none" w:sz="0" w:space="0" w:color="auto"/>
        <w:bottom w:val="none" w:sz="0" w:space="0" w:color="auto"/>
        <w:right w:val="none" w:sz="0" w:space="0" w:color="auto"/>
      </w:divBdr>
    </w:div>
    <w:div w:id="332806265">
      <w:bodyDiv w:val="1"/>
      <w:marLeft w:val="0"/>
      <w:marRight w:val="0"/>
      <w:marTop w:val="0"/>
      <w:marBottom w:val="0"/>
      <w:divBdr>
        <w:top w:val="none" w:sz="0" w:space="0" w:color="auto"/>
        <w:left w:val="none" w:sz="0" w:space="0" w:color="auto"/>
        <w:bottom w:val="none" w:sz="0" w:space="0" w:color="auto"/>
        <w:right w:val="none" w:sz="0" w:space="0" w:color="auto"/>
      </w:divBdr>
      <w:divsChild>
        <w:div w:id="1851868449">
          <w:marLeft w:val="0"/>
          <w:marRight w:val="0"/>
          <w:marTop w:val="0"/>
          <w:marBottom w:val="0"/>
          <w:divBdr>
            <w:top w:val="none" w:sz="0" w:space="0" w:color="auto"/>
            <w:left w:val="none" w:sz="0" w:space="0" w:color="auto"/>
            <w:bottom w:val="none" w:sz="0" w:space="0" w:color="auto"/>
            <w:right w:val="none" w:sz="0" w:space="0" w:color="auto"/>
          </w:divBdr>
        </w:div>
      </w:divsChild>
    </w:div>
    <w:div w:id="347871568">
      <w:bodyDiv w:val="1"/>
      <w:marLeft w:val="0"/>
      <w:marRight w:val="0"/>
      <w:marTop w:val="0"/>
      <w:marBottom w:val="0"/>
      <w:divBdr>
        <w:top w:val="none" w:sz="0" w:space="0" w:color="auto"/>
        <w:left w:val="none" w:sz="0" w:space="0" w:color="auto"/>
        <w:bottom w:val="none" w:sz="0" w:space="0" w:color="auto"/>
        <w:right w:val="none" w:sz="0" w:space="0" w:color="auto"/>
      </w:divBdr>
    </w:div>
    <w:div w:id="357314692">
      <w:bodyDiv w:val="1"/>
      <w:marLeft w:val="0"/>
      <w:marRight w:val="0"/>
      <w:marTop w:val="0"/>
      <w:marBottom w:val="0"/>
      <w:divBdr>
        <w:top w:val="none" w:sz="0" w:space="0" w:color="auto"/>
        <w:left w:val="none" w:sz="0" w:space="0" w:color="auto"/>
        <w:bottom w:val="none" w:sz="0" w:space="0" w:color="auto"/>
        <w:right w:val="none" w:sz="0" w:space="0" w:color="auto"/>
      </w:divBdr>
    </w:div>
    <w:div w:id="413623734">
      <w:bodyDiv w:val="1"/>
      <w:marLeft w:val="0"/>
      <w:marRight w:val="0"/>
      <w:marTop w:val="0"/>
      <w:marBottom w:val="0"/>
      <w:divBdr>
        <w:top w:val="none" w:sz="0" w:space="0" w:color="auto"/>
        <w:left w:val="none" w:sz="0" w:space="0" w:color="auto"/>
        <w:bottom w:val="none" w:sz="0" w:space="0" w:color="auto"/>
        <w:right w:val="none" w:sz="0" w:space="0" w:color="auto"/>
      </w:divBdr>
    </w:div>
    <w:div w:id="453712053">
      <w:bodyDiv w:val="1"/>
      <w:marLeft w:val="0"/>
      <w:marRight w:val="0"/>
      <w:marTop w:val="0"/>
      <w:marBottom w:val="0"/>
      <w:divBdr>
        <w:top w:val="none" w:sz="0" w:space="0" w:color="auto"/>
        <w:left w:val="none" w:sz="0" w:space="0" w:color="auto"/>
        <w:bottom w:val="none" w:sz="0" w:space="0" w:color="auto"/>
        <w:right w:val="none" w:sz="0" w:space="0" w:color="auto"/>
      </w:divBdr>
    </w:div>
    <w:div w:id="523983313">
      <w:bodyDiv w:val="1"/>
      <w:marLeft w:val="0"/>
      <w:marRight w:val="0"/>
      <w:marTop w:val="0"/>
      <w:marBottom w:val="0"/>
      <w:divBdr>
        <w:top w:val="none" w:sz="0" w:space="0" w:color="auto"/>
        <w:left w:val="none" w:sz="0" w:space="0" w:color="auto"/>
        <w:bottom w:val="none" w:sz="0" w:space="0" w:color="auto"/>
        <w:right w:val="none" w:sz="0" w:space="0" w:color="auto"/>
      </w:divBdr>
      <w:divsChild>
        <w:div w:id="835463558">
          <w:marLeft w:val="0"/>
          <w:marRight w:val="0"/>
          <w:marTop w:val="0"/>
          <w:marBottom w:val="0"/>
          <w:divBdr>
            <w:top w:val="none" w:sz="0" w:space="0" w:color="auto"/>
            <w:left w:val="none" w:sz="0" w:space="0" w:color="auto"/>
            <w:bottom w:val="none" w:sz="0" w:space="0" w:color="auto"/>
            <w:right w:val="none" w:sz="0" w:space="0" w:color="auto"/>
          </w:divBdr>
          <w:divsChild>
            <w:div w:id="175343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80102">
      <w:bodyDiv w:val="1"/>
      <w:marLeft w:val="0"/>
      <w:marRight w:val="0"/>
      <w:marTop w:val="0"/>
      <w:marBottom w:val="0"/>
      <w:divBdr>
        <w:top w:val="none" w:sz="0" w:space="0" w:color="auto"/>
        <w:left w:val="none" w:sz="0" w:space="0" w:color="auto"/>
        <w:bottom w:val="none" w:sz="0" w:space="0" w:color="auto"/>
        <w:right w:val="none" w:sz="0" w:space="0" w:color="auto"/>
      </w:divBdr>
      <w:divsChild>
        <w:div w:id="1439367936">
          <w:marLeft w:val="0"/>
          <w:marRight w:val="0"/>
          <w:marTop w:val="0"/>
          <w:marBottom w:val="0"/>
          <w:divBdr>
            <w:top w:val="none" w:sz="0" w:space="0" w:color="auto"/>
            <w:left w:val="none" w:sz="0" w:space="0" w:color="auto"/>
            <w:bottom w:val="none" w:sz="0" w:space="0" w:color="auto"/>
            <w:right w:val="none" w:sz="0" w:space="0" w:color="auto"/>
          </w:divBdr>
          <w:divsChild>
            <w:div w:id="17045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3407">
      <w:bodyDiv w:val="1"/>
      <w:marLeft w:val="0"/>
      <w:marRight w:val="0"/>
      <w:marTop w:val="0"/>
      <w:marBottom w:val="0"/>
      <w:divBdr>
        <w:top w:val="none" w:sz="0" w:space="0" w:color="auto"/>
        <w:left w:val="none" w:sz="0" w:space="0" w:color="auto"/>
        <w:bottom w:val="none" w:sz="0" w:space="0" w:color="auto"/>
        <w:right w:val="none" w:sz="0" w:space="0" w:color="auto"/>
      </w:divBdr>
    </w:div>
    <w:div w:id="625700766">
      <w:bodyDiv w:val="1"/>
      <w:marLeft w:val="0"/>
      <w:marRight w:val="0"/>
      <w:marTop w:val="0"/>
      <w:marBottom w:val="0"/>
      <w:divBdr>
        <w:top w:val="none" w:sz="0" w:space="0" w:color="auto"/>
        <w:left w:val="none" w:sz="0" w:space="0" w:color="auto"/>
        <w:bottom w:val="none" w:sz="0" w:space="0" w:color="auto"/>
        <w:right w:val="none" w:sz="0" w:space="0" w:color="auto"/>
      </w:divBdr>
    </w:div>
    <w:div w:id="770467650">
      <w:bodyDiv w:val="1"/>
      <w:marLeft w:val="0"/>
      <w:marRight w:val="0"/>
      <w:marTop w:val="0"/>
      <w:marBottom w:val="0"/>
      <w:divBdr>
        <w:top w:val="none" w:sz="0" w:space="0" w:color="auto"/>
        <w:left w:val="none" w:sz="0" w:space="0" w:color="auto"/>
        <w:bottom w:val="none" w:sz="0" w:space="0" w:color="auto"/>
        <w:right w:val="none" w:sz="0" w:space="0" w:color="auto"/>
      </w:divBdr>
    </w:div>
    <w:div w:id="804740126">
      <w:bodyDiv w:val="1"/>
      <w:marLeft w:val="0"/>
      <w:marRight w:val="0"/>
      <w:marTop w:val="0"/>
      <w:marBottom w:val="0"/>
      <w:divBdr>
        <w:top w:val="none" w:sz="0" w:space="0" w:color="auto"/>
        <w:left w:val="none" w:sz="0" w:space="0" w:color="auto"/>
        <w:bottom w:val="none" w:sz="0" w:space="0" w:color="auto"/>
        <w:right w:val="none" w:sz="0" w:space="0" w:color="auto"/>
      </w:divBdr>
    </w:div>
    <w:div w:id="943540602">
      <w:bodyDiv w:val="1"/>
      <w:marLeft w:val="0"/>
      <w:marRight w:val="0"/>
      <w:marTop w:val="0"/>
      <w:marBottom w:val="0"/>
      <w:divBdr>
        <w:top w:val="none" w:sz="0" w:space="0" w:color="auto"/>
        <w:left w:val="none" w:sz="0" w:space="0" w:color="auto"/>
        <w:bottom w:val="none" w:sz="0" w:space="0" w:color="auto"/>
        <w:right w:val="none" w:sz="0" w:space="0" w:color="auto"/>
      </w:divBdr>
      <w:divsChild>
        <w:div w:id="487328643">
          <w:marLeft w:val="0"/>
          <w:marRight w:val="0"/>
          <w:marTop w:val="225"/>
          <w:marBottom w:val="375"/>
          <w:divBdr>
            <w:top w:val="single" w:sz="6" w:space="14" w:color="505050"/>
            <w:left w:val="single" w:sz="6" w:space="15" w:color="505050"/>
            <w:bottom w:val="single" w:sz="6" w:space="17" w:color="505050"/>
            <w:right w:val="single" w:sz="6" w:space="31" w:color="505050"/>
          </w:divBdr>
        </w:div>
      </w:divsChild>
    </w:div>
    <w:div w:id="950090454">
      <w:bodyDiv w:val="1"/>
      <w:marLeft w:val="0"/>
      <w:marRight w:val="0"/>
      <w:marTop w:val="0"/>
      <w:marBottom w:val="0"/>
      <w:divBdr>
        <w:top w:val="none" w:sz="0" w:space="0" w:color="auto"/>
        <w:left w:val="none" w:sz="0" w:space="0" w:color="auto"/>
        <w:bottom w:val="none" w:sz="0" w:space="0" w:color="auto"/>
        <w:right w:val="none" w:sz="0" w:space="0" w:color="auto"/>
      </w:divBdr>
      <w:divsChild>
        <w:div w:id="199631616">
          <w:marLeft w:val="0"/>
          <w:marRight w:val="0"/>
          <w:marTop w:val="0"/>
          <w:marBottom w:val="0"/>
          <w:divBdr>
            <w:top w:val="none" w:sz="0" w:space="0" w:color="auto"/>
            <w:left w:val="none" w:sz="0" w:space="0" w:color="auto"/>
            <w:bottom w:val="none" w:sz="0" w:space="0" w:color="auto"/>
            <w:right w:val="none" w:sz="0" w:space="0" w:color="auto"/>
          </w:divBdr>
          <w:divsChild>
            <w:div w:id="2073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79438">
      <w:bodyDiv w:val="1"/>
      <w:marLeft w:val="0"/>
      <w:marRight w:val="0"/>
      <w:marTop w:val="0"/>
      <w:marBottom w:val="0"/>
      <w:divBdr>
        <w:top w:val="none" w:sz="0" w:space="0" w:color="auto"/>
        <w:left w:val="none" w:sz="0" w:space="0" w:color="auto"/>
        <w:bottom w:val="none" w:sz="0" w:space="0" w:color="auto"/>
        <w:right w:val="none" w:sz="0" w:space="0" w:color="auto"/>
      </w:divBdr>
    </w:div>
    <w:div w:id="982084165">
      <w:bodyDiv w:val="1"/>
      <w:marLeft w:val="0"/>
      <w:marRight w:val="0"/>
      <w:marTop w:val="0"/>
      <w:marBottom w:val="0"/>
      <w:divBdr>
        <w:top w:val="none" w:sz="0" w:space="0" w:color="auto"/>
        <w:left w:val="none" w:sz="0" w:space="0" w:color="auto"/>
        <w:bottom w:val="none" w:sz="0" w:space="0" w:color="auto"/>
        <w:right w:val="none" w:sz="0" w:space="0" w:color="auto"/>
      </w:divBdr>
      <w:divsChild>
        <w:div w:id="1641958584">
          <w:marLeft w:val="0"/>
          <w:marRight w:val="0"/>
          <w:marTop w:val="0"/>
          <w:marBottom w:val="0"/>
          <w:divBdr>
            <w:top w:val="none" w:sz="0" w:space="0" w:color="auto"/>
            <w:left w:val="none" w:sz="0" w:space="0" w:color="auto"/>
            <w:bottom w:val="none" w:sz="0" w:space="0" w:color="auto"/>
            <w:right w:val="none" w:sz="0" w:space="0" w:color="auto"/>
          </w:divBdr>
        </w:div>
      </w:divsChild>
    </w:div>
    <w:div w:id="1005933341">
      <w:bodyDiv w:val="1"/>
      <w:marLeft w:val="0"/>
      <w:marRight w:val="0"/>
      <w:marTop w:val="0"/>
      <w:marBottom w:val="0"/>
      <w:divBdr>
        <w:top w:val="none" w:sz="0" w:space="0" w:color="auto"/>
        <w:left w:val="none" w:sz="0" w:space="0" w:color="auto"/>
        <w:bottom w:val="none" w:sz="0" w:space="0" w:color="auto"/>
        <w:right w:val="none" w:sz="0" w:space="0" w:color="auto"/>
      </w:divBdr>
    </w:div>
    <w:div w:id="1037925433">
      <w:bodyDiv w:val="1"/>
      <w:marLeft w:val="0"/>
      <w:marRight w:val="0"/>
      <w:marTop w:val="0"/>
      <w:marBottom w:val="0"/>
      <w:divBdr>
        <w:top w:val="none" w:sz="0" w:space="0" w:color="auto"/>
        <w:left w:val="none" w:sz="0" w:space="0" w:color="auto"/>
        <w:bottom w:val="none" w:sz="0" w:space="0" w:color="auto"/>
        <w:right w:val="none" w:sz="0" w:space="0" w:color="auto"/>
      </w:divBdr>
    </w:div>
    <w:div w:id="1053312663">
      <w:bodyDiv w:val="1"/>
      <w:marLeft w:val="0"/>
      <w:marRight w:val="0"/>
      <w:marTop w:val="0"/>
      <w:marBottom w:val="0"/>
      <w:divBdr>
        <w:top w:val="none" w:sz="0" w:space="0" w:color="auto"/>
        <w:left w:val="none" w:sz="0" w:space="0" w:color="auto"/>
        <w:bottom w:val="none" w:sz="0" w:space="0" w:color="auto"/>
        <w:right w:val="none" w:sz="0" w:space="0" w:color="auto"/>
      </w:divBdr>
    </w:div>
    <w:div w:id="1067147617">
      <w:bodyDiv w:val="1"/>
      <w:marLeft w:val="0"/>
      <w:marRight w:val="0"/>
      <w:marTop w:val="0"/>
      <w:marBottom w:val="0"/>
      <w:divBdr>
        <w:top w:val="none" w:sz="0" w:space="0" w:color="auto"/>
        <w:left w:val="none" w:sz="0" w:space="0" w:color="auto"/>
        <w:bottom w:val="none" w:sz="0" w:space="0" w:color="auto"/>
        <w:right w:val="none" w:sz="0" w:space="0" w:color="auto"/>
      </w:divBdr>
    </w:div>
    <w:div w:id="1084838683">
      <w:bodyDiv w:val="1"/>
      <w:marLeft w:val="0"/>
      <w:marRight w:val="0"/>
      <w:marTop w:val="0"/>
      <w:marBottom w:val="0"/>
      <w:divBdr>
        <w:top w:val="none" w:sz="0" w:space="0" w:color="auto"/>
        <w:left w:val="none" w:sz="0" w:space="0" w:color="auto"/>
        <w:bottom w:val="none" w:sz="0" w:space="0" w:color="auto"/>
        <w:right w:val="none" w:sz="0" w:space="0" w:color="auto"/>
      </w:divBdr>
      <w:divsChild>
        <w:div w:id="554198161">
          <w:marLeft w:val="0"/>
          <w:marRight w:val="0"/>
          <w:marTop w:val="0"/>
          <w:marBottom w:val="0"/>
          <w:divBdr>
            <w:top w:val="none" w:sz="0" w:space="0" w:color="auto"/>
            <w:left w:val="none" w:sz="0" w:space="0" w:color="auto"/>
            <w:bottom w:val="none" w:sz="0" w:space="0" w:color="auto"/>
            <w:right w:val="none" w:sz="0" w:space="0" w:color="auto"/>
          </w:divBdr>
          <w:divsChild>
            <w:div w:id="1462531958">
              <w:marLeft w:val="0"/>
              <w:marRight w:val="0"/>
              <w:marTop w:val="0"/>
              <w:marBottom w:val="0"/>
              <w:divBdr>
                <w:top w:val="none" w:sz="0" w:space="0" w:color="auto"/>
                <w:left w:val="none" w:sz="0" w:space="0" w:color="auto"/>
                <w:bottom w:val="none" w:sz="0" w:space="0" w:color="auto"/>
                <w:right w:val="none" w:sz="0" w:space="0" w:color="auto"/>
              </w:divBdr>
              <w:divsChild>
                <w:div w:id="1864397961">
                  <w:marLeft w:val="0"/>
                  <w:marRight w:val="0"/>
                  <w:marTop w:val="0"/>
                  <w:marBottom w:val="0"/>
                  <w:divBdr>
                    <w:top w:val="none" w:sz="0" w:space="0" w:color="auto"/>
                    <w:left w:val="none" w:sz="0" w:space="0" w:color="auto"/>
                    <w:bottom w:val="none" w:sz="0" w:space="0" w:color="auto"/>
                    <w:right w:val="none" w:sz="0" w:space="0" w:color="auto"/>
                  </w:divBdr>
                  <w:divsChild>
                    <w:div w:id="106236735">
                      <w:marLeft w:val="0"/>
                      <w:marRight w:val="0"/>
                      <w:marTop w:val="0"/>
                      <w:marBottom w:val="0"/>
                      <w:divBdr>
                        <w:top w:val="none" w:sz="0" w:space="0" w:color="auto"/>
                        <w:left w:val="none" w:sz="0" w:space="0" w:color="auto"/>
                        <w:bottom w:val="none" w:sz="0" w:space="0" w:color="auto"/>
                        <w:right w:val="none" w:sz="0" w:space="0" w:color="auto"/>
                      </w:divBdr>
                      <w:divsChild>
                        <w:div w:id="874195734">
                          <w:marLeft w:val="0"/>
                          <w:marRight w:val="0"/>
                          <w:marTop w:val="0"/>
                          <w:marBottom w:val="0"/>
                          <w:divBdr>
                            <w:top w:val="none" w:sz="0" w:space="0" w:color="auto"/>
                            <w:left w:val="none" w:sz="0" w:space="0" w:color="auto"/>
                            <w:bottom w:val="none" w:sz="0" w:space="0" w:color="auto"/>
                            <w:right w:val="none" w:sz="0" w:space="0" w:color="auto"/>
                          </w:divBdr>
                          <w:divsChild>
                            <w:div w:id="41617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977252">
      <w:bodyDiv w:val="1"/>
      <w:marLeft w:val="0"/>
      <w:marRight w:val="0"/>
      <w:marTop w:val="0"/>
      <w:marBottom w:val="0"/>
      <w:divBdr>
        <w:top w:val="none" w:sz="0" w:space="0" w:color="auto"/>
        <w:left w:val="none" w:sz="0" w:space="0" w:color="auto"/>
        <w:bottom w:val="none" w:sz="0" w:space="0" w:color="auto"/>
        <w:right w:val="none" w:sz="0" w:space="0" w:color="auto"/>
      </w:divBdr>
    </w:div>
    <w:div w:id="1209607852">
      <w:bodyDiv w:val="1"/>
      <w:marLeft w:val="0"/>
      <w:marRight w:val="0"/>
      <w:marTop w:val="0"/>
      <w:marBottom w:val="0"/>
      <w:divBdr>
        <w:top w:val="none" w:sz="0" w:space="0" w:color="auto"/>
        <w:left w:val="none" w:sz="0" w:space="0" w:color="auto"/>
        <w:bottom w:val="none" w:sz="0" w:space="0" w:color="auto"/>
        <w:right w:val="none" w:sz="0" w:space="0" w:color="auto"/>
      </w:divBdr>
    </w:div>
    <w:div w:id="1224952710">
      <w:bodyDiv w:val="1"/>
      <w:marLeft w:val="0"/>
      <w:marRight w:val="0"/>
      <w:marTop w:val="0"/>
      <w:marBottom w:val="0"/>
      <w:divBdr>
        <w:top w:val="none" w:sz="0" w:space="0" w:color="auto"/>
        <w:left w:val="none" w:sz="0" w:space="0" w:color="auto"/>
        <w:bottom w:val="none" w:sz="0" w:space="0" w:color="auto"/>
        <w:right w:val="none" w:sz="0" w:space="0" w:color="auto"/>
      </w:divBdr>
    </w:div>
    <w:div w:id="1227766682">
      <w:bodyDiv w:val="1"/>
      <w:marLeft w:val="0"/>
      <w:marRight w:val="0"/>
      <w:marTop w:val="0"/>
      <w:marBottom w:val="0"/>
      <w:divBdr>
        <w:top w:val="none" w:sz="0" w:space="0" w:color="auto"/>
        <w:left w:val="none" w:sz="0" w:space="0" w:color="auto"/>
        <w:bottom w:val="none" w:sz="0" w:space="0" w:color="auto"/>
        <w:right w:val="none" w:sz="0" w:space="0" w:color="auto"/>
      </w:divBdr>
    </w:div>
    <w:div w:id="1233613412">
      <w:bodyDiv w:val="1"/>
      <w:marLeft w:val="0"/>
      <w:marRight w:val="0"/>
      <w:marTop w:val="0"/>
      <w:marBottom w:val="0"/>
      <w:divBdr>
        <w:top w:val="none" w:sz="0" w:space="0" w:color="auto"/>
        <w:left w:val="none" w:sz="0" w:space="0" w:color="auto"/>
        <w:bottom w:val="none" w:sz="0" w:space="0" w:color="auto"/>
        <w:right w:val="none" w:sz="0" w:space="0" w:color="auto"/>
      </w:divBdr>
      <w:divsChild>
        <w:div w:id="1367414918">
          <w:marLeft w:val="0"/>
          <w:marRight w:val="0"/>
          <w:marTop w:val="0"/>
          <w:marBottom w:val="0"/>
          <w:divBdr>
            <w:top w:val="none" w:sz="0" w:space="0" w:color="auto"/>
            <w:left w:val="none" w:sz="0" w:space="0" w:color="auto"/>
            <w:bottom w:val="none" w:sz="0" w:space="0" w:color="auto"/>
            <w:right w:val="none" w:sz="0" w:space="0" w:color="auto"/>
          </w:divBdr>
          <w:divsChild>
            <w:div w:id="1352802098">
              <w:marLeft w:val="0"/>
              <w:marRight w:val="0"/>
              <w:marTop w:val="0"/>
              <w:marBottom w:val="0"/>
              <w:divBdr>
                <w:top w:val="none" w:sz="0" w:space="0" w:color="auto"/>
                <w:left w:val="none" w:sz="0" w:space="0" w:color="auto"/>
                <w:bottom w:val="none" w:sz="0" w:space="0" w:color="auto"/>
                <w:right w:val="none" w:sz="0" w:space="0" w:color="auto"/>
              </w:divBdr>
              <w:divsChild>
                <w:div w:id="3361222">
                  <w:marLeft w:val="0"/>
                  <w:marRight w:val="0"/>
                  <w:marTop w:val="0"/>
                  <w:marBottom w:val="0"/>
                  <w:divBdr>
                    <w:top w:val="none" w:sz="0" w:space="0" w:color="auto"/>
                    <w:left w:val="none" w:sz="0" w:space="0" w:color="auto"/>
                    <w:bottom w:val="none" w:sz="0" w:space="0" w:color="auto"/>
                    <w:right w:val="none" w:sz="0" w:space="0" w:color="auto"/>
                  </w:divBdr>
                  <w:divsChild>
                    <w:div w:id="1066145697">
                      <w:marLeft w:val="0"/>
                      <w:marRight w:val="0"/>
                      <w:marTop w:val="0"/>
                      <w:marBottom w:val="0"/>
                      <w:divBdr>
                        <w:top w:val="none" w:sz="0" w:space="0" w:color="auto"/>
                        <w:left w:val="none" w:sz="0" w:space="0" w:color="auto"/>
                        <w:bottom w:val="none" w:sz="0" w:space="0" w:color="auto"/>
                        <w:right w:val="none" w:sz="0" w:space="0" w:color="auto"/>
                      </w:divBdr>
                      <w:divsChild>
                        <w:div w:id="522599987">
                          <w:marLeft w:val="0"/>
                          <w:marRight w:val="0"/>
                          <w:marTop w:val="0"/>
                          <w:marBottom w:val="0"/>
                          <w:divBdr>
                            <w:top w:val="none" w:sz="0" w:space="0" w:color="auto"/>
                            <w:left w:val="none" w:sz="0" w:space="0" w:color="auto"/>
                            <w:bottom w:val="none" w:sz="0" w:space="0" w:color="auto"/>
                            <w:right w:val="none" w:sz="0" w:space="0" w:color="auto"/>
                          </w:divBdr>
                          <w:divsChild>
                            <w:div w:id="1156260016">
                              <w:marLeft w:val="0"/>
                              <w:marRight w:val="0"/>
                              <w:marTop w:val="0"/>
                              <w:marBottom w:val="0"/>
                              <w:divBdr>
                                <w:top w:val="none" w:sz="0" w:space="0" w:color="auto"/>
                                <w:left w:val="none" w:sz="0" w:space="0" w:color="auto"/>
                                <w:bottom w:val="none" w:sz="0" w:space="0" w:color="auto"/>
                                <w:right w:val="none" w:sz="0" w:space="0" w:color="auto"/>
                              </w:divBdr>
                              <w:divsChild>
                                <w:div w:id="1532184633">
                                  <w:marLeft w:val="0"/>
                                  <w:marRight w:val="0"/>
                                  <w:marTop w:val="0"/>
                                  <w:marBottom w:val="0"/>
                                  <w:divBdr>
                                    <w:top w:val="none" w:sz="0" w:space="0" w:color="auto"/>
                                    <w:left w:val="none" w:sz="0" w:space="0" w:color="auto"/>
                                    <w:bottom w:val="none" w:sz="0" w:space="0" w:color="auto"/>
                                    <w:right w:val="none" w:sz="0" w:space="0" w:color="auto"/>
                                  </w:divBdr>
                                  <w:divsChild>
                                    <w:div w:id="736972921">
                                      <w:marLeft w:val="0"/>
                                      <w:marRight w:val="0"/>
                                      <w:marTop w:val="0"/>
                                      <w:marBottom w:val="0"/>
                                      <w:divBdr>
                                        <w:top w:val="none" w:sz="0" w:space="0" w:color="auto"/>
                                        <w:left w:val="none" w:sz="0" w:space="0" w:color="auto"/>
                                        <w:bottom w:val="none" w:sz="0" w:space="0" w:color="auto"/>
                                        <w:right w:val="none" w:sz="0" w:space="0" w:color="auto"/>
                                      </w:divBdr>
                                      <w:divsChild>
                                        <w:div w:id="560478847">
                                          <w:marLeft w:val="0"/>
                                          <w:marRight w:val="0"/>
                                          <w:marTop w:val="0"/>
                                          <w:marBottom w:val="0"/>
                                          <w:divBdr>
                                            <w:top w:val="none" w:sz="0" w:space="0" w:color="auto"/>
                                            <w:left w:val="none" w:sz="0" w:space="0" w:color="auto"/>
                                            <w:bottom w:val="none" w:sz="0" w:space="0" w:color="auto"/>
                                            <w:right w:val="none" w:sz="0" w:space="0" w:color="auto"/>
                                          </w:divBdr>
                                          <w:divsChild>
                                            <w:div w:id="15939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4337656">
          <w:marLeft w:val="0"/>
          <w:marRight w:val="0"/>
          <w:marTop w:val="0"/>
          <w:marBottom w:val="0"/>
          <w:divBdr>
            <w:top w:val="none" w:sz="0" w:space="0" w:color="auto"/>
            <w:left w:val="none" w:sz="0" w:space="0" w:color="auto"/>
            <w:bottom w:val="none" w:sz="0" w:space="0" w:color="auto"/>
            <w:right w:val="none" w:sz="0" w:space="0" w:color="auto"/>
          </w:divBdr>
          <w:divsChild>
            <w:div w:id="586768734">
              <w:marLeft w:val="0"/>
              <w:marRight w:val="0"/>
              <w:marTop w:val="0"/>
              <w:marBottom w:val="0"/>
              <w:divBdr>
                <w:top w:val="none" w:sz="0" w:space="0" w:color="auto"/>
                <w:left w:val="none" w:sz="0" w:space="0" w:color="auto"/>
                <w:bottom w:val="none" w:sz="0" w:space="0" w:color="auto"/>
                <w:right w:val="none" w:sz="0" w:space="0" w:color="auto"/>
              </w:divBdr>
              <w:divsChild>
                <w:div w:id="435028499">
                  <w:marLeft w:val="0"/>
                  <w:marRight w:val="0"/>
                  <w:marTop w:val="0"/>
                  <w:marBottom w:val="0"/>
                  <w:divBdr>
                    <w:top w:val="none" w:sz="0" w:space="0" w:color="auto"/>
                    <w:left w:val="none" w:sz="0" w:space="0" w:color="auto"/>
                    <w:bottom w:val="none" w:sz="0" w:space="0" w:color="auto"/>
                    <w:right w:val="none" w:sz="0" w:space="0" w:color="auto"/>
                  </w:divBdr>
                  <w:divsChild>
                    <w:div w:id="637415925">
                      <w:marLeft w:val="0"/>
                      <w:marRight w:val="0"/>
                      <w:marTop w:val="0"/>
                      <w:marBottom w:val="0"/>
                      <w:divBdr>
                        <w:top w:val="none" w:sz="0" w:space="0" w:color="auto"/>
                        <w:left w:val="none" w:sz="0" w:space="0" w:color="auto"/>
                        <w:bottom w:val="none" w:sz="0" w:space="0" w:color="auto"/>
                        <w:right w:val="none" w:sz="0" w:space="0" w:color="auto"/>
                      </w:divBdr>
                      <w:divsChild>
                        <w:div w:id="1656184266">
                          <w:marLeft w:val="0"/>
                          <w:marRight w:val="0"/>
                          <w:marTop w:val="0"/>
                          <w:marBottom w:val="0"/>
                          <w:divBdr>
                            <w:top w:val="none" w:sz="0" w:space="0" w:color="auto"/>
                            <w:left w:val="none" w:sz="0" w:space="0" w:color="auto"/>
                            <w:bottom w:val="none" w:sz="0" w:space="0" w:color="auto"/>
                            <w:right w:val="none" w:sz="0" w:space="0" w:color="auto"/>
                          </w:divBdr>
                          <w:divsChild>
                            <w:div w:id="1658679627">
                              <w:marLeft w:val="0"/>
                              <w:marRight w:val="0"/>
                              <w:marTop w:val="0"/>
                              <w:marBottom w:val="0"/>
                              <w:divBdr>
                                <w:top w:val="none" w:sz="0" w:space="0" w:color="auto"/>
                                <w:left w:val="none" w:sz="0" w:space="0" w:color="auto"/>
                                <w:bottom w:val="none" w:sz="0" w:space="0" w:color="auto"/>
                                <w:right w:val="none" w:sz="0" w:space="0" w:color="auto"/>
                              </w:divBdr>
                              <w:divsChild>
                                <w:div w:id="866483044">
                                  <w:marLeft w:val="0"/>
                                  <w:marRight w:val="0"/>
                                  <w:marTop w:val="0"/>
                                  <w:marBottom w:val="0"/>
                                  <w:divBdr>
                                    <w:top w:val="none" w:sz="0" w:space="0" w:color="auto"/>
                                    <w:left w:val="none" w:sz="0" w:space="0" w:color="auto"/>
                                    <w:bottom w:val="none" w:sz="0" w:space="0" w:color="auto"/>
                                    <w:right w:val="none" w:sz="0" w:space="0" w:color="auto"/>
                                  </w:divBdr>
                                  <w:divsChild>
                                    <w:div w:id="575364687">
                                      <w:marLeft w:val="0"/>
                                      <w:marRight w:val="0"/>
                                      <w:marTop w:val="0"/>
                                      <w:marBottom w:val="0"/>
                                      <w:divBdr>
                                        <w:top w:val="none" w:sz="0" w:space="0" w:color="auto"/>
                                        <w:left w:val="none" w:sz="0" w:space="0" w:color="auto"/>
                                        <w:bottom w:val="none" w:sz="0" w:space="0" w:color="auto"/>
                                        <w:right w:val="none" w:sz="0" w:space="0" w:color="auto"/>
                                      </w:divBdr>
                                      <w:divsChild>
                                        <w:div w:id="1458336223">
                                          <w:marLeft w:val="0"/>
                                          <w:marRight w:val="0"/>
                                          <w:marTop w:val="0"/>
                                          <w:marBottom w:val="0"/>
                                          <w:divBdr>
                                            <w:top w:val="none" w:sz="0" w:space="0" w:color="auto"/>
                                            <w:left w:val="none" w:sz="0" w:space="0" w:color="auto"/>
                                            <w:bottom w:val="none" w:sz="0" w:space="0" w:color="auto"/>
                                            <w:right w:val="none" w:sz="0" w:space="0" w:color="auto"/>
                                          </w:divBdr>
                                          <w:divsChild>
                                            <w:div w:id="18111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7207413">
      <w:bodyDiv w:val="1"/>
      <w:marLeft w:val="0"/>
      <w:marRight w:val="0"/>
      <w:marTop w:val="0"/>
      <w:marBottom w:val="0"/>
      <w:divBdr>
        <w:top w:val="none" w:sz="0" w:space="0" w:color="auto"/>
        <w:left w:val="none" w:sz="0" w:space="0" w:color="auto"/>
        <w:bottom w:val="none" w:sz="0" w:space="0" w:color="auto"/>
        <w:right w:val="none" w:sz="0" w:space="0" w:color="auto"/>
      </w:divBdr>
    </w:div>
    <w:div w:id="1333919935">
      <w:bodyDiv w:val="1"/>
      <w:marLeft w:val="0"/>
      <w:marRight w:val="0"/>
      <w:marTop w:val="0"/>
      <w:marBottom w:val="0"/>
      <w:divBdr>
        <w:top w:val="none" w:sz="0" w:space="0" w:color="auto"/>
        <w:left w:val="none" w:sz="0" w:space="0" w:color="auto"/>
        <w:bottom w:val="none" w:sz="0" w:space="0" w:color="auto"/>
        <w:right w:val="none" w:sz="0" w:space="0" w:color="auto"/>
      </w:divBdr>
      <w:divsChild>
        <w:div w:id="1795557565">
          <w:marLeft w:val="0"/>
          <w:marRight w:val="0"/>
          <w:marTop w:val="0"/>
          <w:marBottom w:val="0"/>
          <w:divBdr>
            <w:top w:val="none" w:sz="0" w:space="0" w:color="auto"/>
            <w:left w:val="none" w:sz="0" w:space="0" w:color="auto"/>
            <w:bottom w:val="none" w:sz="0" w:space="0" w:color="auto"/>
            <w:right w:val="none" w:sz="0" w:space="0" w:color="auto"/>
          </w:divBdr>
          <w:divsChild>
            <w:div w:id="49767681">
              <w:marLeft w:val="0"/>
              <w:marRight w:val="0"/>
              <w:marTop w:val="0"/>
              <w:marBottom w:val="0"/>
              <w:divBdr>
                <w:top w:val="none" w:sz="0" w:space="0" w:color="auto"/>
                <w:left w:val="none" w:sz="0" w:space="0" w:color="auto"/>
                <w:bottom w:val="none" w:sz="0" w:space="0" w:color="auto"/>
                <w:right w:val="none" w:sz="0" w:space="0" w:color="auto"/>
              </w:divBdr>
              <w:divsChild>
                <w:div w:id="542719234">
                  <w:marLeft w:val="0"/>
                  <w:marRight w:val="0"/>
                  <w:marTop w:val="0"/>
                  <w:marBottom w:val="0"/>
                  <w:divBdr>
                    <w:top w:val="none" w:sz="0" w:space="0" w:color="auto"/>
                    <w:left w:val="none" w:sz="0" w:space="0" w:color="auto"/>
                    <w:bottom w:val="none" w:sz="0" w:space="0" w:color="auto"/>
                    <w:right w:val="none" w:sz="0" w:space="0" w:color="auto"/>
                  </w:divBdr>
                  <w:divsChild>
                    <w:div w:id="174872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420399">
      <w:bodyDiv w:val="1"/>
      <w:marLeft w:val="0"/>
      <w:marRight w:val="0"/>
      <w:marTop w:val="0"/>
      <w:marBottom w:val="0"/>
      <w:divBdr>
        <w:top w:val="none" w:sz="0" w:space="0" w:color="auto"/>
        <w:left w:val="none" w:sz="0" w:space="0" w:color="auto"/>
        <w:bottom w:val="none" w:sz="0" w:space="0" w:color="auto"/>
        <w:right w:val="none" w:sz="0" w:space="0" w:color="auto"/>
      </w:divBdr>
    </w:div>
    <w:div w:id="1382514621">
      <w:bodyDiv w:val="1"/>
      <w:marLeft w:val="0"/>
      <w:marRight w:val="0"/>
      <w:marTop w:val="0"/>
      <w:marBottom w:val="0"/>
      <w:divBdr>
        <w:top w:val="none" w:sz="0" w:space="0" w:color="auto"/>
        <w:left w:val="none" w:sz="0" w:space="0" w:color="auto"/>
        <w:bottom w:val="none" w:sz="0" w:space="0" w:color="auto"/>
        <w:right w:val="none" w:sz="0" w:space="0" w:color="auto"/>
      </w:divBdr>
      <w:divsChild>
        <w:div w:id="1767647555">
          <w:marLeft w:val="0"/>
          <w:marRight w:val="0"/>
          <w:marTop w:val="0"/>
          <w:marBottom w:val="0"/>
          <w:divBdr>
            <w:top w:val="none" w:sz="0" w:space="0" w:color="auto"/>
            <w:left w:val="none" w:sz="0" w:space="0" w:color="auto"/>
            <w:bottom w:val="none" w:sz="0" w:space="0" w:color="auto"/>
            <w:right w:val="none" w:sz="0" w:space="0" w:color="auto"/>
          </w:divBdr>
          <w:divsChild>
            <w:div w:id="1833720200">
              <w:marLeft w:val="0"/>
              <w:marRight w:val="0"/>
              <w:marTop w:val="0"/>
              <w:marBottom w:val="0"/>
              <w:divBdr>
                <w:top w:val="none" w:sz="0" w:space="0" w:color="auto"/>
                <w:left w:val="none" w:sz="0" w:space="0" w:color="auto"/>
                <w:bottom w:val="none" w:sz="0" w:space="0" w:color="auto"/>
                <w:right w:val="none" w:sz="0" w:space="0" w:color="auto"/>
              </w:divBdr>
              <w:divsChild>
                <w:div w:id="407658422">
                  <w:marLeft w:val="0"/>
                  <w:marRight w:val="0"/>
                  <w:marTop w:val="0"/>
                  <w:marBottom w:val="0"/>
                  <w:divBdr>
                    <w:top w:val="none" w:sz="0" w:space="0" w:color="auto"/>
                    <w:left w:val="none" w:sz="0" w:space="0" w:color="auto"/>
                    <w:bottom w:val="none" w:sz="0" w:space="0" w:color="auto"/>
                    <w:right w:val="none" w:sz="0" w:space="0" w:color="auto"/>
                  </w:divBdr>
                  <w:divsChild>
                    <w:div w:id="1143935575">
                      <w:marLeft w:val="0"/>
                      <w:marRight w:val="0"/>
                      <w:marTop w:val="0"/>
                      <w:marBottom w:val="0"/>
                      <w:divBdr>
                        <w:top w:val="none" w:sz="0" w:space="0" w:color="auto"/>
                        <w:left w:val="none" w:sz="0" w:space="0" w:color="auto"/>
                        <w:bottom w:val="none" w:sz="0" w:space="0" w:color="auto"/>
                        <w:right w:val="none" w:sz="0" w:space="0" w:color="auto"/>
                      </w:divBdr>
                      <w:divsChild>
                        <w:div w:id="564221866">
                          <w:marLeft w:val="0"/>
                          <w:marRight w:val="0"/>
                          <w:marTop w:val="0"/>
                          <w:marBottom w:val="0"/>
                          <w:divBdr>
                            <w:top w:val="none" w:sz="0" w:space="0" w:color="auto"/>
                            <w:left w:val="none" w:sz="0" w:space="0" w:color="auto"/>
                            <w:bottom w:val="none" w:sz="0" w:space="0" w:color="auto"/>
                            <w:right w:val="none" w:sz="0" w:space="0" w:color="auto"/>
                          </w:divBdr>
                          <w:divsChild>
                            <w:div w:id="1760953258">
                              <w:marLeft w:val="0"/>
                              <w:marRight w:val="0"/>
                              <w:marTop w:val="0"/>
                              <w:marBottom w:val="0"/>
                              <w:divBdr>
                                <w:top w:val="none" w:sz="0" w:space="0" w:color="auto"/>
                                <w:left w:val="none" w:sz="0" w:space="0" w:color="auto"/>
                                <w:bottom w:val="none" w:sz="0" w:space="0" w:color="auto"/>
                                <w:right w:val="none" w:sz="0" w:space="0" w:color="auto"/>
                              </w:divBdr>
                              <w:divsChild>
                                <w:div w:id="1207179855">
                                  <w:marLeft w:val="0"/>
                                  <w:marRight w:val="0"/>
                                  <w:marTop w:val="0"/>
                                  <w:marBottom w:val="0"/>
                                  <w:divBdr>
                                    <w:top w:val="none" w:sz="0" w:space="0" w:color="auto"/>
                                    <w:left w:val="none" w:sz="0" w:space="0" w:color="auto"/>
                                    <w:bottom w:val="none" w:sz="0" w:space="0" w:color="auto"/>
                                    <w:right w:val="none" w:sz="0" w:space="0" w:color="auto"/>
                                  </w:divBdr>
                                  <w:divsChild>
                                    <w:div w:id="454176760">
                                      <w:marLeft w:val="0"/>
                                      <w:marRight w:val="0"/>
                                      <w:marTop w:val="0"/>
                                      <w:marBottom w:val="0"/>
                                      <w:divBdr>
                                        <w:top w:val="none" w:sz="0" w:space="0" w:color="auto"/>
                                        <w:left w:val="none" w:sz="0" w:space="0" w:color="auto"/>
                                        <w:bottom w:val="none" w:sz="0" w:space="0" w:color="auto"/>
                                        <w:right w:val="none" w:sz="0" w:space="0" w:color="auto"/>
                                      </w:divBdr>
                                      <w:divsChild>
                                        <w:div w:id="1771849830">
                                          <w:marLeft w:val="0"/>
                                          <w:marRight w:val="0"/>
                                          <w:marTop w:val="0"/>
                                          <w:marBottom w:val="0"/>
                                          <w:divBdr>
                                            <w:top w:val="none" w:sz="0" w:space="0" w:color="auto"/>
                                            <w:left w:val="none" w:sz="0" w:space="0" w:color="auto"/>
                                            <w:bottom w:val="none" w:sz="0" w:space="0" w:color="auto"/>
                                            <w:right w:val="none" w:sz="0" w:space="0" w:color="auto"/>
                                          </w:divBdr>
                                          <w:divsChild>
                                            <w:div w:id="1930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8975009">
          <w:marLeft w:val="0"/>
          <w:marRight w:val="0"/>
          <w:marTop w:val="0"/>
          <w:marBottom w:val="0"/>
          <w:divBdr>
            <w:top w:val="none" w:sz="0" w:space="0" w:color="auto"/>
            <w:left w:val="none" w:sz="0" w:space="0" w:color="auto"/>
            <w:bottom w:val="none" w:sz="0" w:space="0" w:color="auto"/>
            <w:right w:val="none" w:sz="0" w:space="0" w:color="auto"/>
          </w:divBdr>
          <w:divsChild>
            <w:div w:id="1360200822">
              <w:marLeft w:val="0"/>
              <w:marRight w:val="0"/>
              <w:marTop w:val="0"/>
              <w:marBottom w:val="0"/>
              <w:divBdr>
                <w:top w:val="none" w:sz="0" w:space="0" w:color="auto"/>
                <w:left w:val="none" w:sz="0" w:space="0" w:color="auto"/>
                <w:bottom w:val="none" w:sz="0" w:space="0" w:color="auto"/>
                <w:right w:val="none" w:sz="0" w:space="0" w:color="auto"/>
              </w:divBdr>
              <w:divsChild>
                <w:div w:id="135270346">
                  <w:marLeft w:val="0"/>
                  <w:marRight w:val="0"/>
                  <w:marTop w:val="0"/>
                  <w:marBottom w:val="0"/>
                  <w:divBdr>
                    <w:top w:val="none" w:sz="0" w:space="0" w:color="auto"/>
                    <w:left w:val="none" w:sz="0" w:space="0" w:color="auto"/>
                    <w:bottom w:val="none" w:sz="0" w:space="0" w:color="auto"/>
                    <w:right w:val="none" w:sz="0" w:space="0" w:color="auto"/>
                  </w:divBdr>
                  <w:divsChild>
                    <w:div w:id="1319111414">
                      <w:marLeft w:val="0"/>
                      <w:marRight w:val="0"/>
                      <w:marTop w:val="0"/>
                      <w:marBottom w:val="0"/>
                      <w:divBdr>
                        <w:top w:val="none" w:sz="0" w:space="0" w:color="auto"/>
                        <w:left w:val="none" w:sz="0" w:space="0" w:color="auto"/>
                        <w:bottom w:val="none" w:sz="0" w:space="0" w:color="auto"/>
                        <w:right w:val="none" w:sz="0" w:space="0" w:color="auto"/>
                      </w:divBdr>
                      <w:divsChild>
                        <w:div w:id="1737388095">
                          <w:marLeft w:val="0"/>
                          <w:marRight w:val="0"/>
                          <w:marTop w:val="0"/>
                          <w:marBottom w:val="0"/>
                          <w:divBdr>
                            <w:top w:val="none" w:sz="0" w:space="0" w:color="auto"/>
                            <w:left w:val="none" w:sz="0" w:space="0" w:color="auto"/>
                            <w:bottom w:val="none" w:sz="0" w:space="0" w:color="auto"/>
                            <w:right w:val="none" w:sz="0" w:space="0" w:color="auto"/>
                          </w:divBdr>
                          <w:divsChild>
                            <w:div w:id="1221284939">
                              <w:marLeft w:val="0"/>
                              <w:marRight w:val="0"/>
                              <w:marTop w:val="0"/>
                              <w:marBottom w:val="0"/>
                              <w:divBdr>
                                <w:top w:val="none" w:sz="0" w:space="0" w:color="auto"/>
                                <w:left w:val="none" w:sz="0" w:space="0" w:color="auto"/>
                                <w:bottom w:val="none" w:sz="0" w:space="0" w:color="auto"/>
                                <w:right w:val="none" w:sz="0" w:space="0" w:color="auto"/>
                              </w:divBdr>
                              <w:divsChild>
                                <w:div w:id="822165994">
                                  <w:marLeft w:val="0"/>
                                  <w:marRight w:val="0"/>
                                  <w:marTop w:val="0"/>
                                  <w:marBottom w:val="0"/>
                                  <w:divBdr>
                                    <w:top w:val="none" w:sz="0" w:space="0" w:color="auto"/>
                                    <w:left w:val="none" w:sz="0" w:space="0" w:color="auto"/>
                                    <w:bottom w:val="none" w:sz="0" w:space="0" w:color="auto"/>
                                    <w:right w:val="none" w:sz="0" w:space="0" w:color="auto"/>
                                  </w:divBdr>
                                  <w:divsChild>
                                    <w:div w:id="463937309">
                                      <w:marLeft w:val="0"/>
                                      <w:marRight w:val="0"/>
                                      <w:marTop w:val="0"/>
                                      <w:marBottom w:val="0"/>
                                      <w:divBdr>
                                        <w:top w:val="none" w:sz="0" w:space="0" w:color="auto"/>
                                        <w:left w:val="none" w:sz="0" w:space="0" w:color="auto"/>
                                        <w:bottom w:val="none" w:sz="0" w:space="0" w:color="auto"/>
                                        <w:right w:val="none" w:sz="0" w:space="0" w:color="auto"/>
                                      </w:divBdr>
                                      <w:divsChild>
                                        <w:div w:id="1372655741">
                                          <w:marLeft w:val="0"/>
                                          <w:marRight w:val="0"/>
                                          <w:marTop w:val="0"/>
                                          <w:marBottom w:val="0"/>
                                          <w:divBdr>
                                            <w:top w:val="none" w:sz="0" w:space="0" w:color="auto"/>
                                            <w:left w:val="none" w:sz="0" w:space="0" w:color="auto"/>
                                            <w:bottom w:val="none" w:sz="0" w:space="0" w:color="auto"/>
                                            <w:right w:val="none" w:sz="0" w:space="0" w:color="auto"/>
                                          </w:divBdr>
                                          <w:divsChild>
                                            <w:div w:id="2176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193172">
      <w:bodyDiv w:val="1"/>
      <w:marLeft w:val="0"/>
      <w:marRight w:val="0"/>
      <w:marTop w:val="0"/>
      <w:marBottom w:val="0"/>
      <w:divBdr>
        <w:top w:val="none" w:sz="0" w:space="0" w:color="auto"/>
        <w:left w:val="none" w:sz="0" w:space="0" w:color="auto"/>
        <w:bottom w:val="none" w:sz="0" w:space="0" w:color="auto"/>
        <w:right w:val="none" w:sz="0" w:space="0" w:color="auto"/>
      </w:divBdr>
      <w:divsChild>
        <w:div w:id="1702128296">
          <w:marLeft w:val="0"/>
          <w:marRight w:val="0"/>
          <w:marTop w:val="0"/>
          <w:marBottom w:val="0"/>
          <w:divBdr>
            <w:top w:val="none" w:sz="0" w:space="0" w:color="auto"/>
            <w:left w:val="none" w:sz="0" w:space="0" w:color="auto"/>
            <w:bottom w:val="none" w:sz="0" w:space="0" w:color="auto"/>
            <w:right w:val="none" w:sz="0" w:space="0" w:color="auto"/>
          </w:divBdr>
          <w:divsChild>
            <w:div w:id="54108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95046">
      <w:bodyDiv w:val="1"/>
      <w:marLeft w:val="0"/>
      <w:marRight w:val="0"/>
      <w:marTop w:val="0"/>
      <w:marBottom w:val="0"/>
      <w:divBdr>
        <w:top w:val="none" w:sz="0" w:space="0" w:color="auto"/>
        <w:left w:val="none" w:sz="0" w:space="0" w:color="auto"/>
        <w:bottom w:val="none" w:sz="0" w:space="0" w:color="auto"/>
        <w:right w:val="none" w:sz="0" w:space="0" w:color="auto"/>
      </w:divBdr>
    </w:div>
    <w:div w:id="1445997002">
      <w:bodyDiv w:val="1"/>
      <w:marLeft w:val="0"/>
      <w:marRight w:val="0"/>
      <w:marTop w:val="0"/>
      <w:marBottom w:val="0"/>
      <w:divBdr>
        <w:top w:val="none" w:sz="0" w:space="0" w:color="auto"/>
        <w:left w:val="none" w:sz="0" w:space="0" w:color="auto"/>
        <w:bottom w:val="none" w:sz="0" w:space="0" w:color="auto"/>
        <w:right w:val="none" w:sz="0" w:space="0" w:color="auto"/>
      </w:divBdr>
      <w:divsChild>
        <w:div w:id="1416708232">
          <w:marLeft w:val="0"/>
          <w:marRight w:val="0"/>
          <w:marTop w:val="0"/>
          <w:marBottom w:val="0"/>
          <w:divBdr>
            <w:top w:val="none" w:sz="0" w:space="0" w:color="auto"/>
            <w:left w:val="none" w:sz="0" w:space="0" w:color="auto"/>
            <w:bottom w:val="none" w:sz="0" w:space="0" w:color="auto"/>
            <w:right w:val="none" w:sz="0" w:space="0" w:color="auto"/>
          </w:divBdr>
          <w:divsChild>
            <w:div w:id="12003179">
              <w:marLeft w:val="0"/>
              <w:marRight w:val="0"/>
              <w:marTop w:val="0"/>
              <w:marBottom w:val="0"/>
              <w:divBdr>
                <w:top w:val="none" w:sz="0" w:space="0" w:color="auto"/>
                <w:left w:val="none" w:sz="0" w:space="0" w:color="auto"/>
                <w:bottom w:val="none" w:sz="0" w:space="0" w:color="auto"/>
                <w:right w:val="none" w:sz="0" w:space="0" w:color="auto"/>
              </w:divBdr>
            </w:div>
          </w:divsChild>
        </w:div>
        <w:div w:id="1292596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854225862">
          <w:marLeft w:val="0"/>
          <w:marRight w:val="0"/>
          <w:marTop w:val="0"/>
          <w:marBottom w:val="0"/>
          <w:divBdr>
            <w:top w:val="none" w:sz="0" w:space="0" w:color="auto"/>
            <w:left w:val="none" w:sz="0" w:space="0" w:color="auto"/>
            <w:bottom w:val="none" w:sz="0" w:space="0" w:color="auto"/>
            <w:right w:val="none" w:sz="0" w:space="0" w:color="auto"/>
          </w:divBdr>
          <w:divsChild>
            <w:div w:id="1038041729">
              <w:marLeft w:val="0"/>
              <w:marRight w:val="0"/>
              <w:marTop w:val="0"/>
              <w:marBottom w:val="0"/>
              <w:divBdr>
                <w:top w:val="none" w:sz="0" w:space="0" w:color="auto"/>
                <w:left w:val="none" w:sz="0" w:space="0" w:color="auto"/>
                <w:bottom w:val="none" w:sz="0" w:space="0" w:color="auto"/>
                <w:right w:val="none" w:sz="0" w:space="0" w:color="auto"/>
              </w:divBdr>
            </w:div>
          </w:divsChild>
        </w:div>
        <w:div w:id="186686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36773321">
          <w:marLeft w:val="0"/>
          <w:marRight w:val="0"/>
          <w:marTop w:val="0"/>
          <w:marBottom w:val="0"/>
          <w:divBdr>
            <w:top w:val="none" w:sz="0" w:space="0" w:color="auto"/>
            <w:left w:val="none" w:sz="0" w:space="0" w:color="auto"/>
            <w:bottom w:val="none" w:sz="0" w:space="0" w:color="auto"/>
            <w:right w:val="none" w:sz="0" w:space="0" w:color="auto"/>
          </w:divBdr>
          <w:divsChild>
            <w:div w:id="1538467861">
              <w:marLeft w:val="0"/>
              <w:marRight w:val="0"/>
              <w:marTop w:val="0"/>
              <w:marBottom w:val="0"/>
              <w:divBdr>
                <w:top w:val="none" w:sz="0" w:space="0" w:color="auto"/>
                <w:left w:val="none" w:sz="0" w:space="0" w:color="auto"/>
                <w:bottom w:val="none" w:sz="0" w:space="0" w:color="auto"/>
                <w:right w:val="none" w:sz="0" w:space="0" w:color="auto"/>
              </w:divBdr>
            </w:div>
          </w:divsChild>
        </w:div>
        <w:div w:id="1054505928">
          <w:marLeft w:val="0"/>
          <w:marRight w:val="0"/>
          <w:marTop w:val="0"/>
          <w:marBottom w:val="0"/>
          <w:divBdr>
            <w:top w:val="none" w:sz="0" w:space="0" w:color="auto"/>
            <w:left w:val="none" w:sz="0" w:space="0" w:color="auto"/>
            <w:bottom w:val="none" w:sz="0" w:space="0" w:color="auto"/>
            <w:right w:val="none" w:sz="0" w:space="0" w:color="auto"/>
          </w:divBdr>
          <w:divsChild>
            <w:div w:id="1410348097">
              <w:marLeft w:val="0"/>
              <w:marRight w:val="0"/>
              <w:marTop w:val="0"/>
              <w:marBottom w:val="0"/>
              <w:divBdr>
                <w:top w:val="none" w:sz="0" w:space="0" w:color="auto"/>
                <w:left w:val="none" w:sz="0" w:space="0" w:color="auto"/>
                <w:bottom w:val="none" w:sz="0" w:space="0" w:color="auto"/>
                <w:right w:val="none" w:sz="0" w:space="0" w:color="auto"/>
              </w:divBdr>
            </w:div>
          </w:divsChild>
        </w:div>
        <w:div w:id="1146049026">
          <w:blockQuote w:val="1"/>
          <w:marLeft w:val="720"/>
          <w:marRight w:val="720"/>
          <w:marTop w:val="100"/>
          <w:marBottom w:val="100"/>
          <w:divBdr>
            <w:top w:val="none" w:sz="0" w:space="0" w:color="auto"/>
            <w:left w:val="none" w:sz="0" w:space="0" w:color="auto"/>
            <w:bottom w:val="none" w:sz="0" w:space="0" w:color="auto"/>
            <w:right w:val="none" w:sz="0" w:space="0" w:color="auto"/>
          </w:divBdr>
        </w:div>
        <w:div w:id="290330535">
          <w:marLeft w:val="0"/>
          <w:marRight w:val="0"/>
          <w:marTop w:val="0"/>
          <w:marBottom w:val="0"/>
          <w:divBdr>
            <w:top w:val="none" w:sz="0" w:space="0" w:color="auto"/>
            <w:left w:val="none" w:sz="0" w:space="0" w:color="auto"/>
            <w:bottom w:val="none" w:sz="0" w:space="0" w:color="auto"/>
            <w:right w:val="none" w:sz="0" w:space="0" w:color="auto"/>
          </w:divBdr>
          <w:divsChild>
            <w:div w:id="201409324">
              <w:marLeft w:val="0"/>
              <w:marRight w:val="0"/>
              <w:marTop w:val="0"/>
              <w:marBottom w:val="0"/>
              <w:divBdr>
                <w:top w:val="none" w:sz="0" w:space="0" w:color="auto"/>
                <w:left w:val="none" w:sz="0" w:space="0" w:color="auto"/>
                <w:bottom w:val="none" w:sz="0" w:space="0" w:color="auto"/>
                <w:right w:val="none" w:sz="0" w:space="0" w:color="auto"/>
              </w:divBdr>
            </w:div>
          </w:divsChild>
        </w:div>
        <w:div w:id="1587304192">
          <w:marLeft w:val="0"/>
          <w:marRight w:val="0"/>
          <w:marTop w:val="0"/>
          <w:marBottom w:val="0"/>
          <w:divBdr>
            <w:top w:val="none" w:sz="0" w:space="0" w:color="auto"/>
            <w:left w:val="none" w:sz="0" w:space="0" w:color="auto"/>
            <w:bottom w:val="none" w:sz="0" w:space="0" w:color="auto"/>
            <w:right w:val="none" w:sz="0" w:space="0" w:color="auto"/>
          </w:divBdr>
          <w:divsChild>
            <w:div w:id="1259869591">
              <w:marLeft w:val="0"/>
              <w:marRight w:val="0"/>
              <w:marTop w:val="0"/>
              <w:marBottom w:val="0"/>
              <w:divBdr>
                <w:top w:val="none" w:sz="0" w:space="0" w:color="auto"/>
                <w:left w:val="none" w:sz="0" w:space="0" w:color="auto"/>
                <w:bottom w:val="none" w:sz="0" w:space="0" w:color="auto"/>
                <w:right w:val="none" w:sz="0" w:space="0" w:color="auto"/>
              </w:divBdr>
            </w:div>
          </w:divsChild>
        </w:div>
        <w:div w:id="1098990919">
          <w:marLeft w:val="0"/>
          <w:marRight w:val="0"/>
          <w:marTop w:val="0"/>
          <w:marBottom w:val="0"/>
          <w:divBdr>
            <w:top w:val="none" w:sz="0" w:space="0" w:color="auto"/>
            <w:left w:val="none" w:sz="0" w:space="0" w:color="auto"/>
            <w:bottom w:val="none" w:sz="0" w:space="0" w:color="auto"/>
            <w:right w:val="none" w:sz="0" w:space="0" w:color="auto"/>
          </w:divBdr>
          <w:divsChild>
            <w:div w:id="147109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94699">
      <w:bodyDiv w:val="1"/>
      <w:marLeft w:val="0"/>
      <w:marRight w:val="0"/>
      <w:marTop w:val="0"/>
      <w:marBottom w:val="0"/>
      <w:divBdr>
        <w:top w:val="none" w:sz="0" w:space="0" w:color="auto"/>
        <w:left w:val="none" w:sz="0" w:space="0" w:color="auto"/>
        <w:bottom w:val="none" w:sz="0" w:space="0" w:color="auto"/>
        <w:right w:val="none" w:sz="0" w:space="0" w:color="auto"/>
      </w:divBdr>
    </w:div>
    <w:div w:id="1520048981">
      <w:bodyDiv w:val="1"/>
      <w:marLeft w:val="0"/>
      <w:marRight w:val="0"/>
      <w:marTop w:val="0"/>
      <w:marBottom w:val="0"/>
      <w:divBdr>
        <w:top w:val="none" w:sz="0" w:space="0" w:color="auto"/>
        <w:left w:val="none" w:sz="0" w:space="0" w:color="auto"/>
        <w:bottom w:val="none" w:sz="0" w:space="0" w:color="auto"/>
        <w:right w:val="none" w:sz="0" w:space="0" w:color="auto"/>
      </w:divBdr>
    </w:div>
    <w:div w:id="1534152781">
      <w:bodyDiv w:val="1"/>
      <w:marLeft w:val="0"/>
      <w:marRight w:val="0"/>
      <w:marTop w:val="0"/>
      <w:marBottom w:val="0"/>
      <w:divBdr>
        <w:top w:val="none" w:sz="0" w:space="0" w:color="auto"/>
        <w:left w:val="none" w:sz="0" w:space="0" w:color="auto"/>
        <w:bottom w:val="none" w:sz="0" w:space="0" w:color="auto"/>
        <w:right w:val="none" w:sz="0" w:space="0" w:color="auto"/>
      </w:divBdr>
    </w:div>
    <w:div w:id="1575966771">
      <w:bodyDiv w:val="1"/>
      <w:marLeft w:val="0"/>
      <w:marRight w:val="0"/>
      <w:marTop w:val="0"/>
      <w:marBottom w:val="0"/>
      <w:divBdr>
        <w:top w:val="none" w:sz="0" w:space="0" w:color="auto"/>
        <w:left w:val="none" w:sz="0" w:space="0" w:color="auto"/>
        <w:bottom w:val="none" w:sz="0" w:space="0" w:color="auto"/>
        <w:right w:val="none" w:sz="0" w:space="0" w:color="auto"/>
      </w:divBdr>
      <w:divsChild>
        <w:div w:id="1828739164">
          <w:marLeft w:val="0"/>
          <w:marRight w:val="0"/>
          <w:marTop w:val="0"/>
          <w:marBottom w:val="0"/>
          <w:divBdr>
            <w:top w:val="none" w:sz="0" w:space="0" w:color="auto"/>
            <w:left w:val="none" w:sz="0" w:space="0" w:color="auto"/>
            <w:bottom w:val="none" w:sz="0" w:space="0" w:color="auto"/>
            <w:right w:val="none" w:sz="0" w:space="0" w:color="auto"/>
          </w:divBdr>
          <w:divsChild>
            <w:div w:id="75039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037507">
      <w:bodyDiv w:val="1"/>
      <w:marLeft w:val="0"/>
      <w:marRight w:val="0"/>
      <w:marTop w:val="0"/>
      <w:marBottom w:val="0"/>
      <w:divBdr>
        <w:top w:val="none" w:sz="0" w:space="0" w:color="auto"/>
        <w:left w:val="none" w:sz="0" w:space="0" w:color="auto"/>
        <w:bottom w:val="none" w:sz="0" w:space="0" w:color="auto"/>
        <w:right w:val="none" w:sz="0" w:space="0" w:color="auto"/>
      </w:divBdr>
    </w:div>
    <w:div w:id="1642886046">
      <w:bodyDiv w:val="1"/>
      <w:marLeft w:val="0"/>
      <w:marRight w:val="0"/>
      <w:marTop w:val="0"/>
      <w:marBottom w:val="0"/>
      <w:divBdr>
        <w:top w:val="none" w:sz="0" w:space="0" w:color="auto"/>
        <w:left w:val="none" w:sz="0" w:space="0" w:color="auto"/>
        <w:bottom w:val="none" w:sz="0" w:space="0" w:color="auto"/>
        <w:right w:val="none" w:sz="0" w:space="0" w:color="auto"/>
      </w:divBdr>
    </w:div>
    <w:div w:id="1663777924">
      <w:bodyDiv w:val="1"/>
      <w:marLeft w:val="0"/>
      <w:marRight w:val="0"/>
      <w:marTop w:val="0"/>
      <w:marBottom w:val="0"/>
      <w:divBdr>
        <w:top w:val="none" w:sz="0" w:space="0" w:color="auto"/>
        <w:left w:val="none" w:sz="0" w:space="0" w:color="auto"/>
        <w:bottom w:val="none" w:sz="0" w:space="0" w:color="auto"/>
        <w:right w:val="none" w:sz="0" w:space="0" w:color="auto"/>
      </w:divBdr>
    </w:div>
    <w:div w:id="1671251103">
      <w:bodyDiv w:val="1"/>
      <w:marLeft w:val="0"/>
      <w:marRight w:val="0"/>
      <w:marTop w:val="0"/>
      <w:marBottom w:val="0"/>
      <w:divBdr>
        <w:top w:val="none" w:sz="0" w:space="0" w:color="auto"/>
        <w:left w:val="none" w:sz="0" w:space="0" w:color="auto"/>
        <w:bottom w:val="none" w:sz="0" w:space="0" w:color="auto"/>
        <w:right w:val="none" w:sz="0" w:space="0" w:color="auto"/>
      </w:divBdr>
    </w:div>
    <w:div w:id="1671562893">
      <w:bodyDiv w:val="1"/>
      <w:marLeft w:val="0"/>
      <w:marRight w:val="0"/>
      <w:marTop w:val="0"/>
      <w:marBottom w:val="0"/>
      <w:divBdr>
        <w:top w:val="none" w:sz="0" w:space="0" w:color="auto"/>
        <w:left w:val="none" w:sz="0" w:space="0" w:color="auto"/>
        <w:bottom w:val="none" w:sz="0" w:space="0" w:color="auto"/>
        <w:right w:val="none" w:sz="0" w:space="0" w:color="auto"/>
      </w:divBdr>
    </w:div>
    <w:div w:id="1701322616">
      <w:bodyDiv w:val="1"/>
      <w:marLeft w:val="0"/>
      <w:marRight w:val="0"/>
      <w:marTop w:val="0"/>
      <w:marBottom w:val="0"/>
      <w:divBdr>
        <w:top w:val="none" w:sz="0" w:space="0" w:color="auto"/>
        <w:left w:val="none" w:sz="0" w:space="0" w:color="auto"/>
        <w:bottom w:val="none" w:sz="0" w:space="0" w:color="auto"/>
        <w:right w:val="none" w:sz="0" w:space="0" w:color="auto"/>
      </w:divBdr>
    </w:div>
    <w:div w:id="1708218950">
      <w:bodyDiv w:val="1"/>
      <w:marLeft w:val="0"/>
      <w:marRight w:val="0"/>
      <w:marTop w:val="0"/>
      <w:marBottom w:val="0"/>
      <w:divBdr>
        <w:top w:val="none" w:sz="0" w:space="0" w:color="auto"/>
        <w:left w:val="none" w:sz="0" w:space="0" w:color="auto"/>
        <w:bottom w:val="none" w:sz="0" w:space="0" w:color="auto"/>
        <w:right w:val="none" w:sz="0" w:space="0" w:color="auto"/>
      </w:divBdr>
    </w:div>
    <w:div w:id="1710379568">
      <w:bodyDiv w:val="1"/>
      <w:marLeft w:val="0"/>
      <w:marRight w:val="0"/>
      <w:marTop w:val="0"/>
      <w:marBottom w:val="0"/>
      <w:divBdr>
        <w:top w:val="none" w:sz="0" w:space="0" w:color="auto"/>
        <w:left w:val="none" w:sz="0" w:space="0" w:color="auto"/>
        <w:bottom w:val="none" w:sz="0" w:space="0" w:color="auto"/>
        <w:right w:val="none" w:sz="0" w:space="0" w:color="auto"/>
      </w:divBdr>
    </w:div>
    <w:div w:id="1712656659">
      <w:bodyDiv w:val="1"/>
      <w:marLeft w:val="0"/>
      <w:marRight w:val="0"/>
      <w:marTop w:val="0"/>
      <w:marBottom w:val="0"/>
      <w:divBdr>
        <w:top w:val="none" w:sz="0" w:space="0" w:color="auto"/>
        <w:left w:val="none" w:sz="0" w:space="0" w:color="auto"/>
        <w:bottom w:val="none" w:sz="0" w:space="0" w:color="auto"/>
        <w:right w:val="none" w:sz="0" w:space="0" w:color="auto"/>
      </w:divBdr>
      <w:divsChild>
        <w:div w:id="615139006">
          <w:marLeft w:val="0"/>
          <w:marRight w:val="0"/>
          <w:marTop w:val="0"/>
          <w:marBottom w:val="0"/>
          <w:divBdr>
            <w:top w:val="none" w:sz="0" w:space="0" w:color="auto"/>
            <w:left w:val="none" w:sz="0" w:space="0" w:color="auto"/>
            <w:bottom w:val="none" w:sz="0" w:space="0" w:color="auto"/>
            <w:right w:val="none" w:sz="0" w:space="0" w:color="auto"/>
          </w:divBdr>
          <w:divsChild>
            <w:div w:id="1200435278">
              <w:marLeft w:val="0"/>
              <w:marRight w:val="0"/>
              <w:marTop w:val="0"/>
              <w:marBottom w:val="0"/>
              <w:divBdr>
                <w:top w:val="none" w:sz="0" w:space="0" w:color="auto"/>
                <w:left w:val="none" w:sz="0" w:space="0" w:color="auto"/>
                <w:bottom w:val="none" w:sz="0" w:space="0" w:color="auto"/>
                <w:right w:val="none" w:sz="0" w:space="0" w:color="auto"/>
              </w:divBdr>
            </w:div>
          </w:divsChild>
        </w:div>
        <w:div w:id="18699151">
          <w:marLeft w:val="0"/>
          <w:marRight w:val="0"/>
          <w:marTop w:val="0"/>
          <w:marBottom w:val="0"/>
          <w:divBdr>
            <w:top w:val="none" w:sz="0" w:space="0" w:color="auto"/>
            <w:left w:val="none" w:sz="0" w:space="0" w:color="auto"/>
            <w:bottom w:val="none" w:sz="0" w:space="0" w:color="auto"/>
            <w:right w:val="none" w:sz="0" w:space="0" w:color="auto"/>
          </w:divBdr>
          <w:divsChild>
            <w:div w:id="1957325484">
              <w:marLeft w:val="0"/>
              <w:marRight w:val="0"/>
              <w:marTop w:val="0"/>
              <w:marBottom w:val="0"/>
              <w:divBdr>
                <w:top w:val="none" w:sz="0" w:space="0" w:color="auto"/>
                <w:left w:val="none" w:sz="0" w:space="0" w:color="auto"/>
                <w:bottom w:val="none" w:sz="0" w:space="0" w:color="auto"/>
                <w:right w:val="none" w:sz="0" w:space="0" w:color="auto"/>
              </w:divBdr>
            </w:div>
          </w:divsChild>
        </w:div>
        <w:div w:id="182283483">
          <w:marLeft w:val="0"/>
          <w:marRight w:val="0"/>
          <w:marTop w:val="0"/>
          <w:marBottom w:val="0"/>
          <w:divBdr>
            <w:top w:val="none" w:sz="0" w:space="0" w:color="auto"/>
            <w:left w:val="none" w:sz="0" w:space="0" w:color="auto"/>
            <w:bottom w:val="none" w:sz="0" w:space="0" w:color="auto"/>
            <w:right w:val="none" w:sz="0" w:space="0" w:color="auto"/>
          </w:divBdr>
          <w:divsChild>
            <w:div w:id="1090004685">
              <w:marLeft w:val="0"/>
              <w:marRight w:val="0"/>
              <w:marTop w:val="0"/>
              <w:marBottom w:val="0"/>
              <w:divBdr>
                <w:top w:val="none" w:sz="0" w:space="0" w:color="auto"/>
                <w:left w:val="none" w:sz="0" w:space="0" w:color="auto"/>
                <w:bottom w:val="none" w:sz="0" w:space="0" w:color="auto"/>
                <w:right w:val="none" w:sz="0" w:space="0" w:color="auto"/>
              </w:divBdr>
            </w:div>
          </w:divsChild>
        </w:div>
        <w:div w:id="1848056756">
          <w:marLeft w:val="0"/>
          <w:marRight w:val="0"/>
          <w:marTop w:val="0"/>
          <w:marBottom w:val="0"/>
          <w:divBdr>
            <w:top w:val="none" w:sz="0" w:space="0" w:color="auto"/>
            <w:left w:val="none" w:sz="0" w:space="0" w:color="auto"/>
            <w:bottom w:val="none" w:sz="0" w:space="0" w:color="auto"/>
            <w:right w:val="none" w:sz="0" w:space="0" w:color="auto"/>
          </w:divBdr>
          <w:divsChild>
            <w:div w:id="82910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15394">
      <w:bodyDiv w:val="1"/>
      <w:marLeft w:val="0"/>
      <w:marRight w:val="0"/>
      <w:marTop w:val="0"/>
      <w:marBottom w:val="0"/>
      <w:divBdr>
        <w:top w:val="none" w:sz="0" w:space="0" w:color="auto"/>
        <w:left w:val="none" w:sz="0" w:space="0" w:color="auto"/>
        <w:bottom w:val="none" w:sz="0" w:space="0" w:color="auto"/>
        <w:right w:val="none" w:sz="0" w:space="0" w:color="auto"/>
      </w:divBdr>
    </w:div>
    <w:div w:id="1978294378">
      <w:bodyDiv w:val="1"/>
      <w:marLeft w:val="0"/>
      <w:marRight w:val="0"/>
      <w:marTop w:val="0"/>
      <w:marBottom w:val="0"/>
      <w:divBdr>
        <w:top w:val="none" w:sz="0" w:space="0" w:color="auto"/>
        <w:left w:val="none" w:sz="0" w:space="0" w:color="auto"/>
        <w:bottom w:val="none" w:sz="0" w:space="0" w:color="auto"/>
        <w:right w:val="none" w:sz="0" w:space="0" w:color="auto"/>
      </w:divBdr>
    </w:div>
    <w:div w:id="2029988544">
      <w:bodyDiv w:val="1"/>
      <w:marLeft w:val="0"/>
      <w:marRight w:val="0"/>
      <w:marTop w:val="0"/>
      <w:marBottom w:val="0"/>
      <w:divBdr>
        <w:top w:val="none" w:sz="0" w:space="0" w:color="auto"/>
        <w:left w:val="none" w:sz="0" w:space="0" w:color="auto"/>
        <w:bottom w:val="none" w:sz="0" w:space="0" w:color="auto"/>
        <w:right w:val="none" w:sz="0" w:space="0" w:color="auto"/>
      </w:divBdr>
    </w:div>
    <w:div w:id="2095665478">
      <w:bodyDiv w:val="1"/>
      <w:marLeft w:val="0"/>
      <w:marRight w:val="0"/>
      <w:marTop w:val="0"/>
      <w:marBottom w:val="0"/>
      <w:divBdr>
        <w:top w:val="none" w:sz="0" w:space="0" w:color="auto"/>
        <w:left w:val="none" w:sz="0" w:space="0" w:color="auto"/>
        <w:bottom w:val="none" w:sz="0" w:space="0" w:color="auto"/>
        <w:right w:val="none" w:sz="0" w:space="0" w:color="auto"/>
      </w:divBdr>
    </w:div>
    <w:div w:id="210757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doi.org/10.48084/etasr.11505" TargetMode="External"/><Relationship Id="rId39" Type="http://schemas.openxmlformats.org/officeDocument/2006/relationships/header" Target="header2.xml"/><Relationship Id="rId21" Type="http://schemas.openxmlformats.org/officeDocument/2006/relationships/image" Target="media/image15.jpeg"/><Relationship Id="rId34" Type="http://schemas.openxmlformats.org/officeDocument/2006/relationships/hyperlink" Target="https://doi.org/10.1038/s41598-025-94611-z" TargetMode="External"/><Relationship Id="rId42"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doi.org/10.1016/j.geds.2023.10007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80/27669645.2022.2101256" TargetMode="External"/><Relationship Id="rId32" Type="http://schemas.openxmlformats.org/officeDocument/2006/relationships/hyperlink" Target="https://doi.org/10.1007/s12594-022-1994-4" TargetMode="External"/><Relationship Id="rId37" Type="http://schemas.openxmlformats.org/officeDocument/2006/relationships/hyperlink" Target="https://www.sciencedirect.com/science/article/pii/S2468227625003989"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s://doi.org/10.1016/j.jaes.2023.105093" TargetMode="External"/><Relationship Id="rId36" Type="http://schemas.openxmlformats.org/officeDocument/2006/relationships/hyperlink" Target="https://doi.org/10.1002/gj.4836"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doi.org/10.1016/j.rsase.2023.100450"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doi.org/10.1002/gj.5166" TargetMode="External"/><Relationship Id="rId30" Type="http://schemas.openxmlformats.org/officeDocument/2006/relationships/hyperlink" Target="https://doi.org/10.2139/ssrn.5677502" TargetMode="External"/><Relationship Id="rId35" Type="http://schemas.openxmlformats.org/officeDocument/2006/relationships/hyperlink" Target="https://doi.org/10.1371/journal.pone.0245668" TargetMode="External"/><Relationship Id="rId43"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doi.org/10.1016/j.envadv.2023.100351" TargetMode="External"/><Relationship Id="rId33" Type="http://schemas.openxmlformats.org/officeDocument/2006/relationships/hyperlink" Target="https://doi.org/10.3389/feart.2022.918386" TargetMode="External"/><Relationship Id="rId38"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18</Pages>
  <Words>6220</Words>
  <Characters>35454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Gegen Haokip</dc:creator>
  <cp:keywords/>
  <dc:description/>
  <cp:lastModifiedBy>SDI 1186</cp:lastModifiedBy>
  <cp:revision>93</cp:revision>
  <dcterms:created xsi:type="dcterms:W3CDTF">2025-12-13T22:14:00Z</dcterms:created>
  <dcterms:modified xsi:type="dcterms:W3CDTF">2025-12-17T09:44:00Z</dcterms:modified>
</cp:coreProperties>
</file>