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E88A12" w14:textId="0975C56F" w:rsidR="006B2820" w:rsidRDefault="006B2820" w:rsidP="006B2820">
      <w:pPr>
        <w:pStyle w:val="NormalWeb"/>
        <w:spacing w:line="360" w:lineRule="auto"/>
        <w:jc w:val="center"/>
        <w:rPr>
          <w:rStyle w:val="Strong"/>
          <w:rFonts w:eastAsiaTheme="majorEastAsia"/>
          <w:sz w:val="32"/>
          <w:szCs w:val="32"/>
          <w:lang w:val="en-US"/>
        </w:rPr>
      </w:pPr>
      <w:r w:rsidRPr="006B2820">
        <w:rPr>
          <w:rStyle w:val="Strong"/>
          <w:rFonts w:eastAsiaTheme="majorEastAsia"/>
          <w:sz w:val="32"/>
          <w:szCs w:val="32"/>
          <w:lang w:val="en-US"/>
        </w:rPr>
        <w:t>Hydro-</w:t>
      </w:r>
      <w:r>
        <w:rPr>
          <w:rStyle w:val="Strong"/>
          <w:rFonts w:eastAsiaTheme="majorEastAsia"/>
          <w:sz w:val="32"/>
          <w:szCs w:val="32"/>
          <w:lang w:val="en-US"/>
        </w:rPr>
        <w:t>c</w:t>
      </w:r>
      <w:r w:rsidRPr="006B2820">
        <w:rPr>
          <w:rStyle w:val="Strong"/>
          <w:rFonts w:eastAsiaTheme="majorEastAsia"/>
          <w:sz w:val="32"/>
          <w:szCs w:val="32"/>
          <w:lang w:val="en-US"/>
        </w:rPr>
        <w:t xml:space="preserve">hemical and Bacteriological Assessment of Groundwater in the City of </w:t>
      </w:r>
      <w:proofErr w:type="spellStart"/>
      <w:r w:rsidRPr="006B2820">
        <w:rPr>
          <w:rStyle w:val="Strong"/>
          <w:rFonts w:eastAsiaTheme="majorEastAsia"/>
          <w:sz w:val="32"/>
          <w:szCs w:val="32"/>
          <w:lang w:val="en-US"/>
        </w:rPr>
        <w:t>Djara</w:t>
      </w:r>
      <w:proofErr w:type="spellEnd"/>
      <w:r w:rsidRPr="006B2820">
        <w:rPr>
          <w:rStyle w:val="Strong"/>
          <w:rFonts w:eastAsiaTheme="majorEastAsia"/>
          <w:sz w:val="32"/>
          <w:szCs w:val="32"/>
          <w:lang w:val="en-US"/>
        </w:rPr>
        <w:t xml:space="preserve"> and Surrounding Areas (</w:t>
      </w:r>
      <w:proofErr w:type="spellStart"/>
      <w:r w:rsidRPr="006B2820">
        <w:rPr>
          <w:rStyle w:val="Strong"/>
          <w:rFonts w:eastAsiaTheme="majorEastAsia"/>
          <w:sz w:val="32"/>
          <w:szCs w:val="32"/>
          <w:lang w:val="en-US"/>
        </w:rPr>
        <w:t>Kanem</w:t>
      </w:r>
      <w:proofErr w:type="spellEnd"/>
      <w:r>
        <w:rPr>
          <w:rStyle w:val="Strong"/>
          <w:rFonts w:eastAsiaTheme="majorEastAsia"/>
          <w:sz w:val="32"/>
          <w:szCs w:val="32"/>
          <w:lang w:val="en-US"/>
        </w:rPr>
        <w:t>-</w:t>
      </w:r>
      <w:r w:rsidRPr="006B2820">
        <w:rPr>
          <w:rStyle w:val="Strong"/>
          <w:rFonts w:eastAsiaTheme="majorEastAsia"/>
          <w:sz w:val="32"/>
          <w:szCs w:val="32"/>
          <w:lang w:val="en-US"/>
        </w:rPr>
        <w:t>Chad)</w:t>
      </w:r>
    </w:p>
    <w:p w14:paraId="7BAF197C" w14:textId="77777777" w:rsidR="00CB397C" w:rsidRDefault="00CB397C" w:rsidP="008A129B">
      <w:pPr>
        <w:pStyle w:val="NormalWeb"/>
        <w:spacing w:before="0" w:beforeAutospacing="0" w:after="0" w:afterAutospacing="0" w:line="360" w:lineRule="auto"/>
        <w:jc w:val="both"/>
        <w:rPr>
          <w:rStyle w:val="Strong"/>
          <w:rFonts w:eastAsiaTheme="majorEastAsia"/>
          <w:lang w:val="en-US"/>
        </w:rPr>
      </w:pPr>
    </w:p>
    <w:p w14:paraId="16B476B9" w14:textId="08CB5601" w:rsidR="008A129B" w:rsidRPr="008A129B" w:rsidRDefault="006B2820" w:rsidP="008A129B">
      <w:pPr>
        <w:pStyle w:val="NormalWeb"/>
        <w:spacing w:before="0" w:beforeAutospacing="0" w:after="0" w:afterAutospacing="0" w:line="360" w:lineRule="auto"/>
        <w:jc w:val="both"/>
        <w:rPr>
          <w:lang w:val="en-US"/>
        </w:rPr>
      </w:pPr>
      <w:r w:rsidRPr="006B2820">
        <w:rPr>
          <w:rStyle w:val="Strong"/>
          <w:rFonts w:eastAsiaTheme="majorEastAsia"/>
          <w:lang w:val="en-US"/>
        </w:rPr>
        <w:t>Abstract:</w:t>
      </w:r>
      <w:r w:rsidRPr="006B2820">
        <w:rPr>
          <w:lang w:val="en-US"/>
        </w:rPr>
        <w:br/>
      </w:r>
      <w:r w:rsidR="008A129B" w:rsidRPr="008A129B">
        <w:rPr>
          <w:lang w:val="en-US"/>
        </w:rPr>
        <w:t xml:space="preserve">This study aims to assess the </w:t>
      </w:r>
      <w:proofErr w:type="spellStart"/>
      <w:r w:rsidR="008A129B" w:rsidRPr="008A129B">
        <w:rPr>
          <w:lang w:val="en-US"/>
        </w:rPr>
        <w:t>hydrochemical</w:t>
      </w:r>
      <w:proofErr w:type="spellEnd"/>
      <w:r w:rsidR="008A129B" w:rsidRPr="008A129B">
        <w:rPr>
          <w:lang w:val="en-US"/>
        </w:rPr>
        <w:t xml:space="preserve"> processes and the physicochemical and bacteriological quality of groundwater in the city of </w:t>
      </w:r>
      <w:proofErr w:type="spellStart"/>
      <w:r w:rsidR="008A129B" w:rsidRPr="008A129B">
        <w:rPr>
          <w:lang w:val="en-US"/>
        </w:rPr>
        <w:t>Djara</w:t>
      </w:r>
      <w:proofErr w:type="spellEnd"/>
      <w:r w:rsidR="008A129B" w:rsidRPr="008A129B">
        <w:rPr>
          <w:lang w:val="en-US"/>
        </w:rPr>
        <w:t xml:space="preserve"> and its surrounding areas. </w:t>
      </w:r>
      <w:proofErr w:type="spellStart"/>
      <w:r w:rsidR="00535BA5" w:rsidRPr="00535BA5">
        <w:rPr>
          <w:lang w:val="en-US"/>
        </w:rPr>
        <w:t>Hydrochemical</w:t>
      </w:r>
      <w:proofErr w:type="spellEnd"/>
      <w:r w:rsidR="00535BA5" w:rsidRPr="00535BA5">
        <w:rPr>
          <w:lang w:val="en-US"/>
        </w:rPr>
        <w:t xml:space="preserve"> analysis, performed using Piper diagrams, revealed that 94.11% of the samples exhibited a sodium sulfate (Na</w:t>
      </w:r>
      <w:r w:rsidR="00535BA5">
        <w:rPr>
          <w:lang w:val="en-US"/>
        </w:rPr>
        <w:t>-</w:t>
      </w:r>
      <w:r w:rsidR="00535BA5" w:rsidRPr="00535BA5">
        <w:rPr>
          <w:lang w:val="en-US"/>
        </w:rPr>
        <w:t>SO</w:t>
      </w:r>
      <w:r w:rsidR="00BB4835" w:rsidRPr="00BB4835">
        <w:rPr>
          <w:vertAlign w:val="subscript"/>
          <w:lang w:val="en-US"/>
        </w:rPr>
        <w:t>4</w:t>
      </w:r>
      <w:r w:rsidR="00535BA5" w:rsidRPr="00535BA5">
        <w:rPr>
          <w:lang w:val="en-US"/>
        </w:rPr>
        <w:t>) facies and 5.89% a sodium bicarbonate (Na</w:t>
      </w:r>
      <w:r w:rsidR="00535BA5">
        <w:rPr>
          <w:lang w:val="en-US"/>
        </w:rPr>
        <w:t>-</w:t>
      </w:r>
      <w:r w:rsidR="00535BA5" w:rsidRPr="00535BA5">
        <w:rPr>
          <w:lang w:val="en-US"/>
        </w:rPr>
        <w:t>HCO</w:t>
      </w:r>
      <w:r w:rsidR="00BB4835" w:rsidRPr="00BB4835">
        <w:rPr>
          <w:vertAlign w:val="subscript"/>
          <w:lang w:val="en-US"/>
        </w:rPr>
        <w:t>3</w:t>
      </w:r>
      <w:r w:rsidR="00535BA5" w:rsidRPr="00535BA5">
        <w:rPr>
          <w:lang w:val="en-US"/>
        </w:rPr>
        <w:t>) facies.</w:t>
      </w:r>
      <w:r w:rsidR="008A129B" w:rsidRPr="008A129B">
        <w:rPr>
          <w:lang w:val="en-US"/>
        </w:rPr>
        <w:t xml:space="preserve"> Additional analytical tools, including Gibbs diagrams, </w:t>
      </w:r>
      <w:proofErr w:type="spellStart"/>
      <w:r w:rsidR="008A129B" w:rsidRPr="008A129B">
        <w:rPr>
          <w:lang w:val="en-US"/>
        </w:rPr>
        <w:t>Gaillardet</w:t>
      </w:r>
      <w:proofErr w:type="spellEnd"/>
      <w:r w:rsidR="008A129B" w:rsidRPr="008A129B">
        <w:rPr>
          <w:lang w:val="en-US"/>
        </w:rPr>
        <w:t xml:space="preserve"> plots, and binary diagrams, indicate that groundwater chemistry is primarily controlled by interactions with aquifer materials, particularly silicate weathering and cation-exchange processes.</w:t>
      </w:r>
    </w:p>
    <w:p w14:paraId="243B527A" w14:textId="2DD673AF" w:rsidR="008A129B" w:rsidRDefault="008A129B" w:rsidP="008A129B">
      <w:pPr>
        <w:pStyle w:val="NormalWeb"/>
        <w:spacing w:before="0" w:beforeAutospacing="0" w:after="0" w:afterAutospacing="0" w:line="360" w:lineRule="auto"/>
        <w:jc w:val="both"/>
        <w:rPr>
          <w:lang w:val="en-US"/>
        </w:rPr>
      </w:pPr>
      <w:r w:rsidRPr="008A129B">
        <w:rPr>
          <w:lang w:val="en-US"/>
        </w:rPr>
        <w:t>The results show that the groundwater has a moderate level of mineralization. Iron concentrations range from 0.1 to 4.55 mg/L, with more than half of the samples exceeding the WHO guideline limit for drinking water (</w:t>
      </w:r>
      <w:r w:rsidRPr="00297671">
        <w:rPr>
          <w:highlight w:val="yellow"/>
          <w:lang w:val="en-US"/>
        </w:rPr>
        <w:t>0.</w:t>
      </w:r>
      <w:r w:rsidR="00625C94" w:rsidRPr="00297671">
        <w:rPr>
          <w:highlight w:val="yellow"/>
          <w:lang w:val="en-US"/>
        </w:rPr>
        <w:t>3</w:t>
      </w:r>
      <w:r w:rsidRPr="00297671">
        <w:rPr>
          <w:highlight w:val="yellow"/>
          <w:lang w:val="en-US"/>
        </w:rPr>
        <w:t>0</w:t>
      </w:r>
      <w:r w:rsidRPr="008A129B">
        <w:rPr>
          <w:lang w:val="en-US"/>
        </w:rPr>
        <w:t xml:space="preserve"> mg/L). The affected boreholes, distributed throughout the study area, represent 58.22% of the analyzed samples. This elevated iron content is likely linked to drilling equipment, especially metallic pipes, which can release iron into the groundwater and result in concentrations above the WHO limit (&lt; </w:t>
      </w:r>
      <w:r w:rsidRPr="00297671">
        <w:rPr>
          <w:highlight w:val="yellow"/>
          <w:lang w:val="en-US"/>
        </w:rPr>
        <w:t>0.</w:t>
      </w:r>
      <w:r w:rsidR="00625C94" w:rsidRPr="00297671">
        <w:rPr>
          <w:highlight w:val="yellow"/>
          <w:lang w:val="en-US"/>
        </w:rPr>
        <w:t>3</w:t>
      </w:r>
      <w:r w:rsidRPr="008A129B">
        <w:rPr>
          <w:lang w:val="en-US"/>
        </w:rPr>
        <w:t xml:space="preserve"> mg/L).</w:t>
      </w:r>
    </w:p>
    <w:p w14:paraId="37196256" w14:textId="09D53F88" w:rsidR="00214D42" w:rsidRPr="008A129B" w:rsidRDefault="00214D42" w:rsidP="008A129B">
      <w:pPr>
        <w:pStyle w:val="NormalWeb"/>
        <w:spacing w:before="0" w:beforeAutospacing="0" w:after="0" w:afterAutospacing="0" w:line="360" w:lineRule="auto"/>
        <w:jc w:val="both"/>
        <w:rPr>
          <w:lang w:val="en-US"/>
        </w:rPr>
      </w:pPr>
      <w:r w:rsidRPr="00214D42">
        <w:rPr>
          <w:highlight w:val="yellow"/>
          <w:lang w:val="en-US"/>
        </w:rPr>
        <w:t>The analysis of sodium content (%Na) in groundwater shows high sodium concentrations, placing the water in the categories of "excellent," "acceptable to doubtful," and "doubtful" for irrigation. High concentrations can affect stomatal function, water uptake, and photosynthesis in plants. The evaluation based on the Sodium Adsorption Ratio (SAR) and Electrical Conductivity (EC) shows that the samples belong to the C1-S1, C2-S1, C3-S1, and C3-S2 classes, indicating a high risk of salinity and an alkalinity risk ranging from low to high. This suggests the adoption of specific management practices, such as selecting salt-tolerant crops to ensure sustainable irrigation.</w:t>
      </w:r>
    </w:p>
    <w:p w14:paraId="1C7B26C7" w14:textId="77777777" w:rsidR="00B13E90" w:rsidRDefault="00B13E90" w:rsidP="008A129B">
      <w:pPr>
        <w:pStyle w:val="NormalWeb"/>
        <w:spacing w:line="360" w:lineRule="auto"/>
        <w:jc w:val="both"/>
      </w:pPr>
      <w:r w:rsidRPr="0063325B">
        <w:rPr>
          <w:highlight w:val="yellow"/>
        </w:rPr>
        <w:t xml:space="preserve">Bacteriological analyses revealed that 100% of the samples tested positive for total coliforms and aerobic flora, while the presence of Escherichia coli (E. coli) and </w:t>
      </w:r>
      <w:proofErr w:type="spellStart"/>
      <w:r w:rsidRPr="0063325B">
        <w:rPr>
          <w:highlight w:val="yellow"/>
        </w:rPr>
        <w:t>fecal</w:t>
      </w:r>
      <w:proofErr w:type="spellEnd"/>
      <w:r w:rsidRPr="0063325B">
        <w:rPr>
          <w:highlight w:val="yellow"/>
        </w:rPr>
        <w:t xml:space="preserve"> enterococci varied. In accordance with drinking water quality standards, this groundwater is unsuitable for human consumption, as the detected bacterial levels exceed the WHO requirements, which stipulate the absence of bacteria in 100 mL of drinking water.</w:t>
      </w:r>
    </w:p>
    <w:p w14:paraId="37733856" w14:textId="54F2F1D0" w:rsidR="006B2820" w:rsidRPr="00214D42" w:rsidRDefault="006B2820" w:rsidP="00214D42">
      <w:pPr>
        <w:pStyle w:val="NormalWeb"/>
        <w:spacing w:line="360" w:lineRule="auto"/>
        <w:jc w:val="both"/>
        <w:rPr>
          <w:i/>
          <w:iCs/>
          <w:lang w:val="en-US"/>
        </w:rPr>
      </w:pPr>
      <w:r w:rsidRPr="008A129B">
        <w:rPr>
          <w:rStyle w:val="Strong"/>
          <w:rFonts w:eastAsiaTheme="majorEastAsia"/>
          <w:lang w:val="en-US"/>
        </w:rPr>
        <w:t>Keywords:</w:t>
      </w:r>
      <w:r w:rsidRPr="008A129B">
        <w:rPr>
          <w:lang w:val="en-US"/>
        </w:rPr>
        <w:t xml:space="preserve"> </w:t>
      </w:r>
      <w:r w:rsidRPr="008A129B">
        <w:rPr>
          <w:i/>
          <w:iCs/>
          <w:lang w:val="en-US"/>
        </w:rPr>
        <w:t xml:space="preserve">Hydrochemistry, Bacteriology, Groundwater, </w:t>
      </w:r>
      <w:proofErr w:type="spellStart"/>
      <w:r w:rsidRPr="008A129B">
        <w:rPr>
          <w:i/>
          <w:iCs/>
          <w:lang w:val="en-US"/>
        </w:rPr>
        <w:t>Djara</w:t>
      </w:r>
      <w:proofErr w:type="spellEnd"/>
      <w:r w:rsidR="001D53C4">
        <w:rPr>
          <w:i/>
          <w:iCs/>
          <w:lang w:val="en-US"/>
        </w:rPr>
        <w:t xml:space="preserve">, </w:t>
      </w:r>
      <w:r w:rsidR="001D53C4" w:rsidRPr="00E821EE">
        <w:rPr>
          <w:i/>
          <w:iCs/>
          <w:highlight w:val="yellow"/>
          <w:lang w:val="en-US"/>
        </w:rPr>
        <w:t>Chad</w:t>
      </w:r>
    </w:p>
    <w:p w14:paraId="2B8C05D6" w14:textId="28474C05" w:rsidR="003A77EB" w:rsidRPr="003A77EB" w:rsidRDefault="003A77EB" w:rsidP="006B2820">
      <w:pPr>
        <w:spacing w:line="360" w:lineRule="auto"/>
        <w:jc w:val="both"/>
        <w:rPr>
          <w:rFonts w:ascii="Times New Roman" w:hAnsi="Times New Roman" w:cs="Times New Roman"/>
          <w:b/>
          <w:bCs/>
          <w:lang w:val="en-US"/>
        </w:rPr>
      </w:pPr>
      <w:r w:rsidRPr="003A77EB">
        <w:rPr>
          <w:rFonts w:ascii="Times New Roman" w:hAnsi="Times New Roman" w:cs="Times New Roman"/>
          <w:b/>
          <w:bCs/>
          <w:lang w:val="en-US"/>
        </w:rPr>
        <w:lastRenderedPageBreak/>
        <w:t xml:space="preserve">1. Introduction </w:t>
      </w:r>
    </w:p>
    <w:p w14:paraId="08C4EA3C" w14:textId="792F6D96" w:rsidR="006B2820" w:rsidRP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t>In many semi-arid and arid regions around the world, water quality is a key limiting factor</w:t>
      </w:r>
      <w:r>
        <w:rPr>
          <w:rFonts w:ascii="Times New Roman" w:hAnsi="Times New Roman" w:cs="Times New Roman"/>
          <w:lang w:val="en-US"/>
        </w:rPr>
        <w:t>-</w:t>
      </w:r>
      <w:r w:rsidRPr="006B2820">
        <w:rPr>
          <w:rFonts w:ascii="Times New Roman" w:hAnsi="Times New Roman" w:cs="Times New Roman"/>
          <w:lang w:val="en-US"/>
        </w:rPr>
        <w:t>particularly for irrigation and drinking-water supply</w:t>
      </w:r>
      <w:r>
        <w:rPr>
          <w:rFonts w:ascii="Times New Roman" w:hAnsi="Times New Roman" w:cs="Times New Roman"/>
          <w:lang w:val="en-US"/>
        </w:rPr>
        <w:t>-</w:t>
      </w:r>
      <w:r w:rsidRPr="006B2820">
        <w:rPr>
          <w:rFonts w:ascii="Times New Roman" w:hAnsi="Times New Roman" w:cs="Times New Roman"/>
          <w:lang w:val="en-US"/>
        </w:rPr>
        <w:t>more so than the quantity available (Singhal et al., 2020). Water quality is crucial not only for ensuring the availability of this vital resource for human health, but also because it plays an essential role in preventing numerous waterborne diseases. A statistical study conducted in 2008 by the Master Plan for Water and Sanitation (S.D.E.A) revealed that diseases such as malaria and diarrhea are frequently associated with poor access to safe drinking water and inadequate sanitation. In Chad, 44% of deaths among children under the age of five are attributed to waterborne diseases such as bilharzia, meningitis, and cholera (S.D.E.A, 2003), results further confirmed by UNICEF in 2011 in N’Djamena. These figures underscore the importance of access to high-quality water in preventing disease and improving public health conditions.</w:t>
      </w:r>
    </w:p>
    <w:p w14:paraId="069333F7" w14:textId="42391147" w:rsidR="006B2820" w:rsidRP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t>In regions dominated by sedimentary deposits, aquifers</w:t>
      </w:r>
      <w:r>
        <w:rPr>
          <w:rFonts w:ascii="Times New Roman" w:hAnsi="Times New Roman" w:cs="Times New Roman"/>
          <w:lang w:val="en-US"/>
        </w:rPr>
        <w:t>-</w:t>
      </w:r>
      <w:r w:rsidRPr="006B2820">
        <w:rPr>
          <w:rFonts w:ascii="Times New Roman" w:hAnsi="Times New Roman" w:cs="Times New Roman"/>
          <w:lang w:val="en-US"/>
        </w:rPr>
        <w:t>whether shallow or deep, confined or unconfined</w:t>
      </w:r>
      <w:r>
        <w:rPr>
          <w:rFonts w:ascii="Times New Roman" w:hAnsi="Times New Roman" w:cs="Times New Roman"/>
          <w:lang w:val="en-US"/>
        </w:rPr>
        <w:t>-</w:t>
      </w:r>
      <w:r w:rsidRPr="006B2820">
        <w:rPr>
          <w:rFonts w:ascii="Times New Roman" w:hAnsi="Times New Roman" w:cs="Times New Roman"/>
          <w:lang w:val="en-US"/>
        </w:rPr>
        <w:t xml:space="preserve">represent the main accessible source of water. These aquifers, characterized by diverse lithology, are increasingly subject to overexploitation (Yu et al., 2020; </w:t>
      </w:r>
      <w:proofErr w:type="spellStart"/>
      <w:r w:rsidRPr="006B2820">
        <w:rPr>
          <w:rFonts w:ascii="Times New Roman" w:hAnsi="Times New Roman" w:cs="Times New Roman"/>
          <w:lang w:val="en-US"/>
        </w:rPr>
        <w:t>Belhassan</w:t>
      </w:r>
      <w:proofErr w:type="spellEnd"/>
      <w:r w:rsidRPr="006B2820">
        <w:rPr>
          <w:rFonts w:ascii="Times New Roman" w:hAnsi="Times New Roman" w:cs="Times New Roman"/>
          <w:lang w:val="en-US"/>
        </w:rPr>
        <w:t xml:space="preserve">, 2021; Swain et al., 2022; </w:t>
      </w:r>
      <w:proofErr w:type="spellStart"/>
      <w:r w:rsidRPr="006B2820">
        <w:rPr>
          <w:rFonts w:ascii="Times New Roman" w:hAnsi="Times New Roman" w:cs="Times New Roman"/>
          <w:lang w:val="en-US"/>
        </w:rPr>
        <w:t>Namratha</w:t>
      </w:r>
      <w:proofErr w:type="spellEnd"/>
      <w:r w:rsidRPr="006B2820">
        <w:rPr>
          <w:rFonts w:ascii="Times New Roman" w:hAnsi="Times New Roman" w:cs="Times New Roman"/>
          <w:lang w:val="en-US"/>
        </w:rPr>
        <w:t xml:space="preserve"> et al., 2022; </w:t>
      </w:r>
      <w:proofErr w:type="spellStart"/>
      <w:r w:rsidRPr="006B2820">
        <w:rPr>
          <w:rFonts w:ascii="Times New Roman" w:hAnsi="Times New Roman" w:cs="Times New Roman"/>
          <w:lang w:val="en-US"/>
        </w:rPr>
        <w:t>Bedoui</w:t>
      </w:r>
      <w:proofErr w:type="spellEnd"/>
      <w:r w:rsidRPr="006B2820">
        <w:rPr>
          <w:rFonts w:ascii="Times New Roman" w:hAnsi="Times New Roman" w:cs="Times New Roman"/>
          <w:lang w:val="en-US"/>
        </w:rPr>
        <w:t xml:space="preserve"> et al., 2022; </w:t>
      </w:r>
      <w:proofErr w:type="spellStart"/>
      <w:r w:rsidRPr="006B2820">
        <w:rPr>
          <w:rFonts w:ascii="Times New Roman" w:hAnsi="Times New Roman" w:cs="Times New Roman"/>
          <w:lang w:val="en-US"/>
        </w:rPr>
        <w:t>Wederni</w:t>
      </w:r>
      <w:proofErr w:type="spellEnd"/>
      <w:r w:rsidRPr="006B2820">
        <w:rPr>
          <w:rFonts w:ascii="Times New Roman" w:hAnsi="Times New Roman" w:cs="Times New Roman"/>
          <w:lang w:val="en-US"/>
        </w:rPr>
        <w:t xml:space="preserve"> et al., 2023; </w:t>
      </w:r>
      <w:proofErr w:type="spellStart"/>
      <w:r w:rsidRPr="006B2820">
        <w:rPr>
          <w:rFonts w:ascii="Times New Roman" w:hAnsi="Times New Roman" w:cs="Times New Roman"/>
          <w:lang w:val="en-US"/>
        </w:rPr>
        <w:t>Haddaji</w:t>
      </w:r>
      <w:proofErr w:type="spellEnd"/>
      <w:r w:rsidRPr="006B2820">
        <w:rPr>
          <w:rFonts w:ascii="Times New Roman" w:hAnsi="Times New Roman" w:cs="Times New Roman"/>
          <w:lang w:val="en-US"/>
        </w:rPr>
        <w:t xml:space="preserve"> et al., 2024), particularly for drinking-water supply and agricultural irrigation. This overexploitation results in environmental problems such as declining groundwater levels, deterioration of water quality, and contamination from irrigation water and wastewater. In particular, aquifers with high levels of dissolved salts (Zhu et al., 2024; </w:t>
      </w:r>
      <w:proofErr w:type="spellStart"/>
      <w:r w:rsidRPr="006B2820">
        <w:rPr>
          <w:rFonts w:ascii="Times New Roman" w:hAnsi="Times New Roman" w:cs="Times New Roman"/>
          <w:lang w:val="en-US"/>
        </w:rPr>
        <w:t>Najiah</w:t>
      </w:r>
      <w:proofErr w:type="spellEnd"/>
      <w:r w:rsidRPr="006B2820">
        <w:rPr>
          <w:rFonts w:ascii="Times New Roman" w:hAnsi="Times New Roman" w:cs="Times New Roman"/>
          <w:lang w:val="en-US"/>
        </w:rPr>
        <w:t xml:space="preserve"> et al., 2023; Han et al., 2024) and iron</w:t>
      </w:r>
      <w:r>
        <w:rPr>
          <w:rFonts w:ascii="Times New Roman" w:hAnsi="Times New Roman" w:cs="Times New Roman"/>
          <w:lang w:val="en-US"/>
        </w:rPr>
        <w:t>-</w:t>
      </w:r>
      <w:r w:rsidRPr="006B2820">
        <w:rPr>
          <w:rFonts w:ascii="Times New Roman" w:hAnsi="Times New Roman" w:cs="Times New Roman"/>
          <w:lang w:val="en-US"/>
        </w:rPr>
        <w:t>often exceeding regulatory drinking-water thresholds</w:t>
      </w:r>
      <w:r>
        <w:rPr>
          <w:rFonts w:ascii="Times New Roman" w:hAnsi="Times New Roman" w:cs="Times New Roman"/>
          <w:lang w:val="en-US"/>
        </w:rPr>
        <w:t>-</w:t>
      </w:r>
      <w:r w:rsidRPr="006B2820">
        <w:rPr>
          <w:rFonts w:ascii="Times New Roman" w:hAnsi="Times New Roman" w:cs="Times New Roman"/>
          <w:lang w:val="en-US"/>
        </w:rPr>
        <w:t>pose a concern for water-supply managers and highlight the need for continuous monitoring to ensure water security in the region.</w:t>
      </w:r>
    </w:p>
    <w:p w14:paraId="3E662180" w14:textId="2D4B8490" w:rsidR="006B2820" w:rsidRP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t xml:space="preserve">Additionally, the study area faces a shortage of potable water and low agricultural productivity, two factors that hinder local economic development. Drinking-water quality is a major determinant of individual health (Zhu et al., 2024; </w:t>
      </w:r>
      <w:proofErr w:type="spellStart"/>
      <w:r w:rsidRPr="006B2820">
        <w:rPr>
          <w:rFonts w:ascii="Times New Roman" w:hAnsi="Times New Roman" w:cs="Times New Roman"/>
          <w:lang w:val="en-US"/>
        </w:rPr>
        <w:t>Najiah</w:t>
      </w:r>
      <w:proofErr w:type="spellEnd"/>
      <w:r w:rsidRPr="006B2820">
        <w:rPr>
          <w:rFonts w:ascii="Times New Roman" w:hAnsi="Times New Roman" w:cs="Times New Roman"/>
          <w:lang w:val="en-US"/>
        </w:rPr>
        <w:t xml:space="preserve"> et al., 2023; Han et al., 2024). The Quaternary aquifer system, with its shallow groundwater table, is the main source of drinking water for local populations. However, despite its critical role in daily life, this aquifer system has been the subject of very few in-depth investigations. Some earlier studies have addressed the issue broadly in the context of Mao or the </w:t>
      </w:r>
      <w:proofErr w:type="spellStart"/>
      <w:r w:rsidRPr="006B2820">
        <w:rPr>
          <w:rFonts w:ascii="Times New Roman" w:hAnsi="Times New Roman" w:cs="Times New Roman"/>
          <w:lang w:val="en-US"/>
        </w:rPr>
        <w:t>Kanem</w:t>
      </w:r>
      <w:proofErr w:type="spellEnd"/>
      <w:r w:rsidRPr="006B2820">
        <w:rPr>
          <w:rFonts w:ascii="Times New Roman" w:hAnsi="Times New Roman" w:cs="Times New Roman"/>
          <w:lang w:val="en-US"/>
        </w:rPr>
        <w:t xml:space="preserve"> region (Jean Claude et al., 2024; Abdallah et al., 2021), while others focused on river discharge measurements (</w:t>
      </w:r>
      <w:proofErr w:type="spellStart"/>
      <w:r w:rsidRPr="006B2820">
        <w:rPr>
          <w:rFonts w:ascii="Times New Roman" w:hAnsi="Times New Roman" w:cs="Times New Roman"/>
          <w:lang w:val="en-US"/>
        </w:rPr>
        <w:t>Seeber</w:t>
      </w:r>
      <w:proofErr w:type="spellEnd"/>
      <w:r w:rsidRPr="006B2820">
        <w:rPr>
          <w:rFonts w:ascii="Times New Roman" w:hAnsi="Times New Roman" w:cs="Times New Roman"/>
          <w:lang w:val="en-US"/>
        </w:rPr>
        <w:t xml:space="preserve"> et al., 2013).</w:t>
      </w:r>
    </w:p>
    <w:p w14:paraId="3704541C" w14:textId="6D879711" w:rsid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lastRenderedPageBreak/>
        <w:t>This study aims to improve understanding of aquifer functioning to support sustainable groundwater management. Its main objective is to evaluate the origin of groundwater mineralization and assess water quality</w:t>
      </w:r>
      <w:r>
        <w:rPr>
          <w:rFonts w:ascii="Times New Roman" w:hAnsi="Times New Roman" w:cs="Times New Roman"/>
          <w:lang w:val="en-US"/>
        </w:rPr>
        <w:t>-</w:t>
      </w:r>
      <w:r w:rsidRPr="006B2820">
        <w:rPr>
          <w:rFonts w:ascii="Times New Roman" w:hAnsi="Times New Roman" w:cs="Times New Roman"/>
          <w:lang w:val="en-US"/>
        </w:rPr>
        <w:t>both physicochemical and bacteriological</w:t>
      </w:r>
      <w:r>
        <w:rPr>
          <w:rFonts w:ascii="Times New Roman" w:hAnsi="Times New Roman" w:cs="Times New Roman"/>
          <w:lang w:val="en-US"/>
        </w:rPr>
        <w:t>-</w:t>
      </w:r>
      <w:r w:rsidRPr="006B2820">
        <w:rPr>
          <w:rFonts w:ascii="Times New Roman" w:hAnsi="Times New Roman" w:cs="Times New Roman"/>
          <w:lang w:val="en-US"/>
        </w:rPr>
        <w:t>by comparing the results with drinking-water standards. It thus contributes to a better understanding of groundwater geochemistry and verifies compliance with WHO (2017) guidelines to ensure safe water for human consumption.</w:t>
      </w:r>
    </w:p>
    <w:p w14:paraId="569801CC" w14:textId="77777777" w:rsidR="0063325B" w:rsidRPr="006B2820" w:rsidRDefault="0063325B" w:rsidP="006B2820">
      <w:pPr>
        <w:spacing w:line="360" w:lineRule="auto"/>
        <w:jc w:val="both"/>
        <w:rPr>
          <w:rFonts w:ascii="Times New Roman" w:hAnsi="Times New Roman" w:cs="Times New Roman"/>
          <w:lang w:val="en-US"/>
        </w:rPr>
      </w:pPr>
    </w:p>
    <w:p w14:paraId="08E38F98" w14:textId="6CA5BCDE" w:rsidR="006B2820" w:rsidRPr="006B2820" w:rsidRDefault="006B2820" w:rsidP="006B2820">
      <w:pPr>
        <w:spacing w:line="360" w:lineRule="auto"/>
        <w:jc w:val="both"/>
        <w:rPr>
          <w:rFonts w:ascii="Times New Roman" w:hAnsi="Times New Roman" w:cs="Times New Roman"/>
          <w:b/>
          <w:bCs/>
          <w:lang w:val="en-US"/>
        </w:rPr>
      </w:pPr>
      <w:r w:rsidRPr="006B2820">
        <w:rPr>
          <w:rFonts w:ascii="Times New Roman" w:hAnsi="Times New Roman" w:cs="Times New Roman"/>
          <w:b/>
          <w:bCs/>
          <w:lang w:val="en-US"/>
        </w:rPr>
        <w:t>2. Study Area Location</w:t>
      </w:r>
    </w:p>
    <w:p w14:paraId="245E19CC" w14:textId="5498BE2D" w:rsidR="006B2820" w:rsidRDefault="006B2820" w:rsidP="006B2820">
      <w:pPr>
        <w:spacing w:line="360" w:lineRule="auto"/>
        <w:jc w:val="both"/>
        <w:rPr>
          <w:rFonts w:ascii="Times New Roman" w:hAnsi="Times New Roman" w:cs="Times New Roman"/>
          <w:lang w:val="en-US"/>
        </w:rPr>
      </w:pPr>
      <w:r w:rsidRPr="006B2820">
        <w:rPr>
          <w:rFonts w:ascii="Times New Roman" w:hAnsi="Times New Roman" w:cs="Times New Roman"/>
          <w:lang w:val="en-US"/>
        </w:rPr>
        <w:t xml:space="preserve">Located in northern Chad, the city of </w:t>
      </w:r>
      <w:proofErr w:type="spellStart"/>
      <w:r w:rsidRPr="006B2820">
        <w:rPr>
          <w:rFonts w:ascii="Times New Roman" w:hAnsi="Times New Roman" w:cs="Times New Roman"/>
          <w:lang w:val="en-US"/>
        </w:rPr>
        <w:t>Djara</w:t>
      </w:r>
      <w:proofErr w:type="spellEnd"/>
      <w:r w:rsidRPr="006B2820">
        <w:rPr>
          <w:rFonts w:ascii="Times New Roman" w:hAnsi="Times New Roman" w:cs="Times New Roman"/>
          <w:lang w:val="en-US"/>
        </w:rPr>
        <w:t xml:space="preserve"> and its surrounding areas lie within the </w:t>
      </w:r>
      <w:proofErr w:type="spellStart"/>
      <w:r w:rsidRPr="006B2820">
        <w:rPr>
          <w:rFonts w:ascii="Times New Roman" w:hAnsi="Times New Roman" w:cs="Times New Roman"/>
          <w:lang w:val="en-US"/>
        </w:rPr>
        <w:t>Kanem</w:t>
      </w:r>
      <w:proofErr w:type="spellEnd"/>
      <w:r w:rsidRPr="006B2820">
        <w:rPr>
          <w:rFonts w:ascii="Times New Roman" w:hAnsi="Times New Roman" w:cs="Times New Roman"/>
          <w:lang w:val="en-US"/>
        </w:rPr>
        <w:t xml:space="preserve"> region. This region is bordered to the north by </w:t>
      </w:r>
      <w:proofErr w:type="spellStart"/>
      <w:r w:rsidRPr="006B2820">
        <w:rPr>
          <w:rFonts w:ascii="Times New Roman" w:hAnsi="Times New Roman" w:cs="Times New Roman"/>
          <w:lang w:val="en-US"/>
        </w:rPr>
        <w:t>Borkou</w:t>
      </w:r>
      <w:proofErr w:type="spellEnd"/>
      <w:r w:rsidRPr="006B2820">
        <w:rPr>
          <w:rFonts w:ascii="Times New Roman" w:hAnsi="Times New Roman" w:cs="Times New Roman"/>
          <w:lang w:val="en-US"/>
        </w:rPr>
        <w:t xml:space="preserve"> and Tibesti, to the east by Bahr El Ghazel, to the west by Niger, to the southwest by Lake Chad, and to the south by </w:t>
      </w:r>
      <w:proofErr w:type="spellStart"/>
      <w:r w:rsidRPr="006B2820">
        <w:rPr>
          <w:rFonts w:ascii="Times New Roman" w:hAnsi="Times New Roman" w:cs="Times New Roman"/>
          <w:lang w:val="en-US"/>
        </w:rPr>
        <w:t>Hadjer-Lamis</w:t>
      </w:r>
      <w:proofErr w:type="spellEnd"/>
      <w:r w:rsidRPr="006B2820">
        <w:rPr>
          <w:rFonts w:ascii="Times New Roman" w:hAnsi="Times New Roman" w:cs="Times New Roman"/>
          <w:lang w:val="en-US"/>
        </w:rPr>
        <w:t>. The study area is situated east of the city of Mao, between the 14th and 15th degrees of east longitude and the 13th and 14th degrees of north latitude (Fig</w:t>
      </w:r>
      <w:r w:rsidR="00A46FC4">
        <w:rPr>
          <w:rFonts w:ascii="Times New Roman" w:hAnsi="Times New Roman" w:cs="Times New Roman"/>
          <w:lang w:val="en-US"/>
        </w:rPr>
        <w:t>.</w:t>
      </w:r>
      <w:r w:rsidRPr="006B2820">
        <w:rPr>
          <w:rFonts w:ascii="Times New Roman" w:hAnsi="Times New Roman" w:cs="Times New Roman"/>
          <w:lang w:val="en-US"/>
        </w:rPr>
        <w:t xml:space="preserve"> 1).</w:t>
      </w:r>
    </w:p>
    <w:p w14:paraId="553A36D1" w14:textId="5A9F67AA" w:rsidR="00A46FC4" w:rsidRDefault="00193B88" w:rsidP="006B2820">
      <w:pPr>
        <w:spacing w:line="360" w:lineRule="auto"/>
        <w:jc w:val="both"/>
        <w:rPr>
          <w:rFonts w:ascii="Times New Roman" w:hAnsi="Times New Roman" w:cs="Times New Roman"/>
          <w:lang w:val="en-US"/>
        </w:rPr>
      </w:pPr>
      <w:r>
        <w:rPr>
          <w:noProof/>
          <w:lang w:val="fr-FR" w:eastAsia="fr-FR"/>
        </w:rPr>
        <w:drawing>
          <wp:inline distT="0" distB="0" distL="0" distR="0" wp14:anchorId="2B4C7AEE" wp14:editId="7B025241">
            <wp:extent cx="5760720" cy="4010025"/>
            <wp:effectExtent l="0" t="0" r="0" b="9525"/>
            <wp:docPr id="1528827866" name="Image 4" descr="Une image contenant texte, carte, diagramm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27866" name="Image 4" descr="Une image contenant texte, carte, diagramme, atlas&#10;&#10;Le contenu généré par l’IA peut êtr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010025"/>
                    </a:xfrm>
                    <a:prstGeom prst="rect">
                      <a:avLst/>
                    </a:prstGeom>
                    <a:noFill/>
                    <a:ln>
                      <a:noFill/>
                    </a:ln>
                  </pic:spPr>
                </pic:pic>
              </a:graphicData>
            </a:graphic>
          </wp:inline>
        </w:drawing>
      </w:r>
    </w:p>
    <w:p w14:paraId="389BF4ED" w14:textId="642DDC19" w:rsidR="00A46FC4" w:rsidRPr="00A7271E" w:rsidRDefault="00A46FC4" w:rsidP="00A46FC4">
      <w:pPr>
        <w:spacing w:line="360" w:lineRule="auto"/>
        <w:jc w:val="both"/>
        <w:rPr>
          <w:rFonts w:ascii="Times New Roman" w:hAnsi="Times New Roman" w:cs="Times New Roman"/>
          <w:sz w:val="22"/>
          <w:szCs w:val="22"/>
          <w:lang w:val="en-US"/>
        </w:rPr>
      </w:pPr>
      <w:r w:rsidRPr="00A7271E">
        <w:rPr>
          <w:rFonts w:ascii="Times New Roman" w:hAnsi="Times New Roman" w:cs="Times New Roman"/>
          <w:b/>
          <w:bCs/>
          <w:sz w:val="22"/>
          <w:szCs w:val="22"/>
          <w:lang w:val="en-US"/>
        </w:rPr>
        <w:t>Figure 1</w:t>
      </w:r>
      <w:r w:rsidRPr="00A7271E">
        <w:rPr>
          <w:rFonts w:ascii="Times New Roman" w:hAnsi="Times New Roman" w:cs="Times New Roman"/>
          <w:sz w:val="22"/>
          <w:szCs w:val="22"/>
          <w:lang w:val="en-US"/>
        </w:rPr>
        <w:t xml:space="preserve">: Map showing the location of the study area a) Chad, b) </w:t>
      </w:r>
      <w:r w:rsidR="00A0258B" w:rsidRPr="00A0258B">
        <w:rPr>
          <w:rFonts w:ascii="Times New Roman" w:hAnsi="Times New Roman" w:cs="Times New Roman"/>
          <w:sz w:val="22"/>
          <w:szCs w:val="22"/>
          <w:highlight w:val="yellow"/>
          <w:lang w:val="en-US"/>
        </w:rPr>
        <w:t xml:space="preserve">South </w:t>
      </w:r>
      <w:proofErr w:type="spellStart"/>
      <w:r w:rsidR="00A0258B" w:rsidRPr="00A0258B">
        <w:rPr>
          <w:rFonts w:ascii="Times New Roman" w:hAnsi="Times New Roman" w:cs="Times New Roman"/>
          <w:sz w:val="22"/>
          <w:szCs w:val="22"/>
          <w:highlight w:val="yellow"/>
          <w:lang w:val="en-US"/>
        </w:rPr>
        <w:t>Kanem</w:t>
      </w:r>
      <w:proofErr w:type="spellEnd"/>
      <w:r w:rsidR="00A0258B" w:rsidRPr="00A0258B">
        <w:rPr>
          <w:rFonts w:ascii="Times New Roman" w:hAnsi="Times New Roman" w:cs="Times New Roman"/>
          <w:sz w:val="22"/>
          <w:szCs w:val="22"/>
          <w:highlight w:val="yellow"/>
          <w:lang w:val="en-US"/>
        </w:rPr>
        <w:t xml:space="preserve"> Department</w:t>
      </w:r>
      <w:r w:rsidRPr="00A7271E">
        <w:rPr>
          <w:rFonts w:ascii="Times New Roman" w:hAnsi="Times New Roman" w:cs="Times New Roman"/>
          <w:sz w:val="22"/>
          <w:szCs w:val="22"/>
          <w:highlight w:val="yellow"/>
          <w:lang w:val="en-US"/>
        </w:rPr>
        <w:t>,</w:t>
      </w:r>
      <w:r w:rsidRPr="00A7271E">
        <w:rPr>
          <w:rFonts w:ascii="Times New Roman" w:hAnsi="Times New Roman" w:cs="Times New Roman"/>
          <w:sz w:val="22"/>
          <w:szCs w:val="22"/>
          <w:lang w:val="en-US"/>
        </w:rPr>
        <w:t xml:space="preserve"> and c) study area</w:t>
      </w:r>
    </w:p>
    <w:p w14:paraId="2D1E628E" w14:textId="520FEE9B" w:rsidR="00A46FC4" w:rsidRDefault="00A46FC4" w:rsidP="00A46FC4">
      <w:pPr>
        <w:spacing w:line="360" w:lineRule="auto"/>
        <w:jc w:val="both"/>
        <w:rPr>
          <w:rFonts w:ascii="Times New Roman" w:hAnsi="Times New Roman" w:cs="Times New Roman"/>
          <w:b/>
          <w:bCs/>
          <w:lang w:val="en-US"/>
        </w:rPr>
      </w:pPr>
      <w:r w:rsidRPr="00A46FC4">
        <w:rPr>
          <w:rFonts w:ascii="Times New Roman" w:hAnsi="Times New Roman" w:cs="Times New Roman"/>
          <w:b/>
          <w:bCs/>
          <w:lang w:val="en-US"/>
        </w:rPr>
        <w:t>2.1 Climate</w:t>
      </w:r>
    </w:p>
    <w:p w14:paraId="11BD2847" w14:textId="77777777" w:rsidR="00A46FC4" w:rsidRPr="00A46FC4" w:rsidRDefault="00A46FC4" w:rsidP="00A46FC4">
      <w:pPr>
        <w:spacing w:line="360" w:lineRule="auto"/>
        <w:jc w:val="both"/>
        <w:rPr>
          <w:rFonts w:ascii="Times New Roman" w:hAnsi="Times New Roman" w:cs="Times New Roman"/>
        </w:rPr>
      </w:pPr>
      <w:r w:rsidRPr="00A46FC4">
        <w:rPr>
          <w:rFonts w:ascii="Times New Roman" w:hAnsi="Times New Roman" w:cs="Times New Roman"/>
          <w:lang w:val="en-US"/>
        </w:rPr>
        <w:lastRenderedPageBreak/>
        <w:t>The climate is of the Sahelo-Saharan type, shifting toward a sub-desert climate in the northern part of the region (</w:t>
      </w:r>
      <w:proofErr w:type="spellStart"/>
      <w:r w:rsidRPr="00A46FC4">
        <w:rPr>
          <w:rFonts w:ascii="Times New Roman" w:hAnsi="Times New Roman" w:cs="Times New Roman"/>
          <w:lang w:val="en-US"/>
        </w:rPr>
        <w:t>Olivry</w:t>
      </w:r>
      <w:proofErr w:type="spellEnd"/>
      <w:r w:rsidRPr="00A46FC4">
        <w:rPr>
          <w:rFonts w:ascii="Times New Roman" w:hAnsi="Times New Roman" w:cs="Times New Roman"/>
          <w:lang w:val="en-US"/>
        </w:rPr>
        <w:t xml:space="preserve"> et al., 1996). </w:t>
      </w:r>
      <w:r w:rsidRPr="00A46FC4">
        <w:rPr>
          <w:rFonts w:ascii="Times New Roman" w:hAnsi="Times New Roman" w:cs="Times New Roman"/>
        </w:rPr>
        <w:t>It is characterized by:</w:t>
      </w:r>
    </w:p>
    <w:p w14:paraId="20BEF526" w14:textId="77777777" w:rsidR="00A46FC4" w:rsidRPr="00A46FC4" w:rsidRDefault="00A46FC4" w:rsidP="00A46FC4">
      <w:pPr>
        <w:numPr>
          <w:ilvl w:val="0"/>
          <w:numId w:val="3"/>
        </w:numPr>
        <w:spacing w:line="360" w:lineRule="auto"/>
        <w:jc w:val="both"/>
        <w:rPr>
          <w:rFonts w:ascii="Times New Roman" w:hAnsi="Times New Roman" w:cs="Times New Roman"/>
          <w:lang w:val="en-US"/>
        </w:rPr>
      </w:pPr>
      <w:r w:rsidRPr="00A46FC4">
        <w:rPr>
          <w:rFonts w:ascii="Times New Roman" w:hAnsi="Times New Roman" w:cs="Times New Roman"/>
          <w:lang w:val="en-US"/>
        </w:rPr>
        <w:t>A long dry season extending from October to May;</w:t>
      </w:r>
    </w:p>
    <w:p w14:paraId="58CF85F9" w14:textId="77777777" w:rsidR="00A46FC4" w:rsidRPr="00A46FC4" w:rsidRDefault="00A46FC4" w:rsidP="00A46FC4">
      <w:pPr>
        <w:numPr>
          <w:ilvl w:val="0"/>
          <w:numId w:val="3"/>
        </w:numPr>
        <w:spacing w:line="360" w:lineRule="auto"/>
        <w:jc w:val="both"/>
        <w:rPr>
          <w:rFonts w:ascii="Times New Roman" w:hAnsi="Times New Roman" w:cs="Times New Roman"/>
          <w:lang w:val="en-US"/>
        </w:rPr>
      </w:pPr>
      <w:r w:rsidRPr="00A46FC4">
        <w:rPr>
          <w:rFonts w:ascii="Times New Roman" w:hAnsi="Times New Roman" w:cs="Times New Roman"/>
          <w:lang w:val="en-US"/>
        </w:rPr>
        <w:t>A short rainy season occurring from June to September.</w:t>
      </w:r>
    </w:p>
    <w:p w14:paraId="2C539320" w14:textId="77777777" w:rsidR="00A46FC4" w:rsidRPr="00A46FC4" w:rsidRDefault="00A46FC4" w:rsidP="00A46FC4">
      <w:pPr>
        <w:spacing w:line="360" w:lineRule="auto"/>
        <w:jc w:val="both"/>
        <w:rPr>
          <w:rFonts w:ascii="Times New Roman" w:hAnsi="Times New Roman" w:cs="Times New Roman"/>
          <w:lang w:val="en-US"/>
        </w:rPr>
      </w:pPr>
      <w:r w:rsidRPr="00A46FC4">
        <w:rPr>
          <w:rFonts w:ascii="Times New Roman" w:hAnsi="Times New Roman" w:cs="Times New Roman"/>
          <w:lang w:val="en-US"/>
        </w:rPr>
        <w:t xml:space="preserve">The </w:t>
      </w:r>
      <w:proofErr w:type="spellStart"/>
      <w:r w:rsidRPr="00A46FC4">
        <w:rPr>
          <w:rFonts w:ascii="Times New Roman" w:hAnsi="Times New Roman" w:cs="Times New Roman"/>
          <w:lang w:val="en-US"/>
        </w:rPr>
        <w:t>Kanem</w:t>
      </w:r>
      <w:proofErr w:type="spellEnd"/>
      <w:r w:rsidRPr="00A46FC4">
        <w:rPr>
          <w:rFonts w:ascii="Times New Roman" w:hAnsi="Times New Roman" w:cs="Times New Roman"/>
          <w:lang w:val="en-US"/>
        </w:rPr>
        <w:t xml:space="preserve"> region lies within the Sahelian belt of Chad, where rainfall is low, ranging between 100 and 400 mm. It marks the transition between the Sahel and the Sahara in its northern part. The area is strongly affected by sand encroachment, and vegetation becomes increasingly sparse from south to north. The presence of several oases, however, offers opportunities for market gardening.</w:t>
      </w:r>
    </w:p>
    <w:p w14:paraId="1D3FFB28" w14:textId="77777777" w:rsidR="00A46FC4" w:rsidRPr="00A46FC4" w:rsidRDefault="00A46FC4" w:rsidP="00A46FC4">
      <w:pPr>
        <w:spacing w:line="360" w:lineRule="auto"/>
        <w:jc w:val="both"/>
        <w:rPr>
          <w:rFonts w:ascii="Times New Roman" w:hAnsi="Times New Roman" w:cs="Times New Roman"/>
          <w:b/>
          <w:bCs/>
          <w:lang w:val="en-US"/>
        </w:rPr>
      </w:pPr>
      <w:r w:rsidRPr="00A46FC4">
        <w:rPr>
          <w:rFonts w:ascii="Times New Roman" w:hAnsi="Times New Roman" w:cs="Times New Roman"/>
          <w:b/>
          <w:bCs/>
          <w:lang w:val="en-US"/>
        </w:rPr>
        <w:t>2.2 Geology and Hydrogeology</w:t>
      </w:r>
    </w:p>
    <w:p w14:paraId="3A9300C7" w14:textId="158BB249" w:rsidR="00A46FC4" w:rsidRPr="00A46FC4" w:rsidRDefault="00A46FC4" w:rsidP="0026652C">
      <w:pPr>
        <w:spacing w:after="0" w:line="360" w:lineRule="auto"/>
        <w:jc w:val="both"/>
        <w:rPr>
          <w:rFonts w:ascii="Times New Roman" w:hAnsi="Times New Roman" w:cs="Times New Roman"/>
          <w:lang w:val="en-US"/>
        </w:rPr>
      </w:pPr>
      <w:r w:rsidRPr="00A46FC4">
        <w:rPr>
          <w:rFonts w:ascii="Times New Roman" w:hAnsi="Times New Roman" w:cs="Times New Roman"/>
          <w:lang w:val="en-US"/>
        </w:rPr>
        <w:t xml:space="preserve">The geology of the study area is characterized by an ancient </w:t>
      </w:r>
      <w:proofErr w:type="gramStart"/>
      <w:r w:rsidRPr="00A46FC4">
        <w:rPr>
          <w:rFonts w:ascii="Times New Roman" w:hAnsi="Times New Roman" w:cs="Times New Roman"/>
          <w:lang w:val="en-US"/>
        </w:rPr>
        <w:t>erg oriented</w:t>
      </w:r>
      <w:proofErr w:type="gramEnd"/>
      <w:r w:rsidRPr="00A46FC4">
        <w:rPr>
          <w:rFonts w:ascii="Times New Roman" w:hAnsi="Times New Roman" w:cs="Times New Roman"/>
          <w:lang w:val="en-US"/>
        </w:rPr>
        <w:t xml:space="preserve"> NNW</w:t>
      </w:r>
      <w:r w:rsidR="00487D50">
        <w:rPr>
          <w:rFonts w:ascii="Times New Roman" w:hAnsi="Times New Roman" w:cs="Times New Roman"/>
          <w:lang w:val="en-US"/>
        </w:rPr>
        <w:t>-</w:t>
      </w:r>
      <w:r w:rsidRPr="00A46FC4">
        <w:rPr>
          <w:rFonts w:ascii="Times New Roman" w:hAnsi="Times New Roman" w:cs="Times New Roman"/>
          <w:lang w:val="en-US"/>
        </w:rPr>
        <w:t xml:space="preserve">SSE, where interdune depressions were flooded during a lacustrine transgression, leading to the deposition of fine and clay-rich sediments (Schuster et al., 2005; Moussa et al., 2016). Moving away from Lake Chad toward the northeast, one reaches the Bir </w:t>
      </w:r>
      <w:proofErr w:type="spellStart"/>
      <w:r w:rsidRPr="00A46FC4">
        <w:rPr>
          <w:rFonts w:ascii="Times New Roman" w:hAnsi="Times New Roman" w:cs="Times New Roman"/>
          <w:lang w:val="en-US"/>
        </w:rPr>
        <w:t>Louri</w:t>
      </w:r>
      <w:proofErr w:type="spellEnd"/>
      <w:r w:rsidRPr="00A46FC4">
        <w:rPr>
          <w:rFonts w:ascii="Times New Roman" w:hAnsi="Times New Roman" w:cs="Times New Roman"/>
          <w:lang w:val="en-US"/>
        </w:rPr>
        <w:t xml:space="preserve"> plateau, a vast tabular zone with less pronounced depressions that become deeper in the Mao region. This area contains several NNW</w:t>
      </w:r>
      <w:r w:rsidR="00487D50">
        <w:rPr>
          <w:rFonts w:ascii="Times New Roman" w:hAnsi="Times New Roman" w:cs="Times New Roman"/>
          <w:lang w:val="en-US"/>
        </w:rPr>
        <w:t>-</w:t>
      </w:r>
      <w:r w:rsidRPr="00A46FC4">
        <w:rPr>
          <w:rFonts w:ascii="Times New Roman" w:hAnsi="Times New Roman" w:cs="Times New Roman"/>
          <w:lang w:val="en-US"/>
        </w:rPr>
        <w:t>SSE-oriented lakes of modest size (1,000</w:t>
      </w:r>
      <w:r w:rsidR="00487D50">
        <w:rPr>
          <w:rFonts w:ascii="Times New Roman" w:hAnsi="Times New Roman" w:cs="Times New Roman"/>
          <w:lang w:val="en-US"/>
        </w:rPr>
        <w:t>-</w:t>
      </w:r>
      <w:r w:rsidRPr="00A46FC4">
        <w:rPr>
          <w:rFonts w:ascii="Times New Roman" w:hAnsi="Times New Roman" w:cs="Times New Roman"/>
          <w:lang w:val="en-US"/>
        </w:rPr>
        <w:t>1,500 m by 500</w:t>
      </w:r>
      <w:r w:rsidR="00487D50">
        <w:rPr>
          <w:rFonts w:ascii="Times New Roman" w:hAnsi="Times New Roman" w:cs="Times New Roman"/>
          <w:lang w:val="en-US"/>
        </w:rPr>
        <w:t>-</w:t>
      </w:r>
      <w:r w:rsidRPr="00A46FC4">
        <w:rPr>
          <w:rFonts w:ascii="Times New Roman" w:hAnsi="Times New Roman" w:cs="Times New Roman"/>
          <w:lang w:val="en-US"/>
        </w:rPr>
        <w:t>800 m) (</w:t>
      </w:r>
      <w:proofErr w:type="spellStart"/>
      <w:r w:rsidRPr="00A46FC4">
        <w:rPr>
          <w:rFonts w:ascii="Times New Roman" w:hAnsi="Times New Roman" w:cs="Times New Roman"/>
          <w:lang w:val="en-US"/>
        </w:rPr>
        <w:t>Maglione</w:t>
      </w:r>
      <w:proofErr w:type="spellEnd"/>
      <w:r w:rsidRPr="00A46FC4">
        <w:rPr>
          <w:rFonts w:ascii="Times New Roman" w:hAnsi="Times New Roman" w:cs="Times New Roman"/>
          <w:lang w:val="en-US"/>
        </w:rPr>
        <w:t xml:space="preserve">, 1968; Servant, 1973; </w:t>
      </w:r>
      <w:proofErr w:type="spellStart"/>
      <w:r w:rsidRPr="00A46FC4">
        <w:rPr>
          <w:rFonts w:ascii="Times New Roman" w:hAnsi="Times New Roman" w:cs="Times New Roman"/>
          <w:lang w:val="en-US"/>
        </w:rPr>
        <w:t>Ghienne</w:t>
      </w:r>
      <w:proofErr w:type="spellEnd"/>
      <w:r w:rsidRPr="00A46FC4">
        <w:rPr>
          <w:rFonts w:ascii="Times New Roman" w:hAnsi="Times New Roman" w:cs="Times New Roman"/>
          <w:lang w:val="en-US"/>
        </w:rPr>
        <w:t xml:space="preserve"> et al., 2002). </w:t>
      </w:r>
      <w:proofErr w:type="spellStart"/>
      <w:r w:rsidRPr="00A46FC4">
        <w:rPr>
          <w:rFonts w:ascii="Times New Roman" w:hAnsi="Times New Roman" w:cs="Times New Roman"/>
          <w:lang w:val="en-US"/>
        </w:rPr>
        <w:t>Kanem</w:t>
      </w:r>
      <w:proofErr w:type="spellEnd"/>
      <w:r w:rsidRPr="00A46FC4">
        <w:rPr>
          <w:rFonts w:ascii="Times New Roman" w:hAnsi="Times New Roman" w:cs="Times New Roman"/>
          <w:lang w:val="en-US"/>
        </w:rPr>
        <w:t xml:space="preserve"> is characterized by an ancient Late Pleistocene erg, with interdune deposits of clays and </w:t>
      </w:r>
      <w:proofErr w:type="spellStart"/>
      <w:r w:rsidRPr="00A46FC4">
        <w:rPr>
          <w:rFonts w:ascii="Times New Roman" w:hAnsi="Times New Roman" w:cs="Times New Roman"/>
          <w:lang w:val="en-US"/>
        </w:rPr>
        <w:t>diatomites</w:t>
      </w:r>
      <w:proofErr w:type="spellEnd"/>
      <w:r w:rsidRPr="00A46FC4">
        <w:rPr>
          <w:rFonts w:ascii="Times New Roman" w:hAnsi="Times New Roman" w:cs="Times New Roman"/>
          <w:lang w:val="en-US"/>
        </w:rPr>
        <w:t xml:space="preserve"> dating from the Holocene. The region is dominated by </w:t>
      </w:r>
      <w:proofErr w:type="spellStart"/>
      <w:r w:rsidRPr="00A46FC4">
        <w:rPr>
          <w:rFonts w:ascii="Times New Roman" w:hAnsi="Times New Roman" w:cs="Times New Roman"/>
          <w:lang w:val="en-US"/>
        </w:rPr>
        <w:t>halomorphic</w:t>
      </w:r>
      <w:proofErr w:type="spellEnd"/>
      <w:r w:rsidRPr="00A46FC4">
        <w:rPr>
          <w:rFonts w:ascii="Times New Roman" w:hAnsi="Times New Roman" w:cs="Times New Roman"/>
          <w:lang w:val="en-US"/>
        </w:rPr>
        <w:t xml:space="preserve"> soils, sub-desert sands, and clay</w:t>
      </w:r>
      <w:r w:rsidR="00487D50">
        <w:rPr>
          <w:rFonts w:ascii="Times New Roman" w:hAnsi="Times New Roman" w:cs="Times New Roman"/>
          <w:lang w:val="en-US"/>
        </w:rPr>
        <w:t>-</w:t>
      </w:r>
      <w:r w:rsidRPr="00A46FC4">
        <w:rPr>
          <w:rFonts w:ascii="Times New Roman" w:hAnsi="Times New Roman" w:cs="Times New Roman"/>
          <w:lang w:val="en-US"/>
        </w:rPr>
        <w:t xml:space="preserve">rich </w:t>
      </w:r>
      <w:proofErr w:type="spellStart"/>
      <w:r w:rsidRPr="00A46FC4">
        <w:rPr>
          <w:rFonts w:ascii="Times New Roman" w:hAnsi="Times New Roman" w:cs="Times New Roman"/>
          <w:lang w:val="en-US"/>
        </w:rPr>
        <w:t>vertisols</w:t>
      </w:r>
      <w:proofErr w:type="spellEnd"/>
      <w:r w:rsidRPr="00A46FC4">
        <w:rPr>
          <w:rFonts w:ascii="Times New Roman" w:hAnsi="Times New Roman" w:cs="Times New Roman"/>
          <w:lang w:val="en-US"/>
        </w:rPr>
        <w:t>, with specific constraints such as localized flooding (</w:t>
      </w:r>
      <w:proofErr w:type="spellStart"/>
      <w:r w:rsidRPr="00A46FC4">
        <w:rPr>
          <w:rFonts w:ascii="Times New Roman" w:hAnsi="Times New Roman" w:cs="Times New Roman"/>
          <w:lang w:val="en-US"/>
        </w:rPr>
        <w:t>Lannoy</w:t>
      </w:r>
      <w:proofErr w:type="spellEnd"/>
      <w:r w:rsidRPr="00A46FC4">
        <w:rPr>
          <w:rFonts w:ascii="Times New Roman" w:hAnsi="Times New Roman" w:cs="Times New Roman"/>
          <w:lang w:val="en-US"/>
        </w:rPr>
        <w:t>, 1991).</w:t>
      </w:r>
    </w:p>
    <w:p w14:paraId="3491A491" w14:textId="787A2A0D" w:rsidR="00A46FC4" w:rsidRPr="00A46FC4" w:rsidRDefault="00A46FC4" w:rsidP="0026652C">
      <w:pPr>
        <w:spacing w:after="0" w:line="360" w:lineRule="auto"/>
        <w:jc w:val="both"/>
        <w:rPr>
          <w:rFonts w:ascii="Times New Roman" w:hAnsi="Times New Roman" w:cs="Times New Roman"/>
          <w:lang w:val="en-US"/>
        </w:rPr>
      </w:pPr>
      <w:r w:rsidRPr="00A46FC4">
        <w:rPr>
          <w:rFonts w:ascii="Times New Roman" w:hAnsi="Times New Roman" w:cs="Times New Roman"/>
          <w:lang w:val="en-US"/>
        </w:rPr>
        <w:t>From a geological perspective, the Chad region rests on Precambrian rocks associated with the Pan-African orogeny (700–520 Ma), overlain by more recent sedimentary formations, including sand dunes and clay deposits linked to lake environments (</w:t>
      </w:r>
      <w:proofErr w:type="spellStart"/>
      <w:r w:rsidRPr="00A46FC4">
        <w:rPr>
          <w:rFonts w:ascii="Times New Roman" w:hAnsi="Times New Roman" w:cs="Times New Roman"/>
          <w:lang w:val="en-US"/>
        </w:rPr>
        <w:t>Kusnir</w:t>
      </w:r>
      <w:proofErr w:type="spellEnd"/>
      <w:r w:rsidRPr="00A46FC4">
        <w:rPr>
          <w:rFonts w:ascii="Times New Roman" w:hAnsi="Times New Roman" w:cs="Times New Roman"/>
          <w:lang w:val="en-US"/>
        </w:rPr>
        <w:t xml:space="preserve"> &amp; </w:t>
      </w:r>
      <w:proofErr w:type="spellStart"/>
      <w:r w:rsidRPr="00A46FC4">
        <w:rPr>
          <w:rFonts w:ascii="Times New Roman" w:hAnsi="Times New Roman" w:cs="Times New Roman"/>
          <w:lang w:val="en-US"/>
        </w:rPr>
        <w:t>Moutaye</w:t>
      </w:r>
      <w:proofErr w:type="spellEnd"/>
      <w:r w:rsidRPr="00A46FC4">
        <w:rPr>
          <w:rFonts w:ascii="Times New Roman" w:hAnsi="Times New Roman" w:cs="Times New Roman"/>
          <w:lang w:val="en-US"/>
        </w:rPr>
        <w:t xml:space="preserve">, 1998). The Early Quaternary (Middle to Upper Pleistocene) is marked by significant detrital sedimentation, represented by the </w:t>
      </w:r>
      <w:proofErr w:type="spellStart"/>
      <w:r w:rsidRPr="00A46FC4">
        <w:rPr>
          <w:rFonts w:ascii="Times New Roman" w:hAnsi="Times New Roman" w:cs="Times New Roman"/>
          <w:lang w:val="en-US"/>
        </w:rPr>
        <w:t>Soulias</w:t>
      </w:r>
      <w:proofErr w:type="spellEnd"/>
      <w:r w:rsidRPr="00A46FC4">
        <w:rPr>
          <w:rFonts w:ascii="Times New Roman" w:hAnsi="Times New Roman" w:cs="Times New Roman"/>
          <w:lang w:val="en-US"/>
        </w:rPr>
        <w:t xml:space="preserve"> Formation</w:t>
      </w:r>
      <w:r w:rsidR="00487D50">
        <w:rPr>
          <w:rFonts w:ascii="Times New Roman" w:hAnsi="Times New Roman" w:cs="Times New Roman"/>
          <w:lang w:val="en-US"/>
        </w:rPr>
        <w:t>-</w:t>
      </w:r>
      <w:r w:rsidRPr="00A46FC4">
        <w:rPr>
          <w:rFonts w:ascii="Times New Roman" w:hAnsi="Times New Roman" w:cs="Times New Roman"/>
          <w:lang w:val="en-US"/>
        </w:rPr>
        <w:t>a wind-shaped, sandy eolian layer containing scattered lenticular clay deposits. These deposits correspond to wetter climatic phases that created lakes and marshes within a dune landscape (Servant, 1973; Schneider &amp; Wolff, 1992), while also reflecting dry periods conducive to alternating aeolian reworking and humid conditions (Roche, 1980).</w:t>
      </w:r>
    </w:p>
    <w:p w14:paraId="52631316" w14:textId="77777777" w:rsidR="00A46FC4" w:rsidRPr="00A46FC4" w:rsidRDefault="00A46FC4" w:rsidP="0026652C">
      <w:pPr>
        <w:spacing w:after="0" w:line="360" w:lineRule="auto"/>
        <w:jc w:val="both"/>
        <w:rPr>
          <w:rFonts w:ascii="Times New Roman" w:hAnsi="Times New Roman" w:cs="Times New Roman"/>
          <w:lang w:val="en-US"/>
        </w:rPr>
      </w:pPr>
      <w:r w:rsidRPr="00A46FC4">
        <w:rPr>
          <w:rFonts w:ascii="Times New Roman" w:hAnsi="Times New Roman" w:cs="Times New Roman"/>
          <w:lang w:val="en-US"/>
        </w:rPr>
        <w:t>From a hydrogeological standpoint, the work of Servant-</w:t>
      </w:r>
      <w:proofErr w:type="spellStart"/>
      <w:r w:rsidRPr="00A46FC4">
        <w:rPr>
          <w:rFonts w:ascii="Times New Roman" w:hAnsi="Times New Roman" w:cs="Times New Roman"/>
          <w:lang w:val="en-US"/>
        </w:rPr>
        <w:t>Vildary</w:t>
      </w:r>
      <w:proofErr w:type="spellEnd"/>
      <w:r w:rsidRPr="00A46FC4">
        <w:rPr>
          <w:rFonts w:ascii="Times New Roman" w:hAnsi="Times New Roman" w:cs="Times New Roman"/>
          <w:lang w:val="en-US"/>
        </w:rPr>
        <w:t xml:space="preserve"> (1973), Roche (1980), and </w:t>
      </w:r>
      <w:proofErr w:type="spellStart"/>
      <w:r w:rsidRPr="00A46FC4">
        <w:rPr>
          <w:rFonts w:ascii="Times New Roman" w:hAnsi="Times New Roman" w:cs="Times New Roman"/>
          <w:lang w:val="en-US"/>
        </w:rPr>
        <w:t>Olivry</w:t>
      </w:r>
      <w:proofErr w:type="spellEnd"/>
      <w:r w:rsidRPr="00A46FC4">
        <w:rPr>
          <w:rFonts w:ascii="Times New Roman" w:hAnsi="Times New Roman" w:cs="Times New Roman"/>
          <w:lang w:val="en-US"/>
        </w:rPr>
        <w:t xml:space="preserve"> et al. (1996) has identified three major aquifer systems in this basin, which includes the study area:</w:t>
      </w:r>
    </w:p>
    <w:p w14:paraId="3DE0069D" w14:textId="77777777" w:rsidR="00A46FC4" w:rsidRPr="00A46FC4" w:rsidRDefault="00A46FC4" w:rsidP="0026652C">
      <w:pPr>
        <w:numPr>
          <w:ilvl w:val="0"/>
          <w:numId w:val="4"/>
        </w:numPr>
        <w:spacing w:after="0" w:line="360" w:lineRule="auto"/>
        <w:jc w:val="both"/>
        <w:rPr>
          <w:rFonts w:ascii="Times New Roman" w:hAnsi="Times New Roman" w:cs="Times New Roman"/>
          <w:lang w:val="en-US"/>
        </w:rPr>
      </w:pPr>
      <w:r w:rsidRPr="00A46FC4">
        <w:rPr>
          <w:rFonts w:ascii="Times New Roman" w:hAnsi="Times New Roman" w:cs="Times New Roman"/>
          <w:lang w:val="en-US"/>
        </w:rPr>
        <w:lastRenderedPageBreak/>
        <w:t>The Quaternary aquifer, composed of fractured clays (up to 10 m thick) in interdune depressions, and aeolian sands that may contain fossil evaporite deposits;</w:t>
      </w:r>
    </w:p>
    <w:p w14:paraId="566A83C9" w14:textId="77777777" w:rsidR="00A46FC4" w:rsidRPr="00A46FC4" w:rsidRDefault="00A46FC4" w:rsidP="0026652C">
      <w:pPr>
        <w:numPr>
          <w:ilvl w:val="0"/>
          <w:numId w:val="4"/>
        </w:numPr>
        <w:spacing w:after="0" w:line="360" w:lineRule="auto"/>
        <w:jc w:val="both"/>
        <w:rPr>
          <w:rFonts w:ascii="Times New Roman" w:hAnsi="Times New Roman" w:cs="Times New Roman"/>
          <w:lang w:val="en-US"/>
        </w:rPr>
      </w:pPr>
      <w:r w:rsidRPr="00A46FC4">
        <w:rPr>
          <w:rFonts w:ascii="Times New Roman" w:hAnsi="Times New Roman" w:cs="Times New Roman"/>
          <w:lang w:val="en-US"/>
        </w:rPr>
        <w:t>The intermediate Pliocene aquifer, also referred to as the “basal aquifer,” which is about 75 m thick and composed of fluviatile sands. In the central part of the basin, this aquifer is artesian;</w:t>
      </w:r>
    </w:p>
    <w:p w14:paraId="4F4E8C30" w14:textId="77777777" w:rsidR="00A46FC4" w:rsidRPr="00A46FC4" w:rsidRDefault="00A46FC4" w:rsidP="0026652C">
      <w:pPr>
        <w:numPr>
          <w:ilvl w:val="0"/>
          <w:numId w:val="4"/>
        </w:numPr>
        <w:spacing w:after="0" w:line="360" w:lineRule="auto"/>
        <w:jc w:val="both"/>
        <w:rPr>
          <w:rFonts w:ascii="Times New Roman" w:hAnsi="Times New Roman" w:cs="Times New Roman"/>
          <w:lang w:val="en-US"/>
        </w:rPr>
      </w:pPr>
      <w:r w:rsidRPr="00A46FC4">
        <w:rPr>
          <w:rFonts w:ascii="Times New Roman" w:hAnsi="Times New Roman" w:cs="Times New Roman"/>
          <w:lang w:val="en-US"/>
        </w:rPr>
        <w:t>The lower aquifer, or deep Continental Terminal aquifer, consisting of poorly sorted fluviatile sands with ferruginous sandstone debris. The thickness of this formation varies greatly, ranging from 200 to 300 m.</w:t>
      </w:r>
    </w:p>
    <w:p w14:paraId="002DA389" w14:textId="2262706E" w:rsidR="00A46FC4" w:rsidRPr="0098401F" w:rsidRDefault="00A46FC4" w:rsidP="00A46FC4">
      <w:pPr>
        <w:spacing w:line="360" w:lineRule="auto"/>
        <w:jc w:val="both"/>
        <w:rPr>
          <w:rFonts w:ascii="Times New Roman" w:hAnsi="Times New Roman" w:cs="Times New Roman"/>
          <w:lang w:val="en-US"/>
        </w:rPr>
      </w:pPr>
      <w:r w:rsidRPr="00A46FC4">
        <w:rPr>
          <w:rFonts w:ascii="Times New Roman" w:hAnsi="Times New Roman" w:cs="Times New Roman"/>
          <w:lang w:val="en-US"/>
        </w:rPr>
        <w:t>The A–B cross-section, which extends 34.310 km from west to east and is characterized by Quaternary sands (Fi</w:t>
      </w:r>
      <w:r>
        <w:rPr>
          <w:rFonts w:ascii="Times New Roman" w:hAnsi="Times New Roman" w:cs="Times New Roman"/>
          <w:lang w:val="en-US"/>
        </w:rPr>
        <w:t>g.</w:t>
      </w:r>
      <w:r w:rsidRPr="00A46FC4">
        <w:rPr>
          <w:rFonts w:ascii="Times New Roman" w:hAnsi="Times New Roman" w:cs="Times New Roman"/>
          <w:lang w:val="en-US"/>
        </w:rPr>
        <w:t xml:space="preserve"> 2), shows a topsoil layer approximately 2 m thick overlying coarse sand deposits that rest unconformably on fine sands, themselves situated above a clay layer. The dominant unit consists of coarse sands, with thickness decreasing from 40 m in the west to 20 m in the east. The fine sands follow, with thicknesses between 20 and 30 m. Finally, the clay layer is less than 10 m thick in the boreholes studied.</w:t>
      </w:r>
    </w:p>
    <w:p w14:paraId="4EF572AF" w14:textId="75679748" w:rsidR="001B1834" w:rsidRPr="00E82E9C" w:rsidRDefault="00E82E9C" w:rsidP="00A46FC4">
      <w:pPr>
        <w:spacing w:line="360" w:lineRule="auto"/>
        <w:jc w:val="both"/>
        <w:rPr>
          <w:rFonts w:ascii="Times New Roman" w:hAnsi="Times New Roman" w:cs="Times New Roman"/>
          <w:b/>
          <w:bCs/>
          <w:lang/>
        </w:rPr>
      </w:pPr>
      <w:r w:rsidRPr="00E82E9C">
        <w:rPr>
          <w:rFonts w:ascii="Times New Roman" w:hAnsi="Times New Roman" w:cs="Times New Roman"/>
          <w:b/>
          <w:bCs/>
          <w:noProof/>
          <w:lang w:val="fr-FR" w:eastAsia="fr-FR"/>
        </w:rPr>
        <w:drawing>
          <wp:inline distT="0" distB="0" distL="0" distR="0" wp14:anchorId="6E160D6A" wp14:editId="22238B2C">
            <wp:extent cx="5697220" cy="3219450"/>
            <wp:effectExtent l="19050" t="19050" r="17780" b="19050"/>
            <wp:docPr id="86397642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02"/>
                    <a:stretch>
                      <a:fillRect/>
                    </a:stretch>
                  </pic:blipFill>
                  <pic:spPr bwMode="auto">
                    <a:xfrm>
                      <a:off x="0" y="0"/>
                      <a:ext cx="5708012" cy="322554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36166DFE" w14:textId="1877582E" w:rsidR="00A46FC4" w:rsidRDefault="00A46FC4" w:rsidP="00A46FC4">
      <w:pPr>
        <w:spacing w:line="360" w:lineRule="auto"/>
        <w:jc w:val="center"/>
        <w:rPr>
          <w:rFonts w:ascii="Times New Roman" w:hAnsi="Times New Roman" w:cs="Times New Roman"/>
          <w:lang w:val="en-US"/>
        </w:rPr>
      </w:pPr>
      <w:r w:rsidRPr="00A46FC4">
        <w:rPr>
          <w:rFonts w:ascii="Times New Roman" w:hAnsi="Times New Roman" w:cs="Times New Roman"/>
          <w:b/>
          <w:bCs/>
          <w:lang w:val="en-US"/>
        </w:rPr>
        <w:t xml:space="preserve">Figure 2: </w:t>
      </w:r>
      <w:r w:rsidRPr="00A46FC4">
        <w:rPr>
          <w:rFonts w:ascii="Times New Roman" w:hAnsi="Times New Roman" w:cs="Times New Roman"/>
          <w:lang w:val="en-US"/>
        </w:rPr>
        <w:t>West-East geological cross-section A-B</w:t>
      </w:r>
    </w:p>
    <w:p w14:paraId="1CEFB07E" w14:textId="77777777" w:rsidR="00A46FC4" w:rsidRPr="00A46FC4" w:rsidRDefault="00A46FC4" w:rsidP="00A46FC4">
      <w:pPr>
        <w:spacing w:line="360" w:lineRule="auto"/>
        <w:rPr>
          <w:rFonts w:ascii="Times New Roman" w:hAnsi="Times New Roman" w:cs="Times New Roman"/>
          <w:b/>
          <w:bCs/>
          <w:lang w:val="en-US"/>
        </w:rPr>
      </w:pPr>
      <w:r w:rsidRPr="00A46FC4">
        <w:rPr>
          <w:rFonts w:ascii="Times New Roman" w:hAnsi="Times New Roman" w:cs="Times New Roman"/>
          <w:b/>
          <w:bCs/>
          <w:lang w:val="en-US"/>
        </w:rPr>
        <w:t>2.    Methodology</w:t>
      </w:r>
    </w:p>
    <w:p w14:paraId="3980A26B" w14:textId="095860E9" w:rsidR="00A46FC4" w:rsidRDefault="00A46FC4" w:rsidP="00487D50">
      <w:pPr>
        <w:spacing w:line="360" w:lineRule="auto"/>
        <w:jc w:val="both"/>
        <w:rPr>
          <w:rFonts w:ascii="Times New Roman" w:hAnsi="Times New Roman" w:cs="Times New Roman"/>
          <w:lang w:val="en-US"/>
        </w:rPr>
      </w:pPr>
      <w:r w:rsidRPr="00A46FC4">
        <w:rPr>
          <w:rFonts w:ascii="Times New Roman" w:hAnsi="Times New Roman" w:cs="Times New Roman"/>
          <w:lang w:val="en-US"/>
        </w:rPr>
        <w:t xml:space="preserve">The diagram below summarizes the entire sampling and analytical process used in this study. It outlines the successive steps that led to the interpretation of the </w:t>
      </w:r>
      <w:proofErr w:type="spellStart"/>
      <w:r w:rsidRPr="00A46FC4">
        <w:rPr>
          <w:rFonts w:ascii="Times New Roman" w:hAnsi="Times New Roman" w:cs="Times New Roman"/>
          <w:lang w:val="en-US"/>
        </w:rPr>
        <w:t>hydrochemical</w:t>
      </w:r>
      <w:proofErr w:type="spellEnd"/>
      <w:r w:rsidRPr="00A46FC4">
        <w:rPr>
          <w:rFonts w:ascii="Times New Roman" w:hAnsi="Times New Roman" w:cs="Times New Roman"/>
          <w:lang w:val="en-US"/>
        </w:rPr>
        <w:t xml:space="preserve"> and bacteriological characteristics of the groundwater</w:t>
      </w:r>
      <w:r w:rsidR="00487D50">
        <w:rPr>
          <w:rFonts w:ascii="Times New Roman" w:hAnsi="Times New Roman" w:cs="Times New Roman"/>
          <w:lang w:val="en-US"/>
        </w:rPr>
        <w:t xml:space="preserve"> (Fig.3)</w:t>
      </w:r>
      <w:r w:rsidRPr="00A46FC4">
        <w:rPr>
          <w:rFonts w:ascii="Times New Roman" w:hAnsi="Times New Roman" w:cs="Times New Roman"/>
          <w:lang w:val="en-US"/>
        </w:rPr>
        <w:t>.</w:t>
      </w:r>
    </w:p>
    <w:p w14:paraId="0B67CC01" w14:textId="2809F5EA" w:rsidR="00487D50" w:rsidRDefault="00A46FC4" w:rsidP="002A18EE">
      <w:pPr>
        <w:spacing w:line="360" w:lineRule="auto"/>
        <w:jc w:val="center"/>
        <w:rPr>
          <w:rFonts w:ascii="Times New Roman" w:hAnsi="Times New Roman" w:cs="Times New Roman"/>
          <w:lang w:val="en-US"/>
        </w:rPr>
      </w:pPr>
      <w:r>
        <w:rPr>
          <w:rFonts w:ascii="Times New Roman" w:hAnsi="Times New Roman" w:cs="Times New Roman"/>
          <w:b/>
          <w:bCs/>
          <w:noProof/>
          <w:lang w:val="fr-FR" w:eastAsia="fr-FR"/>
        </w:rPr>
        <w:lastRenderedPageBreak/>
        <w:drawing>
          <wp:inline distT="0" distB="0" distL="0" distR="0" wp14:anchorId="2A3AC326" wp14:editId="3CDCCD2B">
            <wp:extent cx="4794250" cy="3578691"/>
            <wp:effectExtent l="19050" t="19050" r="25400" b="22225"/>
            <wp:docPr id="980415877" name="Image 1" descr="Une image contenant texte, capture d’écran, Police, Post-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15877" name="Image 1" descr="Une image contenant texte, capture d’écran, Police, Post-it&#10;&#10;Le contenu généré par l’IA peut êtr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1698" cy="3584251"/>
                    </a:xfrm>
                    <a:prstGeom prst="rect">
                      <a:avLst/>
                    </a:prstGeom>
                    <a:noFill/>
                    <a:ln w="3175">
                      <a:solidFill>
                        <a:schemeClr val="tx1"/>
                      </a:solidFill>
                    </a:ln>
                  </pic:spPr>
                </pic:pic>
              </a:graphicData>
            </a:graphic>
          </wp:inline>
        </w:drawing>
      </w:r>
    </w:p>
    <w:p w14:paraId="2CD5B793" w14:textId="1CD7AE70" w:rsidR="00487D50" w:rsidRDefault="00487D50" w:rsidP="00487D50">
      <w:pPr>
        <w:spacing w:line="360" w:lineRule="auto"/>
        <w:jc w:val="center"/>
        <w:rPr>
          <w:rFonts w:ascii="Times New Roman" w:hAnsi="Times New Roman" w:cs="Times New Roman"/>
          <w:lang w:val="en-US"/>
        </w:rPr>
      </w:pPr>
      <w:r w:rsidRPr="00487D50">
        <w:rPr>
          <w:rFonts w:ascii="Times New Roman" w:hAnsi="Times New Roman" w:cs="Times New Roman"/>
          <w:b/>
          <w:bCs/>
          <w:lang w:val="en-US"/>
        </w:rPr>
        <w:t>Figure 3</w:t>
      </w:r>
      <w:r w:rsidRPr="00487D50">
        <w:rPr>
          <w:rFonts w:ascii="Times New Roman" w:hAnsi="Times New Roman" w:cs="Times New Roman"/>
          <w:lang w:val="en-US"/>
        </w:rPr>
        <w:t>: Methodological process diagram</w:t>
      </w:r>
    </w:p>
    <w:p w14:paraId="3241004D" w14:textId="77777777" w:rsidR="00487D50" w:rsidRPr="00487D50" w:rsidRDefault="00487D50" w:rsidP="00487D50">
      <w:pPr>
        <w:spacing w:line="360" w:lineRule="auto"/>
        <w:jc w:val="both"/>
        <w:rPr>
          <w:rFonts w:ascii="Times New Roman" w:hAnsi="Times New Roman" w:cs="Times New Roman"/>
          <w:b/>
          <w:bCs/>
          <w:lang w:val="en-US"/>
        </w:rPr>
      </w:pPr>
      <w:r w:rsidRPr="00487D50">
        <w:rPr>
          <w:rFonts w:ascii="Times New Roman" w:hAnsi="Times New Roman" w:cs="Times New Roman"/>
          <w:b/>
          <w:bCs/>
          <w:lang w:val="en-US"/>
        </w:rPr>
        <w:t>3.1 Sampling</w:t>
      </w:r>
    </w:p>
    <w:p w14:paraId="02B54FF6" w14:textId="77777777" w:rsidR="00487D50" w:rsidRPr="00487D50" w:rsidRDefault="00487D50" w:rsidP="00487D50">
      <w:pPr>
        <w:spacing w:line="360" w:lineRule="auto"/>
        <w:jc w:val="both"/>
        <w:rPr>
          <w:rFonts w:ascii="Times New Roman" w:hAnsi="Times New Roman" w:cs="Times New Roman"/>
          <w:lang w:val="en-US"/>
        </w:rPr>
      </w:pPr>
      <w:r w:rsidRPr="00487D50">
        <w:rPr>
          <w:rFonts w:ascii="Times New Roman" w:hAnsi="Times New Roman" w:cs="Times New Roman"/>
          <w:lang w:val="en-US"/>
        </w:rPr>
        <w:t>The sampling phase is a crucial step for laboratory analyses, as strict adherence to sampling conditions determines the reliability of the results. A field mission was conducted in August 2025 during which 17 water points were sampled (15 boreholes and two wells), following a consistent and standardized procedure. Water samples for chemical analyses were collected in thoroughly rinsed polypropylene bottles after 15 minutes of pumping. The in-situ parameters measured included pH, electrical conductivity (EC), and total dissolved solids (TDS).</w:t>
      </w:r>
    </w:p>
    <w:p w14:paraId="00C93683" w14:textId="77777777" w:rsidR="00487D50" w:rsidRPr="00487D50" w:rsidRDefault="00487D50" w:rsidP="00487D50">
      <w:pPr>
        <w:spacing w:line="360" w:lineRule="auto"/>
        <w:jc w:val="both"/>
        <w:rPr>
          <w:rFonts w:ascii="Times New Roman" w:hAnsi="Times New Roman" w:cs="Times New Roman"/>
          <w:lang w:val="en-US"/>
        </w:rPr>
      </w:pPr>
      <w:r w:rsidRPr="00487D50">
        <w:rPr>
          <w:rFonts w:ascii="Times New Roman" w:hAnsi="Times New Roman" w:cs="Times New Roman"/>
          <w:lang w:val="en-US"/>
        </w:rPr>
        <w:t xml:space="preserve">Samples intended for bacteriological analysis were collected in sterile bottles labeled with the neighborhood name, sampling date, and type of water point, with a volume of 75 </w:t>
      </w:r>
      <w:proofErr w:type="spellStart"/>
      <w:r w:rsidRPr="00487D50">
        <w:rPr>
          <w:rFonts w:ascii="Times New Roman" w:hAnsi="Times New Roman" w:cs="Times New Roman"/>
          <w:lang w:val="en-US"/>
        </w:rPr>
        <w:t>mL.</w:t>
      </w:r>
      <w:proofErr w:type="spellEnd"/>
      <w:r w:rsidRPr="00487D50">
        <w:rPr>
          <w:rFonts w:ascii="Times New Roman" w:hAnsi="Times New Roman" w:cs="Times New Roman"/>
          <w:lang w:val="en-US"/>
        </w:rPr>
        <w:t xml:space="preserve"> Sampling was carried out using gloves to avoid any hand contact with the sample. Prior to sampling, boreholes were disinfected using a flame.</w:t>
      </w:r>
    </w:p>
    <w:p w14:paraId="423CDE2A" w14:textId="77777777" w:rsidR="00487D50" w:rsidRPr="00487D50" w:rsidRDefault="00487D50" w:rsidP="00487D50">
      <w:pPr>
        <w:spacing w:line="360" w:lineRule="auto"/>
        <w:jc w:val="both"/>
        <w:rPr>
          <w:rFonts w:ascii="Times New Roman" w:hAnsi="Times New Roman" w:cs="Times New Roman"/>
          <w:b/>
          <w:bCs/>
          <w:lang w:val="en-US"/>
        </w:rPr>
      </w:pPr>
      <w:r w:rsidRPr="00487D50">
        <w:rPr>
          <w:rFonts w:ascii="Times New Roman" w:hAnsi="Times New Roman" w:cs="Times New Roman"/>
          <w:b/>
          <w:bCs/>
          <w:lang w:val="en-US"/>
        </w:rPr>
        <w:t>3.2 Laboratory Analysis</w:t>
      </w:r>
    </w:p>
    <w:p w14:paraId="6CB22B06" w14:textId="2A4A7F08" w:rsidR="00487D50" w:rsidRDefault="00487D50" w:rsidP="00487D50">
      <w:pPr>
        <w:spacing w:line="360" w:lineRule="auto"/>
        <w:jc w:val="both"/>
        <w:rPr>
          <w:rFonts w:ascii="Times New Roman" w:hAnsi="Times New Roman" w:cs="Times New Roman"/>
          <w:lang w:val="en-US"/>
        </w:rPr>
      </w:pPr>
      <w:r w:rsidRPr="00487D50">
        <w:rPr>
          <w:rFonts w:ascii="Times New Roman" w:hAnsi="Times New Roman" w:cs="Times New Roman"/>
          <w:lang w:val="en-US"/>
        </w:rPr>
        <w:t>The samples were analyzed at the National Water Laboratory (LNE), Mao provincial section. Major ions were determined, including cations (Ca</w:t>
      </w:r>
      <w:r w:rsidRPr="00487D50">
        <w:rPr>
          <w:rFonts w:ascii="Times New Roman" w:hAnsi="Times New Roman" w:cs="Times New Roman"/>
          <w:vertAlign w:val="superscript"/>
          <w:lang w:val="en-US"/>
        </w:rPr>
        <w:t>2+</w:t>
      </w:r>
      <w:r w:rsidRPr="00487D50">
        <w:rPr>
          <w:rFonts w:ascii="Times New Roman" w:hAnsi="Times New Roman" w:cs="Times New Roman"/>
          <w:lang w:val="en-US"/>
        </w:rPr>
        <w:t>, Mg</w:t>
      </w:r>
      <w:r>
        <w:rPr>
          <w:rFonts w:ascii="Times New Roman" w:hAnsi="Times New Roman" w:cs="Times New Roman"/>
          <w:vertAlign w:val="superscript"/>
          <w:lang w:val="en-US"/>
        </w:rPr>
        <w:t>2+</w:t>
      </w:r>
      <w:r w:rsidR="0026652C">
        <w:rPr>
          <w:rFonts w:ascii="Times New Roman" w:hAnsi="Times New Roman" w:cs="Times New Roman"/>
          <w:lang w:val="en-US"/>
        </w:rPr>
        <w:t xml:space="preserve">, </w:t>
      </w:r>
      <w:r w:rsidRPr="00487D50">
        <w:rPr>
          <w:rFonts w:ascii="Times New Roman" w:hAnsi="Times New Roman" w:cs="Times New Roman"/>
          <w:lang w:val="en-US"/>
        </w:rPr>
        <w:t>K</w:t>
      </w:r>
      <w:r w:rsidRPr="00487D50">
        <w:rPr>
          <w:rFonts w:ascii="Times New Roman" w:hAnsi="Times New Roman" w:cs="Times New Roman"/>
          <w:vertAlign w:val="superscript"/>
          <w:lang w:val="en-US"/>
        </w:rPr>
        <w:t>+</w:t>
      </w:r>
      <w:r w:rsidRPr="00487D50">
        <w:rPr>
          <w:rFonts w:ascii="Times New Roman" w:hAnsi="Times New Roman" w:cs="Times New Roman"/>
          <w:lang w:val="en-US"/>
        </w:rPr>
        <w:t>, and Na</w:t>
      </w:r>
      <w:r w:rsidRPr="00487D50">
        <w:rPr>
          <w:rFonts w:ascii="Times New Roman" w:hAnsi="Times New Roman" w:cs="Times New Roman"/>
          <w:vertAlign w:val="superscript"/>
          <w:lang w:val="en-US"/>
        </w:rPr>
        <w:t>+</w:t>
      </w:r>
      <w:r w:rsidRPr="00487D50">
        <w:rPr>
          <w:rFonts w:ascii="Times New Roman" w:hAnsi="Times New Roman" w:cs="Times New Roman"/>
          <w:lang w:val="en-US"/>
        </w:rPr>
        <w:t>) and anions (Cl</w:t>
      </w:r>
      <w:r w:rsidRPr="00487D50">
        <w:rPr>
          <w:rFonts w:ascii="Times New Roman" w:hAnsi="Times New Roman" w:cs="Times New Roman"/>
          <w:vertAlign w:val="superscript"/>
          <w:lang w:val="en-US"/>
        </w:rPr>
        <w:t>-</w:t>
      </w:r>
      <w:r w:rsidRPr="00487D50">
        <w:rPr>
          <w:rFonts w:ascii="Times New Roman" w:hAnsi="Times New Roman" w:cs="Times New Roman"/>
          <w:lang w:val="en-US"/>
        </w:rPr>
        <w:t>, NO</w:t>
      </w:r>
      <w:r w:rsidRPr="00487D50">
        <w:rPr>
          <w:rFonts w:ascii="Times New Roman" w:hAnsi="Times New Roman" w:cs="Times New Roman"/>
          <w:vertAlign w:val="subscript"/>
          <w:lang w:val="en-US"/>
        </w:rPr>
        <w:t>3</w:t>
      </w:r>
      <w:r w:rsidRPr="00487D50">
        <w:rPr>
          <w:rFonts w:ascii="Times New Roman" w:hAnsi="Times New Roman" w:cs="Times New Roman"/>
          <w:vertAlign w:val="superscript"/>
          <w:lang w:val="en-US"/>
        </w:rPr>
        <w:t>-</w:t>
      </w:r>
      <w:r w:rsidRPr="00487D50">
        <w:rPr>
          <w:rFonts w:ascii="Times New Roman" w:hAnsi="Times New Roman" w:cs="Times New Roman"/>
          <w:lang w:val="en-US"/>
        </w:rPr>
        <w:t>, SO</w:t>
      </w:r>
      <w:r w:rsidRPr="00487D50">
        <w:rPr>
          <w:rFonts w:ascii="Times New Roman" w:hAnsi="Times New Roman" w:cs="Times New Roman"/>
          <w:vertAlign w:val="subscript"/>
          <w:lang w:val="en-US"/>
        </w:rPr>
        <w:t>4</w:t>
      </w:r>
      <w:r w:rsidRPr="00487D50">
        <w:rPr>
          <w:rFonts w:ascii="Times New Roman" w:hAnsi="Times New Roman" w:cs="Times New Roman"/>
          <w:vertAlign w:val="superscript"/>
          <w:lang w:val="en-US"/>
        </w:rPr>
        <w:t>2-</w:t>
      </w:r>
      <w:r w:rsidRPr="00487D50">
        <w:rPr>
          <w:rFonts w:ascii="Times New Roman" w:hAnsi="Times New Roman" w:cs="Times New Roman"/>
          <w:lang w:val="en-US"/>
        </w:rPr>
        <w:t>, HCO</w:t>
      </w:r>
      <w:r w:rsidRPr="00487D50">
        <w:rPr>
          <w:rFonts w:ascii="Times New Roman" w:hAnsi="Times New Roman" w:cs="Times New Roman"/>
          <w:vertAlign w:val="subscript"/>
          <w:lang w:val="en-US"/>
        </w:rPr>
        <w:t>3</w:t>
      </w:r>
      <w:r w:rsidRPr="00487D50">
        <w:rPr>
          <w:rFonts w:ascii="Times New Roman" w:hAnsi="Times New Roman" w:cs="Times New Roman"/>
          <w:vertAlign w:val="superscript"/>
          <w:lang w:val="en-US"/>
        </w:rPr>
        <w:t>-</w:t>
      </w:r>
      <w:r w:rsidRPr="00487D50">
        <w:rPr>
          <w:rFonts w:ascii="Times New Roman" w:hAnsi="Times New Roman" w:cs="Times New Roman"/>
          <w:lang w:val="en-US"/>
        </w:rPr>
        <w:t xml:space="preserve">). The analyses were carried out mainly by volumetric titration, with the use of a DR 3900 spectrophotometer and a flame photometer. The reliability of the results was verified </w:t>
      </w:r>
      <w:r w:rsidRPr="00487D50">
        <w:rPr>
          <w:rFonts w:ascii="Times New Roman" w:hAnsi="Times New Roman" w:cs="Times New Roman"/>
          <w:lang w:val="en-US"/>
        </w:rPr>
        <w:lastRenderedPageBreak/>
        <w:t>using the ionic balance (IB), with deviations remaining within the acceptable limit of ±5% (Domenico &amp; Schwartz, 1997). The ionic balance is calculated according to the following empirical relation (Eq. 1</w:t>
      </w:r>
      <w:proofErr w:type="gramStart"/>
      <w:r w:rsidRPr="00487D50">
        <w:rPr>
          <w:rFonts w:ascii="Times New Roman" w:hAnsi="Times New Roman" w:cs="Times New Roman"/>
          <w:lang w:val="en-US"/>
        </w:rPr>
        <w:t>)</w:t>
      </w:r>
      <w:r>
        <w:rPr>
          <w:rFonts w:ascii="Times New Roman" w:hAnsi="Times New Roman" w:cs="Times New Roman"/>
          <w:lang w:val="en-US"/>
        </w:rPr>
        <w:t xml:space="preserve"> </w:t>
      </w:r>
      <w:r w:rsidRPr="00487D50">
        <w:rPr>
          <w:rFonts w:ascii="Times New Roman" w:hAnsi="Times New Roman" w:cs="Times New Roman"/>
          <w:lang w:val="en-US"/>
        </w:rPr>
        <w:t>:</w:t>
      </w:r>
      <w:proofErr w:type="gramEnd"/>
    </w:p>
    <w:p w14:paraId="3D40DF79" w14:textId="77777777" w:rsidR="00487D50" w:rsidRPr="00487D50" w:rsidRDefault="00487D50" w:rsidP="00487D50">
      <w:pPr>
        <w:spacing w:line="360" w:lineRule="auto"/>
        <w:jc w:val="center"/>
        <w:rPr>
          <w:rFonts w:ascii="Times New Roman" w:hAnsi="Times New Roman" w:cs="Times New Roman"/>
          <w:b/>
          <w:bCs/>
          <w:lang w:val="en-US"/>
        </w:rPr>
      </w:pPr>
      <m:oMath>
        <m:r>
          <m:rPr>
            <m:sty m:val="bi"/>
          </m:rPr>
          <w:rPr>
            <w:rFonts w:ascii="Cambria Math" w:hAnsi="Cambria Math" w:cs="Times New Roman"/>
            <w:lang w:val="en-US"/>
          </w:rPr>
          <m:t xml:space="preserve">% </m:t>
        </m:r>
        <m:r>
          <m:rPr>
            <m:sty m:val="bi"/>
          </m:rPr>
          <w:rPr>
            <w:rFonts w:ascii="Cambria Math" w:hAnsi="Cambria Math" w:cs="Times New Roman"/>
          </w:rPr>
          <m:t>Charge</m:t>
        </m:r>
        <m:r>
          <m:rPr>
            <m:sty m:val="bi"/>
          </m:rPr>
          <w:rPr>
            <w:rFonts w:ascii="Cambria Math" w:hAnsi="Cambria Math" w:cs="Times New Roman"/>
            <w:lang w:val="en-US"/>
          </w:rPr>
          <m:t xml:space="preserve"> </m:t>
        </m:r>
        <m:r>
          <m:rPr>
            <m:sty m:val="bi"/>
          </m:rPr>
          <w:rPr>
            <w:rFonts w:ascii="Cambria Math" w:hAnsi="Cambria Math" w:cs="Times New Roman"/>
          </w:rPr>
          <m:t>Balance</m:t>
        </m:r>
        <m:r>
          <m:rPr>
            <m:sty m:val="bi"/>
          </m:rPr>
          <w:rPr>
            <w:rFonts w:ascii="Cambria Math" w:hAnsi="Cambria Math" w:cs="Times New Roman"/>
            <w:lang w:val="en-US"/>
          </w:rPr>
          <m:t xml:space="preserve"> </m:t>
        </m:r>
        <m:r>
          <m:rPr>
            <m:sty m:val="bi"/>
          </m:rPr>
          <w:rPr>
            <w:rFonts w:ascii="Cambria Math" w:hAnsi="Cambria Math" w:cs="Times New Roman"/>
          </w:rPr>
          <m:t>Error</m:t>
        </m:r>
        <m:r>
          <m:rPr>
            <m:sty m:val="bi"/>
          </m:rPr>
          <w:rPr>
            <w:rFonts w:ascii="Cambria Math" w:hAnsi="Cambria Math" w:cs="Times New Roman"/>
            <w:lang w:val="en-US"/>
          </w:rPr>
          <m:t xml:space="preserve"> </m:t>
        </m:r>
        <m:d>
          <m:dPr>
            <m:ctrlPr>
              <w:rPr>
                <w:rFonts w:ascii="Cambria Math" w:hAnsi="Cambria Math" w:cs="Times New Roman"/>
                <w:b/>
                <w:bCs/>
                <w:i/>
              </w:rPr>
            </m:ctrlPr>
          </m:dPr>
          <m:e>
            <m:r>
              <m:rPr>
                <m:sty m:val="bi"/>
              </m:rPr>
              <w:rPr>
                <w:rFonts w:ascii="Cambria Math" w:hAnsi="Cambria Math" w:cs="Times New Roman"/>
              </w:rPr>
              <m:t>CEB</m:t>
            </m:r>
          </m:e>
        </m:d>
        <m:r>
          <m:rPr>
            <m:sty m:val="b"/>
          </m:rPr>
          <w:rPr>
            <w:rFonts w:ascii="Cambria Math" w:hAnsi="Cambria Math" w:cs="Times New Roman"/>
            <w:lang w:val="en-US"/>
          </w:rPr>
          <m:t>=</m:t>
        </m:r>
        <m:f>
          <m:fPr>
            <m:ctrlPr>
              <w:rPr>
                <w:rFonts w:ascii="Cambria Math" w:hAnsi="Cambria Math" w:cs="Times New Roman"/>
                <w:b/>
                <w:bCs/>
              </w:rPr>
            </m:ctrlPr>
          </m:fPr>
          <m:num>
            <m:r>
              <m:rPr>
                <m:sty m:val="b"/>
              </m:rPr>
              <w:rPr>
                <w:rFonts w:ascii="Cambria Math" w:hAnsi="Cambria Math" w:cs="Times New Roman"/>
              </w:rPr>
              <m:t>εcations</m:t>
            </m:r>
            <m:r>
              <m:rPr>
                <m:sty m:val="b"/>
              </m:rPr>
              <w:rPr>
                <w:rFonts w:ascii="Cambria Math" w:hAnsi="Cambria Math" w:cs="Times New Roman"/>
                <w:lang w:val="en-US"/>
              </w:rPr>
              <m:t xml:space="preserve">- </m:t>
            </m:r>
            <m:r>
              <m:rPr>
                <m:sty m:val="b"/>
              </m:rPr>
              <w:rPr>
                <w:rFonts w:ascii="Cambria Math" w:hAnsi="Cambria Math" w:cs="Times New Roman"/>
              </w:rPr>
              <m:t>εanions</m:t>
            </m:r>
          </m:num>
          <m:den>
            <m:r>
              <m:rPr>
                <m:sty m:val="b"/>
              </m:rPr>
              <w:rPr>
                <w:rFonts w:ascii="Cambria Math" w:hAnsi="Cambria Math" w:cs="Times New Roman"/>
              </w:rPr>
              <m:t>εcations</m:t>
            </m:r>
            <m:r>
              <m:rPr>
                <m:sty m:val="b"/>
              </m:rPr>
              <w:rPr>
                <w:rFonts w:ascii="Cambria Math" w:hAnsi="Cambria Math" w:cs="Times New Roman"/>
                <w:lang w:val="en-US"/>
              </w:rPr>
              <m:t>+</m:t>
            </m:r>
            <m:r>
              <m:rPr>
                <m:sty m:val="b"/>
              </m:rPr>
              <w:rPr>
                <w:rFonts w:ascii="Cambria Math" w:hAnsi="Cambria Math" w:cs="Times New Roman"/>
              </w:rPr>
              <m:t>εanions</m:t>
            </m:r>
          </m:den>
        </m:f>
        <m:r>
          <m:rPr>
            <m:sty m:val="bi"/>
          </m:rPr>
          <w:rPr>
            <w:rFonts w:ascii="Cambria Math" w:hAnsi="Cambria Math" w:cs="Times New Roman"/>
            <w:lang w:val="en-US"/>
          </w:rPr>
          <m:t>*</m:t>
        </m:r>
        <m:r>
          <m:rPr>
            <m:sty m:val="bi"/>
          </m:rPr>
          <w:rPr>
            <w:rFonts w:ascii="Cambria Math" w:hAnsi="Cambria Math" w:cs="Times New Roman"/>
          </w:rPr>
          <m:t>100</m:t>
        </m:r>
      </m:oMath>
      <w:r w:rsidRPr="00487D50">
        <w:rPr>
          <w:rFonts w:ascii="Times New Roman" w:eastAsiaTheme="minorEastAsia" w:hAnsi="Times New Roman" w:cs="Times New Roman"/>
          <w:b/>
          <w:bCs/>
          <w:lang w:val="en-US"/>
        </w:rPr>
        <w:t xml:space="preserve">  (1)</w:t>
      </w:r>
    </w:p>
    <w:p w14:paraId="689AC73D" w14:textId="231B5B1B" w:rsidR="00487D50" w:rsidRPr="00487D50" w:rsidRDefault="00487D50" w:rsidP="00487D50">
      <w:pPr>
        <w:spacing w:after="0" w:line="360" w:lineRule="auto"/>
        <w:jc w:val="both"/>
        <w:rPr>
          <w:rFonts w:ascii="Times New Roman" w:hAnsi="Times New Roman" w:cs="Times New Roman"/>
          <w:lang w:val="en-US"/>
        </w:rPr>
      </w:pPr>
      <w:r w:rsidRPr="00487D50">
        <w:rPr>
          <w:rFonts w:ascii="Times New Roman" w:hAnsi="Times New Roman" w:cs="Times New Roman"/>
          <w:lang w:val="en-US"/>
        </w:rPr>
        <w:t>The bacteriological analysis of the samples was carried out at the National Water Laboratory (LNE), Mao provincial section, in order to determine total coliforms, Escherichia coli (E. coli), fecal enterococci, and aerobic flora. These analyses followed the general principles and protocols established by the LNE.</w:t>
      </w:r>
    </w:p>
    <w:p w14:paraId="225DA621" w14:textId="77777777" w:rsidR="009E1463" w:rsidRPr="00487D50" w:rsidRDefault="009E1463" w:rsidP="00487D50">
      <w:pPr>
        <w:spacing w:after="0" w:line="360" w:lineRule="auto"/>
        <w:jc w:val="both"/>
        <w:rPr>
          <w:rFonts w:ascii="Times New Roman" w:hAnsi="Times New Roman" w:cs="Times New Roman"/>
          <w:lang w:val="en-US"/>
        </w:rPr>
      </w:pPr>
    </w:p>
    <w:p w14:paraId="7D2E048B" w14:textId="77777777" w:rsidR="00487D50" w:rsidRPr="00487D50" w:rsidRDefault="00487D50" w:rsidP="00487D50">
      <w:pPr>
        <w:spacing w:after="0" w:line="360" w:lineRule="auto"/>
        <w:jc w:val="both"/>
        <w:rPr>
          <w:rFonts w:ascii="Times New Roman" w:hAnsi="Times New Roman" w:cs="Times New Roman"/>
          <w:b/>
          <w:bCs/>
          <w:lang w:val="en-US"/>
        </w:rPr>
      </w:pPr>
      <w:r w:rsidRPr="00487D50">
        <w:rPr>
          <w:rFonts w:ascii="Times New Roman" w:hAnsi="Times New Roman" w:cs="Times New Roman"/>
          <w:b/>
          <w:bCs/>
          <w:lang w:val="en-US"/>
        </w:rPr>
        <w:t>4. Results and Discussion</w:t>
      </w:r>
    </w:p>
    <w:p w14:paraId="697145D9" w14:textId="18B88CE8" w:rsidR="00487D50" w:rsidRDefault="00487D50" w:rsidP="00487D50">
      <w:pPr>
        <w:spacing w:after="0" w:line="360" w:lineRule="auto"/>
        <w:jc w:val="both"/>
        <w:rPr>
          <w:rFonts w:ascii="Times New Roman" w:hAnsi="Times New Roman" w:cs="Times New Roman"/>
          <w:b/>
          <w:bCs/>
          <w:lang w:val="en-US"/>
        </w:rPr>
      </w:pPr>
      <w:r w:rsidRPr="00487D50">
        <w:rPr>
          <w:rFonts w:ascii="Times New Roman" w:hAnsi="Times New Roman" w:cs="Times New Roman"/>
          <w:b/>
          <w:bCs/>
          <w:lang w:val="en-US"/>
        </w:rPr>
        <w:t xml:space="preserve">4.1 </w:t>
      </w:r>
      <w:r w:rsidR="00193B88" w:rsidRPr="00193B88">
        <w:rPr>
          <w:rFonts w:ascii="Times New Roman" w:hAnsi="Times New Roman" w:cs="Times New Roman"/>
          <w:b/>
          <w:bCs/>
          <w:lang w:val="en-US"/>
        </w:rPr>
        <w:t xml:space="preserve">Characteristics of </w:t>
      </w:r>
      <w:proofErr w:type="spellStart"/>
      <w:r w:rsidR="00193B88" w:rsidRPr="00193B88">
        <w:rPr>
          <w:rFonts w:ascii="Times New Roman" w:hAnsi="Times New Roman" w:cs="Times New Roman"/>
          <w:b/>
          <w:bCs/>
          <w:lang w:val="en-US"/>
        </w:rPr>
        <w:t>physico</w:t>
      </w:r>
      <w:proofErr w:type="spellEnd"/>
      <w:r w:rsidR="00193B88" w:rsidRPr="00193B88">
        <w:rPr>
          <w:rFonts w:ascii="Times New Roman" w:hAnsi="Times New Roman" w:cs="Times New Roman"/>
          <w:b/>
          <w:bCs/>
          <w:lang w:val="en-US"/>
        </w:rPr>
        <w:t>-chemical and chemical parameters</w:t>
      </w:r>
    </w:p>
    <w:p w14:paraId="2A7DAF55" w14:textId="4A1B4052" w:rsidR="00193B88" w:rsidRPr="00193B88" w:rsidRDefault="00193B88" w:rsidP="00193B88">
      <w:pPr>
        <w:spacing w:after="0" w:line="360" w:lineRule="auto"/>
        <w:jc w:val="both"/>
        <w:rPr>
          <w:rFonts w:ascii="Times New Roman" w:hAnsi="Times New Roman" w:cs="Times New Roman"/>
          <w:lang w:val="en-US"/>
        </w:rPr>
      </w:pPr>
      <w:r w:rsidRPr="00193B88">
        <w:rPr>
          <w:rFonts w:ascii="Times New Roman" w:hAnsi="Times New Roman" w:cs="Times New Roman"/>
          <w:lang w:val="en-US"/>
        </w:rPr>
        <w:t>The sampled groundwater exhibits pH values ranging from 6.30 to 7.34, with an average of 6.81, indicating slightly acidic to neutral waters.</w:t>
      </w:r>
      <w:r>
        <w:rPr>
          <w:rFonts w:ascii="Times New Roman" w:hAnsi="Times New Roman" w:cs="Times New Roman"/>
          <w:lang w:val="en-US"/>
        </w:rPr>
        <w:t xml:space="preserve"> </w:t>
      </w:r>
      <w:r w:rsidRPr="00193B88">
        <w:rPr>
          <w:rFonts w:ascii="Times New Roman" w:hAnsi="Times New Roman" w:cs="Times New Roman"/>
          <w:lang w:val="en-US"/>
        </w:rPr>
        <w:t xml:space="preserve">Electrical conductivity (EC) varies from 149.90 to 1441 </w:t>
      </w:r>
      <w:r w:rsidRPr="00193B88">
        <w:rPr>
          <w:rFonts w:ascii="Times New Roman" w:hAnsi="Times New Roman" w:cs="Times New Roman"/>
        </w:rPr>
        <w:t>μ</w:t>
      </w:r>
      <w:r w:rsidRPr="00193B88">
        <w:rPr>
          <w:rFonts w:ascii="Times New Roman" w:hAnsi="Times New Roman" w:cs="Times New Roman"/>
          <w:lang w:val="en-US"/>
        </w:rPr>
        <w:t xml:space="preserve">S/cm (average: 356.97 </w:t>
      </w:r>
      <w:r w:rsidRPr="00193B88">
        <w:rPr>
          <w:rFonts w:ascii="Times New Roman" w:hAnsi="Times New Roman" w:cs="Times New Roman"/>
        </w:rPr>
        <w:t>μ</w:t>
      </w:r>
      <w:r w:rsidRPr="00193B88">
        <w:rPr>
          <w:rFonts w:ascii="Times New Roman" w:hAnsi="Times New Roman" w:cs="Times New Roman"/>
          <w:lang w:val="en-US"/>
        </w:rPr>
        <w:t xml:space="preserve">S/cm), reflecting low mineralization and remaining well below the WHO guideline value of 2500 </w:t>
      </w:r>
      <w:r w:rsidRPr="00193B88">
        <w:rPr>
          <w:rFonts w:ascii="Times New Roman" w:hAnsi="Times New Roman" w:cs="Times New Roman"/>
        </w:rPr>
        <w:t>μ</w:t>
      </w:r>
      <w:r w:rsidRPr="00193B88">
        <w:rPr>
          <w:rFonts w:ascii="Times New Roman" w:hAnsi="Times New Roman" w:cs="Times New Roman"/>
          <w:lang w:val="en-US"/>
        </w:rPr>
        <w:t>S/cm. In direct relation to EC, total dissolved solids (TDS) range from 75.51 to 922.24 ppm (average: 206.09 ppm)</w:t>
      </w:r>
      <w:r w:rsidR="00F36391">
        <w:rPr>
          <w:rFonts w:ascii="Times New Roman" w:hAnsi="Times New Roman" w:cs="Times New Roman"/>
          <w:lang w:val="en-US"/>
        </w:rPr>
        <w:t xml:space="preserve"> (Table 1)</w:t>
      </w:r>
      <w:r w:rsidRPr="00193B88">
        <w:rPr>
          <w:rFonts w:ascii="Times New Roman" w:hAnsi="Times New Roman" w:cs="Times New Roman"/>
          <w:lang w:val="en-US"/>
        </w:rPr>
        <w:t>, also indicating moderate mineralization.</w:t>
      </w:r>
    </w:p>
    <w:p w14:paraId="32BC1B7C" w14:textId="1C68339D" w:rsidR="00193B88" w:rsidRPr="00193B88" w:rsidRDefault="00193B88" w:rsidP="00193B88">
      <w:pPr>
        <w:spacing w:after="0" w:line="360" w:lineRule="auto"/>
        <w:jc w:val="both"/>
        <w:rPr>
          <w:rFonts w:ascii="Times New Roman" w:hAnsi="Times New Roman" w:cs="Times New Roman"/>
          <w:lang w:val="en-US"/>
        </w:rPr>
      </w:pPr>
      <w:r w:rsidRPr="00193B88">
        <w:rPr>
          <w:rFonts w:ascii="Times New Roman" w:hAnsi="Times New Roman" w:cs="Times New Roman"/>
          <w:lang w:val="en-US"/>
        </w:rPr>
        <w:t>For major cations, the measured concentrations show notable variability</w:t>
      </w:r>
      <w:r w:rsidR="00F36391">
        <w:rPr>
          <w:rFonts w:ascii="Times New Roman" w:hAnsi="Times New Roman" w:cs="Times New Roman"/>
          <w:lang w:val="en-US"/>
        </w:rPr>
        <w:t xml:space="preserve"> (Table1)</w:t>
      </w:r>
      <w:r w:rsidRPr="00193B88">
        <w:rPr>
          <w:rFonts w:ascii="Times New Roman" w:hAnsi="Times New Roman" w:cs="Times New Roman"/>
          <w:lang w:val="en-US"/>
        </w:rPr>
        <w:t>:</w:t>
      </w:r>
    </w:p>
    <w:p w14:paraId="75772216" w14:textId="77777777" w:rsidR="00193B88" w:rsidRPr="00193B88" w:rsidRDefault="00193B88" w:rsidP="00193B88">
      <w:pPr>
        <w:numPr>
          <w:ilvl w:val="0"/>
          <w:numId w:val="6"/>
        </w:numPr>
        <w:spacing w:after="0" w:line="360" w:lineRule="auto"/>
        <w:jc w:val="both"/>
        <w:rPr>
          <w:rFonts w:ascii="Times New Roman" w:hAnsi="Times New Roman" w:cs="Times New Roman"/>
        </w:rPr>
      </w:pPr>
      <w:r w:rsidRPr="00193B88">
        <w:rPr>
          <w:rFonts w:ascii="Times New Roman" w:hAnsi="Times New Roman" w:cs="Times New Roman"/>
        </w:rPr>
        <w:t>Calcium (Ca²⁺): 0.80 to 4.2 mg/L</w:t>
      </w:r>
    </w:p>
    <w:p w14:paraId="76638F1D" w14:textId="77777777" w:rsidR="00193B88" w:rsidRPr="00193B88" w:rsidRDefault="00193B88" w:rsidP="00193B88">
      <w:pPr>
        <w:numPr>
          <w:ilvl w:val="0"/>
          <w:numId w:val="6"/>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Magnesium (Mg²⁺): 0.49 to 12.64 mg/L (average: 2.95 mg/L)</w:t>
      </w:r>
    </w:p>
    <w:p w14:paraId="647645BE" w14:textId="77777777" w:rsidR="00193B88" w:rsidRPr="00193B88" w:rsidRDefault="00193B88" w:rsidP="00193B88">
      <w:pPr>
        <w:numPr>
          <w:ilvl w:val="0"/>
          <w:numId w:val="6"/>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Sodium (Na⁺): 7.2 to 92.3 mg/L (average: 27.15 mg/L), reflecting the influence of selective adsorption by clay minerals</w:t>
      </w:r>
    </w:p>
    <w:p w14:paraId="285E6DC1" w14:textId="77777777" w:rsidR="00193B88" w:rsidRPr="00193B88" w:rsidRDefault="00193B88" w:rsidP="00193B88">
      <w:pPr>
        <w:numPr>
          <w:ilvl w:val="0"/>
          <w:numId w:val="6"/>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Potassium (K⁺): 0.90 to 56 mg/L (average: 9.75 mg/L), with some values exceeding the WHO limit of 12 mg/L</w:t>
      </w:r>
    </w:p>
    <w:p w14:paraId="49A555E3" w14:textId="3611313E" w:rsidR="00193B88" w:rsidRPr="00193B88" w:rsidRDefault="00193B88" w:rsidP="00193B88">
      <w:pPr>
        <w:spacing w:after="0" w:line="360" w:lineRule="auto"/>
        <w:jc w:val="both"/>
        <w:rPr>
          <w:rFonts w:ascii="Times New Roman" w:hAnsi="Times New Roman" w:cs="Times New Roman"/>
          <w:lang w:val="en-US"/>
        </w:rPr>
      </w:pPr>
      <w:r w:rsidRPr="00193B88">
        <w:rPr>
          <w:rFonts w:ascii="Times New Roman" w:hAnsi="Times New Roman" w:cs="Times New Roman"/>
          <w:lang w:val="en-US"/>
        </w:rPr>
        <w:t>Regarding anions, the concentrations recorded are generally low to moderate</w:t>
      </w:r>
      <w:r w:rsidR="00F36391">
        <w:rPr>
          <w:rFonts w:ascii="Times New Roman" w:hAnsi="Times New Roman" w:cs="Times New Roman"/>
          <w:lang w:val="en-US"/>
        </w:rPr>
        <w:t xml:space="preserve"> (Table1</w:t>
      </w:r>
      <w:proofErr w:type="gramStart"/>
      <w:r w:rsidR="00F36391">
        <w:rPr>
          <w:rFonts w:ascii="Times New Roman" w:hAnsi="Times New Roman" w:cs="Times New Roman"/>
          <w:lang w:val="en-US"/>
        </w:rPr>
        <w:t xml:space="preserve">) </w:t>
      </w:r>
      <w:r w:rsidRPr="00193B88">
        <w:rPr>
          <w:rFonts w:ascii="Times New Roman" w:hAnsi="Times New Roman" w:cs="Times New Roman"/>
          <w:lang w:val="en-US"/>
        </w:rPr>
        <w:t>:</w:t>
      </w:r>
      <w:proofErr w:type="gramEnd"/>
    </w:p>
    <w:p w14:paraId="128195AF" w14:textId="69614E42" w:rsidR="009E1463" w:rsidRPr="009E1463" w:rsidRDefault="009E1463" w:rsidP="009E1463">
      <w:pPr>
        <w:numPr>
          <w:ilvl w:val="0"/>
          <w:numId w:val="7"/>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 xml:space="preserve">Sulfates (SO₄²⁻): 9 to 301 mg/L (average: 52.59 mg/L); only the site of </w:t>
      </w:r>
      <w:proofErr w:type="spellStart"/>
      <w:r w:rsidRPr="00193B88">
        <w:rPr>
          <w:rFonts w:ascii="Times New Roman" w:hAnsi="Times New Roman" w:cs="Times New Roman"/>
          <w:lang w:val="en-US"/>
        </w:rPr>
        <w:t>Toussou</w:t>
      </w:r>
      <w:proofErr w:type="spellEnd"/>
      <w:r w:rsidRPr="00193B88">
        <w:rPr>
          <w:rFonts w:ascii="Times New Roman" w:hAnsi="Times New Roman" w:cs="Times New Roman"/>
          <w:i/>
          <w:iCs/>
          <w:lang w:val="en-US"/>
        </w:rPr>
        <w:t xml:space="preserve"> </w:t>
      </w:r>
      <w:proofErr w:type="spellStart"/>
      <w:r w:rsidRPr="00193B88">
        <w:rPr>
          <w:rFonts w:ascii="Times New Roman" w:hAnsi="Times New Roman" w:cs="Times New Roman"/>
          <w:lang w:val="en-US"/>
        </w:rPr>
        <w:t>Kankamari</w:t>
      </w:r>
      <w:proofErr w:type="spellEnd"/>
      <w:r w:rsidRPr="00193B88">
        <w:rPr>
          <w:rFonts w:ascii="Times New Roman" w:hAnsi="Times New Roman" w:cs="Times New Roman"/>
          <w:lang w:val="en-US"/>
        </w:rPr>
        <w:t xml:space="preserve"> exceeds the WHO/Chad guideline value (200 mg/L)</w:t>
      </w:r>
    </w:p>
    <w:p w14:paraId="66DCB7F5" w14:textId="23ABD7C6" w:rsidR="00193B88" w:rsidRPr="00193B88" w:rsidRDefault="00193B88" w:rsidP="00193B88">
      <w:pPr>
        <w:numPr>
          <w:ilvl w:val="0"/>
          <w:numId w:val="7"/>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Bicarbonates (HCO₃⁻): 4.88 to 103 mg/L (average: 15.53 mg/L)</w:t>
      </w:r>
    </w:p>
    <w:p w14:paraId="3C8A31AF" w14:textId="77777777" w:rsidR="00193B88" w:rsidRPr="00193B88" w:rsidRDefault="00193B88" w:rsidP="00193B88">
      <w:pPr>
        <w:numPr>
          <w:ilvl w:val="0"/>
          <w:numId w:val="7"/>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Chlorides (Cl⁻): 0.43 to 6 mg/L (average: 2.48 mg/L), well below the WHO guideline of 250 mg/L</w:t>
      </w:r>
    </w:p>
    <w:p w14:paraId="60053440" w14:textId="77777777" w:rsidR="00193B88" w:rsidRPr="00193B88" w:rsidRDefault="00193B88" w:rsidP="00193B88">
      <w:pPr>
        <w:numPr>
          <w:ilvl w:val="0"/>
          <w:numId w:val="7"/>
        </w:numPr>
        <w:spacing w:after="0" w:line="360" w:lineRule="auto"/>
        <w:jc w:val="both"/>
        <w:rPr>
          <w:rFonts w:ascii="Times New Roman" w:hAnsi="Times New Roman" w:cs="Times New Roman"/>
          <w:lang w:val="en-US"/>
        </w:rPr>
      </w:pPr>
      <w:r w:rsidRPr="00193B88">
        <w:rPr>
          <w:rFonts w:ascii="Times New Roman" w:hAnsi="Times New Roman" w:cs="Times New Roman"/>
          <w:lang w:val="en-US"/>
        </w:rPr>
        <w:t>Nitrates (NO₃⁻): 0 to 48.3 mg/L (average: 23.35 mg/L), mainly attributed to anthropogenic activities (fertilizers, domestic effluents), while remaining below the WHO limit of 50 mg/L</w:t>
      </w:r>
    </w:p>
    <w:p w14:paraId="06132D58" w14:textId="1B6A668B" w:rsidR="005A28F7" w:rsidRDefault="00193B88" w:rsidP="00487D50">
      <w:pPr>
        <w:spacing w:after="0" w:line="360" w:lineRule="auto"/>
        <w:jc w:val="both"/>
        <w:rPr>
          <w:rFonts w:ascii="Times New Roman" w:hAnsi="Times New Roman" w:cs="Times New Roman"/>
          <w:lang w:val="en-US"/>
        </w:rPr>
      </w:pPr>
      <w:r w:rsidRPr="00193B88">
        <w:rPr>
          <w:rFonts w:ascii="Times New Roman" w:hAnsi="Times New Roman" w:cs="Times New Roman"/>
          <w:lang w:val="en-US"/>
        </w:rPr>
        <w:lastRenderedPageBreak/>
        <w:t xml:space="preserve">Finally, iron (Fe) concentrations range from 0.1 to 4.55 mg/L, with several water points exceeding the WHO limit of </w:t>
      </w:r>
      <w:r w:rsidRPr="001426B1">
        <w:rPr>
          <w:rFonts w:ascii="Times New Roman" w:hAnsi="Times New Roman" w:cs="Times New Roman"/>
          <w:highlight w:val="yellow"/>
          <w:lang w:val="en-US"/>
        </w:rPr>
        <w:t>0.3</w:t>
      </w:r>
      <w:r w:rsidRPr="00193B88">
        <w:rPr>
          <w:rFonts w:ascii="Times New Roman" w:hAnsi="Times New Roman" w:cs="Times New Roman"/>
          <w:lang w:val="en-US"/>
        </w:rPr>
        <w:t xml:space="preserve"> mg/L, suggesting possible contamination linked to well infrastructure (iron piping) or geochemical conditions favoring iron dissolution.</w:t>
      </w:r>
    </w:p>
    <w:p w14:paraId="0575836D" w14:textId="7913C255" w:rsidR="005A28F7" w:rsidRDefault="005A28F7" w:rsidP="005A28F7">
      <w:pPr>
        <w:spacing w:before="240" w:line="360" w:lineRule="auto"/>
        <w:jc w:val="both"/>
        <w:rPr>
          <w:rFonts w:ascii="Times New Roman" w:hAnsi="Times New Roman" w:cs="Times New Roman"/>
          <w:lang w:val="en-US"/>
        </w:rPr>
      </w:pPr>
      <w:r w:rsidRPr="005A28F7">
        <w:rPr>
          <w:rFonts w:ascii="Times New Roman" w:hAnsi="Times New Roman" w:cs="Times New Roman"/>
          <w:b/>
          <w:bCs/>
          <w:lang w:val="en-US"/>
        </w:rPr>
        <w:t>Table 1</w:t>
      </w:r>
      <w:r w:rsidRPr="005A28F7">
        <w:rPr>
          <w:rFonts w:ascii="Times New Roman" w:hAnsi="Times New Roman" w:cs="Times New Roman"/>
          <w:lang w:val="en-US"/>
        </w:rPr>
        <w:t xml:space="preserve">: Descriptive statistics of </w:t>
      </w:r>
      <w:proofErr w:type="spellStart"/>
      <w:r w:rsidRPr="005A28F7">
        <w:rPr>
          <w:rFonts w:ascii="Times New Roman" w:hAnsi="Times New Roman" w:cs="Times New Roman"/>
          <w:lang w:val="en-US"/>
        </w:rPr>
        <w:t>physico</w:t>
      </w:r>
      <w:proofErr w:type="spellEnd"/>
      <w:r w:rsidRPr="005A28F7">
        <w:rPr>
          <w:rFonts w:ascii="Times New Roman" w:hAnsi="Times New Roman" w:cs="Times New Roman"/>
          <w:lang w:val="en-US"/>
        </w:rPr>
        <w:t>-chemical and chemical parameters</w:t>
      </w: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566"/>
        <w:gridCol w:w="854"/>
        <w:gridCol w:w="766"/>
        <w:gridCol w:w="672"/>
        <w:gridCol w:w="766"/>
        <w:gridCol w:w="672"/>
        <w:gridCol w:w="672"/>
        <w:gridCol w:w="772"/>
        <w:gridCol w:w="672"/>
        <w:gridCol w:w="672"/>
        <w:gridCol w:w="672"/>
        <w:gridCol w:w="672"/>
        <w:gridCol w:w="672"/>
      </w:tblGrid>
      <w:tr w:rsidR="005A28F7" w:rsidRPr="00856B60" w14:paraId="29EF8197" w14:textId="77777777" w:rsidTr="008E414C">
        <w:trPr>
          <w:trHeight w:val="246"/>
        </w:trPr>
        <w:tc>
          <w:tcPr>
            <w:tcW w:w="939" w:type="dxa"/>
            <w:noWrap/>
            <w:vAlign w:val="bottom"/>
            <w:hideMark/>
          </w:tcPr>
          <w:p w14:paraId="27EE884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Sites</w:t>
            </w:r>
          </w:p>
        </w:tc>
        <w:tc>
          <w:tcPr>
            <w:tcW w:w="529" w:type="dxa"/>
            <w:noWrap/>
            <w:vAlign w:val="bottom"/>
            <w:hideMark/>
          </w:tcPr>
          <w:p w14:paraId="04EFA334"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 xml:space="preserve">pH  </w:t>
            </w:r>
          </w:p>
        </w:tc>
        <w:tc>
          <w:tcPr>
            <w:tcW w:w="798" w:type="dxa"/>
            <w:noWrap/>
            <w:vAlign w:val="bottom"/>
            <w:hideMark/>
          </w:tcPr>
          <w:p w14:paraId="7854C253"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C 25°</w:t>
            </w:r>
          </w:p>
        </w:tc>
        <w:tc>
          <w:tcPr>
            <w:tcW w:w="716" w:type="dxa"/>
            <w:noWrap/>
            <w:vAlign w:val="bottom"/>
            <w:hideMark/>
          </w:tcPr>
          <w:p w14:paraId="66AFF272"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TDS</w:t>
            </w:r>
          </w:p>
        </w:tc>
        <w:tc>
          <w:tcPr>
            <w:tcW w:w="628" w:type="dxa"/>
            <w:noWrap/>
            <w:vAlign w:val="bottom"/>
            <w:hideMark/>
          </w:tcPr>
          <w:p w14:paraId="06F4E8D8"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Ca</w:t>
            </w:r>
          </w:p>
        </w:tc>
        <w:tc>
          <w:tcPr>
            <w:tcW w:w="716" w:type="dxa"/>
            <w:noWrap/>
            <w:vAlign w:val="bottom"/>
            <w:hideMark/>
          </w:tcPr>
          <w:p w14:paraId="7C954962"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 xml:space="preserve">Mg </w:t>
            </w:r>
          </w:p>
        </w:tc>
        <w:tc>
          <w:tcPr>
            <w:tcW w:w="628" w:type="dxa"/>
            <w:noWrap/>
            <w:vAlign w:val="bottom"/>
            <w:hideMark/>
          </w:tcPr>
          <w:p w14:paraId="062D272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K</w:t>
            </w:r>
          </w:p>
        </w:tc>
        <w:tc>
          <w:tcPr>
            <w:tcW w:w="628" w:type="dxa"/>
            <w:noWrap/>
            <w:vAlign w:val="bottom"/>
            <w:hideMark/>
          </w:tcPr>
          <w:p w14:paraId="0D446C20"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Na</w:t>
            </w:r>
          </w:p>
        </w:tc>
        <w:tc>
          <w:tcPr>
            <w:tcW w:w="721" w:type="dxa"/>
            <w:noWrap/>
            <w:vAlign w:val="bottom"/>
            <w:hideMark/>
          </w:tcPr>
          <w:p w14:paraId="14F4B064"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HCO3</w:t>
            </w:r>
          </w:p>
        </w:tc>
        <w:tc>
          <w:tcPr>
            <w:tcW w:w="628" w:type="dxa"/>
            <w:noWrap/>
            <w:vAlign w:val="bottom"/>
            <w:hideMark/>
          </w:tcPr>
          <w:p w14:paraId="0A1F989D"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Cl</w:t>
            </w:r>
          </w:p>
        </w:tc>
        <w:tc>
          <w:tcPr>
            <w:tcW w:w="628" w:type="dxa"/>
            <w:noWrap/>
            <w:vAlign w:val="bottom"/>
            <w:hideMark/>
          </w:tcPr>
          <w:p w14:paraId="792E7FEB"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SO4</w:t>
            </w:r>
          </w:p>
        </w:tc>
        <w:tc>
          <w:tcPr>
            <w:tcW w:w="628" w:type="dxa"/>
            <w:noWrap/>
            <w:vAlign w:val="bottom"/>
            <w:hideMark/>
          </w:tcPr>
          <w:p w14:paraId="07EE661E"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NO3</w:t>
            </w:r>
          </w:p>
        </w:tc>
        <w:tc>
          <w:tcPr>
            <w:tcW w:w="628" w:type="dxa"/>
            <w:noWrap/>
            <w:vAlign w:val="bottom"/>
            <w:hideMark/>
          </w:tcPr>
          <w:p w14:paraId="5FD0373B"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Fe</w:t>
            </w:r>
          </w:p>
        </w:tc>
        <w:tc>
          <w:tcPr>
            <w:tcW w:w="628" w:type="dxa"/>
            <w:noWrap/>
            <w:vAlign w:val="bottom"/>
            <w:hideMark/>
          </w:tcPr>
          <w:p w14:paraId="51E3C453"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NH4</w:t>
            </w:r>
          </w:p>
        </w:tc>
      </w:tr>
      <w:tr w:rsidR="005A28F7" w:rsidRPr="00856B60" w14:paraId="0C8E2298" w14:textId="77777777" w:rsidTr="008E414C">
        <w:trPr>
          <w:trHeight w:val="246"/>
        </w:trPr>
        <w:tc>
          <w:tcPr>
            <w:tcW w:w="939" w:type="dxa"/>
            <w:noWrap/>
            <w:vAlign w:val="bottom"/>
            <w:hideMark/>
          </w:tcPr>
          <w:p w14:paraId="644B44B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proofErr w:type="spellStart"/>
            <w:r w:rsidRPr="00856B60">
              <w:rPr>
                <w:rFonts w:ascii="Times New Roman" w:eastAsia="Times New Roman" w:hAnsi="Times New Roman" w:cs="Times New Roman"/>
                <w:b/>
                <w:bCs/>
                <w:color w:val="000000"/>
                <w:kern w:val="0"/>
                <w:sz w:val="20"/>
                <w:szCs w:val="20"/>
                <w14:ligatures w14:val="none"/>
              </w:rPr>
              <w:t>Unités</w:t>
            </w:r>
            <w:proofErr w:type="spellEnd"/>
          </w:p>
        </w:tc>
        <w:tc>
          <w:tcPr>
            <w:tcW w:w="529" w:type="dxa"/>
            <w:noWrap/>
            <w:vAlign w:val="bottom"/>
            <w:hideMark/>
          </w:tcPr>
          <w:p w14:paraId="3698DA0E"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p>
        </w:tc>
        <w:tc>
          <w:tcPr>
            <w:tcW w:w="798" w:type="dxa"/>
            <w:noWrap/>
            <w:vAlign w:val="bottom"/>
            <w:hideMark/>
          </w:tcPr>
          <w:p w14:paraId="20F22B4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(µs/cm)</w:t>
            </w:r>
          </w:p>
        </w:tc>
        <w:tc>
          <w:tcPr>
            <w:tcW w:w="716" w:type="dxa"/>
            <w:noWrap/>
            <w:vAlign w:val="bottom"/>
            <w:hideMark/>
          </w:tcPr>
          <w:p w14:paraId="0573BEC8"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ppm</w:t>
            </w:r>
          </w:p>
        </w:tc>
        <w:tc>
          <w:tcPr>
            <w:tcW w:w="628" w:type="dxa"/>
            <w:noWrap/>
            <w:vAlign w:val="bottom"/>
            <w:hideMark/>
          </w:tcPr>
          <w:p w14:paraId="446AACAA"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716" w:type="dxa"/>
            <w:noWrap/>
            <w:vAlign w:val="bottom"/>
            <w:hideMark/>
          </w:tcPr>
          <w:p w14:paraId="4B6EBD77"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7267518C"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00B06777"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721" w:type="dxa"/>
            <w:noWrap/>
            <w:vAlign w:val="bottom"/>
            <w:hideMark/>
          </w:tcPr>
          <w:p w14:paraId="0A7E0099"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1EE9A22F"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03FFB7B0"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0436852A"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3A9F4A27"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c>
          <w:tcPr>
            <w:tcW w:w="628" w:type="dxa"/>
            <w:noWrap/>
            <w:vAlign w:val="bottom"/>
            <w:hideMark/>
          </w:tcPr>
          <w:p w14:paraId="0BEC8A9B"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mg/L</w:t>
            </w:r>
          </w:p>
        </w:tc>
      </w:tr>
      <w:tr w:rsidR="005A28F7" w:rsidRPr="00856B60" w14:paraId="2C24FDBC" w14:textId="77777777" w:rsidTr="008E414C">
        <w:trPr>
          <w:trHeight w:val="246"/>
        </w:trPr>
        <w:tc>
          <w:tcPr>
            <w:tcW w:w="939" w:type="dxa"/>
            <w:noWrap/>
            <w:vAlign w:val="bottom"/>
            <w:hideMark/>
          </w:tcPr>
          <w:p w14:paraId="43D1E33B"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w:t>
            </w:r>
          </w:p>
        </w:tc>
        <w:tc>
          <w:tcPr>
            <w:tcW w:w="529" w:type="dxa"/>
            <w:noWrap/>
            <w:vAlign w:val="bottom"/>
            <w:hideMark/>
          </w:tcPr>
          <w:p w14:paraId="6607293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7.17</w:t>
            </w:r>
          </w:p>
        </w:tc>
        <w:tc>
          <w:tcPr>
            <w:tcW w:w="798" w:type="dxa"/>
            <w:noWrap/>
            <w:vAlign w:val="bottom"/>
            <w:hideMark/>
          </w:tcPr>
          <w:p w14:paraId="3BC6356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359.2</w:t>
            </w:r>
          </w:p>
        </w:tc>
        <w:tc>
          <w:tcPr>
            <w:tcW w:w="716" w:type="dxa"/>
            <w:noWrap/>
            <w:vAlign w:val="bottom"/>
            <w:hideMark/>
          </w:tcPr>
          <w:p w14:paraId="3DFC3A6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181.03</w:t>
            </w:r>
          </w:p>
        </w:tc>
        <w:tc>
          <w:tcPr>
            <w:tcW w:w="628" w:type="dxa"/>
            <w:noWrap/>
            <w:vAlign w:val="bottom"/>
            <w:hideMark/>
          </w:tcPr>
          <w:p w14:paraId="1059C79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5F4B49A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2.916</w:t>
            </w:r>
          </w:p>
        </w:tc>
        <w:tc>
          <w:tcPr>
            <w:tcW w:w="628" w:type="dxa"/>
            <w:noWrap/>
            <w:vAlign w:val="bottom"/>
            <w:hideMark/>
          </w:tcPr>
          <w:p w14:paraId="66550B9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w:t>
            </w:r>
          </w:p>
        </w:tc>
        <w:tc>
          <w:tcPr>
            <w:tcW w:w="628" w:type="dxa"/>
            <w:noWrap/>
            <w:vAlign w:val="bottom"/>
            <w:hideMark/>
          </w:tcPr>
          <w:p w14:paraId="67AA991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w:t>
            </w:r>
          </w:p>
        </w:tc>
        <w:tc>
          <w:tcPr>
            <w:tcW w:w="721" w:type="dxa"/>
            <w:noWrap/>
            <w:vAlign w:val="bottom"/>
            <w:hideMark/>
          </w:tcPr>
          <w:p w14:paraId="16BFDD2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5993D3D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1731F10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53</w:t>
            </w:r>
          </w:p>
        </w:tc>
        <w:tc>
          <w:tcPr>
            <w:tcW w:w="628" w:type="dxa"/>
            <w:noWrap/>
            <w:vAlign w:val="bottom"/>
            <w:hideMark/>
          </w:tcPr>
          <w:p w14:paraId="71F8C6A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26.7</w:t>
            </w:r>
          </w:p>
        </w:tc>
        <w:tc>
          <w:tcPr>
            <w:tcW w:w="628" w:type="dxa"/>
            <w:noWrap/>
            <w:vAlign w:val="bottom"/>
            <w:hideMark/>
          </w:tcPr>
          <w:p w14:paraId="6FE8D89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1.03</w:t>
            </w:r>
          </w:p>
        </w:tc>
        <w:tc>
          <w:tcPr>
            <w:tcW w:w="628" w:type="dxa"/>
            <w:noWrap/>
            <w:vAlign w:val="bottom"/>
            <w:hideMark/>
          </w:tcPr>
          <w:p w14:paraId="52CA0B6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2.68</w:t>
            </w:r>
          </w:p>
        </w:tc>
      </w:tr>
      <w:tr w:rsidR="005A28F7" w:rsidRPr="00856B60" w14:paraId="0814C1DB" w14:textId="77777777" w:rsidTr="008E414C">
        <w:trPr>
          <w:trHeight w:val="246"/>
        </w:trPr>
        <w:tc>
          <w:tcPr>
            <w:tcW w:w="939" w:type="dxa"/>
            <w:noWrap/>
            <w:vAlign w:val="bottom"/>
            <w:hideMark/>
          </w:tcPr>
          <w:p w14:paraId="2226E46C"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P2</w:t>
            </w:r>
          </w:p>
        </w:tc>
        <w:tc>
          <w:tcPr>
            <w:tcW w:w="529" w:type="dxa"/>
            <w:noWrap/>
            <w:vAlign w:val="bottom"/>
            <w:hideMark/>
          </w:tcPr>
          <w:p w14:paraId="4915D5E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6.57</w:t>
            </w:r>
          </w:p>
        </w:tc>
        <w:tc>
          <w:tcPr>
            <w:tcW w:w="798" w:type="dxa"/>
            <w:noWrap/>
            <w:vAlign w:val="bottom"/>
            <w:hideMark/>
          </w:tcPr>
          <w:p w14:paraId="65BAFFF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187.7</w:t>
            </w:r>
          </w:p>
        </w:tc>
        <w:tc>
          <w:tcPr>
            <w:tcW w:w="716" w:type="dxa"/>
            <w:noWrap/>
            <w:vAlign w:val="bottom"/>
            <w:hideMark/>
          </w:tcPr>
          <w:p w14:paraId="51FB724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94.6</w:t>
            </w:r>
          </w:p>
        </w:tc>
        <w:tc>
          <w:tcPr>
            <w:tcW w:w="628" w:type="dxa"/>
            <w:noWrap/>
            <w:vAlign w:val="bottom"/>
            <w:hideMark/>
          </w:tcPr>
          <w:p w14:paraId="365C518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0EAFACC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0.486</w:t>
            </w:r>
          </w:p>
        </w:tc>
        <w:tc>
          <w:tcPr>
            <w:tcW w:w="628" w:type="dxa"/>
            <w:noWrap/>
            <w:vAlign w:val="bottom"/>
            <w:hideMark/>
          </w:tcPr>
          <w:p w14:paraId="04847C9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w:t>
            </w:r>
          </w:p>
        </w:tc>
        <w:tc>
          <w:tcPr>
            <w:tcW w:w="628" w:type="dxa"/>
            <w:noWrap/>
            <w:vAlign w:val="bottom"/>
            <w:hideMark/>
          </w:tcPr>
          <w:p w14:paraId="69AC004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10.3</w:t>
            </w:r>
          </w:p>
        </w:tc>
        <w:tc>
          <w:tcPr>
            <w:tcW w:w="721" w:type="dxa"/>
            <w:noWrap/>
            <w:vAlign w:val="bottom"/>
            <w:hideMark/>
          </w:tcPr>
          <w:p w14:paraId="0693545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9.76</w:t>
            </w:r>
          </w:p>
        </w:tc>
        <w:tc>
          <w:tcPr>
            <w:tcW w:w="628" w:type="dxa"/>
            <w:noWrap/>
            <w:vAlign w:val="bottom"/>
            <w:hideMark/>
          </w:tcPr>
          <w:p w14:paraId="5D17A8C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w:t>
            </w:r>
          </w:p>
        </w:tc>
        <w:tc>
          <w:tcPr>
            <w:tcW w:w="628" w:type="dxa"/>
            <w:noWrap/>
            <w:vAlign w:val="bottom"/>
            <w:hideMark/>
          </w:tcPr>
          <w:p w14:paraId="6FB2E15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w:t>
            </w:r>
          </w:p>
        </w:tc>
        <w:tc>
          <w:tcPr>
            <w:tcW w:w="628" w:type="dxa"/>
            <w:noWrap/>
            <w:vAlign w:val="bottom"/>
            <w:hideMark/>
          </w:tcPr>
          <w:p w14:paraId="3C7AA00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w:t>
            </w:r>
          </w:p>
        </w:tc>
        <w:tc>
          <w:tcPr>
            <w:tcW w:w="628" w:type="dxa"/>
            <w:noWrap/>
            <w:vAlign w:val="bottom"/>
            <w:hideMark/>
          </w:tcPr>
          <w:p w14:paraId="475A81B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0.2</w:t>
            </w:r>
          </w:p>
        </w:tc>
        <w:tc>
          <w:tcPr>
            <w:tcW w:w="628" w:type="dxa"/>
            <w:noWrap/>
            <w:vAlign w:val="bottom"/>
            <w:hideMark/>
          </w:tcPr>
          <w:p w14:paraId="762F1A6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2.81</w:t>
            </w:r>
          </w:p>
        </w:tc>
      </w:tr>
      <w:tr w:rsidR="005A28F7" w:rsidRPr="00856B60" w14:paraId="5DBCC44C" w14:textId="77777777" w:rsidTr="008E414C">
        <w:trPr>
          <w:trHeight w:val="246"/>
        </w:trPr>
        <w:tc>
          <w:tcPr>
            <w:tcW w:w="939" w:type="dxa"/>
            <w:noWrap/>
            <w:vAlign w:val="bottom"/>
            <w:hideMark/>
          </w:tcPr>
          <w:p w14:paraId="1F5D9958"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P3</w:t>
            </w:r>
          </w:p>
        </w:tc>
        <w:tc>
          <w:tcPr>
            <w:tcW w:w="529" w:type="dxa"/>
            <w:noWrap/>
            <w:vAlign w:val="bottom"/>
            <w:hideMark/>
          </w:tcPr>
          <w:p w14:paraId="64D093F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w:t>
            </w:r>
          </w:p>
        </w:tc>
        <w:tc>
          <w:tcPr>
            <w:tcW w:w="798" w:type="dxa"/>
            <w:noWrap/>
            <w:vAlign w:val="bottom"/>
            <w:hideMark/>
          </w:tcPr>
          <w:p w14:paraId="30C86FA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156.1</w:t>
            </w:r>
          </w:p>
        </w:tc>
        <w:tc>
          <w:tcPr>
            <w:tcW w:w="716" w:type="dxa"/>
            <w:noWrap/>
            <w:vAlign w:val="bottom"/>
            <w:hideMark/>
          </w:tcPr>
          <w:p w14:paraId="146F164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78.7</w:t>
            </w:r>
          </w:p>
        </w:tc>
        <w:tc>
          <w:tcPr>
            <w:tcW w:w="628" w:type="dxa"/>
            <w:noWrap/>
            <w:vAlign w:val="bottom"/>
            <w:hideMark/>
          </w:tcPr>
          <w:p w14:paraId="04B5A03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46D1423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0.972</w:t>
            </w:r>
          </w:p>
        </w:tc>
        <w:tc>
          <w:tcPr>
            <w:tcW w:w="628" w:type="dxa"/>
            <w:noWrap/>
            <w:vAlign w:val="bottom"/>
            <w:hideMark/>
          </w:tcPr>
          <w:p w14:paraId="64E5193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8.9</w:t>
            </w:r>
          </w:p>
        </w:tc>
        <w:tc>
          <w:tcPr>
            <w:tcW w:w="628" w:type="dxa"/>
            <w:noWrap/>
            <w:vAlign w:val="bottom"/>
            <w:hideMark/>
          </w:tcPr>
          <w:p w14:paraId="4404E41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16.3</w:t>
            </w:r>
          </w:p>
        </w:tc>
        <w:tc>
          <w:tcPr>
            <w:tcW w:w="721" w:type="dxa"/>
            <w:noWrap/>
            <w:vAlign w:val="bottom"/>
            <w:hideMark/>
          </w:tcPr>
          <w:p w14:paraId="0AAE238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9.76</w:t>
            </w:r>
          </w:p>
        </w:tc>
        <w:tc>
          <w:tcPr>
            <w:tcW w:w="628" w:type="dxa"/>
            <w:noWrap/>
            <w:vAlign w:val="bottom"/>
            <w:hideMark/>
          </w:tcPr>
          <w:p w14:paraId="559623E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7BECF6D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w:t>
            </w:r>
          </w:p>
        </w:tc>
        <w:tc>
          <w:tcPr>
            <w:tcW w:w="628" w:type="dxa"/>
            <w:noWrap/>
            <w:vAlign w:val="bottom"/>
            <w:hideMark/>
          </w:tcPr>
          <w:p w14:paraId="4CC580D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41</w:t>
            </w:r>
          </w:p>
        </w:tc>
        <w:tc>
          <w:tcPr>
            <w:tcW w:w="628" w:type="dxa"/>
            <w:noWrap/>
            <w:vAlign w:val="bottom"/>
            <w:hideMark/>
          </w:tcPr>
          <w:p w14:paraId="4FECE54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4.55</w:t>
            </w:r>
          </w:p>
        </w:tc>
        <w:tc>
          <w:tcPr>
            <w:tcW w:w="628" w:type="dxa"/>
            <w:noWrap/>
            <w:vAlign w:val="bottom"/>
            <w:hideMark/>
          </w:tcPr>
          <w:p w14:paraId="4E2432C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2.69</w:t>
            </w:r>
          </w:p>
        </w:tc>
      </w:tr>
      <w:tr w:rsidR="005A28F7" w:rsidRPr="00856B60" w14:paraId="36BBE4EA" w14:textId="77777777" w:rsidTr="008E414C">
        <w:trPr>
          <w:trHeight w:val="246"/>
        </w:trPr>
        <w:tc>
          <w:tcPr>
            <w:tcW w:w="939" w:type="dxa"/>
            <w:noWrap/>
            <w:vAlign w:val="bottom"/>
            <w:hideMark/>
          </w:tcPr>
          <w:p w14:paraId="2DC386CE"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P4</w:t>
            </w:r>
          </w:p>
        </w:tc>
        <w:tc>
          <w:tcPr>
            <w:tcW w:w="529" w:type="dxa"/>
            <w:noWrap/>
            <w:vAlign w:val="bottom"/>
            <w:hideMark/>
          </w:tcPr>
          <w:p w14:paraId="4117559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6.67</w:t>
            </w:r>
          </w:p>
        </w:tc>
        <w:tc>
          <w:tcPr>
            <w:tcW w:w="798" w:type="dxa"/>
            <w:noWrap/>
            <w:vAlign w:val="bottom"/>
            <w:hideMark/>
          </w:tcPr>
          <w:p w14:paraId="373B6A0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260.6</w:t>
            </w:r>
          </w:p>
        </w:tc>
        <w:tc>
          <w:tcPr>
            <w:tcW w:w="716" w:type="dxa"/>
            <w:noWrap/>
            <w:vAlign w:val="bottom"/>
            <w:hideMark/>
          </w:tcPr>
          <w:p w14:paraId="7D5E94A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131.34</w:t>
            </w:r>
          </w:p>
        </w:tc>
        <w:tc>
          <w:tcPr>
            <w:tcW w:w="628" w:type="dxa"/>
            <w:noWrap/>
            <w:vAlign w:val="bottom"/>
            <w:hideMark/>
          </w:tcPr>
          <w:p w14:paraId="3078F6C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2B9EECC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5.832</w:t>
            </w:r>
          </w:p>
        </w:tc>
        <w:tc>
          <w:tcPr>
            <w:tcW w:w="628" w:type="dxa"/>
            <w:noWrap/>
            <w:vAlign w:val="bottom"/>
            <w:hideMark/>
          </w:tcPr>
          <w:p w14:paraId="0AEF788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w:t>
            </w:r>
          </w:p>
        </w:tc>
        <w:tc>
          <w:tcPr>
            <w:tcW w:w="628" w:type="dxa"/>
            <w:noWrap/>
            <w:vAlign w:val="bottom"/>
            <w:hideMark/>
          </w:tcPr>
          <w:p w14:paraId="1FEE7BE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w:t>
            </w:r>
          </w:p>
        </w:tc>
        <w:tc>
          <w:tcPr>
            <w:tcW w:w="721" w:type="dxa"/>
            <w:noWrap/>
            <w:vAlign w:val="bottom"/>
            <w:hideMark/>
          </w:tcPr>
          <w:p w14:paraId="1B14FA2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9.76</w:t>
            </w:r>
          </w:p>
        </w:tc>
        <w:tc>
          <w:tcPr>
            <w:tcW w:w="628" w:type="dxa"/>
            <w:noWrap/>
            <w:vAlign w:val="bottom"/>
            <w:hideMark/>
          </w:tcPr>
          <w:p w14:paraId="0ECCA55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w:t>
            </w:r>
          </w:p>
        </w:tc>
        <w:tc>
          <w:tcPr>
            <w:tcW w:w="628" w:type="dxa"/>
            <w:noWrap/>
            <w:vAlign w:val="bottom"/>
            <w:hideMark/>
          </w:tcPr>
          <w:p w14:paraId="5BEF12C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49</w:t>
            </w:r>
          </w:p>
        </w:tc>
        <w:tc>
          <w:tcPr>
            <w:tcW w:w="628" w:type="dxa"/>
            <w:noWrap/>
            <w:vAlign w:val="bottom"/>
            <w:hideMark/>
          </w:tcPr>
          <w:p w14:paraId="7DAF596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10.8</w:t>
            </w:r>
          </w:p>
        </w:tc>
        <w:tc>
          <w:tcPr>
            <w:tcW w:w="628" w:type="dxa"/>
            <w:noWrap/>
            <w:vAlign w:val="bottom"/>
            <w:hideMark/>
          </w:tcPr>
          <w:p w14:paraId="4B05450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2.08</w:t>
            </w:r>
          </w:p>
        </w:tc>
        <w:tc>
          <w:tcPr>
            <w:tcW w:w="628" w:type="dxa"/>
            <w:noWrap/>
            <w:vAlign w:val="bottom"/>
            <w:hideMark/>
          </w:tcPr>
          <w:p w14:paraId="243595A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1.54</w:t>
            </w:r>
          </w:p>
        </w:tc>
      </w:tr>
      <w:tr w:rsidR="005A28F7" w:rsidRPr="00856B60" w14:paraId="703A5E5F" w14:textId="77777777" w:rsidTr="008E414C">
        <w:trPr>
          <w:trHeight w:val="246"/>
        </w:trPr>
        <w:tc>
          <w:tcPr>
            <w:tcW w:w="939" w:type="dxa"/>
            <w:noWrap/>
            <w:vAlign w:val="bottom"/>
            <w:hideMark/>
          </w:tcPr>
          <w:p w14:paraId="6149C165"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P5</w:t>
            </w:r>
          </w:p>
        </w:tc>
        <w:tc>
          <w:tcPr>
            <w:tcW w:w="529" w:type="dxa"/>
            <w:noWrap/>
            <w:vAlign w:val="bottom"/>
            <w:hideMark/>
          </w:tcPr>
          <w:p w14:paraId="658D181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6.53</w:t>
            </w:r>
          </w:p>
        </w:tc>
        <w:tc>
          <w:tcPr>
            <w:tcW w:w="798" w:type="dxa"/>
            <w:noWrap/>
            <w:vAlign w:val="bottom"/>
            <w:hideMark/>
          </w:tcPr>
          <w:p w14:paraId="70E2AA8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268.9</w:t>
            </w:r>
          </w:p>
        </w:tc>
        <w:tc>
          <w:tcPr>
            <w:tcW w:w="716" w:type="dxa"/>
            <w:noWrap/>
            <w:vAlign w:val="bottom"/>
            <w:hideMark/>
          </w:tcPr>
          <w:p w14:paraId="42B524B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135.5</w:t>
            </w:r>
          </w:p>
        </w:tc>
        <w:tc>
          <w:tcPr>
            <w:tcW w:w="628" w:type="dxa"/>
            <w:noWrap/>
            <w:vAlign w:val="bottom"/>
            <w:hideMark/>
          </w:tcPr>
          <w:p w14:paraId="3A4F078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04E1A27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1.944</w:t>
            </w:r>
          </w:p>
        </w:tc>
        <w:tc>
          <w:tcPr>
            <w:tcW w:w="628" w:type="dxa"/>
            <w:noWrap/>
            <w:vAlign w:val="bottom"/>
            <w:hideMark/>
          </w:tcPr>
          <w:p w14:paraId="5F22547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9.2</w:t>
            </w:r>
          </w:p>
        </w:tc>
        <w:tc>
          <w:tcPr>
            <w:tcW w:w="628" w:type="dxa"/>
            <w:noWrap/>
            <w:vAlign w:val="bottom"/>
            <w:hideMark/>
          </w:tcPr>
          <w:p w14:paraId="430F63F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18.3</w:t>
            </w:r>
          </w:p>
        </w:tc>
        <w:tc>
          <w:tcPr>
            <w:tcW w:w="721" w:type="dxa"/>
            <w:noWrap/>
            <w:vAlign w:val="bottom"/>
            <w:hideMark/>
          </w:tcPr>
          <w:p w14:paraId="407C16C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12.2</w:t>
            </w:r>
          </w:p>
        </w:tc>
        <w:tc>
          <w:tcPr>
            <w:tcW w:w="628" w:type="dxa"/>
            <w:noWrap/>
            <w:vAlign w:val="bottom"/>
            <w:hideMark/>
          </w:tcPr>
          <w:p w14:paraId="73820A9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w:t>
            </w:r>
          </w:p>
        </w:tc>
        <w:tc>
          <w:tcPr>
            <w:tcW w:w="628" w:type="dxa"/>
            <w:noWrap/>
            <w:vAlign w:val="bottom"/>
            <w:hideMark/>
          </w:tcPr>
          <w:p w14:paraId="5EDDDF5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w:t>
            </w:r>
          </w:p>
        </w:tc>
        <w:tc>
          <w:tcPr>
            <w:tcW w:w="628" w:type="dxa"/>
            <w:noWrap/>
            <w:vAlign w:val="bottom"/>
            <w:hideMark/>
          </w:tcPr>
          <w:p w14:paraId="00CE9A6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16.5</w:t>
            </w:r>
          </w:p>
        </w:tc>
        <w:tc>
          <w:tcPr>
            <w:tcW w:w="628" w:type="dxa"/>
            <w:noWrap/>
            <w:vAlign w:val="bottom"/>
            <w:hideMark/>
          </w:tcPr>
          <w:p w14:paraId="1106FE7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1.68</w:t>
            </w:r>
          </w:p>
        </w:tc>
        <w:tc>
          <w:tcPr>
            <w:tcW w:w="628" w:type="dxa"/>
            <w:noWrap/>
            <w:vAlign w:val="bottom"/>
            <w:hideMark/>
          </w:tcPr>
          <w:p w14:paraId="545C33C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2.5</w:t>
            </w:r>
          </w:p>
        </w:tc>
      </w:tr>
      <w:tr w:rsidR="005A28F7" w:rsidRPr="00856B60" w14:paraId="4E511788" w14:textId="77777777" w:rsidTr="008E414C">
        <w:trPr>
          <w:trHeight w:val="246"/>
        </w:trPr>
        <w:tc>
          <w:tcPr>
            <w:tcW w:w="939" w:type="dxa"/>
            <w:noWrap/>
            <w:vAlign w:val="bottom"/>
            <w:hideMark/>
          </w:tcPr>
          <w:p w14:paraId="0A435036"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P6</w:t>
            </w:r>
          </w:p>
        </w:tc>
        <w:tc>
          <w:tcPr>
            <w:tcW w:w="529" w:type="dxa"/>
            <w:noWrap/>
            <w:vAlign w:val="bottom"/>
            <w:hideMark/>
          </w:tcPr>
          <w:p w14:paraId="5368D81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6.78</w:t>
            </w:r>
          </w:p>
        </w:tc>
        <w:tc>
          <w:tcPr>
            <w:tcW w:w="798" w:type="dxa"/>
            <w:noWrap/>
            <w:vAlign w:val="bottom"/>
            <w:hideMark/>
          </w:tcPr>
          <w:p w14:paraId="7836FE8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217.5</w:t>
            </w:r>
          </w:p>
        </w:tc>
        <w:tc>
          <w:tcPr>
            <w:tcW w:w="716" w:type="dxa"/>
            <w:noWrap/>
            <w:vAlign w:val="bottom"/>
            <w:hideMark/>
          </w:tcPr>
          <w:p w14:paraId="70D0BF1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109.6</w:t>
            </w:r>
          </w:p>
        </w:tc>
        <w:tc>
          <w:tcPr>
            <w:tcW w:w="628" w:type="dxa"/>
            <w:noWrap/>
            <w:vAlign w:val="bottom"/>
            <w:hideMark/>
          </w:tcPr>
          <w:p w14:paraId="133FBB0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0EF70E7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4.374</w:t>
            </w:r>
          </w:p>
        </w:tc>
        <w:tc>
          <w:tcPr>
            <w:tcW w:w="628" w:type="dxa"/>
            <w:noWrap/>
            <w:vAlign w:val="bottom"/>
            <w:hideMark/>
          </w:tcPr>
          <w:p w14:paraId="36F33FB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w:t>
            </w:r>
          </w:p>
        </w:tc>
        <w:tc>
          <w:tcPr>
            <w:tcW w:w="628" w:type="dxa"/>
            <w:noWrap/>
            <w:vAlign w:val="bottom"/>
            <w:hideMark/>
          </w:tcPr>
          <w:p w14:paraId="2CE0A18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11</w:t>
            </w:r>
          </w:p>
        </w:tc>
        <w:tc>
          <w:tcPr>
            <w:tcW w:w="721" w:type="dxa"/>
            <w:noWrap/>
            <w:vAlign w:val="bottom"/>
            <w:hideMark/>
          </w:tcPr>
          <w:p w14:paraId="40A0B10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6FB400E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628" w:type="dxa"/>
            <w:noWrap/>
            <w:vAlign w:val="bottom"/>
            <w:hideMark/>
          </w:tcPr>
          <w:p w14:paraId="67929F7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32</w:t>
            </w:r>
          </w:p>
        </w:tc>
        <w:tc>
          <w:tcPr>
            <w:tcW w:w="628" w:type="dxa"/>
            <w:noWrap/>
            <w:vAlign w:val="bottom"/>
            <w:hideMark/>
          </w:tcPr>
          <w:p w14:paraId="7EFB748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14.5</w:t>
            </w:r>
          </w:p>
        </w:tc>
        <w:tc>
          <w:tcPr>
            <w:tcW w:w="628" w:type="dxa"/>
            <w:noWrap/>
            <w:vAlign w:val="bottom"/>
            <w:hideMark/>
          </w:tcPr>
          <w:p w14:paraId="0FB1A3D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0.17</w:t>
            </w:r>
          </w:p>
        </w:tc>
        <w:tc>
          <w:tcPr>
            <w:tcW w:w="628" w:type="dxa"/>
            <w:noWrap/>
            <w:vAlign w:val="bottom"/>
            <w:hideMark/>
          </w:tcPr>
          <w:p w14:paraId="2CE7A92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1.05</w:t>
            </w:r>
          </w:p>
        </w:tc>
      </w:tr>
      <w:tr w:rsidR="005A28F7" w:rsidRPr="00856B60" w14:paraId="64C744BF" w14:textId="77777777" w:rsidTr="008E414C">
        <w:trPr>
          <w:trHeight w:val="246"/>
        </w:trPr>
        <w:tc>
          <w:tcPr>
            <w:tcW w:w="939" w:type="dxa"/>
            <w:noWrap/>
            <w:vAlign w:val="bottom"/>
            <w:hideMark/>
          </w:tcPr>
          <w:p w14:paraId="1800987F"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P7</w:t>
            </w:r>
          </w:p>
        </w:tc>
        <w:tc>
          <w:tcPr>
            <w:tcW w:w="529" w:type="dxa"/>
            <w:noWrap/>
            <w:vAlign w:val="bottom"/>
            <w:hideMark/>
          </w:tcPr>
          <w:p w14:paraId="69E6FCA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6.3</w:t>
            </w:r>
          </w:p>
        </w:tc>
        <w:tc>
          <w:tcPr>
            <w:tcW w:w="798" w:type="dxa"/>
            <w:noWrap/>
            <w:vAlign w:val="bottom"/>
            <w:hideMark/>
          </w:tcPr>
          <w:p w14:paraId="5D78700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197.3</w:t>
            </w:r>
          </w:p>
        </w:tc>
        <w:tc>
          <w:tcPr>
            <w:tcW w:w="716" w:type="dxa"/>
            <w:noWrap/>
            <w:vAlign w:val="bottom"/>
            <w:hideMark/>
          </w:tcPr>
          <w:p w14:paraId="706FC8E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99.43</w:t>
            </w:r>
          </w:p>
        </w:tc>
        <w:tc>
          <w:tcPr>
            <w:tcW w:w="628" w:type="dxa"/>
            <w:noWrap/>
            <w:vAlign w:val="bottom"/>
            <w:hideMark/>
          </w:tcPr>
          <w:p w14:paraId="0B7B8E3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1E0B289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0.486</w:t>
            </w:r>
          </w:p>
        </w:tc>
        <w:tc>
          <w:tcPr>
            <w:tcW w:w="628" w:type="dxa"/>
            <w:noWrap/>
            <w:vAlign w:val="bottom"/>
            <w:hideMark/>
          </w:tcPr>
          <w:p w14:paraId="2D2148E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w:t>
            </w:r>
          </w:p>
        </w:tc>
        <w:tc>
          <w:tcPr>
            <w:tcW w:w="628" w:type="dxa"/>
            <w:noWrap/>
            <w:vAlign w:val="bottom"/>
            <w:hideMark/>
          </w:tcPr>
          <w:p w14:paraId="70F69F2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21" w:type="dxa"/>
            <w:noWrap/>
            <w:vAlign w:val="bottom"/>
            <w:hideMark/>
          </w:tcPr>
          <w:p w14:paraId="4044A82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24F4E73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6257288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w:t>
            </w:r>
          </w:p>
        </w:tc>
        <w:tc>
          <w:tcPr>
            <w:tcW w:w="628" w:type="dxa"/>
            <w:noWrap/>
            <w:vAlign w:val="bottom"/>
            <w:hideMark/>
          </w:tcPr>
          <w:p w14:paraId="44B9E2E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12.3</w:t>
            </w:r>
          </w:p>
        </w:tc>
        <w:tc>
          <w:tcPr>
            <w:tcW w:w="628" w:type="dxa"/>
            <w:noWrap/>
            <w:vAlign w:val="bottom"/>
            <w:hideMark/>
          </w:tcPr>
          <w:p w14:paraId="2A42DCC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0.13</w:t>
            </w:r>
          </w:p>
        </w:tc>
        <w:tc>
          <w:tcPr>
            <w:tcW w:w="628" w:type="dxa"/>
            <w:noWrap/>
            <w:vAlign w:val="bottom"/>
            <w:hideMark/>
          </w:tcPr>
          <w:p w14:paraId="621BEFB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2.03</w:t>
            </w:r>
          </w:p>
        </w:tc>
      </w:tr>
      <w:tr w:rsidR="005A28F7" w:rsidRPr="00856B60" w14:paraId="6D956770" w14:textId="77777777" w:rsidTr="008E414C">
        <w:trPr>
          <w:trHeight w:val="246"/>
        </w:trPr>
        <w:tc>
          <w:tcPr>
            <w:tcW w:w="939" w:type="dxa"/>
            <w:noWrap/>
            <w:vAlign w:val="bottom"/>
            <w:hideMark/>
          </w:tcPr>
          <w:p w14:paraId="4BA53F5C"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P8</w:t>
            </w:r>
          </w:p>
        </w:tc>
        <w:tc>
          <w:tcPr>
            <w:tcW w:w="529" w:type="dxa"/>
            <w:noWrap/>
            <w:vAlign w:val="bottom"/>
            <w:hideMark/>
          </w:tcPr>
          <w:p w14:paraId="1D7C7C7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7.34</w:t>
            </w:r>
          </w:p>
        </w:tc>
        <w:tc>
          <w:tcPr>
            <w:tcW w:w="798" w:type="dxa"/>
            <w:noWrap/>
            <w:vAlign w:val="bottom"/>
            <w:hideMark/>
          </w:tcPr>
          <w:p w14:paraId="4BBEFAF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356.3</w:t>
            </w:r>
          </w:p>
        </w:tc>
        <w:tc>
          <w:tcPr>
            <w:tcW w:w="716" w:type="dxa"/>
            <w:noWrap/>
            <w:vAlign w:val="bottom"/>
            <w:hideMark/>
          </w:tcPr>
          <w:p w14:paraId="78AE3EC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179.57</w:t>
            </w:r>
          </w:p>
        </w:tc>
        <w:tc>
          <w:tcPr>
            <w:tcW w:w="628" w:type="dxa"/>
            <w:noWrap/>
            <w:vAlign w:val="bottom"/>
            <w:hideMark/>
          </w:tcPr>
          <w:p w14:paraId="4FAC285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1A94AB2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2.916</w:t>
            </w:r>
          </w:p>
        </w:tc>
        <w:tc>
          <w:tcPr>
            <w:tcW w:w="628" w:type="dxa"/>
            <w:noWrap/>
            <w:vAlign w:val="bottom"/>
            <w:hideMark/>
          </w:tcPr>
          <w:p w14:paraId="5476182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w:t>
            </w:r>
          </w:p>
        </w:tc>
        <w:tc>
          <w:tcPr>
            <w:tcW w:w="628" w:type="dxa"/>
            <w:noWrap/>
            <w:vAlign w:val="bottom"/>
            <w:hideMark/>
          </w:tcPr>
          <w:p w14:paraId="5189AA7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39.5</w:t>
            </w:r>
          </w:p>
        </w:tc>
        <w:tc>
          <w:tcPr>
            <w:tcW w:w="721" w:type="dxa"/>
            <w:noWrap/>
            <w:vAlign w:val="bottom"/>
            <w:hideMark/>
          </w:tcPr>
          <w:p w14:paraId="295CB12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6405FC6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2.4</w:t>
            </w:r>
          </w:p>
        </w:tc>
        <w:tc>
          <w:tcPr>
            <w:tcW w:w="628" w:type="dxa"/>
            <w:noWrap/>
            <w:vAlign w:val="bottom"/>
            <w:hideMark/>
          </w:tcPr>
          <w:p w14:paraId="54B14C0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53</w:t>
            </w:r>
          </w:p>
        </w:tc>
        <w:tc>
          <w:tcPr>
            <w:tcW w:w="628" w:type="dxa"/>
            <w:noWrap/>
            <w:vAlign w:val="bottom"/>
            <w:hideMark/>
          </w:tcPr>
          <w:p w14:paraId="30BE29A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48.3</w:t>
            </w:r>
          </w:p>
        </w:tc>
        <w:tc>
          <w:tcPr>
            <w:tcW w:w="628" w:type="dxa"/>
            <w:noWrap/>
            <w:vAlign w:val="bottom"/>
            <w:hideMark/>
          </w:tcPr>
          <w:p w14:paraId="0A51546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0.51</w:t>
            </w:r>
          </w:p>
        </w:tc>
        <w:tc>
          <w:tcPr>
            <w:tcW w:w="628" w:type="dxa"/>
            <w:noWrap/>
            <w:vAlign w:val="bottom"/>
            <w:hideMark/>
          </w:tcPr>
          <w:p w14:paraId="6D1F874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0.95</w:t>
            </w:r>
          </w:p>
        </w:tc>
      </w:tr>
      <w:tr w:rsidR="005A28F7" w:rsidRPr="00856B60" w14:paraId="08B77A8D" w14:textId="77777777" w:rsidTr="008E414C">
        <w:trPr>
          <w:trHeight w:val="246"/>
        </w:trPr>
        <w:tc>
          <w:tcPr>
            <w:tcW w:w="939" w:type="dxa"/>
            <w:noWrap/>
            <w:vAlign w:val="bottom"/>
            <w:hideMark/>
          </w:tcPr>
          <w:p w14:paraId="17AE19D1"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P9</w:t>
            </w:r>
          </w:p>
        </w:tc>
        <w:tc>
          <w:tcPr>
            <w:tcW w:w="529" w:type="dxa"/>
            <w:noWrap/>
            <w:vAlign w:val="bottom"/>
            <w:hideMark/>
          </w:tcPr>
          <w:p w14:paraId="0D21309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7.07</w:t>
            </w:r>
          </w:p>
        </w:tc>
        <w:tc>
          <w:tcPr>
            <w:tcW w:w="798" w:type="dxa"/>
            <w:noWrap/>
            <w:vAlign w:val="bottom"/>
            <w:hideMark/>
          </w:tcPr>
          <w:p w14:paraId="4D518CC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163.9</w:t>
            </w:r>
          </w:p>
        </w:tc>
        <w:tc>
          <w:tcPr>
            <w:tcW w:w="716" w:type="dxa"/>
            <w:noWrap/>
            <w:vAlign w:val="bottom"/>
            <w:hideMark/>
          </w:tcPr>
          <w:p w14:paraId="4C93C26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82.6</w:t>
            </w:r>
          </w:p>
        </w:tc>
        <w:tc>
          <w:tcPr>
            <w:tcW w:w="628" w:type="dxa"/>
            <w:noWrap/>
            <w:vAlign w:val="bottom"/>
            <w:hideMark/>
          </w:tcPr>
          <w:p w14:paraId="5B94F3A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7C53530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3.9</w:t>
            </w:r>
          </w:p>
        </w:tc>
        <w:tc>
          <w:tcPr>
            <w:tcW w:w="628" w:type="dxa"/>
            <w:noWrap/>
            <w:vAlign w:val="bottom"/>
            <w:hideMark/>
          </w:tcPr>
          <w:p w14:paraId="23A466A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w:t>
            </w:r>
          </w:p>
        </w:tc>
        <w:tc>
          <w:tcPr>
            <w:tcW w:w="628" w:type="dxa"/>
            <w:noWrap/>
            <w:vAlign w:val="bottom"/>
            <w:hideMark/>
          </w:tcPr>
          <w:p w14:paraId="75037A2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7.2</w:t>
            </w:r>
          </w:p>
        </w:tc>
        <w:tc>
          <w:tcPr>
            <w:tcW w:w="721" w:type="dxa"/>
            <w:noWrap/>
            <w:vAlign w:val="bottom"/>
            <w:hideMark/>
          </w:tcPr>
          <w:p w14:paraId="2172D1D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4CE8CF4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1A652DD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w:t>
            </w:r>
          </w:p>
        </w:tc>
        <w:tc>
          <w:tcPr>
            <w:tcW w:w="628" w:type="dxa"/>
            <w:noWrap/>
            <w:vAlign w:val="bottom"/>
            <w:hideMark/>
          </w:tcPr>
          <w:p w14:paraId="369C506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10.7</w:t>
            </w:r>
          </w:p>
        </w:tc>
        <w:tc>
          <w:tcPr>
            <w:tcW w:w="628" w:type="dxa"/>
            <w:noWrap/>
            <w:vAlign w:val="bottom"/>
            <w:hideMark/>
          </w:tcPr>
          <w:p w14:paraId="25C6055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0.12</w:t>
            </w:r>
          </w:p>
        </w:tc>
        <w:tc>
          <w:tcPr>
            <w:tcW w:w="628" w:type="dxa"/>
            <w:noWrap/>
            <w:vAlign w:val="bottom"/>
            <w:hideMark/>
          </w:tcPr>
          <w:p w14:paraId="38C8C19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2.18</w:t>
            </w:r>
          </w:p>
        </w:tc>
      </w:tr>
      <w:tr w:rsidR="005A28F7" w:rsidRPr="00856B60" w14:paraId="7D003F03" w14:textId="77777777" w:rsidTr="008E414C">
        <w:trPr>
          <w:trHeight w:val="246"/>
        </w:trPr>
        <w:tc>
          <w:tcPr>
            <w:tcW w:w="939" w:type="dxa"/>
            <w:noWrap/>
            <w:vAlign w:val="bottom"/>
            <w:hideMark/>
          </w:tcPr>
          <w:p w14:paraId="01E52BA6"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P10</w:t>
            </w:r>
          </w:p>
        </w:tc>
        <w:tc>
          <w:tcPr>
            <w:tcW w:w="529" w:type="dxa"/>
            <w:noWrap/>
            <w:vAlign w:val="bottom"/>
            <w:hideMark/>
          </w:tcPr>
          <w:p w14:paraId="4FC82A2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6.55</w:t>
            </w:r>
          </w:p>
        </w:tc>
        <w:tc>
          <w:tcPr>
            <w:tcW w:w="798" w:type="dxa"/>
            <w:noWrap/>
            <w:vAlign w:val="bottom"/>
            <w:hideMark/>
          </w:tcPr>
          <w:p w14:paraId="4D06633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421.2</w:t>
            </w:r>
          </w:p>
        </w:tc>
        <w:tc>
          <w:tcPr>
            <w:tcW w:w="716" w:type="dxa"/>
            <w:noWrap/>
            <w:vAlign w:val="bottom"/>
            <w:hideMark/>
          </w:tcPr>
          <w:p w14:paraId="0918997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212.28</w:t>
            </w:r>
          </w:p>
        </w:tc>
        <w:tc>
          <w:tcPr>
            <w:tcW w:w="628" w:type="dxa"/>
            <w:noWrap/>
            <w:vAlign w:val="bottom"/>
            <w:hideMark/>
          </w:tcPr>
          <w:p w14:paraId="0FC4EA7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4.2</w:t>
            </w:r>
          </w:p>
        </w:tc>
        <w:tc>
          <w:tcPr>
            <w:tcW w:w="716" w:type="dxa"/>
            <w:noWrap/>
            <w:vAlign w:val="bottom"/>
            <w:hideMark/>
          </w:tcPr>
          <w:p w14:paraId="106478F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4.4</w:t>
            </w:r>
          </w:p>
        </w:tc>
        <w:tc>
          <w:tcPr>
            <w:tcW w:w="628" w:type="dxa"/>
            <w:noWrap/>
            <w:vAlign w:val="bottom"/>
            <w:hideMark/>
          </w:tcPr>
          <w:p w14:paraId="7981F82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11.5</w:t>
            </w:r>
          </w:p>
        </w:tc>
        <w:tc>
          <w:tcPr>
            <w:tcW w:w="628" w:type="dxa"/>
            <w:noWrap/>
            <w:vAlign w:val="bottom"/>
            <w:hideMark/>
          </w:tcPr>
          <w:p w14:paraId="0A1A724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69</w:t>
            </w:r>
          </w:p>
        </w:tc>
        <w:tc>
          <w:tcPr>
            <w:tcW w:w="721" w:type="dxa"/>
            <w:noWrap/>
            <w:vAlign w:val="bottom"/>
            <w:hideMark/>
          </w:tcPr>
          <w:p w14:paraId="339F9E0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103</w:t>
            </w:r>
          </w:p>
        </w:tc>
        <w:tc>
          <w:tcPr>
            <w:tcW w:w="628" w:type="dxa"/>
            <w:noWrap/>
            <w:vAlign w:val="bottom"/>
            <w:hideMark/>
          </w:tcPr>
          <w:p w14:paraId="0D7D88B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0.43</w:t>
            </w:r>
          </w:p>
        </w:tc>
        <w:tc>
          <w:tcPr>
            <w:tcW w:w="628" w:type="dxa"/>
            <w:noWrap/>
            <w:vAlign w:val="bottom"/>
            <w:hideMark/>
          </w:tcPr>
          <w:p w14:paraId="23F3CEF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70</w:t>
            </w:r>
          </w:p>
        </w:tc>
        <w:tc>
          <w:tcPr>
            <w:tcW w:w="628" w:type="dxa"/>
            <w:noWrap/>
            <w:vAlign w:val="bottom"/>
            <w:hideMark/>
          </w:tcPr>
          <w:p w14:paraId="5B56DF4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47.4</w:t>
            </w:r>
          </w:p>
        </w:tc>
        <w:tc>
          <w:tcPr>
            <w:tcW w:w="628" w:type="dxa"/>
            <w:noWrap/>
            <w:vAlign w:val="bottom"/>
            <w:hideMark/>
          </w:tcPr>
          <w:p w14:paraId="2EC1481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0.16</w:t>
            </w:r>
          </w:p>
        </w:tc>
        <w:tc>
          <w:tcPr>
            <w:tcW w:w="628" w:type="dxa"/>
            <w:noWrap/>
            <w:vAlign w:val="bottom"/>
            <w:hideMark/>
          </w:tcPr>
          <w:p w14:paraId="47F7804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1.97</w:t>
            </w:r>
          </w:p>
        </w:tc>
      </w:tr>
      <w:tr w:rsidR="005A28F7" w:rsidRPr="00856B60" w14:paraId="3CEFA454" w14:textId="77777777" w:rsidTr="008E414C">
        <w:trPr>
          <w:trHeight w:val="246"/>
        </w:trPr>
        <w:tc>
          <w:tcPr>
            <w:tcW w:w="939" w:type="dxa"/>
            <w:noWrap/>
            <w:vAlign w:val="bottom"/>
            <w:hideMark/>
          </w:tcPr>
          <w:p w14:paraId="0D7E4A88"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P11</w:t>
            </w:r>
          </w:p>
        </w:tc>
        <w:tc>
          <w:tcPr>
            <w:tcW w:w="529" w:type="dxa"/>
            <w:noWrap/>
            <w:vAlign w:val="bottom"/>
            <w:hideMark/>
          </w:tcPr>
          <w:p w14:paraId="40FE015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7.11</w:t>
            </w:r>
          </w:p>
        </w:tc>
        <w:tc>
          <w:tcPr>
            <w:tcW w:w="798" w:type="dxa"/>
            <w:noWrap/>
            <w:vAlign w:val="bottom"/>
            <w:hideMark/>
          </w:tcPr>
          <w:p w14:paraId="6B877BA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1079</w:t>
            </w:r>
          </w:p>
        </w:tc>
        <w:tc>
          <w:tcPr>
            <w:tcW w:w="716" w:type="dxa"/>
            <w:noWrap/>
            <w:vAlign w:val="bottom"/>
            <w:hideMark/>
          </w:tcPr>
          <w:p w14:paraId="47A0270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690.56</w:t>
            </w:r>
          </w:p>
        </w:tc>
        <w:tc>
          <w:tcPr>
            <w:tcW w:w="628" w:type="dxa"/>
            <w:noWrap/>
            <w:vAlign w:val="bottom"/>
            <w:hideMark/>
          </w:tcPr>
          <w:p w14:paraId="66057A7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w:t>
            </w:r>
          </w:p>
        </w:tc>
        <w:tc>
          <w:tcPr>
            <w:tcW w:w="716" w:type="dxa"/>
            <w:noWrap/>
            <w:vAlign w:val="bottom"/>
            <w:hideMark/>
          </w:tcPr>
          <w:p w14:paraId="7B3872B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3.402</w:t>
            </w:r>
          </w:p>
        </w:tc>
        <w:tc>
          <w:tcPr>
            <w:tcW w:w="628" w:type="dxa"/>
            <w:noWrap/>
            <w:vAlign w:val="bottom"/>
            <w:hideMark/>
          </w:tcPr>
          <w:p w14:paraId="3F967D0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13.6</w:t>
            </w:r>
          </w:p>
        </w:tc>
        <w:tc>
          <w:tcPr>
            <w:tcW w:w="628" w:type="dxa"/>
            <w:noWrap/>
            <w:vAlign w:val="bottom"/>
            <w:hideMark/>
          </w:tcPr>
          <w:p w14:paraId="0B472A3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36</w:t>
            </w:r>
          </w:p>
        </w:tc>
        <w:tc>
          <w:tcPr>
            <w:tcW w:w="721" w:type="dxa"/>
            <w:noWrap/>
            <w:vAlign w:val="bottom"/>
            <w:hideMark/>
          </w:tcPr>
          <w:p w14:paraId="442B746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34.16</w:t>
            </w:r>
          </w:p>
        </w:tc>
        <w:tc>
          <w:tcPr>
            <w:tcW w:w="628" w:type="dxa"/>
            <w:noWrap/>
            <w:vAlign w:val="bottom"/>
            <w:hideMark/>
          </w:tcPr>
          <w:p w14:paraId="521E110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w:t>
            </w:r>
          </w:p>
        </w:tc>
        <w:tc>
          <w:tcPr>
            <w:tcW w:w="628" w:type="dxa"/>
            <w:noWrap/>
            <w:vAlign w:val="bottom"/>
            <w:hideMark/>
          </w:tcPr>
          <w:p w14:paraId="6680F3F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49</w:t>
            </w:r>
          </w:p>
        </w:tc>
        <w:tc>
          <w:tcPr>
            <w:tcW w:w="628" w:type="dxa"/>
            <w:noWrap/>
            <w:vAlign w:val="bottom"/>
            <w:hideMark/>
          </w:tcPr>
          <w:p w14:paraId="7C1B44A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42.5</w:t>
            </w:r>
          </w:p>
        </w:tc>
        <w:tc>
          <w:tcPr>
            <w:tcW w:w="628" w:type="dxa"/>
            <w:noWrap/>
            <w:vAlign w:val="bottom"/>
            <w:hideMark/>
          </w:tcPr>
          <w:p w14:paraId="3D26C92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0.57</w:t>
            </w:r>
          </w:p>
        </w:tc>
        <w:tc>
          <w:tcPr>
            <w:tcW w:w="628" w:type="dxa"/>
            <w:noWrap/>
            <w:vAlign w:val="bottom"/>
            <w:hideMark/>
          </w:tcPr>
          <w:p w14:paraId="13FF1C5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27</w:t>
            </w:r>
          </w:p>
        </w:tc>
      </w:tr>
      <w:tr w:rsidR="005A28F7" w:rsidRPr="00856B60" w14:paraId="4E0261DA" w14:textId="77777777" w:rsidTr="008E414C">
        <w:trPr>
          <w:trHeight w:val="246"/>
        </w:trPr>
        <w:tc>
          <w:tcPr>
            <w:tcW w:w="939" w:type="dxa"/>
            <w:noWrap/>
            <w:vAlign w:val="bottom"/>
            <w:hideMark/>
          </w:tcPr>
          <w:p w14:paraId="507FF91D"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P12</w:t>
            </w:r>
          </w:p>
        </w:tc>
        <w:tc>
          <w:tcPr>
            <w:tcW w:w="529" w:type="dxa"/>
            <w:noWrap/>
            <w:vAlign w:val="bottom"/>
            <w:hideMark/>
          </w:tcPr>
          <w:p w14:paraId="5884BC2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7.13</w:t>
            </w:r>
          </w:p>
        </w:tc>
        <w:tc>
          <w:tcPr>
            <w:tcW w:w="798" w:type="dxa"/>
            <w:noWrap/>
            <w:vAlign w:val="bottom"/>
            <w:hideMark/>
          </w:tcPr>
          <w:p w14:paraId="77321BB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1441</w:t>
            </w:r>
          </w:p>
        </w:tc>
        <w:tc>
          <w:tcPr>
            <w:tcW w:w="716" w:type="dxa"/>
            <w:noWrap/>
            <w:vAlign w:val="bottom"/>
            <w:hideMark/>
          </w:tcPr>
          <w:p w14:paraId="585E6AF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922.24</w:t>
            </w:r>
          </w:p>
        </w:tc>
        <w:tc>
          <w:tcPr>
            <w:tcW w:w="628" w:type="dxa"/>
            <w:noWrap/>
            <w:vAlign w:val="bottom"/>
            <w:hideMark/>
          </w:tcPr>
          <w:p w14:paraId="393A48C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0.8</w:t>
            </w:r>
          </w:p>
        </w:tc>
        <w:tc>
          <w:tcPr>
            <w:tcW w:w="716" w:type="dxa"/>
            <w:noWrap/>
            <w:vAlign w:val="bottom"/>
            <w:hideMark/>
          </w:tcPr>
          <w:p w14:paraId="0C075D0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12.636</w:t>
            </w:r>
          </w:p>
        </w:tc>
        <w:tc>
          <w:tcPr>
            <w:tcW w:w="628" w:type="dxa"/>
            <w:noWrap/>
            <w:vAlign w:val="bottom"/>
            <w:hideMark/>
          </w:tcPr>
          <w:p w14:paraId="1188A1C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56</w:t>
            </w:r>
          </w:p>
        </w:tc>
        <w:tc>
          <w:tcPr>
            <w:tcW w:w="628" w:type="dxa"/>
            <w:noWrap/>
            <w:vAlign w:val="bottom"/>
            <w:hideMark/>
          </w:tcPr>
          <w:p w14:paraId="41B1EBD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92.3</w:t>
            </w:r>
          </w:p>
        </w:tc>
        <w:tc>
          <w:tcPr>
            <w:tcW w:w="721" w:type="dxa"/>
            <w:noWrap/>
            <w:vAlign w:val="bottom"/>
            <w:hideMark/>
          </w:tcPr>
          <w:p w14:paraId="61B052B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24.4</w:t>
            </w:r>
          </w:p>
        </w:tc>
        <w:tc>
          <w:tcPr>
            <w:tcW w:w="628" w:type="dxa"/>
            <w:noWrap/>
            <w:vAlign w:val="bottom"/>
            <w:hideMark/>
          </w:tcPr>
          <w:p w14:paraId="4462339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2.5</w:t>
            </w:r>
          </w:p>
        </w:tc>
        <w:tc>
          <w:tcPr>
            <w:tcW w:w="628" w:type="dxa"/>
            <w:noWrap/>
            <w:vAlign w:val="bottom"/>
            <w:hideMark/>
          </w:tcPr>
          <w:p w14:paraId="0662CE8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301</w:t>
            </w:r>
          </w:p>
        </w:tc>
        <w:tc>
          <w:tcPr>
            <w:tcW w:w="628" w:type="dxa"/>
            <w:noWrap/>
            <w:vAlign w:val="bottom"/>
            <w:hideMark/>
          </w:tcPr>
          <w:p w14:paraId="179AB9C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15.9</w:t>
            </w:r>
          </w:p>
        </w:tc>
        <w:tc>
          <w:tcPr>
            <w:tcW w:w="628" w:type="dxa"/>
            <w:noWrap/>
            <w:vAlign w:val="bottom"/>
            <w:hideMark/>
          </w:tcPr>
          <w:p w14:paraId="25D52CB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0.37</w:t>
            </w:r>
          </w:p>
        </w:tc>
        <w:tc>
          <w:tcPr>
            <w:tcW w:w="628" w:type="dxa"/>
            <w:noWrap/>
            <w:vAlign w:val="bottom"/>
            <w:hideMark/>
          </w:tcPr>
          <w:p w14:paraId="7E20DE7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5.38</w:t>
            </w:r>
          </w:p>
        </w:tc>
      </w:tr>
      <w:tr w:rsidR="005A28F7" w:rsidRPr="00856B60" w14:paraId="23603E3D" w14:textId="77777777" w:rsidTr="008E414C">
        <w:trPr>
          <w:trHeight w:val="246"/>
        </w:trPr>
        <w:tc>
          <w:tcPr>
            <w:tcW w:w="939" w:type="dxa"/>
            <w:noWrap/>
            <w:vAlign w:val="bottom"/>
            <w:hideMark/>
          </w:tcPr>
          <w:p w14:paraId="4C70C914"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P13</w:t>
            </w:r>
          </w:p>
        </w:tc>
        <w:tc>
          <w:tcPr>
            <w:tcW w:w="529" w:type="dxa"/>
            <w:noWrap/>
            <w:vAlign w:val="bottom"/>
            <w:hideMark/>
          </w:tcPr>
          <w:p w14:paraId="1DDED8C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6.79</w:t>
            </w:r>
          </w:p>
        </w:tc>
        <w:tc>
          <w:tcPr>
            <w:tcW w:w="798" w:type="dxa"/>
            <w:noWrap/>
            <w:vAlign w:val="bottom"/>
            <w:hideMark/>
          </w:tcPr>
          <w:p w14:paraId="092F6CA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154.1</w:t>
            </w:r>
          </w:p>
        </w:tc>
        <w:tc>
          <w:tcPr>
            <w:tcW w:w="716" w:type="dxa"/>
            <w:noWrap/>
            <w:vAlign w:val="bottom"/>
            <w:hideMark/>
          </w:tcPr>
          <w:p w14:paraId="7B6880D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77.66</w:t>
            </w:r>
          </w:p>
        </w:tc>
        <w:tc>
          <w:tcPr>
            <w:tcW w:w="628" w:type="dxa"/>
            <w:noWrap/>
            <w:vAlign w:val="bottom"/>
            <w:hideMark/>
          </w:tcPr>
          <w:p w14:paraId="73236BB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30E8C49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0.972</w:t>
            </w:r>
          </w:p>
        </w:tc>
        <w:tc>
          <w:tcPr>
            <w:tcW w:w="628" w:type="dxa"/>
            <w:noWrap/>
            <w:vAlign w:val="bottom"/>
            <w:hideMark/>
          </w:tcPr>
          <w:p w14:paraId="6CCBB99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w:t>
            </w:r>
          </w:p>
        </w:tc>
        <w:tc>
          <w:tcPr>
            <w:tcW w:w="628" w:type="dxa"/>
            <w:noWrap/>
            <w:vAlign w:val="bottom"/>
            <w:hideMark/>
          </w:tcPr>
          <w:p w14:paraId="5E9BA7A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15</w:t>
            </w:r>
          </w:p>
        </w:tc>
        <w:tc>
          <w:tcPr>
            <w:tcW w:w="721" w:type="dxa"/>
            <w:noWrap/>
            <w:vAlign w:val="bottom"/>
            <w:hideMark/>
          </w:tcPr>
          <w:p w14:paraId="147C7F2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0727A75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w:t>
            </w:r>
          </w:p>
        </w:tc>
        <w:tc>
          <w:tcPr>
            <w:tcW w:w="628" w:type="dxa"/>
            <w:noWrap/>
            <w:vAlign w:val="bottom"/>
            <w:hideMark/>
          </w:tcPr>
          <w:p w14:paraId="174B346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w:t>
            </w:r>
          </w:p>
        </w:tc>
        <w:tc>
          <w:tcPr>
            <w:tcW w:w="628" w:type="dxa"/>
            <w:noWrap/>
            <w:vAlign w:val="bottom"/>
            <w:hideMark/>
          </w:tcPr>
          <w:p w14:paraId="3B25588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18.4</w:t>
            </w:r>
          </w:p>
        </w:tc>
        <w:tc>
          <w:tcPr>
            <w:tcW w:w="628" w:type="dxa"/>
            <w:noWrap/>
            <w:vAlign w:val="bottom"/>
            <w:hideMark/>
          </w:tcPr>
          <w:p w14:paraId="22C25DC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0.58</w:t>
            </w:r>
          </w:p>
        </w:tc>
        <w:tc>
          <w:tcPr>
            <w:tcW w:w="628" w:type="dxa"/>
            <w:noWrap/>
            <w:vAlign w:val="bottom"/>
            <w:hideMark/>
          </w:tcPr>
          <w:p w14:paraId="1595801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2.08</w:t>
            </w:r>
          </w:p>
        </w:tc>
      </w:tr>
      <w:tr w:rsidR="005A28F7" w:rsidRPr="00856B60" w14:paraId="198B3F4A" w14:textId="77777777" w:rsidTr="008E414C">
        <w:trPr>
          <w:trHeight w:val="246"/>
        </w:trPr>
        <w:tc>
          <w:tcPr>
            <w:tcW w:w="939" w:type="dxa"/>
            <w:noWrap/>
            <w:vAlign w:val="bottom"/>
            <w:hideMark/>
          </w:tcPr>
          <w:p w14:paraId="3E406701"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P14</w:t>
            </w:r>
          </w:p>
        </w:tc>
        <w:tc>
          <w:tcPr>
            <w:tcW w:w="529" w:type="dxa"/>
            <w:noWrap/>
            <w:vAlign w:val="bottom"/>
            <w:hideMark/>
          </w:tcPr>
          <w:p w14:paraId="47BC57B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6.51</w:t>
            </w:r>
          </w:p>
        </w:tc>
        <w:tc>
          <w:tcPr>
            <w:tcW w:w="798" w:type="dxa"/>
            <w:noWrap/>
            <w:vAlign w:val="bottom"/>
            <w:hideMark/>
          </w:tcPr>
          <w:p w14:paraId="1F7E1D3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254.1</w:t>
            </w:r>
          </w:p>
        </w:tc>
        <w:tc>
          <w:tcPr>
            <w:tcW w:w="716" w:type="dxa"/>
            <w:noWrap/>
            <w:vAlign w:val="bottom"/>
            <w:hideMark/>
          </w:tcPr>
          <w:p w14:paraId="4432912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128.06</w:t>
            </w:r>
          </w:p>
        </w:tc>
        <w:tc>
          <w:tcPr>
            <w:tcW w:w="628" w:type="dxa"/>
            <w:noWrap/>
            <w:vAlign w:val="bottom"/>
            <w:hideMark/>
          </w:tcPr>
          <w:p w14:paraId="62F67EE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256F043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0.972</w:t>
            </w:r>
          </w:p>
        </w:tc>
        <w:tc>
          <w:tcPr>
            <w:tcW w:w="628" w:type="dxa"/>
            <w:noWrap/>
            <w:vAlign w:val="bottom"/>
            <w:hideMark/>
          </w:tcPr>
          <w:p w14:paraId="2F017079"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w:t>
            </w:r>
          </w:p>
        </w:tc>
        <w:tc>
          <w:tcPr>
            <w:tcW w:w="628" w:type="dxa"/>
            <w:noWrap/>
            <w:vAlign w:val="bottom"/>
            <w:hideMark/>
          </w:tcPr>
          <w:p w14:paraId="6544982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28</w:t>
            </w:r>
          </w:p>
        </w:tc>
        <w:tc>
          <w:tcPr>
            <w:tcW w:w="721" w:type="dxa"/>
            <w:noWrap/>
            <w:vAlign w:val="bottom"/>
            <w:hideMark/>
          </w:tcPr>
          <w:p w14:paraId="138E64A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58B8ACB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w:t>
            </w:r>
          </w:p>
        </w:tc>
        <w:tc>
          <w:tcPr>
            <w:tcW w:w="628" w:type="dxa"/>
            <w:noWrap/>
            <w:vAlign w:val="bottom"/>
            <w:hideMark/>
          </w:tcPr>
          <w:p w14:paraId="3FC5E17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60</w:t>
            </w:r>
          </w:p>
        </w:tc>
        <w:tc>
          <w:tcPr>
            <w:tcW w:w="628" w:type="dxa"/>
            <w:noWrap/>
            <w:vAlign w:val="bottom"/>
            <w:hideMark/>
          </w:tcPr>
          <w:p w14:paraId="2567399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12.6</w:t>
            </w:r>
          </w:p>
        </w:tc>
        <w:tc>
          <w:tcPr>
            <w:tcW w:w="628" w:type="dxa"/>
            <w:noWrap/>
            <w:vAlign w:val="bottom"/>
            <w:hideMark/>
          </w:tcPr>
          <w:p w14:paraId="0418576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2.08</w:t>
            </w:r>
          </w:p>
        </w:tc>
        <w:tc>
          <w:tcPr>
            <w:tcW w:w="628" w:type="dxa"/>
            <w:noWrap/>
            <w:vAlign w:val="bottom"/>
            <w:hideMark/>
          </w:tcPr>
          <w:p w14:paraId="34DCE6B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1.7</w:t>
            </w:r>
          </w:p>
        </w:tc>
      </w:tr>
      <w:tr w:rsidR="005A28F7" w:rsidRPr="00856B60" w14:paraId="5C970812" w14:textId="77777777" w:rsidTr="008E414C">
        <w:trPr>
          <w:trHeight w:val="246"/>
        </w:trPr>
        <w:tc>
          <w:tcPr>
            <w:tcW w:w="939" w:type="dxa"/>
            <w:noWrap/>
            <w:vAlign w:val="bottom"/>
            <w:hideMark/>
          </w:tcPr>
          <w:p w14:paraId="0E07C0B2"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P15</w:t>
            </w:r>
          </w:p>
        </w:tc>
        <w:tc>
          <w:tcPr>
            <w:tcW w:w="529" w:type="dxa"/>
            <w:noWrap/>
            <w:vAlign w:val="bottom"/>
            <w:hideMark/>
          </w:tcPr>
          <w:p w14:paraId="5A7812B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6.61</w:t>
            </w:r>
          </w:p>
        </w:tc>
        <w:tc>
          <w:tcPr>
            <w:tcW w:w="798" w:type="dxa"/>
            <w:noWrap/>
            <w:vAlign w:val="bottom"/>
            <w:hideMark/>
          </w:tcPr>
          <w:p w14:paraId="4B734DE6"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205.9</w:t>
            </w:r>
          </w:p>
        </w:tc>
        <w:tc>
          <w:tcPr>
            <w:tcW w:w="716" w:type="dxa"/>
            <w:noWrap/>
            <w:vAlign w:val="bottom"/>
            <w:hideMark/>
          </w:tcPr>
          <w:p w14:paraId="218052B7"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10,3,7</w:t>
            </w:r>
          </w:p>
        </w:tc>
        <w:tc>
          <w:tcPr>
            <w:tcW w:w="628" w:type="dxa"/>
            <w:noWrap/>
            <w:vAlign w:val="bottom"/>
            <w:hideMark/>
          </w:tcPr>
          <w:p w14:paraId="52F1E802"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2.4</w:t>
            </w:r>
          </w:p>
        </w:tc>
        <w:tc>
          <w:tcPr>
            <w:tcW w:w="716" w:type="dxa"/>
            <w:noWrap/>
            <w:vAlign w:val="bottom"/>
            <w:hideMark/>
          </w:tcPr>
          <w:p w14:paraId="255E710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0.486</w:t>
            </w:r>
          </w:p>
        </w:tc>
        <w:tc>
          <w:tcPr>
            <w:tcW w:w="628" w:type="dxa"/>
            <w:noWrap/>
            <w:vAlign w:val="bottom"/>
            <w:hideMark/>
          </w:tcPr>
          <w:p w14:paraId="33235E15"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w:t>
            </w:r>
          </w:p>
        </w:tc>
        <w:tc>
          <w:tcPr>
            <w:tcW w:w="628" w:type="dxa"/>
            <w:noWrap/>
            <w:vAlign w:val="bottom"/>
            <w:hideMark/>
          </w:tcPr>
          <w:p w14:paraId="6EDD101C"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29</w:t>
            </w:r>
          </w:p>
        </w:tc>
        <w:tc>
          <w:tcPr>
            <w:tcW w:w="721" w:type="dxa"/>
            <w:noWrap/>
            <w:vAlign w:val="bottom"/>
            <w:hideMark/>
          </w:tcPr>
          <w:p w14:paraId="31C0032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2E44AD5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1BBA4D0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37</w:t>
            </w:r>
          </w:p>
        </w:tc>
        <w:tc>
          <w:tcPr>
            <w:tcW w:w="628" w:type="dxa"/>
            <w:noWrap/>
            <w:vAlign w:val="bottom"/>
            <w:hideMark/>
          </w:tcPr>
          <w:p w14:paraId="5529D364"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44.2</w:t>
            </w:r>
          </w:p>
        </w:tc>
        <w:tc>
          <w:tcPr>
            <w:tcW w:w="628" w:type="dxa"/>
            <w:noWrap/>
            <w:vAlign w:val="bottom"/>
            <w:hideMark/>
          </w:tcPr>
          <w:p w14:paraId="409F98F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0.78</w:t>
            </w:r>
          </w:p>
        </w:tc>
        <w:tc>
          <w:tcPr>
            <w:tcW w:w="628" w:type="dxa"/>
            <w:noWrap/>
            <w:vAlign w:val="bottom"/>
            <w:hideMark/>
          </w:tcPr>
          <w:p w14:paraId="45BC1C50"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1.24</w:t>
            </w:r>
          </w:p>
        </w:tc>
      </w:tr>
      <w:tr w:rsidR="005A28F7" w:rsidRPr="00856B60" w14:paraId="55451ED6" w14:textId="77777777" w:rsidTr="008E414C">
        <w:trPr>
          <w:trHeight w:val="246"/>
        </w:trPr>
        <w:tc>
          <w:tcPr>
            <w:tcW w:w="939" w:type="dxa"/>
            <w:noWrap/>
            <w:vAlign w:val="bottom"/>
            <w:hideMark/>
          </w:tcPr>
          <w:p w14:paraId="291D80AB"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P16</w:t>
            </w:r>
          </w:p>
        </w:tc>
        <w:tc>
          <w:tcPr>
            <w:tcW w:w="529" w:type="dxa"/>
            <w:noWrap/>
            <w:vAlign w:val="bottom"/>
            <w:hideMark/>
          </w:tcPr>
          <w:p w14:paraId="6BDDE9B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6.84</w:t>
            </w:r>
          </w:p>
        </w:tc>
        <w:tc>
          <w:tcPr>
            <w:tcW w:w="798" w:type="dxa"/>
            <w:noWrap/>
            <w:vAlign w:val="bottom"/>
            <w:hideMark/>
          </w:tcPr>
          <w:p w14:paraId="3B5B601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149.9</w:t>
            </w:r>
          </w:p>
        </w:tc>
        <w:tc>
          <w:tcPr>
            <w:tcW w:w="716" w:type="dxa"/>
            <w:noWrap/>
            <w:vAlign w:val="bottom"/>
            <w:hideMark/>
          </w:tcPr>
          <w:p w14:paraId="3B82AAD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75.54</w:t>
            </w:r>
          </w:p>
        </w:tc>
        <w:tc>
          <w:tcPr>
            <w:tcW w:w="628" w:type="dxa"/>
            <w:noWrap/>
            <w:vAlign w:val="bottom"/>
            <w:hideMark/>
          </w:tcPr>
          <w:p w14:paraId="1EE03147"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2.4</w:t>
            </w:r>
          </w:p>
        </w:tc>
        <w:tc>
          <w:tcPr>
            <w:tcW w:w="716" w:type="dxa"/>
            <w:noWrap/>
            <w:vAlign w:val="bottom"/>
            <w:hideMark/>
          </w:tcPr>
          <w:p w14:paraId="19CF355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1.944</w:t>
            </w:r>
          </w:p>
        </w:tc>
        <w:tc>
          <w:tcPr>
            <w:tcW w:w="628" w:type="dxa"/>
            <w:noWrap/>
            <w:vAlign w:val="bottom"/>
            <w:hideMark/>
          </w:tcPr>
          <w:p w14:paraId="3D3E9F4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12</w:t>
            </w:r>
          </w:p>
        </w:tc>
        <w:tc>
          <w:tcPr>
            <w:tcW w:w="628" w:type="dxa"/>
            <w:noWrap/>
            <w:vAlign w:val="bottom"/>
            <w:hideMark/>
          </w:tcPr>
          <w:p w14:paraId="2670471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13.6</w:t>
            </w:r>
          </w:p>
        </w:tc>
        <w:tc>
          <w:tcPr>
            <w:tcW w:w="721" w:type="dxa"/>
            <w:noWrap/>
            <w:vAlign w:val="bottom"/>
            <w:hideMark/>
          </w:tcPr>
          <w:p w14:paraId="3C65472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7.32</w:t>
            </w:r>
          </w:p>
        </w:tc>
        <w:tc>
          <w:tcPr>
            <w:tcW w:w="628" w:type="dxa"/>
            <w:noWrap/>
            <w:vAlign w:val="bottom"/>
            <w:hideMark/>
          </w:tcPr>
          <w:p w14:paraId="14687E2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6</w:t>
            </w:r>
          </w:p>
        </w:tc>
        <w:tc>
          <w:tcPr>
            <w:tcW w:w="628" w:type="dxa"/>
            <w:noWrap/>
            <w:vAlign w:val="bottom"/>
            <w:hideMark/>
          </w:tcPr>
          <w:p w14:paraId="07BCCB8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27</w:t>
            </w:r>
          </w:p>
        </w:tc>
        <w:tc>
          <w:tcPr>
            <w:tcW w:w="628" w:type="dxa"/>
            <w:noWrap/>
            <w:vAlign w:val="bottom"/>
            <w:hideMark/>
          </w:tcPr>
          <w:p w14:paraId="70D9C63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21.5</w:t>
            </w:r>
          </w:p>
        </w:tc>
        <w:tc>
          <w:tcPr>
            <w:tcW w:w="628" w:type="dxa"/>
            <w:noWrap/>
            <w:vAlign w:val="bottom"/>
            <w:hideMark/>
          </w:tcPr>
          <w:p w14:paraId="6D95748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3.88</w:t>
            </w:r>
          </w:p>
        </w:tc>
        <w:tc>
          <w:tcPr>
            <w:tcW w:w="628" w:type="dxa"/>
            <w:noWrap/>
            <w:vAlign w:val="bottom"/>
            <w:hideMark/>
          </w:tcPr>
          <w:p w14:paraId="19A475B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1.91</w:t>
            </w:r>
          </w:p>
        </w:tc>
      </w:tr>
      <w:tr w:rsidR="005A28F7" w:rsidRPr="00856B60" w14:paraId="3F9B4CBC" w14:textId="77777777" w:rsidTr="008E414C">
        <w:trPr>
          <w:trHeight w:val="246"/>
        </w:trPr>
        <w:tc>
          <w:tcPr>
            <w:tcW w:w="939" w:type="dxa"/>
            <w:noWrap/>
            <w:vAlign w:val="bottom"/>
            <w:hideMark/>
          </w:tcPr>
          <w:p w14:paraId="57BCCF68" w14:textId="77777777" w:rsidR="005A28F7" w:rsidRPr="00856B60" w:rsidRDefault="005A28F7" w:rsidP="00947566">
            <w:pPr>
              <w:spacing w:after="0" w:line="240" w:lineRule="auto"/>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P17</w:t>
            </w:r>
          </w:p>
        </w:tc>
        <w:tc>
          <w:tcPr>
            <w:tcW w:w="529" w:type="dxa"/>
            <w:noWrap/>
            <w:vAlign w:val="bottom"/>
            <w:hideMark/>
          </w:tcPr>
          <w:p w14:paraId="016DB68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7.25</w:t>
            </w:r>
          </w:p>
        </w:tc>
        <w:tc>
          <w:tcPr>
            <w:tcW w:w="798" w:type="dxa"/>
            <w:noWrap/>
            <w:vAlign w:val="bottom"/>
            <w:hideMark/>
          </w:tcPr>
          <w:p w14:paraId="69011D08"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195.8</w:t>
            </w:r>
          </w:p>
        </w:tc>
        <w:tc>
          <w:tcPr>
            <w:tcW w:w="716" w:type="dxa"/>
            <w:noWrap/>
            <w:vAlign w:val="bottom"/>
            <w:hideMark/>
          </w:tcPr>
          <w:p w14:paraId="6AC3A5A1"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98.68</w:t>
            </w:r>
          </w:p>
        </w:tc>
        <w:tc>
          <w:tcPr>
            <w:tcW w:w="628" w:type="dxa"/>
            <w:noWrap/>
            <w:vAlign w:val="bottom"/>
            <w:hideMark/>
          </w:tcPr>
          <w:p w14:paraId="6EB6021A"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16" w:type="dxa"/>
            <w:noWrap/>
            <w:vAlign w:val="bottom"/>
            <w:hideMark/>
          </w:tcPr>
          <w:p w14:paraId="577B9FD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1.458</w:t>
            </w:r>
          </w:p>
        </w:tc>
        <w:tc>
          <w:tcPr>
            <w:tcW w:w="628" w:type="dxa"/>
            <w:noWrap/>
            <w:vAlign w:val="bottom"/>
            <w:hideMark/>
          </w:tcPr>
          <w:p w14:paraId="3CB114B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8</w:t>
            </w:r>
          </w:p>
        </w:tc>
        <w:tc>
          <w:tcPr>
            <w:tcW w:w="628" w:type="dxa"/>
            <w:noWrap/>
            <w:vAlign w:val="bottom"/>
            <w:hideMark/>
          </w:tcPr>
          <w:p w14:paraId="7075719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16</w:t>
            </w:r>
          </w:p>
        </w:tc>
        <w:tc>
          <w:tcPr>
            <w:tcW w:w="721" w:type="dxa"/>
            <w:noWrap/>
            <w:vAlign w:val="bottom"/>
            <w:hideMark/>
          </w:tcPr>
          <w:p w14:paraId="6494CE3B"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4.88</w:t>
            </w:r>
          </w:p>
        </w:tc>
        <w:tc>
          <w:tcPr>
            <w:tcW w:w="628" w:type="dxa"/>
            <w:noWrap/>
            <w:vAlign w:val="bottom"/>
            <w:hideMark/>
          </w:tcPr>
          <w:p w14:paraId="3BB895C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w:t>
            </w:r>
          </w:p>
        </w:tc>
        <w:tc>
          <w:tcPr>
            <w:tcW w:w="628" w:type="dxa"/>
            <w:noWrap/>
            <w:vAlign w:val="bottom"/>
            <w:hideMark/>
          </w:tcPr>
          <w:p w14:paraId="33580103"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36</w:t>
            </w:r>
          </w:p>
        </w:tc>
        <w:tc>
          <w:tcPr>
            <w:tcW w:w="628" w:type="dxa"/>
            <w:noWrap/>
            <w:vAlign w:val="bottom"/>
            <w:hideMark/>
          </w:tcPr>
          <w:p w14:paraId="522BAF9F"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13.7</w:t>
            </w:r>
          </w:p>
        </w:tc>
        <w:tc>
          <w:tcPr>
            <w:tcW w:w="628" w:type="dxa"/>
            <w:noWrap/>
            <w:vAlign w:val="bottom"/>
            <w:hideMark/>
          </w:tcPr>
          <w:p w14:paraId="70FD574D"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0.09</w:t>
            </w:r>
          </w:p>
        </w:tc>
        <w:tc>
          <w:tcPr>
            <w:tcW w:w="628" w:type="dxa"/>
            <w:noWrap/>
            <w:vAlign w:val="bottom"/>
            <w:hideMark/>
          </w:tcPr>
          <w:p w14:paraId="420B1E6E" w14:textId="77777777" w:rsidR="005A28F7" w:rsidRPr="00856B60" w:rsidRDefault="005A28F7" w:rsidP="00947566">
            <w:pPr>
              <w:spacing w:after="0" w:line="240" w:lineRule="auto"/>
              <w:jc w:val="right"/>
              <w:rPr>
                <w:rFonts w:ascii="Times New Roman" w:eastAsia="Times New Roman" w:hAnsi="Times New Roman" w:cs="Times New Roman"/>
                <w:color w:val="000000"/>
                <w:kern w:val="0"/>
                <w:sz w:val="20"/>
                <w:szCs w:val="20"/>
                <w14:ligatures w14:val="none"/>
              </w:rPr>
            </w:pPr>
            <w:r w:rsidRPr="00856B60">
              <w:rPr>
                <w:rFonts w:ascii="Times New Roman" w:eastAsia="Times New Roman" w:hAnsi="Times New Roman" w:cs="Times New Roman"/>
                <w:color w:val="000000"/>
                <w:kern w:val="0"/>
                <w:sz w:val="20"/>
                <w:szCs w:val="20"/>
                <w14:ligatures w14:val="none"/>
              </w:rPr>
              <w:t>2.64</w:t>
            </w:r>
          </w:p>
        </w:tc>
      </w:tr>
      <w:tr w:rsidR="005A28F7" w:rsidRPr="00856B60" w14:paraId="0D6B20AE" w14:textId="77777777" w:rsidTr="008E414C">
        <w:trPr>
          <w:trHeight w:val="246"/>
        </w:trPr>
        <w:tc>
          <w:tcPr>
            <w:tcW w:w="939" w:type="dxa"/>
            <w:noWrap/>
            <w:vAlign w:val="bottom"/>
            <w:hideMark/>
          </w:tcPr>
          <w:p w14:paraId="43DB9BEB" w14:textId="77777777" w:rsidR="005A28F7" w:rsidRPr="00856B60" w:rsidRDefault="005A28F7" w:rsidP="00947566">
            <w:pPr>
              <w:spacing w:after="0" w:line="240" w:lineRule="auto"/>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min</w:t>
            </w:r>
          </w:p>
        </w:tc>
        <w:tc>
          <w:tcPr>
            <w:tcW w:w="529" w:type="dxa"/>
            <w:noWrap/>
            <w:vAlign w:val="bottom"/>
            <w:hideMark/>
          </w:tcPr>
          <w:p w14:paraId="5AF9551F"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6.3</w:t>
            </w:r>
          </w:p>
        </w:tc>
        <w:tc>
          <w:tcPr>
            <w:tcW w:w="798" w:type="dxa"/>
            <w:noWrap/>
            <w:vAlign w:val="bottom"/>
            <w:hideMark/>
          </w:tcPr>
          <w:p w14:paraId="2A435C6E"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149.9</w:t>
            </w:r>
          </w:p>
        </w:tc>
        <w:tc>
          <w:tcPr>
            <w:tcW w:w="716" w:type="dxa"/>
            <w:noWrap/>
            <w:vAlign w:val="bottom"/>
            <w:hideMark/>
          </w:tcPr>
          <w:p w14:paraId="753DBD74"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75.54</w:t>
            </w:r>
          </w:p>
        </w:tc>
        <w:tc>
          <w:tcPr>
            <w:tcW w:w="628" w:type="dxa"/>
            <w:noWrap/>
            <w:vAlign w:val="bottom"/>
            <w:hideMark/>
          </w:tcPr>
          <w:p w14:paraId="5C99EEA5"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0.8</w:t>
            </w:r>
          </w:p>
        </w:tc>
        <w:tc>
          <w:tcPr>
            <w:tcW w:w="716" w:type="dxa"/>
            <w:noWrap/>
            <w:vAlign w:val="bottom"/>
            <w:hideMark/>
          </w:tcPr>
          <w:p w14:paraId="1865122D"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0.486</w:t>
            </w:r>
          </w:p>
        </w:tc>
        <w:tc>
          <w:tcPr>
            <w:tcW w:w="628" w:type="dxa"/>
            <w:noWrap/>
            <w:vAlign w:val="bottom"/>
            <w:hideMark/>
          </w:tcPr>
          <w:p w14:paraId="787700D7"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0.9</w:t>
            </w:r>
          </w:p>
        </w:tc>
        <w:tc>
          <w:tcPr>
            <w:tcW w:w="628" w:type="dxa"/>
            <w:noWrap/>
            <w:vAlign w:val="bottom"/>
            <w:hideMark/>
          </w:tcPr>
          <w:p w14:paraId="086836AA"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7.2</w:t>
            </w:r>
          </w:p>
        </w:tc>
        <w:tc>
          <w:tcPr>
            <w:tcW w:w="721" w:type="dxa"/>
            <w:noWrap/>
            <w:vAlign w:val="bottom"/>
            <w:hideMark/>
          </w:tcPr>
          <w:p w14:paraId="2105C34B"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4.88</w:t>
            </w:r>
          </w:p>
        </w:tc>
        <w:tc>
          <w:tcPr>
            <w:tcW w:w="628" w:type="dxa"/>
            <w:noWrap/>
            <w:vAlign w:val="bottom"/>
            <w:hideMark/>
          </w:tcPr>
          <w:p w14:paraId="7521DC2D"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0.43</w:t>
            </w:r>
          </w:p>
        </w:tc>
        <w:tc>
          <w:tcPr>
            <w:tcW w:w="628" w:type="dxa"/>
            <w:noWrap/>
            <w:vAlign w:val="bottom"/>
            <w:hideMark/>
          </w:tcPr>
          <w:p w14:paraId="2F089293"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9</w:t>
            </w:r>
          </w:p>
        </w:tc>
        <w:tc>
          <w:tcPr>
            <w:tcW w:w="628" w:type="dxa"/>
            <w:noWrap/>
            <w:vAlign w:val="bottom"/>
            <w:hideMark/>
          </w:tcPr>
          <w:p w14:paraId="76EBDE5A"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w:t>
            </w:r>
          </w:p>
        </w:tc>
        <w:tc>
          <w:tcPr>
            <w:tcW w:w="628" w:type="dxa"/>
            <w:noWrap/>
            <w:vAlign w:val="bottom"/>
            <w:hideMark/>
          </w:tcPr>
          <w:p w14:paraId="51BE1170"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0.09</w:t>
            </w:r>
          </w:p>
        </w:tc>
        <w:tc>
          <w:tcPr>
            <w:tcW w:w="628" w:type="dxa"/>
            <w:noWrap/>
            <w:vAlign w:val="bottom"/>
            <w:hideMark/>
          </w:tcPr>
          <w:p w14:paraId="03AFE183"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0.95</w:t>
            </w:r>
          </w:p>
        </w:tc>
      </w:tr>
      <w:tr w:rsidR="005A28F7" w:rsidRPr="00856B60" w14:paraId="1BBFAE63" w14:textId="77777777" w:rsidTr="008E414C">
        <w:trPr>
          <w:trHeight w:val="246"/>
        </w:trPr>
        <w:tc>
          <w:tcPr>
            <w:tcW w:w="939" w:type="dxa"/>
            <w:noWrap/>
            <w:vAlign w:val="bottom"/>
            <w:hideMark/>
          </w:tcPr>
          <w:p w14:paraId="61D16EA1" w14:textId="19F757CE" w:rsidR="005A28F7" w:rsidRPr="00856B60" w:rsidRDefault="009E1463" w:rsidP="00947566">
            <w:pPr>
              <w:spacing w:after="0" w:line="240" w:lineRule="auto"/>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m</w:t>
            </w:r>
            <w:r w:rsidR="005A28F7" w:rsidRPr="00856B60">
              <w:rPr>
                <w:rFonts w:ascii="Times New Roman" w:eastAsia="Times New Roman" w:hAnsi="Times New Roman" w:cs="Times New Roman"/>
                <w:b/>
                <w:bCs/>
                <w:color w:val="000000"/>
                <w:kern w:val="0"/>
                <w:sz w:val="20"/>
                <w:szCs w:val="20"/>
                <w14:ligatures w14:val="none"/>
              </w:rPr>
              <w:t>ax</w:t>
            </w:r>
          </w:p>
        </w:tc>
        <w:tc>
          <w:tcPr>
            <w:tcW w:w="529" w:type="dxa"/>
            <w:noWrap/>
            <w:vAlign w:val="bottom"/>
            <w:hideMark/>
          </w:tcPr>
          <w:p w14:paraId="3A8DF1E7"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7.34</w:t>
            </w:r>
          </w:p>
        </w:tc>
        <w:tc>
          <w:tcPr>
            <w:tcW w:w="798" w:type="dxa"/>
            <w:noWrap/>
            <w:vAlign w:val="bottom"/>
            <w:hideMark/>
          </w:tcPr>
          <w:p w14:paraId="7285F578"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1441</w:t>
            </w:r>
          </w:p>
        </w:tc>
        <w:tc>
          <w:tcPr>
            <w:tcW w:w="716" w:type="dxa"/>
            <w:noWrap/>
            <w:vAlign w:val="bottom"/>
            <w:hideMark/>
          </w:tcPr>
          <w:p w14:paraId="1826F289"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922.24</w:t>
            </w:r>
          </w:p>
        </w:tc>
        <w:tc>
          <w:tcPr>
            <w:tcW w:w="628" w:type="dxa"/>
            <w:noWrap/>
            <w:vAlign w:val="bottom"/>
            <w:hideMark/>
          </w:tcPr>
          <w:p w14:paraId="293321A7"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4.2</w:t>
            </w:r>
          </w:p>
        </w:tc>
        <w:tc>
          <w:tcPr>
            <w:tcW w:w="716" w:type="dxa"/>
            <w:noWrap/>
            <w:vAlign w:val="bottom"/>
            <w:hideMark/>
          </w:tcPr>
          <w:p w14:paraId="299EB9C5"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12.636</w:t>
            </w:r>
          </w:p>
        </w:tc>
        <w:tc>
          <w:tcPr>
            <w:tcW w:w="628" w:type="dxa"/>
            <w:noWrap/>
            <w:vAlign w:val="bottom"/>
            <w:hideMark/>
          </w:tcPr>
          <w:p w14:paraId="49497396"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56</w:t>
            </w:r>
          </w:p>
        </w:tc>
        <w:tc>
          <w:tcPr>
            <w:tcW w:w="628" w:type="dxa"/>
            <w:noWrap/>
            <w:vAlign w:val="bottom"/>
            <w:hideMark/>
          </w:tcPr>
          <w:p w14:paraId="21E4241A"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92.3</w:t>
            </w:r>
          </w:p>
        </w:tc>
        <w:tc>
          <w:tcPr>
            <w:tcW w:w="721" w:type="dxa"/>
            <w:noWrap/>
            <w:vAlign w:val="bottom"/>
            <w:hideMark/>
          </w:tcPr>
          <w:p w14:paraId="4849AE6B"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103</w:t>
            </w:r>
          </w:p>
        </w:tc>
        <w:tc>
          <w:tcPr>
            <w:tcW w:w="628" w:type="dxa"/>
            <w:noWrap/>
            <w:vAlign w:val="bottom"/>
            <w:hideMark/>
          </w:tcPr>
          <w:p w14:paraId="4DB528D2"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6</w:t>
            </w:r>
          </w:p>
        </w:tc>
        <w:tc>
          <w:tcPr>
            <w:tcW w:w="628" w:type="dxa"/>
            <w:noWrap/>
            <w:vAlign w:val="bottom"/>
            <w:hideMark/>
          </w:tcPr>
          <w:p w14:paraId="39EBD3FC"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301</w:t>
            </w:r>
          </w:p>
        </w:tc>
        <w:tc>
          <w:tcPr>
            <w:tcW w:w="628" w:type="dxa"/>
            <w:noWrap/>
            <w:vAlign w:val="bottom"/>
            <w:hideMark/>
          </w:tcPr>
          <w:p w14:paraId="27304044"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48.3</w:t>
            </w:r>
          </w:p>
        </w:tc>
        <w:tc>
          <w:tcPr>
            <w:tcW w:w="628" w:type="dxa"/>
            <w:noWrap/>
            <w:vAlign w:val="bottom"/>
            <w:hideMark/>
          </w:tcPr>
          <w:p w14:paraId="011E42C1"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4.55</w:t>
            </w:r>
          </w:p>
        </w:tc>
        <w:tc>
          <w:tcPr>
            <w:tcW w:w="628" w:type="dxa"/>
            <w:noWrap/>
            <w:vAlign w:val="bottom"/>
            <w:hideMark/>
          </w:tcPr>
          <w:p w14:paraId="00F3959F" w14:textId="77777777" w:rsidR="005A28F7" w:rsidRPr="008E414C"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eastAsia="Times New Roman" w:hAnsi="Times New Roman" w:cs="Times New Roman"/>
                <w:b/>
                <w:bCs/>
                <w:color w:val="000000"/>
                <w:kern w:val="0"/>
                <w:sz w:val="20"/>
                <w:szCs w:val="20"/>
                <w14:ligatures w14:val="none"/>
              </w:rPr>
              <w:t>27</w:t>
            </w:r>
          </w:p>
        </w:tc>
      </w:tr>
      <w:tr w:rsidR="009E1463" w:rsidRPr="00856B60" w14:paraId="45FE968C" w14:textId="77777777" w:rsidTr="008E414C">
        <w:trPr>
          <w:trHeight w:val="246"/>
        </w:trPr>
        <w:tc>
          <w:tcPr>
            <w:tcW w:w="939" w:type="dxa"/>
            <w:noWrap/>
            <w:vAlign w:val="bottom"/>
          </w:tcPr>
          <w:p w14:paraId="352BFF6C" w14:textId="25A442E8" w:rsidR="009E1463" w:rsidRPr="00856B60" w:rsidRDefault="009E1463" w:rsidP="009E1463">
            <w:pPr>
              <w:spacing w:after="0" w:line="240" w:lineRule="auto"/>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Type deviation</w:t>
            </w:r>
          </w:p>
        </w:tc>
        <w:tc>
          <w:tcPr>
            <w:tcW w:w="529" w:type="dxa"/>
            <w:noWrap/>
          </w:tcPr>
          <w:p w14:paraId="73F2A4E1" w14:textId="3F9D2DCB"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0.31</w:t>
            </w:r>
          </w:p>
        </w:tc>
        <w:tc>
          <w:tcPr>
            <w:tcW w:w="798" w:type="dxa"/>
            <w:noWrap/>
          </w:tcPr>
          <w:p w14:paraId="3EAC32FD" w14:textId="0BF29B71"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354.64</w:t>
            </w:r>
          </w:p>
        </w:tc>
        <w:tc>
          <w:tcPr>
            <w:tcW w:w="716" w:type="dxa"/>
            <w:noWrap/>
          </w:tcPr>
          <w:p w14:paraId="6F2CF96F" w14:textId="7541F798"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235.21</w:t>
            </w:r>
          </w:p>
        </w:tc>
        <w:tc>
          <w:tcPr>
            <w:tcW w:w="628" w:type="dxa"/>
            <w:noWrap/>
          </w:tcPr>
          <w:p w14:paraId="2B6A1C40" w14:textId="7EC46F3C"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12.28</w:t>
            </w:r>
          </w:p>
        </w:tc>
        <w:tc>
          <w:tcPr>
            <w:tcW w:w="716" w:type="dxa"/>
            <w:noWrap/>
          </w:tcPr>
          <w:p w14:paraId="20CA7FB8" w14:textId="50EC5C16"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12.06</w:t>
            </w:r>
          </w:p>
        </w:tc>
        <w:tc>
          <w:tcPr>
            <w:tcW w:w="628" w:type="dxa"/>
            <w:noWrap/>
          </w:tcPr>
          <w:p w14:paraId="13927FBA" w14:textId="1695AB9C"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1.02</w:t>
            </w:r>
          </w:p>
        </w:tc>
        <w:tc>
          <w:tcPr>
            <w:tcW w:w="628" w:type="dxa"/>
            <w:noWrap/>
          </w:tcPr>
          <w:p w14:paraId="763AB9CA" w14:textId="06E53D91"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2.97</w:t>
            </w:r>
          </w:p>
        </w:tc>
        <w:tc>
          <w:tcPr>
            <w:tcW w:w="721" w:type="dxa"/>
            <w:noWrap/>
          </w:tcPr>
          <w:p w14:paraId="45F67591" w14:textId="23779881"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12.45</w:t>
            </w:r>
          </w:p>
        </w:tc>
        <w:tc>
          <w:tcPr>
            <w:tcW w:w="628" w:type="dxa"/>
            <w:noWrap/>
          </w:tcPr>
          <w:p w14:paraId="1B0906D5" w14:textId="3E224283"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22.50</w:t>
            </w:r>
          </w:p>
        </w:tc>
        <w:tc>
          <w:tcPr>
            <w:tcW w:w="628" w:type="dxa"/>
            <w:noWrap/>
          </w:tcPr>
          <w:p w14:paraId="4457D3F9" w14:textId="435E7787"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23.84</w:t>
            </w:r>
          </w:p>
        </w:tc>
        <w:tc>
          <w:tcPr>
            <w:tcW w:w="628" w:type="dxa"/>
            <w:noWrap/>
          </w:tcPr>
          <w:p w14:paraId="786BD2F1" w14:textId="1A1C4B04"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1.75</w:t>
            </w:r>
          </w:p>
        </w:tc>
        <w:tc>
          <w:tcPr>
            <w:tcW w:w="628" w:type="dxa"/>
            <w:noWrap/>
          </w:tcPr>
          <w:p w14:paraId="5B885F6F" w14:textId="4A768B2E"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66.09</w:t>
            </w:r>
          </w:p>
        </w:tc>
        <w:tc>
          <w:tcPr>
            <w:tcW w:w="628" w:type="dxa"/>
            <w:noWrap/>
          </w:tcPr>
          <w:p w14:paraId="19C21725" w14:textId="40C63C6D" w:rsidR="009E1463" w:rsidRPr="008E414C" w:rsidRDefault="009E1463" w:rsidP="009E1463">
            <w:pPr>
              <w:spacing w:after="0" w:line="240" w:lineRule="auto"/>
              <w:jc w:val="right"/>
              <w:rPr>
                <w:rFonts w:ascii="Times New Roman" w:eastAsia="Times New Roman" w:hAnsi="Times New Roman" w:cs="Times New Roman"/>
                <w:b/>
                <w:bCs/>
                <w:color w:val="000000"/>
                <w:kern w:val="0"/>
                <w:sz w:val="20"/>
                <w:szCs w:val="20"/>
                <w14:ligatures w14:val="none"/>
              </w:rPr>
            </w:pPr>
            <w:r w:rsidRPr="008E414C">
              <w:rPr>
                <w:rFonts w:ascii="Times New Roman" w:hAnsi="Times New Roman" w:cs="Times New Roman"/>
                <w:b/>
                <w:bCs/>
                <w:sz w:val="20"/>
                <w:szCs w:val="20"/>
              </w:rPr>
              <w:t>15.26</w:t>
            </w:r>
          </w:p>
        </w:tc>
      </w:tr>
      <w:tr w:rsidR="005A28F7" w:rsidRPr="00856B60" w14:paraId="7C283606" w14:textId="77777777" w:rsidTr="008E414C">
        <w:trPr>
          <w:trHeight w:val="246"/>
        </w:trPr>
        <w:tc>
          <w:tcPr>
            <w:tcW w:w="939" w:type="dxa"/>
            <w:noWrap/>
            <w:vAlign w:val="bottom"/>
            <w:hideMark/>
          </w:tcPr>
          <w:p w14:paraId="2391BEBA" w14:textId="4B8A9D95" w:rsidR="005A28F7" w:rsidRPr="00856B60" w:rsidRDefault="009E1463" w:rsidP="00947566">
            <w:pPr>
              <w:spacing w:after="0" w:line="240" w:lineRule="auto"/>
              <w:rPr>
                <w:rFonts w:ascii="Times New Roman" w:eastAsia="Times New Roman" w:hAnsi="Times New Roman" w:cs="Times New Roman"/>
                <w:b/>
                <w:bCs/>
                <w:color w:val="000000"/>
                <w:kern w:val="0"/>
                <w:sz w:val="20"/>
                <w:szCs w:val="20"/>
                <w14:ligatures w14:val="none"/>
              </w:rPr>
            </w:pPr>
            <w:r>
              <w:rPr>
                <w:rFonts w:ascii="Times New Roman" w:eastAsia="Times New Roman" w:hAnsi="Times New Roman" w:cs="Times New Roman"/>
                <w:b/>
                <w:bCs/>
                <w:color w:val="000000"/>
                <w:kern w:val="0"/>
                <w:sz w:val="20"/>
                <w:szCs w:val="20"/>
                <w14:ligatures w14:val="none"/>
              </w:rPr>
              <w:t>Average</w:t>
            </w:r>
          </w:p>
        </w:tc>
        <w:tc>
          <w:tcPr>
            <w:tcW w:w="529" w:type="dxa"/>
            <w:noWrap/>
            <w:vAlign w:val="bottom"/>
            <w:hideMark/>
          </w:tcPr>
          <w:p w14:paraId="294EBDF3"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6.8</w:t>
            </w:r>
          </w:p>
        </w:tc>
        <w:tc>
          <w:tcPr>
            <w:tcW w:w="798" w:type="dxa"/>
            <w:noWrap/>
            <w:vAlign w:val="bottom"/>
            <w:hideMark/>
          </w:tcPr>
          <w:p w14:paraId="4CD9E356"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357.0</w:t>
            </w:r>
          </w:p>
        </w:tc>
        <w:tc>
          <w:tcPr>
            <w:tcW w:w="716" w:type="dxa"/>
            <w:noWrap/>
            <w:vAlign w:val="bottom"/>
            <w:hideMark/>
          </w:tcPr>
          <w:p w14:paraId="5DF34A72"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206.1</w:t>
            </w:r>
          </w:p>
        </w:tc>
        <w:tc>
          <w:tcPr>
            <w:tcW w:w="628" w:type="dxa"/>
            <w:noWrap/>
            <w:vAlign w:val="bottom"/>
            <w:hideMark/>
          </w:tcPr>
          <w:p w14:paraId="597BE4A9"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1.8</w:t>
            </w:r>
          </w:p>
        </w:tc>
        <w:tc>
          <w:tcPr>
            <w:tcW w:w="716" w:type="dxa"/>
            <w:noWrap/>
            <w:vAlign w:val="bottom"/>
            <w:hideMark/>
          </w:tcPr>
          <w:p w14:paraId="00FFFACB"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2.9</w:t>
            </w:r>
          </w:p>
        </w:tc>
        <w:tc>
          <w:tcPr>
            <w:tcW w:w="628" w:type="dxa"/>
            <w:noWrap/>
            <w:vAlign w:val="bottom"/>
            <w:hideMark/>
          </w:tcPr>
          <w:p w14:paraId="7744F796"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9.8</w:t>
            </w:r>
          </w:p>
        </w:tc>
        <w:tc>
          <w:tcPr>
            <w:tcW w:w="628" w:type="dxa"/>
            <w:noWrap/>
            <w:vAlign w:val="bottom"/>
            <w:hideMark/>
          </w:tcPr>
          <w:p w14:paraId="2BDB3E64"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27.1</w:t>
            </w:r>
          </w:p>
        </w:tc>
        <w:tc>
          <w:tcPr>
            <w:tcW w:w="721" w:type="dxa"/>
            <w:noWrap/>
            <w:vAlign w:val="bottom"/>
            <w:hideMark/>
          </w:tcPr>
          <w:p w14:paraId="14F53BF3"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15.5</w:t>
            </w:r>
          </w:p>
        </w:tc>
        <w:tc>
          <w:tcPr>
            <w:tcW w:w="628" w:type="dxa"/>
            <w:noWrap/>
            <w:vAlign w:val="bottom"/>
            <w:hideMark/>
          </w:tcPr>
          <w:p w14:paraId="1F09A6E8"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2.5</w:t>
            </w:r>
          </w:p>
        </w:tc>
        <w:tc>
          <w:tcPr>
            <w:tcW w:w="628" w:type="dxa"/>
            <w:noWrap/>
            <w:vAlign w:val="bottom"/>
            <w:hideMark/>
          </w:tcPr>
          <w:p w14:paraId="5054CCA6"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52.6</w:t>
            </w:r>
          </w:p>
        </w:tc>
        <w:tc>
          <w:tcPr>
            <w:tcW w:w="628" w:type="dxa"/>
            <w:noWrap/>
            <w:vAlign w:val="bottom"/>
            <w:hideMark/>
          </w:tcPr>
          <w:p w14:paraId="603BE940"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23.4</w:t>
            </w:r>
          </w:p>
        </w:tc>
        <w:tc>
          <w:tcPr>
            <w:tcW w:w="628" w:type="dxa"/>
            <w:noWrap/>
            <w:vAlign w:val="bottom"/>
            <w:hideMark/>
          </w:tcPr>
          <w:p w14:paraId="75701A22"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1.1</w:t>
            </w:r>
          </w:p>
        </w:tc>
        <w:tc>
          <w:tcPr>
            <w:tcW w:w="628" w:type="dxa"/>
            <w:noWrap/>
            <w:vAlign w:val="bottom"/>
            <w:hideMark/>
          </w:tcPr>
          <w:p w14:paraId="68A77B0B" w14:textId="77777777" w:rsidR="005A28F7" w:rsidRPr="00856B60" w:rsidRDefault="005A28F7" w:rsidP="00947566">
            <w:pPr>
              <w:spacing w:after="0" w:line="240" w:lineRule="auto"/>
              <w:jc w:val="right"/>
              <w:rPr>
                <w:rFonts w:ascii="Times New Roman" w:eastAsia="Times New Roman" w:hAnsi="Times New Roman" w:cs="Times New Roman"/>
                <w:b/>
                <w:bCs/>
                <w:color w:val="000000"/>
                <w:kern w:val="0"/>
                <w:sz w:val="20"/>
                <w:szCs w:val="20"/>
                <w14:ligatures w14:val="none"/>
              </w:rPr>
            </w:pPr>
            <w:r w:rsidRPr="00856B60">
              <w:rPr>
                <w:rFonts w:ascii="Times New Roman" w:eastAsia="Times New Roman" w:hAnsi="Times New Roman" w:cs="Times New Roman"/>
                <w:b/>
                <w:bCs/>
                <w:color w:val="000000"/>
                <w:kern w:val="0"/>
                <w:sz w:val="20"/>
                <w:szCs w:val="20"/>
                <w14:ligatures w14:val="none"/>
              </w:rPr>
              <w:t>3.7</w:t>
            </w:r>
          </w:p>
        </w:tc>
      </w:tr>
    </w:tbl>
    <w:p w14:paraId="455D50B8" w14:textId="77777777" w:rsidR="005A28F7" w:rsidRPr="00193B88" w:rsidRDefault="005A28F7" w:rsidP="00487D50">
      <w:pPr>
        <w:spacing w:after="0" w:line="360" w:lineRule="auto"/>
        <w:jc w:val="both"/>
        <w:rPr>
          <w:rFonts w:ascii="Times New Roman" w:hAnsi="Times New Roman" w:cs="Times New Roman"/>
          <w:lang w:val="en-US"/>
        </w:rPr>
      </w:pPr>
    </w:p>
    <w:p w14:paraId="5EE397FC" w14:textId="77777777" w:rsidR="005A28F7" w:rsidRDefault="005A28F7" w:rsidP="00487D50">
      <w:pPr>
        <w:spacing w:after="0" w:line="360" w:lineRule="auto"/>
        <w:jc w:val="both"/>
        <w:rPr>
          <w:rFonts w:ascii="Times New Roman" w:hAnsi="Times New Roman" w:cs="Times New Roman"/>
          <w:b/>
          <w:bCs/>
          <w:lang w:val="en-US"/>
        </w:rPr>
      </w:pPr>
    </w:p>
    <w:p w14:paraId="208EF072" w14:textId="14DC34D5" w:rsidR="00487D50" w:rsidRPr="00487D50" w:rsidRDefault="00487D50" w:rsidP="00487D50">
      <w:pPr>
        <w:spacing w:after="0" w:line="360" w:lineRule="auto"/>
        <w:jc w:val="both"/>
        <w:rPr>
          <w:rFonts w:ascii="Times New Roman" w:hAnsi="Times New Roman" w:cs="Times New Roman"/>
          <w:b/>
          <w:bCs/>
          <w:lang w:val="en-US"/>
        </w:rPr>
      </w:pPr>
      <w:r w:rsidRPr="00487D50">
        <w:rPr>
          <w:rFonts w:ascii="Times New Roman" w:hAnsi="Times New Roman" w:cs="Times New Roman"/>
          <w:b/>
          <w:bCs/>
          <w:lang w:val="en-US"/>
        </w:rPr>
        <w:t>4.1.1 Correlation Matrix</w:t>
      </w:r>
    </w:p>
    <w:p w14:paraId="095D0605" w14:textId="1A7C5AA4" w:rsidR="00487D50" w:rsidRPr="00487D50" w:rsidRDefault="00487D50" w:rsidP="00487D50">
      <w:pPr>
        <w:spacing w:after="0" w:line="360" w:lineRule="auto"/>
        <w:jc w:val="both"/>
        <w:rPr>
          <w:rFonts w:ascii="Times New Roman" w:hAnsi="Times New Roman" w:cs="Times New Roman"/>
          <w:lang w:val="en-US"/>
        </w:rPr>
      </w:pPr>
      <w:r w:rsidRPr="00487D50">
        <w:rPr>
          <w:rFonts w:ascii="Times New Roman" w:hAnsi="Times New Roman" w:cs="Times New Roman"/>
          <w:lang w:val="en-US"/>
        </w:rPr>
        <w:t xml:space="preserve">Table </w:t>
      </w:r>
      <w:r w:rsidR="00F36391">
        <w:rPr>
          <w:rFonts w:ascii="Times New Roman" w:hAnsi="Times New Roman" w:cs="Times New Roman"/>
          <w:lang w:val="en-US"/>
        </w:rPr>
        <w:t>2</w:t>
      </w:r>
      <w:r w:rsidRPr="00487D50">
        <w:rPr>
          <w:rFonts w:ascii="Times New Roman" w:hAnsi="Times New Roman" w:cs="Times New Roman"/>
          <w:lang w:val="en-US"/>
        </w:rPr>
        <w:t xml:space="preserve"> presents the correlation matrix of chemical elements analyzed in the borehole waters. According to Pearson, two variables are considered correlated when their correlation coefficient is greater than or equal to 50%.</w:t>
      </w:r>
    </w:p>
    <w:p w14:paraId="6F454EC3" w14:textId="393132D3" w:rsidR="00487D50" w:rsidRPr="00487D50" w:rsidRDefault="00487D50" w:rsidP="00487D50">
      <w:pPr>
        <w:spacing w:after="0" w:line="360" w:lineRule="auto"/>
        <w:jc w:val="both"/>
        <w:rPr>
          <w:rFonts w:ascii="Times New Roman" w:hAnsi="Times New Roman" w:cs="Times New Roman"/>
          <w:lang w:val="en-US"/>
        </w:rPr>
      </w:pPr>
      <w:r w:rsidRPr="00487D50">
        <w:rPr>
          <w:rFonts w:ascii="Times New Roman" w:hAnsi="Times New Roman" w:cs="Times New Roman"/>
          <w:lang w:val="en-US"/>
        </w:rPr>
        <w:t xml:space="preserve">Statistical analysis shows that physicochemical elements are strongly correlated with one another. A significant correlation is observed between TDS and magnesium ions (r </w:t>
      </w:r>
      <w:r w:rsidR="00E86A67">
        <w:rPr>
          <w:rFonts w:ascii="Times New Roman" w:hAnsi="Times New Roman" w:cs="Times New Roman"/>
          <w:lang w:val="en-US"/>
        </w:rPr>
        <w:t>=</w:t>
      </w:r>
      <w:r w:rsidRPr="00487D50">
        <w:rPr>
          <w:rFonts w:ascii="Times New Roman" w:hAnsi="Times New Roman" w:cs="Times New Roman"/>
          <w:lang w:val="en-US"/>
        </w:rPr>
        <w:t xml:space="preserve"> 0.76), potassium ions (r = 0.84), sodium ions (r = 0.77), sulfate ions (r = 0.83), and ammonium ions (r = 0.63). A moderate correlation is observed between calcium and bicarbonate (r = 0.70), and ammonium (r = 0.53). Magnesium shows strong correlations with potassium (r = 0.83), sodium (r = 0.72), and sulfate (r = 0.87). Sodium is strongly correlated with sulfate (r = 0.85) and bicarbonate (r = 0.62). A moderate correlation is observed between chloride and ammonium (r = 0.54) (Table </w:t>
      </w:r>
      <w:r w:rsidR="00F36391">
        <w:rPr>
          <w:rFonts w:ascii="Times New Roman" w:hAnsi="Times New Roman" w:cs="Times New Roman"/>
          <w:lang w:val="en-US"/>
        </w:rPr>
        <w:t>2</w:t>
      </w:r>
      <w:r w:rsidRPr="00487D50">
        <w:rPr>
          <w:rFonts w:ascii="Times New Roman" w:hAnsi="Times New Roman" w:cs="Times New Roman"/>
          <w:lang w:val="en-US"/>
        </w:rPr>
        <w:t>).</w:t>
      </w:r>
    </w:p>
    <w:p w14:paraId="728D9959" w14:textId="50EB762A" w:rsidR="00487D50" w:rsidRPr="00487D50" w:rsidRDefault="00487D50" w:rsidP="00487D50">
      <w:pPr>
        <w:spacing w:after="0" w:line="360" w:lineRule="auto"/>
        <w:jc w:val="both"/>
        <w:rPr>
          <w:rFonts w:ascii="Times New Roman" w:hAnsi="Times New Roman" w:cs="Times New Roman"/>
          <w:lang w:val="en-US"/>
        </w:rPr>
      </w:pPr>
      <w:r w:rsidRPr="00487D50">
        <w:rPr>
          <w:rFonts w:ascii="Times New Roman" w:hAnsi="Times New Roman" w:cs="Times New Roman"/>
          <w:lang w:val="en-US"/>
        </w:rPr>
        <w:lastRenderedPageBreak/>
        <w:t>The relationships observed between variables reflect similarities in the processes responsible for the presence of these ions in borehole waters. These correlations illustrate the influence of each parameter on groundwater mineralization processes.</w:t>
      </w:r>
    </w:p>
    <w:p w14:paraId="2A697F2C" w14:textId="70833EEF" w:rsidR="00487D50" w:rsidRDefault="00E86A67" w:rsidP="00487D50">
      <w:pPr>
        <w:spacing w:line="360" w:lineRule="auto"/>
        <w:rPr>
          <w:rFonts w:ascii="Times New Roman" w:hAnsi="Times New Roman" w:cs="Times New Roman"/>
          <w:lang w:val="en-US"/>
        </w:rPr>
      </w:pPr>
      <w:r w:rsidRPr="00E86A67">
        <w:rPr>
          <w:rFonts w:ascii="Times New Roman" w:hAnsi="Times New Roman" w:cs="Times New Roman"/>
          <w:b/>
          <w:bCs/>
          <w:lang w:val="en-US"/>
        </w:rPr>
        <w:t xml:space="preserve">Table </w:t>
      </w:r>
      <w:r w:rsidR="00F36391">
        <w:rPr>
          <w:rFonts w:ascii="Times New Roman" w:hAnsi="Times New Roman" w:cs="Times New Roman"/>
          <w:b/>
          <w:bCs/>
          <w:lang w:val="en-US"/>
        </w:rPr>
        <w:t>2</w:t>
      </w:r>
      <w:r>
        <w:rPr>
          <w:rFonts w:ascii="Times New Roman" w:hAnsi="Times New Roman" w:cs="Times New Roman"/>
          <w:lang w:val="en-US"/>
        </w:rPr>
        <w:t>: Correlation matrix</w:t>
      </w:r>
    </w:p>
    <w:tbl>
      <w:tblPr>
        <w:tblW w:w="8891" w:type="dxa"/>
        <w:tblLook w:val="04A0" w:firstRow="1" w:lastRow="0" w:firstColumn="1" w:lastColumn="0" w:noHBand="0" w:noVBand="1"/>
      </w:tblPr>
      <w:tblGrid>
        <w:gridCol w:w="743"/>
        <w:gridCol w:w="636"/>
        <w:gridCol w:w="585"/>
        <w:gridCol w:w="552"/>
        <w:gridCol w:w="786"/>
        <w:gridCol w:w="669"/>
        <w:gridCol w:w="652"/>
        <w:gridCol w:w="536"/>
        <w:gridCol w:w="568"/>
        <w:gridCol w:w="655"/>
        <w:gridCol w:w="524"/>
        <w:gridCol w:w="568"/>
        <w:gridCol w:w="541"/>
        <w:gridCol w:w="524"/>
        <w:gridCol w:w="533"/>
      </w:tblGrid>
      <w:tr w:rsidR="00E86A67" w:rsidRPr="00E86A67" w14:paraId="03BB5645" w14:textId="77777777" w:rsidTr="00947566">
        <w:trPr>
          <w:trHeight w:val="246"/>
        </w:trPr>
        <w:tc>
          <w:tcPr>
            <w:tcW w:w="672" w:type="dxa"/>
            <w:tcBorders>
              <w:top w:val="single" w:sz="8" w:space="0" w:color="auto"/>
              <w:left w:val="nil"/>
              <w:bottom w:val="single" w:sz="4" w:space="0" w:color="auto"/>
              <w:right w:val="nil"/>
            </w:tcBorders>
            <w:noWrap/>
            <w:vAlign w:val="bottom"/>
            <w:hideMark/>
          </w:tcPr>
          <w:p w14:paraId="2AE6813E"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 </w:t>
            </w:r>
          </w:p>
        </w:tc>
        <w:tc>
          <w:tcPr>
            <w:tcW w:w="641" w:type="dxa"/>
            <w:tcBorders>
              <w:top w:val="single" w:sz="8" w:space="0" w:color="auto"/>
              <w:left w:val="nil"/>
              <w:bottom w:val="single" w:sz="4" w:space="0" w:color="auto"/>
              <w:right w:val="nil"/>
            </w:tcBorders>
            <w:noWrap/>
            <w:vAlign w:val="bottom"/>
            <w:hideMark/>
          </w:tcPr>
          <w:p w14:paraId="67F8FEF6"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 xml:space="preserve">pH  </w:t>
            </w:r>
          </w:p>
        </w:tc>
        <w:tc>
          <w:tcPr>
            <w:tcW w:w="590" w:type="dxa"/>
            <w:tcBorders>
              <w:top w:val="single" w:sz="8" w:space="0" w:color="auto"/>
              <w:left w:val="nil"/>
              <w:bottom w:val="single" w:sz="4" w:space="0" w:color="auto"/>
              <w:right w:val="nil"/>
            </w:tcBorders>
            <w:noWrap/>
            <w:vAlign w:val="bottom"/>
            <w:hideMark/>
          </w:tcPr>
          <w:p w14:paraId="565A2298"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C 25°</w:t>
            </w:r>
          </w:p>
        </w:tc>
        <w:tc>
          <w:tcPr>
            <w:tcW w:w="556" w:type="dxa"/>
            <w:tcBorders>
              <w:top w:val="single" w:sz="8" w:space="0" w:color="auto"/>
              <w:left w:val="nil"/>
              <w:bottom w:val="single" w:sz="4" w:space="0" w:color="auto"/>
              <w:right w:val="nil"/>
            </w:tcBorders>
            <w:noWrap/>
            <w:vAlign w:val="bottom"/>
            <w:hideMark/>
          </w:tcPr>
          <w:p w14:paraId="5AEE0B64"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TDS</w:t>
            </w:r>
          </w:p>
        </w:tc>
        <w:tc>
          <w:tcPr>
            <w:tcW w:w="793" w:type="dxa"/>
            <w:tcBorders>
              <w:top w:val="single" w:sz="8" w:space="0" w:color="auto"/>
              <w:left w:val="nil"/>
              <w:bottom w:val="single" w:sz="4" w:space="0" w:color="auto"/>
              <w:right w:val="nil"/>
            </w:tcBorders>
            <w:noWrap/>
            <w:vAlign w:val="bottom"/>
            <w:hideMark/>
          </w:tcPr>
          <w:p w14:paraId="7937E3ED"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CaCO3</w:t>
            </w:r>
          </w:p>
        </w:tc>
        <w:tc>
          <w:tcPr>
            <w:tcW w:w="675" w:type="dxa"/>
            <w:tcBorders>
              <w:top w:val="single" w:sz="8" w:space="0" w:color="auto"/>
              <w:left w:val="nil"/>
              <w:bottom w:val="single" w:sz="4" w:space="0" w:color="auto"/>
              <w:right w:val="nil"/>
            </w:tcBorders>
            <w:noWrap/>
            <w:vAlign w:val="bottom"/>
            <w:hideMark/>
          </w:tcPr>
          <w:p w14:paraId="702FEAD0"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Ca</w:t>
            </w:r>
          </w:p>
        </w:tc>
        <w:tc>
          <w:tcPr>
            <w:tcW w:w="658" w:type="dxa"/>
            <w:tcBorders>
              <w:top w:val="single" w:sz="8" w:space="0" w:color="auto"/>
              <w:left w:val="nil"/>
              <w:bottom w:val="single" w:sz="4" w:space="0" w:color="auto"/>
              <w:right w:val="nil"/>
            </w:tcBorders>
            <w:noWrap/>
            <w:vAlign w:val="bottom"/>
            <w:hideMark/>
          </w:tcPr>
          <w:p w14:paraId="7950272B"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 xml:space="preserve">Mg </w:t>
            </w:r>
          </w:p>
        </w:tc>
        <w:tc>
          <w:tcPr>
            <w:tcW w:w="540" w:type="dxa"/>
            <w:tcBorders>
              <w:top w:val="single" w:sz="8" w:space="0" w:color="auto"/>
              <w:left w:val="nil"/>
              <w:bottom w:val="single" w:sz="4" w:space="0" w:color="auto"/>
              <w:right w:val="nil"/>
            </w:tcBorders>
            <w:noWrap/>
            <w:vAlign w:val="bottom"/>
            <w:hideMark/>
          </w:tcPr>
          <w:p w14:paraId="12FB9555"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K</w:t>
            </w:r>
          </w:p>
        </w:tc>
        <w:tc>
          <w:tcPr>
            <w:tcW w:w="573" w:type="dxa"/>
            <w:tcBorders>
              <w:top w:val="single" w:sz="8" w:space="0" w:color="auto"/>
              <w:left w:val="nil"/>
              <w:bottom w:val="single" w:sz="4" w:space="0" w:color="auto"/>
              <w:right w:val="nil"/>
            </w:tcBorders>
            <w:noWrap/>
            <w:vAlign w:val="bottom"/>
            <w:hideMark/>
          </w:tcPr>
          <w:p w14:paraId="589CA955"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Na</w:t>
            </w:r>
          </w:p>
        </w:tc>
        <w:tc>
          <w:tcPr>
            <w:tcW w:w="598" w:type="dxa"/>
            <w:tcBorders>
              <w:top w:val="single" w:sz="8" w:space="0" w:color="auto"/>
              <w:left w:val="nil"/>
              <w:bottom w:val="single" w:sz="4" w:space="0" w:color="auto"/>
              <w:right w:val="nil"/>
            </w:tcBorders>
            <w:noWrap/>
            <w:vAlign w:val="bottom"/>
            <w:hideMark/>
          </w:tcPr>
          <w:p w14:paraId="0D18F859"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HCO3</w:t>
            </w:r>
          </w:p>
        </w:tc>
        <w:tc>
          <w:tcPr>
            <w:tcW w:w="523" w:type="dxa"/>
            <w:tcBorders>
              <w:top w:val="single" w:sz="8" w:space="0" w:color="auto"/>
              <w:left w:val="nil"/>
              <w:bottom w:val="single" w:sz="4" w:space="0" w:color="auto"/>
              <w:right w:val="nil"/>
            </w:tcBorders>
            <w:noWrap/>
            <w:vAlign w:val="bottom"/>
            <w:hideMark/>
          </w:tcPr>
          <w:p w14:paraId="11FC3957"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Cl</w:t>
            </w:r>
          </w:p>
        </w:tc>
        <w:tc>
          <w:tcPr>
            <w:tcW w:w="573" w:type="dxa"/>
            <w:tcBorders>
              <w:top w:val="single" w:sz="8" w:space="0" w:color="auto"/>
              <w:left w:val="nil"/>
              <w:bottom w:val="single" w:sz="4" w:space="0" w:color="auto"/>
              <w:right w:val="nil"/>
            </w:tcBorders>
            <w:noWrap/>
            <w:vAlign w:val="bottom"/>
            <w:hideMark/>
          </w:tcPr>
          <w:p w14:paraId="14306B44"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SO4</w:t>
            </w:r>
          </w:p>
        </w:tc>
        <w:tc>
          <w:tcPr>
            <w:tcW w:w="498" w:type="dxa"/>
            <w:tcBorders>
              <w:top w:val="single" w:sz="8" w:space="0" w:color="auto"/>
              <w:left w:val="nil"/>
              <w:bottom w:val="single" w:sz="4" w:space="0" w:color="auto"/>
              <w:right w:val="nil"/>
            </w:tcBorders>
            <w:noWrap/>
            <w:vAlign w:val="bottom"/>
            <w:hideMark/>
          </w:tcPr>
          <w:p w14:paraId="208FCD12"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NO3</w:t>
            </w:r>
          </w:p>
        </w:tc>
        <w:tc>
          <w:tcPr>
            <w:tcW w:w="506" w:type="dxa"/>
            <w:tcBorders>
              <w:top w:val="single" w:sz="8" w:space="0" w:color="auto"/>
              <w:left w:val="nil"/>
              <w:bottom w:val="single" w:sz="4" w:space="0" w:color="auto"/>
              <w:right w:val="nil"/>
            </w:tcBorders>
            <w:noWrap/>
            <w:vAlign w:val="bottom"/>
            <w:hideMark/>
          </w:tcPr>
          <w:p w14:paraId="47BAFC50"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Fe</w:t>
            </w:r>
          </w:p>
        </w:tc>
        <w:tc>
          <w:tcPr>
            <w:tcW w:w="495" w:type="dxa"/>
            <w:tcBorders>
              <w:top w:val="single" w:sz="8" w:space="0" w:color="auto"/>
              <w:left w:val="nil"/>
              <w:bottom w:val="single" w:sz="4" w:space="0" w:color="auto"/>
              <w:right w:val="nil"/>
            </w:tcBorders>
            <w:noWrap/>
            <w:vAlign w:val="bottom"/>
            <w:hideMark/>
          </w:tcPr>
          <w:p w14:paraId="6B6E5B8E" w14:textId="77777777" w:rsidR="00E86A67" w:rsidRPr="00E86A67" w:rsidRDefault="00E86A67" w:rsidP="00E86A67">
            <w:pPr>
              <w:spacing w:after="0" w:line="240" w:lineRule="auto"/>
              <w:jc w:val="center"/>
              <w:rPr>
                <w:rFonts w:ascii="Aptos Narrow" w:eastAsia="Times New Roman" w:hAnsi="Aptos Narrow" w:cs="Times New Roman"/>
                <w:i/>
                <w:iCs/>
                <w:color w:val="000000"/>
                <w:kern w:val="0"/>
                <w:sz w:val="16"/>
                <w:szCs w:val="16"/>
                <w14:ligatures w14:val="none"/>
              </w:rPr>
            </w:pPr>
            <w:r w:rsidRPr="00E86A67">
              <w:rPr>
                <w:rFonts w:ascii="Aptos Narrow" w:eastAsia="Times New Roman" w:hAnsi="Aptos Narrow" w:cs="Times New Roman"/>
                <w:i/>
                <w:iCs/>
                <w:color w:val="000000"/>
                <w:kern w:val="0"/>
                <w:sz w:val="16"/>
                <w:szCs w:val="16"/>
                <w14:ligatures w14:val="none"/>
              </w:rPr>
              <w:t>NH4</w:t>
            </w:r>
          </w:p>
        </w:tc>
      </w:tr>
      <w:tr w:rsidR="00E86A67" w:rsidRPr="00E86A67" w14:paraId="50D53575" w14:textId="77777777" w:rsidTr="00947566">
        <w:trPr>
          <w:trHeight w:val="246"/>
        </w:trPr>
        <w:tc>
          <w:tcPr>
            <w:tcW w:w="672" w:type="dxa"/>
            <w:tcBorders>
              <w:top w:val="nil"/>
              <w:left w:val="nil"/>
              <w:bottom w:val="nil"/>
              <w:right w:val="nil"/>
            </w:tcBorders>
            <w:noWrap/>
            <w:vAlign w:val="bottom"/>
            <w:hideMark/>
          </w:tcPr>
          <w:p w14:paraId="44E935F6"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 xml:space="preserve">pH  </w:t>
            </w:r>
          </w:p>
        </w:tc>
        <w:tc>
          <w:tcPr>
            <w:tcW w:w="641" w:type="dxa"/>
            <w:tcBorders>
              <w:top w:val="nil"/>
              <w:left w:val="nil"/>
              <w:bottom w:val="nil"/>
              <w:right w:val="nil"/>
            </w:tcBorders>
            <w:shd w:val="clear" w:color="000000" w:fill="215C98"/>
            <w:noWrap/>
            <w:vAlign w:val="bottom"/>
            <w:hideMark/>
          </w:tcPr>
          <w:p w14:paraId="41C7EE3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90" w:type="dxa"/>
            <w:tcBorders>
              <w:top w:val="nil"/>
              <w:left w:val="nil"/>
              <w:bottom w:val="nil"/>
              <w:right w:val="nil"/>
            </w:tcBorders>
            <w:noWrap/>
            <w:vAlign w:val="bottom"/>
            <w:hideMark/>
          </w:tcPr>
          <w:p w14:paraId="2E0B8C2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56" w:type="dxa"/>
            <w:tcBorders>
              <w:top w:val="nil"/>
              <w:left w:val="nil"/>
              <w:bottom w:val="nil"/>
              <w:right w:val="nil"/>
            </w:tcBorders>
            <w:noWrap/>
            <w:vAlign w:val="bottom"/>
            <w:hideMark/>
          </w:tcPr>
          <w:p w14:paraId="0C0B8C0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793" w:type="dxa"/>
            <w:tcBorders>
              <w:top w:val="nil"/>
              <w:left w:val="nil"/>
              <w:bottom w:val="nil"/>
              <w:right w:val="nil"/>
            </w:tcBorders>
            <w:noWrap/>
            <w:vAlign w:val="bottom"/>
            <w:hideMark/>
          </w:tcPr>
          <w:p w14:paraId="3207D1AB"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75" w:type="dxa"/>
            <w:tcBorders>
              <w:top w:val="nil"/>
              <w:left w:val="nil"/>
              <w:bottom w:val="nil"/>
              <w:right w:val="nil"/>
            </w:tcBorders>
            <w:noWrap/>
            <w:vAlign w:val="bottom"/>
            <w:hideMark/>
          </w:tcPr>
          <w:p w14:paraId="710360E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58" w:type="dxa"/>
            <w:tcBorders>
              <w:top w:val="nil"/>
              <w:left w:val="nil"/>
              <w:bottom w:val="nil"/>
              <w:right w:val="nil"/>
            </w:tcBorders>
            <w:noWrap/>
            <w:vAlign w:val="bottom"/>
            <w:hideMark/>
          </w:tcPr>
          <w:p w14:paraId="29A8E78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40" w:type="dxa"/>
            <w:tcBorders>
              <w:top w:val="nil"/>
              <w:left w:val="nil"/>
              <w:bottom w:val="nil"/>
              <w:right w:val="nil"/>
            </w:tcBorders>
            <w:noWrap/>
            <w:vAlign w:val="bottom"/>
            <w:hideMark/>
          </w:tcPr>
          <w:p w14:paraId="4FC680F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0D4DEDDB"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01AA9C8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0944138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13AE0122"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156E2CB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3EB63BF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7028306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369BEBE8" w14:textId="77777777" w:rsidTr="00947566">
        <w:trPr>
          <w:trHeight w:val="246"/>
        </w:trPr>
        <w:tc>
          <w:tcPr>
            <w:tcW w:w="672" w:type="dxa"/>
            <w:tcBorders>
              <w:top w:val="nil"/>
              <w:left w:val="nil"/>
              <w:bottom w:val="nil"/>
              <w:right w:val="nil"/>
            </w:tcBorders>
            <w:noWrap/>
            <w:vAlign w:val="bottom"/>
            <w:hideMark/>
          </w:tcPr>
          <w:p w14:paraId="1E70AE23"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C 25°</w:t>
            </w:r>
          </w:p>
        </w:tc>
        <w:tc>
          <w:tcPr>
            <w:tcW w:w="641" w:type="dxa"/>
            <w:tcBorders>
              <w:top w:val="nil"/>
              <w:left w:val="nil"/>
              <w:bottom w:val="nil"/>
              <w:right w:val="nil"/>
            </w:tcBorders>
            <w:shd w:val="clear" w:color="000000" w:fill="A8BFD7"/>
            <w:noWrap/>
            <w:vAlign w:val="bottom"/>
            <w:hideMark/>
          </w:tcPr>
          <w:p w14:paraId="63D5260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0.40</w:t>
            </w:r>
          </w:p>
        </w:tc>
        <w:tc>
          <w:tcPr>
            <w:tcW w:w="590" w:type="dxa"/>
            <w:tcBorders>
              <w:top w:val="nil"/>
              <w:left w:val="nil"/>
              <w:bottom w:val="nil"/>
              <w:right w:val="nil"/>
            </w:tcBorders>
            <w:shd w:val="clear" w:color="000000" w:fill="215C98"/>
            <w:noWrap/>
            <w:vAlign w:val="bottom"/>
            <w:hideMark/>
          </w:tcPr>
          <w:p w14:paraId="0320553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56" w:type="dxa"/>
            <w:tcBorders>
              <w:top w:val="nil"/>
              <w:left w:val="nil"/>
              <w:bottom w:val="nil"/>
              <w:right w:val="nil"/>
            </w:tcBorders>
            <w:noWrap/>
            <w:vAlign w:val="bottom"/>
            <w:hideMark/>
          </w:tcPr>
          <w:p w14:paraId="0A72498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793" w:type="dxa"/>
            <w:tcBorders>
              <w:top w:val="nil"/>
              <w:left w:val="nil"/>
              <w:bottom w:val="nil"/>
              <w:right w:val="nil"/>
            </w:tcBorders>
            <w:noWrap/>
            <w:vAlign w:val="bottom"/>
            <w:hideMark/>
          </w:tcPr>
          <w:p w14:paraId="5D7B36A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75" w:type="dxa"/>
            <w:tcBorders>
              <w:top w:val="nil"/>
              <w:left w:val="nil"/>
              <w:bottom w:val="nil"/>
              <w:right w:val="nil"/>
            </w:tcBorders>
            <w:noWrap/>
            <w:vAlign w:val="bottom"/>
            <w:hideMark/>
          </w:tcPr>
          <w:p w14:paraId="5AED86F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58" w:type="dxa"/>
            <w:tcBorders>
              <w:top w:val="nil"/>
              <w:left w:val="nil"/>
              <w:bottom w:val="nil"/>
              <w:right w:val="nil"/>
            </w:tcBorders>
            <w:noWrap/>
            <w:vAlign w:val="bottom"/>
            <w:hideMark/>
          </w:tcPr>
          <w:p w14:paraId="6560AE5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40" w:type="dxa"/>
            <w:tcBorders>
              <w:top w:val="nil"/>
              <w:left w:val="nil"/>
              <w:bottom w:val="nil"/>
              <w:right w:val="nil"/>
            </w:tcBorders>
            <w:noWrap/>
            <w:vAlign w:val="bottom"/>
            <w:hideMark/>
          </w:tcPr>
          <w:p w14:paraId="490E1BCC"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3D4D3E2C"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5756E86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3C1E05F7"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66D7B31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7BFD60F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427D38F2"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58FE80B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6960B966" w14:textId="77777777" w:rsidTr="00947566">
        <w:trPr>
          <w:trHeight w:val="246"/>
        </w:trPr>
        <w:tc>
          <w:tcPr>
            <w:tcW w:w="672" w:type="dxa"/>
            <w:tcBorders>
              <w:top w:val="nil"/>
              <w:left w:val="nil"/>
              <w:bottom w:val="nil"/>
              <w:right w:val="nil"/>
            </w:tcBorders>
            <w:noWrap/>
            <w:vAlign w:val="bottom"/>
            <w:hideMark/>
          </w:tcPr>
          <w:p w14:paraId="16B5E273"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TDS</w:t>
            </w:r>
          </w:p>
        </w:tc>
        <w:tc>
          <w:tcPr>
            <w:tcW w:w="641" w:type="dxa"/>
            <w:tcBorders>
              <w:top w:val="nil"/>
              <w:left w:val="nil"/>
              <w:bottom w:val="nil"/>
              <w:right w:val="nil"/>
            </w:tcBorders>
            <w:shd w:val="clear" w:color="000000" w:fill="A9C0D7"/>
            <w:noWrap/>
            <w:vAlign w:val="bottom"/>
            <w:hideMark/>
          </w:tcPr>
          <w:p w14:paraId="5ABD0DF9"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0.39</w:t>
            </w:r>
          </w:p>
        </w:tc>
        <w:tc>
          <w:tcPr>
            <w:tcW w:w="590" w:type="dxa"/>
            <w:tcBorders>
              <w:top w:val="nil"/>
              <w:left w:val="nil"/>
              <w:bottom w:val="nil"/>
              <w:right w:val="nil"/>
            </w:tcBorders>
            <w:shd w:val="clear" w:color="000000" w:fill="225D99"/>
            <w:noWrap/>
            <w:vAlign w:val="bottom"/>
            <w:hideMark/>
          </w:tcPr>
          <w:p w14:paraId="21CDEC2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1.00</w:t>
            </w:r>
          </w:p>
        </w:tc>
        <w:tc>
          <w:tcPr>
            <w:tcW w:w="556" w:type="dxa"/>
            <w:tcBorders>
              <w:top w:val="nil"/>
              <w:left w:val="nil"/>
              <w:bottom w:val="nil"/>
              <w:right w:val="nil"/>
            </w:tcBorders>
            <w:shd w:val="clear" w:color="000000" w:fill="215C98"/>
            <w:noWrap/>
            <w:vAlign w:val="bottom"/>
            <w:hideMark/>
          </w:tcPr>
          <w:p w14:paraId="73E8DD0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793" w:type="dxa"/>
            <w:tcBorders>
              <w:top w:val="nil"/>
              <w:left w:val="nil"/>
              <w:bottom w:val="nil"/>
              <w:right w:val="nil"/>
            </w:tcBorders>
            <w:noWrap/>
            <w:vAlign w:val="bottom"/>
            <w:hideMark/>
          </w:tcPr>
          <w:p w14:paraId="4773EEA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675" w:type="dxa"/>
            <w:tcBorders>
              <w:top w:val="nil"/>
              <w:left w:val="nil"/>
              <w:bottom w:val="nil"/>
              <w:right w:val="nil"/>
            </w:tcBorders>
            <w:noWrap/>
            <w:vAlign w:val="bottom"/>
            <w:hideMark/>
          </w:tcPr>
          <w:p w14:paraId="4597041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658" w:type="dxa"/>
            <w:tcBorders>
              <w:top w:val="nil"/>
              <w:left w:val="nil"/>
              <w:bottom w:val="nil"/>
              <w:right w:val="nil"/>
            </w:tcBorders>
            <w:noWrap/>
            <w:vAlign w:val="bottom"/>
            <w:hideMark/>
          </w:tcPr>
          <w:p w14:paraId="4D84992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40" w:type="dxa"/>
            <w:tcBorders>
              <w:top w:val="nil"/>
              <w:left w:val="nil"/>
              <w:bottom w:val="nil"/>
              <w:right w:val="nil"/>
            </w:tcBorders>
            <w:noWrap/>
            <w:vAlign w:val="bottom"/>
            <w:hideMark/>
          </w:tcPr>
          <w:p w14:paraId="72F4733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26F4DD1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1AD2D2F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24F3064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1A44710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4EB15CA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053C729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7B04273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50A96538" w14:textId="77777777" w:rsidTr="00947566">
        <w:trPr>
          <w:trHeight w:val="246"/>
        </w:trPr>
        <w:tc>
          <w:tcPr>
            <w:tcW w:w="672" w:type="dxa"/>
            <w:tcBorders>
              <w:top w:val="nil"/>
              <w:left w:val="nil"/>
              <w:bottom w:val="nil"/>
              <w:right w:val="nil"/>
            </w:tcBorders>
            <w:noWrap/>
            <w:vAlign w:val="bottom"/>
            <w:hideMark/>
          </w:tcPr>
          <w:p w14:paraId="3EB57138"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CaCO3</w:t>
            </w:r>
          </w:p>
        </w:tc>
        <w:tc>
          <w:tcPr>
            <w:tcW w:w="641" w:type="dxa"/>
            <w:tcBorders>
              <w:top w:val="nil"/>
              <w:left w:val="nil"/>
              <w:bottom w:val="nil"/>
              <w:right w:val="nil"/>
            </w:tcBorders>
            <w:shd w:val="clear" w:color="000000" w:fill="A5BDD5"/>
            <w:noWrap/>
            <w:vAlign w:val="bottom"/>
            <w:hideMark/>
          </w:tcPr>
          <w:p w14:paraId="51C5522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0.41</w:t>
            </w:r>
          </w:p>
        </w:tc>
        <w:tc>
          <w:tcPr>
            <w:tcW w:w="590" w:type="dxa"/>
            <w:tcBorders>
              <w:top w:val="nil"/>
              <w:left w:val="nil"/>
              <w:bottom w:val="nil"/>
              <w:right w:val="nil"/>
            </w:tcBorders>
            <w:shd w:val="clear" w:color="000000" w:fill="4677A9"/>
            <w:noWrap/>
            <w:vAlign w:val="bottom"/>
            <w:hideMark/>
          </w:tcPr>
          <w:p w14:paraId="19ED6FB9"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0.84</w:t>
            </w:r>
          </w:p>
        </w:tc>
        <w:tc>
          <w:tcPr>
            <w:tcW w:w="556" w:type="dxa"/>
            <w:tcBorders>
              <w:top w:val="nil"/>
              <w:left w:val="nil"/>
              <w:bottom w:val="nil"/>
              <w:right w:val="nil"/>
            </w:tcBorders>
            <w:shd w:val="clear" w:color="000000" w:fill="4677A9"/>
            <w:noWrap/>
            <w:vAlign w:val="bottom"/>
            <w:hideMark/>
          </w:tcPr>
          <w:p w14:paraId="44E3BF9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0.84</w:t>
            </w:r>
          </w:p>
        </w:tc>
        <w:tc>
          <w:tcPr>
            <w:tcW w:w="793" w:type="dxa"/>
            <w:tcBorders>
              <w:top w:val="nil"/>
              <w:left w:val="nil"/>
              <w:bottom w:val="nil"/>
              <w:right w:val="nil"/>
            </w:tcBorders>
            <w:shd w:val="clear" w:color="000000" w:fill="215C98"/>
            <w:noWrap/>
            <w:vAlign w:val="bottom"/>
            <w:hideMark/>
          </w:tcPr>
          <w:p w14:paraId="703A8E5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675" w:type="dxa"/>
            <w:tcBorders>
              <w:top w:val="nil"/>
              <w:left w:val="nil"/>
              <w:bottom w:val="nil"/>
              <w:right w:val="nil"/>
            </w:tcBorders>
            <w:noWrap/>
            <w:vAlign w:val="bottom"/>
            <w:hideMark/>
          </w:tcPr>
          <w:p w14:paraId="1174D66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658" w:type="dxa"/>
            <w:tcBorders>
              <w:top w:val="nil"/>
              <w:left w:val="nil"/>
              <w:bottom w:val="nil"/>
              <w:right w:val="nil"/>
            </w:tcBorders>
            <w:noWrap/>
            <w:vAlign w:val="bottom"/>
            <w:hideMark/>
          </w:tcPr>
          <w:p w14:paraId="4A5161D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40" w:type="dxa"/>
            <w:tcBorders>
              <w:top w:val="nil"/>
              <w:left w:val="nil"/>
              <w:bottom w:val="nil"/>
              <w:right w:val="nil"/>
            </w:tcBorders>
            <w:noWrap/>
            <w:vAlign w:val="bottom"/>
            <w:hideMark/>
          </w:tcPr>
          <w:p w14:paraId="2F225E3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5484AB1C"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00A5302F"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5C363AD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277C13B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5E0C141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106C79D3"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2C8A4C9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1C851776" w14:textId="77777777" w:rsidTr="00947566">
        <w:trPr>
          <w:trHeight w:val="246"/>
        </w:trPr>
        <w:tc>
          <w:tcPr>
            <w:tcW w:w="672" w:type="dxa"/>
            <w:tcBorders>
              <w:top w:val="nil"/>
              <w:left w:val="nil"/>
              <w:bottom w:val="nil"/>
              <w:right w:val="nil"/>
            </w:tcBorders>
            <w:noWrap/>
            <w:vAlign w:val="bottom"/>
            <w:hideMark/>
          </w:tcPr>
          <w:p w14:paraId="0D9CF4CE"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Ca</w:t>
            </w:r>
          </w:p>
        </w:tc>
        <w:tc>
          <w:tcPr>
            <w:tcW w:w="641" w:type="dxa"/>
            <w:tcBorders>
              <w:top w:val="nil"/>
              <w:left w:val="nil"/>
              <w:bottom w:val="nil"/>
              <w:right w:val="nil"/>
            </w:tcBorders>
            <w:shd w:val="clear" w:color="000000" w:fill="FFECEC"/>
            <w:noWrap/>
            <w:vAlign w:val="bottom"/>
            <w:hideMark/>
          </w:tcPr>
          <w:p w14:paraId="5968460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-0.07</w:t>
            </w:r>
          </w:p>
        </w:tc>
        <w:tc>
          <w:tcPr>
            <w:tcW w:w="590" w:type="dxa"/>
            <w:tcBorders>
              <w:top w:val="nil"/>
              <w:left w:val="nil"/>
              <w:bottom w:val="nil"/>
              <w:right w:val="nil"/>
            </w:tcBorders>
            <w:shd w:val="clear" w:color="000000" w:fill="D6E1EC"/>
            <w:noWrap/>
            <w:vAlign w:val="bottom"/>
            <w:hideMark/>
          </w:tcPr>
          <w:p w14:paraId="1054119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0.19</w:t>
            </w:r>
          </w:p>
        </w:tc>
        <w:tc>
          <w:tcPr>
            <w:tcW w:w="556" w:type="dxa"/>
            <w:tcBorders>
              <w:top w:val="nil"/>
              <w:left w:val="nil"/>
              <w:bottom w:val="nil"/>
              <w:right w:val="nil"/>
            </w:tcBorders>
            <w:shd w:val="clear" w:color="000000" w:fill="D7E2ED"/>
            <w:noWrap/>
            <w:vAlign w:val="bottom"/>
            <w:hideMark/>
          </w:tcPr>
          <w:p w14:paraId="04331EB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0.18</w:t>
            </w:r>
          </w:p>
        </w:tc>
        <w:tc>
          <w:tcPr>
            <w:tcW w:w="793" w:type="dxa"/>
            <w:tcBorders>
              <w:top w:val="nil"/>
              <w:left w:val="nil"/>
              <w:bottom w:val="nil"/>
              <w:right w:val="nil"/>
            </w:tcBorders>
            <w:shd w:val="clear" w:color="000000" w:fill="FFE0E0"/>
            <w:noWrap/>
            <w:vAlign w:val="bottom"/>
            <w:hideMark/>
          </w:tcPr>
          <w:p w14:paraId="382E95B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-0.12</w:t>
            </w:r>
          </w:p>
        </w:tc>
        <w:tc>
          <w:tcPr>
            <w:tcW w:w="675" w:type="dxa"/>
            <w:tcBorders>
              <w:top w:val="nil"/>
              <w:left w:val="nil"/>
              <w:bottom w:val="nil"/>
              <w:right w:val="nil"/>
            </w:tcBorders>
            <w:shd w:val="clear" w:color="000000" w:fill="215C98"/>
            <w:noWrap/>
            <w:vAlign w:val="bottom"/>
            <w:hideMark/>
          </w:tcPr>
          <w:p w14:paraId="6E33817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658" w:type="dxa"/>
            <w:tcBorders>
              <w:top w:val="nil"/>
              <w:left w:val="nil"/>
              <w:bottom w:val="nil"/>
              <w:right w:val="nil"/>
            </w:tcBorders>
            <w:noWrap/>
            <w:vAlign w:val="bottom"/>
            <w:hideMark/>
          </w:tcPr>
          <w:p w14:paraId="48FBDF6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40" w:type="dxa"/>
            <w:tcBorders>
              <w:top w:val="nil"/>
              <w:left w:val="nil"/>
              <w:bottom w:val="nil"/>
              <w:right w:val="nil"/>
            </w:tcBorders>
            <w:noWrap/>
            <w:vAlign w:val="bottom"/>
            <w:hideMark/>
          </w:tcPr>
          <w:p w14:paraId="01B6F68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631B2BD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246CEE4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01FE2C95"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0F00FD3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33FFCDF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778DBED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13E03CB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6D5D1890" w14:textId="77777777" w:rsidTr="00947566">
        <w:trPr>
          <w:trHeight w:val="246"/>
        </w:trPr>
        <w:tc>
          <w:tcPr>
            <w:tcW w:w="672" w:type="dxa"/>
            <w:tcBorders>
              <w:top w:val="nil"/>
              <w:left w:val="nil"/>
              <w:bottom w:val="nil"/>
              <w:right w:val="nil"/>
            </w:tcBorders>
            <w:noWrap/>
            <w:vAlign w:val="bottom"/>
            <w:hideMark/>
          </w:tcPr>
          <w:p w14:paraId="38E1D672"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 xml:space="preserve">Mg </w:t>
            </w:r>
          </w:p>
        </w:tc>
        <w:tc>
          <w:tcPr>
            <w:tcW w:w="641" w:type="dxa"/>
            <w:tcBorders>
              <w:top w:val="nil"/>
              <w:left w:val="nil"/>
              <w:bottom w:val="nil"/>
              <w:right w:val="nil"/>
            </w:tcBorders>
            <w:shd w:val="clear" w:color="000000" w:fill="ABC1D8"/>
            <w:noWrap/>
            <w:vAlign w:val="bottom"/>
            <w:hideMark/>
          </w:tcPr>
          <w:p w14:paraId="4AEC9F5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0.38</w:t>
            </w:r>
          </w:p>
        </w:tc>
        <w:tc>
          <w:tcPr>
            <w:tcW w:w="590" w:type="dxa"/>
            <w:tcBorders>
              <w:top w:val="nil"/>
              <w:left w:val="nil"/>
              <w:bottom w:val="nil"/>
              <w:right w:val="nil"/>
            </w:tcBorders>
            <w:shd w:val="clear" w:color="000000" w:fill="5582B0"/>
            <w:noWrap/>
            <w:vAlign w:val="bottom"/>
            <w:hideMark/>
          </w:tcPr>
          <w:p w14:paraId="72A8C05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0.77</w:t>
            </w:r>
          </w:p>
        </w:tc>
        <w:tc>
          <w:tcPr>
            <w:tcW w:w="556" w:type="dxa"/>
            <w:tcBorders>
              <w:top w:val="nil"/>
              <w:left w:val="nil"/>
              <w:bottom w:val="nil"/>
              <w:right w:val="nil"/>
            </w:tcBorders>
            <w:shd w:val="clear" w:color="000000" w:fill="5784B1"/>
            <w:noWrap/>
            <w:vAlign w:val="bottom"/>
            <w:hideMark/>
          </w:tcPr>
          <w:p w14:paraId="4EE7A23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0.76</w:t>
            </w:r>
          </w:p>
        </w:tc>
        <w:tc>
          <w:tcPr>
            <w:tcW w:w="793" w:type="dxa"/>
            <w:tcBorders>
              <w:top w:val="nil"/>
              <w:left w:val="nil"/>
              <w:bottom w:val="nil"/>
              <w:right w:val="nil"/>
            </w:tcBorders>
            <w:shd w:val="clear" w:color="000000" w:fill="3269A0"/>
            <w:noWrap/>
            <w:vAlign w:val="bottom"/>
            <w:hideMark/>
          </w:tcPr>
          <w:p w14:paraId="2748203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0.93</w:t>
            </w:r>
          </w:p>
        </w:tc>
        <w:tc>
          <w:tcPr>
            <w:tcW w:w="675" w:type="dxa"/>
            <w:tcBorders>
              <w:top w:val="nil"/>
              <w:left w:val="nil"/>
              <w:bottom w:val="nil"/>
              <w:right w:val="nil"/>
            </w:tcBorders>
            <w:shd w:val="clear" w:color="000000" w:fill="FFE7E7"/>
            <w:noWrap/>
            <w:vAlign w:val="bottom"/>
            <w:hideMark/>
          </w:tcPr>
          <w:p w14:paraId="15094D0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-0.09</w:t>
            </w:r>
          </w:p>
        </w:tc>
        <w:tc>
          <w:tcPr>
            <w:tcW w:w="658" w:type="dxa"/>
            <w:tcBorders>
              <w:top w:val="nil"/>
              <w:left w:val="nil"/>
              <w:bottom w:val="nil"/>
              <w:right w:val="nil"/>
            </w:tcBorders>
            <w:shd w:val="clear" w:color="000000" w:fill="215C98"/>
            <w:noWrap/>
            <w:vAlign w:val="bottom"/>
            <w:hideMark/>
          </w:tcPr>
          <w:p w14:paraId="20DBE37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40" w:type="dxa"/>
            <w:tcBorders>
              <w:top w:val="nil"/>
              <w:left w:val="nil"/>
              <w:bottom w:val="nil"/>
              <w:right w:val="nil"/>
            </w:tcBorders>
            <w:noWrap/>
            <w:vAlign w:val="bottom"/>
            <w:hideMark/>
          </w:tcPr>
          <w:p w14:paraId="2EB2771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73" w:type="dxa"/>
            <w:tcBorders>
              <w:top w:val="nil"/>
              <w:left w:val="nil"/>
              <w:bottom w:val="nil"/>
              <w:right w:val="nil"/>
            </w:tcBorders>
            <w:noWrap/>
            <w:vAlign w:val="bottom"/>
            <w:hideMark/>
          </w:tcPr>
          <w:p w14:paraId="0F8EA66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98" w:type="dxa"/>
            <w:tcBorders>
              <w:top w:val="nil"/>
              <w:left w:val="nil"/>
              <w:bottom w:val="nil"/>
              <w:right w:val="nil"/>
            </w:tcBorders>
            <w:noWrap/>
            <w:vAlign w:val="bottom"/>
            <w:hideMark/>
          </w:tcPr>
          <w:p w14:paraId="6E92DED0"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137AB525"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65840F5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164DD16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426730D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0BCA5CF7"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34505E0E" w14:textId="77777777" w:rsidTr="00947566">
        <w:trPr>
          <w:trHeight w:val="246"/>
        </w:trPr>
        <w:tc>
          <w:tcPr>
            <w:tcW w:w="672" w:type="dxa"/>
            <w:tcBorders>
              <w:top w:val="nil"/>
              <w:left w:val="nil"/>
              <w:bottom w:val="nil"/>
              <w:right w:val="nil"/>
            </w:tcBorders>
            <w:noWrap/>
            <w:vAlign w:val="bottom"/>
            <w:hideMark/>
          </w:tcPr>
          <w:p w14:paraId="27844C4B"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K</w:t>
            </w:r>
          </w:p>
        </w:tc>
        <w:tc>
          <w:tcPr>
            <w:tcW w:w="641" w:type="dxa"/>
            <w:tcBorders>
              <w:top w:val="nil"/>
              <w:left w:val="nil"/>
              <w:bottom w:val="nil"/>
              <w:right w:val="nil"/>
            </w:tcBorders>
            <w:shd w:val="clear" w:color="000000" w:fill="CCDAE8"/>
            <w:noWrap/>
            <w:vAlign w:val="bottom"/>
            <w:hideMark/>
          </w:tcPr>
          <w:p w14:paraId="196F960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90" w:type="dxa"/>
            <w:tcBorders>
              <w:top w:val="nil"/>
              <w:left w:val="nil"/>
              <w:bottom w:val="nil"/>
              <w:right w:val="nil"/>
            </w:tcBorders>
            <w:shd w:val="clear" w:color="000000" w:fill="4476A9"/>
            <w:noWrap/>
            <w:vAlign w:val="bottom"/>
            <w:hideMark/>
          </w:tcPr>
          <w:p w14:paraId="68DAD6D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0.84</w:t>
            </w:r>
          </w:p>
        </w:tc>
        <w:tc>
          <w:tcPr>
            <w:tcW w:w="556" w:type="dxa"/>
            <w:tcBorders>
              <w:top w:val="nil"/>
              <w:left w:val="nil"/>
              <w:bottom w:val="nil"/>
              <w:right w:val="nil"/>
            </w:tcBorders>
            <w:shd w:val="clear" w:color="000000" w:fill="4375A8"/>
            <w:noWrap/>
            <w:vAlign w:val="bottom"/>
            <w:hideMark/>
          </w:tcPr>
          <w:p w14:paraId="2E70E99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0.85</w:t>
            </w:r>
          </w:p>
        </w:tc>
        <w:tc>
          <w:tcPr>
            <w:tcW w:w="793" w:type="dxa"/>
            <w:tcBorders>
              <w:top w:val="nil"/>
              <w:left w:val="nil"/>
              <w:bottom w:val="nil"/>
              <w:right w:val="nil"/>
            </w:tcBorders>
            <w:shd w:val="clear" w:color="000000" w:fill="4174A7"/>
            <w:noWrap/>
            <w:vAlign w:val="bottom"/>
            <w:hideMark/>
          </w:tcPr>
          <w:p w14:paraId="3CBD5C5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0.86</w:t>
            </w:r>
          </w:p>
        </w:tc>
        <w:tc>
          <w:tcPr>
            <w:tcW w:w="675" w:type="dxa"/>
            <w:tcBorders>
              <w:top w:val="nil"/>
              <w:left w:val="nil"/>
              <w:bottom w:val="nil"/>
              <w:right w:val="nil"/>
            </w:tcBorders>
            <w:shd w:val="clear" w:color="000000" w:fill="FFECEC"/>
            <w:noWrap/>
            <w:vAlign w:val="bottom"/>
            <w:hideMark/>
          </w:tcPr>
          <w:p w14:paraId="478CF27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-0.07</w:t>
            </w:r>
          </w:p>
        </w:tc>
        <w:tc>
          <w:tcPr>
            <w:tcW w:w="658" w:type="dxa"/>
            <w:tcBorders>
              <w:top w:val="nil"/>
              <w:left w:val="nil"/>
              <w:bottom w:val="nil"/>
              <w:right w:val="nil"/>
            </w:tcBorders>
            <w:shd w:val="clear" w:color="000000" w:fill="4778AA"/>
            <w:noWrap/>
            <w:vAlign w:val="bottom"/>
            <w:hideMark/>
          </w:tcPr>
          <w:p w14:paraId="053F80A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0.83</w:t>
            </w:r>
          </w:p>
        </w:tc>
        <w:tc>
          <w:tcPr>
            <w:tcW w:w="540" w:type="dxa"/>
            <w:tcBorders>
              <w:top w:val="nil"/>
              <w:left w:val="nil"/>
              <w:bottom w:val="nil"/>
              <w:right w:val="nil"/>
            </w:tcBorders>
            <w:shd w:val="clear" w:color="000000" w:fill="215C98"/>
            <w:noWrap/>
            <w:vAlign w:val="bottom"/>
            <w:hideMark/>
          </w:tcPr>
          <w:p w14:paraId="7038297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73" w:type="dxa"/>
            <w:tcBorders>
              <w:top w:val="nil"/>
              <w:left w:val="nil"/>
              <w:bottom w:val="nil"/>
              <w:right w:val="nil"/>
            </w:tcBorders>
            <w:noWrap/>
            <w:vAlign w:val="bottom"/>
            <w:hideMark/>
          </w:tcPr>
          <w:p w14:paraId="359B920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98" w:type="dxa"/>
            <w:tcBorders>
              <w:top w:val="nil"/>
              <w:left w:val="nil"/>
              <w:bottom w:val="nil"/>
              <w:right w:val="nil"/>
            </w:tcBorders>
            <w:noWrap/>
            <w:vAlign w:val="bottom"/>
            <w:hideMark/>
          </w:tcPr>
          <w:p w14:paraId="2C3EABB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23" w:type="dxa"/>
            <w:tcBorders>
              <w:top w:val="nil"/>
              <w:left w:val="nil"/>
              <w:bottom w:val="nil"/>
              <w:right w:val="nil"/>
            </w:tcBorders>
            <w:noWrap/>
            <w:vAlign w:val="bottom"/>
            <w:hideMark/>
          </w:tcPr>
          <w:p w14:paraId="7B4DEDF5"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77AEBA7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0534B882"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5297132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08C62399"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3AAF72A7" w14:textId="77777777" w:rsidTr="00947566">
        <w:trPr>
          <w:trHeight w:val="246"/>
        </w:trPr>
        <w:tc>
          <w:tcPr>
            <w:tcW w:w="672" w:type="dxa"/>
            <w:tcBorders>
              <w:top w:val="nil"/>
              <w:left w:val="nil"/>
              <w:bottom w:val="nil"/>
              <w:right w:val="nil"/>
            </w:tcBorders>
            <w:noWrap/>
            <w:vAlign w:val="bottom"/>
            <w:hideMark/>
          </w:tcPr>
          <w:p w14:paraId="0A34FEC7"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Na</w:t>
            </w:r>
          </w:p>
        </w:tc>
        <w:tc>
          <w:tcPr>
            <w:tcW w:w="641" w:type="dxa"/>
            <w:tcBorders>
              <w:top w:val="nil"/>
              <w:left w:val="nil"/>
              <w:bottom w:val="nil"/>
              <w:right w:val="nil"/>
            </w:tcBorders>
            <w:shd w:val="clear" w:color="000000" w:fill="CCDAE8"/>
            <w:noWrap/>
            <w:vAlign w:val="bottom"/>
            <w:hideMark/>
          </w:tcPr>
          <w:p w14:paraId="2E1EDAE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90" w:type="dxa"/>
            <w:tcBorders>
              <w:top w:val="nil"/>
              <w:left w:val="nil"/>
              <w:bottom w:val="nil"/>
              <w:right w:val="nil"/>
            </w:tcBorders>
            <w:shd w:val="clear" w:color="000000" w:fill="4F7EAE"/>
            <w:noWrap/>
            <w:vAlign w:val="bottom"/>
            <w:hideMark/>
          </w:tcPr>
          <w:p w14:paraId="70C0BC1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0.79</w:t>
            </w:r>
          </w:p>
        </w:tc>
        <w:tc>
          <w:tcPr>
            <w:tcW w:w="556" w:type="dxa"/>
            <w:tcBorders>
              <w:top w:val="nil"/>
              <w:left w:val="nil"/>
              <w:bottom w:val="nil"/>
              <w:right w:val="nil"/>
            </w:tcBorders>
            <w:shd w:val="clear" w:color="000000" w:fill="5582B0"/>
            <w:noWrap/>
            <w:vAlign w:val="bottom"/>
            <w:hideMark/>
          </w:tcPr>
          <w:p w14:paraId="2CFD897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0.77</w:t>
            </w:r>
          </w:p>
        </w:tc>
        <w:tc>
          <w:tcPr>
            <w:tcW w:w="793" w:type="dxa"/>
            <w:tcBorders>
              <w:top w:val="nil"/>
              <w:left w:val="nil"/>
              <w:bottom w:val="nil"/>
              <w:right w:val="nil"/>
            </w:tcBorders>
            <w:shd w:val="clear" w:color="000000" w:fill="7297BE"/>
            <w:noWrap/>
            <w:vAlign w:val="bottom"/>
            <w:hideMark/>
          </w:tcPr>
          <w:p w14:paraId="158F677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0.64</w:t>
            </w:r>
          </w:p>
        </w:tc>
        <w:tc>
          <w:tcPr>
            <w:tcW w:w="675" w:type="dxa"/>
            <w:tcBorders>
              <w:top w:val="nil"/>
              <w:left w:val="nil"/>
              <w:bottom w:val="nil"/>
              <w:right w:val="nil"/>
            </w:tcBorders>
            <w:shd w:val="clear" w:color="000000" w:fill="CBD9E7"/>
            <w:noWrap/>
            <w:vAlign w:val="bottom"/>
            <w:hideMark/>
          </w:tcPr>
          <w:p w14:paraId="3981BDF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0.24</w:t>
            </w:r>
          </w:p>
        </w:tc>
        <w:tc>
          <w:tcPr>
            <w:tcW w:w="658" w:type="dxa"/>
            <w:tcBorders>
              <w:top w:val="nil"/>
              <w:left w:val="nil"/>
              <w:bottom w:val="nil"/>
              <w:right w:val="nil"/>
            </w:tcBorders>
            <w:shd w:val="clear" w:color="000000" w:fill="618BB6"/>
            <w:noWrap/>
            <w:vAlign w:val="bottom"/>
            <w:hideMark/>
          </w:tcPr>
          <w:p w14:paraId="41607B6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0.72</w:t>
            </w:r>
          </w:p>
        </w:tc>
        <w:tc>
          <w:tcPr>
            <w:tcW w:w="540" w:type="dxa"/>
            <w:tcBorders>
              <w:top w:val="nil"/>
              <w:left w:val="nil"/>
              <w:bottom w:val="nil"/>
              <w:right w:val="nil"/>
            </w:tcBorders>
            <w:shd w:val="clear" w:color="000000" w:fill="507EAE"/>
            <w:noWrap/>
            <w:vAlign w:val="bottom"/>
            <w:hideMark/>
          </w:tcPr>
          <w:p w14:paraId="2D69EDE3"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0.79</w:t>
            </w:r>
          </w:p>
        </w:tc>
        <w:tc>
          <w:tcPr>
            <w:tcW w:w="573" w:type="dxa"/>
            <w:tcBorders>
              <w:top w:val="nil"/>
              <w:left w:val="nil"/>
              <w:bottom w:val="nil"/>
              <w:right w:val="nil"/>
            </w:tcBorders>
            <w:shd w:val="clear" w:color="000000" w:fill="215C98"/>
            <w:noWrap/>
            <w:vAlign w:val="bottom"/>
            <w:hideMark/>
          </w:tcPr>
          <w:p w14:paraId="53D7F96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98" w:type="dxa"/>
            <w:tcBorders>
              <w:top w:val="nil"/>
              <w:left w:val="nil"/>
              <w:bottom w:val="nil"/>
              <w:right w:val="nil"/>
            </w:tcBorders>
            <w:noWrap/>
            <w:vAlign w:val="bottom"/>
            <w:hideMark/>
          </w:tcPr>
          <w:p w14:paraId="1F87B96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23" w:type="dxa"/>
            <w:tcBorders>
              <w:top w:val="nil"/>
              <w:left w:val="nil"/>
              <w:bottom w:val="nil"/>
              <w:right w:val="nil"/>
            </w:tcBorders>
            <w:noWrap/>
            <w:vAlign w:val="bottom"/>
            <w:hideMark/>
          </w:tcPr>
          <w:p w14:paraId="34DFE40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73" w:type="dxa"/>
            <w:tcBorders>
              <w:top w:val="nil"/>
              <w:left w:val="nil"/>
              <w:bottom w:val="nil"/>
              <w:right w:val="nil"/>
            </w:tcBorders>
            <w:noWrap/>
            <w:vAlign w:val="bottom"/>
            <w:hideMark/>
          </w:tcPr>
          <w:p w14:paraId="0C3CC5CE"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127D25B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661C819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6EA4932F"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01445789" w14:textId="77777777" w:rsidTr="00947566">
        <w:trPr>
          <w:trHeight w:val="246"/>
        </w:trPr>
        <w:tc>
          <w:tcPr>
            <w:tcW w:w="672" w:type="dxa"/>
            <w:tcBorders>
              <w:top w:val="nil"/>
              <w:left w:val="nil"/>
              <w:bottom w:val="nil"/>
              <w:right w:val="nil"/>
            </w:tcBorders>
            <w:noWrap/>
            <w:vAlign w:val="bottom"/>
            <w:hideMark/>
          </w:tcPr>
          <w:p w14:paraId="77CE3ED1"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HCO3</w:t>
            </w:r>
          </w:p>
        </w:tc>
        <w:tc>
          <w:tcPr>
            <w:tcW w:w="641" w:type="dxa"/>
            <w:tcBorders>
              <w:top w:val="nil"/>
              <w:left w:val="nil"/>
              <w:bottom w:val="nil"/>
              <w:right w:val="nil"/>
            </w:tcBorders>
            <w:shd w:val="clear" w:color="000000" w:fill="FFE1E1"/>
            <w:noWrap/>
            <w:vAlign w:val="bottom"/>
            <w:hideMark/>
          </w:tcPr>
          <w:p w14:paraId="3E4CC313"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-0.12</w:t>
            </w:r>
          </w:p>
        </w:tc>
        <w:tc>
          <w:tcPr>
            <w:tcW w:w="590" w:type="dxa"/>
            <w:tcBorders>
              <w:top w:val="nil"/>
              <w:left w:val="nil"/>
              <w:bottom w:val="nil"/>
              <w:right w:val="nil"/>
            </w:tcBorders>
            <w:shd w:val="clear" w:color="000000" w:fill="B7CADE"/>
            <w:noWrap/>
            <w:vAlign w:val="bottom"/>
            <w:hideMark/>
          </w:tcPr>
          <w:p w14:paraId="21E4802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0.33</w:t>
            </w:r>
          </w:p>
        </w:tc>
        <w:tc>
          <w:tcPr>
            <w:tcW w:w="556" w:type="dxa"/>
            <w:tcBorders>
              <w:top w:val="nil"/>
              <w:left w:val="nil"/>
              <w:bottom w:val="nil"/>
              <w:right w:val="nil"/>
            </w:tcBorders>
            <w:shd w:val="clear" w:color="000000" w:fill="BDCFE1"/>
            <w:noWrap/>
            <w:vAlign w:val="bottom"/>
            <w:hideMark/>
          </w:tcPr>
          <w:p w14:paraId="5615203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0.30</w:t>
            </w:r>
          </w:p>
        </w:tc>
        <w:tc>
          <w:tcPr>
            <w:tcW w:w="793" w:type="dxa"/>
            <w:tcBorders>
              <w:top w:val="nil"/>
              <w:left w:val="nil"/>
              <w:bottom w:val="nil"/>
              <w:right w:val="nil"/>
            </w:tcBorders>
            <w:shd w:val="clear" w:color="000000" w:fill="ECF1F7"/>
            <w:noWrap/>
            <w:vAlign w:val="bottom"/>
            <w:hideMark/>
          </w:tcPr>
          <w:p w14:paraId="0383070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0.09</w:t>
            </w:r>
          </w:p>
        </w:tc>
        <w:tc>
          <w:tcPr>
            <w:tcW w:w="675" w:type="dxa"/>
            <w:tcBorders>
              <w:top w:val="nil"/>
              <w:left w:val="nil"/>
              <w:bottom w:val="nil"/>
              <w:right w:val="nil"/>
            </w:tcBorders>
            <w:shd w:val="clear" w:color="000000" w:fill="658EB8"/>
            <w:noWrap/>
            <w:vAlign w:val="bottom"/>
            <w:hideMark/>
          </w:tcPr>
          <w:p w14:paraId="54B2425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0.70</w:t>
            </w:r>
          </w:p>
        </w:tc>
        <w:tc>
          <w:tcPr>
            <w:tcW w:w="658" w:type="dxa"/>
            <w:tcBorders>
              <w:top w:val="nil"/>
              <w:left w:val="nil"/>
              <w:bottom w:val="nil"/>
              <w:right w:val="nil"/>
            </w:tcBorders>
            <w:shd w:val="clear" w:color="000000" w:fill="C0D1E2"/>
            <w:noWrap/>
            <w:vAlign w:val="bottom"/>
            <w:hideMark/>
          </w:tcPr>
          <w:p w14:paraId="55A8859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0.29</w:t>
            </w:r>
          </w:p>
        </w:tc>
        <w:tc>
          <w:tcPr>
            <w:tcW w:w="540" w:type="dxa"/>
            <w:tcBorders>
              <w:top w:val="nil"/>
              <w:left w:val="nil"/>
              <w:bottom w:val="nil"/>
              <w:right w:val="nil"/>
            </w:tcBorders>
            <w:shd w:val="clear" w:color="000000" w:fill="CDDAE8"/>
            <w:noWrap/>
            <w:vAlign w:val="bottom"/>
            <w:hideMark/>
          </w:tcPr>
          <w:p w14:paraId="3D198DE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73" w:type="dxa"/>
            <w:tcBorders>
              <w:top w:val="nil"/>
              <w:left w:val="nil"/>
              <w:bottom w:val="nil"/>
              <w:right w:val="nil"/>
            </w:tcBorders>
            <w:shd w:val="clear" w:color="000000" w:fill="769BC0"/>
            <w:noWrap/>
            <w:vAlign w:val="bottom"/>
            <w:hideMark/>
          </w:tcPr>
          <w:p w14:paraId="1864C80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0.62</w:t>
            </w:r>
          </w:p>
        </w:tc>
        <w:tc>
          <w:tcPr>
            <w:tcW w:w="598" w:type="dxa"/>
            <w:tcBorders>
              <w:top w:val="nil"/>
              <w:left w:val="nil"/>
              <w:bottom w:val="nil"/>
              <w:right w:val="nil"/>
            </w:tcBorders>
            <w:shd w:val="clear" w:color="000000" w:fill="215C98"/>
            <w:noWrap/>
            <w:vAlign w:val="bottom"/>
            <w:hideMark/>
          </w:tcPr>
          <w:p w14:paraId="6D5AA5D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23" w:type="dxa"/>
            <w:tcBorders>
              <w:top w:val="nil"/>
              <w:left w:val="nil"/>
              <w:bottom w:val="nil"/>
              <w:right w:val="nil"/>
            </w:tcBorders>
            <w:noWrap/>
            <w:vAlign w:val="bottom"/>
            <w:hideMark/>
          </w:tcPr>
          <w:p w14:paraId="4998CEC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73" w:type="dxa"/>
            <w:tcBorders>
              <w:top w:val="nil"/>
              <w:left w:val="nil"/>
              <w:bottom w:val="nil"/>
              <w:right w:val="nil"/>
            </w:tcBorders>
            <w:noWrap/>
            <w:vAlign w:val="bottom"/>
            <w:hideMark/>
          </w:tcPr>
          <w:p w14:paraId="064229A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8" w:type="dxa"/>
            <w:tcBorders>
              <w:top w:val="nil"/>
              <w:left w:val="nil"/>
              <w:bottom w:val="nil"/>
              <w:right w:val="nil"/>
            </w:tcBorders>
            <w:noWrap/>
            <w:vAlign w:val="bottom"/>
            <w:hideMark/>
          </w:tcPr>
          <w:p w14:paraId="334582D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0CB9B718"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4BB1DBA6"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59C20246" w14:textId="77777777" w:rsidTr="00947566">
        <w:trPr>
          <w:trHeight w:val="246"/>
        </w:trPr>
        <w:tc>
          <w:tcPr>
            <w:tcW w:w="672" w:type="dxa"/>
            <w:tcBorders>
              <w:top w:val="nil"/>
              <w:left w:val="nil"/>
              <w:bottom w:val="nil"/>
              <w:right w:val="nil"/>
            </w:tcBorders>
            <w:noWrap/>
            <w:vAlign w:val="bottom"/>
            <w:hideMark/>
          </w:tcPr>
          <w:p w14:paraId="35DEC949"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Cl</w:t>
            </w:r>
          </w:p>
        </w:tc>
        <w:tc>
          <w:tcPr>
            <w:tcW w:w="641" w:type="dxa"/>
            <w:tcBorders>
              <w:top w:val="nil"/>
              <w:left w:val="nil"/>
              <w:bottom w:val="nil"/>
              <w:right w:val="nil"/>
            </w:tcBorders>
            <w:shd w:val="clear" w:color="000000" w:fill="DCE6EF"/>
            <w:noWrap/>
            <w:vAlign w:val="bottom"/>
            <w:hideMark/>
          </w:tcPr>
          <w:p w14:paraId="3EDCB6E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0.16</w:t>
            </w:r>
          </w:p>
        </w:tc>
        <w:tc>
          <w:tcPr>
            <w:tcW w:w="590" w:type="dxa"/>
            <w:tcBorders>
              <w:top w:val="nil"/>
              <w:left w:val="nil"/>
              <w:bottom w:val="nil"/>
              <w:right w:val="nil"/>
            </w:tcBorders>
            <w:shd w:val="clear" w:color="000000" w:fill="C5D5E4"/>
            <w:noWrap/>
            <w:vAlign w:val="bottom"/>
            <w:hideMark/>
          </w:tcPr>
          <w:p w14:paraId="3462C3B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0.26</w:t>
            </w:r>
          </w:p>
        </w:tc>
        <w:tc>
          <w:tcPr>
            <w:tcW w:w="556" w:type="dxa"/>
            <w:tcBorders>
              <w:top w:val="nil"/>
              <w:left w:val="nil"/>
              <w:bottom w:val="nil"/>
              <w:right w:val="nil"/>
            </w:tcBorders>
            <w:shd w:val="clear" w:color="000000" w:fill="C2D2E3"/>
            <w:noWrap/>
            <w:vAlign w:val="bottom"/>
            <w:hideMark/>
          </w:tcPr>
          <w:p w14:paraId="4BFB3BF7"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0.28</w:t>
            </w:r>
          </w:p>
        </w:tc>
        <w:tc>
          <w:tcPr>
            <w:tcW w:w="793" w:type="dxa"/>
            <w:tcBorders>
              <w:top w:val="nil"/>
              <w:left w:val="nil"/>
              <w:bottom w:val="nil"/>
              <w:right w:val="nil"/>
            </w:tcBorders>
            <w:shd w:val="clear" w:color="000000" w:fill="DFE7F0"/>
            <w:noWrap/>
            <w:vAlign w:val="bottom"/>
            <w:hideMark/>
          </w:tcPr>
          <w:p w14:paraId="00384F9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0.15</w:t>
            </w:r>
          </w:p>
        </w:tc>
        <w:tc>
          <w:tcPr>
            <w:tcW w:w="675" w:type="dxa"/>
            <w:tcBorders>
              <w:top w:val="nil"/>
              <w:left w:val="nil"/>
              <w:bottom w:val="nil"/>
              <w:right w:val="nil"/>
            </w:tcBorders>
            <w:shd w:val="clear" w:color="000000" w:fill="E1E9F2"/>
            <w:noWrap/>
            <w:vAlign w:val="bottom"/>
            <w:hideMark/>
          </w:tcPr>
          <w:p w14:paraId="0B51498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0.14</w:t>
            </w:r>
          </w:p>
        </w:tc>
        <w:tc>
          <w:tcPr>
            <w:tcW w:w="658" w:type="dxa"/>
            <w:tcBorders>
              <w:top w:val="nil"/>
              <w:left w:val="nil"/>
              <w:bottom w:val="nil"/>
              <w:right w:val="nil"/>
            </w:tcBorders>
            <w:shd w:val="clear" w:color="000000" w:fill="FFFAFA"/>
            <w:noWrap/>
            <w:vAlign w:val="bottom"/>
            <w:hideMark/>
          </w:tcPr>
          <w:p w14:paraId="487F012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-0.02</w:t>
            </w:r>
          </w:p>
        </w:tc>
        <w:tc>
          <w:tcPr>
            <w:tcW w:w="540" w:type="dxa"/>
            <w:tcBorders>
              <w:top w:val="nil"/>
              <w:left w:val="nil"/>
              <w:bottom w:val="nil"/>
              <w:right w:val="nil"/>
            </w:tcBorders>
            <w:shd w:val="clear" w:color="000000" w:fill="DCE6EF"/>
            <w:noWrap/>
            <w:vAlign w:val="bottom"/>
            <w:hideMark/>
          </w:tcPr>
          <w:p w14:paraId="4B5B60F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0.16</w:t>
            </w:r>
          </w:p>
        </w:tc>
        <w:tc>
          <w:tcPr>
            <w:tcW w:w="573" w:type="dxa"/>
            <w:tcBorders>
              <w:top w:val="nil"/>
              <w:left w:val="nil"/>
              <w:bottom w:val="nil"/>
              <w:right w:val="nil"/>
            </w:tcBorders>
            <w:shd w:val="clear" w:color="000000" w:fill="FFEBEB"/>
            <w:noWrap/>
            <w:vAlign w:val="bottom"/>
            <w:hideMark/>
          </w:tcPr>
          <w:p w14:paraId="0BA2C1D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-0.08</w:t>
            </w:r>
          </w:p>
        </w:tc>
        <w:tc>
          <w:tcPr>
            <w:tcW w:w="598" w:type="dxa"/>
            <w:tcBorders>
              <w:top w:val="nil"/>
              <w:left w:val="nil"/>
              <w:bottom w:val="nil"/>
              <w:right w:val="nil"/>
            </w:tcBorders>
            <w:shd w:val="clear" w:color="000000" w:fill="FFDFDF"/>
            <w:noWrap/>
            <w:vAlign w:val="bottom"/>
            <w:hideMark/>
          </w:tcPr>
          <w:p w14:paraId="7DF20E3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-0.13</w:t>
            </w:r>
          </w:p>
        </w:tc>
        <w:tc>
          <w:tcPr>
            <w:tcW w:w="523" w:type="dxa"/>
            <w:tcBorders>
              <w:top w:val="nil"/>
              <w:left w:val="nil"/>
              <w:bottom w:val="nil"/>
              <w:right w:val="nil"/>
            </w:tcBorders>
            <w:shd w:val="clear" w:color="000000" w:fill="215C98"/>
            <w:noWrap/>
            <w:vAlign w:val="bottom"/>
            <w:hideMark/>
          </w:tcPr>
          <w:p w14:paraId="4A195DE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73" w:type="dxa"/>
            <w:tcBorders>
              <w:top w:val="nil"/>
              <w:left w:val="nil"/>
              <w:bottom w:val="nil"/>
              <w:right w:val="nil"/>
            </w:tcBorders>
            <w:noWrap/>
            <w:vAlign w:val="bottom"/>
            <w:hideMark/>
          </w:tcPr>
          <w:p w14:paraId="4A33563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498" w:type="dxa"/>
            <w:tcBorders>
              <w:top w:val="nil"/>
              <w:left w:val="nil"/>
              <w:bottom w:val="nil"/>
              <w:right w:val="nil"/>
            </w:tcBorders>
            <w:noWrap/>
            <w:vAlign w:val="bottom"/>
            <w:hideMark/>
          </w:tcPr>
          <w:p w14:paraId="2E7FF8F1"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506" w:type="dxa"/>
            <w:tcBorders>
              <w:top w:val="nil"/>
              <w:left w:val="nil"/>
              <w:bottom w:val="nil"/>
              <w:right w:val="nil"/>
            </w:tcBorders>
            <w:noWrap/>
            <w:vAlign w:val="bottom"/>
            <w:hideMark/>
          </w:tcPr>
          <w:p w14:paraId="7E7DF16A"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40A374BB"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6538692B" w14:textId="77777777" w:rsidTr="00947566">
        <w:trPr>
          <w:trHeight w:val="246"/>
        </w:trPr>
        <w:tc>
          <w:tcPr>
            <w:tcW w:w="672" w:type="dxa"/>
            <w:tcBorders>
              <w:top w:val="nil"/>
              <w:left w:val="nil"/>
              <w:bottom w:val="nil"/>
              <w:right w:val="nil"/>
            </w:tcBorders>
            <w:noWrap/>
            <w:vAlign w:val="bottom"/>
            <w:hideMark/>
          </w:tcPr>
          <w:p w14:paraId="02DE1731"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SO4</w:t>
            </w:r>
          </w:p>
        </w:tc>
        <w:tc>
          <w:tcPr>
            <w:tcW w:w="641" w:type="dxa"/>
            <w:tcBorders>
              <w:top w:val="nil"/>
              <w:left w:val="nil"/>
              <w:bottom w:val="nil"/>
              <w:right w:val="nil"/>
            </w:tcBorders>
            <w:shd w:val="clear" w:color="000000" w:fill="BECFE1"/>
            <w:noWrap/>
            <w:vAlign w:val="bottom"/>
            <w:hideMark/>
          </w:tcPr>
          <w:p w14:paraId="1D2C6B8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0.29</w:t>
            </w:r>
          </w:p>
        </w:tc>
        <w:tc>
          <w:tcPr>
            <w:tcW w:w="590" w:type="dxa"/>
            <w:tcBorders>
              <w:top w:val="nil"/>
              <w:left w:val="nil"/>
              <w:bottom w:val="nil"/>
              <w:right w:val="nil"/>
            </w:tcBorders>
            <w:shd w:val="clear" w:color="000000" w:fill="4677A9"/>
            <w:noWrap/>
            <w:vAlign w:val="bottom"/>
            <w:hideMark/>
          </w:tcPr>
          <w:p w14:paraId="4C25BA6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0.84</w:t>
            </w:r>
          </w:p>
        </w:tc>
        <w:tc>
          <w:tcPr>
            <w:tcW w:w="556" w:type="dxa"/>
            <w:tcBorders>
              <w:top w:val="nil"/>
              <w:left w:val="nil"/>
              <w:bottom w:val="nil"/>
              <w:right w:val="nil"/>
            </w:tcBorders>
            <w:shd w:val="clear" w:color="000000" w:fill="4778AA"/>
            <w:noWrap/>
            <w:vAlign w:val="bottom"/>
            <w:hideMark/>
          </w:tcPr>
          <w:p w14:paraId="5E6D50F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0.83</w:t>
            </w:r>
          </w:p>
        </w:tc>
        <w:tc>
          <w:tcPr>
            <w:tcW w:w="793" w:type="dxa"/>
            <w:tcBorders>
              <w:top w:val="nil"/>
              <w:left w:val="nil"/>
              <w:bottom w:val="nil"/>
              <w:right w:val="nil"/>
            </w:tcBorders>
            <w:shd w:val="clear" w:color="000000" w:fill="3F72A6"/>
            <w:noWrap/>
            <w:vAlign w:val="bottom"/>
            <w:hideMark/>
          </w:tcPr>
          <w:p w14:paraId="22C8197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0.87</w:t>
            </w:r>
          </w:p>
        </w:tc>
        <w:tc>
          <w:tcPr>
            <w:tcW w:w="675" w:type="dxa"/>
            <w:tcBorders>
              <w:top w:val="nil"/>
              <w:left w:val="nil"/>
              <w:bottom w:val="nil"/>
              <w:right w:val="nil"/>
            </w:tcBorders>
            <w:shd w:val="clear" w:color="000000" w:fill="FFE1E1"/>
            <w:noWrap/>
            <w:vAlign w:val="bottom"/>
            <w:hideMark/>
          </w:tcPr>
          <w:p w14:paraId="71863FE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-0.12</w:t>
            </w:r>
          </w:p>
        </w:tc>
        <w:tc>
          <w:tcPr>
            <w:tcW w:w="658" w:type="dxa"/>
            <w:tcBorders>
              <w:top w:val="nil"/>
              <w:left w:val="nil"/>
              <w:bottom w:val="nil"/>
              <w:right w:val="nil"/>
            </w:tcBorders>
            <w:shd w:val="clear" w:color="000000" w:fill="3E71A6"/>
            <w:noWrap/>
            <w:vAlign w:val="bottom"/>
            <w:hideMark/>
          </w:tcPr>
          <w:p w14:paraId="464F426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0.87</w:t>
            </w:r>
          </w:p>
        </w:tc>
        <w:tc>
          <w:tcPr>
            <w:tcW w:w="540" w:type="dxa"/>
            <w:tcBorders>
              <w:top w:val="nil"/>
              <w:left w:val="nil"/>
              <w:bottom w:val="nil"/>
              <w:right w:val="nil"/>
            </w:tcBorders>
            <w:shd w:val="clear" w:color="000000" w:fill="2D659E"/>
            <w:noWrap/>
            <w:vAlign w:val="bottom"/>
            <w:hideMark/>
          </w:tcPr>
          <w:p w14:paraId="69B4865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0.95</w:t>
            </w:r>
          </w:p>
        </w:tc>
        <w:tc>
          <w:tcPr>
            <w:tcW w:w="573" w:type="dxa"/>
            <w:tcBorders>
              <w:top w:val="nil"/>
              <w:left w:val="nil"/>
              <w:bottom w:val="nil"/>
              <w:right w:val="nil"/>
            </w:tcBorders>
            <w:shd w:val="clear" w:color="000000" w:fill="4274A8"/>
            <w:noWrap/>
            <w:vAlign w:val="bottom"/>
            <w:hideMark/>
          </w:tcPr>
          <w:p w14:paraId="4D92DEF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0.85</w:t>
            </w:r>
          </w:p>
        </w:tc>
        <w:tc>
          <w:tcPr>
            <w:tcW w:w="598" w:type="dxa"/>
            <w:tcBorders>
              <w:top w:val="nil"/>
              <w:left w:val="nil"/>
              <w:bottom w:val="nil"/>
              <w:right w:val="nil"/>
            </w:tcBorders>
            <w:shd w:val="clear" w:color="000000" w:fill="CDDBE8"/>
            <w:noWrap/>
            <w:vAlign w:val="bottom"/>
            <w:hideMark/>
          </w:tcPr>
          <w:p w14:paraId="1681AE3D"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23" w:type="dxa"/>
            <w:tcBorders>
              <w:top w:val="nil"/>
              <w:left w:val="nil"/>
              <w:bottom w:val="nil"/>
              <w:right w:val="nil"/>
            </w:tcBorders>
            <w:shd w:val="clear" w:color="000000" w:fill="FFF6F6"/>
            <w:noWrap/>
            <w:vAlign w:val="bottom"/>
            <w:hideMark/>
          </w:tcPr>
          <w:p w14:paraId="08060639"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-0.03</w:t>
            </w:r>
          </w:p>
        </w:tc>
        <w:tc>
          <w:tcPr>
            <w:tcW w:w="573" w:type="dxa"/>
            <w:tcBorders>
              <w:top w:val="nil"/>
              <w:left w:val="nil"/>
              <w:bottom w:val="nil"/>
              <w:right w:val="nil"/>
            </w:tcBorders>
            <w:shd w:val="clear" w:color="000000" w:fill="215C98"/>
            <w:noWrap/>
            <w:vAlign w:val="bottom"/>
            <w:hideMark/>
          </w:tcPr>
          <w:p w14:paraId="6A2964B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498" w:type="dxa"/>
            <w:tcBorders>
              <w:top w:val="nil"/>
              <w:left w:val="nil"/>
              <w:bottom w:val="nil"/>
              <w:right w:val="nil"/>
            </w:tcBorders>
            <w:noWrap/>
            <w:vAlign w:val="bottom"/>
            <w:hideMark/>
          </w:tcPr>
          <w:p w14:paraId="5108A5A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506" w:type="dxa"/>
            <w:tcBorders>
              <w:top w:val="nil"/>
              <w:left w:val="nil"/>
              <w:bottom w:val="nil"/>
              <w:right w:val="nil"/>
            </w:tcBorders>
            <w:noWrap/>
            <w:vAlign w:val="bottom"/>
            <w:hideMark/>
          </w:tcPr>
          <w:p w14:paraId="53C8D3B5"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c>
          <w:tcPr>
            <w:tcW w:w="495" w:type="dxa"/>
            <w:tcBorders>
              <w:top w:val="nil"/>
              <w:left w:val="nil"/>
              <w:bottom w:val="nil"/>
              <w:right w:val="nil"/>
            </w:tcBorders>
            <w:noWrap/>
            <w:vAlign w:val="bottom"/>
            <w:hideMark/>
          </w:tcPr>
          <w:p w14:paraId="5A6EBC3D"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18C4F7C5" w14:textId="77777777" w:rsidTr="00947566">
        <w:trPr>
          <w:trHeight w:val="246"/>
        </w:trPr>
        <w:tc>
          <w:tcPr>
            <w:tcW w:w="672" w:type="dxa"/>
            <w:tcBorders>
              <w:top w:val="nil"/>
              <w:left w:val="nil"/>
              <w:bottom w:val="nil"/>
              <w:right w:val="nil"/>
            </w:tcBorders>
            <w:noWrap/>
            <w:vAlign w:val="bottom"/>
            <w:hideMark/>
          </w:tcPr>
          <w:p w14:paraId="40277DDF"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NO3</w:t>
            </w:r>
          </w:p>
        </w:tc>
        <w:tc>
          <w:tcPr>
            <w:tcW w:w="641" w:type="dxa"/>
            <w:tcBorders>
              <w:top w:val="nil"/>
              <w:left w:val="nil"/>
              <w:bottom w:val="nil"/>
              <w:right w:val="nil"/>
            </w:tcBorders>
            <w:shd w:val="clear" w:color="000000" w:fill="D5E0EC"/>
            <w:noWrap/>
            <w:vAlign w:val="bottom"/>
            <w:hideMark/>
          </w:tcPr>
          <w:p w14:paraId="4614B96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0.19</w:t>
            </w:r>
          </w:p>
        </w:tc>
        <w:tc>
          <w:tcPr>
            <w:tcW w:w="590" w:type="dxa"/>
            <w:tcBorders>
              <w:top w:val="nil"/>
              <w:left w:val="nil"/>
              <w:bottom w:val="nil"/>
              <w:right w:val="nil"/>
            </w:tcBorders>
            <w:shd w:val="clear" w:color="000000" w:fill="D7E2ED"/>
            <w:noWrap/>
            <w:vAlign w:val="bottom"/>
            <w:hideMark/>
          </w:tcPr>
          <w:p w14:paraId="241901F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0.18</w:t>
            </w:r>
          </w:p>
        </w:tc>
        <w:tc>
          <w:tcPr>
            <w:tcW w:w="556" w:type="dxa"/>
            <w:tcBorders>
              <w:top w:val="nil"/>
              <w:left w:val="nil"/>
              <w:bottom w:val="nil"/>
              <w:right w:val="nil"/>
            </w:tcBorders>
            <w:shd w:val="clear" w:color="000000" w:fill="DBE5EF"/>
            <w:noWrap/>
            <w:vAlign w:val="bottom"/>
            <w:hideMark/>
          </w:tcPr>
          <w:p w14:paraId="6E6CB233"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0.16</w:t>
            </w:r>
          </w:p>
        </w:tc>
        <w:tc>
          <w:tcPr>
            <w:tcW w:w="793" w:type="dxa"/>
            <w:tcBorders>
              <w:top w:val="nil"/>
              <w:left w:val="nil"/>
              <w:bottom w:val="nil"/>
              <w:right w:val="nil"/>
            </w:tcBorders>
            <w:shd w:val="clear" w:color="000000" w:fill="FFECEC"/>
            <w:noWrap/>
            <w:vAlign w:val="bottom"/>
            <w:hideMark/>
          </w:tcPr>
          <w:p w14:paraId="5AFD301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-0.07</w:t>
            </w:r>
          </w:p>
        </w:tc>
        <w:tc>
          <w:tcPr>
            <w:tcW w:w="675" w:type="dxa"/>
            <w:tcBorders>
              <w:top w:val="nil"/>
              <w:left w:val="nil"/>
              <w:bottom w:val="nil"/>
              <w:right w:val="nil"/>
            </w:tcBorders>
            <w:shd w:val="clear" w:color="000000" w:fill="9FB9D3"/>
            <w:noWrap/>
            <w:vAlign w:val="bottom"/>
            <w:hideMark/>
          </w:tcPr>
          <w:p w14:paraId="3E2A82A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0.43</w:t>
            </w:r>
          </w:p>
        </w:tc>
        <w:tc>
          <w:tcPr>
            <w:tcW w:w="658" w:type="dxa"/>
            <w:tcBorders>
              <w:top w:val="nil"/>
              <w:left w:val="nil"/>
              <w:bottom w:val="nil"/>
              <w:right w:val="nil"/>
            </w:tcBorders>
            <w:shd w:val="clear" w:color="000000" w:fill="FFF1F1"/>
            <w:noWrap/>
            <w:vAlign w:val="bottom"/>
            <w:hideMark/>
          </w:tcPr>
          <w:p w14:paraId="7FE2FF2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-0.05</w:t>
            </w:r>
          </w:p>
        </w:tc>
        <w:tc>
          <w:tcPr>
            <w:tcW w:w="540" w:type="dxa"/>
            <w:tcBorders>
              <w:top w:val="nil"/>
              <w:left w:val="nil"/>
              <w:bottom w:val="nil"/>
              <w:right w:val="nil"/>
            </w:tcBorders>
            <w:shd w:val="clear" w:color="000000" w:fill="FEFEFF"/>
            <w:noWrap/>
            <w:vAlign w:val="bottom"/>
            <w:hideMark/>
          </w:tcPr>
          <w:p w14:paraId="42638E1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0.01</w:t>
            </w:r>
          </w:p>
        </w:tc>
        <w:tc>
          <w:tcPr>
            <w:tcW w:w="573" w:type="dxa"/>
            <w:tcBorders>
              <w:top w:val="nil"/>
              <w:left w:val="nil"/>
              <w:bottom w:val="nil"/>
              <w:right w:val="nil"/>
            </w:tcBorders>
            <w:shd w:val="clear" w:color="000000" w:fill="A8BFD7"/>
            <w:noWrap/>
            <w:vAlign w:val="bottom"/>
            <w:hideMark/>
          </w:tcPr>
          <w:p w14:paraId="004F5CE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0.39</w:t>
            </w:r>
          </w:p>
        </w:tc>
        <w:tc>
          <w:tcPr>
            <w:tcW w:w="598" w:type="dxa"/>
            <w:tcBorders>
              <w:top w:val="nil"/>
              <w:left w:val="nil"/>
              <w:bottom w:val="nil"/>
              <w:right w:val="nil"/>
            </w:tcBorders>
            <w:shd w:val="clear" w:color="000000" w:fill="9AB5D0"/>
            <w:noWrap/>
            <w:vAlign w:val="bottom"/>
            <w:hideMark/>
          </w:tcPr>
          <w:p w14:paraId="7FACD5F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0.46</w:t>
            </w:r>
          </w:p>
        </w:tc>
        <w:tc>
          <w:tcPr>
            <w:tcW w:w="523" w:type="dxa"/>
            <w:tcBorders>
              <w:top w:val="nil"/>
              <w:left w:val="nil"/>
              <w:bottom w:val="nil"/>
              <w:right w:val="nil"/>
            </w:tcBorders>
            <w:shd w:val="clear" w:color="000000" w:fill="E8EFF5"/>
            <w:noWrap/>
            <w:vAlign w:val="bottom"/>
            <w:hideMark/>
          </w:tcPr>
          <w:p w14:paraId="249A990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0.10</w:t>
            </w:r>
          </w:p>
        </w:tc>
        <w:tc>
          <w:tcPr>
            <w:tcW w:w="573" w:type="dxa"/>
            <w:tcBorders>
              <w:top w:val="nil"/>
              <w:left w:val="nil"/>
              <w:bottom w:val="nil"/>
              <w:right w:val="nil"/>
            </w:tcBorders>
            <w:shd w:val="clear" w:color="000000" w:fill="FFF7F7"/>
            <w:noWrap/>
            <w:vAlign w:val="bottom"/>
            <w:hideMark/>
          </w:tcPr>
          <w:p w14:paraId="59EDF12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-0.03</w:t>
            </w:r>
          </w:p>
        </w:tc>
        <w:tc>
          <w:tcPr>
            <w:tcW w:w="498" w:type="dxa"/>
            <w:tcBorders>
              <w:top w:val="nil"/>
              <w:left w:val="nil"/>
              <w:bottom w:val="nil"/>
              <w:right w:val="nil"/>
            </w:tcBorders>
            <w:shd w:val="clear" w:color="000000" w:fill="215C98"/>
            <w:noWrap/>
            <w:vAlign w:val="bottom"/>
            <w:hideMark/>
          </w:tcPr>
          <w:p w14:paraId="1849E4F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506" w:type="dxa"/>
            <w:tcBorders>
              <w:top w:val="nil"/>
              <w:left w:val="nil"/>
              <w:bottom w:val="nil"/>
              <w:right w:val="nil"/>
            </w:tcBorders>
            <w:noWrap/>
            <w:vAlign w:val="bottom"/>
            <w:hideMark/>
          </w:tcPr>
          <w:p w14:paraId="65E202F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c>
          <w:tcPr>
            <w:tcW w:w="495" w:type="dxa"/>
            <w:tcBorders>
              <w:top w:val="nil"/>
              <w:left w:val="nil"/>
              <w:bottom w:val="nil"/>
              <w:right w:val="nil"/>
            </w:tcBorders>
            <w:noWrap/>
            <w:vAlign w:val="bottom"/>
            <w:hideMark/>
          </w:tcPr>
          <w:p w14:paraId="2A97B344" w14:textId="77777777" w:rsidR="00E86A67" w:rsidRPr="00E86A67" w:rsidRDefault="00E86A67" w:rsidP="00E86A67">
            <w:pPr>
              <w:spacing w:after="0" w:line="240" w:lineRule="auto"/>
              <w:rPr>
                <w:rFonts w:ascii="Times New Roman" w:eastAsia="Times New Roman" w:hAnsi="Times New Roman" w:cs="Times New Roman"/>
                <w:kern w:val="0"/>
                <w:sz w:val="20"/>
                <w:szCs w:val="20"/>
                <w14:ligatures w14:val="none"/>
              </w:rPr>
            </w:pPr>
          </w:p>
        </w:tc>
      </w:tr>
      <w:tr w:rsidR="00E86A67" w:rsidRPr="00E86A67" w14:paraId="45D27019" w14:textId="77777777" w:rsidTr="00947566">
        <w:trPr>
          <w:trHeight w:val="246"/>
        </w:trPr>
        <w:tc>
          <w:tcPr>
            <w:tcW w:w="672" w:type="dxa"/>
            <w:tcBorders>
              <w:top w:val="nil"/>
              <w:left w:val="nil"/>
              <w:bottom w:val="nil"/>
              <w:right w:val="nil"/>
            </w:tcBorders>
            <w:noWrap/>
            <w:vAlign w:val="bottom"/>
            <w:hideMark/>
          </w:tcPr>
          <w:p w14:paraId="5761FFA8"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Fe</w:t>
            </w:r>
          </w:p>
        </w:tc>
        <w:tc>
          <w:tcPr>
            <w:tcW w:w="641" w:type="dxa"/>
            <w:tcBorders>
              <w:top w:val="nil"/>
              <w:left w:val="nil"/>
              <w:bottom w:val="nil"/>
              <w:right w:val="nil"/>
            </w:tcBorders>
            <w:shd w:val="clear" w:color="000000" w:fill="FFC1C1"/>
            <w:noWrap/>
            <w:vAlign w:val="bottom"/>
            <w:hideMark/>
          </w:tcPr>
          <w:p w14:paraId="6599A79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-0.24</w:t>
            </w:r>
          </w:p>
        </w:tc>
        <w:tc>
          <w:tcPr>
            <w:tcW w:w="590" w:type="dxa"/>
            <w:tcBorders>
              <w:top w:val="nil"/>
              <w:left w:val="nil"/>
              <w:bottom w:val="nil"/>
              <w:right w:val="nil"/>
            </w:tcBorders>
            <w:shd w:val="clear" w:color="000000" w:fill="FFC2C2"/>
            <w:noWrap/>
            <w:vAlign w:val="bottom"/>
            <w:hideMark/>
          </w:tcPr>
          <w:p w14:paraId="52C0659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-0.24</w:t>
            </w:r>
          </w:p>
        </w:tc>
        <w:tc>
          <w:tcPr>
            <w:tcW w:w="556" w:type="dxa"/>
            <w:tcBorders>
              <w:top w:val="nil"/>
              <w:left w:val="nil"/>
              <w:bottom w:val="nil"/>
              <w:right w:val="nil"/>
            </w:tcBorders>
            <w:shd w:val="clear" w:color="000000" w:fill="FFC5C5"/>
            <w:noWrap/>
            <w:vAlign w:val="bottom"/>
            <w:hideMark/>
          </w:tcPr>
          <w:p w14:paraId="3A05273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-0.22</w:t>
            </w:r>
          </w:p>
        </w:tc>
        <w:tc>
          <w:tcPr>
            <w:tcW w:w="793" w:type="dxa"/>
            <w:tcBorders>
              <w:top w:val="nil"/>
              <w:left w:val="nil"/>
              <w:bottom w:val="nil"/>
              <w:right w:val="nil"/>
            </w:tcBorders>
            <w:shd w:val="clear" w:color="000000" w:fill="FFE3E3"/>
            <w:noWrap/>
            <w:vAlign w:val="bottom"/>
            <w:hideMark/>
          </w:tcPr>
          <w:p w14:paraId="72BF5ED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-0.11</w:t>
            </w:r>
          </w:p>
        </w:tc>
        <w:tc>
          <w:tcPr>
            <w:tcW w:w="675" w:type="dxa"/>
            <w:tcBorders>
              <w:top w:val="nil"/>
              <w:left w:val="nil"/>
              <w:bottom w:val="nil"/>
              <w:right w:val="nil"/>
            </w:tcBorders>
            <w:shd w:val="clear" w:color="000000" w:fill="FFD9D9"/>
            <w:noWrap/>
            <w:vAlign w:val="bottom"/>
            <w:hideMark/>
          </w:tcPr>
          <w:p w14:paraId="32A779B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-0.15</w:t>
            </w:r>
          </w:p>
        </w:tc>
        <w:tc>
          <w:tcPr>
            <w:tcW w:w="658" w:type="dxa"/>
            <w:tcBorders>
              <w:top w:val="nil"/>
              <w:left w:val="nil"/>
              <w:bottom w:val="nil"/>
              <w:right w:val="nil"/>
            </w:tcBorders>
            <w:shd w:val="clear" w:color="000000" w:fill="FFCDCD"/>
            <w:noWrap/>
            <w:vAlign w:val="bottom"/>
            <w:hideMark/>
          </w:tcPr>
          <w:p w14:paraId="5DF4255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-0.19</w:t>
            </w:r>
          </w:p>
        </w:tc>
        <w:tc>
          <w:tcPr>
            <w:tcW w:w="540" w:type="dxa"/>
            <w:tcBorders>
              <w:top w:val="nil"/>
              <w:left w:val="nil"/>
              <w:bottom w:val="nil"/>
              <w:right w:val="nil"/>
            </w:tcBorders>
            <w:shd w:val="clear" w:color="000000" w:fill="FFF8F8"/>
            <w:noWrap/>
            <w:vAlign w:val="bottom"/>
            <w:hideMark/>
          </w:tcPr>
          <w:p w14:paraId="7A492A4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-0.03</w:t>
            </w:r>
          </w:p>
        </w:tc>
        <w:tc>
          <w:tcPr>
            <w:tcW w:w="573" w:type="dxa"/>
            <w:tcBorders>
              <w:top w:val="nil"/>
              <w:left w:val="nil"/>
              <w:bottom w:val="nil"/>
              <w:right w:val="nil"/>
            </w:tcBorders>
            <w:shd w:val="clear" w:color="000000" w:fill="FFC3C3"/>
            <w:noWrap/>
            <w:vAlign w:val="bottom"/>
            <w:hideMark/>
          </w:tcPr>
          <w:p w14:paraId="63E713E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-0.23</w:t>
            </w:r>
          </w:p>
        </w:tc>
        <w:tc>
          <w:tcPr>
            <w:tcW w:w="598" w:type="dxa"/>
            <w:tcBorders>
              <w:top w:val="nil"/>
              <w:left w:val="nil"/>
              <w:bottom w:val="nil"/>
              <w:right w:val="nil"/>
            </w:tcBorders>
            <w:shd w:val="clear" w:color="000000" w:fill="FFCCCC"/>
            <w:noWrap/>
            <w:vAlign w:val="bottom"/>
            <w:hideMark/>
          </w:tcPr>
          <w:p w14:paraId="32F3240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-0.20</w:t>
            </w:r>
          </w:p>
        </w:tc>
        <w:tc>
          <w:tcPr>
            <w:tcW w:w="523" w:type="dxa"/>
            <w:tcBorders>
              <w:top w:val="nil"/>
              <w:left w:val="nil"/>
              <w:bottom w:val="nil"/>
              <w:right w:val="nil"/>
            </w:tcBorders>
            <w:shd w:val="clear" w:color="000000" w:fill="B7CBDE"/>
            <w:noWrap/>
            <w:vAlign w:val="bottom"/>
            <w:hideMark/>
          </w:tcPr>
          <w:p w14:paraId="34B96F8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0.32</w:t>
            </w:r>
          </w:p>
        </w:tc>
        <w:tc>
          <w:tcPr>
            <w:tcW w:w="573" w:type="dxa"/>
            <w:tcBorders>
              <w:top w:val="nil"/>
              <w:left w:val="nil"/>
              <w:bottom w:val="nil"/>
              <w:right w:val="nil"/>
            </w:tcBorders>
            <w:shd w:val="clear" w:color="000000" w:fill="FFCBCB"/>
            <w:noWrap/>
            <w:vAlign w:val="bottom"/>
            <w:hideMark/>
          </w:tcPr>
          <w:p w14:paraId="48F8E2E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-0.20</w:t>
            </w:r>
          </w:p>
        </w:tc>
        <w:tc>
          <w:tcPr>
            <w:tcW w:w="498" w:type="dxa"/>
            <w:tcBorders>
              <w:top w:val="nil"/>
              <w:left w:val="nil"/>
              <w:bottom w:val="nil"/>
              <w:right w:val="nil"/>
            </w:tcBorders>
            <w:shd w:val="clear" w:color="000000" w:fill="E1E9F1"/>
            <w:noWrap/>
            <w:vAlign w:val="bottom"/>
            <w:hideMark/>
          </w:tcPr>
          <w:p w14:paraId="0F26066C"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0.14</w:t>
            </w:r>
          </w:p>
        </w:tc>
        <w:tc>
          <w:tcPr>
            <w:tcW w:w="506" w:type="dxa"/>
            <w:tcBorders>
              <w:top w:val="nil"/>
              <w:left w:val="nil"/>
              <w:bottom w:val="nil"/>
              <w:right w:val="nil"/>
            </w:tcBorders>
            <w:shd w:val="clear" w:color="000000" w:fill="215C98"/>
            <w:noWrap/>
            <w:vAlign w:val="bottom"/>
            <w:hideMark/>
          </w:tcPr>
          <w:p w14:paraId="40D127CA"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c>
          <w:tcPr>
            <w:tcW w:w="495" w:type="dxa"/>
            <w:tcBorders>
              <w:top w:val="nil"/>
              <w:left w:val="nil"/>
              <w:bottom w:val="nil"/>
              <w:right w:val="nil"/>
            </w:tcBorders>
            <w:noWrap/>
            <w:vAlign w:val="bottom"/>
            <w:hideMark/>
          </w:tcPr>
          <w:p w14:paraId="32F03FF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p>
        </w:tc>
      </w:tr>
      <w:tr w:rsidR="00E86A67" w:rsidRPr="00E86A67" w14:paraId="2EFDB7D3" w14:textId="77777777" w:rsidTr="00947566">
        <w:trPr>
          <w:trHeight w:val="255"/>
        </w:trPr>
        <w:tc>
          <w:tcPr>
            <w:tcW w:w="672" w:type="dxa"/>
            <w:tcBorders>
              <w:top w:val="nil"/>
              <w:left w:val="nil"/>
              <w:bottom w:val="single" w:sz="8" w:space="0" w:color="auto"/>
              <w:right w:val="nil"/>
            </w:tcBorders>
            <w:noWrap/>
            <w:vAlign w:val="bottom"/>
            <w:hideMark/>
          </w:tcPr>
          <w:p w14:paraId="35233D9C" w14:textId="77777777" w:rsidR="00E86A67" w:rsidRPr="00E86A67" w:rsidRDefault="00E86A67" w:rsidP="00E86A67">
            <w:pPr>
              <w:spacing w:after="0" w:line="240" w:lineRule="auto"/>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NH4</w:t>
            </w:r>
          </w:p>
        </w:tc>
        <w:tc>
          <w:tcPr>
            <w:tcW w:w="641" w:type="dxa"/>
            <w:tcBorders>
              <w:top w:val="nil"/>
              <w:left w:val="nil"/>
              <w:bottom w:val="single" w:sz="8" w:space="0" w:color="auto"/>
              <w:right w:val="nil"/>
            </w:tcBorders>
            <w:shd w:val="clear" w:color="000000" w:fill="C2D2E3"/>
            <w:noWrap/>
            <w:vAlign w:val="bottom"/>
            <w:hideMark/>
          </w:tcPr>
          <w:p w14:paraId="23FF4AF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0.28</w:t>
            </w:r>
          </w:p>
        </w:tc>
        <w:tc>
          <w:tcPr>
            <w:tcW w:w="590" w:type="dxa"/>
            <w:tcBorders>
              <w:top w:val="nil"/>
              <w:left w:val="nil"/>
              <w:bottom w:val="single" w:sz="8" w:space="0" w:color="auto"/>
              <w:right w:val="nil"/>
            </w:tcBorders>
            <w:shd w:val="clear" w:color="000000" w:fill="759ABF"/>
            <w:noWrap/>
            <w:vAlign w:val="bottom"/>
            <w:hideMark/>
          </w:tcPr>
          <w:p w14:paraId="13EA94AF"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0.62</w:t>
            </w:r>
          </w:p>
        </w:tc>
        <w:tc>
          <w:tcPr>
            <w:tcW w:w="556" w:type="dxa"/>
            <w:tcBorders>
              <w:top w:val="nil"/>
              <w:left w:val="nil"/>
              <w:bottom w:val="single" w:sz="8" w:space="0" w:color="auto"/>
              <w:right w:val="nil"/>
            </w:tcBorders>
            <w:shd w:val="clear" w:color="000000" w:fill="7297BE"/>
            <w:noWrap/>
            <w:vAlign w:val="bottom"/>
            <w:hideMark/>
          </w:tcPr>
          <w:p w14:paraId="2956B998"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0.64</w:t>
            </w:r>
          </w:p>
        </w:tc>
        <w:tc>
          <w:tcPr>
            <w:tcW w:w="793" w:type="dxa"/>
            <w:tcBorders>
              <w:top w:val="nil"/>
              <w:left w:val="nil"/>
              <w:bottom w:val="single" w:sz="8" w:space="0" w:color="auto"/>
              <w:right w:val="nil"/>
            </w:tcBorders>
            <w:shd w:val="clear" w:color="000000" w:fill="BED0E1"/>
            <w:noWrap/>
            <w:vAlign w:val="bottom"/>
            <w:hideMark/>
          </w:tcPr>
          <w:p w14:paraId="7F1AC2A6"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0.29</w:t>
            </w:r>
          </w:p>
        </w:tc>
        <w:tc>
          <w:tcPr>
            <w:tcW w:w="675" w:type="dxa"/>
            <w:tcBorders>
              <w:top w:val="nil"/>
              <w:left w:val="nil"/>
              <w:bottom w:val="single" w:sz="8" w:space="0" w:color="auto"/>
              <w:right w:val="nil"/>
            </w:tcBorders>
            <w:shd w:val="clear" w:color="000000" w:fill="89A9C9"/>
            <w:noWrap/>
            <w:vAlign w:val="bottom"/>
            <w:hideMark/>
          </w:tcPr>
          <w:p w14:paraId="40AA509E"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0.53</w:t>
            </w:r>
          </w:p>
        </w:tc>
        <w:tc>
          <w:tcPr>
            <w:tcW w:w="658" w:type="dxa"/>
            <w:tcBorders>
              <w:top w:val="nil"/>
              <w:left w:val="nil"/>
              <w:bottom w:val="single" w:sz="8" w:space="0" w:color="auto"/>
              <w:right w:val="nil"/>
            </w:tcBorders>
            <w:shd w:val="clear" w:color="000000" w:fill="E2EAF2"/>
            <w:noWrap/>
            <w:vAlign w:val="bottom"/>
            <w:hideMark/>
          </w:tcPr>
          <w:p w14:paraId="60E3900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0.13</w:t>
            </w:r>
          </w:p>
        </w:tc>
        <w:tc>
          <w:tcPr>
            <w:tcW w:w="540" w:type="dxa"/>
            <w:tcBorders>
              <w:top w:val="nil"/>
              <w:left w:val="nil"/>
              <w:bottom w:val="single" w:sz="8" w:space="0" w:color="auto"/>
              <w:right w:val="nil"/>
            </w:tcBorders>
            <w:shd w:val="clear" w:color="000000" w:fill="D1DEEA"/>
            <w:noWrap/>
            <w:vAlign w:val="bottom"/>
            <w:hideMark/>
          </w:tcPr>
          <w:p w14:paraId="1519DD40"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0.21</w:t>
            </w:r>
          </w:p>
        </w:tc>
        <w:tc>
          <w:tcPr>
            <w:tcW w:w="573" w:type="dxa"/>
            <w:tcBorders>
              <w:top w:val="nil"/>
              <w:left w:val="nil"/>
              <w:bottom w:val="single" w:sz="8" w:space="0" w:color="auto"/>
              <w:right w:val="nil"/>
            </w:tcBorders>
            <w:shd w:val="clear" w:color="000000" w:fill="D6E1EC"/>
            <w:noWrap/>
            <w:vAlign w:val="bottom"/>
            <w:hideMark/>
          </w:tcPr>
          <w:p w14:paraId="1C499F4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0.19</w:t>
            </w:r>
          </w:p>
        </w:tc>
        <w:tc>
          <w:tcPr>
            <w:tcW w:w="598" w:type="dxa"/>
            <w:tcBorders>
              <w:top w:val="nil"/>
              <w:left w:val="nil"/>
              <w:bottom w:val="single" w:sz="8" w:space="0" w:color="auto"/>
              <w:right w:val="nil"/>
            </w:tcBorders>
            <w:shd w:val="clear" w:color="000000" w:fill="D0DDE9"/>
            <w:noWrap/>
            <w:vAlign w:val="bottom"/>
            <w:hideMark/>
          </w:tcPr>
          <w:p w14:paraId="4F6FC453"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0.21</w:t>
            </w:r>
          </w:p>
        </w:tc>
        <w:tc>
          <w:tcPr>
            <w:tcW w:w="523" w:type="dxa"/>
            <w:tcBorders>
              <w:top w:val="nil"/>
              <w:left w:val="nil"/>
              <w:bottom w:val="single" w:sz="8" w:space="0" w:color="auto"/>
              <w:right w:val="nil"/>
            </w:tcBorders>
            <w:shd w:val="clear" w:color="000000" w:fill="8BAAC9"/>
            <w:noWrap/>
            <w:vAlign w:val="bottom"/>
            <w:hideMark/>
          </w:tcPr>
          <w:p w14:paraId="0DCB8F14"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0.52</w:t>
            </w:r>
          </w:p>
        </w:tc>
        <w:tc>
          <w:tcPr>
            <w:tcW w:w="573" w:type="dxa"/>
            <w:tcBorders>
              <w:top w:val="nil"/>
              <w:left w:val="nil"/>
              <w:bottom w:val="single" w:sz="8" w:space="0" w:color="auto"/>
              <w:right w:val="nil"/>
            </w:tcBorders>
            <w:shd w:val="clear" w:color="000000" w:fill="E8EEF4"/>
            <w:noWrap/>
            <w:vAlign w:val="bottom"/>
            <w:hideMark/>
          </w:tcPr>
          <w:p w14:paraId="553CAD75"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0.11</w:t>
            </w:r>
          </w:p>
        </w:tc>
        <w:tc>
          <w:tcPr>
            <w:tcW w:w="498" w:type="dxa"/>
            <w:tcBorders>
              <w:top w:val="nil"/>
              <w:left w:val="nil"/>
              <w:bottom w:val="single" w:sz="8" w:space="0" w:color="auto"/>
              <w:right w:val="nil"/>
            </w:tcBorders>
            <w:shd w:val="clear" w:color="000000" w:fill="C2D2E3"/>
            <w:noWrap/>
            <w:vAlign w:val="bottom"/>
            <w:hideMark/>
          </w:tcPr>
          <w:p w14:paraId="13D74E61"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0.28</w:t>
            </w:r>
          </w:p>
        </w:tc>
        <w:tc>
          <w:tcPr>
            <w:tcW w:w="506" w:type="dxa"/>
            <w:tcBorders>
              <w:top w:val="nil"/>
              <w:left w:val="nil"/>
              <w:bottom w:val="single" w:sz="8" w:space="0" w:color="auto"/>
              <w:right w:val="nil"/>
            </w:tcBorders>
            <w:shd w:val="clear" w:color="000000" w:fill="FFE2E2"/>
            <w:noWrap/>
            <w:vAlign w:val="bottom"/>
            <w:hideMark/>
          </w:tcPr>
          <w:p w14:paraId="45E68FCB"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-0.11</w:t>
            </w:r>
          </w:p>
        </w:tc>
        <w:tc>
          <w:tcPr>
            <w:tcW w:w="495" w:type="dxa"/>
            <w:tcBorders>
              <w:top w:val="nil"/>
              <w:left w:val="nil"/>
              <w:bottom w:val="single" w:sz="8" w:space="0" w:color="auto"/>
              <w:right w:val="nil"/>
            </w:tcBorders>
            <w:shd w:val="clear" w:color="000000" w:fill="215C98"/>
            <w:noWrap/>
            <w:vAlign w:val="bottom"/>
            <w:hideMark/>
          </w:tcPr>
          <w:p w14:paraId="39272D32" w14:textId="77777777" w:rsidR="00E86A67" w:rsidRPr="00E86A67" w:rsidRDefault="00E86A67" w:rsidP="00E86A67">
            <w:pPr>
              <w:spacing w:after="0" w:line="240" w:lineRule="auto"/>
              <w:jc w:val="right"/>
              <w:rPr>
                <w:rFonts w:ascii="Aptos Narrow" w:eastAsia="Times New Roman" w:hAnsi="Aptos Narrow" w:cs="Times New Roman"/>
                <w:color w:val="000000"/>
                <w:kern w:val="0"/>
                <w:sz w:val="16"/>
                <w:szCs w:val="16"/>
                <w14:ligatures w14:val="none"/>
              </w:rPr>
            </w:pPr>
            <w:r w:rsidRPr="00E86A67">
              <w:rPr>
                <w:rFonts w:ascii="Aptos Narrow" w:eastAsia="Times New Roman" w:hAnsi="Aptos Narrow" w:cs="Times New Roman"/>
                <w:color w:val="000000"/>
                <w:kern w:val="0"/>
                <w:sz w:val="16"/>
                <w:szCs w:val="16"/>
                <w14:ligatures w14:val="none"/>
              </w:rPr>
              <w:t>1</w:t>
            </w:r>
          </w:p>
        </w:tc>
      </w:tr>
    </w:tbl>
    <w:p w14:paraId="5D4A9F60" w14:textId="77777777" w:rsidR="00E86A67" w:rsidRDefault="00E86A67" w:rsidP="00487D50">
      <w:pPr>
        <w:spacing w:line="360" w:lineRule="auto"/>
        <w:rPr>
          <w:rFonts w:ascii="Times New Roman" w:hAnsi="Times New Roman" w:cs="Times New Roman"/>
          <w:lang w:val="en-US"/>
        </w:rPr>
      </w:pPr>
    </w:p>
    <w:p w14:paraId="2ECCFF22" w14:textId="77777777" w:rsidR="00E86A67" w:rsidRPr="00E86A67" w:rsidRDefault="00E86A67" w:rsidP="00E86A67">
      <w:pPr>
        <w:spacing w:line="360" w:lineRule="auto"/>
        <w:rPr>
          <w:rFonts w:ascii="Times New Roman" w:hAnsi="Times New Roman" w:cs="Times New Roman"/>
          <w:b/>
          <w:bCs/>
          <w:lang w:val="en-US"/>
        </w:rPr>
      </w:pPr>
      <w:r w:rsidRPr="00E86A67">
        <w:rPr>
          <w:rFonts w:ascii="Times New Roman" w:hAnsi="Times New Roman" w:cs="Times New Roman"/>
          <w:b/>
          <w:bCs/>
          <w:lang w:val="en-US"/>
        </w:rPr>
        <w:t>4.1.2 Chemical Facies of Groundwater</w:t>
      </w:r>
    </w:p>
    <w:p w14:paraId="096497D1" w14:textId="77777777"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To represent chemical facies, the Piper diagram is commonly used to show the relative concentrations of the main ions present in water and to assess their corresponding </w:t>
      </w:r>
      <w:proofErr w:type="spellStart"/>
      <w:r w:rsidRPr="00E86A67">
        <w:rPr>
          <w:rFonts w:ascii="Times New Roman" w:hAnsi="Times New Roman" w:cs="Times New Roman"/>
          <w:lang w:val="en-US"/>
        </w:rPr>
        <w:t>hydrochemical</w:t>
      </w:r>
      <w:proofErr w:type="spellEnd"/>
      <w:r w:rsidRPr="00E86A67">
        <w:rPr>
          <w:rFonts w:ascii="Times New Roman" w:hAnsi="Times New Roman" w:cs="Times New Roman"/>
          <w:lang w:val="en-US"/>
        </w:rPr>
        <w:t xml:space="preserve"> characteristics (Piper, 1944).</w:t>
      </w:r>
    </w:p>
    <w:p w14:paraId="7320E5F2" w14:textId="5265ECC4"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The Piper diagram is frequently employed to graphically represent the relative concentrations of major ions in water and to evaluate their geochemical correspondences (Merino et al., 2021). This classification system effectively highlights the impact of lithological facies on groundwater composition and helps determine the nature of water chemistry as well as its evolution based on ion proportions (Hem, 1985; Piper, 1953), as illustrated in the ternary Piper diagram (Figure) </w:t>
      </w:r>
    </w:p>
    <w:p w14:paraId="50225785" w14:textId="14159BAF"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In the study area, 94.11% of groundwater samples exhibited a </w:t>
      </w:r>
      <w:r w:rsidR="009E1463">
        <w:rPr>
          <w:rFonts w:ascii="Times New Roman" w:hAnsi="Times New Roman" w:cs="Times New Roman"/>
          <w:lang w:val="en-US"/>
        </w:rPr>
        <w:t xml:space="preserve">sulfate </w:t>
      </w:r>
      <w:r w:rsidR="00BB4835">
        <w:rPr>
          <w:rFonts w:ascii="Times New Roman" w:hAnsi="Times New Roman" w:cs="Times New Roman"/>
          <w:lang w:val="en-US"/>
        </w:rPr>
        <w:t>-</w:t>
      </w:r>
      <w:r w:rsidR="009E1463">
        <w:rPr>
          <w:rFonts w:ascii="Times New Roman" w:hAnsi="Times New Roman" w:cs="Times New Roman"/>
          <w:lang w:val="en-US"/>
        </w:rPr>
        <w:t xml:space="preserve"> </w:t>
      </w:r>
      <w:proofErr w:type="gramStart"/>
      <w:r w:rsidR="009E1463">
        <w:rPr>
          <w:rFonts w:ascii="Times New Roman" w:hAnsi="Times New Roman" w:cs="Times New Roman"/>
          <w:lang w:val="en-US"/>
        </w:rPr>
        <w:t xml:space="preserve">sodium </w:t>
      </w:r>
      <w:r w:rsidRPr="00E86A67">
        <w:rPr>
          <w:rFonts w:ascii="Times New Roman" w:hAnsi="Times New Roman" w:cs="Times New Roman"/>
          <w:lang w:val="en-US"/>
        </w:rPr>
        <w:t xml:space="preserve"> (</w:t>
      </w:r>
      <w:proofErr w:type="gramEnd"/>
      <w:r w:rsidRPr="00E86A67">
        <w:rPr>
          <w:rFonts w:ascii="Times New Roman" w:hAnsi="Times New Roman" w:cs="Times New Roman"/>
          <w:lang w:val="en-US"/>
        </w:rPr>
        <w:t>Na</w:t>
      </w:r>
      <w:r>
        <w:rPr>
          <w:rFonts w:ascii="Times New Roman" w:hAnsi="Times New Roman" w:cs="Times New Roman"/>
          <w:lang w:val="en-US"/>
        </w:rPr>
        <w:t>-</w:t>
      </w:r>
      <w:r w:rsidR="009E1463">
        <w:rPr>
          <w:rFonts w:ascii="Times New Roman" w:hAnsi="Times New Roman" w:cs="Times New Roman"/>
          <w:lang w:val="en-US"/>
        </w:rPr>
        <w:t>SO</w:t>
      </w:r>
      <w:r w:rsidR="009E1463" w:rsidRPr="009E1463">
        <w:rPr>
          <w:rFonts w:ascii="Times New Roman" w:hAnsi="Times New Roman" w:cs="Times New Roman"/>
          <w:vertAlign w:val="subscript"/>
          <w:lang w:val="en-US"/>
        </w:rPr>
        <w:t>4</w:t>
      </w:r>
      <w:r w:rsidRPr="00E86A67">
        <w:rPr>
          <w:rFonts w:ascii="Times New Roman" w:hAnsi="Times New Roman" w:cs="Times New Roman"/>
          <w:lang w:val="en-US"/>
        </w:rPr>
        <w:t xml:space="preserve">) facies, characteristic of </w:t>
      </w:r>
      <w:r w:rsidR="009E1463">
        <w:rPr>
          <w:rFonts w:ascii="Times New Roman" w:hAnsi="Times New Roman" w:cs="Times New Roman"/>
          <w:lang w:val="en-US"/>
        </w:rPr>
        <w:t>sulfate - s</w:t>
      </w:r>
      <w:r w:rsidRPr="00E86A67">
        <w:rPr>
          <w:rFonts w:ascii="Times New Roman" w:hAnsi="Times New Roman" w:cs="Times New Roman"/>
          <w:lang w:val="en-US"/>
        </w:rPr>
        <w:t>odium waters, while 5.89% displayed a sodium</w:t>
      </w:r>
      <w:r>
        <w:rPr>
          <w:rFonts w:ascii="Times New Roman" w:hAnsi="Times New Roman" w:cs="Times New Roman"/>
          <w:lang w:val="en-US"/>
        </w:rPr>
        <w:t>-</w:t>
      </w:r>
      <w:r w:rsidRPr="00E86A67">
        <w:rPr>
          <w:rFonts w:ascii="Times New Roman" w:hAnsi="Times New Roman" w:cs="Times New Roman"/>
          <w:lang w:val="en-US"/>
        </w:rPr>
        <w:t>bicarbonate (Na</w:t>
      </w:r>
      <w:r>
        <w:rPr>
          <w:rFonts w:ascii="Times New Roman" w:hAnsi="Times New Roman" w:cs="Times New Roman"/>
          <w:lang w:val="en-US"/>
        </w:rPr>
        <w:t>-</w:t>
      </w:r>
      <w:r w:rsidRPr="00E86A67">
        <w:rPr>
          <w:rFonts w:ascii="Times New Roman" w:hAnsi="Times New Roman" w:cs="Times New Roman"/>
          <w:lang w:val="en-US"/>
        </w:rPr>
        <w:t>HCO</w:t>
      </w:r>
      <w:r w:rsidR="0026652C">
        <w:rPr>
          <w:rFonts w:ascii="Times New Roman" w:hAnsi="Times New Roman" w:cs="Times New Roman"/>
          <w:vertAlign w:val="subscript"/>
          <w:lang w:val="en-US"/>
        </w:rPr>
        <w:t>3</w:t>
      </w:r>
      <w:r w:rsidRPr="00E86A67">
        <w:rPr>
          <w:rFonts w:ascii="Times New Roman" w:hAnsi="Times New Roman" w:cs="Times New Roman"/>
          <w:lang w:val="en-US"/>
        </w:rPr>
        <w:t>) facies.</w:t>
      </w:r>
    </w:p>
    <w:p w14:paraId="4601A27C" w14:textId="6DBC8603" w:rsidR="00E86A67" w:rsidRDefault="009E1463" w:rsidP="00E86A67">
      <w:pPr>
        <w:spacing w:line="360" w:lineRule="auto"/>
        <w:jc w:val="center"/>
        <w:rPr>
          <w:rFonts w:ascii="Times New Roman" w:hAnsi="Times New Roman" w:cs="Times New Roman"/>
          <w:lang w:val="en-US"/>
        </w:rPr>
      </w:pPr>
      <w:r w:rsidRPr="00E74193">
        <w:rPr>
          <w:noProof/>
          <w:lang w:val="fr-FR" w:eastAsia="fr-FR"/>
        </w:rPr>
        <w:lastRenderedPageBreak/>
        <w:drawing>
          <wp:inline distT="0" distB="0" distL="0" distR="0" wp14:anchorId="746E105B" wp14:editId="3D766939">
            <wp:extent cx="4453558" cy="4116830"/>
            <wp:effectExtent l="19050" t="19050" r="23495" b="17145"/>
            <wp:docPr id="17044662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953" t="6161" r="13619" b="7591"/>
                    <a:stretch>
                      <a:fillRect/>
                    </a:stretch>
                  </pic:blipFill>
                  <pic:spPr bwMode="auto">
                    <a:xfrm>
                      <a:off x="0" y="0"/>
                      <a:ext cx="4456980" cy="4119993"/>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530DE861" w14:textId="77777777" w:rsidR="00E86A67" w:rsidRPr="00E86A67" w:rsidRDefault="00E86A67" w:rsidP="00E86A67">
      <w:pPr>
        <w:spacing w:line="360" w:lineRule="auto"/>
        <w:jc w:val="center"/>
        <w:rPr>
          <w:rFonts w:ascii="Times New Roman" w:hAnsi="Times New Roman" w:cs="Times New Roman"/>
          <w:lang w:val="en-US"/>
        </w:rPr>
      </w:pPr>
      <w:r w:rsidRPr="00E86A67">
        <w:rPr>
          <w:rFonts w:ascii="Times New Roman" w:hAnsi="Times New Roman" w:cs="Times New Roman"/>
          <w:b/>
          <w:bCs/>
          <w:lang w:val="en-US"/>
        </w:rPr>
        <w:t xml:space="preserve">Figure 4: </w:t>
      </w:r>
      <w:r w:rsidRPr="00E86A67">
        <w:rPr>
          <w:rFonts w:ascii="Times New Roman" w:hAnsi="Times New Roman" w:cs="Times New Roman"/>
          <w:lang w:val="en-US"/>
        </w:rPr>
        <w:t>Groundwater Facies Diagram</w:t>
      </w:r>
    </w:p>
    <w:p w14:paraId="5798AADA" w14:textId="77777777" w:rsidR="00E86A67" w:rsidRPr="00E86A67" w:rsidRDefault="00E86A67" w:rsidP="00E86A67">
      <w:pPr>
        <w:spacing w:line="360" w:lineRule="auto"/>
        <w:rPr>
          <w:rFonts w:ascii="Times New Roman" w:hAnsi="Times New Roman" w:cs="Times New Roman"/>
          <w:b/>
          <w:bCs/>
          <w:lang w:val="en-US"/>
        </w:rPr>
      </w:pPr>
      <w:r w:rsidRPr="00E86A67">
        <w:rPr>
          <w:rFonts w:ascii="Times New Roman" w:hAnsi="Times New Roman" w:cs="Times New Roman"/>
          <w:b/>
          <w:bCs/>
          <w:lang w:val="en-US"/>
        </w:rPr>
        <w:t>4.1.3 Gibbs Diagram</w:t>
      </w:r>
    </w:p>
    <w:p w14:paraId="16DF5054" w14:textId="596626C7"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The Gibbs diagram (Gibbs, 1970) plots total dissolved solids (TDS) against the mass ratios </w:t>
      </w:r>
      <w:r w:rsidR="0026652C" w:rsidRPr="00E86A67">
        <w:rPr>
          <w:rFonts w:ascii="Times New Roman" w:hAnsi="Times New Roman" w:cs="Times New Roman"/>
          <w:lang w:val="en-US"/>
        </w:rPr>
        <w:t>Na</w:t>
      </w:r>
      <w:proofErr w:type="gramStart"/>
      <w:r w:rsidR="0026652C" w:rsidRPr="0026652C">
        <w:rPr>
          <w:rFonts w:ascii="Times New Roman" w:hAnsi="Times New Roman" w:cs="Times New Roman"/>
          <w:vertAlign w:val="superscript"/>
          <w:lang w:val="en-US"/>
        </w:rPr>
        <w:t>+</w:t>
      </w:r>
      <w:r w:rsidR="0026652C" w:rsidRPr="00E86A67">
        <w:rPr>
          <w:rFonts w:ascii="Times New Roman" w:hAnsi="Times New Roman" w:cs="Times New Roman"/>
          <w:lang w:val="en-US"/>
        </w:rPr>
        <w:t xml:space="preserve"> </w:t>
      </w:r>
      <w:r w:rsidRPr="00E86A67">
        <w:rPr>
          <w:rFonts w:ascii="Times New Roman" w:hAnsi="Times New Roman" w:cs="Times New Roman"/>
          <w:lang w:val="en-US"/>
        </w:rPr>
        <w:t xml:space="preserve"> /</w:t>
      </w:r>
      <w:proofErr w:type="gramEnd"/>
      <w:r w:rsidRPr="00E86A67">
        <w:rPr>
          <w:rFonts w:ascii="Times New Roman" w:hAnsi="Times New Roman" w:cs="Times New Roman"/>
          <w:lang w:val="en-US"/>
        </w:rPr>
        <w:t xml:space="preserve"> (Na</w:t>
      </w:r>
      <w:r w:rsidR="0026652C" w:rsidRPr="0026652C">
        <w:rPr>
          <w:rFonts w:ascii="Times New Roman" w:hAnsi="Times New Roman" w:cs="Times New Roman"/>
          <w:vertAlign w:val="superscript"/>
          <w:lang w:val="en-US"/>
        </w:rPr>
        <w:t>+</w:t>
      </w:r>
      <w:r w:rsidRPr="00E86A67">
        <w:rPr>
          <w:rFonts w:ascii="Times New Roman" w:hAnsi="Times New Roman" w:cs="Times New Roman"/>
          <w:lang w:val="en-US"/>
        </w:rPr>
        <w:t xml:space="preserve"> + Ca</w:t>
      </w:r>
      <w:r w:rsidR="0026652C" w:rsidRPr="0026652C">
        <w:rPr>
          <w:rFonts w:ascii="Times New Roman" w:hAnsi="Times New Roman" w:cs="Times New Roman"/>
          <w:vertAlign w:val="superscript"/>
          <w:lang w:val="en-US"/>
        </w:rPr>
        <w:t>2+</w:t>
      </w:r>
      <w:r w:rsidRPr="00E86A67">
        <w:rPr>
          <w:rFonts w:ascii="Times New Roman" w:hAnsi="Times New Roman" w:cs="Times New Roman"/>
          <w:lang w:val="en-US"/>
        </w:rPr>
        <w:t>) and Cl</w:t>
      </w:r>
      <w:r w:rsidR="0026652C" w:rsidRPr="0026652C">
        <w:rPr>
          <w:rFonts w:ascii="Times New Roman" w:hAnsi="Times New Roman" w:cs="Times New Roman"/>
          <w:vertAlign w:val="superscript"/>
          <w:lang w:val="en-US"/>
        </w:rPr>
        <w:t>-</w:t>
      </w:r>
      <w:r w:rsidRPr="00E86A67">
        <w:rPr>
          <w:rFonts w:ascii="Times New Roman" w:hAnsi="Times New Roman" w:cs="Times New Roman"/>
          <w:lang w:val="en-US"/>
        </w:rPr>
        <w:t xml:space="preserve"> / (Cl</w:t>
      </w:r>
      <w:r w:rsidR="0026652C">
        <w:rPr>
          <w:rFonts w:ascii="Times New Roman" w:hAnsi="Times New Roman" w:cs="Times New Roman"/>
          <w:vertAlign w:val="superscript"/>
          <w:lang w:val="en-US"/>
        </w:rPr>
        <w:t>-</w:t>
      </w:r>
      <w:r w:rsidRPr="00E86A67">
        <w:rPr>
          <w:rFonts w:ascii="Times New Roman" w:hAnsi="Times New Roman" w:cs="Times New Roman"/>
          <w:lang w:val="en-US"/>
        </w:rPr>
        <w:t xml:space="preserve"> + HCO</w:t>
      </w:r>
      <w:r w:rsidR="0026652C" w:rsidRPr="0026652C">
        <w:rPr>
          <w:rFonts w:ascii="Times New Roman" w:hAnsi="Times New Roman" w:cs="Times New Roman"/>
          <w:vertAlign w:val="subscript"/>
          <w:lang w:val="en-US"/>
        </w:rPr>
        <w:t>3</w:t>
      </w:r>
      <w:r w:rsidR="0026652C" w:rsidRPr="0026652C">
        <w:rPr>
          <w:rFonts w:ascii="Times New Roman" w:hAnsi="Times New Roman" w:cs="Times New Roman"/>
          <w:vertAlign w:val="superscript"/>
          <w:lang w:val="en-US"/>
        </w:rPr>
        <w:t>-</w:t>
      </w:r>
      <w:r w:rsidRPr="00E86A67">
        <w:rPr>
          <w:rFonts w:ascii="Times New Roman" w:hAnsi="Times New Roman" w:cs="Times New Roman"/>
          <w:lang w:val="en-US"/>
        </w:rPr>
        <w:t>) to distinguish the influences of rock–water interaction, evaporation, and precipitation on water chemical composition (</w:t>
      </w:r>
      <w:proofErr w:type="spellStart"/>
      <w:r w:rsidRPr="00E86A67">
        <w:rPr>
          <w:rFonts w:ascii="Times New Roman" w:hAnsi="Times New Roman" w:cs="Times New Roman"/>
          <w:lang w:val="en-US"/>
        </w:rPr>
        <w:t>Polemio</w:t>
      </w:r>
      <w:proofErr w:type="spellEnd"/>
      <w:r w:rsidRPr="00E86A67">
        <w:rPr>
          <w:rFonts w:ascii="Times New Roman" w:hAnsi="Times New Roman" w:cs="Times New Roman"/>
          <w:lang w:val="en-US"/>
        </w:rPr>
        <w:t xml:space="preserve"> et al., 2005; Petrucci &amp; </w:t>
      </w:r>
      <w:proofErr w:type="spellStart"/>
      <w:r w:rsidRPr="00E86A67">
        <w:rPr>
          <w:rFonts w:ascii="Times New Roman" w:hAnsi="Times New Roman" w:cs="Times New Roman"/>
          <w:lang w:val="en-US"/>
        </w:rPr>
        <w:t>Polemio</w:t>
      </w:r>
      <w:proofErr w:type="spellEnd"/>
      <w:r w:rsidRPr="00E86A67">
        <w:rPr>
          <w:rFonts w:ascii="Times New Roman" w:hAnsi="Times New Roman" w:cs="Times New Roman"/>
          <w:lang w:val="en-US"/>
        </w:rPr>
        <w:t>, 2007). Figures 5a and 5b illustrate the groundwater chemistry and its changing processes in the study area.</w:t>
      </w:r>
    </w:p>
    <w:p w14:paraId="101965E9" w14:textId="3EEA8FB6" w:rsid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According to the Gibbs diagram, the analyzed waters fall between the zone dominated by water–rock interaction and the zone influenced predominantly by precipitation mechanisms. The impact of rock weathering on groundwater chemistry is attributed to water circulating through the porous aquifer substrate, where water–rock exchanges lead to modifications in the chemical characteristics of groundwater. The predominance of samples with a Na</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/Cl</w:t>
      </w:r>
      <w:r w:rsidR="00706E97" w:rsidRPr="00706E97">
        <w:rPr>
          <w:rFonts w:ascii="Times New Roman" w:hAnsi="Times New Roman" w:cs="Times New Roman"/>
          <w:vertAlign w:val="superscript"/>
          <w:lang w:val="en-US"/>
        </w:rPr>
        <w:t>-</w:t>
      </w:r>
      <w:r w:rsidR="0026652C">
        <w:rPr>
          <w:rFonts w:ascii="Times New Roman" w:hAnsi="Times New Roman" w:cs="Times New Roman"/>
          <w:vertAlign w:val="superscript"/>
          <w:lang w:val="en-US"/>
        </w:rPr>
        <w:t xml:space="preserve"> </w:t>
      </w:r>
      <w:r w:rsidRPr="00E86A67">
        <w:rPr>
          <w:rFonts w:ascii="Times New Roman" w:hAnsi="Times New Roman" w:cs="Times New Roman"/>
          <w:lang w:val="en-US"/>
        </w:rPr>
        <w:t>ratio greater than 0.8 suggests that silicate weathering, evaporite dissolution, and/or ion-exchange processes are the main factors governing water mineralization.</w:t>
      </w:r>
    </w:p>
    <w:p w14:paraId="7DEFB875" w14:textId="70845610" w:rsidR="00E86A67" w:rsidRDefault="00E86A67" w:rsidP="00E86A67">
      <w:pPr>
        <w:spacing w:after="0" w:line="360" w:lineRule="auto"/>
        <w:jc w:val="both"/>
        <w:rPr>
          <w:rFonts w:ascii="Times New Roman" w:hAnsi="Times New Roman" w:cs="Times New Roman"/>
          <w:lang w:val="en-US"/>
        </w:rPr>
      </w:pPr>
      <w:r>
        <w:rPr>
          <w:rFonts w:ascii="Times New Roman" w:hAnsi="Times New Roman" w:cs="Times New Roman"/>
          <w:noProof/>
          <w:lang w:val="fr-FR" w:eastAsia="fr-FR"/>
        </w:rPr>
        <w:lastRenderedPageBreak/>
        <w:drawing>
          <wp:inline distT="0" distB="0" distL="0" distR="0" wp14:anchorId="1FE6A3DE" wp14:editId="70B739FD">
            <wp:extent cx="5760720" cy="3527868"/>
            <wp:effectExtent l="19050" t="19050" r="11430" b="15875"/>
            <wp:docPr id="1443024579" name="Image 8"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24579" name="Image 8" descr="Une image contenant texte, diagramme, ligne, Tracé&#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527868"/>
                    </a:xfrm>
                    <a:prstGeom prst="rect">
                      <a:avLst/>
                    </a:prstGeom>
                    <a:noFill/>
                    <a:ln w="3175">
                      <a:solidFill>
                        <a:schemeClr val="tx1"/>
                      </a:solidFill>
                    </a:ln>
                  </pic:spPr>
                </pic:pic>
              </a:graphicData>
            </a:graphic>
          </wp:inline>
        </w:drawing>
      </w:r>
    </w:p>
    <w:p w14:paraId="60BD9383" w14:textId="260688FF" w:rsidR="00E86A67" w:rsidRPr="00706E97" w:rsidRDefault="00E86A67" w:rsidP="009E1463">
      <w:pPr>
        <w:spacing w:line="360" w:lineRule="auto"/>
        <w:jc w:val="center"/>
        <w:rPr>
          <w:rFonts w:ascii="Times New Roman" w:hAnsi="Times New Roman" w:cs="Times New Roman"/>
          <w:lang w:val="en-US"/>
        </w:rPr>
      </w:pPr>
      <w:r w:rsidRPr="00706E97">
        <w:rPr>
          <w:rFonts w:ascii="Times New Roman" w:hAnsi="Times New Roman" w:cs="Times New Roman"/>
          <w:b/>
          <w:bCs/>
          <w:lang w:val="en-US"/>
        </w:rPr>
        <w:t>Figure 5:</w:t>
      </w:r>
      <w:r w:rsidRPr="00706E97">
        <w:rPr>
          <w:rFonts w:ascii="Times New Roman" w:hAnsi="Times New Roman" w:cs="Times New Roman"/>
          <w:lang w:val="en-US"/>
        </w:rPr>
        <w:t xml:space="preserve"> Gibbs </w:t>
      </w:r>
      <w:proofErr w:type="gramStart"/>
      <w:r w:rsidRPr="00706E97">
        <w:rPr>
          <w:rFonts w:ascii="Times New Roman" w:hAnsi="Times New Roman" w:cs="Times New Roman"/>
          <w:lang w:val="en-US"/>
        </w:rPr>
        <w:t>Diagrams</w:t>
      </w:r>
      <w:r w:rsidR="009E1463">
        <w:rPr>
          <w:rFonts w:ascii="Times New Roman" w:hAnsi="Times New Roman" w:cs="Times New Roman"/>
          <w:lang w:val="en-US"/>
        </w:rPr>
        <w:t xml:space="preserve"> </w:t>
      </w:r>
      <w:r w:rsidRPr="00706E97">
        <w:rPr>
          <w:rFonts w:ascii="Times New Roman" w:hAnsi="Times New Roman" w:cs="Times New Roman"/>
          <w:lang w:val="en-US"/>
        </w:rPr>
        <w:t>:</w:t>
      </w:r>
      <w:proofErr w:type="gramEnd"/>
      <w:r w:rsidRPr="00706E97">
        <w:rPr>
          <w:rFonts w:ascii="Times New Roman" w:hAnsi="Times New Roman" w:cs="Times New Roman"/>
          <w:lang w:val="en-US"/>
        </w:rPr>
        <w:t xml:space="preserve"> Correlation of TDS vs. Cl</w:t>
      </w:r>
      <w:r w:rsidRPr="00706E97">
        <w:rPr>
          <w:rFonts w:ascii="Times New Roman" w:hAnsi="Times New Roman" w:cs="Times New Roman"/>
          <w:vertAlign w:val="superscript"/>
          <w:lang w:val="en-US"/>
        </w:rPr>
        <w:t>-</w:t>
      </w:r>
      <w:r w:rsidRPr="00706E97">
        <w:rPr>
          <w:rFonts w:ascii="Times New Roman" w:hAnsi="Times New Roman" w:cs="Times New Roman"/>
          <w:lang w:val="en-US"/>
        </w:rPr>
        <w:t>/(Cl</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 HCO</w:t>
      </w:r>
      <w:r w:rsidRPr="00706E97">
        <w:rPr>
          <w:rFonts w:ascii="Times New Roman" w:hAnsi="Times New Roman" w:cs="Times New Roman"/>
          <w:vertAlign w:val="subscript"/>
          <w:lang w:val="en-US"/>
        </w:rPr>
        <w:t>3</w:t>
      </w:r>
      <w:r w:rsidRPr="00706E97">
        <w:rPr>
          <w:rFonts w:ascii="Times New Roman" w:hAnsi="Times New Roman" w:cs="Times New Roman"/>
          <w:vertAlign w:val="superscript"/>
          <w:lang w:val="en-US"/>
        </w:rPr>
        <w:t>-</w:t>
      </w:r>
      <w:r w:rsidRPr="00706E97">
        <w:rPr>
          <w:rFonts w:ascii="Times New Roman" w:hAnsi="Times New Roman" w:cs="Times New Roman"/>
          <w:lang w:val="en-US"/>
        </w:rPr>
        <w:t>) (a) and TDS vs. Na</w:t>
      </w:r>
      <w:r w:rsidRPr="00706E97">
        <w:rPr>
          <w:rFonts w:ascii="Times New Roman" w:hAnsi="Times New Roman" w:cs="Times New Roman"/>
          <w:vertAlign w:val="superscript"/>
          <w:lang w:val="en-US"/>
        </w:rPr>
        <w:t>+</w:t>
      </w:r>
      <w:r w:rsidRPr="00706E97">
        <w:rPr>
          <w:rFonts w:ascii="Times New Roman" w:hAnsi="Times New Roman" w:cs="Times New Roman"/>
          <w:lang w:val="en-US"/>
        </w:rPr>
        <w:t>/(Na</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 Ca</w:t>
      </w:r>
      <w:r w:rsidRPr="00706E97">
        <w:rPr>
          <w:rFonts w:ascii="Times New Roman" w:hAnsi="Times New Roman" w:cs="Times New Roman"/>
          <w:vertAlign w:val="superscript"/>
          <w:lang w:val="en-US"/>
        </w:rPr>
        <w:t>2+</w:t>
      </w:r>
      <w:r w:rsidRPr="00706E97">
        <w:rPr>
          <w:rFonts w:ascii="Times New Roman" w:hAnsi="Times New Roman" w:cs="Times New Roman"/>
          <w:lang w:val="en-US"/>
        </w:rPr>
        <w:t>) (b)</w:t>
      </w:r>
    </w:p>
    <w:p w14:paraId="47588516" w14:textId="77777777" w:rsidR="00E86A67" w:rsidRPr="00E86A67" w:rsidRDefault="00E86A67" w:rsidP="00E86A67">
      <w:pPr>
        <w:spacing w:after="0" w:line="360" w:lineRule="auto"/>
        <w:jc w:val="both"/>
        <w:rPr>
          <w:rFonts w:ascii="Times New Roman" w:hAnsi="Times New Roman" w:cs="Times New Roman"/>
          <w:b/>
          <w:bCs/>
          <w:lang w:val="en-US"/>
        </w:rPr>
      </w:pPr>
      <w:r w:rsidRPr="00E86A67">
        <w:rPr>
          <w:rFonts w:ascii="Times New Roman" w:hAnsi="Times New Roman" w:cs="Times New Roman"/>
          <w:b/>
          <w:bCs/>
          <w:lang w:val="en-US"/>
        </w:rPr>
        <w:t>4.1.4 Water–Rock Interaction</w:t>
      </w:r>
    </w:p>
    <w:p w14:paraId="29F6708A" w14:textId="799C9BB3"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 xml:space="preserve">According to </w:t>
      </w:r>
      <w:proofErr w:type="spellStart"/>
      <w:r w:rsidRPr="00E86A67">
        <w:rPr>
          <w:rFonts w:ascii="Times New Roman" w:hAnsi="Times New Roman" w:cs="Times New Roman"/>
          <w:lang w:val="en-US"/>
        </w:rPr>
        <w:t>Gaillardet</w:t>
      </w:r>
      <w:proofErr w:type="spellEnd"/>
      <w:r w:rsidRPr="00E86A67">
        <w:rPr>
          <w:rFonts w:ascii="Times New Roman" w:hAnsi="Times New Roman" w:cs="Times New Roman"/>
          <w:lang w:val="en-US"/>
        </w:rPr>
        <w:t xml:space="preserve"> et al. (1999), standardized molar ratio models for sodium (Na) have been proposed to identify the main weathering and dissolution processes influencing groundwater chemistry. Analysis of the covariation of molar ratios Mg</w:t>
      </w:r>
      <w:r w:rsidRPr="00E86A67">
        <w:rPr>
          <w:rFonts w:ascii="Times New Roman" w:hAnsi="Times New Roman" w:cs="Times New Roman"/>
          <w:vertAlign w:val="superscript"/>
          <w:lang w:val="en-US"/>
        </w:rPr>
        <w:t>2+</w:t>
      </w:r>
      <w:r w:rsidRPr="00E86A67">
        <w:rPr>
          <w:rFonts w:ascii="Times New Roman" w:hAnsi="Times New Roman" w:cs="Times New Roman"/>
          <w:lang w:val="en-US"/>
        </w:rPr>
        <w:t>/Na</w:t>
      </w:r>
      <w:r w:rsidRPr="00E86A67">
        <w:rPr>
          <w:rFonts w:ascii="Times New Roman" w:hAnsi="Times New Roman" w:cs="Times New Roman"/>
          <w:vertAlign w:val="superscript"/>
          <w:lang w:val="en-US"/>
        </w:rPr>
        <w:t>+</w:t>
      </w:r>
      <w:r w:rsidRPr="00E86A67">
        <w:rPr>
          <w:rFonts w:ascii="Times New Roman" w:hAnsi="Times New Roman" w:cs="Times New Roman"/>
          <w:lang w:val="en-US"/>
        </w:rPr>
        <w:t xml:space="preserve"> vs. Ca</w:t>
      </w:r>
      <w:r w:rsidRPr="00E86A67">
        <w:rPr>
          <w:rFonts w:ascii="Times New Roman" w:hAnsi="Times New Roman" w:cs="Times New Roman"/>
          <w:vertAlign w:val="superscript"/>
          <w:lang w:val="en-US"/>
        </w:rPr>
        <w:t>2+</w:t>
      </w:r>
      <w:r w:rsidRPr="00E86A67">
        <w:rPr>
          <w:rFonts w:ascii="Times New Roman" w:hAnsi="Times New Roman" w:cs="Times New Roman"/>
          <w:lang w:val="en-US"/>
        </w:rPr>
        <w:t>/Na</w:t>
      </w:r>
      <w:r w:rsidRPr="00E86A67">
        <w:rPr>
          <w:rFonts w:ascii="Times New Roman" w:hAnsi="Times New Roman" w:cs="Times New Roman"/>
          <w:vertAlign w:val="superscript"/>
          <w:lang w:val="en-US"/>
        </w:rPr>
        <w:t>+</w:t>
      </w:r>
      <w:r w:rsidRPr="00E86A67">
        <w:rPr>
          <w:rFonts w:ascii="Times New Roman" w:hAnsi="Times New Roman" w:cs="Times New Roman"/>
          <w:lang w:val="en-US"/>
        </w:rPr>
        <w:t xml:space="preserve"> and HCO</w:t>
      </w:r>
      <w:r w:rsidRPr="00E86A67">
        <w:rPr>
          <w:rFonts w:ascii="Times New Roman" w:hAnsi="Times New Roman" w:cs="Times New Roman"/>
          <w:vertAlign w:val="subscript"/>
          <w:lang w:val="en-US"/>
        </w:rPr>
        <w:t>3</w:t>
      </w:r>
      <w:r w:rsidRPr="00E86A67">
        <w:rPr>
          <w:rFonts w:ascii="Times New Roman" w:hAnsi="Times New Roman" w:cs="Times New Roman"/>
          <w:vertAlign w:val="superscript"/>
          <w:lang w:val="en-US"/>
        </w:rPr>
        <w:t>-</w:t>
      </w:r>
      <w:r w:rsidRPr="00E86A67">
        <w:rPr>
          <w:rFonts w:ascii="Times New Roman" w:hAnsi="Times New Roman" w:cs="Times New Roman"/>
          <w:lang w:val="en-US"/>
        </w:rPr>
        <w:t>/Na</w:t>
      </w:r>
      <w:r w:rsidRPr="00E86A67">
        <w:rPr>
          <w:rFonts w:ascii="Times New Roman" w:hAnsi="Times New Roman" w:cs="Times New Roman"/>
          <w:vertAlign w:val="superscript"/>
          <w:lang w:val="en-US"/>
        </w:rPr>
        <w:t>+</w:t>
      </w:r>
      <w:r w:rsidRPr="00E86A67">
        <w:rPr>
          <w:rFonts w:ascii="Times New Roman" w:hAnsi="Times New Roman" w:cs="Times New Roman"/>
          <w:lang w:val="en-US"/>
        </w:rPr>
        <w:t xml:space="preserve"> vs. Ca</w:t>
      </w:r>
      <w:r w:rsidRPr="00E86A67">
        <w:rPr>
          <w:rFonts w:ascii="Times New Roman" w:hAnsi="Times New Roman" w:cs="Times New Roman"/>
          <w:vertAlign w:val="superscript"/>
          <w:lang w:val="en-US"/>
        </w:rPr>
        <w:t>2+</w:t>
      </w:r>
      <w:r w:rsidRPr="00E86A67">
        <w:rPr>
          <w:rFonts w:ascii="Times New Roman" w:hAnsi="Times New Roman" w:cs="Times New Roman"/>
          <w:lang w:val="en-US"/>
        </w:rPr>
        <w:t>/Na</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 xml:space="preserve"> allows the identification of the rock types controlling water chemistry in the study area (Figures 6a and 6b).</w:t>
      </w:r>
    </w:p>
    <w:p w14:paraId="6E4825E9" w14:textId="40810058" w:rsidR="00E86A67" w:rsidRPr="00E86A67" w:rsidRDefault="00E86A67" w:rsidP="00E86A67">
      <w:pPr>
        <w:spacing w:after="0" w:line="360" w:lineRule="auto"/>
        <w:jc w:val="both"/>
        <w:rPr>
          <w:rFonts w:ascii="Times New Roman" w:hAnsi="Times New Roman" w:cs="Times New Roman"/>
          <w:lang w:val="en-US"/>
        </w:rPr>
      </w:pPr>
      <w:r w:rsidRPr="00E86A67">
        <w:rPr>
          <w:rFonts w:ascii="Times New Roman" w:hAnsi="Times New Roman" w:cs="Times New Roman"/>
          <w:lang w:val="en-US"/>
        </w:rPr>
        <w:t>The results show that only a few samples fall near the silicate and evaporite mineral zones, while the remaining samples lie between these two zones. Similarly, the HCO</w:t>
      </w:r>
      <w:r w:rsidR="00706E97" w:rsidRPr="00706E97">
        <w:rPr>
          <w:rFonts w:ascii="Times New Roman" w:hAnsi="Times New Roman" w:cs="Times New Roman"/>
          <w:vertAlign w:val="subscript"/>
          <w:lang w:val="en-US"/>
        </w:rPr>
        <w:t>3</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/Na</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 xml:space="preserve"> vs. Ca</w:t>
      </w:r>
      <w:r w:rsidR="00706E97" w:rsidRPr="00706E97">
        <w:rPr>
          <w:rFonts w:ascii="Times New Roman" w:hAnsi="Times New Roman" w:cs="Times New Roman"/>
          <w:vertAlign w:val="superscript"/>
          <w:lang w:val="en-US"/>
        </w:rPr>
        <w:t>2+</w:t>
      </w:r>
      <w:r w:rsidRPr="00E86A67">
        <w:rPr>
          <w:rFonts w:ascii="Times New Roman" w:hAnsi="Times New Roman" w:cs="Times New Roman"/>
          <w:lang w:val="en-US"/>
        </w:rPr>
        <w:t>/Na</w:t>
      </w:r>
      <w:r w:rsidR="00706E97" w:rsidRPr="00706E97">
        <w:rPr>
          <w:rFonts w:ascii="Times New Roman" w:hAnsi="Times New Roman" w:cs="Times New Roman"/>
          <w:vertAlign w:val="superscript"/>
          <w:lang w:val="en-US"/>
        </w:rPr>
        <w:t>+</w:t>
      </w:r>
      <w:r w:rsidRPr="00E86A67">
        <w:rPr>
          <w:rFonts w:ascii="Times New Roman" w:hAnsi="Times New Roman" w:cs="Times New Roman"/>
          <w:lang w:val="en-US"/>
        </w:rPr>
        <w:t xml:space="preserve"> molar ratios of the samples also appear to approach the evaporite and silicate zones.</w:t>
      </w:r>
    </w:p>
    <w:p w14:paraId="6020E0E8" w14:textId="1B241EB7" w:rsidR="00E86A67" w:rsidRDefault="00706E97" w:rsidP="00706E97">
      <w:pPr>
        <w:tabs>
          <w:tab w:val="left" w:pos="2370"/>
        </w:tabs>
        <w:spacing w:after="0" w:line="360" w:lineRule="auto"/>
        <w:jc w:val="both"/>
        <w:rPr>
          <w:rFonts w:ascii="Times New Roman" w:hAnsi="Times New Roman" w:cs="Times New Roman"/>
          <w:lang w:val="en-US"/>
        </w:rPr>
      </w:pPr>
      <w:r>
        <w:rPr>
          <w:rFonts w:ascii="Times New Roman" w:hAnsi="Times New Roman" w:cs="Times New Roman"/>
          <w:lang w:val="en-US"/>
        </w:rPr>
        <w:tab/>
      </w:r>
    </w:p>
    <w:p w14:paraId="5048D783" w14:textId="791FE68F" w:rsidR="00E86A67" w:rsidRDefault="00E86A67" w:rsidP="00E86A67">
      <w:pPr>
        <w:spacing w:after="0" w:line="360" w:lineRule="auto"/>
        <w:jc w:val="both"/>
        <w:rPr>
          <w:rFonts w:ascii="Times New Roman" w:hAnsi="Times New Roman" w:cs="Times New Roman"/>
          <w:lang w:val="en-US"/>
        </w:rPr>
      </w:pPr>
      <w:r>
        <w:rPr>
          <w:rFonts w:ascii="Times New Roman" w:hAnsi="Times New Roman" w:cs="Times New Roman"/>
          <w:noProof/>
          <w:lang w:val="fr-FR" w:eastAsia="fr-FR"/>
        </w:rPr>
        <w:lastRenderedPageBreak/>
        <w:drawing>
          <wp:inline distT="0" distB="0" distL="0" distR="0" wp14:anchorId="57DCEA3E" wp14:editId="5BE4CCF6">
            <wp:extent cx="5580380" cy="2851150"/>
            <wp:effectExtent l="19050" t="19050" r="20320" b="25400"/>
            <wp:docPr id="486923748" name="Image 9" descr="Une image contenant texte, capture d’écran, diagramme, Rectang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23748" name="Image 9" descr="Une image contenant texte, capture d’écran, diagramme, Rectangle&#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29209" cy="2876098"/>
                    </a:xfrm>
                    <a:prstGeom prst="rect">
                      <a:avLst/>
                    </a:prstGeom>
                    <a:noFill/>
                    <a:ln w="3175">
                      <a:solidFill>
                        <a:schemeClr val="tx1"/>
                      </a:solidFill>
                    </a:ln>
                  </pic:spPr>
                </pic:pic>
              </a:graphicData>
            </a:graphic>
          </wp:inline>
        </w:drawing>
      </w:r>
    </w:p>
    <w:p w14:paraId="48873DAF" w14:textId="310E719F" w:rsidR="00706E97" w:rsidRPr="00E86A67" w:rsidRDefault="00706E97" w:rsidP="00706E97">
      <w:pPr>
        <w:spacing w:line="360" w:lineRule="auto"/>
        <w:jc w:val="center"/>
        <w:rPr>
          <w:rFonts w:ascii="Times New Roman" w:hAnsi="Times New Roman" w:cs="Times New Roman"/>
          <w:lang w:val="en-US"/>
        </w:rPr>
      </w:pPr>
      <w:r w:rsidRPr="00706E97">
        <w:rPr>
          <w:rFonts w:ascii="Times New Roman" w:hAnsi="Times New Roman" w:cs="Times New Roman"/>
          <w:b/>
          <w:bCs/>
          <w:lang w:val="en-US"/>
        </w:rPr>
        <w:t>Figure 6</w:t>
      </w:r>
      <w:r w:rsidRPr="00706E97">
        <w:rPr>
          <w:rFonts w:ascii="Times New Roman" w:hAnsi="Times New Roman" w:cs="Times New Roman"/>
          <w:lang w:val="en-US"/>
        </w:rPr>
        <w:t xml:space="preserve">: </w:t>
      </w:r>
      <w:proofErr w:type="spellStart"/>
      <w:r w:rsidRPr="00706E97">
        <w:rPr>
          <w:rFonts w:ascii="Times New Roman" w:hAnsi="Times New Roman" w:cs="Times New Roman"/>
          <w:lang w:val="en-US"/>
        </w:rPr>
        <w:t>Gaillardet</w:t>
      </w:r>
      <w:proofErr w:type="spellEnd"/>
      <w:r w:rsidRPr="00706E97">
        <w:rPr>
          <w:rFonts w:ascii="Times New Roman" w:hAnsi="Times New Roman" w:cs="Times New Roman"/>
          <w:lang w:val="en-US"/>
        </w:rPr>
        <w:t xml:space="preserve"> diagram</w:t>
      </w:r>
      <w:r>
        <w:rPr>
          <w:rFonts w:ascii="Times New Roman" w:hAnsi="Times New Roman" w:cs="Times New Roman"/>
          <w:lang w:val="en-US"/>
        </w:rPr>
        <w:t xml:space="preserve"> </w:t>
      </w:r>
      <w:r w:rsidR="009E1463">
        <w:rPr>
          <w:rFonts w:ascii="Times New Roman" w:hAnsi="Times New Roman" w:cs="Times New Roman"/>
          <w:lang w:val="en-US"/>
        </w:rPr>
        <w:t>of groundwater (2025</w:t>
      </w:r>
      <w:proofErr w:type="gramStart"/>
      <w:r w:rsidR="009E1463">
        <w:rPr>
          <w:rFonts w:ascii="Times New Roman" w:hAnsi="Times New Roman" w:cs="Times New Roman"/>
          <w:lang w:val="en-US"/>
        </w:rPr>
        <w:t xml:space="preserve">)  </w:t>
      </w:r>
      <w:r w:rsidRPr="00706E97">
        <w:rPr>
          <w:rFonts w:ascii="Times New Roman" w:hAnsi="Times New Roman" w:cs="Times New Roman"/>
          <w:lang w:val="en-US"/>
        </w:rPr>
        <w:t>a</w:t>
      </w:r>
      <w:proofErr w:type="gramEnd"/>
      <w:r w:rsidRPr="00706E97">
        <w:rPr>
          <w:rFonts w:ascii="Times New Roman" w:hAnsi="Times New Roman" w:cs="Times New Roman"/>
          <w:lang w:val="en-US"/>
        </w:rPr>
        <w:t>) HCO</w:t>
      </w:r>
      <w:r w:rsidRPr="00706E97">
        <w:rPr>
          <w:rFonts w:ascii="Times New Roman" w:hAnsi="Times New Roman" w:cs="Times New Roman"/>
          <w:vertAlign w:val="subscript"/>
          <w:lang w:val="en-US"/>
        </w:rPr>
        <w:t>3</w:t>
      </w:r>
      <w:r w:rsidRPr="00706E97">
        <w:rPr>
          <w:rFonts w:ascii="Times New Roman" w:hAnsi="Times New Roman" w:cs="Times New Roman"/>
          <w:lang w:val="en-US"/>
        </w:rPr>
        <w:t>/Na</w:t>
      </w:r>
      <w:r w:rsidRPr="00706E97">
        <w:rPr>
          <w:rFonts w:ascii="Times New Roman" w:hAnsi="Times New Roman" w:cs="Times New Roman"/>
          <w:vertAlign w:val="superscript"/>
          <w:lang w:val="en-US"/>
        </w:rPr>
        <w:t xml:space="preserve">+ </w:t>
      </w:r>
      <w:r w:rsidRPr="00706E97">
        <w:rPr>
          <w:rFonts w:ascii="Times New Roman" w:hAnsi="Times New Roman" w:cs="Times New Roman"/>
          <w:lang w:val="en-US"/>
        </w:rPr>
        <w:t>vs Ca</w:t>
      </w:r>
      <w:r w:rsidRPr="00706E97">
        <w:rPr>
          <w:rFonts w:ascii="Times New Roman" w:hAnsi="Times New Roman" w:cs="Times New Roman"/>
          <w:vertAlign w:val="superscript"/>
          <w:lang w:val="en-US"/>
        </w:rPr>
        <w:t>2+</w:t>
      </w:r>
      <w:r w:rsidRPr="00706E97">
        <w:rPr>
          <w:rFonts w:ascii="Times New Roman" w:hAnsi="Times New Roman" w:cs="Times New Roman"/>
          <w:lang w:val="en-US"/>
        </w:rPr>
        <w:t>/Na</w:t>
      </w:r>
      <w:r w:rsidRPr="00706E97">
        <w:rPr>
          <w:rFonts w:ascii="Times New Roman" w:hAnsi="Times New Roman" w:cs="Times New Roman"/>
          <w:vertAlign w:val="superscript"/>
          <w:lang w:val="en-US"/>
        </w:rPr>
        <w:t xml:space="preserve">+ </w:t>
      </w:r>
      <w:r w:rsidRPr="00706E97">
        <w:rPr>
          <w:rFonts w:ascii="Times New Roman" w:hAnsi="Times New Roman" w:cs="Times New Roman"/>
          <w:lang w:val="en-US"/>
        </w:rPr>
        <w:t>(b) Mg/Na</w:t>
      </w:r>
      <w:r w:rsidRPr="00706E97">
        <w:rPr>
          <w:rFonts w:ascii="Times New Roman" w:hAnsi="Times New Roman" w:cs="Times New Roman"/>
          <w:vertAlign w:val="superscript"/>
          <w:lang w:val="en-US"/>
        </w:rPr>
        <w:t xml:space="preserve">+ </w:t>
      </w:r>
      <w:r w:rsidRPr="00706E97">
        <w:rPr>
          <w:rFonts w:ascii="Times New Roman" w:hAnsi="Times New Roman" w:cs="Times New Roman"/>
          <w:lang w:val="en-US"/>
        </w:rPr>
        <w:t>vs Ca</w:t>
      </w:r>
      <w:r w:rsidRPr="00706E97">
        <w:rPr>
          <w:rFonts w:ascii="Times New Roman" w:hAnsi="Times New Roman" w:cs="Times New Roman"/>
          <w:vertAlign w:val="superscript"/>
          <w:lang w:val="en-US"/>
        </w:rPr>
        <w:t>2+</w:t>
      </w:r>
      <w:r w:rsidRPr="00706E97">
        <w:rPr>
          <w:rFonts w:ascii="Times New Roman" w:hAnsi="Times New Roman" w:cs="Times New Roman"/>
          <w:lang w:val="en-US"/>
        </w:rPr>
        <w:t>/Na</w:t>
      </w:r>
      <w:r w:rsidRPr="00706E97">
        <w:rPr>
          <w:rFonts w:ascii="Times New Roman" w:hAnsi="Times New Roman" w:cs="Times New Roman"/>
          <w:vertAlign w:val="superscript"/>
          <w:lang w:val="en-US"/>
        </w:rPr>
        <w:t>+</w:t>
      </w:r>
    </w:p>
    <w:p w14:paraId="61273F9E" w14:textId="78CE0D97" w:rsidR="00706E97" w:rsidRPr="00706E97" w:rsidRDefault="00706E97" w:rsidP="00706E97">
      <w:pPr>
        <w:spacing w:line="360" w:lineRule="auto"/>
        <w:rPr>
          <w:rFonts w:ascii="Times New Roman" w:hAnsi="Times New Roman" w:cs="Times New Roman"/>
          <w:b/>
          <w:bCs/>
          <w:lang w:val="en-US"/>
        </w:rPr>
      </w:pPr>
      <w:r w:rsidRPr="00706E97">
        <w:rPr>
          <w:rFonts w:ascii="Times New Roman" w:hAnsi="Times New Roman" w:cs="Times New Roman"/>
          <w:b/>
          <w:bCs/>
          <w:lang w:val="en-US"/>
        </w:rPr>
        <w:t xml:space="preserve">4.1.5 </w:t>
      </w:r>
      <w:r w:rsidR="009E1463" w:rsidRPr="009E1463">
        <w:rPr>
          <w:rFonts w:ascii="Times New Roman" w:hAnsi="Times New Roman" w:cs="Times New Roman"/>
          <w:b/>
          <w:bCs/>
          <w:lang w:val="en-US"/>
        </w:rPr>
        <w:t xml:space="preserve">Silicate hydrolysis process </w:t>
      </w:r>
      <w:r w:rsidRPr="00706E97">
        <w:rPr>
          <w:rFonts w:ascii="Times New Roman" w:hAnsi="Times New Roman" w:cs="Times New Roman"/>
          <w:b/>
          <w:bCs/>
          <w:lang w:val="en-US"/>
        </w:rPr>
        <w:t>and Cation Exchange</w:t>
      </w:r>
    </w:p>
    <w:p w14:paraId="39C075B4" w14:textId="11124E65" w:rsidR="00706E97" w:rsidRPr="00706E97" w:rsidRDefault="00706E97" w:rsidP="00706E97">
      <w:pPr>
        <w:spacing w:after="0" w:line="360" w:lineRule="auto"/>
        <w:jc w:val="both"/>
        <w:rPr>
          <w:rFonts w:ascii="Times New Roman" w:hAnsi="Times New Roman" w:cs="Times New Roman"/>
          <w:lang w:val="en-US"/>
        </w:rPr>
      </w:pPr>
      <w:r w:rsidRPr="00706E97">
        <w:rPr>
          <w:rFonts w:ascii="Times New Roman" w:hAnsi="Times New Roman" w:cs="Times New Roman"/>
          <w:lang w:val="en-US"/>
        </w:rPr>
        <w:t>The total cation vs. Na</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w:t>
      </w:r>
      <w:r>
        <w:rPr>
          <w:rFonts w:ascii="Times New Roman" w:hAnsi="Times New Roman" w:cs="Times New Roman"/>
          <w:lang w:val="en-US"/>
        </w:rPr>
        <w:t>+</w:t>
      </w:r>
      <w:r w:rsidRPr="00706E97">
        <w:rPr>
          <w:rFonts w:ascii="Times New Roman" w:hAnsi="Times New Roman" w:cs="Times New Roman"/>
          <w:lang w:val="en-US"/>
        </w:rPr>
        <w:t xml:space="preserve"> K</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diagram (Figure 7a) shows that all samples lie slightly above the 1:1 line, suggesting mineralization caused by direct ion-exchange processes and silicate mineral weathering. To evaluate silicate mineral weathering, the Ca</w:t>
      </w:r>
      <w:r w:rsidRPr="00706E97">
        <w:rPr>
          <w:rFonts w:ascii="Times New Roman" w:hAnsi="Times New Roman" w:cs="Times New Roman"/>
          <w:vertAlign w:val="superscript"/>
          <w:lang w:val="en-US"/>
        </w:rPr>
        <w:t>2+</w:t>
      </w:r>
      <w:r w:rsidRPr="00706E97">
        <w:rPr>
          <w:rFonts w:ascii="Times New Roman" w:hAnsi="Times New Roman" w:cs="Times New Roman"/>
          <w:lang w:val="en-US"/>
        </w:rPr>
        <w:t xml:space="preserve"> + Mg</w:t>
      </w:r>
      <w:r w:rsidRPr="00706E97">
        <w:rPr>
          <w:rFonts w:ascii="Times New Roman" w:hAnsi="Times New Roman" w:cs="Times New Roman"/>
          <w:vertAlign w:val="superscript"/>
          <w:lang w:val="en-US"/>
        </w:rPr>
        <w:t>2+</w:t>
      </w:r>
      <w:r w:rsidRPr="00706E97">
        <w:rPr>
          <w:rFonts w:ascii="Times New Roman" w:hAnsi="Times New Roman" w:cs="Times New Roman"/>
          <w:lang w:val="en-US"/>
        </w:rPr>
        <w:t xml:space="preserve"> vs SO</w:t>
      </w:r>
      <w:r w:rsidRPr="00706E97">
        <w:rPr>
          <w:rFonts w:ascii="Times New Roman" w:hAnsi="Times New Roman" w:cs="Times New Roman"/>
          <w:vertAlign w:val="subscript"/>
          <w:lang w:val="en-US"/>
        </w:rPr>
        <w:t>4</w:t>
      </w:r>
      <w:r w:rsidRPr="00706E97">
        <w:rPr>
          <w:rFonts w:ascii="Times New Roman" w:hAnsi="Times New Roman" w:cs="Times New Roman"/>
          <w:vertAlign w:val="superscript"/>
          <w:lang w:val="en-US"/>
        </w:rPr>
        <w:t>2</w:t>
      </w:r>
      <w:r>
        <w:rPr>
          <w:rFonts w:ascii="Times New Roman" w:hAnsi="Times New Roman" w:cs="Times New Roman"/>
          <w:vertAlign w:val="superscript"/>
          <w:lang w:val="en-US"/>
        </w:rPr>
        <w:t>-</w:t>
      </w:r>
      <w:r w:rsidRPr="00706E97">
        <w:rPr>
          <w:rFonts w:ascii="Times New Roman" w:hAnsi="Times New Roman" w:cs="Times New Roman"/>
          <w:lang w:val="en-US"/>
        </w:rPr>
        <w:t xml:space="preserve"> + HCO</w:t>
      </w:r>
      <w:r w:rsidRPr="00706E97">
        <w:rPr>
          <w:rFonts w:ascii="Times New Roman" w:hAnsi="Times New Roman" w:cs="Times New Roman"/>
          <w:vertAlign w:val="subscript"/>
          <w:lang w:val="en-US"/>
        </w:rPr>
        <w:t>3</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diagram was used. This diagram revealed that all groundwater samples exhibited a 100% excess of HCO</w:t>
      </w:r>
      <w:r w:rsidRPr="00706E97">
        <w:rPr>
          <w:rFonts w:ascii="Times New Roman" w:hAnsi="Times New Roman" w:cs="Times New Roman"/>
          <w:vertAlign w:val="subscript"/>
          <w:lang w:val="en-US"/>
        </w:rPr>
        <w:t>3</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 SO</w:t>
      </w:r>
      <w:r w:rsidRPr="00706E97">
        <w:rPr>
          <w:rFonts w:ascii="Times New Roman" w:hAnsi="Times New Roman" w:cs="Times New Roman"/>
          <w:vertAlign w:val="subscript"/>
          <w:lang w:val="en-US"/>
        </w:rPr>
        <w:t>4</w:t>
      </w:r>
      <w:r w:rsidRPr="00706E97">
        <w:rPr>
          <w:rFonts w:ascii="Times New Roman" w:hAnsi="Times New Roman" w:cs="Times New Roman"/>
          <w:vertAlign w:val="superscript"/>
          <w:lang w:val="en-US"/>
        </w:rPr>
        <w:t>2</w:t>
      </w:r>
      <w:proofErr w:type="gramStart"/>
      <w:r>
        <w:rPr>
          <w:rFonts w:ascii="Times New Roman" w:hAnsi="Times New Roman" w:cs="Times New Roman"/>
          <w:vertAlign w:val="superscript"/>
          <w:lang w:val="en-US"/>
        </w:rPr>
        <w:t>-</w:t>
      </w:r>
      <w:r w:rsidRPr="00706E97">
        <w:rPr>
          <w:rFonts w:ascii="Times New Roman" w:hAnsi="Times New Roman" w:cs="Times New Roman"/>
          <w:lang w:val="en-US"/>
        </w:rPr>
        <w:t xml:space="preserve">  (</w:t>
      </w:r>
      <w:proofErr w:type="gramEnd"/>
      <w:r w:rsidRPr="00706E97">
        <w:rPr>
          <w:rFonts w:ascii="Times New Roman" w:hAnsi="Times New Roman" w:cs="Times New Roman"/>
          <w:lang w:val="en-US"/>
        </w:rPr>
        <w:t xml:space="preserve">Figure 7b). Samples located below the 1:1 line indicate an excess of </w:t>
      </w:r>
      <w:r w:rsidR="008A168D" w:rsidRPr="00706E97">
        <w:rPr>
          <w:rFonts w:ascii="Times New Roman" w:hAnsi="Times New Roman" w:cs="Times New Roman"/>
          <w:lang w:val="en-US"/>
        </w:rPr>
        <w:t>SO</w:t>
      </w:r>
      <w:r w:rsidR="008A168D" w:rsidRPr="00706E97">
        <w:rPr>
          <w:rFonts w:ascii="Times New Roman" w:hAnsi="Times New Roman" w:cs="Times New Roman"/>
          <w:vertAlign w:val="subscript"/>
          <w:lang w:val="en-US"/>
        </w:rPr>
        <w:t>4</w:t>
      </w:r>
      <w:r w:rsidR="008A168D" w:rsidRPr="00706E97">
        <w:rPr>
          <w:rFonts w:ascii="Times New Roman" w:hAnsi="Times New Roman" w:cs="Times New Roman"/>
          <w:vertAlign w:val="superscript"/>
          <w:lang w:val="en-US"/>
        </w:rPr>
        <w:t>2</w:t>
      </w:r>
      <w:proofErr w:type="gramStart"/>
      <w:r w:rsidR="008A168D">
        <w:rPr>
          <w:rFonts w:ascii="Times New Roman" w:hAnsi="Times New Roman" w:cs="Times New Roman"/>
          <w:vertAlign w:val="superscript"/>
          <w:lang w:val="en-US"/>
        </w:rPr>
        <w:t>-</w:t>
      </w:r>
      <w:r w:rsidR="008A168D" w:rsidRPr="00706E97">
        <w:rPr>
          <w:rFonts w:ascii="Times New Roman" w:hAnsi="Times New Roman" w:cs="Times New Roman"/>
          <w:lang w:val="en-US"/>
        </w:rPr>
        <w:t xml:space="preserve"> </w:t>
      </w:r>
      <w:r w:rsidRPr="00706E97">
        <w:rPr>
          <w:rFonts w:ascii="Times New Roman" w:hAnsi="Times New Roman" w:cs="Times New Roman"/>
          <w:lang w:val="en-US"/>
        </w:rPr>
        <w:t xml:space="preserve"> +</w:t>
      </w:r>
      <w:proofErr w:type="gramEnd"/>
      <w:r w:rsidRPr="00706E97">
        <w:rPr>
          <w:rFonts w:ascii="Times New Roman" w:hAnsi="Times New Roman" w:cs="Times New Roman"/>
          <w:lang w:val="en-US"/>
        </w:rPr>
        <w:t xml:space="preserve"> HCO</w:t>
      </w:r>
      <w:r w:rsidRPr="00706E97">
        <w:rPr>
          <w:rFonts w:ascii="Times New Roman" w:hAnsi="Times New Roman" w:cs="Times New Roman"/>
          <w:vertAlign w:val="subscript"/>
          <w:lang w:val="en-US"/>
        </w:rPr>
        <w:t>3</w:t>
      </w:r>
      <w:r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relative to </w:t>
      </w:r>
      <w:r w:rsidR="008A168D" w:rsidRPr="00706E97">
        <w:rPr>
          <w:rFonts w:ascii="Times New Roman" w:hAnsi="Times New Roman" w:cs="Times New Roman"/>
          <w:lang w:val="en-US"/>
        </w:rPr>
        <w:t>Ca</w:t>
      </w:r>
      <w:r w:rsidR="008A168D" w:rsidRPr="00706E97">
        <w:rPr>
          <w:rFonts w:ascii="Times New Roman" w:hAnsi="Times New Roman" w:cs="Times New Roman"/>
          <w:vertAlign w:val="superscript"/>
          <w:lang w:val="en-US"/>
        </w:rPr>
        <w:t>2+</w:t>
      </w:r>
      <w:r w:rsidR="008A168D" w:rsidRPr="00706E97">
        <w:rPr>
          <w:rFonts w:ascii="Times New Roman" w:hAnsi="Times New Roman" w:cs="Times New Roman"/>
          <w:lang w:val="en-US"/>
        </w:rPr>
        <w:t xml:space="preserve"> + Mg</w:t>
      </w:r>
      <w:r w:rsidR="008A168D" w:rsidRPr="00706E97">
        <w:rPr>
          <w:rFonts w:ascii="Times New Roman" w:hAnsi="Times New Roman" w:cs="Times New Roman"/>
          <w:vertAlign w:val="superscript"/>
          <w:lang w:val="en-US"/>
        </w:rPr>
        <w:t>2+</w:t>
      </w:r>
      <w:r w:rsidRPr="00706E97">
        <w:rPr>
          <w:rFonts w:ascii="Times New Roman" w:hAnsi="Times New Roman" w:cs="Times New Roman"/>
          <w:lang w:val="en-US"/>
        </w:rPr>
        <w:t>, pointing to mineralization driven by cation-exchange processes and silicate mineral weathering.</w:t>
      </w:r>
    </w:p>
    <w:p w14:paraId="2770440C" w14:textId="7703893F" w:rsidR="00706E97" w:rsidRPr="00706E97" w:rsidRDefault="00706E97" w:rsidP="00706E97">
      <w:pPr>
        <w:spacing w:after="0" w:line="360" w:lineRule="auto"/>
        <w:jc w:val="both"/>
        <w:rPr>
          <w:rFonts w:ascii="Times New Roman" w:hAnsi="Times New Roman" w:cs="Times New Roman"/>
          <w:lang w:val="en-US"/>
        </w:rPr>
      </w:pPr>
      <w:r w:rsidRPr="00706E97">
        <w:rPr>
          <w:rFonts w:ascii="Times New Roman" w:hAnsi="Times New Roman" w:cs="Times New Roman"/>
          <w:lang w:val="en-US"/>
        </w:rPr>
        <w:t>The relationship between (</w:t>
      </w:r>
      <w:r w:rsidR="008A168D" w:rsidRPr="00706E97">
        <w:rPr>
          <w:rFonts w:ascii="Times New Roman" w:hAnsi="Times New Roman" w:cs="Times New Roman"/>
          <w:lang w:val="en-US"/>
        </w:rPr>
        <w:t>Na</w:t>
      </w:r>
      <w:r w:rsidR="008A168D" w:rsidRPr="00706E97">
        <w:rPr>
          <w:rFonts w:ascii="Times New Roman" w:hAnsi="Times New Roman" w:cs="Times New Roman"/>
          <w:vertAlign w:val="superscript"/>
          <w:lang w:val="en-US"/>
        </w:rPr>
        <w:t>+</w:t>
      </w:r>
      <w:r w:rsidR="008A168D" w:rsidRPr="00706E97">
        <w:rPr>
          <w:rFonts w:ascii="Times New Roman" w:hAnsi="Times New Roman" w:cs="Times New Roman"/>
          <w:lang w:val="en-US"/>
        </w:rPr>
        <w:t xml:space="preserve"> </w:t>
      </w:r>
      <w:r w:rsidR="008A168D">
        <w:rPr>
          <w:rFonts w:ascii="Times New Roman" w:hAnsi="Times New Roman" w:cs="Times New Roman"/>
          <w:lang w:val="en-US"/>
        </w:rPr>
        <w:t>+</w:t>
      </w:r>
      <w:r w:rsidR="008A168D" w:rsidRPr="00706E97">
        <w:rPr>
          <w:rFonts w:ascii="Times New Roman" w:hAnsi="Times New Roman" w:cs="Times New Roman"/>
          <w:lang w:val="en-US"/>
        </w:rPr>
        <w:t xml:space="preserve"> K</w:t>
      </w:r>
      <w:r w:rsidR="008A168D" w:rsidRPr="00706E97">
        <w:rPr>
          <w:rFonts w:ascii="Times New Roman" w:hAnsi="Times New Roman" w:cs="Times New Roman"/>
          <w:vertAlign w:val="superscript"/>
          <w:lang w:val="en-US"/>
        </w:rPr>
        <w:t>+</w:t>
      </w:r>
      <w:r w:rsidR="008A168D">
        <w:rPr>
          <w:rFonts w:ascii="Times New Roman" w:hAnsi="Times New Roman" w:cs="Times New Roman"/>
          <w:vertAlign w:val="superscript"/>
          <w:lang w:val="en-US"/>
        </w:rPr>
        <w:t xml:space="preserve"> </w:t>
      </w:r>
      <w:r w:rsidRPr="00706E97">
        <w:rPr>
          <w:rFonts w:ascii="Times New Roman" w:hAnsi="Times New Roman" w:cs="Times New Roman"/>
          <w:lang w:val="en-US"/>
        </w:rPr>
        <w:t>+ Cl</w:t>
      </w:r>
      <w:r w:rsidR="008A168D" w:rsidRPr="008A168D">
        <w:rPr>
          <w:rFonts w:ascii="Times New Roman" w:hAnsi="Times New Roman" w:cs="Times New Roman"/>
          <w:vertAlign w:val="superscript"/>
          <w:lang w:val="en-US"/>
        </w:rPr>
        <w:t>-</w:t>
      </w:r>
      <w:r w:rsidRPr="00706E97">
        <w:rPr>
          <w:rFonts w:ascii="Times New Roman" w:hAnsi="Times New Roman" w:cs="Times New Roman"/>
          <w:lang w:val="en-US"/>
        </w:rPr>
        <w:t>) and [(</w:t>
      </w:r>
      <w:r w:rsidR="008A168D" w:rsidRPr="00706E97">
        <w:rPr>
          <w:rFonts w:ascii="Times New Roman" w:hAnsi="Times New Roman" w:cs="Times New Roman"/>
          <w:lang w:val="en-US"/>
        </w:rPr>
        <w:t>Ca</w:t>
      </w:r>
      <w:r w:rsidR="008A168D" w:rsidRPr="00706E97">
        <w:rPr>
          <w:rFonts w:ascii="Times New Roman" w:hAnsi="Times New Roman" w:cs="Times New Roman"/>
          <w:vertAlign w:val="superscript"/>
          <w:lang w:val="en-US"/>
        </w:rPr>
        <w:t>2+</w:t>
      </w:r>
      <w:r w:rsidR="008A168D" w:rsidRPr="00706E97">
        <w:rPr>
          <w:rFonts w:ascii="Times New Roman" w:hAnsi="Times New Roman" w:cs="Times New Roman"/>
          <w:lang w:val="en-US"/>
        </w:rPr>
        <w:t xml:space="preserve"> + Mg</w:t>
      </w:r>
      <w:r w:rsidR="008A168D" w:rsidRPr="00706E97">
        <w:rPr>
          <w:rFonts w:ascii="Times New Roman" w:hAnsi="Times New Roman" w:cs="Times New Roman"/>
          <w:vertAlign w:val="superscript"/>
          <w:lang w:val="en-US"/>
        </w:rPr>
        <w:t>2</w:t>
      </w:r>
      <w:proofErr w:type="gramStart"/>
      <w:r w:rsidR="008A168D" w:rsidRPr="00706E97">
        <w:rPr>
          <w:rFonts w:ascii="Times New Roman" w:hAnsi="Times New Roman" w:cs="Times New Roman"/>
          <w:vertAlign w:val="superscript"/>
          <w:lang w:val="en-US"/>
        </w:rPr>
        <w:t>+</w:t>
      </w:r>
      <w:r w:rsidR="008A168D" w:rsidRPr="00706E97">
        <w:rPr>
          <w:rFonts w:ascii="Times New Roman" w:hAnsi="Times New Roman" w:cs="Times New Roman"/>
          <w:lang w:val="en-US"/>
        </w:rPr>
        <w:t xml:space="preserve"> </w:t>
      </w:r>
      <w:r w:rsidR="008A168D">
        <w:rPr>
          <w:rFonts w:ascii="Times New Roman" w:hAnsi="Times New Roman" w:cs="Times New Roman"/>
          <w:lang w:val="en-US"/>
        </w:rPr>
        <w:t>)</w:t>
      </w:r>
      <w:proofErr w:type="gramEnd"/>
      <w:r w:rsidR="008A168D">
        <w:rPr>
          <w:rFonts w:ascii="Times New Roman" w:hAnsi="Times New Roman" w:cs="Times New Roman"/>
          <w:lang w:val="en-US"/>
        </w:rPr>
        <w:t xml:space="preserve"> -</w:t>
      </w:r>
      <w:r w:rsidRPr="00706E97">
        <w:rPr>
          <w:rFonts w:ascii="Times New Roman" w:hAnsi="Times New Roman" w:cs="Times New Roman"/>
          <w:lang w:val="en-US"/>
        </w:rPr>
        <w:t xml:space="preserve"> (</w:t>
      </w:r>
      <w:r w:rsidR="008A168D" w:rsidRPr="00706E97">
        <w:rPr>
          <w:rFonts w:ascii="Times New Roman" w:hAnsi="Times New Roman" w:cs="Times New Roman"/>
          <w:lang w:val="en-US"/>
        </w:rPr>
        <w:t>HCO</w:t>
      </w:r>
      <w:r w:rsidR="008A168D" w:rsidRPr="00706E97">
        <w:rPr>
          <w:rFonts w:ascii="Times New Roman" w:hAnsi="Times New Roman" w:cs="Times New Roman"/>
          <w:vertAlign w:val="subscript"/>
          <w:lang w:val="en-US"/>
        </w:rPr>
        <w:t>3</w:t>
      </w:r>
      <w:r w:rsidR="008A168D" w:rsidRPr="00706E97">
        <w:rPr>
          <w:rFonts w:ascii="Times New Roman" w:hAnsi="Times New Roman" w:cs="Times New Roman"/>
          <w:vertAlign w:val="superscript"/>
          <w:lang w:val="en-US"/>
        </w:rPr>
        <w:t>-</w:t>
      </w:r>
      <w:r w:rsidRPr="00706E97">
        <w:rPr>
          <w:rFonts w:ascii="Times New Roman" w:hAnsi="Times New Roman" w:cs="Times New Roman"/>
          <w:lang w:val="en-US"/>
        </w:rPr>
        <w:t xml:space="preserve">+ </w:t>
      </w:r>
      <w:r w:rsidR="008A168D" w:rsidRPr="00706E97">
        <w:rPr>
          <w:rFonts w:ascii="Times New Roman" w:hAnsi="Times New Roman" w:cs="Times New Roman"/>
          <w:lang w:val="en-US"/>
        </w:rPr>
        <w:t>SO</w:t>
      </w:r>
      <w:r w:rsidR="008A168D" w:rsidRPr="00706E97">
        <w:rPr>
          <w:rFonts w:ascii="Times New Roman" w:hAnsi="Times New Roman" w:cs="Times New Roman"/>
          <w:vertAlign w:val="subscript"/>
          <w:lang w:val="en-US"/>
        </w:rPr>
        <w:t>4</w:t>
      </w:r>
      <w:r w:rsidR="008A168D" w:rsidRPr="00706E97">
        <w:rPr>
          <w:rFonts w:ascii="Times New Roman" w:hAnsi="Times New Roman" w:cs="Times New Roman"/>
          <w:vertAlign w:val="superscript"/>
          <w:lang w:val="en-US"/>
        </w:rPr>
        <w:t>2</w:t>
      </w:r>
      <w:r w:rsidRPr="00706E97">
        <w:rPr>
          <w:rFonts w:ascii="Times New Roman" w:hAnsi="Times New Roman" w:cs="Times New Roman"/>
          <w:lang w:val="en-US"/>
        </w:rPr>
        <w:t xml:space="preserve">)] is used to confirm the occurrence of cation exchange (Zhang et al., 2021; </w:t>
      </w:r>
      <w:proofErr w:type="spellStart"/>
      <w:r w:rsidRPr="00706E97">
        <w:rPr>
          <w:rFonts w:ascii="Times New Roman" w:hAnsi="Times New Roman" w:cs="Times New Roman"/>
          <w:lang w:val="en-US"/>
        </w:rPr>
        <w:t>Ouarekh</w:t>
      </w:r>
      <w:proofErr w:type="spellEnd"/>
      <w:r w:rsidRPr="00706E97">
        <w:rPr>
          <w:rFonts w:ascii="Times New Roman" w:hAnsi="Times New Roman" w:cs="Times New Roman"/>
          <w:lang w:val="en-US"/>
        </w:rPr>
        <w:t xml:space="preserve"> et al., 2021, 2024; Hamad et al., 2023; </w:t>
      </w:r>
      <w:proofErr w:type="spellStart"/>
      <w:r w:rsidRPr="00706E97">
        <w:rPr>
          <w:rFonts w:ascii="Times New Roman" w:hAnsi="Times New Roman" w:cs="Times New Roman"/>
          <w:lang w:val="en-US"/>
        </w:rPr>
        <w:t>Bouselsal</w:t>
      </w:r>
      <w:proofErr w:type="spellEnd"/>
      <w:r w:rsidRPr="00706E97">
        <w:rPr>
          <w:rFonts w:ascii="Times New Roman" w:hAnsi="Times New Roman" w:cs="Times New Roman"/>
          <w:lang w:val="en-US"/>
        </w:rPr>
        <w:t xml:space="preserve"> &amp; </w:t>
      </w:r>
      <w:proofErr w:type="spellStart"/>
      <w:r w:rsidRPr="00706E97">
        <w:rPr>
          <w:rFonts w:ascii="Times New Roman" w:hAnsi="Times New Roman" w:cs="Times New Roman"/>
          <w:lang w:val="en-US"/>
        </w:rPr>
        <w:t>Zouari</w:t>
      </w:r>
      <w:proofErr w:type="spellEnd"/>
      <w:r w:rsidRPr="00706E97">
        <w:rPr>
          <w:rFonts w:ascii="Times New Roman" w:hAnsi="Times New Roman" w:cs="Times New Roman"/>
          <w:lang w:val="en-US"/>
        </w:rPr>
        <w:t xml:space="preserve">, 2022). When groundwater chemistry is dominated by cation exchange, the correlation parameter between </w:t>
      </w:r>
      <w:r w:rsidR="008A168D">
        <w:rPr>
          <w:rFonts w:ascii="Times New Roman" w:hAnsi="Times New Roman" w:cs="Times New Roman"/>
          <w:lang w:val="en-US"/>
        </w:rPr>
        <w:t>(</w:t>
      </w:r>
      <w:r w:rsidR="008A168D" w:rsidRPr="00706E97">
        <w:rPr>
          <w:rFonts w:ascii="Times New Roman" w:hAnsi="Times New Roman" w:cs="Times New Roman"/>
          <w:lang w:val="en-US"/>
        </w:rPr>
        <w:t>Na</w:t>
      </w:r>
      <w:r w:rsidR="008A168D" w:rsidRPr="00706E97">
        <w:rPr>
          <w:rFonts w:ascii="Times New Roman" w:hAnsi="Times New Roman" w:cs="Times New Roman"/>
          <w:vertAlign w:val="superscript"/>
          <w:lang w:val="en-US"/>
        </w:rPr>
        <w:t>+</w:t>
      </w:r>
      <w:r w:rsidR="008A168D" w:rsidRPr="00706E97">
        <w:rPr>
          <w:rFonts w:ascii="Times New Roman" w:hAnsi="Times New Roman" w:cs="Times New Roman"/>
          <w:lang w:val="en-US"/>
        </w:rPr>
        <w:t xml:space="preserve"> </w:t>
      </w:r>
      <w:r w:rsidR="008A168D">
        <w:rPr>
          <w:rFonts w:ascii="Times New Roman" w:hAnsi="Times New Roman" w:cs="Times New Roman"/>
          <w:lang w:val="en-US"/>
        </w:rPr>
        <w:t>+</w:t>
      </w:r>
      <w:r w:rsidR="008A168D" w:rsidRPr="00706E97">
        <w:rPr>
          <w:rFonts w:ascii="Times New Roman" w:hAnsi="Times New Roman" w:cs="Times New Roman"/>
          <w:lang w:val="en-US"/>
        </w:rPr>
        <w:t xml:space="preserve"> K</w:t>
      </w:r>
      <w:r w:rsidR="008A168D" w:rsidRPr="00706E97">
        <w:rPr>
          <w:rFonts w:ascii="Times New Roman" w:hAnsi="Times New Roman" w:cs="Times New Roman"/>
          <w:vertAlign w:val="superscript"/>
          <w:lang w:val="en-US"/>
        </w:rPr>
        <w:t>+</w:t>
      </w:r>
      <w:r w:rsidR="008A168D">
        <w:rPr>
          <w:rFonts w:ascii="Times New Roman" w:hAnsi="Times New Roman" w:cs="Times New Roman"/>
          <w:vertAlign w:val="superscript"/>
          <w:lang w:val="en-US"/>
        </w:rPr>
        <w:t xml:space="preserve"> </w:t>
      </w:r>
      <w:r w:rsidR="008A168D" w:rsidRPr="00706E97">
        <w:rPr>
          <w:rFonts w:ascii="Times New Roman" w:hAnsi="Times New Roman" w:cs="Times New Roman"/>
          <w:lang w:val="en-US"/>
        </w:rPr>
        <w:t>+ Cl</w:t>
      </w:r>
      <w:r w:rsidR="008A168D" w:rsidRPr="008A168D">
        <w:rPr>
          <w:rFonts w:ascii="Times New Roman" w:hAnsi="Times New Roman" w:cs="Times New Roman"/>
          <w:vertAlign w:val="superscript"/>
          <w:lang w:val="en-US"/>
        </w:rPr>
        <w:t>-</w:t>
      </w:r>
      <w:r w:rsidRPr="00706E97">
        <w:rPr>
          <w:rFonts w:ascii="Times New Roman" w:hAnsi="Times New Roman" w:cs="Times New Roman"/>
          <w:lang w:val="en-US"/>
        </w:rPr>
        <w:t>) and [(</w:t>
      </w:r>
      <w:r w:rsidR="008A168D" w:rsidRPr="00706E97">
        <w:rPr>
          <w:rFonts w:ascii="Times New Roman" w:hAnsi="Times New Roman" w:cs="Times New Roman"/>
          <w:lang w:val="en-US"/>
        </w:rPr>
        <w:t>Ca</w:t>
      </w:r>
      <w:r w:rsidR="008A168D" w:rsidRPr="00706E97">
        <w:rPr>
          <w:rFonts w:ascii="Times New Roman" w:hAnsi="Times New Roman" w:cs="Times New Roman"/>
          <w:vertAlign w:val="superscript"/>
          <w:lang w:val="en-US"/>
        </w:rPr>
        <w:t>2+</w:t>
      </w:r>
      <w:r w:rsidR="008A168D" w:rsidRPr="00706E97">
        <w:rPr>
          <w:rFonts w:ascii="Times New Roman" w:hAnsi="Times New Roman" w:cs="Times New Roman"/>
          <w:lang w:val="en-US"/>
        </w:rPr>
        <w:t xml:space="preserve"> + Mg</w:t>
      </w:r>
      <w:r w:rsidR="008A168D" w:rsidRPr="00706E97">
        <w:rPr>
          <w:rFonts w:ascii="Times New Roman" w:hAnsi="Times New Roman" w:cs="Times New Roman"/>
          <w:vertAlign w:val="superscript"/>
          <w:lang w:val="en-US"/>
        </w:rPr>
        <w:t>2+</w:t>
      </w:r>
      <w:r w:rsidRPr="00706E97">
        <w:rPr>
          <w:rFonts w:ascii="Times New Roman" w:hAnsi="Times New Roman" w:cs="Times New Roman"/>
          <w:lang w:val="en-US"/>
        </w:rPr>
        <w:t xml:space="preserve">) </w:t>
      </w:r>
      <w:r w:rsidR="008A168D">
        <w:rPr>
          <w:rFonts w:ascii="Times New Roman" w:hAnsi="Times New Roman" w:cs="Times New Roman"/>
          <w:lang w:val="en-US"/>
        </w:rPr>
        <w:t>-</w:t>
      </w:r>
      <w:r w:rsidRPr="00706E97">
        <w:rPr>
          <w:rFonts w:ascii="Times New Roman" w:hAnsi="Times New Roman" w:cs="Times New Roman"/>
          <w:lang w:val="en-US"/>
        </w:rPr>
        <w:t xml:space="preserve"> (</w:t>
      </w:r>
      <w:r w:rsidR="008A168D" w:rsidRPr="00706E97">
        <w:rPr>
          <w:rFonts w:ascii="Times New Roman" w:hAnsi="Times New Roman" w:cs="Times New Roman"/>
          <w:lang w:val="en-US"/>
        </w:rPr>
        <w:t>SO</w:t>
      </w:r>
      <w:r w:rsidR="008A168D" w:rsidRPr="00706E97">
        <w:rPr>
          <w:rFonts w:ascii="Times New Roman" w:hAnsi="Times New Roman" w:cs="Times New Roman"/>
          <w:vertAlign w:val="subscript"/>
          <w:lang w:val="en-US"/>
        </w:rPr>
        <w:t>4</w:t>
      </w:r>
      <w:r w:rsidR="008A168D" w:rsidRPr="00706E97">
        <w:rPr>
          <w:rFonts w:ascii="Times New Roman" w:hAnsi="Times New Roman" w:cs="Times New Roman"/>
          <w:vertAlign w:val="superscript"/>
          <w:lang w:val="en-US"/>
        </w:rPr>
        <w:t>2</w:t>
      </w:r>
      <w:r w:rsidR="008A168D">
        <w:rPr>
          <w:rFonts w:ascii="Times New Roman" w:hAnsi="Times New Roman" w:cs="Times New Roman"/>
          <w:vertAlign w:val="superscript"/>
          <w:lang w:val="en-US"/>
        </w:rPr>
        <w:t>-</w:t>
      </w:r>
      <w:r w:rsidR="008A168D" w:rsidRPr="00706E97">
        <w:rPr>
          <w:rFonts w:ascii="Times New Roman" w:hAnsi="Times New Roman" w:cs="Times New Roman"/>
          <w:lang w:val="en-US"/>
        </w:rPr>
        <w:t xml:space="preserve"> + HCO</w:t>
      </w:r>
      <w:r w:rsidR="008A168D" w:rsidRPr="00706E97">
        <w:rPr>
          <w:rFonts w:ascii="Times New Roman" w:hAnsi="Times New Roman" w:cs="Times New Roman"/>
          <w:vertAlign w:val="subscript"/>
          <w:lang w:val="en-US"/>
        </w:rPr>
        <w:t>3</w:t>
      </w:r>
      <w:r w:rsidR="008A168D" w:rsidRPr="00706E97">
        <w:rPr>
          <w:rFonts w:ascii="Times New Roman" w:hAnsi="Times New Roman" w:cs="Times New Roman"/>
          <w:vertAlign w:val="superscript"/>
          <w:lang w:val="en-US"/>
        </w:rPr>
        <w:t>-</w:t>
      </w:r>
      <w:r w:rsidRPr="00706E97">
        <w:rPr>
          <w:rFonts w:ascii="Times New Roman" w:hAnsi="Times New Roman" w:cs="Times New Roman"/>
          <w:lang w:val="en-US"/>
        </w:rPr>
        <w:t>)] equals 1. In this study, most samples align closely along the 1:1 line, with only a few showing significant deviation (Figure 7c).</w:t>
      </w:r>
    </w:p>
    <w:p w14:paraId="18EF490B" w14:textId="77777777" w:rsidR="00706E97" w:rsidRDefault="00706E97" w:rsidP="00706E97">
      <w:pPr>
        <w:spacing w:after="0" w:line="360" w:lineRule="auto"/>
        <w:jc w:val="both"/>
        <w:rPr>
          <w:rFonts w:ascii="Times New Roman" w:hAnsi="Times New Roman" w:cs="Times New Roman"/>
          <w:lang w:val="en-US"/>
        </w:rPr>
      </w:pPr>
      <w:r w:rsidRPr="00706E97">
        <w:rPr>
          <w:rFonts w:ascii="Times New Roman" w:hAnsi="Times New Roman" w:cs="Times New Roman"/>
          <w:lang w:val="en-US"/>
        </w:rPr>
        <w:t>Furthermore, the CAI-1 vs. CAI-2 diagram allows identification of cation-exchange processes in groundwater (</w:t>
      </w:r>
      <w:proofErr w:type="spellStart"/>
      <w:r w:rsidRPr="00706E97">
        <w:rPr>
          <w:rFonts w:ascii="Times New Roman" w:hAnsi="Times New Roman" w:cs="Times New Roman"/>
          <w:lang w:val="en-US"/>
        </w:rPr>
        <w:t>Eqs</w:t>
      </w:r>
      <w:proofErr w:type="spellEnd"/>
      <w:r w:rsidRPr="00706E97">
        <w:rPr>
          <w:rFonts w:ascii="Times New Roman" w:hAnsi="Times New Roman" w:cs="Times New Roman"/>
          <w:lang w:val="en-US"/>
        </w:rPr>
        <w:t>. 2 and 3). Negative values of CAI-1 and CAI-2 indicate a cation-exchange process, whereas positive values reflect reverse cation exchange. In this study, all samples had CAI-1 and CAI-2 values below zero (Figure 7d), confirming that cation exchange occurs in all cases.</w:t>
      </w:r>
    </w:p>
    <w:p w14:paraId="7C17E798" w14:textId="77777777" w:rsidR="008A168D" w:rsidRPr="00706E97" w:rsidRDefault="008A168D" w:rsidP="00706E97">
      <w:pPr>
        <w:spacing w:after="0" w:line="360" w:lineRule="auto"/>
        <w:jc w:val="both"/>
        <w:rPr>
          <w:rFonts w:ascii="Times New Roman" w:hAnsi="Times New Roman" w:cs="Times New Roman"/>
          <w:lang w:val="en-US"/>
        </w:rPr>
      </w:pPr>
    </w:p>
    <w:p w14:paraId="58169750" w14:textId="77777777" w:rsidR="008A168D" w:rsidRPr="008A168D" w:rsidRDefault="008A168D" w:rsidP="008A168D">
      <w:pPr>
        <w:spacing w:after="0" w:line="360" w:lineRule="auto"/>
        <w:jc w:val="center"/>
        <w:rPr>
          <w:rFonts w:ascii="Times New Roman" w:eastAsiaTheme="minorEastAsia" w:hAnsi="Times New Roman" w:cs="Times New Roman"/>
          <w:lang w:val="en-US"/>
        </w:rPr>
      </w:pPr>
      <m:oMath>
        <m:r>
          <m:rPr>
            <m:sty m:val="p"/>
          </m:rPr>
          <w:rPr>
            <w:rFonts w:ascii="Cambria Math" w:hAnsi="Cambria Math" w:cs="Times New Roman"/>
            <w:lang w:val="en-US"/>
          </w:rPr>
          <w:lastRenderedPageBreak/>
          <m:t>CAI.1=</m:t>
        </m:r>
        <m:f>
          <m:fPr>
            <m:ctrlPr>
              <w:rPr>
                <w:rFonts w:ascii="Cambria Math" w:hAnsi="Cambria Math" w:cs="Times New Roman"/>
              </w:rPr>
            </m:ctrlPr>
          </m:fPr>
          <m:num>
            <m:r>
              <m:rPr>
                <m:sty m:val="p"/>
              </m:rPr>
              <w:rPr>
                <w:rFonts w:ascii="Cambria Math" w:hAnsi="Cambria Math" w:cs="Times New Roman"/>
                <w:lang w:val="en-US"/>
              </w:rPr>
              <m:t>(Cl -(Na+K))/Cl</m:t>
            </m:r>
          </m:num>
          <m:den>
            <m:r>
              <m:rPr>
                <m:sty m:val="p"/>
              </m:rPr>
              <w:rPr>
                <w:rFonts w:ascii="Cambria Math" w:hAnsi="Cambria Math" w:cs="Times New Roman"/>
                <w:lang w:val="en-US"/>
              </w:rPr>
              <m:t>Cl</m:t>
            </m:r>
          </m:den>
        </m:f>
      </m:oMath>
      <w:r w:rsidRPr="008A168D">
        <w:rPr>
          <w:rFonts w:ascii="Times New Roman" w:eastAsiaTheme="minorEastAsia" w:hAnsi="Times New Roman" w:cs="Times New Roman"/>
          <w:lang w:val="en-US"/>
        </w:rPr>
        <w:t xml:space="preserve">        Eq (2)</w:t>
      </w:r>
    </w:p>
    <w:p w14:paraId="75B7B233" w14:textId="2A45634C" w:rsidR="008A168D" w:rsidRPr="008A168D" w:rsidRDefault="008A168D" w:rsidP="008A168D">
      <w:pPr>
        <w:spacing w:after="0" w:line="360" w:lineRule="auto"/>
        <w:jc w:val="center"/>
        <w:rPr>
          <w:rFonts w:ascii="Times New Roman" w:eastAsiaTheme="minorEastAsia" w:hAnsi="Times New Roman" w:cs="Times New Roman"/>
          <w:lang w:val="en-US"/>
        </w:rPr>
      </w:pPr>
      <m:oMath>
        <m:r>
          <m:rPr>
            <m:sty m:val="p"/>
          </m:rPr>
          <w:rPr>
            <w:rFonts w:ascii="Cambria Math" w:eastAsiaTheme="minorEastAsia" w:hAnsi="Cambria Math" w:cs="Times New Roman"/>
            <w:lang w:val="en-US"/>
          </w:rPr>
          <m:t>CAI.2=</m:t>
        </m:r>
        <m:f>
          <m:fPr>
            <m:ctrlPr>
              <w:rPr>
                <w:rFonts w:ascii="Cambria Math" w:eastAsiaTheme="minorEastAsia" w:hAnsi="Cambria Math" w:cs="Times New Roman"/>
                <w:lang w:val="en-US"/>
              </w:rPr>
            </m:ctrlPr>
          </m:fPr>
          <m:num>
            <m:r>
              <m:rPr>
                <m:sty m:val="p"/>
              </m:rPr>
              <w:rPr>
                <w:rFonts w:ascii="Cambria Math" w:eastAsiaTheme="minorEastAsia" w:hAnsi="Cambria Math" w:cs="Times New Roman"/>
                <w:lang w:val="en-US"/>
              </w:rPr>
              <m:t>(Cl-(Na+K))</m:t>
            </m:r>
          </m:num>
          <m:den>
            <m:r>
              <m:rPr>
                <m:sty m:val="p"/>
              </m:rPr>
              <w:rPr>
                <w:rFonts w:ascii="Cambria Math" w:eastAsiaTheme="minorEastAsia" w:hAnsi="Cambria Math" w:cs="Times New Roman"/>
                <w:lang w:val="en-US"/>
              </w:rPr>
              <m:t>(HCO3+SO4+NO3)</m:t>
            </m:r>
          </m:den>
        </m:f>
      </m:oMath>
      <w:r w:rsidRPr="008A168D">
        <w:rPr>
          <w:rFonts w:ascii="Times New Roman" w:eastAsiaTheme="minorEastAsia" w:hAnsi="Times New Roman" w:cs="Times New Roman"/>
          <w:lang w:val="en-US"/>
        </w:rPr>
        <w:t xml:space="preserve">     Eq (3)</w:t>
      </w:r>
    </w:p>
    <w:p w14:paraId="4148423A" w14:textId="4453D158" w:rsidR="00E86A67" w:rsidRDefault="00853E2E" w:rsidP="00706E97">
      <w:pPr>
        <w:spacing w:line="360" w:lineRule="auto"/>
        <w:rPr>
          <w:rFonts w:ascii="Times New Roman" w:hAnsi="Times New Roman" w:cs="Times New Roman"/>
          <w:lang w:val="en-US"/>
        </w:rPr>
      </w:pPr>
      <w:r>
        <w:rPr>
          <w:noProof/>
          <w:lang w:val="fr-FR" w:eastAsia="fr-FR"/>
        </w:rPr>
        <w:drawing>
          <wp:inline distT="0" distB="0" distL="0" distR="0" wp14:anchorId="17087D92" wp14:editId="4583B1BC">
            <wp:extent cx="5760720" cy="4767580"/>
            <wp:effectExtent l="0" t="0" r="0" b="0"/>
            <wp:docPr id="1868657073" name="Image 3" descr="Une image contenant diagramme, text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57073" name="Image 3" descr="Une image contenant diagramme, texte, ligne, Tracé&#10;&#10;Le contenu généré par l’IA peut êtr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767580"/>
                    </a:xfrm>
                    <a:prstGeom prst="rect">
                      <a:avLst/>
                    </a:prstGeom>
                    <a:noFill/>
                    <a:ln>
                      <a:noFill/>
                    </a:ln>
                  </pic:spPr>
                </pic:pic>
              </a:graphicData>
            </a:graphic>
          </wp:inline>
        </w:drawing>
      </w:r>
    </w:p>
    <w:p w14:paraId="0CAFCE8E" w14:textId="3A740E7E" w:rsidR="008A168D" w:rsidRDefault="008A168D" w:rsidP="008A168D">
      <w:pPr>
        <w:spacing w:line="360" w:lineRule="auto"/>
        <w:jc w:val="center"/>
        <w:rPr>
          <w:rFonts w:ascii="Times New Roman" w:hAnsi="Times New Roman" w:cs="Times New Roman"/>
          <w:lang w:val="en-US"/>
        </w:rPr>
      </w:pPr>
      <w:r w:rsidRPr="008A168D">
        <w:rPr>
          <w:rFonts w:ascii="Times New Roman" w:hAnsi="Times New Roman" w:cs="Times New Roman"/>
          <w:b/>
          <w:bCs/>
          <w:lang w:val="en-US"/>
        </w:rPr>
        <w:t xml:space="preserve">Figure </w:t>
      </w:r>
      <w:proofErr w:type="gramStart"/>
      <w:r>
        <w:rPr>
          <w:rFonts w:ascii="Times New Roman" w:hAnsi="Times New Roman" w:cs="Times New Roman"/>
          <w:b/>
          <w:bCs/>
          <w:lang w:val="en-US"/>
        </w:rPr>
        <w:t>7</w:t>
      </w:r>
      <w:r w:rsidRPr="00773F73">
        <w:rPr>
          <w:rFonts w:ascii="Times New Roman" w:hAnsi="Times New Roman" w:cs="Times New Roman"/>
          <w:lang w:val="en-US"/>
        </w:rPr>
        <w:t xml:space="preserve"> :</w:t>
      </w:r>
      <w:proofErr w:type="gramEnd"/>
      <w:r w:rsidRPr="00773F73">
        <w:rPr>
          <w:rFonts w:ascii="Times New Roman" w:hAnsi="Times New Roman" w:cs="Times New Roman"/>
          <w:lang w:val="en-US"/>
        </w:rPr>
        <w:t xml:space="preserve"> Box plot / (a) TZ vs Na</w:t>
      </w:r>
      <w:r>
        <w:rPr>
          <w:rFonts w:ascii="Times New Roman" w:hAnsi="Times New Roman" w:cs="Times New Roman"/>
          <w:lang w:val="en-US"/>
        </w:rPr>
        <w:t xml:space="preserve"> </w:t>
      </w:r>
      <w:r w:rsidRPr="00773F73">
        <w:rPr>
          <w:rFonts w:ascii="Times New Roman" w:hAnsi="Times New Roman" w:cs="Times New Roman"/>
          <w:lang w:val="en-US"/>
        </w:rPr>
        <w:t>+</w:t>
      </w:r>
      <w:r>
        <w:rPr>
          <w:rFonts w:ascii="Times New Roman" w:hAnsi="Times New Roman" w:cs="Times New Roman"/>
          <w:lang w:val="en-US"/>
        </w:rPr>
        <w:t xml:space="preserve"> </w:t>
      </w:r>
      <w:r w:rsidRPr="00773F73">
        <w:rPr>
          <w:rFonts w:ascii="Times New Roman" w:hAnsi="Times New Roman" w:cs="Times New Roman"/>
          <w:lang w:val="en-US"/>
        </w:rPr>
        <w:t>K (b) HCO</w:t>
      </w:r>
      <w:r w:rsidRPr="008A168D">
        <w:rPr>
          <w:rFonts w:ascii="Times New Roman" w:hAnsi="Times New Roman" w:cs="Times New Roman"/>
          <w:vertAlign w:val="subscript"/>
          <w:lang w:val="en-US"/>
        </w:rPr>
        <w:t>3</w:t>
      </w:r>
      <w:r>
        <w:rPr>
          <w:rFonts w:ascii="Times New Roman" w:hAnsi="Times New Roman" w:cs="Times New Roman"/>
          <w:lang w:val="en-US"/>
        </w:rPr>
        <w:t xml:space="preserve"> </w:t>
      </w:r>
      <w:r w:rsidRPr="00773F73">
        <w:rPr>
          <w:rFonts w:ascii="Times New Roman" w:hAnsi="Times New Roman" w:cs="Times New Roman"/>
          <w:lang w:val="en-US"/>
        </w:rPr>
        <w:t>vs</w:t>
      </w:r>
      <w:r>
        <w:rPr>
          <w:rFonts w:ascii="Times New Roman" w:hAnsi="Times New Roman" w:cs="Times New Roman"/>
          <w:lang w:val="en-US"/>
        </w:rPr>
        <w:t xml:space="preserve"> </w:t>
      </w:r>
      <w:r w:rsidRPr="00773F73">
        <w:rPr>
          <w:rFonts w:ascii="Times New Roman" w:hAnsi="Times New Roman" w:cs="Times New Roman"/>
          <w:lang w:val="en-US"/>
        </w:rPr>
        <w:t>SO</w:t>
      </w:r>
      <w:r w:rsidRPr="008A168D">
        <w:rPr>
          <w:rFonts w:ascii="Times New Roman" w:hAnsi="Times New Roman" w:cs="Times New Roman"/>
          <w:vertAlign w:val="subscript"/>
          <w:lang w:val="en-US"/>
        </w:rPr>
        <w:t>4</w:t>
      </w:r>
      <w:r w:rsidRPr="00773F73">
        <w:rPr>
          <w:rFonts w:ascii="Times New Roman" w:hAnsi="Times New Roman" w:cs="Times New Roman"/>
          <w:lang w:val="en-US"/>
        </w:rPr>
        <w:t xml:space="preserve"> (c) (Ca</w:t>
      </w:r>
      <w:r>
        <w:rPr>
          <w:rFonts w:ascii="Times New Roman" w:hAnsi="Times New Roman" w:cs="Times New Roman"/>
          <w:lang w:val="en-US"/>
        </w:rPr>
        <w:t xml:space="preserve"> </w:t>
      </w:r>
      <w:r w:rsidRPr="00773F73">
        <w:rPr>
          <w:rFonts w:ascii="Times New Roman" w:hAnsi="Times New Roman" w:cs="Times New Roman"/>
          <w:lang w:val="en-US"/>
        </w:rPr>
        <w:t>+</w:t>
      </w:r>
      <w:r>
        <w:rPr>
          <w:rFonts w:ascii="Times New Roman" w:hAnsi="Times New Roman" w:cs="Times New Roman"/>
          <w:lang w:val="en-US"/>
        </w:rPr>
        <w:t xml:space="preserve"> </w:t>
      </w:r>
      <w:r w:rsidRPr="00773F73">
        <w:rPr>
          <w:rFonts w:ascii="Times New Roman" w:hAnsi="Times New Roman" w:cs="Times New Roman"/>
          <w:lang w:val="en-US"/>
        </w:rPr>
        <w:t>Mg) - (HCO</w:t>
      </w:r>
      <w:r w:rsidRPr="008A168D">
        <w:rPr>
          <w:rFonts w:ascii="Times New Roman" w:hAnsi="Times New Roman" w:cs="Times New Roman"/>
          <w:vertAlign w:val="subscript"/>
          <w:lang w:val="en-US"/>
        </w:rPr>
        <w:t>3</w:t>
      </w:r>
      <w:r>
        <w:rPr>
          <w:rFonts w:ascii="Times New Roman" w:hAnsi="Times New Roman" w:cs="Times New Roman"/>
          <w:lang w:val="en-US"/>
        </w:rPr>
        <w:t xml:space="preserve"> </w:t>
      </w:r>
      <w:r w:rsidRPr="00773F73">
        <w:rPr>
          <w:rFonts w:ascii="Times New Roman" w:hAnsi="Times New Roman" w:cs="Times New Roman"/>
          <w:lang w:val="en-US"/>
        </w:rPr>
        <w:t>+</w:t>
      </w:r>
      <w:r>
        <w:rPr>
          <w:rFonts w:ascii="Times New Roman" w:hAnsi="Times New Roman" w:cs="Times New Roman"/>
          <w:lang w:val="en-US"/>
        </w:rPr>
        <w:t xml:space="preserve"> </w:t>
      </w:r>
      <w:r w:rsidRPr="00773F73">
        <w:rPr>
          <w:rFonts w:ascii="Times New Roman" w:hAnsi="Times New Roman" w:cs="Times New Roman"/>
          <w:lang w:val="en-US"/>
        </w:rPr>
        <w:t>SO</w:t>
      </w:r>
      <w:r w:rsidRPr="008A168D">
        <w:rPr>
          <w:rFonts w:ascii="Times New Roman" w:hAnsi="Times New Roman" w:cs="Times New Roman"/>
          <w:vertAlign w:val="subscript"/>
          <w:lang w:val="en-US"/>
        </w:rPr>
        <w:t>4</w:t>
      </w:r>
      <w:r w:rsidRPr="00773F73">
        <w:rPr>
          <w:rFonts w:ascii="Times New Roman" w:hAnsi="Times New Roman" w:cs="Times New Roman"/>
          <w:lang w:val="en-US"/>
        </w:rPr>
        <w:t>) et (d) CAI</w:t>
      </w:r>
      <w:r>
        <w:rPr>
          <w:rFonts w:ascii="Times New Roman" w:hAnsi="Times New Roman" w:cs="Times New Roman"/>
          <w:lang w:val="en-US"/>
        </w:rPr>
        <w:t>.</w:t>
      </w:r>
      <w:r w:rsidRPr="00773F73">
        <w:rPr>
          <w:rFonts w:ascii="Times New Roman" w:hAnsi="Times New Roman" w:cs="Times New Roman"/>
          <w:lang w:val="en-US"/>
        </w:rPr>
        <w:t>1 vs CAI</w:t>
      </w:r>
      <w:r>
        <w:rPr>
          <w:rFonts w:ascii="Times New Roman" w:hAnsi="Times New Roman" w:cs="Times New Roman"/>
          <w:lang w:val="en-US"/>
        </w:rPr>
        <w:t>.</w:t>
      </w:r>
      <w:r w:rsidRPr="00773F73">
        <w:rPr>
          <w:rFonts w:ascii="Times New Roman" w:hAnsi="Times New Roman" w:cs="Times New Roman"/>
          <w:lang w:val="en-US"/>
        </w:rPr>
        <w:t>2</w:t>
      </w:r>
    </w:p>
    <w:p w14:paraId="6216E7E6" w14:textId="10C8487A" w:rsidR="008A168D" w:rsidRDefault="008A168D" w:rsidP="008A168D">
      <w:pPr>
        <w:spacing w:line="360" w:lineRule="auto"/>
        <w:rPr>
          <w:rFonts w:ascii="Times New Roman" w:hAnsi="Times New Roman" w:cs="Times New Roman"/>
          <w:b/>
          <w:bCs/>
          <w:lang w:val="en-US"/>
        </w:rPr>
      </w:pPr>
      <w:r w:rsidRPr="00D5106E">
        <w:rPr>
          <w:rFonts w:ascii="Times New Roman" w:hAnsi="Times New Roman" w:cs="Times New Roman"/>
          <w:b/>
          <w:bCs/>
          <w:lang w:val="en-US"/>
        </w:rPr>
        <w:t>4.1.6 Spatial Distribution of Iro</w:t>
      </w:r>
      <w:r w:rsidR="00D5106E">
        <w:rPr>
          <w:rFonts w:ascii="Times New Roman" w:hAnsi="Times New Roman" w:cs="Times New Roman"/>
          <w:b/>
          <w:bCs/>
          <w:lang w:val="en-US"/>
        </w:rPr>
        <w:t>n</w:t>
      </w:r>
    </w:p>
    <w:p w14:paraId="69BE4DA5" w14:textId="109F3717" w:rsidR="00432780" w:rsidRPr="00432780" w:rsidRDefault="00432780" w:rsidP="00432780">
      <w:pPr>
        <w:spacing w:line="360" w:lineRule="auto"/>
        <w:jc w:val="both"/>
        <w:rPr>
          <w:rFonts w:ascii="Times New Roman" w:hAnsi="Times New Roman" w:cs="Times New Roman"/>
          <w:lang w:val="en-US"/>
        </w:rPr>
      </w:pPr>
      <w:r w:rsidRPr="00432780">
        <w:rPr>
          <w:rFonts w:ascii="Times New Roman" w:hAnsi="Times New Roman" w:cs="Times New Roman"/>
          <w:lang w:val="en-US"/>
        </w:rPr>
        <w:t>The groundwater samples containing iron showed concentrations ranging from 0.1 to 4.55 mg/L (Figure 8 and table). The majority of the samples contained iron levels exceeding the World Health Organization (WHO) guideline limit for drinking water quality (</w:t>
      </w:r>
      <w:r w:rsidRPr="001426B1">
        <w:rPr>
          <w:rFonts w:ascii="Times New Roman" w:hAnsi="Times New Roman" w:cs="Times New Roman"/>
          <w:highlight w:val="yellow"/>
          <w:lang w:val="en-US"/>
        </w:rPr>
        <w:t>0.</w:t>
      </w:r>
      <w:r w:rsidR="00535F75" w:rsidRPr="001426B1">
        <w:rPr>
          <w:rFonts w:ascii="Times New Roman" w:hAnsi="Times New Roman" w:cs="Times New Roman"/>
          <w:highlight w:val="yellow"/>
          <w:lang w:val="en-US"/>
        </w:rPr>
        <w:t>3</w:t>
      </w:r>
      <w:r w:rsidRPr="001426B1">
        <w:rPr>
          <w:rFonts w:ascii="Times New Roman" w:hAnsi="Times New Roman" w:cs="Times New Roman"/>
          <w:highlight w:val="yellow"/>
          <w:lang w:val="en-US"/>
        </w:rPr>
        <w:t>0</w:t>
      </w:r>
      <w:r w:rsidRPr="00432780">
        <w:rPr>
          <w:rFonts w:ascii="Times New Roman" w:hAnsi="Times New Roman" w:cs="Times New Roman"/>
          <w:lang w:val="en-US"/>
        </w:rPr>
        <w:t xml:space="preserve"> mg/L). These boreholes are distributed across the entire study area and represent 58.22% of all iron-containing samples</w:t>
      </w:r>
      <w:r w:rsidR="001370F8">
        <w:rPr>
          <w:rFonts w:ascii="Times New Roman" w:hAnsi="Times New Roman" w:cs="Times New Roman"/>
          <w:lang w:val="en-US"/>
        </w:rPr>
        <w:t xml:space="preserve"> (Figure 8)</w:t>
      </w:r>
      <w:r w:rsidRPr="00432780">
        <w:rPr>
          <w:rFonts w:ascii="Times New Roman" w:hAnsi="Times New Roman" w:cs="Times New Roman"/>
          <w:lang w:val="en-US"/>
        </w:rPr>
        <w:t>.</w:t>
      </w:r>
    </w:p>
    <w:p w14:paraId="52BDA7C5" w14:textId="212EE549" w:rsidR="00D5106E" w:rsidRDefault="00712ACF" w:rsidP="008A168D">
      <w:pPr>
        <w:spacing w:line="360" w:lineRule="auto"/>
        <w:rPr>
          <w:rFonts w:ascii="Times New Roman" w:hAnsi="Times New Roman" w:cs="Times New Roman"/>
          <w:b/>
          <w:bCs/>
        </w:rPr>
      </w:pPr>
      <w:r w:rsidRPr="00712ACF">
        <w:rPr>
          <w:rFonts w:ascii="Times New Roman" w:hAnsi="Times New Roman" w:cs="Times New Roman"/>
          <w:b/>
          <w:bCs/>
          <w:noProof/>
          <w:lang w:val="fr-FR" w:eastAsia="fr-FR"/>
        </w:rPr>
        <w:lastRenderedPageBreak/>
        <w:drawing>
          <wp:inline distT="0" distB="0" distL="0" distR="0" wp14:anchorId="327FAC8E" wp14:editId="232CD5A7">
            <wp:extent cx="5760720" cy="4072890"/>
            <wp:effectExtent l="0" t="0" r="0" b="3810"/>
            <wp:docPr id="125250892" name="Image 2" descr="Une image contenant texte, carte, diagramm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0892" name="Image 2" descr="Une image contenant texte, carte, diagramme, atlas&#10;&#10;Le contenu généré par l’IA peut êtr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6435BF98" w14:textId="3934C5EE" w:rsidR="00193B88" w:rsidRPr="001370F8" w:rsidRDefault="00193B88" w:rsidP="00193B88">
      <w:pPr>
        <w:spacing w:line="360" w:lineRule="auto"/>
        <w:jc w:val="center"/>
        <w:rPr>
          <w:rFonts w:ascii="Times New Roman" w:hAnsi="Times New Roman" w:cs="Times New Roman"/>
          <w:lang w:val="en-US"/>
        </w:rPr>
      </w:pPr>
      <w:r w:rsidRPr="001370F8">
        <w:rPr>
          <w:rFonts w:ascii="Times New Roman" w:hAnsi="Times New Roman" w:cs="Times New Roman"/>
          <w:b/>
          <w:bCs/>
          <w:lang w:val="en-US"/>
        </w:rPr>
        <w:t xml:space="preserve">Figure </w:t>
      </w:r>
      <w:proofErr w:type="gramStart"/>
      <w:r w:rsidR="001370F8" w:rsidRPr="001370F8">
        <w:rPr>
          <w:rFonts w:ascii="Times New Roman" w:hAnsi="Times New Roman" w:cs="Times New Roman"/>
          <w:b/>
          <w:bCs/>
          <w:lang w:val="en-US"/>
        </w:rPr>
        <w:t>8</w:t>
      </w:r>
      <w:r w:rsidRPr="001370F8">
        <w:rPr>
          <w:rFonts w:ascii="Times New Roman" w:hAnsi="Times New Roman" w:cs="Times New Roman"/>
          <w:b/>
          <w:bCs/>
          <w:lang w:val="en-US"/>
        </w:rPr>
        <w:t xml:space="preserve"> :</w:t>
      </w:r>
      <w:proofErr w:type="gramEnd"/>
      <w:r w:rsidRPr="001370F8">
        <w:rPr>
          <w:rFonts w:ascii="Times New Roman" w:hAnsi="Times New Roman" w:cs="Times New Roman"/>
          <w:b/>
          <w:bCs/>
          <w:lang w:val="en-US"/>
        </w:rPr>
        <w:t xml:space="preserve"> </w:t>
      </w:r>
      <w:r w:rsidRPr="001370F8">
        <w:rPr>
          <w:rFonts w:ascii="Times New Roman" w:hAnsi="Times New Roman" w:cs="Times New Roman"/>
          <w:lang w:val="en-US"/>
        </w:rPr>
        <w:t>Spatial distribution of iron</w:t>
      </w:r>
    </w:p>
    <w:p w14:paraId="18AF3036" w14:textId="7F0AAA9C" w:rsidR="008A168D" w:rsidRPr="00D5106E" w:rsidRDefault="00D5106E" w:rsidP="008A168D">
      <w:pPr>
        <w:spacing w:line="360" w:lineRule="auto"/>
        <w:rPr>
          <w:rFonts w:ascii="Times New Roman" w:hAnsi="Times New Roman" w:cs="Times New Roman"/>
          <w:b/>
          <w:bCs/>
          <w:lang w:val="en-US"/>
        </w:rPr>
      </w:pPr>
      <w:r w:rsidRPr="00D5106E">
        <w:rPr>
          <w:rFonts w:ascii="Times New Roman" w:hAnsi="Times New Roman" w:cs="Times New Roman"/>
          <w:b/>
          <w:bCs/>
          <w:lang w:val="en-US"/>
        </w:rPr>
        <w:t>4.1.7 Classification of Water for Irrigation</w:t>
      </w:r>
    </w:p>
    <w:p w14:paraId="740D8E54" w14:textId="7268130F" w:rsidR="008A168D" w:rsidRDefault="008A168D" w:rsidP="008A168D">
      <w:pPr>
        <w:spacing w:line="360" w:lineRule="auto"/>
        <w:jc w:val="both"/>
        <w:rPr>
          <w:rFonts w:ascii="Times New Roman" w:hAnsi="Times New Roman" w:cs="Times New Roman"/>
          <w:lang w:val="en-US"/>
        </w:rPr>
      </w:pPr>
      <w:r w:rsidRPr="008A168D">
        <w:rPr>
          <w:rFonts w:ascii="Times New Roman" w:hAnsi="Times New Roman" w:cs="Times New Roman"/>
          <w:lang w:val="en-US"/>
        </w:rPr>
        <w:t xml:space="preserve">The Wilcox diagram (Figure </w:t>
      </w:r>
      <w:r w:rsidR="00C67D9A">
        <w:rPr>
          <w:rFonts w:ascii="Times New Roman" w:hAnsi="Times New Roman" w:cs="Times New Roman"/>
          <w:lang w:val="en-US"/>
        </w:rPr>
        <w:t>9</w:t>
      </w:r>
      <w:r w:rsidRPr="008A168D">
        <w:rPr>
          <w:rFonts w:ascii="Times New Roman" w:hAnsi="Times New Roman" w:cs="Times New Roman"/>
          <w:lang w:val="en-US"/>
        </w:rPr>
        <w:t>) was used to analyze the sodium content (%Na) of groundwater in the study area. Among the samples, none exhibited a low %Na (less than 20%), which would indicate excellent quality for irrigation. Three samples showed a moderate level (20</w:t>
      </w:r>
      <w:r w:rsidR="00D5106E">
        <w:rPr>
          <w:rFonts w:ascii="Times New Roman" w:hAnsi="Times New Roman" w:cs="Times New Roman"/>
          <w:lang w:val="en-US"/>
        </w:rPr>
        <w:t>-</w:t>
      </w:r>
      <w:r w:rsidRPr="008A168D">
        <w:rPr>
          <w:rFonts w:ascii="Times New Roman" w:hAnsi="Times New Roman" w:cs="Times New Roman"/>
          <w:lang w:val="en-US"/>
        </w:rPr>
        <w:t>60% Na), and fourteen samples displayed Na concentrations between 75% and 90%. These results place the waters in the categories of “excellent,” “acceptable to doubtful,” and “doubtful” regarding their suitability for irrigation. High sodium concentrations can adversely affect stomatal function, water uptake, and photosynthesis in plants (</w:t>
      </w:r>
      <w:proofErr w:type="spellStart"/>
      <w:r w:rsidRPr="008A168D">
        <w:rPr>
          <w:rFonts w:ascii="Times New Roman" w:hAnsi="Times New Roman" w:cs="Times New Roman"/>
          <w:lang w:val="en-US"/>
        </w:rPr>
        <w:t>Sunkari</w:t>
      </w:r>
      <w:proofErr w:type="spellEnd"/>
      <w:r w:rsidRPr="008A168D">
        <w:rPr>
          <w:rFonts w:ascii="Times New Roman" w:hAnsi="Times New Roman" w:cs="Times New Roman"/>
          <w:lang w:val="en-US"/>
        </w:rPr>
        <w:t xml:space="preserve"> et al., 2023).</w:t>
      </w:r>
    </w:p>
    <w:p w14:paraId="4FF53E25" w14:textId="333C1DB7" w:rsidR="00D5106E" w:rsidRDefault="00D5106E" w:rsidP="00D5106E">
      <w:pPr>
        <w:tabs>
          <w:tab w:val="left" w:pos="7760"/>
        </w:tabs>
        <w:jc w:val="center"/>
        <w:rPr>
          <w:rFonts w:ascii="Times New Roman" w:hAnsi="Times New Roman" w:cs="Times New Roman"/>
          <w:lang w:val="en-US"/>
        </w:rPr>
      </w:pPr>
      <w:r>
        <w:rPr>
          <w:noProof/>
          <w:lang w:val="fr-FR" w:eastAsia="fr-FR"/>
        </w:rPr>
        <w:lastRenderedPageBreak/>
        <w:drawing>
          <wp:inline distT="0" distB="0" distL="0" distR="0" wp14:anchorId="244CC0A3" wp14:editId="1E6C97B9">
            <wp:extent cx="3124200" cy="3081233"/>
            <wp:effectExtent l="19050" t="19050" r="19050" b="24130"/>
            <wp:docPr id="1966952789" name="Image 10" descr="Une image contenant diagramme, croquis, dessi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52789" name="Image 10" descr="Une image contenant diagramme, croquis, dessin, ligne&#10;&#10;Le contenu généré par l’IA peut être incorrec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038" t="6191" r="34854" b="21527"/>
                    <a:stretch>
                      <a:fillRect/>
                    </a:stretch>
                  </pic:blipFill>
                  <pic:spPr bwMode="auto">
                    <a:xfrm>
                      <a:off x="0" y="0"/>
                      <a:ext cx="3145902" cy="310263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06D9245B" w14:textId="63E898A8" w:rsidR="00D5106E" w:rsidRPr="00C70EB2" w:rsidRDefault="00D5106E" w:rsidP="00D5106E">
      <w:pPr>
        <w:spacing w:line="360" w:lineRule="auto"/>
        <w:jc w:val="both"/>
        <w:rPr>
          <w:rFonts w:ascii="Times New Roman" w:hAnsi="Times New Roman" w:cs="Times New Roman"/>
          <w:sz w:val="22"/>
          <w:szCs w:val="22"/>
          <w:lang w:val="en-US"/>
        </w:rPr>
      </w:pPr>
      <w:r w:rsidRPr="009715ED">
        <w:rPr>
          <w:rFonts w:ascii="Times New Roman" w:hAnsi="Times New Roman" w:cs="Times New Roman"/>
          <w:b/>
          <w:bCs/>
          <w:sz w:val="22"/>
          <w:szCs w:val="22"/>
          <w:lang w:val="en-US"/>
        </w:rPr>
        <w:t xml:space="preserve">Figure </w:t>
      </w:r>
      <w:proofErr w:type="gramStart"/>
      <w:r>
        <w:rPr>
          <w:rFonts w:ascii="Times New Roman" w:hAnsi="Times New Roman" w:cs="Times New Roman"/>
          <w:b/>
          <w:bCs/>
          <w:sz w:val="22"/>
          <w:szCs w:val="22"/>
          <w:lang w:val="en-US"/>
        </w:rPr>
        <w:t>9</w:t>
      </w:r>
      <w:r w:rsidRPr="00C70EB2">
        <w:rPr>
          <w:rFonts w:ascii="Times New Roman" w:hAnsi="Times New Roman" w:cs="Times New Roman"/>
          <w:sz w:val="22"/>
          <w:szCs w:val="22"/>
          <w:lang w:val="en-US"/>
        </w:rPr>
        <w:t xml:space="preserve"> :</w:t>
      </w:r>
      <w:proofErr w:type="gramEnd"/>
      <w:r w:rsidRPr="00C70EB2">
        <w:rPr>
          <w:rFonts w:ascii="Times New Roman" w:hAnsi="Times New Roman" w:cs="Times New Roman"/>
          <w:sz w:val="22"/>
          <w:szCs w:val="22"/>
          <w:lang w:val="en-US"/>
        </w:rPr>
        <w:t xml:space="preserve"> </w:t>
      </w:r>
      <w:r w:rsidRPr="00D36E64">
        <w:rPr>
          <w:rFonts w:ascii="Times New Roman" w:hAnsi="Times New Roman" w:cs="Times New Roman"/>
          <w:sz w:val="22"/>
          <w:szCs w:val="22"/>
          <w:lang w:val="en-US"/>
        </w:rPr>
        <w:t>Wilcox (1955) Diagram Showing the Suitability of Groundwater for Irrigation</w:t>
      </w:r>
      <w:r w:rsidRPr="00C70EB2">
        <w:rPr>
          <w:rFonts w:ascii="Times New Roman" w:hAnsi="Times New Roman" w:cs="Times New Roman"/>
          <w:sz w:val="22"/>
          <w:szCs w:val="22"/>
          <w:lang w:val="en-US"/>
        </w:rPr>
        <w:t xml:space="preserve"> Purposes.</w:t>
      </w:r>
    </w:p>
    <w:p w14:paraId="53295FA1"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The USSL (SAR) diagram is an effective tool for evaluating the suitability of groundwater for irrigation, based primarily on the Sodium Adsorption Ratio (SAR) and Electrical Conductivity (EC). This method classifies SAR and EC into four distinct levels: low, medium, high, and very high.</w:t>
      </w:r>
    </w:p>
    <w:p w14:paraId="7546736F" w14:textId="715CCFC9"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 xml:space="preserve">Figure </w:t>
      </w:r>
      <w:r w:rsidR="00C67D9A">
        <w:rPr>
          <w:rFonts w:ascii="Times New Roman" w:hAnsi="Times New Roman" w:cs="Times New Roman"/>
          <w:lang w:val="en-US"/>
        </w:rPr>
        <w:t>10</w:t>
      </w:r>
      <w:r w:rsidRPr="00D5106E">
        <w:rPr>
          <w:rFonts w:ascii="Times New Roman" w:hAnsi="Times New Roman" w:cs="Times New Roman"/>
          <w:lang w:val="en-US"/>
        </w:rPr>
        <w:t xml:space="preserve"> shows that the groundwater samples in the study area fall into the classes C1-S1 (52.94%), C2-S1 (35.29%), C3-S1 (5.88%), and C3-S2 (5.88%). These results indicate a high salinity risk and low, medium, and high alkalinity risks, suggesting that special management practices may be required. Crops with high to very high salt tolerance should be selected to ensure sustainable irrigation.</w:t>
      </w:r>
    </w:p>
    <w:p w14:paraId="178C9266" w14:textId="48D1F60B" w:rsidR="00D5106E" w:rsidRDefault="00D5106E" w:rsidP="00D5106E">
      <w:pPr>
        <w:tabs>
          <w:tab w:val="left" w:pos="7760"/>
        </w:tabs>
        <w:jc w:val="center"/>
        <w:rPr>
          <w:rFonts w:ascii="Times New Roman" w:hAnsi="Times New Roman" w:cs="Times New Roman"/>
          <w:lang w:val="en-US"/>
        </w:rPr>
      </w:pPr>
      <w:r w:rsidRPr="00E76BFE">
        <w:rPr>
          <w:rFonts w:ascii="Times New Roman" w:hAnsi="Times New Roman" w:cs="Times New Roman"/>
          <w:noProof/>
          <w:lang w:val="fr-FR" w:eastAsia="fr-FR"/>
        </w:rPr>
        <w:drawing>
          <wp:inline distT="0" distB="0" distL="0" distR="0" wp14:anchorId="39D8D033" wp14:editId="09290DCA">
            <wp:extent cx="3462195" cy="2514600"/>
            <wp:effectExtent l="19050" t="19050" r="24130" b="19050"/>
            <wp:docPr id="644201045" name="Image 7"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01045" name="Image 7" descr="Une image contenant texte, diagramme, ligne, Tracé&#10;&#10;Le contenu généré par l’IA peut êtr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188" t="5040" r="13250" b="16631"/>
                    <a:stretch>
                      <a:fillRect/>
                    </a:stretch>
                  </pic:blipFill>
                  <pic:spPr bwMode="auto">
                    <a:xfrm>
                      <a:off x="0" y="0"/>
                      <a:ext cx="3496444" cy="2539475"/>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4151052B" w14:textId="3D4F8158" w:rsidR="00D5106E" w:rsidRDefault="00D5106E" w:rsidP="00D5106E">
      <w:pPr>
        <w:tabs>
          <w:tab w:val="left" w:pos="7760"/>
        </w:tabs>
        <w:jc w:val="center"/>
        <w:rPr>
          <w:rFonts w:ascii="Times New Roman" w:hAnsi="Times New Roman" w:cs="Times New Roman"/>
          <w:lang w:val="en-US"/>
        </w:rPr>
      </w:pPr>
      <w:r w:rsidRPr="00D5106E">
        <w:rPr>
          <w:rFonts w:ascii="Times New Roman" w:hAnsi="Times New Roman" w:cs="Times New Roman"/>
          <w:b/>
          <w:bCs/>
          <w:lang w:val="en-US"/>
        </w:rPr>
        <w:t xml:space="preserve">Figure </w:t>
      </w:r>
      <w:proofErr w:type="gramStart"/>
      <w:r w:rsidRPr="00D5106E">
        <w:rPr>
          <w:rFonts w:ascii="Times New Roman" w:hAnsi="Times New Roman" w:cs="Times New Roman"/>
          <w:b/>
          <w:bCs/>
          <w:lang w:val="en-US"/>
        </w:rPr>
        <w:t>10</w:t>
      </w:r>
      <w:r>
        <w:rPr>
          <w:rFonts w:ascii="Times New Roman" w:hAnsi="Times New Roman" w:cs="Times New Roman"/>
          <w:lang w:val="en-US"/>
        </w:rPr>
        <w:t xml:space="preserve"> </w:t>
      </w:r>
      <w:r w:rsidRPr="00D5106E">
        <w:rPr>
          <w:rFonts w:ascii="Times New Roman" w:hAnsi="Times New Roman" w:cs="Times New Roman"/>
          <w:lang w:val="en-US"/>
        </w:rPr>
        <w:t>:</w:t>
      </w:r>
      <w:proofErr w:type="gramEnd"/>
      <w:r w:rsidRPr="00D5106E">
        <w:rPr>
          <w:rFonts w:ascii="Times New Roman" w:hAnsi="Times New Roman" w:cs="Times New Roman"/>
          <w:lang w:val="en-US"/>
        </w:rPr>
        <w:t xml:space="preserve"> USSL salinity diagram for classifying water for irrigation.</w:t>
      </w:r>
    </w:p>
    <w:p w14:paraId="51A16A26" w14:textId="108FF799" w:rsidR="00D5106E" w:rsidRPr="00D5106E" w:rsidRDefault="00D5106E" w:rsidP="00D5106E">
      <w:pPr>
        <w:tabs>
          <w:tab w:val="left" w:pos="7760"/>
        </w:tabs>
        <w:rPr>
          <w:rFonts w:ascii="Times New Roman" w:hAnsi="Times New Roman" w:cs="Times New Roman"/>
          <w:b/>
          <w:bCs/>
          <w:lang w:val="en-US"/>
        </w:rPr>
      </w:pPr>
      <w:r w:rsidRPr="00D5106E">
        <w:rPr>
          <w:rFonts w:ascii="Times New Roman" w:hAnsi="Times New Roman" w:cs="Times New Roman"/>
          <w:b/>
          <w:bCs/>
          <w:lang w:val="en-US"/>
        </w:rPr>
        <w:lastRenderedPageBreak/>
        <w:t>4.2 Bacteriological Parameters</w:t>
      </w:r>
    </w:p>
    <w:p w14:paraId="6EEB00D9" w14:textId="77777777" w:rsidR="001D7258" w:rsidRDefault="00D5106E" w:rsidP="001D7258">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 xml:space="preserve">The bacteriological parameters examined include total coliforms, </w:t>
      </w:r>
      <w:r w:rsidRPr="00D5106E">
        <w:rPr>
          <w:rFonts w:ascii="Times New Roman" w:hAnsi="Times New Roman" w:cs="Times New Roman"/>
          <w:i/>
          <w:iCs/>
          <w:lang w:val="en-US"/>
        </w:rPr>
        <w:t>Escherichia coli</w:t>
      </w:r>
      <w:r w:rsidRPr="00D5106E">
        <w:rPr>
          <w:rFonts w:ascii="Times New Roman" w:hAnsi="Times New Roman" w:cs="Times New Roman"/>
          <w:lang w:val="en-US"/>
        </w:rPr>
        <w:t xml:space="preserve"> (E. coli), and fecal enterococci</w:t>
      </w:r>
      <w:r w:rsidR="00F36391">
        <w:rPr>
          <w:rFonts w:ascii="Times New Roman" w:hAnsi="Times New Roman" w:cs="Times New Roman"/>
          <w:lang w:val="en-US"/>
        </w:rPr>
        <w:t xml:space="preserve"> (Table 3)</w:t>
      </w:r>
      <w:r w:rsidRPr="00D5106E">
        <w:rPr>
          <w:rFonts w:ascii="Times New Roman" w:hAnsi="Times New Roman" w:cs="Times New Roman"/>
          <w:lang w:val="en-US"/>
        </w:rPr>
        <w:t xml:space="preserve">. Analytical results were obtained from 17 domestic water sources, and the interpretations focus on evaluating and mapping the spatial distribution of source water quality. </w:t>
      </w:r>
    </w:p>
    <w:p w14:paraId="17808103" w14:textId="46F638BA" w:rsidR="00D5106E" w:rsidRPr="00D5106E" w:rsidRDefault="00D5106E" w:rsidP="001D7258">
      <w:pPr>
        <w:tabs>
          <w:tab w:val="left" w:pos="7760"/>
        </w:tabs>
        <w:spacing w:after="0" w:line="360" w:lineRule="auto"/>
        <w:jc w:val="center"/>
        <w:rPr>
          <w:rFonts w:ascii="Times New Roman" w:hAnsi="Times New Roman" w:cs="Times New Roman"/>
          <w:lang w:val="en-US"/>
        </w:rPr>
      </w:pPr>
      <w:r w:rsidRPr="00D5106E">
        <w:rPr>
          <w:rFonts w:ascii="Times New Roman" w:hAnsi="Times New Roman" w:cs="Times New Roman"/>
          <w:b/>
          <w:bCs/>
          <w:lang w:val="en-US"/>
        </w:rPr>
        <w:t xml:space="preserve">Table </w:t>
      </w:r>
      <w:proofErr w:type="gramStart"/>
      <w:r w:rsidR="00F36391">
        <w:rPr>
          <w:rFonts w:ascii="Times New Roman" w:hAnsi="Times New Roman" w:cs="Times New Roman"/>
          <w:b/>
          <w:bCs/>
          <w:lang w:val="en-US"/>
        </w:rPr>
        <w:t>3</w:t>
      </w:r>
      <w:r w:rsidRPr="00D5106E">
        <w:rPr>
          <w:rFonts w:ascii="Times New Roman" w:hAnsi="Times New Roman" w:cs="Times New Roman"/>
          <w:b/>
          <w:bCs/>
          <w:lang w:val="en-US"/>
        </w:rPr>
        <w:t xml:space="preserve"> :</w:t>
      </w:r>
      <w:proofErr w:type="gramEnd"/>
      <w:r w:rsidRPr="00D5106E">
        <w:rPr>
          <w:rFonts w:ascii="Times New Roman" w:hAnsi="Times New Roman" w:cs="Times New Roman"/>
          <w:lang w:val="en-US"/>
        </w:rPr>
        <w:t xml:space="preserve"> summarizes the analytical results.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587"/>
        <w:gridCol w:w="1588"/>
        <w:gridCol w:w="1589"/>
        <w:gridCol w:w="1587"/>
      </w:tblGrid>
      <w:tr w:rsidR="00D5106E" w:rsidRPr="00CD697E" w14:paraId="76A5FDB5" w14:textId="77777777" w:rsidTr="00D5106E">
        <w:trPr>
          <w:trHeight w:val="1261"/>
          <w:jc w:val="center"/>
        </w:trPr>
        <w:tc>
          <w:tcPr>
            <w:tcW w:w="1587" w:type="dxa"/>
          </w:tcPr>
          <w:p w14:paraId="3D15C968" w14:textId="77777777" w:rsidR="00D5106E" w:rsidRPr="00D5106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lang w:val="en-US"/>
              </w:rPr>
            </w:pPr>
          </w:p>
          <w:p w14:paraId="07DC5D2C" w14:textId="77777777" w:rsidR="00D5106E" w:rsidRPr="00D5106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lang w:val="en-US"/>
              </w:rPr>
            </w:pPr>
          </w:p>
          <w:p w14:paraId="2BEF11EA" w14:textId="77777777" w:rsidR="00D5106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Nomenclature</w:t>
            </w:r>
          </w:p>
          <w:p w14:paraId="0D8F08F1" w14:textId="77777777" w:rsidR="00D5106E" w:rsidRPr="0067001B" w:rsidRDefault="00D5106E" w:rsidP="00947566">
            <w:pPr>
              <w:rPr>
                <w:rFonts w:ascii="Times New Roman" w:hAnsi="Times New Roman" w:cs="Times New Roman"/>
                <w:sz w:val="20"/>
                <w:szCs w:val="20"/>
              </w:rPr>
            </w:pPr>
          </w:p>
        </w:tc>
        <w:tc>
          <w:tcPr>
            <w:tcW w:w="1587" w:type="dxa"/>
            <w:shd w:val="solid" w:color="FFFFFF" w:fill="auto"/>
          </w:tcPr>
          <w:p w14:paraId="4356AB3D" w14:textId="77777777" w:rsidR="00D5106E" w:rsidRPr="00AD754D"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lang w:val="fr-FR"/>
              </w:rPr>
            </w:pPr>
            <w:r w:rsidRPr="00AD754D">
              <w:rPr>
                <w:rFonts w:ascii="Times New Roman" w:hAnsi="Times New Roman" w:cs="Times New Roman"/>
                <w:b/>
                <w:bCs/>
                <w:color w:val="000000"/>
                <w:kern w:val="0"/>
                <w:sz w:val="20"/>
                <w:szCs w:val="20"/>
                <w:lang w:val="fr-FR"/>
              </w:rPr>
              <w:t xml:space="preserve">Escherichia </w:t>
            </w:r>
            <w:proofErr w:type="spellStart"/>
            <w:r w:rsidRPr="00AD754D">
              <w:rPr>
                <w:rFonts w:ascii="Times New Roman" w:hAnsi="Times New Roman" w:cs="Times New Roman"/>
                <w:b/>
                <w:bCs/>
                <w:color w:val="000000"/>
                <w:kern w:val="0"/>
                <w:sz w:val="20"/>
                <w:szCs w:val="20"/>
                <w:lang w:val="fr-FR"/>
              </w:rPr>
              <w:t>parcels</w:t>
            </w:r>
            <w:proofErr w:type="spellEnd"/>
            <w:r w:rsidRPr="00AD754D">
              <w:rPr>
                <w:rFonts w:ascii="Times New Roman" w:hAnsi="Times New Roman" w:cs="Times New Roman"/>
                <w:b/>
                <w:bCs/>
                <w:color w:val="000000"/>
                <w:kern w:val="0"/>
                <w:sz w:val="20"/>
                <w:szCs w:val="20"/>
                <w:lang w:val="fr-FR"/>
              </w:rPr>
              <w:t xml:space="preserve">  </w:t>
            </w:r>
          </w:p>
          <w:p w14:paraId="6EF42B02" w14:textId="77777777" w:rsidR="00D5106E" w:rsidRPr="00AD754D"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lang w:val="fr-FR"/>
              </w:rPr>
            </w:pPr>
            <w:r w:rsidRPr="00AD754D">
              <w:rPr>
                <w:rFonts w:ascii="Times New Roman" w:hAnsi="Times New Roman" w:cs="Times New Roman"/>
                <w:b/>
                <w:bCs/>
                <w:color w:val="000000"/>
                <w:kern w:val="0"/>
                <w:sz w:val="20"/>
                <w:szCs w:val="20"/>
                <w:lang w:val="fr-FR"/>
              </w:rPr>
              <w:t>(24h à 36±1°C)</w:t>
            </w:r>
          </w:p>
        </w:tc>
        <w:tc>
          <w:tcPr>
            <w:tcW w:w="1588" w:type="dxa"/>
            <w:shd w:val="solid" w:color="FFFFFF" w:fill="auto"/>
          </w:tcPr>
          <w:p w14:paraId="2822E27D" w14:textId="77777777" w:rsidR="00D5106E" w:rsidRPr="00AD754D"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lang w:val="fr-FR"/>
              </w:rPr>
            </w:pPr>
            <w:r w:rsidRPr="00AD754D">
              <w:rPr>
                <w:rFonts w:ascii="Times New Roman" w:hAnsi="Times New Roman" w:cs="Times New Roman"/>
                <w:b/>
                <w:bCs/>
                <w:color w:val="000000"/>
                <w:kern w:val="0"/>
                <w:sz w:val="20"/>
                <w:szCs w:val="20"/>
                <w:lang w:val="fr-FR"/>
              </w:rPr>
              <w:t xml:space="preserve">Total </w:t>
            </w:r>
            <w:proofErr w:type="spellStart"/>
            <w:r w:rsidRPr="00AD754D">
              <w:rPr>
                <w:rFonts w:ascii="Times New Roman" w:hAnsi="Times New Roman" w:cs="Times New Roman"/>
                <w:b/>
                <w:bCs/>
                <w:color w:val="000000"/>
                <w:kern w:val="0"/>
                <w:sz w:val="20"/>
                <w:szCs w:val="20"/>
                <w:lang w:val="fr-FR"/>
              </w:rPr>
              <w:t>Coliforms</w:t>
            </w:r>
            <w:proofErr w:type="spellEnd"/>
            <w:r w:rsidRPr="00AD754D">
              <w:rPr>
                <w:rFonts w:ascii="Times New Roman" w:hAnsi="Times New Roman" w:cs="Times New Roman"/>
                <w:b/>
                <w:bCs/>
                <w:color w:val="000000"/>
                <w:kern w:val="0"/>
                <w:sz w:val="20"/>
                <w:szCs w:val="20"/>
                <w:lang w:val="fr-FR"/>
              </w:rPr>
              <w:t xml:space="preserve"> </w:t>
            </w:r>
          </w:p>
          <w:p w14:paraId="5D57AB80" w14:textId="77777777" w:rsidR="00D5106E" w:rsidRPr="00AD754D"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lang w:val="fr-FR"/>
              </w:rPr>
            </w:pPr>
            <w:proofErr w:type="gramStart"/>
            <w:r w:rsidRPr="00AD754D">
              <w:rPr>
                <w:rFonts w:ascii="Times New Roman" w:hAnsi="Times New Roman" w:cs="Times New Roman"/>
                <w:b/>
                <w:bCs/>
                <w:color w:val="000000"/>
                <w:kern w:val="0"/>
                <w:sz w:val="20"/>
                <w:szCs w:val="20"/>
                <w:lang w:val="fr-FR"/>
              </w:rPr>
              <w:t>présumés</w:t>
            </w:r>
            <w:proofErr w:type="gramEnd"/>
            <w:r w:rsidRPr="00AD754D">
              <w:rPr>
                <w:rFonts w:ascii="Times New Roman" w:hAnsi="Times New Roman" w:cs="Times New Roman"/>
                <w:b/>
                <w:bCs/>
                <w:color w:val="000000"/>
                <w:kern w:val="0"/>
                <w:sz w:val="20"/>
                <w:szCs w:val="20"/>
                <w:lang w:val="fr-FR"/>
              </w:rPr>
              <w:t xml:space="preserve"> (24h à 36±1°C) </w:t>
            </w:r>
          </w:p>
        </w:tc>
        <w:tc>
          <w:tcPr>
            <w:tcW w:w="1589" w:type="dxa"/>
            <w:shd w:val="solid" w:color="FFFFFF" w:fill="auto"/>
          </w:tcPr>
          <w:p w14:paraId="075B4264" w14:textId="77777777" w:rsidR="00D5106E" w:rsidRPr="00AD754D"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lang w:val="fr-FR"/>
              </w:rPr>
            </w:pPr>
            <w:proofErr w:type="spellStart"/>
            <w:proofErr w:type="gramStart"/>
            <w:r w:rsidRPr="00AD754D">
              <w:rPr>
                <w:rFonts w:ascii="Times New Roman" w:hAnsi="Times New Roman" w:cs="Times New Roman"/>
                <w:b/>
                <w:bCs/>
                <w:color w:val="000000"/>
                <w:kern w:val="0"/>
                <w:sz w:val="20"/>
                <w:szCs w:val="20"/>
                <w:lang w:val="fr-FR"/>
              </w:rPr>
              <w:t>faecal</w:t>
            </w:r>
            <w:proofErr w:type="spellEnd"/>
            <w:proofErr w:type="gramEnd"/>
            <w:r w:rsidRPr="00AD754D">
              <w:rPr>
                <w:rFonts w:ascii="Times New Roman" w:hAnsi="Times New Roman" w:cs="Times New Roman"/>
                <w:b/>
                <w:bCs/>
                <w:color w:val="000000"/>
                <w:kern w:val="0"/>
                <w:sz w:val="20"/>
                <w:szCs w:val="20"/>
                <w:lang w:val="fr-FR"/>
              </w:rPr>
              <w:t xml:space="preserve"> </w:t>
            </w:r>
            <w:proofErr w:type="spellStart"/>
            <w:r w:rsidRPr="00AD754D">
              <w:rPr>
                <w:rFonts w:ascii="Times New Roman" w:hAnsi="Times New Roman" w:cs="Times New Roman"/>
                <w:b/>
                <w:bCs/>
                <w:color w:val="000000"/>
                <w:kern w:val="0"/>
                <w:sz w:val="20"/>
                <w:szCs w:val="20"/>
                <w:lang w:val="fr-FR"/>
              </w:rPr>
              <w:t>enterococci</w:t>
            </w:r>
            <w:proofErr w:type="spellEnd"/>
            <w:r w:rsidRPr="00AD754D">
              <w:rPr>
                <w:rFonts w:ascii="Times New Roman" w:hAnsi="Times New Roman" w:cs="Times New Roman"/>
                <w:b/>
                <w:bCs/>
                <w:color w:val="000000"/>
                <w:kern w:val="0"/>
                <w:sz w:val="20"/>
                <w:szCs w:val="20"/>
                <w:lang w:val="fr-FR"/>
              </w:rPr>
              <w:t xml:space="preserve"> (48h à 36±1°C)</w:t>
            </w:r>
          </w:p>
        </w:tc>
        <w:tc>
          <w:tcPr>
            <w:tcW w:w="1587" w:type="dxa"/>
            <w:shd w:val="solid" w:color="FFFFFF" w:fill="auto"/>
          </w:tcPr>
          <w:p w14:paraId="530EB797" w14:textId="77777777" w:rsidR="00D5106E" w:rsidRPr="00EB2A91" w:rsidRDefault="00D5106E" w:rsidP="00947566">
            <w:pPr>
              <w:autoSpaceDE w:val="0"/>
              <w:autoSpaceDN w:val="0"/>
              <w:adjustRightInd w:val="0"/>
              <w:spacing w:after="0" w:line="240" w:lineRule="auto"/>
              <w:rPr>
                <w:rFonts w:ascii="Times New Roman" w:hAnsi="Times New Roman" w:cs="Times New Roman"/>
                <w:b/>
                <w:bCs/>
                <w:color w:val="000000"/>
                <w:kern w:val="0"/>
                <w:sz w:val="20"/>
                <w:szCs w:val="20"/>
              </w:rPr>
            </w:pPr>
            <w:r w:rsidRPr="00BB0DA1">
              <w:rPr>
                <w:rFonts w:ascii="Times New Roman" w:hAnsi="Times New Roman" w:cs="Times New Roman"/>
                <w:b/>
                <w:bCs/>
                <w:color w:val="000000"/>
                <w:kern w:val="0"/>
                <w:sz w:val="20"/>
                <w:szCs w:val="20"/>
              </w:rPr>
              <w:t>aerobic flora</w:t>
            </w:r>
            <w:r>
              <w:rPr>
                <w:rFonts w:ascii="Times New Roman" w:hAnsi="Times New Roman" w:cs="Times New Roman"/>
                <w:b/>
                <w:bCs/>
                <w:color w:val="000000"/>
                <w:kern w:val="0"/>
                <w:sz w:val="20"/>
                <w:szCs w:val="20"/>
              </w:rPr>
              <w:t xml:space="preserve"> </w:t>
            </w:r>
            <w:r w:rsidRPr="00EB2A91">
              <w:rPr>
                <w:rFonts w:ascii="Times New Roman" w:hAnsi="Times New Roman" w:cs="Times New Roman"/>
                <w:b/>
                <w:bCs/>
                <w:color w:val="000000"/>
                <w:kern w:val="0"/>
                <w:sz w:val="20"/>
                <w:szCs w:val="20"/>
              </w:rPr>
              <w:t>(24 - 48H à 36±1°C) /PCA</w:t>
            </w:r>
          </w:p>
        </w:tc>
      </w:tr>
      <w:tr w:rsidR="00D5106E" w:rsidRPr="00CD697E" w14:paraId="0F6FCE87" w14:textId="77777777" w:rsidTr="00D5106E">
        <w:trPr>
          <w:trHeight w:val="305"/>
          <w:jc w:val="center"/>
        </w:trPr>
        <w:tc>
          <w:tcPr>
            <w:tcW w:w="1587" w:type="dxa"/>
          </w:tcPr>
          <w:p w14:paraId="5903117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Unit</w:t>
            </w:r>
          </w:p>
        </w:tc>
        <w:tc>
          <w:tcPr>
            <w:tcW w:w="1587" w:type="dxa"/>
          </w:tcPr>
          <w:p w14:paraId="65C32201"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rPr>
            </w:pPr>
            <w:r w:rsidRPr="00CD697E">
              <w:rPr>
                <w:rFonts w:ascii="Times New Roman" w:hAnsi="Times New Roman" w:cs="Times New Roman"/>
                <w:i/>
                <w:iCs/>
                <w:color w:val="000000"/>
                <w:kern w:val="0"/>
                <w:sz w:val="20"/>
                <w:szCs w:val="20"/>
              </w:rPr>
              <w:t>UFC/100 ml</w:t>
            </w:r>
          </w:p>
        </w:tc>
        <w:tc>
          <w:tcPr>
            <w:tcW w:w="1588" w:type="dxa"/>
          </w:tcPr>
          <w:p w14:paraId="09FC7DA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rPr>
            </w:pPr>
            <w:r w:rsidRPr="00CD697E">
              <w:rPr>
                <w:rFonts w:ascii="Times New Roman" w:hAnsi="Times New Roman" w:cs="Times New Roman"/>
                <w:i/>
                <w:iCs/>
                <w:color w:val="000000"/>
                <w:kern w:val="0"/>
                <w:sz w:val="20"/>
                <w:szCs w:val="20"/>
              </w:rPr>
              <w:t>UFC/100 ml</w:t>
            </w:r>
          </w:p>
        </w:tc>
        <w:tc>
          <w:tcPr>
            <w:tcW w:w="1589" w:type="dxa"/>
          </w:tcPr>
          <w:p w14:paraId="366CF164"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rPr>
            </w:pPr>
            <w:r w:rsidRPr="00CD697E">
              <w:rPr>
                <w:rFonts w:ascii="Times New Roman" w:hAnsi="Times New Roman" w:cs="Times New Roman"/>
                <w:i/>
                <w:iCs/>
                <w:color w:val="000000"/>
                <w:kern w:val="0"/>
                <w:sz w:val="20"/>
                <w:szCs w:val="20"/>
              </w:rPr>
              <w:t>UFC/100 ml</w:t>
            </w:r>
          </w:p>
        </w:tc>
        <w:tc>
          <w:tcPr>
            <w:tcW w:w="1587" w:type="dxa"/>
          </w:tcPr>
          <w:p w14:paraId="0C7569F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rPr>
            </w:pPr>
            <w:r w:rsidRPr="00CD697E">
              <w:rPr>
                <w:rFonts w:ascii="Times New Roman" w:hAnsi="Times New Roman" w:cs="Times New Roman"/>
                <w:i/>
                <w:iCs/>
                <w:color w:val="000000"/>
                <w:kern w:val="0"/>
                <w:sz w:val="20"/>
                <w:szCs w:val="20"/>
              </w:rPr>
              <w:t>UFC/100 ml</w:t>
            </w:r>
          </w:p>
        </w:tc>
      </w:tr>
      <w:tr w:rsidR="00D5106E" w:rsidRPr="00CD697E" w14:paraId="403E0CF0" w14:textId="77777777" w:rsidTr="00D5106E">
        <w:trPr>
          <w:trHeight w:val="305"/>
          <w:jc w:val="center"/>
        </w:trPr>
        <w:tc>
          <w:tcPr>
            <w:tcW w:w="1587" w:type="dxa"/>
          </w:tcPr>
          <w:p w14:paraId="4F52CCA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Mouna</w:t>
            </w:r>
            <w:proofErr w:type="spellEnd"/>
            <w:r w:rsidRPr="00CD697E">
              <w:rPr>
                <w:rFonts w:ascii="Times New Roman" w:hAnsi="Times New Roman" w:cs="Times New Roman"/>
                <w:b/>
                <w:bCs/>
                <w:color w:val="000000"/>
                <w:kern w:val="0"/>
                <w:sz w:val="20"/>
                <w:szCs w:val="20"/>
              </w:rPr>
              <w:t xml:space="preserve"> </w:t>
            </w:r>
            <w:proofErr w:type="spellStart"/>
            <w:r w:rsidRPr="00CD697E">
              <w:rPr>
                <w:rFonts w:ascii="Times New Roman" w:hAnsi="Times New Roman" w:cs="Times New Roman"/>
                <w:b/>
                <w:bCs/>
                <w:color w:val="000000"/>
                <w:kern w:val="0"/>
                <w:sz w:val="20"/>
                <w:szCs w:val="20"/>
              </w:rPr>
              <w:t>mouna</w:t>
            </w:r>
            <w:proofErr w:type="spellEnd"/>
          </w:p>
        </w:tc>
        <w:tc>
          <w:tcPr>
            <w:tcW w:w="1587" w:type="dxa"/>
          </w:tcPr>
          <w:p w14:paraId="368345E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27</w:t>
            </w:r>
          </w:p>
        </w:tc>
        <w:tc>
          <w:tcPr>
            <w:tcW w:w="1588" w:type="dxa"/>
          </w:tcPr>
          <w:p w14:paraId="651D2061"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2970204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4D93F58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1B928907" w14:textId="77777777" w:rsidTr="00D5106E">
        <w:trPr>
          <w:trHeight w:val="305"/>
          <w:jc w:val="center"/>
        </w:trPr>
        <w:tc>
          <w:tcPr>
            <w:tcW w:w="1587" w:type="dxa"/>
          </w:tcPr>
          <w:p w14:paraId="27831A1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Kangara</w:t>
            </w:r>
            <w:proofErr w:type="spellEnd"/>
          </w:p>
        </w:tc>
        <w:tc>
          <w:tcPr>
            <w:tcW w:w="1587" w:type="dxa"/>
          </w:tcPr>
          <w:p w14:paraId="6B8BF7E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3</w:t>
            </w:r>
          </w:p>
        </w:tc>
        <w:tc>
          <w:tcPr>
            <w:tcW w:w="1588" w:type="dxa"/>
          </w:tcPr>
          <w:p w14:paraId="73B36C0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4544517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68F50A21"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5BEC7A17" w14:textId="77777777" w:rsidTr="00D5106E">
        <w:trPr>
          <w:trHeight w:val="305"/>
          <w:jc w:val="center"/>
        </w:trPr>
        <w:tc>
          <w:tcPr>
            <w:tcW w:w="1587" w:type="dxa"/>
          </w:tcPr>
          <w:p w14:paraId="5F9FA0BE"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Ayoumbou</w:t>
            </w:r>
            <w:proofErr w:type="spellEnd"/>
          </w:p>
        </w:tc>
        <w:tc>
          <w:tcPr>
            <w:tcW w:w="1587" w:type="dxa"/>
          </w:tcPr>
          <w:p w14:paraId="09E672A4"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8</w:t>
            </w:r>
          </w:p>
        </w:tc>
        <w:tc>
          <w:tcPr>
            <w:tcW w:w="1588" w:type="dxa"/>
          </w:tcPr>
          <w:p w14:paraId="68C8BA5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77A1A7B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0FAC315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5EE2E39E" w14:textId="77777777" w:rsidTr="00D5106E">
        <w:trPr>
          <w:trHeight w:val="305"/>
          <w:jc w:val="center"/>
        </w:trPr>
        <w:tc>
          <w:tcPr>
            <w:tcW w:w="1587" w:type="dxa"/>
          </w:tcPr>
          <w:p w14:paraId="1A14AEC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Lorry</w:t>
            </w:r>
          </w:p>
        </w:tc>
        <w:tc>
          <w:tcPr>
            <w:tcW w:w="1587" w:type="dxa"/>
          </w:tcPr>
          <w:p w14:paraId="2680F94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1</w:t>
            </w:r>
          </w:p>
        </w:tc>
        <w:tc>
          <w:tcPr>
            <w:tcW w:w="1588" w:type="dxa"/>
          </w:tcPr>
          <w:p w14:paraId="3CE715F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08429F64"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7EE9801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60C0FC99" w14:textId="77777777" w:rsidTr="00D5106E">
        <w:trPr>
          <w:trHeight w:val="305"/>
          <w:jc w:val="center"/>
        </w:trPr>
        <w:tc>
          <w:tcPr>
            <w:tcW w:w="1587" w:type="dxa"/>
          </w:tcPr>
          <w:p w14:paraId="4142FD5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Dilai</w:t>
            </w:r>
            <w:proofErr w:type="spellEnd"/>
          </w:p>
        </w:tc>
        <w:tc>
          <w:tcPr>
            <w:tcW w:w="1587" w:type="dxa"/>
          </w:tcPr>
          <w:p w14:paraId="41FDBD6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8" w:type="dxa"/>
          </w:tcPr>
          <w:p w14:paraId="3E573D1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26</w:t>
            </w:r>
          </w:p>
        </w:tc>
        <w:tc>
          <w:tcPr>
            <w:tcW w:w="1589" w:type="dxa"/>
          </w:tcPr>
          <w:p w14:paraId="33CF185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2AE6511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712B795B" w14:textId="77777777" w:rsidTr="00D5106E">
        <w:trPr>
          <w:trHeight w:val="305"/>
          <w:jc w:val="center"/>
        </w:trPr>
        <w:tc>
          <w:tcPr>
            <w:tcW w:w="1587" w:type="dxa"/>
          </w:tcPr>
          <w:p w14:paraId="66A76A5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Djara</w:t>
            </w:r>
            <w:proofErr w:type="spellEnd"/>
          </w:p>
        </w:tc>
        <w:tc>
          <w:tcPr>
            <w:tcW w:w="1587" w:type="dxa"/>
          </w:tcPr>
          <w:p w14:paraId="3FA7C05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8" w:type="dxa"/>
          </w:tcPr>
          <w:p w14:paraId="218A5B3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4</w:t>
            </w:r>
          </w:p>
        </w:tc>
        <w:tc>
          <w:tcPr>
            <w:tcW w:w="1589" w:type="dxa"/>
          </w:tcPr>
          <w:p w14:paraId="53DA1AC1"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71414CC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5C34B069" w14:textId="77777777" w:rsidTr="00D5106E">
        <w:trPr>
          <w:trHeight w:val="305"/>
          <w:jc w:val="center"/>
        </w:trPr>
        <w:tc>
          <w:tcPr>
            <w:tcW w:w="1587" w:type="dxa"/>
          </w:tcPr>
          <w:p w14:paraId="2BDB9D0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 xml:space="preserve">Medi </w:t>
            </w:r>
            <w:proofErr w:type="spellStart"/>
            <w:r w:rsidRPr="00CD697E">
              <w:rPr>
                <w:rFonts w:ascii="Times New Roman" w:hAnsi="Times New Roman" w:cs="Times New Roman"/>
                <w:b/>
                <w:bCs/>
                <w:color w:val="000000"/>
                <w:kern w:val="0"/>
                <w:sz w:val="20"/>
                <w:szCs w:val="20"/>
              </w:rPr>
              <w:t>Djiguida</w:t>
            </w:r>
            <w:proofErr w:type="spellEnd"/>
          </w:p>
        </w:tc>
        <w:tc>
          <w:tcPr>
            <w:tcW w:w="1587" w:type="dxa"/>
          </w:tcPr>
          <w:p w14:paraId="23250BD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8" w:type="dxa"/>
          </w:tcPr>
          <w:p w14:paraId="5F42E95A"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52</w:t>
            </w:r>
          </w:p>
        </w:tc>
        <w:tc>
          <w:tcPr>
            <w:tcW w:w="1589" w:type="dxa"/>
          </w:tcPr>
          <w:p w14:paraId="24FF03C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6640BA3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5B7A9B8C" w14:textId="77777777" w:rsidTr="00D5106E">
        <w:trPr>
          <w:trHeight w:val="305"/>
          <w:jc w:val="center"/>
        </w:trPr>
        <w:tc>
          <w:tcPr>
            <w:tcW w:w="1587" w:type="dxa"/>
          </w:tcPr>
          <w:p w14:paraId="6C60A394"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Guindjé</w:t>
            </w:r>
            <w:proofErr w:type="spellEnd"/>
          </w:p>
        </w:tc>
        <w:tc>
          <w:tcPr>
            <w:tcW w:w="1587" w:type="dxa"/>
          </w:tcPr>
          <w:p w14:paraId="5270532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18</w:t>
            </w:r>
          </w:p>
        </w:tc>
        <w:tc>
          <w:tcPr>
            <w:tcW w:w="1588" w:type="dxa"/>
          </w:tcPr>
          <w:p w14:paraId="3A322E9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3233597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76FCCE13"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49061946" w14:textId="77777777" w:rsidTr="00D5106E">
        <w:trPr>
          <w:trHeight w:val="305"/>
          <w:jc w:val="center"/>
        </w:trPr>
        <w:tc>
          <w:tcPr>
            <w:tcW w:w="1587" w:type="dxa"/>
          </w:tcPr>
          <w:p w14:paraId="09AE3263"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Binnaye</w:t>
            </w:r>
            <w:proofErr w:type="spellEnd"/>
          </w:p>
        </w:tc>
        <w:tc>
          <w:tcPr>
            <w:tcW w:w="1587" w:type="dxa"/>
          </w:tcPr>
          <w:p w14:paraId="7ACFC25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5</w:t>
            </w:r>
          </w:p>
        </w:tc>
        <w:tc>
          <w:tcPr>
            <w:tcW w:w="1588" w:type="dxa"/>
          </w:tcPr>
          <w:p w14:paraId="0F5FCDF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696E2DE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42E43D0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468A1D13" w14:textId="77777777" w:rsidTr="00D5106E">
        <w:trPr>
          <w:trHeight w:val="305"/>
          <w:jc w:val="center"/>
        </w:trPr>
        <w:tc>
          <w:tcPr>
            <w:tcW w:w="1587" w:type="dxa"/>
          </w:tcPr>
          <w:p w14:paraId="0A04633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Loufa</w:t>
            </w:r>
            <w:proofErr w:type="spellEnd"/>
          </w:p>
        </w:tc>
        <w:tc>
          <w:tcPr>
            <w:tcW w:w="1587" w:type="dxa"/>
          </w:tcPr>
          <w:p w14:paraId="655E946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3</w:t>
            </w:r>
          </w:p>
        </w:tc>
        <w:tc>
          <w:tcPr>
            <w:tcW w:w="1588" w:type="dxa"/>
          </w:tcPr>
          <w:p w14:paraId="786F7347"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66A6586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169AAA7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2BB9059A" w14:textId="77777777" w:rsidTr="00D5106E">
        <w:trPr>
          <w:trHeight w:val="662"/>
          <w:jc w:val="center"/>
        </w:trPr>
        <w:tc>
          <w:tcPr>
            <w:tcW w:w="1587" w:type="dxa"/>
          </w:tcPr>
          <w:p w14:paraId="3B8A423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 xml:space="preserve">Medi </w:t>
            </w:r>
            <w:proofErr w:type="spellStart"/>
            <w:r w:rsidRPr="00CD697E">
              <w:rPr>
                <w:rFonts w:ascii="Times New Roman" w:hAnsi="Times New Roman" w:cs="Times New Roman"/>
                <w:b/>
                <w:bCs/>
                <w:color w:val="000000"/>
                <w:kern w:val="0"/>
                <w:sz w:val="20"/>
                <w:szCs w:val="20"/>
              </w:rPr>
              <w:t>Tchoulomi</w:t>
            </w:r>
            <w:proofErr w:type="spellEnd"/>
            <w:r w:rsidRPr="00CD697E">
              <w:rPr>
                <w:rFonts w:ascii="Times New Roman" w:hAnsi="Times New Roman" w:cs="Times New Roman"/>
                <w:b/>
                <w:bCs/>
                <w:color w:val="000000"/>
                <w:kern w:val="0"/>
                <w:sz w:val="20"/>
                <w:szCs w:val="20"/>
              </w:rPr>
              <w:t xml:space="preserve"> (</w:t>
            </w:r>
            <w:proofErr w:type="spellStart"/>
            <w:r w:rsidRPr="00CD697E">
              <w:rPr>
                <w:rFonts w:ascii="Times New Roman" w:hAnsi="Times New Roman" w:cs="Times New Roman"/>
                <w:b/>
                <w:bCs/>
                <w:color w:val="000000"/>
                <w:kern w:val="0"/>
                <w:sz w:val="20"/>
                <w:szCs w:val="20"/>
              </w:rPr>
              <w:t>puits</w:t>
            </w:r>
            <w:proofErr w:type="spellEnd"/>
            <w:r w:rsidRPr="00CD697E">
              <w:rPr>
                <w:rFonts w:ascii="Times New Roman" w:hAnsi="Times New Roman" w:cs="Times New Roman"/>
                <w:b/>
                <w:bCs/>
                <w:color w:val="000000"/>
                <w:kern w:val="0"/>
                <w:sz w:val="20"/>
                <w:szCs w:val="20"/>
              </w:rPr>
              <w:t>)</w:t>
            </w:r>
          </w:p>
        </w:tc>
        <w:tc>
          <w:tcPr>
            <w:tcW w:w="1587" w:type="dxa"/>
          </w:tcPr>
          <w:p w14:paraId="4219EE93"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8" w:type="dxa"/>
          </w:tcPr>
          <w:p w14:paraId="77E24DA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3FC9C7C0"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48</w:t>
            </w:r>
          </w:p>
        </w:tc>
        <w:tc>
          <w:tcPr>
            <w:tcW w:w="1587" w:type="dxa"/>
          </w:tcPr>
          <w:p w14:paraId="3B00E0B3"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2E1944D6" w14:textId="77777777" w:rsidTr="00D5106E">
        <w:trPr>
          <w:trHeight w:val="662"/>
          <w:jc w:val="center"/>
        </w:trPr>
        <w:tc>
          <w:tcPr>
            <w:tcW w:w="1587" w:type="dxa"/>
          </w:tcPr>
          <w:p w14:paraId="74189ED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Tosso</w:t>
            </w:r>
            <w:proofErr w:type="spellEnd"/>
            <w:r w:rsidRPr="00CD697E">
              <w:rPr>
                <w:rFonts w:ascii="Times New Roman" w:hAnsi="Times New Roman" w:cs="Times New Roman"/>
                <w:b/>
                <w:bCs/>
                <w:color w:val="000000"/>
                <w:kern w:val="0"/>
                <w:sz w:val="20"/>
                <w:szCs w:val="20"/>
              </w:rPr>
              <w:t xml:space="preserve"> </w:t>
            </w:r>
            <w:proofErr w:type="spellStart"/>
            <w:r w:rsidRPr="00CD697E">
              <w:rPr>
                <w:rFonts w:ascii="Times New Roman" w:hAnsi="Times New Roman" w:cs="Times New Roman"/>
                <w:b/>
                <w:bCs/>
                <w:color w:val="000000"/>
                <w:kern w:val="0"/>
                <w:sz w:val="20"/>
                <w:szCs w:val="20"/>
              </w:rPr>
              <w:t>Kankamary</w:t>
            </w:r>
            <w:proofErr w:type="spellEnd"/>
            <w:r w:rsidRPr="00CD697E">
              <w:rPr>
                <w:rFonts w:ascii="Times New Roman" w:hAnsi="Times New Roman" w:cs="Times New Roman"/>
                <w:b/>
                <w:bCs/>
                <w:color w:val="000000"/>
                <w:kern w:val="0"/>
                <w:sz w:val="20"/>
                <w:szCs w:val="20"/>
              </w:rPr>
              <w:t xml:space="preserve"> (</w:t>
            </w:r>
            <w:proofErr w:type="spellStart"/>
            <w:r w:rsidRPr="00CD697E">
              <w:rPr>
                <w:rFonts w:ascii="Times New Roman" w:hAnsi="Times New Roman" w:cs="Times New Roman"/>
                <w:b/>
                <w:bCs/>
                <w:color w:val="000000"/>
                <w:kern w:val="0"/>
                <w:sz w:val="20"/>
                <w:szCs w:val="20"/>
              </w:rPr>
              <w:t>puits</w:t>
            </w:r>
            <w:proofErr w:type="spellEnd"/>
            <w:r w:rsidRPr="00CD697E">
              <w:rPr>
                <w:rFonts w:ascii="Times New Roman" w:hAnsi="Times New Roman" w:cs="Times New Roman"/>
                <w:b/>
                <w:bCs/>
                <w:color w:val="000000"/>
                <w:kern w:val="0"/>
                <w:sz w:val="20"/>
                <w:szCs w:val="20"/>
              </w:rPr>
              <w:t>)</w:t>
            </w:r>
          </w:p>
        </w:tc>
        <w:tc>
          <w:tcPr>
            <w:tcW w:w="1587" w:type="dxa"/>
          </w:tcPr>
          <w:p w14:paraId="6F936DC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8" w:type="dxa"/>
          </w:tcPr>
          <w:p w14:paraId="05E7884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1E63873A"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56</w:t>
            </w:r>
          </w:p>
        </w:tc>
        <w:tc>
          <w:tcPr>
            <w:tcW w:w="1587" w:type="dxa"/>
          </w:tcPr>
          <w:p w14:paraId="6B476C7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271C1907" w14:textId="77777777" w:rsidTr="00D5106E">
        <w:trPr>
          <w:trHeight w:val="305"/>
          <w:jc w:val="center"/>
        </w:trPr>
        <w:tc>
          <w:tcPr>
            <w:tcW w:w="1587" w:type="dxa"/>
          </w:tcPr>
          <w:p w14:paraId="1A72885B"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Bila</w:t>
            </w:r>
            <w:proofErr w:type="spellEnd"/>
          </w:p>
        </w:tc>
        <w:tc>
          <w:tcPr>
            <w:tcW w:w="1587" w:type="dxa"/>
          </w:tcPr>
          <w:p w14:paraId="36E5D0E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10</w:t>
            </w:r>
          </w:p>
        </w:tc>
        <w:tc>
          <w:tcPr>
            <w:tcW w:w="1588" w:type="dxa"/>
          </w:tcPr>
          <w:p w14:paraId="298B9FC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6C7CA2A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0478BDF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0797BAF8" w14:textId="77777777" w:rsidTr="00D5106E">
        <w:trPr>
          <w:trHeight w:val="305"/>
          <w:jc w:val="center"/>
        </w:trPr>
        <w:tc>
          <w:tcPr>
            <w:tcW w:w="1587" w:type="dxa"/>
          </w:tcPr>
          <w:p w14:paraId="7BF8DDC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Woyow</w:t>
            </w:r>
            <w:proofErr w:type="spellEnd"/>
          </w:p>
        </w:tc>
        <w:tc>
          <w:tcPr>
            <w:tcW w:w="1587" w:type="dxa"/>
          </w:tcPr>
          <w:p w14:paraId="1561435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8</w:t>
            </w:r>
          </w:p>
        </w:tc>
        <w:tc>
          <w:tcPr>
            <w:tcW w:w="1588" w:type="dxa"/>
          </w:tcPr>
          <w:p w14:paraId="4F61E415"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57</w:t>
            </w:r>
          </w:p>
        </w:tc>
        <w:tc>
          <w:tcPr>
            <w:tcW w:w="1589" w:type="dxa"/>
          </w:tcPr>
          <w:p w14:paraId="7977D44A"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051812D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009EA2D4" w14:textId="77777777" w:rsidTr="00D5106E">
        <w:trPr>
          <w:trHeight w:val="305"/>
          <w:jc w:val="center"/>
        </w:trPr>
        <w:tc>
          <w:tcPr>
            <w:tcW w:w="1587" w:type="dxa"/>
          </w:tcPr>
          <w:p w14:paraId="62EC6F0B"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Kalakala</w:t>
            </w:r>
            <w:proofErr w:type="spellEnd"/>
          </w:p>
        </w:tc>
        <w:tc>
          <w:tcPr>
            <w:tcW w:w="1587" w:type="dxa"/>
          </w:tcPr>
          <w:p w14:paraId="236CE69E"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21</w:t>
            </w:r>
          </w:p>
        </w:tc>
        <w:tc>
          <w:tcPr>
            <w:tcW w:w="1588" w:type="dxa"/>
          </w:tcPr>
          <w:p w14:paraId="23D80B46"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3235480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41193F4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3F069F41" w14:textId="77777777" w:rsidTr="00D5106E">
        <w:trPr>
          <w:trHeight w:val="305"/>
          <w:jc w:val="center"/>
        </w:trPr>
        <w:tc>
          <w:tcPr>
            <w:tcW w:w="1587" w:type="dxa"/>
          </w:tcPr>
          <w:p w14:paraId="60D94C6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proofErr w:type="spellStart"/>
            <w:r w:rsidRPr="00CD697E">
              <w:rPr>
                <w:rFonts w:ascii="Times New Roman" w:hAnsi="Times New Roman" w:cs="Times New Roman"/>
                <w:b/>
                <w:bCs/>
                <w:color w:val="000000"/>
                <w:kern w:val="0"/>
                <w:sz w:val="20"/>
                <w:szCs w:val="20"/>
              </w:rPr>
              <w:t>Kerom</w:t>
            </w:r>
            <w:proofErr w:type="spellEnd"/>
          </w:p>
        </w:tc>
        <w:tc>
          <w:tcPr>
            <w:tcW w:w="1587" w:type="dxa"/>
          </w:tcPr>
          <w:p w14:paraId="0B55A7E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8" w:type="dxa"/>
          </w:tcPr>
          <w:p w14:paraId="7017E21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c>
          <w:tcPr>
            <w:tcW w:w="1589" w:type="dxa"/>
          </w:tcPr>
          <w:p w14:paraId="5F4AB3D9"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4FE27DF2"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CD697E" w14:paraId="26BF336B" w14:textId="77777777" w:rsidTr="00D5106E">
        <w:trPr>
          <w:trHeight w:val="305"/>
          <w:jc w:val="center"/>
        </w:trPr>
        <w:tc>
          <w:tcPr>
            <w:tcW w:w="1587" w:type="dxa"/>
          </w:tcPr>
          <w:p w14:paraId="7C18617E"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CD697E">
              <w:rPr>
                <w:rFonts w:ascii="Times New Roman" w:hAnsi="Times New Roman" w:cs="Times New Roman"/>
                <w:b/>
                <w:bCs/>
                <w:color w:val="000000"/>
                <w:kern w:val="0"/>
                <w:sz w:val="20"/>
                <w:szCs w:val="20"/>
              </w:rPr>
              <w:t>Binna</w:t>
            </w:r>
          </w:p>
        </w:tc>
        <w:tc>
          <w:tcPr>
            <w:tcW w:w="1587" w:type="dxa"/>
          </w:tcPr>
          <w:p w14:paraId="4E6119A8"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8" w:type="dxa"/>
          </w:tcPr>
          <w:p w14:paraId="7E2217A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45</w:t>
            </w:r>
          </w:p>
        </w:tc>
        <w:tc>
          <w:tcPr>
            <w:tcW w:w="1589" w:type="dxa"/>
          </w:tcPr>
          <w:p w14:paraId="7CF312EC"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0</w:t>
            </w:r>
          </w:p>
        </w:tc>
        <w:tc>
          <w:tcPr>
            <w:tcW w:w="1587" w:type="dxa"/>
          </w:tcPr>
          <w:p w14:paraId="1429E83D"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color w:val="000000"/>
                <w:kern w:val="0"/>
                <w:sz w:val="20"/>
                <w:szCs w:val="20"/>
              </w:rPr>
            </w:pPr>
            <w:r w:rsidRPr="00CD697E">
              <w:rPr>
                <w:rFonts w:ascii="Times New Roman" w:hAnsi="Times New Roman" w:cs="Times New Roman"/>
                <w:color w:val="000000"/>
                <w:kern w:val="0"/>
                <w:sz w:val="20"/>
                <w:szCs w:val="20"/>
              </w:rPr>
              <w:t>&gt; 100</w:t>
            </w:r>
          </w:p>
        </w:tc>
      </w:tr>
      <w:tr w:rsidR="00D5106E" w:rsidRPr="009E1463" w14:paraId="0BD5D131" w14:textId="77777777" w:rsidTr="00947566">
        <w:trPr>
          <w:trHeight w:val="840"/>
          <w:jc w:val="center"/>
        </w:trPr>
        <w:tc>
          <w:tcPr>
            <w:tcW w:w="1587" w:type="dxa"/>
          </w:tcPr>
          <w:p w14:paraId="10245FBF" w14:textId="77777777" w:rsidR="00D5106E" w:rsidRPr="00CD697E" w:rsidRDefault="00D5106E" w:rsidP="00947566">
            <w:pPr>
              <w:autoSpaceDE w:val="0"/>
              <w:autoSpaceDN w:val="0"/>
              <w:adjustRightInd w:val="0"/>
              <w:spacing w:after="0" w:line="240" w:lineRule="auto"/>
              <w:jc w:val="center"/>
              <w:rPr>
                <w:rFonts w:ascii="Times New Roman" w:hAnsi="Times New Roman" w:cs="Times New Roman"/>
                <w:b/>
                <w:bCs/>
                <w:color w:val="000000"/>
                <w:kern w:val="0"/>
                <w:sz w:val="20"/>
                <w:szCs w:val="20"/>
              </w:rPr>
            </w:pPr>
            <w:r w:rsidRPr="002834F5">
              <w:rPr>
                <w:rFonts w:ascii="Times New Roman" w:hAnsi="Times New Roman" w:cs="Times New Roman"/>
                <w:b/>
                <w:bCs/>
                <w:color w:val="000000"/>
                <w:kern w:val="0"/>
                <w:sz w:val="20"/>
                <w:szCs w:val="20"/>
              </w:rPr>
              <w:t>WHO/CHAD guidelines</w:t>
            </w:r>
          </w:p>
        </w:tc>
        <w:tc>
          <w:tcPr>
            <w:tcW w:w="4764" w:type="dxa"/>
            <w:gridSpan w:val="3"/>
          </w:tcPr>
          <w:p w14:paraId="5E79EDFD" w14:textId="77777777" w:rsidR="00D5106E" w:rsidRPr="002834F5"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lang w:val="en-US"/>
              </w:rPr>
            </w:pPr>
            <w:r w:rsidRPr="002834F5">
              <w:rPr>
                <w:rFonts w:ascii="Times New Roman" w:hAnsi="Times New Roman" w:cs="Times New Roman"/>
                <w:i/>
                <w:iCs/>
                <w:color w:val="000000"/>
                <w:kern w:val="0"/>
                <w:sz w:val="20"/>
                <w:szCs w:val="20"/>
                <w:lang w:val="en-US"/>
              </w:rPr>
              <w:t>Must not be found in a 100 ml test sample of the analyzed sample.</w:t>
            </w:r>
          </w:p>
        </w:tc>
        <w:tc>
          <w:tcPr>
            <w:tcW w:w="1587" w:type="dxa"/>
          </w:tcPr>
          <w:p w14:paraId="06ABE751" w14:textId="77777777" w:rsidR="00D5106E" w:rsidRPr="002834F5" w:rsidRDefault="00D5106E" w:rsidP="00947566">
            <w:pPr>
              <w:autoSpaceDE w:val="0"/>
              <w:autoSpaceDN w:val="0"/>
              <w:adjustRightInd w:val="0"/>
              <w:spacing w:after="0" w:line="240" w:lineRule="auto"/>
              <w:jc w:val="center"/>
              <w:rPr>
                <w:rFonts w:ascii="Times New Roman" w:hAnsi="Times New Roman" w:cs="Times New Roman"/>
                <w:i/>
                <w:iCs/>
                <w:color w:val="000000"/>
                <w:kern w:val="0"/>
                <w:sz w:val="20"/>
                <w:szCs w:val="20"/>
                <w:lang w:val="en-US"/>
              </w:rPr>
            </w:pPr>
            <w:r w:rsidRPr="002834F5">
              <w:rPr>
                <w:rFonts w:ascii="Times New Roman" w:hAnsi="Times New Roman" w:cs="Times New Roman"/>
                <w:i/>
                <w:iCs/>
                <w:color w:val="000000"/>
                <w:kern w:val="0"/>
                <w:sz w:val="20"/>
                <w:szCs w:val="20"/>
                <w:lang w:val="en-US"/>
              </w:rPr>
              <w:t>No guidelines for drinking water</w:t>
            </w:r>
          </w:p>
        </w:tc>
      </w:tr>
    </w:tbl>
    <w:p w14:paraId="3492F420" w14:textId="77777777" w:rsidR="00D5106E" w:rsidRDefault="00D5106E" w:rsidP="00D5106E">
      <w:pPr>
        <w:tabs>
          <w:tab w:val="left" w:pos="7760"/>
        </w:tabs>
        <w:spacing w:after="0" w:line="360" w:lineRule="auto"/>
        <w:jc w:val="both"/>
        <w:rPr>
          <w:rFonts w:ascii="Times New Roman" w:hAnsi="Times New Roman" w:cs="Times New Roman"/>
          <w:b/>
          <w:bCs/>
          <w:lang w:val="en-US"/>
        </w:rPr>
      </w:pPr>
    </w:p>
    <w:p w14:paraId="6B6C50A0" w14:textId="4FC78700" w:rsidR="00D5106E" w:rsidRPr="00D5106E" w:rsidRDefault="00D5106E" w:rsidP="00D5106E">
      <w:pPr>
        <w:tabs>
          <w:tab w:val="left" w:pos="7760"/>
        </w:tabs>
        <w:spacing w:after="0" w:line="360" w:lineRule="auto"/>
        <w:jc w:val="both"/>
        <w:rPr>
          <w:rFonts w:ascii="Times New Roman" w:hAnsi="Times New Roman" w:cs="Times New Roman"/>
          <w:b/>
          <w:bCs/>
          <w:lang w:val="en-US"/>
        </w:rPr>
      </w:pPr>
      <w:r w:rsidRPr="00D5106E">
        <w:rPr>
          <w:rFonts w:ascii="Times New Roman" w:hAnsi="Times New Roman" w:cs="Times New Roman"/>
          <w:b/>
          <w:bCs/>
          <w:lang w:val="en-US"/>
        </w:rPr>
        <w:t>4.2.1 Fecal Enterococci</w:t>
      </w:r>
    </w:p>
    <w:p w14:paraId="355DF56C"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 xml:space="preserve">Enterococci are a group of bacteria originating from the fecal matter of living organisms, including humans and animals. Our analyses show that 15 samples were free of enterococci, while two well samples (Medi </w:t>
      </w:r>
      <w:proofErr w:type="spellStart"/>
      <w:r w:rsidRPr="00D5106E">
        <w:rPr>
          <w:rFonts w:ascii="Times New Roman" w:hAnsi="Times New Roman" w:cs="Times New Roman"/>
          <w:lang w:val="en-US"/>
        </w:rPr>
        <w:t>Tchouloumi</w:t>
      </w:r>
      <w:proofErr w:type="spellEnd"/>
      <w:r w:rsidRPr="00D5106E">
        <w:rPr>
          <w:rFonts w:ascii="Times New Roman" w:hAnsi="Times New Roman" w:cs="Times New Roman"/>
          <w:lang w:val="en-US"/>
        </w:rPr>
        <w:t xml:space="preserve"> and </w:t>
      </w:r>
      <w:proofErr w:type="spellStart"/>
      <w:r w:rsidRPr="00D5106E">
        <w:rPr>
          <w:rFonts w:ascii="Times New Roman" w:hAnsi="Times New Roman" w:cs="Times New Roman"/>
          <w:lang w:val="en-US"/>
        </w:rPr>
        <w:t>Tosso</w:t>
      </w:r>
      <w:proofErr w:type="spellEnd"/>
      <w:r w:rsidRPr="00D5106E">
        <w:rPr>
          <w:rFonts w:ascii="Times New Roman" w:hAnsi="Times New Roman" w:cs="Times New Roman"/>
          <w:lang w:val="en-US"/>
        </w:rPr>
        <w:t xml:space="preserve"> </w:t>
      </w:r>
      <w:proofErr w:type="spellStart"/>
      <w:r w:rsidRPr="00D5106E">
        <w:rPr>
          <w:rFonts w:ascii="Times New Roman" w:hAnsi="Times New Roman" w:cs="Times New Roman"/>
          <w:lang w:val="en-US"/>
        </w:rPr>
        <w:t>Kankamary</w:t>
      </w:r>
      <w:proofErr w:type="spellEnd"/>
      <w:r w:rsidRPr="00D5106E">
        <w:rPr>
          <w:rFonts w:ascii="Times New Roman" w:hAnsi="Times New Roman" w:cs="Times New Roman"/>
          <w:lang w:val="en-US"/>
        </w:rPr>
        <w:t xml:space="preserve">) tested positive for these bacteria. This represents 88.23% negative and 11.77% positive samples. The total coliform counts in the analyzed water ranged between 48 and 56 CFU/100 </w:t>
      </w:r>
      <w:proofErr w:type="spellStart"/>
      <w:r w:rsidRPr="00D5106E">
        <w:rPr>
          <w:rFonts w:ascii="Times New Roman" w:hAnsi="Times New Roman" w:cs="Times New Roman"/>
          <w:lang w:val="en-US"/>
        </w:rPr>
        <w:t>mL.</w:t>
      </w:r>
      <w:proofErr w:type="spellEnd"/>
    </w:p>
    <w:p w14:paraId="709D0E44" w14:textId="77777777" w:rsidR="00D5106E" w:rsidRPr="00D5106E" w:rsidRDefault="00D5106E" w:rsidP="00D5106E">
      <w:pPr>
        <w:tabs>
          <w:tab w:val="left" w:pos="7760"/>
        </w:tabs>
        <w:spacing w:after="0" w:line="360" w:lineRule="auto"/>
        <w:jc w:val="both"/>
        <w:rPr>
          <w:rFonts w:ascii="Times New Roman" w:hAnsi="Times New Roman" w:cs="Times New Roman"/>
          <w:b/>
          <w:bCs/>
          <w:lang w:val="en-US"/>
        </w:rPr>
      </w:pPr>
      <w:r w:rsidRPr="00D5106E">
        <w:rPr>
          <w:rFonts w:ascii="Times New Roman" w:hAnsi="Times New Roman" w:cs="Times New Roman"/>
          <w:b/>
          <w:bCs/>
          <w:lang w:val="en-US"/>
        </w:rPr>
        <w:lastRenderedPageBreak/>
        <w:t>4.2.2 Total Coliforms</w:t>
      </w:r>
    </w:p>
    <w:p w14:paraId="54394555"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 xml:space="preserve">Total coliforms originate from human and animal waste. Their presence in drinking water does not have a significant direct effect on human health but may indicate potential contamination by harmful microorganisms. They are used as indicators of microbiological water quality, indirectly reflecting fecal pollution and serving as markers for treatment efficiency and bacterial regrowth after treatment (Abdallah et al., 2021). All 17 samples tested positive for total coliforms, meaning 100% of the samples were contaminated. Total coliform counts ranged from 4 to 110 CFU/100 </w:t>
      </w:r>
      <w:proofErr w:type="spellStart"/>
      <w:r w:rsidRPr="00D5106E">
        <w:rPr>
          <w:rFonts w:ascii="Times New Roman" w:hAnsi="Times New Roman" w:cs="Times New Roman"/>
          <w:lang w:val="en-US"/>
        </w:rPr>
        <w:t>mL.</w:t>
      </w:r>
      <w:proofErr w:type="spellEnd"/>
    </w:p>
    <w:p w14:paraId="3425A6D2" w14:textId="77777777" w:rsidR="00D5106E" w:rsidRPr="00D5106E" w:rsidRDefault="00D5106E" w:rsidP="00D5106E">
      <w:pPr>
        <w:tabs>
          <w:tab w:val="left" w:pos="7760"/>
        </w:tabs>
        <w:spacing w:after="0" w:line="360" w:lineRule="auto"/>
        <w:jc w:val="both"/>
        <w:rPr>
          <w:rFonts w:ascii="Times New Roman" w:hAnsi="Times New Roman" w:cs="Times New Roman"/>
          <w:b/>
          <w:bCs/>
          <w:lang w:val="en-US"/>
        </w:rPr>
      </w:pPr>
      <w:r w:rsidRPr="00D5106E">
        <w:rPr>
          <w:rFonts w:ascii="Times New Roman" w:hAnsi="Times New Roman" w:cs="Times New Roman"/>
          <w:b/>
          <w:bCs/>
          <w:lang w:val="en-US"/>
        </w:rPr>
        <w:t>4.2.3 Escherichia coli</w:t>
      </w:r>
    </w:p>
    <w:p w14:paraId="237D9112"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E. coli bacteria originate from the intestines of mammals and can pose health risks if present in drinking water. Their presence indicates fecal contamination and may suggest the presence of pathogenic agents (viruses, bacteria, and parasites) responsible for waterborne diseases (Scott et al., 2002). In this study, 14 samples tested positive while 3 were negative. The prevalence of E. coli in water sources in the study area was 82.35% positive and 17.65% negative (</w:t>
      </w:r>
      <w:proofErr w:type="spellStart"/>
      <w:r w:rsidRPr="00D5106E">
        <w:rPr>
          <w:rFonts w:ascii="Times New Roman" w:hAnsi="Times New Roman" w:cs="Times New Roman"/>
          <w:lang w:val="en-US"/>
        </w:rPr>
        <w:t>Dilai</w:t>
      </w:r>
      <w:proofErr w:type="spellEnd"/>
      <w:r w:rsidRPr="00D5106E">
        <w:rPr>
          <w:rFonts w:ascii="Times New Roman" w:hAnsi="Times New Roman" w:cs="Times New Roman"/>
          <w:lang w:val="en-US"/>
        </w:rPr>
        <w:t xml:space="preserve">, </w:t>
      </w:r>
      <w:proofErr w:type="spellStart"/>
      <w:r w:rsidRPr="00D5106E">
        <w:rPr>
          <w:rFonts w:ascii="Times New Roman" w:hAnsi="Times New Roman" w:cs="Times New Roman"/>
          <w:lang w:val="en-US"/>
        </w:rPr>
        <w:t>Djara</w:t>
      </w:r>
      <w:proofErr w:type="spellEnd"/>
      <w:r w:rsidRPr="00D5106E">
        <w:rPr>
          <w:rFonts w:ascii="Times New Roman" w:hAnsi="Times New Roman" w:cs="Times New Roman"/>
          <w:lang w:val="en-US"/>
        </w:rPr>
        <w:t xml:space="preserve">, Medi </w:t>
      </w:r>
      <w:proofErr w:type="spellStart"/>
      <w:r w:rsidRPr="00D5106E">
        <w:rPr>
          <w:rFonts w:ascii="Times New Roman" w:hAnsi="Times New Roman" w:cs="Times New Roman"/>
          <w:lang w:val="en-US"/>
        </w:rPr>
        <w:t>Djiguidanga</w:t>
      </w:r>
      <w:proofErr w:type="spellEnd"/>
      <w:r w:rsidRPr="00D5106E">
        <w:rPr>
          <w:rFonts w:ascii="Times New Roman" w:hAnsi="Times New Roman" w:cs="Times New Roman"/>
          <w:lang w:val="en-US"/>
        </w:rPr>
        <w:t xml:space="preserve">). E. coli counts in the analyzed water ranged from 1 to over 100 CFU/100 </w:t>
      </w:r>
      <w:proofErr w:type="spellStart"/>
      <w:r w:rsidRPr="00D5106E">
        <w:rPr>
          <w:rFonts w:ascii="Times New Roman" w:hAnsi="Times New Roman" w:cs="Times New Roman"/>
          <w:lang w:val="en-US"/>
        </w:rPr>
        <w:t>mL.</w:t>
      </w:r>
      <w:proofErr w:type="spellEnd"/>
      <w:r w:rsidRPr="00D5106E">
        <w:rPr>
          <w:rFonts w:ascii="Times New Roman" w:hAnsi="Times New Roman" w:cs="Times New Roman"/>
          <w:lang w:val="en-US"/>
        </w:rPr>
        <w:t xml:space="preserve"> Their presence may also indicate recent contamination events.</w:t>
      </w:r>
    </w:p>
    <w:p w14:paraId="5FA25660" w14:textId="77777777" w:rsidR="00D5106E" w:rsidRDefault="00D5106E" w:rsidP="00D5106E">
      <w:pPr>
        <w:tabs>
          <w:tab w:val="left" w:pos="7760"/>
        </w:tabs>
        <w:spacing w:after="0" w:line="360" w:lineRule="auto"/>
        <w:jc w:val="both"/>
        <w:rPr>
          <w:rFonts w:ascii="Times New Roman" w:hAnsi="Times New Roman" w:cs="Times New Roman"/>
          <w:b/>
          <w:bCs/>
          <w:lang w:val="en-US"/>
        </w:rPr>
      </w:pPr>
    </w:p>
    <w:p w14:paraId="23331DA8" w14:textId="04AC4366" w:rsidR="00D5106E" w:rsidRPr="00D5106E" w:rsidRDefault="00D5106E" w:rsidP="00D5106E">
      <w:pPr>
        <w:tabs>
          <w:tab w:val="left" w:pos="7760"/>
        </w:tabs>
        <w:spacing w:after="0" w:line="360" w:lineRule="auto"/>
        <w:jc w:val="both"/>
        <w:rPr>
          <w:rFonts w:ascii="Times New Roman" w:hAnsi="Times New Roman" w:cs="Times New Roman"/>
          <w:b/>
          <w:bCs/>
          <w:lang w:val="en-US"/>
        </w:rPr>
      </w:pPr>
      <w:r w:rsidRPr="00D5106E">
        <w:rPr>
          <w:rFonts w:ascii="Times New Roman" w:hAnsi="Times New Roman" w:cs="Times New Roman"/>
          <w:b/>
          <w:bCs/>
          <w:lang w:val="en-US"/>
        </w:rPr>
        <w:t>4.2.4 Aerobic Flora</w:t>
      </w:r>
    </w:p>
    <w:p w14:paraId="7B057FC2"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Aerobic flora consists of microorganisms that grow in the presence of oxygen at temperatures between 25 and 30 °C. The presence of these bacteria is likely due to infiltration of organic matter-laden water reaching the groundwater table. Aerobic bacteria were detected in all samples, i.e., 100% positive, with counts exceeding 100 CFU/100 mL in all analyzed waters. These results are consistent with findings by Abdallah et al. (2021) in Mao and its surroundings, located west of our study area.</w:t>
      </w:r>
    </w:p>
    <w:p w14:paraId="1D032B7E" w14:textId="01921D5D"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The observed bacteriological pollution appears to result from infiltration of surface water and wastewater into shallow wells (15</w:t>
      </w:r>
      <w:r w:rsidR="0026652C">
        <w:rPr>
          <w:rFonts w:ascii="Times New Roman" w:hAnsi="Times New Roman" w:cs="Times New Roman"/>
          <w:lang w:val="en-US"/>
        </w:rPr>
        <w:t>-</w:t>
      </w:r>
      <w:r w:rsidRPr="00D5106E">
        <w:rPr>
          <w:rFonts w:ascii="Times New Roman" w:hAnsi="Times New Roman" w:cs="Times New Roman"/>
          <w:lang w:val="en-US"/>
        </w:rPr>
        <w:t xml:space="preserve">35 m), the lack of adequate protection perimeters, and the proximity of pit latrines. In Medi </w:t>
      </w:r>
      <w:proofErr w:type="spellStart"/>
      <w:r w:rsidRPr="00D5106E">
        <w:rPr>
          <w:rFonts w:ascii="Times New Roman" w:hAnsi="Times New Roman" w:cs="Times New Roman"/>
          <w:lang w:val="en-US"/>
        </w:rPr>
        <w:t>Tchouloumi</w:t>
      </w:r>
      <w:proofErr w:type="spellEnd"/>
      <w:r w:rsidRPr="00D5106E">
        <w:rPr>
          <w:rFonts w:ascii="Times New Roman" w:hAnsi="Times New Roman" w:cs="Times New Roman"/>
          <w:lang w:val="en-US"/>
        </w:rPr>
        <w:t xml:space="preserve"> and </w:t>
      </w:r>
      <w:proofErr w:type="spellStart"/>
      <w:r w:rsidRPr="00D5106E">
        <w:rPr>
          <w:rFonts w:ascii="Times New Roman" w:hAnsi="Times New Roman" w:cs="Times New Roman"/>
          <w:lang w:val="en-US"/>
        </w:rPr>
        <w:t>Tosso</w:t>
      </w:r>
      <w:proofErr w:type="spellEnd"/>
      <w:r w:rsidRPr="00D5106E">
        <w:rPr>
          <w:rFonts w:ascii="Times New Roman" w:hAnsi="Times New Roman" w:cs="Times New Roman"/>
          <w:lang w:val="en-US"/>
        </w:rPr>
        <w:t xml:space="preserve"> </w:t>
      </w:r>
      <w:proofErr w:type="spellStart"/>
      <w:r w:rsidRPr="00D5106E">
        <w:rPr>
          <w:rFonts w:ascii="Times New Roman" w:hAnsi="Times New Roman" w:cs="Times New Roman"/>
          <w:lang w:val="en-US"/>
        </w:rPr>
        <w:t>Kankamary</w:t>
      </w:r>
      <w:proofErr w:type="spellEnd"/>
      <w:r w:rsidRPr="00D5106E">
        <w:rPr>
          <w:rFonts w:ascii="Times New Roman" w:hAnsi="Times New Roman" w:cs="Times New Roman"/>
          <w:lang w:val="en-US"/>
        </w:rPr>
        <w:t>, the presence of total coliforms in these wells indicates a deterioration of water quality and the vulnerability of wells to external contamination.</w:t>
      </w:r>
    </w:p>
    <w:p w14:paraId="1DA8378C" w14:textId="77777777" w:rsidR="00D5106E" w:rsidRPr="00D5106E" w:rsidRDefault="00D5106E" w:rsidP="00D5106E">
      <w:pPr>
        <w:tabs>
          <w:tab w:val="left" w:pos="7760"/>
        </w:tabs>
        <w:spacing w:after="0" w:line="360" w:lineRule="auto"/>
        <w:jc w:val="both"/>
        <w:rPr>
          <w:rFonts w:ascii="Times New Roman" w:hAnsi="Times New Roman" w:cs="Times New Roman"/>
          <w:lang w:val="en-US"/>
        </w:rPr>
      </w:pPr>
      <w:r w:rsidRPr="00D5106E">
        <w:rPr>
          <w:rFonts w:ascii="Times New Roman" w:hAnsi="Times New Roman" w:cs="Times New Roman"/>
          <w:lang w:val="en-US"/>
        </w:rPr>
        <w:t>Wells in sedimentary zones are particularly exposed to contamination due to their proximity to pollution sources, shallow depth, insufficient maintenance, and absence of regular water treatment. Field observations also suggest that contamination may result from uncovered wells or poor management of hand-dug wells, which are often left at ground level.</w:t>
      </w:r>
    </w:p>
    <w:p w14:paraId="53B9CA32" w14:textId="77777777" w:rsidR="00432780" w:rsidRDefault="00432780" w:rsidP="00D5106E">
      <w:pPr>
        <w:tabs>
          <w:tab w:val="left" w:pos="7760"/>
        </w:tabs>
        <w:rPr>
          <w:rFonts w:ascii="Times New Roman" w:hAnsi="Times New Roman" w:cs="Times New Roman"/>
          <w:b/>
          <w:bCs/>
          <w:lang w:val="en-US"/>
        </w:rPr>
      </w:pPr>
    </w:p>
    <w:p w14:paraId="0941161E" w14:textId="17289C64" w:rsidR="00D5106E" w:rsidRPr="00D5106E" w:rsidRDefault="00D5106E" w:rsidP="00D5106E">
      <w:pPr>
        <w:tabs>
          <w:tab w:val="left" w:pos="7760"/>
        </w:tabs>
        <w:rPr>
          <w:rFonts w:ascii="Times New Roman" w:hAnsi="Times New Roman" w:cs="Times New Roman"/>
          <w:b/>
          <w:bCs/>
          <w:sz w:val="28"/>
          <w:szCs w:val="28"/>
          <w:lang w:val="en-US"/>
        </w:rPr>
      </w:pPr>
      <w:r w:rsidRPr="00D5106E">
        <w:rPr>
          <w:rFonts w:ascii="Times New Roman" w:hAnsi="Times New Roman" w:cs="Times New Roman"/>
          <w:b/>
          <w:bCs/>
          <w:sz w:val="28"/>
          <w:szCs w:val="28"/>
          <w:lang w:val="en-US"/>
        </w:rPr>
        <w:lastRenderedPageBreak/>
        <w:t>Conclusion</w:t>
      </w:r>
    </w:p>
    <w:p w14:paraId="210E7360" w14:textId="0CC88BCC" w:rsidR="008A129B" w:rsidRPr="008A129B" w:rsidRDefault="008A129B" w:rsidP="008A129B">
      <w:pPr>
        <w:tabs>
          <w:tab w:val="left" w:pos="7760"/>
        </w:tabs>
        <w:spacing w:after="0" w:line="360" w:lineRule="auto"/>
        <w:jc w:val="both"/>
        <w:rPr>
          <w:rFonts w:ascii="Times New Roman" w:hAnsi="Times New Roman" w:cs="Times New Roman"/>
          <w:lang w:val="en-US"/>
        </w:rPr>
      </w:pPr>
      <w:r w:rsidRPr="008A129B">
        <w:rPr>
          <w:rFonts w:ascii="Times New Roman" w:hAnsi="Times New Roman" w:cs="Times New Roman"/>
          <w:lang w:val="en-US"/>
        </w:rPr>
        <w:t xml:space="preserve">This study assessed the physicochemical and bacteriological quality of groundwater in the study area. </w:t>
      </w:r>
      <w:r w:rsidR="00EB727B" w:rsidRPr="00EB727B">
        <w:rPr>
          <w:rFonts w:ascii="Times New Roman" w:hAnsi="Times New Roman" w:cs="Times New Roman"/>
          <w:lang w:val="en-US"/>
        </w:rPr>
        <w:t>The results show that 94.11% of the water samples belong to the sodium sulfate (Na-SO</w:t>
      </w:r>
      <w:r w:rsidR="00EB727B" w:rsidRPr="00BB4835">
        <w:rPr>
          <w:rFonts w:ascii="Times New Roman" w:hAnsi="Times New Roman" w:cs="Times New Roman"/>
          <w:vertAlign w:val="subscript"/>
          <w:lang w:val="en-US"/>
        </w:rPr>
        <w:t>4</w:t>
      </w:r>
      <w:r w:rsidR="00EB727B" w:rsidRPr="00EB727B">
        <w:rPr>
          <w:rFonts w:ascii="Times New Roman" w:hAnsi="Times New Roman" w:cs="Times New Roman"/>
          <w:lang w:val="en-US"/>
        </w:rPr>
        <w:t>) facies, while 5.89% correspond to the sodium bicarbonate (Na-HCO</w:t>
      </w:r>
      <w:r w:rsidR="00EB727B" w:rsidRPr="00BB4835">
        <w:rPr>
          <w:rFonts w:ascii="Times New Roman" w:hAnsi="Times New Roman" w:cs="Times New Roman"/>
          <w:vertAlign w:val="subscript"/>
          <w:lang w:val="en-US"/>
        </w:rPr>
        <w:t>3</w:t>
      </w:r>
      <w:r w:rsidR="00EB727B" w:rsidRPr="00EB727B">
        <w:rPr>
          <w:rFonts w:ascii="Times New Roman" w:hAnsi="Times New Roman" w:cs="Times New Roman"/>
          <w:lang w:val="en-US"/>
        </w:rPr>
        <w:t>) facies. Analyses of groundwater intended for consumption and irrigation generally indicate good overall quality.</w:t>
      </w:r>
    </w:p>
    <w:p w14:paraId="426CDAE1" w14:textId="7A2D7A21" w:rsidR="008A129B" w:rsidRPr="008A129B" w:rsidRDefault="008A129B" w:rsidP="008A129B">
      <w:pPr>
        <w:tabs>
          <w:tab w:val="left" w:pos="7760"/>
        </w:tabs>
        <w:spacing w:after="0" w:line="360" w:lineRule="auto"/>
        <w:jc w:val="both"/>
        <w:rPr>
          <w:rFonts w:ascii="Times New Roman" w:hAnsi="Times New Roman" w:cs="Times New Roman"/>
          <w:lang w:val="en-US"/>
        </w:rPr>
      </w:pPr>
      <w:r w:rsidRPr="008A129B">
        <w:rPr>
          <w:rFonts w:ascii="Times New Roman" w:hAnsi="Times New Roman" w:cs="Times New Roman"/>
          <w:lang w:val="en-US"/>
        </w:rPr>
        <w:t>Iron concentrations in the groundwater range from 0.1 to 4.55 mg/L, with a significant proportion of samples exceeding the WHO guideline value for drinking water (</w:t>
      </w:r>
      <w:r w:rsidRPr="00297671">
        <w:rPr>
          <w:rFonts w:ascii="Times New Roman" w:hAnsi="Times New Roman" w:cs="Times New Roman"/>
          <w:highlight w:val="yellow"/>
          <w:lang w:val="en-US"/>
        </w:rPr>
        <w:t>0.</w:t>
      </w:r>
      <w:r w:rsidR="00535F75" w:rsidRPr="00297671">
        <w:rPr>
          <w:rFonts w:ascii="Times New Roman" w:hAnsi="Times New Roman" w:cs="Times New Roman"/>
          <w:highlight w:val="yellow"/>
          <w:lang w:val="en-US"/>
        </w:rPr>
        <w:t>3</w:t>
      </w:r>
      <w:r w:rsidRPr="00297671">
        <w:rPr>
          <w:rFonts w:ascii="Times New Roman" w:hAnsi="Times New Roman" w:cs="Times New Roman"/>
          <w:highlight w:val="yellow"/>
          <w:lang w:val="en-US"/>
        </w:rPr>
        <w:t>0</w:t>
      </w:r>
      <w:r w:rsidRPr="008A129B">
        <w:rPr>
          <w:rFonts w:ascii="Times New Roman" w:hAnsi="Times New Roman" w:cs="Times New Roman"/>
          <w:lang w:val="en-US"/>
        </w:rPr>
        <w:t xml:space="preserve"> mg/L). These exceedances, observed in several boreholes distributed across the study area, represent 58.22% of the sampled points, indicating a notable presence of iron within the aquifer.</w:t>
      </w:r>
    </w:p>
    <w:p w14:paraId="6515BBA2" w14:textId="77777777" w:rsidR="008A129B" w:rsidRPr="008A129B" w:rsidRDefault="008A129B" w:rsidP="008A129B">
      <w:pPr>
        <w:tabs>
          <w:tab w:val="left" w:pos="7760"/>
        </w:tabs>
        <w:spacing w:after="0" w:line="360" w:lineRule="auto"/>
        <w:jc w:val="both"/>
        <w:rPr>
          <w:rFonts w:ascii="Times New Roman" w:hAnsi="Times New Roman" w:cs="Times New Roman"/>
          <w:lang w:val="en-US"/>
        </w:rPr>
      </w:pPr>
      <w:r w:rsidRPr="008A129B">
        <w:rPr>
          <w:rFonts w:ascii="Times New Roman" w:hAnsi="Times New Roman" w:cs="Times New Roman"/>
          <w:lang w:val="en-US"/>
        </w:rPr>
        <w:t>Furthermore, the geochemical diagrams used reveal clear water–rock interactions, showing that the chemical composition of the groundwater is strongly influenced by geochemical conditions, silicate hydrolysis processes, and cation exchange mechanisms.</w:t>
      </w:r>
    </w:p>
    <w:p w14:paraId="0DCC2426" w14:textId="04DB1929" w:rsidR="008A129B" w:rsidRPr="008A129B" w:rsidRDefault="003E6C52" w:rsidP="008A129B">
      <w:pPr>
        <w:tabs>
          <w:tab w:val="left" w:pos="7760"/>
        </w:tabs>
        <w:spacing w:after="0" w:line="360" w:lineRule="auto"/>
        <w:jc w:val="both"/>
        <w:rPr>
          <w:rFonts w:ascii="Times New Roman" w:hAnsi="Times New Roman" w:cs="Times New Roman"/>
          <w:lang w:val="en-US"/>
        </w:rPr>
      </w:pPr>
      <w:r w:rsidRPr="003E6C52">
        <w:rPr>
          <w:rFonts w:ascii="Times New Roman" w:hAnsi="Times New Roman" w:cs="Times New Roman"/>
          <w:lang w:val="en-US"/>
        </w:rPr>
        <w:t xml:space="preserve">Bacteriological analyses revealed contamination </w:t>
      </w:r>
      <w:r w:rsidRPr="003E6C52">
        <w:rPr>
          <w:rFonts w:ascii="Times New Roman" w:hAnsi="Times New Roman" w:cs="Times New Roman"/>
          <w:highlight w:val="yellow"/>
          <w:lang w:val="en-US"/>
        </w:rPr>
        <w:t>of all wells and boreholes by pathogens such as total coliforms and total aerobic bacteria, as well as localized contamination by E. coli and fecal enterococci.</w:t>
      </w:r>
      <w:r w:rsidRPr="003E6C52">
        <w:rPr>
          <w:rFonts w:ascii="Times New Roman" w:hAnsi="Times New Roman" w:cs="Times New Roman"/>
          <w:lang w:val="en-US"/>
        </w:rPr>
        <w:t xml:space="preserve"> These microorganisms originate primarily from the human or animal digestive tract and are introduced into the environment mainly through feces, but also through </w:t>
      </w:r>
      <w:proofErr w:type="gramStart"/>
      <w:r w:rsidRPr="003E6C52">
        <w:rPr>
          <w:rFonts w:ascii="Times New Roman" w:hAnsi="Times New Roman" w:cs="Times New Roman"/>
          <w:lang w:val="en-US"/>
        </w:rPr>
        <w:t>urine.</w:t>
      </w:r>
      <w:r w:rsidR="008A129B" w:rsidRPr="008A129B">
        <w:rPr>
          <w:rFonts w:ascii="Times New Roman" w:hAnsi="Times New Roman" w:cs="Times New Roman"/>
          <w:lang w:val="en-US"/>
        </w:rPr>
        <w:t>.</w:t>
      </w:r>
      <w:proofErr w:type="gramEnd"/>
    </w:p>
    <w:p w14:paraId="4098AE1E" w14:textId="1A0DDE1B" w:rsidR="00D5106E" w:rsidRPr="00D5106E" w:rsidRDefault="00D5106E" w:rsidP="00D5106E">
      <w:pPr>
        <w:tabs>
          <w:tab w:val="left" w:pos="7760"/>
        </w:tabs>
        <w:spacing w:after="0" w:line="360" w:lineRule="auto"/>
        <w:jc w:val="both"/>
        <w:rPr>
          <w:rFonts w:ascii="Times New Roman" w:hAnsi="Times New Roman" w:cs="Times New Roman"/>
          <w:lang w:val="en-US"/>
        </w:rPr>
      </w:pPr>
    </w:p>
    <w:p w14:paraId="353A991B" w14:textId="77777777" w:rsidR="007E4123" w:rsidRDefault="007E4123" w:rsidP="007E4123">
      <w:pPr>
        <w:rPr>
          <w:rFonts w:ascii="Calibri" w:eastAsia="Calibri" w:hAnsi="Calibri" w:cs="Times New Roman"/>
          <w:highlight w:val="yellow"/>
          <w:lang w:val="en-US"/>
        </w:rPr>
      </w:pPr>
      <w:bookmarkStart w:id="0" w:name="_Hlk204003461"/>
      <w:bookmarkStart w:id="1" w:name="_Hlk213070710"/>
      <w:r>
        <w:rPr>
          <w:rFonts w:ascii="Calibri" w:eastAsia="Calibri" w:hAnsi="Calibri" w:cs="Times New Roman"/>
          <w:highlight w:val="yellow"/>
          <w:lang w:val="en-US"/>
        </w:rPr>
        <w:t>Disclaimer (Artificial intelligence)</w:t>
      </w:r>
    </w:p>
    <w:p w14:paraId="24107C4C" w14:textId="77777777" w:rsidR="007E4123" w:rsidRDefault="007E4123" w:rsidP="007E4123">
      <w:pPr>
        <w:rPr>
          <w:rFonts w:ascii="Calibri" w:eastAsia="Calibri" w:hAnsi="Calibri" w:cs="Times New Roman"/>
          <w:highlight w:val="yellow"/>
          <w:lang w:val="en-US"/>
        </w:rPr>
      </w:pPr>
      <w:r>
        <w:rPr>
          <w:rFonts w:ascii="Calibri" w:eastAsia="Calibri" w:hAnsi="Calibri" w:cs="Times New Roman"/>
          <w:highlight w:val="yellow"/>
          <w:lang w:val="en-US"/>
        </w:rPr>
        <w:t>Option 1:</w:t>
      </w:r>
    </w:p>
    <w:p w14:paraId="277D4122" w14:textId="77777777" w:rsidR="007E4123" w:rsidRDefault="007E4123" w:rsidP="007E4123">
      <w:pPr>
        <w:rPr>
          <w:rFonts w:ascii="Calibri" w:eastAsia="Calibri" w:hAnsi="Calibri" w:cs="Times New Roman"/>
          <w:highlight w:val="yellow"/>
          <w:lang w:val="en-US"/>
        </w:rPr>
      </w:pPr>
      <w:r>
        <w:rPr>
          <w:rFonts w:ascii="Calibri" w:eastAsia="Calibri" w:hAnsi="Calibri" w:cs="Times New Roman"/>
          <w:highlight w:val="yellow"/>
          <w:lang w:val="en-US"/>
        </w:rPr>
        <w:t>Author(s) hereby declare that NO generative AI technologies such as Large Language Models (</w:t>
      </w:r>
      <w:proofErr w:type="spellStart"/>
      <w:r>
        <w:rPr>
          <w:rFonts w:ascii="Calibri" w:eastAsia="Calibri" w:hAnsi="Calibri" w:cs="Times New Roman"/>
          <w:highlight w:val="yellow"/>
          <w:lang w:val="en-US"/>
        </w:rPr>
        <w:t>ChatGPT</w:t>
      </w:r>
      <w:proofErr w:type="spellEnd"/>
      <w:r>
        <w:rPr>
          <w:rFonts w:ascii="Calibri" w:eastAsia="Calibri" w:hAnsi="Calibri" w:cs="Times New Roman"/>
          <w:highlight w:val="yellow"/>
          <w:lang w:val="en-US"/>
        </w:rPr>
        <w:t xml:space="preserve">, COPILOT, etc.) and text-to-image generators have been used during the writing or editing of this manuscript. </w:t>
      </w:r>
      <w:bookmarkStart w:id="2" w:name="_GoBack"/>
      <w:bookmarkEnd w:id="2"/>
    </w:p>
    <w:p w14:paraId="0B3880CF" w14:textId="77777777" w:rsidR="007E4123" w:rsidRPr="00192C9A" w:rsidRDefault="007E4123" w:rsidP="007E4123">
      <w:pPr>
        <w:rPr>
          <w:rFonts w:ascii="Calibri" w:eastAsia="Calibri" w:hAnsi="Calibri" w:cs="Times New Roman"/>
          <w:highlight w:val="red"/>
          <w:lang w:val="en-US"/>
        </w:rPr>
      </w:pPr>
      <w:r w:rsidRPr="00192C9A">
        <w:rPr>
          <w:rFonts w:ascii="Calibri" w:eastAsia="Calibri" w:hAnsi="Calibri" w:cs="Times New Roman"/>
          <w:highlight w:val="red"/>
          <w:lang w:val="en-US"/>
        </w:rPr>
        <w:t xml:space="preserve">Option 2: </w:t>
      </w:r>
    </w:p>
    <w:p w14:paraId="11B2354E" w14:textId="77777777" w:rsidR="007E4123" w:rsidRPr="00192C9A" w:rsidRDefault="007E4123" w:rsidP="007E4123">
      <w:pPr>
        <w:rPr>
          <w:rFonts w:ascii="Calibri" w:eastAsia="Calibri" w:hAnsi="Calibri" w:cs="Times New Roman"/>
          <w:highlight w:val="red"/>
          <w:lang w:val="en-US"/>
        </w:rPr>
      </w:pPr>
      <w:r w:rsidRPr="00192C9A">
        <w:rPr>
          <w:rFonts w:ascii="Calibri" w:eastAsia="Calibri" w:hAnsi="Calibri" w:cs="Times New Roman"/>
          <w:highlight w:val="red"/>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CB3BC56" w14:textId="77777777" w:rsidR="007E4123" w:rsidRPr="00192C9A" w:rsidRDefault="007E4123" w:rsidP="007E4123">
      <w:pPr>
        <w:rPr>
          <w:rFonts w:ascii="Calibri" w:eastAsia="Calibri" w:hAnsi="Calibri" w:cs="Times New Roman"/>
          <w:highlight w:val="red"/>
          <w:lang w:val="en-US"/>
        </w:rPr>
      </w:pPr>
      <w:r w:rsidRPr="00192C9A">
        <w:rPr>
          <w:rFonts w:ascii="Calibri" w:eastAsia="Calibri" w:hAnsi="Calibri" w:cs="Times New Roman"/>
          <w:highlight w:val="red"/>
          <w:lang w:val="en-US"/>
        </w:rPr>
        <w:t>Details of the AI usage are given below:</w:t>
      </w:r>
    </w:p>
    <w:p w14:paraId="164D28A1" w14:textId="77777777" w:rsidR="007E4123" w:rsidRPr="00192C9A" w:rsidRDefault="007E4123" w:rsidP="007E4123">
      <w:pPr>
        <w:rPr>
          <w:rFonts w:ascii="Calibri" w:eastAsia="Calibri" w:hAnsi="Calibri" w:cs="Times New Roman"/>
          <w:highlight w:val="red"/>
          <w:lang w:val="en-US"/>
        </w:rPr>
      </w:pPr>
      <w:r w:rsidRPr="00192C9A">
        <w:rPr>
          <w:rFonts w:ascii="Calibri" w:eastAsia="Calibri" w:hAnsi="Calibri" w:cs="Times New Roman"/>
          <w:highlight w:val="red"/>
          <w:lang w:val="en-US"/>
        </w:rPr>
        <w:t>1.</w:t>
      </w:r>
    </w:p>
    <w:p w14:paraId="291C65DB" w14:textId="77777777" w:rsidR="007E4123" w:rsidRPr="00192C9A" w:rsidRDefault="007E4123" w:rsidP="007E4123">
      <w:pPr>
        <w:rPr>
          <w:rFonts w:ascii="Calibri" w:eastAsia="Calibri" w:hAnsi="Calibri" w:cs="Times New Roman"/>
          <w:highlight w:val="red"/>
          <w:lang w:val="en-US"/>
        </w:rPr>
      </w:pPr>
      <w:r w:rsidRPr="00192C9A">
        <w:rPr>
          <w:rFonts w:ascii="Calibri" w:eastAsia="Calibri" w:hAnsi="Calibri" w:cs="Times New Roman"/>
          <w:highlight w:val="red"/>
          <w:lang w:val="en-US"/>
        </w:rPr>
        <w:t>2.</w:t>
      </w:r>
    </w:p>
    <w:p w14:paraId="417C5355" w14:textId="77777777" w:rsidR="007E4123" w:rsidRPr="00192C9A" w:rsidRDefault="007E4123" w:rsidP="007E4123">
      <w:pPr>
        <w:rPr>
          <w:rFonts w:ascii="Calibri" w:eastAsia="Calibri" w:hAnsi="Calibri" w:cs="Times New Roman"/>
          <w:highlight w:val="red"/>
          <w:lang w:val="en-US"/>
        </w:rPr>
      </w:pPr>
      <w:r w:rsidRPr="00192C9A">
        <w:rPr>
          <w:rFonts w:ascii="Calibri" w:eastAsia="Calibri" w:hAnsi="Calibri" w:cs="Times New Roman"/>
          <w:highlight w:val="red"/>
          <w:lang w:val="en-US"/>
        </w:rPr>
        <w:t>3.</w:t>
      </w:r>
      <w:bookmarkEnd w:id="0"/>
    </w:p>
    <w:bookmarkEnd w:id="1"/>
    <w:p w14:paraId="7E47F5AF" w14:textId="77777777" w:rsidR="00D5106E" w:rsidRDefault="00D5106E" w:rsidP="00D5106E">
      <w:pPr>
        <w:tabs>
          <w:tab w:val="left" w:pos="7760"/>
        </w:tabs>
        <w:rPr>
          <w:rFonts w:ascii="Times New Roman" w:hAnsi="Times New Roman" w:cs="Times New Roman"/>
          <w:lang w:val="en-US"/>
        </w:rPr>
      </w:pPr>
    </w:p>
    <w:p w14:paraId="57A70EC9" w14:textId="77777777" w:rsidR="00012B4D" w:rsidRDefault="00012B4D" w:rsidP="00D5106E">
      <w:pPr>
        <w:tabs>
          <w:tab w:val="left" w:pos="7760"/>
        </w:tabs>
        <w:rPr>
          <w:rFonts w:ascii="Times New Roman" w:hAnsi="Times New Roman" w:cs="Times New Roman"/>
          <w:lang w:val="en-US"/>
        </w:rPr>
      </w:pPr>
    </w:p>
    <w:p w14:paraId="181D3520" w14:textId="77777777" w:rsidR="0026652C" w:rsidRPr="002F67CC" w:rsidRDefault="0026652C" w:rsidP="0026652C">
      <w:pPr>
        <w:spacing w:line="360" w:lineRule="auto"/>
        <w:jc w:val="both"/>
        <w:rPr>
          <w:rFonts w:ascii="Times New Roman" w:hAnsi="Times New Roman" w:cs="Times New Roman"/>
          <w:b/>
          <w:bCs/>
          <w:sz w:val="28"/>
          <w:szCs w:val="28"/>
          <w:lang w:val="en-US"/>
        </w:rPr>
      </w:pPr>
      <w:r w:rsidRPr="002F67CC">
        <w:rPr>
          <w:rFonts w:ascii="Times New Roman" w:hAnsi="Times New Roman" w:cs="Times New Roman"/>
          <w:b/>
          <w:bCs/>
          <w:sz w:val="28"/>
          <w:szCs w:val="28"/>
          <w:lang w:val="en-US"/>
        </w:rPr>
        <w:t xml:space="preserve">References  </w:t>
      </w:r>
    </w:p>
    <w:p w14:paraId="33907210" w14:textId="141FDF39" w:rsidR="00B41788" w:rsidRPr="00D37315" w:rsidRDefault="00D37315" w:rsidP="00D37315">
      <w:pPr>
        <w:pStyle w:val="ListParagraph"/>
        <w:numPr>
          <w:ilvl w:val="0"/>
          <w:numId w:val="8"/>
        </w:numPr>
        <w:spacing w:after="0" w:line="360" w:lineRule="auto"/>
        <w:jc w:val="both"/>
        <w:rPr>
          <w:rFonts w:ascii="Times New Roman" w:hAnsi="Times New Roman" w:cs="Times New Roman"/>
          <w:lang w:val="en-US"/>
        </w:rPr>
      </w:pPr>
      <w:r w:rsidRPr="00AD754D">
        <w:rPr>
          <w:rFonts w:ascii="Times New Roman" w:hAnsi="Times New Roman" w:cs="Times New Roman"/>
          <w:b/>
          <w:bCs/>
          <w:lang w:val="fr-FR"/>
        </w:rPr>
        <w:t xml:space="preserve">Mahamat Nour, A., </w:t>
      </w:r>
      <w:proofErr w:type="spellStart"/>
      <w:r w:rsidRPr="00AD754D">
        <w:rPr>
          <w:rFonts w:ascii="Times New Roman" w:hAnsi="Times New Roman" w:cs="Times New Roman"/>
          <w:b/>
          <w:bCs/>
          <w:lang w:val="fr-FR"/>
        </w:rPr>
        <w:t>Hamit</w:t>
      </w:r>
      <w:proofErr w:type="spellEnd"/>
      <w:r w:rsidRPr="00AD754D">
        <w:rPr>
          <w:rFonts w:ascii="Times New Roman" w:hAnsi="Times New Roman" w:cs="Times New Roman"/>
          <w:b/>
          <w:bCs/>
          <w:lang w:val="fr-FR"/>
        </w:rPr>
        <w:t xml:space="preserve">, A., </w:t>
      </w:r>
      <w:proofErr w:type="spellStart"/>
      <w:r w:rsidRPr="00AD754D">
        <w:rPr>
          <w:rFonts w:ascii="Times New Roman" w:hAnsi="Times New Roman" w:cs="Times New Roman"/>
          <w:b/>
          <w:bCs/>
          <w:lang w:val="fr-FR"/>
        </w:rPr>
        <w:t>Abderamane</w:t>
      </w:r>
      <w:proofErr w:type="spellEnd"/>
      <w:r w:rsidRPr="00AD754D">
        <w:rPr>
          <w:rFonts w:ascii="Times New Roman" w:hAnsi="Times New Roman" w:cs="Times New Roman"/>
          <w:b/>
          <w:bCs/>
          <w:lang w:val="fr-FR"/>
        </w:rPr>
        <w:t xml:space="preserve">, M., &amp; </w:t>
      </w:r>
      <w:proofErr w:type="spellStart"/>
      <w:r w:rsidRPr="00AD754D">
        <w:rPr>
          <w:rFonts w:ascii="Times New Roman" w:hAnsi="Times New Roman" w:cs="Times New Roman"/>
          <w:b/>
          <w:bCs/>
          <w:lang w:val="fr-FR"/>
        </w:rPr>
        <w:t>Batrane</w:t>
      </w:r>
      <w:proofErr w:type="spellEnd"/>
      <w:r w:rsidRPr="00AD754D">
        <w:rPr>
          <w:rFonts w:ascii="Times New Roman" w:hAnsi="Times New Roman" w:cs="Times New Roman"/>
          <w:b/>
          <w:bCs/>
          <w:lang w:val="fr-FR"/>
        </w:rPr>
        <w:t xml:space="preserve">, M. (2021). </w:t>
      </w:r>
      <w:r w:rsidRPr="00D37315">
        <w:rPr>
          <w:rFonts w:ascii="Times New Roman" w:hAnsi="Times New Roman" w:cs="Times New Roman"/>
          <w:b/>
          <w:bCs/>
          <w:lang w:val="en-US"/>
        </w:rPr>
        <w:t xml:space="preserve">Assessment of the </w:t>
      </w:r>
      <w:proofErr w:type="spellStart"/>
      <w:r w:rsidRPr="00D37315">
        <w:rPr>
          <w:rFonts w:ascii="Times New Roman" w:hAnsi="Times New Roman" w:cs="Times New Roman"/>
          <w:b/>
          <w:bCs/>
          <w:lang w:val="en-US"/>
        </w:rPr>
        <w:t>physico</w:t>
      </w:r>
      <w:proofErr w:type="spellEnd"/>
      <w:r w:rsidRPr="00D37315">
        <w:rPr>
          <w:rFonts w:ascii="Times New Roman" w:hAnsi="Times New Roman" w:cs="Times New Roman"/>
          <w:b/>
          <w:bCs/>
          <w:lang w:val="en-US"/>
        </w:rPr>
        <w:t xml:space="preserve">-chemical and bacteriological quality of the waters of the quaternary aquifer of the city of Mao in Chad. International Journal of Water Resources and Environmental Engineering, 13(3), 184-195. </w:t>
      </w:r>
      <w:hyperlink r:id="rId17" w:history="1">
        <w:r w:rsidRPr="008066E9">
          <w:rPr>
            <w:rStyle w:val="Hyperlink"/>
            <w:rFonts w:ascii="Times New Roman" w:hAnsi="Times New Roman" w:cs="Times New Roman"/>
            <w:b/>
            <w:bCs/>
            <w:lang w:val="en-US"/>
          </w:rPr>
          <w:t>https://doi.org/10.5897/IJWREE2021.1012</w:t>
        </w:r>
      </w:hyperlink>
      <w:r>
        <w:rPr>
          <w:rFonts w:ascii="Times New Roman" w:hAnsi="Times New Roman" w:cs="Times New Roman"/>
          <w:b/>
          <w:bCs/>
          <w:lang w:val="en-US"/>
        </w:rPr>
        <w:t xml:space="preserve"> </w:t>
      </w:r>
    </w:p>
    <w:p w14:paraId="61977D99" w14:textId="374FC03A" w:rsidR="00B41788" w:rsidRPr="001E5029" w:rsidRDefault="002E03EB" w:rsidP="002E03EB">
      <w:pPr>
        <w:pStyle w:val="Default"/>
        <w:numPr>
          <w:ilvl w:val="0"/>
          <w:numId w:val="8"/>
        </w:numPr>
        <w:spacing w:line="360" w:lineRule="auto"/>
        <w:jc w:val="both"/>
        <w:rPr>
          <w:rFonts w:ascii="Times New Roman" w:hAnsi="Times New Roman" w:cs="Times New Roman"/>
          <w:color w:val="auto"/>
        </w:rPr>
      </w:pPr>
      <w:proofErr w:type="spellStart"/>
      <w:r w:rsidRPr="002E03EB">
        <w:rPr>
          <w:rFonts w:ascii="Times New Roman" w:hAnsi="Times New Roman" w:cs="Times New Roman"/>
          <w:b/>
          <w:bCs/>
          <w:color w:val="auto"/>
          <w:lang w:val="en-US"/>
        </w:rPr>
        <w:t>Bedoui</w:t>
      </w:r>
      <w:proofErr w:type="spellEnd"/>
      <w:r w:rsidRPr="002E03EB">
        <w:rPr>
          <w:rFonts w:ascii="Times New Roman" w:hAnsi="Times New Roman" w:cs="Times New Roman"/>
          <w:b/>
          <w:bCs/>
          <w:color w:val="auto"/>
          <w:lang w:val="en-US"/>
        </w:rPr>
        <w:t xml:space="preserve">, I., El-Haji, S., </w:t>
      </w:r>
      <w:proofErr w:type="spellStart"/>
      <w:r w:rsidRPr="002E03EB">
        <w:rPr>
          <w:rFonts w:ascii="Times New Roman" w:hAnsi="Times New Roman" w:cs="Times New Roman"/>
          <w:b/>
          <w:bCs/>
          <w:color w:val="auto"/>
          <w:lang w:val="en-US"/>
        </w:rPr>
        <w:t>Houzi</w:t>
      </w:r>
      <w:proofErr w:type="spellEnd"/>
      <w:r w:rsidRPr="002E03EB">
        <w:rPr>
          <w:rFonts w:ascii="Times New Roman" w:hAnsi="Times New Roman" w:cs="Times New Roman"/>
          <w:b/>
          <w:bCs/>
          <w:color w:val="auto"/>
          <w:lang w:val="en-US"/>
        </w:rPr>
        <w:t xml:space="preserve">, G., </w:t>
      </w:r>
      <w:proofErr w:type="spellStart"/>
      <w:r w:rsidRPr="002E03EB">
        <w:rPr>
          <w:rFonts w:ascii="Times New Roman" w:hAnsi="Times New Roman" w:cs="Times New Roman"/>
          <w:b/>
          <w:bCs/>
          <w:color w:val="auto"/>
          <w:lang w:val="en-US"/>
        </w:rPr>
        <w:t>Aghrib</w:t>
      </w:r>
      <w:proofErr w:type="spellEnd"/>
      <w:r w:rsidRPr="002E03EB">
        <w:rPr>
          <w:rFonts w:ascii="Times New Roman" w:hAnsi="Times New Roman" w:cs="Times New Roman"/>
          <w:b/>
          <w:bCs/>
          <w:color w:val="auto"/>
          <w:lang w:val="en-US"/>
        </w:rPr>
        <w:t xml:space="preserve">, N., </w:t>
      </w:r>
      <w:proofErr w:type="spellStart"/>
      <w:r w:rsidRPr="002E03EB">
        <w:rPr>
          <w:rFonts w:ascii="Times New Roman" w:hAnsi="Times New Roman" w:cs="Times New Roman"/>
          <w:b/>
          <w:bCs/>
          <w:color w:val="auto"/>
          <w:lang w:val="en-US"/>
        </w:rPr>
        <w:t>Challi</w:t>
      </w:r>
      <w:proofErr w:type="spellEnd"/>
      <w:r w:rsidRPr="002E03EB">
        <w:rPr>
          <w:rFonts w:ascii="Times New Roman" w:hAnsi="Times New Roman" w:cs="Times New Roman"/>
          <w:b/>
          <w:bCs/>
          <w:color w:val="auto"/>
          <w:lang w:val="en-US"/>
        </w:rPr>
        <w:t xml:space="preserve">, D., </w:t>
      </w:r>
      <w:proofErr w:type="spellStart"/>
      <w:r w:rsidRPr="002E03EB">
        <w:rPr>
          <w:rFonts w:ascii="Times New Roman" w:hAnsi="Times New Roman" w:cs="Times New Roman"/>
          <w:b/>
          <w:bCs/>
          <w:color w:val="auto"/>
          <w:lang w:val="en-US"/>
        </w:rPr>
        <w:t>Kaioua</w:t>
      </w:r>
      <w:proofErr w:type="spellEnd"/>
      <w:r w:rsidRPr="002E03EB">
        <w:rPr>
          <w:rFonts w:ascii="Times New Roman" w:hAnsi="Times New Roman" w:cs="Times New Roman"/>
          <w:b/>
          <w:bCs/>
          <w:color w:val="auto"/>
          <w:lang w:val="en-US"/>
        </w:rPr>
        <w:t xml:space="preserve">, S., </w:t>
      </w:r>
      <w:proofErr w:type="spellStart"/>
      <w:r w:rsidRPr="002E03EB">
        <w:rPr>
          <w:rFonts w:ascii="Times New Roman" w:hAnsi="Times New Roman" w:cs="Times New Roman"/>
          <w:b/>
          <w:bCs/>
          <w:color w:val="auto"/>
          <w:lang w:val="en-US"/>
        </w:rPr>
        <w:t>Alaizari</w:t>
      </w:r>
      <w:proofErr w:type="spellEnd"/>
      <w:r w:rsidRPr="002E03EB">
        <w:rPr>
          <w:rFonts w:ascii="Times New Roman" w:hAnsi="Times New Roman" w:cs="Times New Roman"/>
          <w:b/>
          <w:bCs/>
          <w:color w:val="auto"/>
          <w:lang w:val="en-US"/>
        </w:rPr>
        <w:t xml:space="preserve">, H., &amp; </w:t>
      </w:r>
      <w:proofErr w:type="spellStart"/>
      <w:r w:rsidRPr="002E03EB">
        <w:rPr>
          <w:rFonts w:ascii="Times New Roman" w:hAnsi="Times New Roman" w:cs="Times New Roman"/>
          <w:b/>
          <w:bCs/>
          <w:color w:val="auto"/>
          <w:lang w:val="en-US"/>
        </w:rPr>
        <w:t>Fadli</w:t>
      </w:r>
      <w:proofErr w:type="spellEnd"/>
      <w:r w:rsidRPr="002E03EB">
        <w:rPr>
          <w:rFonts w:ascii="Times New Roman" w:hAnsi="Times New Roman" w:cs="Times New Roman"/>
          <w:b/>
          <w:bCs/>
          <w:color w:val="auto"/>
          <w:lang w:val="en-US"/>
        </w:rPr>
        <w:t xml:space="preserve">, M. (2022). Assessment of groundwater quality for irrigation purposes in Sidi Slimane, Morocco using the irrigation water quality index. </w:t>
      </w:r>
      <w:r w:rsidRPr="00AD754D">
        <w:rPr>
          <w:rFonts w:ascii="Times New Roman" w:hAnsi="Times New Roman" w:cs="Times New Roman"/>
          <w:b/>
          <w:bCs/>
          <w:color w:val="auto"/>
        </w:rPr>
        <w:t xml:space="preserve">Trop J Nat Prod </w:t>
      </w:r>
      <w:proofErr w:type="spellStart"/>
      <w:r w:rsidRPr="00AD754D">
        <w:rPr>
          <w:rFonts w:ascii="Times New Roman" w:hAnsi="Times New Roman" w:cs="Times New Roman"/>
          <w:b/>
          <w:bCs/>
          <w:color w:val="auto"/>
        </w:rPr>
        <w:t>Res</w:t>
      </w:r>
      <w:proofErr w:type="spellEnd"/>
      <w:r w:rsidRPr="00AD754D">
        <w:rPr>
          <w:rFonts w:ascii="Times New Roman" w:hAnsi="Times New Roman" w:cs="Times New Roman"/>
          <w:b/>
          <w:bCs/>
          <w:color w:val="auto"/>
        </w:rPr>
        <w:t xml:space="preserve">, 6(4), 514–519. </w:t>
      </w:r>
      <w:hyperlink r:id="rId18" w:history="1">
        <w:r w:rsidRPr="00AD754D">
          <w:rPr>
            <w:rStyle w:val="Hyperlink"/>
            <w:rFonts w:ascii="Times New Roman" w:hAnsi="Times New Roman" w:cs="Times New Roman"/>
            <w:b/>
            <w:bCs/>
          </w:rPr>
          <w:t>https://doi.org/10.26538/tjnpr/v6i4.9</w:t>
        </w:r>
      </w:hyperlink>
      <w:r w:rsidRPr="00AD754D">
        <w:rPr>
          <w:rFonts w:ascii="Times New Roman" w:hAnsi="Times New Roman" w:cs="Times New Roman"/>
          <w:b/>
          <w:bCs/>
          <w:color w:val="auto"/>
        </w:rPr>
        <w:t xml:space="preserve"> </w:t>
      </w:r>
    </w:p>
    <w:p w14:paraId="0BBA3838" w14:textId="51406146" w:rsidR="00B41788" w:rsidRPr="001E5029" w:rsidRDefault="00550CE6" w:rsidP="00550CE6">
      <w:pPr>
        <w:pStyle w:val="Default"/>
        <w:numPr>
          <w:ilvl w:val="0"/>
          <w:numId w:val="8"/>
        </w:numPr>
        <w:spacing w:line="360" w:lineRule="auto"/>
        <w:jc w:val="both"/>
        <w:rPr>
          <w:rFonts w:ascii="Times New Roman" w:hAnsi="Times New Roman" w:cs="Times New Roman"/>
          <w:color w:val="auto"/>
        </w:rPr>
      </w:pPr>
      <w:proofErr w:type="spellStart"/>
      <w:r w:rsidRPr="00550CE6">
        <w:rPr>
          <w:rFonts w:ascii="Times New Roman" w:hAnsi="Times New Roman" w:cs="Times New Roman"/>
          <w:color w:val="auto"/>
          <w:lang w:val="en-US"/>
        </w:rPr>
        <w:t>Belhassan</w:t>
      </w:r>
      <w:proofErr w:type="spellEnd"/>
      <w:r w:rsidRPr="00550CE6">
        <w:rPr>
          <w:rFonts w:ascii="Times New Roman" w:hAnsi="Times New Roman" w:cs="Times New Roman"/>
          <w:color w:val="auto"/>
          <w:lang w:val="en-US"/>
        </w:rPr>
        <w:t xml:space="preserve">, K. (2021). Water scarcity management. In Water Safety, Security and Sustainability: Threat Detection and Mitigation (pp. 443–462). Springer. </w:t>
      </w:r>
      <w:hyperlink r:id="rId19" w:history="1">
        <w:r w:rsidRPr="008066E9">
          <w:rPr>
            <w:rStyle w:val="Hyperlink"/>
            <w:rFonts w:ascii="Times New Roman" w:hAnsi="Times New Roman" w:cs="Times New Roman"/>
            <w:lang w:val="en-US"/>
          </w:rPr>
          <w:t>https://doi.org/10.1007/978-3-030-76008-3_19</w:t>
        </w:r>
      </w:hyperlink>
      <w:r>
        <w:rPr>
          <w:rFonts w:ascii="Times New Roman" w:hAnsi="Times New Roman" w:cs="Times New Roman"/>
          <w:color w:val="auto"/>
          <w:lang w:val="en-US"/>
        </w:rPr>
        <w:t xml:space="preserve"> </w:t>
      </w:r>
    </w:p>
    <w:p w14:paraId="020B6376" w14:textId="6F3B0ADE" w:rsidR="00B41788" w:rsidRPr="00D37315" w:rsidRDefault="003132D6" w:rsidP="003132D6">
      <w:pPr>
        <w:pStyle w:val="ListParagraph"/>
        <w:numPr>
          <w:ilvl w:val="0"/>
          <w:numId w:val="8"/>
        </w:numPr>
        <w:spacing w:after="0" w:line="360" w:lineRule="auto"/>
        <w:jc w:val="both"/>
        <w:rPr>
          <w:rFonts w:ascii="Times New Roman" w:hAnsi="Times New Roman" w:cs="Times New Roman"/>
        </w:rPr>
      </w:pPr>
      <w:proofErr w:type="spellStart"/>
      <w:r w:rsidRPr="003132D6">
        <w:rPr>
          <w:rFonts w:ascii="Times New Roman" w:hAnsi="Times New Roman" w:cs="Times New Roman"/>
          <w:b/>
          <w:bCs/>
          <w:lang w:val="en-US"/>
        </w:rPr>
        <w:t>Bouselsal</w:t>
      </w:r>
      <w:proofErr w:type="spellEnd"/>
      <w:r w:rsidRPr="003132D6">
        <w:rPr>
          <w:rFonts w:ascii="Times New Roman" w:hAnsi="Times New Roman" w:cs="Times New Roman"/>
          <w:b/>
          <w:bCs/>
          <w:lang w:val="en-US"/>
        </w:rPr>
        <w:t xml:space="preserve">, B., &amp; </w:t>
      </w:r>
      <w:proofErr w:type="spellStart"/>
      <w:r w:rsidRPr="003132D6">
        <w:rPr>
          <w:rFonts w:ascii="Times New Roman" w:hAnsi="Times New Roman" w:cs="Times New Roman"/>
          <w:b/>
          <w:bCs/>
          <w:lang w:val="en-US"/>
        </w:rPr>
        <w:t>Zouari</w:t>
      </w:r>
      <w:proofErr w:type="spellEnd"/>
      <w:r w:rsidRPr="003132D6">
        <w:rPr>
          <w:rFonts w:ascii="Times New Roman" w:hAnsi="Times New Roman" w:cs="Times New Roman"/>
          <w:b/>
          <w:bCs/>
          <w:lang w:val="en-US"/>
        </w:rPr>
        <w:t xml:space="preserve">, K. (2022). Identification of groundwater quality and hydrogeochemical processes in the shallow aquifer of El-Oued Algerian Sahara. In New Prospects in Environmental Geosciences and </w:t>
      </w:r>
      <w:proofErr w:type="spellStart"/>
      <w:r w:rsidRPr="003132D6">
        <w:rPr>
          <w:rFonts w:ascii="Times New Roman" w:hAnsi="Times New Roman" w:cs="Times New Roman"/>
          <w:b/>
          <w:bCs/>
          <w:lang w:val="en-US"/>
        </w:rPr>
        <w:t>Hydrogeosciences</w:t>
      </w:r>
      <w:proofErr w:type="spellEnd"/>
      <w:r w:rsidRPr="003132D6">
        <w:rPr>
          <w:rFonts w:ascii="Times New Roman" w:hAnsi="Times New Roman" w:cs="Times New Roman"/>
          <w:b/>
          <w:bCs/>
          <w:lang w:val="en-US"/>
        </w:rPr>
        <w:t xml:space="preserve">: Proceedings of the 2nd Springer Conference of the Arabian Journal of Geosciences CAJG-2, Tunisia 2019 (pp. 579–583). Springer International Publishing. </w:t>
      </w:r>
      <w:hyperlink r:id="rId20" w:history="1">
        <w:r w:rsidRPr="008066E9">
          <w:rPr>
            <w:rStyle w:val="Hyperlink"/>
            <w:rFonts w:ascii="Times New Roman" w:hAnsi="Times New Roman" w:cs="Times New Roman"/>
            <w:b/>
            <w:bCs/>
            <w:lang w:val="en-US"/>
          </w:rPr>
          <w:t>https://doi.org/10.1007/978-3-030-72543-3_130</w:t>
        </w:r>
      </w:hyperlink>
      <w:r>
        <w:rPr>
          <w:rFonts w:ascii="Times New Roman" w:hAnsi="Times New Roman" w:cs="Times New Roman"/>
          <w:b/>
          <w:bCs/>
          <w:lang w:val="en-US"/>
        </w:rPr>
        <w:t xml:space="preserve"> </w:t>
      </w:r>
      <w:r w:rsidR="00B41788" w:rsidRPr="00D37315">
        <w:rPr>
          <w:rFonts w:ascii="Times New Roman" w:hAnsi="Times New Roman" w:cs="Times New Roman"/>
        </w:rPr>
        <w:t xml:space="preserve">  </w:t>
      </w:r>
    </w:p>
    <w:p w14:paraId="56A922CC" w14:textId="285865A3" w:rsidR="00B41788" w:rsidRPr="001E5029" w:rsidRDefault="00F43C07" w:rsidP="00F43C07">
      <w:pPr>
        <w:pStyle w:val="Default"/>
        <w:numPr>
          <w:ilvl w:val="0"/>
          <w:numId w:val="8"/>
        </w:numPr>
        <w:spacing w:line="360" w:lineRule="auto"/>
        <w:jc w:val="both"/>
        <w:rPr>
          <w:rFonts w:ascii="Times New Roman" w:hAnsi="Times New Roman" w:cs="Times New Roman"/>
          <w:color w:val="auto"/>
          <w:lang w:val="en-US"/>
        </w:rPr>
      </w:pPr>
      <w:r w:rsidRPr="00F43C07">
        <w:rPr>
          <w:rFonts w:ascii="Times New Roman" w:hAnsi="Times New Roman" w:cs="Times New Roman"/>
          <w:b/>
          <w:bCs/>
          <w:color w:val="auto"/>
        </w:rPr>
        <w:t xml:space="preserve">Gaillardet, J., Dupré, B., Louvat, P., &amp; Allègre, C. J. (1999). </w:t>
      </w:r>
      <w:r w:rsidRPr="00AD754D">
        <w:rPr>
          <w:rFonts w:ascii="Times New Roman" w:hAnsi="Times New Roman" w:cs="Times New Roman"/>
          <w:b/>
          <w:bCs/>
          <w:color w:val="auto"/>
          <w:lang w:val="en-US"/>
        </w:rPr>
        <w:t xml:space="preserve">Global silicate weathering and CO2 consumption rates deduced from the chemistry of large rivers. </w:t>
      </w:r>
      <w:r w:rsidRPr="00F43C07">
        <w:rPr>
          <w:rFonts w:ascii="Times New Roman" w:hAnsi="Times New Roman" w:cs="Times New Roman"/>
          <w:b/>
          <w:bCs/>
          <w:color w:val="auto"/>
        </w:rPr>
        <w:t xml:space="preserve">Chemical </w:t>
      </w:r>
      <w:proofErr w:type="spellStart"/>
      <w:r w:rsidRPr="00F43C07">
        <w:rPr>
          <w:rFonts w:ascii="Times New Roman" w:hAnsi="Times New Roman" w:cs="Times New Roman"/>
          <w:b/>
          <w:bCs/>
          <w:color w:val="auto"/>
        </w:rPr>
        <w:t>Geology</w:t>
      </w:r>
      <w:proofErr w:type="spellEnd"/>
      <w:r w:rsidRPr="00F43C07">
        <w:rPr>
          <w:rFonts w:ascii="Times New Roman" w:hAnsi="Times New Roman" w:cs="Times New Roman"/>
          <w:b/>
          <w:bCs/>
          <w:color w:val="auto"/>
        </w:rPr>
        <w:t xml:space="preserve">, 159(1–4), 3–30. </w:t>
      </w:r>
      <w:hyperlink r:id="rId21" w:history="1">
        <w:r w:rsidRPr="008066E9">
          <w:rPr>
            <w:rStyle w:val="Hyperlink"/>
            <w:rFonts w:ascii="Times New Roman" w:hAnsi="Times New Roman" w:cs="Times New Roman"/>
            <w:b/>
            <w:bCs/>
          </w:rPr>
          <w:t>https://doi.org/10.1016/S0009-2541(99)00031-5</w:t>
        </w:r>
      </w:hyperlink>
      <w:r>
        <w:rPr>
          <w:rFonts w:ascii="Times New Roman" w:hAnsi="Times New Roman" w:cs="Times New Roman"/>
          <w:b/>
          <w:bCs/>
          <w:color w:val="auto"/>
        </w:rPr>
        <w:t xml:space="preserve"> </w:t>
      </w:r>
    </w:p>
    <w:p w14:paraId="31A8E03D" w14:textId="6CB64B66" w:rsidR="00B41788" w:rsidRPr="00D37315" w:rsidRDefault="008A796F" w:rsidP="008A796F">
      <w:pPr>
        <w:pStyle w:val="ListParagraph"/>
        <w:numPr>
          <w:ilvl w:val="0"/>
          <w:numId w:val="8"/>
        </w:numPr>
        <w:spacing w:after="0" w:line="360" w:lineRule="auto"/>
        <w:jc w:val="both"/>
        <w:rPr>
          <w:rFonts w:ascii="Times New Roman" w:hAnsi="Times New Roman" w:cs="Times New Roman"/>
          <w:lang w:val="en-US"/>
        </w:rPr>
      </w:pPr>
      <w:proofErr w:type="spellStart"/>
      <w:r w:rsidRPr="008A796F">
        <w:rPr>
          <w:rFonts w:ascii="Times New Roman" w:hAnsi="Times New Roman" w:cs="Times New Roman"/>
          <w:b/>
          <w:bCs/>
          <w:lang w:val="en-US"/>
        </w:rPr>
        <w:t>Ghienne</w:t>
      </w:r>
      <w:proofErr w:type="spellEnd"/>
      <w:r w:rsidRPr="008A796F">
        <w:rPr>
          <w:rFonts w:ascii="Times New Roman" w:hAnsi="Times New Roman" w:cs="Times New Roman"/>
          <w:b/>
          <w:bCs/>
          <w:lang w:val="en-US"/>
        </w:rPr>
        <w:t xml:space="preserve">, J. F., Schuster, M., Bernard, A., </w:t>
      </w:r>
      <w:proofErr w:type="spellStart"/>
      <w:r w:rsidRPr="008A796F">
        <w:rPr>
          <w:rFonts w:ascii="Times New Roman" w:hAnsi="Times New Roman" w:cs="Times New Roman"/>
          <w:b/>
          <w:bCs/>
          <w:lang w:val="en-US"/>
        </w:rPr>
        <w:t>Duringer</w:t>
      </w:r>
      <w:proofErr w:type="spellEnd"/>
      <w:r w:rsidRPr="008A796F">
        <w:rPr>
          <w:rFonts w:ascii="Times New Roman" w:hAnsi="Times New Roman" w:cs="Times New Roman"/>
          <w:b/>
          <w:bCs/>
          <w:lang w:val="en-US"/>
        </w:rPr>
        <w:t xml:space="preserve">, P., &amp; Brunet, M. (2002). The Holocene giant Lake Chad revealed by digital elevation models. Quaternary International, 87(1), 81-85. </w:t>
      </w:r>
      <w:hyperlink r:id="rId22" w:history="1">
        <w:r w:rsidRPr="008066E9">
          <w:rPr>
            <w:rStyle w:val="Hyperlink"/>
            <w:rFonts w:ascii="Times New Roman" w:hAnsi="Times New Roman" w:cs="Times New Roman"/>
            <w:b/>
            <w:bCs/>
            <w:lang w:val="en-US"/>
          </w:rPr>
          <w:t>https://doi.org/10.1016/S1040-6182(01)00063-5</w:t>
        </w:r>
      </w:hyperlink>
      <w:r>
        <w:rPr>
          <w:rFonts w:ascii="Times New Roman" w:hAnsi="Times New Roman" w:cs="Times New Roman"/>
          <w:b/>
          <w:bCs/>
          <w:lang w:val="en-US"/>
        </w:rPr>
        <w:t xml:space="preserve"> </w:t>
      </w:r>
    </w:p>
    <w:p w14:paraId="36AF638B" w14:textId="6ACE7767" w:rsidR="00B41788" w:rsidRPr="00D37315" w:rsidRDefault="001A35AF" w:rsidP="001A35AF">
      <w:pPr>
        <w:pStyle w:val="ListParagraph"/>
        <w:numPr>
          <w:ilvl w:val="0"/>
          <w:numId w:val="8"/>
        </w:numPr>
        <w:spacing w:after="0" w:line="360" w:lineRule="auto"/>
        <w:jc w:val="both"/>
        <w:rPr>
          <w:rFonts w:ascii="Times New Roman" w:hAnsi="Times New Roman" w:cs="Times New Roman"/>
          <w:lang w:val="en-US"/>
        </w:rPr>
      </w:pPr>
      <w:r w:rsidRPr="001A35AF">
        <w:rPr>
          <w:rFonts w:ascii="Times New Roman" w:hAnsi="Times New Roman" w:cs="Times New Roman"/>
          <w:b/>
          <w:bCs/>
          <w:lang w:val="en-US"/>
        </w:rPr>
        <w:t xml:space="preserve">Gibbs, R. J. (1970). Mechanisms controlling world water chemistry. Science, 170(3962), 1088–1090. </w:t>
      </w:r>
      <w:hyperlink r:id="rId23" w:history="1">
        <w:r w:rsidRPr="008066E9">
          <w:rPr>
            <w:rStyle w:val="Hyperlink"/>
            <w:rFonts w:ascii="Times New Roman" w:hAnsi="Times New Roman" w:cs="Times New Roman"/>
            <w:b/>
            <w:bCs/>
            <w:lang w:val="en-US"/>
          </w:rPr>
          <w:t>https://doi.org/10.1126/science.170.3962.1088</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p w14:paraId="018AAE1B" w14:textId="3CFFFBB9" w:rsidR="00B41788" w:rsidRPr="001E5029" w:rsidRDefault="001B0EE5" w:rsidP="001B0EE5">
      <w:pPr>
        <w:pStyle w:val="Default"/>
        <w:numPr>
          <w:ilvl w:val="0"/>
          <w:numId w:val="8"/>
        </w:numPr>
        <w:spacing w:line="360" w:lineRule="auto"/>
        <w:jc w:val="both"/>
        <w:rPr>
          <w:rFonts w:ascii="Times New Roman" w:hAnsi="Times New Roman" w:cs="Times New Roman"/>
          <w:color w:val="auto"/>
        </w:rPr>
      </w:pPr>
      <w:proofErr w:type="spellStart"/>
      <w:r w:rsidRPr="001B0EE5">
        <w:rPr>
          <w:rFonts w:ascii="Times New Roman" w:hAnsi="Times New Roman" w:cs="Times New Roman"/>
          <w:b/>
          <w:bCs/>
          <w:color w:val="auto"/>
          <w:lang w:val="en-US"/>
        </w:rPr>
        <w:t>Haddaji</w:t>
      </w:r>
      <w:proofErr w:type="spellEnd"/>
      <w:r w:rsidRPr="001B0EE5">
        <w:rPr>
          <w:rFonts w:ascii="Times New Roman" w:hAnsi="Times New Roman" w:cs="Times New Roman"/>
          <w:b/>
          <w:bCs/>
          <w:color w:val="auto"/>
          <w:lang w:val="en-US"/>
        </w:rPr>
        <w:t xml:space="preserve">, B., </w:t>
      </w:r>
      <w:proofErr w:type="spellStart"/>
      <w:r w:rsidRPr="001B0EE5">
        <w:rPr>
          <w:rFonts w:ascii="Times New Roman" w:hAnsi="Times New Roman" w:cs="Times New Roman"/>
          <w:b/>
          <w:bCs/>
          <w:color w:val="auto"/>
          <w:lang w:val="en-US"/>
        </w:rPr>
        <w:t>Atoui</w:t>
      </w:r>
      <w:proofErr w:type="spellEnd"/>
      <w:r w:rsidRPr="001B0EE5">
        <w:rPr>
          <w:rFonts w:ascii="Times New Roman" w:hAnsi="Times New Roman" w:cs="Times New Roman"/>
          <w:b/>
          <w:bCs/>
          <w:color w:val="auto"/>
          <w:lang w:val="en-US"/>
        </w:rPr>
        <w:t xml:space="preserve">, M., </w:t>
      </w:r>
      <w:proofErr w:type="spellStart"/>
      <w:r w:rsidRPr="001B0EE5">
        <w:rPr>
          <w:rFonts w:ascii="Times New Roman" w:hAnsi="Times New Roman" w:cs="Times New Roman"/>
          <w:b/>
          <w:bCs/>
          <w:color w:val="auto"/>
          <w:lang w:val="en-US"/>
        </w:rPr>
        <w:t>Wederni</w:t>
      </w:r>
      <w:proofErr w:type="spellEnd"/>
      <w:r w:rsidRPr="001B0EE5">
        <w:rPr>
          <w:rFonts w:ascii="Times New Roman" w:hAnsi="Times New Roman" w:cs="Times New Roman"/>
          <w:b/>
          <w:bCs/>
          <w:color w:val="auto"/>
          <w:lang w:val="en-US"/>
        </w:rPr>
        <w:t xml:space="preserve">, K., </w:t>
      </w:r>
      <w:proofErr w:type="spellStart"/>
      <w:r w:rsidRPr="001B0EE5">
        <w:rPr>
          <w:rFonts w:ascii="Times New Roman" w:hAnsi="Times New Roman" w:cs="Times New Roman"/>
          <w:b/>
          <w:bCs/>
          <w:color w:val="auto"/>
          <w:lang w:val="en-US"/>
        </w:rPr>
        <w:t>Agoubi</w:t>
      </w:r>
      <w:proofErr w:type="spellEnd"/>
      <w:r w:rsidRPr="001B0EE5">
        <w:rPr>
          <w:rFonts w:ascii="Times New Roman" w:hAnsi="Times New Roman" w:cs="Times New Roman"/>
          <w:b/>
          <w:bCs/>
          <w:color w:val="auto"/>
          <w:lang w:val="en-US"/>
        </w:rPr>
        <w:t xml:space="preserve">, B., &amp; Karroubi, A. (2024). Geothermal water quality index assessment for irrigation purpose with </w:t>
      </w:r>
      <w:proofErr w:type="spellStart"/>
      <w:r w:rsidRPr="001B0EE5">
        <w:rPr>
          <w:rFonts w:ascii="Times New Roman" w:hAnsi="Times New Roman" w:cs="Times New Roman"/>
          <w:b/>
          <w:bCs/>
          <w:color w:val="auto"/>
          <w:lang w:val="en-US"/>
        </w:rPr>
        <w:t>multicomputing</w:t>
      </w:r>
      <w:proofErr w:type="spellEnd"/>
      <w:r w:rsidRPr="001B0EE5">
        <w:rPr>
          <w:rFonts w:ascii="Times New Roman" w:hAnsi="Times New Roman" w:cs="Times New Roman"/>
          <w:b/>
          <w:bCs/>
          <w:color w:val="auto"/>
          <w:lang w:val="en-US"/>
        </w:rPr>
        <w:t xml:space="preserve"> modeling coupled with GIS: case of El </w:t>
      </w:r>
      <w:proofErr w:type="spellStart"/>
      <w:r w:rsidRPr="001B0EE5">
        <w:rPr>
          <w:rFonts w:ascii="Times New Roman" w:hAnsi="Times New Roman" w:cs="Times New Roman"/>
          <w:b/>
          <w:bCs/>
          <w:color w:val="auto"/>
          <w:lang w:val="en-US"/>
        </w:rPr>
        <w:t>Hamma</w:t>
      </w:r>
      <w:proofErr w:type="spellEnd"/>
      <w:r w:rsidRPr="001B0EE5">
        <w:rPr>
          <w:rFonts w:ascii="Times New Roman" w:hAnsi="Times New Roman" w:cs="Times New Roman"/>
          <w:b/>
          <w:bCs/>
          <w:color w:val="auto"/>
          <w:lang w:val="en-US"/>
        </w:rPr>
        <w:t xml:space="preserve">, Southeastern </w:t>
      </w:r>
      <w:r w:rsidRPr="001B0EE5">
        <w:rPr>
          <w:rFonts w:ascii="Times New Roman" w:hAnsi="Times New Roman" w:cs="Times New Roman"/>
          <w:b/>
          <w:bCs/>
          <w:color w:val="auto"/>
          <w:lang w:val="en-US"/>
        </w:rPr>
        <w:lastRenderedPageBreak/>
        <w:t xml:space="preserve">Tunisia. Water, Air, &amp; Soil Pollution, 235, 160. </w:t>
      </w:r>
      <w:hyperlink r:id="rId24" w:history="1">
        <w:r w:rsidRPr="008066E9">
          <w:rPr>
            <w:rStyle w:val="Hyperlink"/>
            <w:rFonts w:ascii="Times New Roman" w:hAnsi="Times New Roman" w:cs="Times New Roman"/>
            <w:b/>
            <w:bCs/>
            <w:lang w:val="en-US"/>
          </w:rPr>
          <w:t>https://doi.org/10.1007/s11270-024-06961-5</w:t>
        </w:r>
      </w:hyperlink>
      <w:r>
        <w:rPr>
          <w:rFonts w:ascii="Times New Roman" w:hAnsi="Times New Roman" w:cs="Times New Roman"/>
          <w:b/>
          <w:bCs/>
          <w:color w:val="auto"/>
          <w:lang w:val="en-US"/>
        </w:rPr>
        <w:t xml:space="preserve"> </w:t>
      </w:r>
    </w:p>
    <w:p w14:paraId="4045F6C9" w14:textId="137C2E18" w:rsidR="00B41788" w:rsidRPr="00D37315" w:rsidRDefault="00692037" w:rsidP="00692037">
      <w:pPr>
        <w:pStyle w:val="ListParagraph"/>
        <w:numPr>
          <w:ilvl w:val="0"/>
          <w:numId w:val="8"/>
        </w:numPr>
        <w:spacing w:after="0" w:line="360" w:lineRule="auto"/>
        <w:jc w:val="both"/>
        <w:rPr>
          <w:rFonts w:ascii="Times New Roman" w:hAnsi="Times New Roman" w:cs="Times New Roman"/>
          <w:lang w:val="en-US"/>
        </w:rPr>
      </w:pPr>
      <w:r w:rsidRPr="00692037">
        <w:rPr>
          <w:rFonts w:ascii="Times New Roman" w:hAnsi="Times New Roman" w:cs="Times New Roman"/>
          <w:b/>
          <w:bCs/>
          <w:lang w:val="en-US"/>
        </w:rPr>
        <w:t xml:space="preserve">Hammad, N., </w:t>
      </w:r>
      <w:proofErr w:type="spellStart"/>
      <w:r w:rsidRPr="00692037">
        <w:rPr>
          <w:rFonts w:ascii="Times New Roman" w:hAnsi="Times New Roman" w:cs="Times New Roman"/>
          <w:b/>
          <w:bCs/>
          <w:lang w:val="en-US"/>
        </w:rPr>
        <w:t>Bouselsal</w:t>
      </w:r>
      <w:proofErr w:type="spellEnd"/>
      <w:r w:rsidRPr="00692037">
        <w:rPr>
          <w:rFonts w:ascii="Times New Roman" w:hAnsi="Times New Roman" w:cs="Times New Roman"/>
          <w:b/>
          <w:bCs/>
          <w:lang w:val="en-US"/>
        </w:rPr>
        <w:t xml:space="preserve">, B., </w:t>
      </w:r>
      <w:proofErr w:type="spellStart"/>
      <w:r w:rsidRPr="00692037">
        <w:rPr>
          <w:rFonts w:ascii="Times New Roman" w:hAnsi="Times New Roman" w:cs="Times New Roman"/>
          <w:b/>
          <w:bCs/>
          <w:lang w:val="en-US"/>
        </w:rPr>
        <w:t>Boussaada</w:t>
      </w:r>
      <w:proofErr w:type="spellEnd"/>
      <w:r w:rsidRPr="00692037">
        <w:rPr>
          <w:rFonts w:ascii="Times New Roman" w:hAnsi="Times New Roman" w:cs="Times New Roman"/>
          <w:b/>
          <w:bCs/>
          <w:lang w:val="en-US"/>
        </w:rPr>
        <w:t xml:space="preserve">, N., </w:t>
      </w:r>
      <w:proofErr w:type="spellStart"/>
      <w:r w:rsidRPr="00692037">
        <w:rPr>
          <w:rFonts w:ascii="Times New Roman" w:hAnsi="Times New Roman" w:cs="Times New Roman"/>
          <w:b/>
          <w:bCs/>
          <w:lang w:val="en-US"/>
        </w:rPr>
        <w:t>Satouh</w:t>
      </w:r>
      <w:proofErr w:type="spellEnd"/>
      <w:r w:rsidRPr="00692037">
        <w:rPr>
          <w:rFonts w:ascii="Times New Roman" w:hAnsi="Times New Roman" w:cs="Times New Roman"/>
          <w:b/>
          <w:bCs/>
          <w:lang w:val="en-US"/>
        </w:rPr>
        <w:t xml:space="preserve">, A., &amp; </w:t>
      </w:r>
      <w:proofErr w:type="spellStart"/>
      <w:r w:rsidRPr="00692037">
        <w:rPr>
          <w:rFonts w:ascii="Times New Roman" w:hAnsi="Times New Roman" w:cs="Times New Roman"/>
          <w:b/>
          <w:bCs/>
          <w:lang w:val="en-US"/>
        </w:rPr>
        <w:t>Lakhdari</w:t>
      </w:r>
      <w:proofErr w:type="spellEnd"/>
      <w:r w:rsidRPr="00692037">
        <w:rPr>
          <w:rFonts w:ascii="Times New Roman" w:hAnsi="Times New Roman" w:cs="Times New Roman"/>
          <w:b/>
          <w:bCs/>
          <w:lang w:val="en-US"/>
        </w:rPr>
        <w:t xml:space="preserve">, A. S. (2023). Application of Water Quality Index to Assess the Potability of the Phreatic Aquifer in </w:t>
      </w:r>
      <w:proofErr w:type="spellStart"/>
      <w:r w:rsidRPr="00692037">
        <w:rPr>
          <w:rFonts w:ascii="Times New Roman" w:hAnsi="Times New Roman" w:cs="Times New Roman"/>
          <w:b/>
          <w:bCs/>
          <w:lang w:val="en-US"/>
        </w:rPr>
        <w:t>Ouargla</w:t>
      </w:r>
      <w:proofErr w:type="spellEnd"/>
      <w:r w:rsidRPr="00692037">
        <w:rPr>
          <w:rFonts w:ascii="Times New Roman" w:hAnsi="Times New Roman" w:cs="Times New Roman"/>
          <w:b/>
          <w:bCs/>
          <w:lang w:val="en-US"/>
        </w:rPr>
        <w:t xml:space="preserve"> (Algeria). Ecological Engineering &amp; Environmental Technology, 24(5), 36–45. </w:t>
      </w:r>
      <w:hyperlink r:id="rId25" w:history="1">
        <w:r w:rsidRPr="008066E9">
          <w:rPr>
            <w:rStyle w:val="Hyperlink"/>
            <w:rFonts w:ascii="Times New Roman" w:hAnsi="Times New Roman" w:cs="Times New Roman"/>
            <w:b/>
            <w:bCs/>
            <w:lang w:val="en-US"/>
          </w:rPr>
          <w:t>https://doi.org/10.12912/27197050/163122</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p w14:paraId="5719409B"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r w:rsidRPr="00D37315">
        <w:rPr>
          <w:rFonts w:ascii="Times New Roman" w:hAnsi="Times New Roman" w:cs="Times New Roman"/>
          <w:b/>
          <w:bCs/>
          <w:lang w:val="en-US"/>
        </w:rPr>
        <w:t xml:space="preserve">Han, E., </w:t>
      </w:r>
      <w:proofErr w:type="spellStart"/>
      <w:r w:rsidRPr="00D37315">
        <w:rPr>
          <w:rFonts w:ascii="Times New Roman" w:hAnsi="Times New Roman" w:cs="Times New Roman"/>
          <w:b/>
          <w:bCs/>
          <w:lang w:val="en-US"/>
        </w:rPr>
        <w:t>DeVeaux</w:t>
      </w:r>
      <w:proofErr w:type="spellEnd"/>
      <w:r w:rsidRPr="00D37315">
        <w:rPr>
          <w:rFonts w:ascii="Times New Roman" w:hAnsi="Times New Roman" w:cs="Times New Roman"/>
          <w:b/>
          <w:bCs/>
          <w:lang w:val="en-US"/>
        </w:rPr>
        <w:t xml:space="preserve">, C., Hancock, J.T., Ram, N., Harari, G.M., &amp; </w:t>
      </w:r>
      <w:proofErr w:type="spellStart"/>
      <w:r w:rsidRPr="00D37315">
        <w:rPr>
          <w:rFonts w:ascii="Times New Roman" w:hAnsi="Times New Roman" w:cs="Times New Roman"/>
          <w:b/>
          <w:bCs/>
          <w:lang w:val="en-US"/>
        </w:rPr>
        <w:t>Bailenson</w:t>
      </w:r>
      <w:proofErr w:type="spellEnd"/>
      <w:r w:rsidRPr="00D37315">
        <w:rPr>
          <w:rFonts w:ascii="Times New Roman" w:hAnsi="Times New Roman" w:cs="Times New Roman"/>
          <w:b/>
          <w:bCs/>
          <w:lang w:val="en-US"/>
        </w:rPr>
        <w:t>, J. (2024</w:t>
      </w:r>
      <w:r w:rsidRPr="00D37315">
        <w:rPr>
          <w:rFonts w:ascii="Times New Roman" w:hAnsi="Times New Roman" w:cs="Times New Roman"/>
          <w:lang w:val="en-US"/>
        </w:rPr>
        <w:t xml:space="preserve">). The influence of spatial dimensions of virtual environments on attitudes and nonverbal </w:t>
      </w:r>
      <w:proofErr w:type="spellStart"/>
      <w:r w:rsidRPr="00D37315">
        <w:rPr>
          <w:rFonts w:ascii="Times New Roman" w:hAnsi="Times New Roman" w:cs="Times New Roman"/>
          <w:lang w:val="en-US"/>
        </w:rPr>
        <w:t>behaviours</w:t>
      </w:r>
      <w:proofErr w:type="spellEnd"/>
      <w:r w:rsidRPr="00D37315">
        <w:rPr>
          <w:rFonts w:ascii="Times New Roman" w:hAnsi="Times New Roman" w:cs="Times New Roman"/>
          <w:lang w:val="en-US"/>
        </w:rPr>
        <w:t xml:space="preserve"> during social interactions. Journal of Environmental Psychology, 95, 102269. https://doi.org/10.1016/j.jenvp.2024.102269</w:t>
      </w:r>
    </w:p>
    <w:p w14:paraId="7ED05977" w14:textId="34455AF4" w:rsidR="00B41788" w:rsidRPr="001E5029" w:rsidRDefault="00E43434" w:rsidP="00E43434">
      <w:pPr>
        <w:pStyle w:val="Default"/>
        <w:numPr>
          <w:ilvl w:val="0"/>
          <w:numId w:val="8"/>
        </w:numPr>
        <w:spacing w:line="360" w:lineRule="auto"/>
        <w:jc w:val="both"/>
        <w:rPr>
          <w:rFonts w:ascii="Times New Roman" w:hAnsi="Times New Roman" w:cs="Times New Roman"/>
          <w:color w:val="auto"/>
          <w:lang w:val="en-US"/>
        </w:rPr>
      </w:pPr>
      <w:r w:rsidRPr="00E43434">
        <w:rPr>
          <w:rFonts w:ascii="Times New Roman" w:hAnsi="Times New Roman" w:cs="Times New Roman"/>
          <w:b/>
          <w:bCs/>
          <w:color w:val="auto"/>
          <w:lang w:val="en-US"/>
        </w:rPr>
        <w:t xml:space="preserve">Hem, J. D. (1985). Study and interpretation of the chemical characteristics of natural water (3rd ed.). U.S. Geological Survey, Water Supply Paper 2254. </w:t>
      </w:r>
      <w:hyperlink r:id="rId26" w:history="1">
        <w:r w:rsidRPr="008066E9">
          <w:rPr>
            <w:rStyle w:val="Hyperlink"/>
            <w:rFonts w:ascii="Times New Roman" w:hAnsi="Times New Roman" w:cs="Times New Roman"/>
            <w:b/>
            <w:bCs/>
            <w:lang w:val="en-US"/>
          </w:rPr>
          <w:t>http://pubsdata.usgs.gov/pubs/wsp/wsp2254/html/pdf.html</w:t>
        </w:r>
      </w:hyperlink>
      <w:r>
        <w:rPr>
          <w:rFonts w:ascii="Times New Roman" w:hAnsi="Times New Roman" w:cs="Times New Roman"/>
          <w:b/>
          <w:bCs/>
          <w:color w:val="auto"/>
          <w:lang w:val="en-US"/>
        </w:rPr>
        <w:t xml:space="preserve"> </w:t>
      </w:r>
      <w:r w:rsidR="00B41788" w:rsidRPr="001E5029">
        <w:rPr>
          <w:rFonts w:ascii="Times New Roman" w:hAnsi="Times New Roman" w:cs="Times New Roman"/>
          <w:color w:val="auto"/>
          <w:lang w:val="en-US"/>
        </w:rPr>
        <w:t>.</w:t>
      </w:r>
    </w:p>
    <w:p w14:paraId="1A051E4C" w14:textId="617D2E71" w:rsidR="00B41788" w:rsidRPr="00D37315" w:rsidRDefault="00D012CC" w:rsidP="00D012CC">
      <w:pPr>
        <w:pStyle w:val="ListParagraph"/>
        <w:numPr>
          <w:ilvl w:val="0"/>
          <w:numId w:val="8"/>
        </w:numPr>
        <w:spacing w:after="0" w:line="360" w:lineRule="auto"/>
        <w:jc w:val="both"/>
        <w:rPr>
          <w:rFonts w:ascii="Times New Roman" w:hAnsi="Times New Roman" w:cs="Times New Roman"/>
          <w:lang w:val="en-US"/>
        </w:rPr>
      </w:pPr>
      <w:proofErr w:type="spellStart"/>
      <w:r w:rsidRPr="00D012CC">
        <w:rPr>
          <w:rFonts w:ascii="Times New Roman" w:hAnsi="Times New Roman" w:cs="Times New Roman"/>
          <w:b/>
          <w:bCs/>
          <w:lang w:val="en-US"/>
        </w:rPr>
        <w:t>Seeber</w:t>
      </w:r>
      <w:proofErr w:type="spellEnd"/>
      <w:r w:rsidRPr="00D012CC">
        <w:rPr>
          <w:rFonts w:ascii="Times New Roman" w:hAnsi="Times New Roman" w:cs="Times New Roman"/>
          <w:b/>
          <w:bCs/>
          <w:lang w:val="en-US"/>
        </w:rPr>
        <w:t xml:space="preserve">, I., Maier, R., &amp; Weber, B. (2013). </w:t>
      </w:r>
      <w:proofErr w:type="spellStart"/>
      <w:r w:rsidRPr="00D012CC">
        <w:rPr>
          <w:rFonts w:ascii="Times New Roman" w:hAnsi="Times New Roman" w:cs="Times New Roman"/>
          <w:b/>
          <w:bCs/>
          <w:lang w:val="en-US"/>
        </w:rPr>
        <w:t>Macrocognition</w:t>
      </w:r>
      <w:proofErr w:type="spellEnd"/>
      <w:r w:rsidRPr="00D012CC">
        <w:rPr>
          <w:rFonts w:ascii="Times New Roman" w:hAnsi="Times New Roman" w:cs="Times New Roman"/>
          <w:b/>
          <w:bCs/>
          <w:lang w:val="en-US"/>
        </w:rPr>
        <w:t xml:space="preserve"> in collaboration: Analyzing processes of team knowledge building with </w:t>
      </w:r>
      <w:proofErr w:type="spellStart"/>
      <w:r w:rsidRPr="00D012CC">
        <w:rPr>
          <w:rFonts w:ascii="Times New Roman" w:hAnsi="Times New Roman" w:cs="Times New Roman"/>
          <w:b/>
          <w:bCs/>
          <w:lang w:val="en-US"/>
        </w:rPr>
        <w:t>CoPrA</w:t>
      </w:r>
      <w:proofErr w:type="spellEnd"/>
      <w:r w:rsidRPr="00D012CC">
        <w:rPr>
          <w:rFonts w:ascii="Times New Roman" w:hAnsi="Times New Roman" w:cs="Times New Roman"/>
          <w:b/>
          <w:bCs/>
          <w:lang w:val="en-US"/>
        </w:rPr>
        <w:t xml:space="preserve">. Group Decision and Negotiation, 22(5), 915-942. </w:t>
      </w:r>
      <w:hyperlink r:id="rId27" w:history="1">
        <w:r w:rsidRPr="008066E9">
          <w:rPr>
            <w:rStyle w:val="Hyperlink"/>
            <w:rFonts w:ascii="Times New Roman" w:hAnsi="Times New Roman" w:cs="Times New Roman"/>
            <w:b/>
            <w:bCs/>
            <w:lang w:val="en-US"/>
          </w:rPr>
          <w:t>https://doi.org/10.1007/s10726-012-9337-z</w:t>
        </w:r>
      </w:hyperlink>
      <w:r>
        <w:rPr>
          <w:rFonts w:ascii="Times New Roman" w:hAnsi="Times New Roman" w:cs="Times New Roman"/>
          <w:b/>
          <w:bCs/>
          <w:lang w:val="en-US"/>
        </w:rPr>
        <w:t xml:space="preserve"> </w:t>
      </w:r>
    </w:p>
    <w:p w14:paraId="51680B05" w14:textId="1694294A" w:rsidR="00B41788" w:rsidRPr="00D37315" w:rsidRDefault="006D10A1" w:rsidP="006D10A1">
      <w:pPr>
        <w:pStyle w:val="ListParagraph"/>
        <w:numPr>
          <w:ilvl w:val="0"/>
          <w:numId w:val="8"/>
        </w:numPr>
        <w:spacing w:after="0" w:line="360" w:lineRule="auto"/>
        <w:jc w:val="both"/>
        <w:rPr>
          <w:rFonts w:ascii="Times New Roman" w:hAnsi="Times New Roman" w:cs="Times New Roman"/>
          <w:lang w:val="en-US"/>
        </w:rPr>
      </w:pPr>
      <w:proofErr w:type="spellStart"/>
      <w:r w:rsidRPr="00AD754D">
        <w:rPr>
          <w:rFonts w:ascii="Times New Roman" w:hAnsi="Times New Roman" w:cs="Times New Roman"/>
          <w:b/>
          <w:bCs/>
          <w:lang w:val="fr-FR"/>
        </w:rPr>
        <w:t>Kusnir</w:t>
      </w:r>
      <w:proofErr w:type="spellEnd"/>
      <w:r w:rsidRPr="00AD754D">
        <w:rPr>
          <w:rFonts w:ascii="Times New Roman" w:hAnsi="Times New Roman" w:cs="Times New Roman"/>
          <w:b/>
          <w:bCs/>
          <w:lang w:val="fr-FR"/>
        </w:rPr>
        <w:t xml:space="preserve">, I., &amp; </w:t>
      </w:r>
      <w:proofErr w:type="spellStart"/>
      <w:r w:rsidRPr="00AD754D">
        <w:rPr>
          <w:rFonts w:ascii="Times New Roman" w:hAnsi="Times New Roman" w:cs="Times New Roman"/>
          <w:b/>
          <w:bCs/>
          <w:lang w:val="fr-FR"/>
        </w:rPr>
        <w:t>Moutaye</w:t>
      </w:r>
      <w:proofErr w:type="spellEnd"/>
      <w:r w:rsidRPr="00AD754D">
        <w:rPr>
          <w:rFonts w:ascii="Times New Roman" w:hAnsi="Times New Roman" w:cs="Times New Roman"/>
          <w:b/>
          <w:bCs/>
          <w:lang w:val="fr-FR"/>
        </w:rPr>
        <w:t xml:space="preserve">, H. A. (1997). Ressources minérales du </w:t>
      </w:r>
      <w:proofErr w:type="gramStart"/>
      <w:r w:rsidRPr="00AD754D">
        <w:rPr>
          <w:rFonts w:ascii="Times New Roman" w:hAnsi="Times New Roman" w:cs="Times New Roman"/>
          <w:b/>
          <w:bCs/>
          <w:lang w:val="fr-FR"/>
        </w:rPr>
        <w:t>Tchad:</w:t>
      </w:r>
      <w:proofErr w:type="gramEnd"/>
      <w:r w:rsidRPr="00AD754D">
        <w:rPr>
          <w:rFonts w:ascii="Times New Roman" w:hAnsi="Times New Roman" w:cs="Times New Roman"/>
          <w:b/>
          <w:bCs/>
          <w:lang w:val="fr-FR"/>
        </w:rPr>
        <w:t xml:space="preserve"> Une revue. </w:t>
      </w:r>
      <w:r w:rsidRPr="006D10A1">
        <w:rPr>
          <w:rFonts w:ascii="Times New Roman" w:hAnsi="Times New Roman" w:cs="Times New Roman"/>
          <w:b/>
          <w:bCs/>
        </w:rPr>
        <w:t xml:space="preserve">Journal of African Earth Sciences, 24(4), 549-562. </w:t>
      </w:r>
      <w:hyperlink r:id="rId28" w:history="1">
        <w:r w:rsidRPr="008066E9">
          <w:rPr>
            <w:rStyle w:val="Hyperlink"/>
            <w:rFonts w:ascii="Times New Roman" w:hAnsi="Times New Roman" w:cs="Times New Roman"/>
            <w:b/>
            <w:bCs/>
          </w:rPr>
          <w:t>https://doi.org/10.1016/S0899-5362(97)00080-8</w:t>
        </w:r>
      </w:hyperlink>
      <w:r>
        <w:rPr>
          <w:rFonts w:ascii="Times New Roman" w:hAnsi="Times New Roman" w:cs="Times New Roman"/>
          <w:b/>
          <w:bCs/>
        </w:rPr>
        <w:t xml:space="preserve"> </w:t>
      </w:r>
    </w:p>
    <w:p w14:paraId="1F7BAE9D" w14:textId="53D15652" w:rsidR="00B41788" w:rsidRPr="00D37315" w:rsidRDefault="003C04C4" w:rsidP="003C04C4">
      <w:pPr>
        <w:pStyle w:val="ListParagraph"/>
        <w:numPr>
          <w:ilvl w:val="0"/>
          <w:numId w:val="8"/>
        </w:numPr>
        <w:spacing w:after="0" w:line="360" w:lineRule="auto"/>
        <w:jc w:val="both"/>
        <w:rPr>
          <w:rFonts w:ascii="Times New Roman" w:hAnsi="Times New Roman" w:cs="Times New Roman"/>
        </w:rPr>
      </w:pPr>
      <w:proofErr w:type="spellStart"/>
      <w:r w:rsidRPr="00AD754D">
        <w:rPr>
          <w:rFonts w:ascii="Times New Roman" w:hAnsi="Times New Roman" w:cs="Times New Roman"/>
          <w:b/>
          <w:bCs/>
          <w:lang w:val="fr-FR"/>
        </w:rPr>
        <w:t>Maglione</w:t>
      </w:r>
      <w:proofErr w:type="spellEnd"/>
      <w:r w:rsidRPr="00AD754D">
        <w:rPr>
          <w:rFonts w:ascii="Times New Roman" w:hAnsi="Times New Roman" w:cs="Times New Roman"/>
          <w:b/>
          <w:bCs/>
          <w:lang w:val="fr-FR"/>
        </w:rPr>
        <w:t xml:space="preserve">, G. (1968). Présence de gaylussite et de trona dans les « </w:t>
      </w:r>
      <w:proofErr w:type="spellStart"/>
      <w:r w:rsidRPr="00AD754D">
        <w:rPr>
          <w:rFonts w:ascii="Times New Roman" w:hAnsi="Times New Roman" w:cs="Times New Roman"/>
          <w:b/>
          <w:bCs/>
          <w:lang w:val="fr-FR"/>
        </w:rPr>
        <w:t>natronières</w:t>
      </w:r>
      <w:proofErr w:type="spellEnd"/>
      <w:r w:rsidRPr="00AD754D">
        <w:rPr>
          <w:rFonts w:ascii="Times New Roman" w:hAnsi="Times New Roman" w:cs="Times New Roman"/>
          <w:b/>
          <w:bCs/>
          <w:lang w:val="fr-FR"/>
        </w:rPr>
        <w:t xml:space="preserve"> » du Kanem (pourtour nord-est du lac Tchad). </w:t>
      </w:r>
      <w:r w:rsidRPr="003C04C4">
        <w:rPr>
          <w:rFonts w:ascii="Times New Roman" w:hAnsi="Times New Roman" w:cs="Times New Roman"/>
          <w:b/>
          <w:bCs/>
          <w:lang w:val="en-US"/>
        </w:rPr>
        <w:t xml:space="preserve">Bulletin de </w:t>
      </w:r>
      <w:proofErr w:type="spellStart"/>
      <w:r w:rsidRPr="003C04C4">
        <w:rPr>
          <w:rFonts w:ascii="Times New Roman" w:hAnsi="Times New Roman" w:cs="Times New Roman"/>
          <w:b/>
          <w:bCs/>
          <w:lang w:val="en-US"/>
        </w:rPr>
        <w:t>Minéralogie</w:t>
      </w:r>
      <w:proofErr w:type="spellEnd"/>
      <w:r w:rsidRPr="003C04C4">
        <w:rPr>
          <w:rFonts w:ascii="Times New Roman" w:hAnsi="Times New Roman" w:cs="Times New Roman"/>
          <w:b/>
          <w:bCs/>
          <w:lang w:val="en-US"/>
        </w:rPr>
        <w:t xml:space="preserve">. </w:t>
      </w:r>
      <w:hyperlink r:id="rId29" w:history="1">
        <w:r w:rsidRPr="008066E9">
          <w:rPr>
            <w:rStyle w:val="Hyperlink"/>
            <w:rFonts w:ascii="Times New Roman" w:hAnsi="Times New Roman" w:cs="Times New Roman"/>
            <w:b/>
            <w:bCs/>
            <w:lang w:val="en-US"/>
          </w:rPr>
          <w:t>https://doi.org/10.3406/bulmi.1968.6245</w:t>
        </w:r>
      </w:hyperlink>
      <w:r>
        <w:rPr>
          <w:rFonts w:ascii="Times New Roman" w:hAnsi="Times New Roman" w:cs="Times New Roman"/>
          <w:b/>
          <w:bCs/>
          <w:lang w:val="en-US"/>
        </w:rPr>
        <w:t xml:space="preserve"> </w:t>
      </w:r>
      <w:r w:rsidR="00B41788" w:rsidRPr="00D37315">
        <w:rPr>
          <w:rFonts w:ascii="Times New Roman" w:hAnsi="Times New Roman" w:cs="Times New Roman"/>
        </w:rPr>
        <w:t xml:space="preserve"> </w:t>
      </w:r>
    </w:p>
    <w:p w14:paraId="66E670CF" w14:textId="57E42554" w:rsidR="00B41788" w:rsidRPr="00D37315" w:rsidRDefault="00FF5FC2" w:rsidP="00FF5FC2">
      <w:pPr>
        <w:pStyle w:val="ListParagraph"/>
        <w:numPr>
          <w:ilvl w:val="0"/>
          <w:numId w:val="8"/>
        </w:numPr>
        <w:spacing w:after="0" w:line="360" w:lineRule="auto"/>
        <w:jc w:val="both"/>
        <w:rPr>
          <w:rFonts w:ascii="Times New Roman" w:hAnsi="Times New Roman" w:cs="Times New Roman"/>
          <w:lang w:val="en-US"/>
        </w:rPr>
      </w:pPr>
      <w:r w:rsidRPr="00FF5FC2">
        <w:rPr>
          <w:rFonts w:ascii="Times New Roman" w:hAnsi="Times New Roman" w:cs="Times New Roman"/>
          <w:b/>
          <w:bCs/>
          <w:lang w:val="en-US"/>
        </w:rPr>
        <w:t>Moreno Merino, L., Aguilera, H., González-Jiménez, M., &amp; Díaz-</w:t>
      </w:r>
      <w:proofErr w:type="spellStart"/>
      <w:r w:rsidRPr="00FF5FC2">
        <w:rPr>
          <w:rFonts w:ascii="Times New Roman" w:hAnsi="Times New Roman" w:cs="Times New Roman"/>
          <w:b/>
          <w:bCs/>
          <w:lang w:val="en-US"/>
        </w:rPr>
        <w:t>Losada</w:t>
      </w:r>
      <w:proofErr w:type="spellEnd"/>
      <w:r w:rsidRPr="00FF5FC2">
        <w:rPr>
          <w:rFonts w:ascii="Times New Roman" w:hAnsi="Times New Roman" w:cs="Times New Roman"/>
          <w:b/>
          <w:bCs/>
          <w:lang w:val="en-US"/>
        </w:rPr>
        <w:t xml:space="preserve">, E. (2021). D-Piper, a modified Piper diagram to represent big sets of </w:t>
      </w:r>
      <w:proofErr w:type="spellStart"/>
      <w:r w:rsidRPr="00FF5FC2">
        <w:rPr>
          <w:rFonts w:ascii="Times New Roman" w:hAnsi="Times New Roman" w:cs="Times New Roman"/>
          <w:b/>
          <w:bCs/>
          <w:lang w:val="en-US"/>
        </w:rPr>
        <w:t>hydrochemical</w:t>
      </w:r>
      <w:proofErr w:type="spellEnd"/>
      <w:r w:rsidRPr="00FF5FC2">
        <w:rPr>
          <w:rFonts w:ascii="Times New Roman" w:hAnsi="Times New Roman" w:cs="Times New Roman"/>
          <w:b/>
          <w:bCs/>
          <w:lang w:val="en-US"/>
        </w:rPr>
        <w:t xml:space="preserve"> analyses. Environmental Modelling &amp; Software. </w:t>
      </w:r>
      <w:hyperlink r:id="rId30" w:history="1">
        <w:r w:rsidRPr="008066E9">
          <w:rPr>
            <w:rStyle w:val="Hyperlink"/>
            <w:rFonts w:ascii="Times New Roman" w:hAnsi="Times New Roman" w:cs="Times New Roman"/>
            <w:b/>
            <w:bCs/>
            <w:lang w:val="en-US"/>
          </w:rPr>
          <w:t>https://doi.org/10.1016/j.envsoft.2021.104979</w:t>
        </w:r>
      </w:hyperlink>
      <w:r>
        <w:rPr>
          <w:rFonts w:ascii="Times New Roman" w:hAnsi="Times New Roman" w:cs="Times New Roman"/>
          <w:b/>
          <w:bCs/>
          <w:lang w:val="en-US"/>
        </w:rPr>
        <w:t xml:space="preserve"> </w:t>
      </w:r>
    </w:p>
    <w:p w14:paraId="3182A2BF" w14:textId="042BF119" w:rsidR="00B41788" w:rsidRPr="00D37315" w:rsidRDefault="0092572D" w:rsidP="0092572D">
      <w:pPr>
        <w:pStyle w:val="ListParagraph"/>
        <w:numPr>
          <w:ilvl w:val="0"/>
          <w:numId w:val="8"/>
        </w:numPr>
        <w:spacing w:after="0" w:line="360" w:lineRule="auto"/>
        <w:jc w:val="both"/>
        <w:rPr>
          <w:rFonts w:ascii="Times New Roman" w:hAnsi="Times New Roman" w:cs="Times New Roman"/>
          <w:lang w:val="en-US"/>
        </w:rPr>
      </w:pPr>
      <w:r w:rsidRPr="00AD754D">
        <w:rPr>
          <w:rFonts w:ascii="Times New Roman" w:hAnsi="Times New Roman" w:cs="Times New Roman"/>
          <w:b/>
          <w:bCs/>
          <w:lang w:val="fr-FR"/>
        </w:rPr>
        <w:t xml:space="preserve">Moussa, A., </w:t>
      </w:r>
      <w:proofErr w:type="spellStart"/>
      <w:r w:rsidRPr="00AD754D">
        <w:rPr>
          <w:rFonts w:ascii="Times New Roman" w:hAnsi="Times New Roman" w:cs="Times New Roman"/>
          <w:b/>
          <w:bCs/>
          <w:lang w:val="fr-FR"/>
        </w:rPr>
        <w:t>Novello</w:t>
      </w:r>
      <w:proofErr w:type="spellEnd"/>
      <w:r w:rsidRPr="00AD754D">
        <w:rPr>
          <w:rFonts w:ascii="Times New Roman" w:hAnsi="Times New Roman" w:cs="Times New Roman"/>
          <w:b/>
          <w:bCs/>
          <w:lang w:val="fr-FR"/>
        </w:rPr>
        <w:t xml:space="preserve">, A., </w:t>
      </w:r>
      <w:proofErr w:type="spellStart"/>
      <w:r w:rsidRPr="00AD754D">
        <w:rPr>
          <w:rFonts w:ascii="Times New Roman" w:hAnsi="Times New Roman" w:cs="Times New Roman"/>
          <w:b/>
          <w:bCs/>
          <w:lang w:val="fr-FR"/>
        </w:rPr>
        <w:t>Lebatard</w:t>
      </w:r>
      <w:proofErr w:type="spellEnd"/>
      <w:r w:rsidRPr="00AD754D">
        <w:rPr>
          <w:rFonts w:ascii="Times New Roman" w:hAnsi="Times New Roman" w:cs="Times New Roman"/>
          <w:b/>
          <w:bCs/>
          <w:lang w:val="fr-FR"/>
        </w:rPr>
        <w:t xml:space="preserve">, A.-E., </w:t>
      </w:r>
      <w:proofErr w:type="spellStart"/>
      <w:r w:rsidRPr="00AD754D">
        <w:rPr>
          <w:rFonts w:ascii="Times New Roman" w:hAnsi="Times New Roman" w:cs="Times New Roman"/>
          <w:b/>
          <w:bCs/>
          <w:lang w:val="fr-FR"/>
        </w:rPr>
        <w:t>Decarreau</w:t>
      </w:r>
      <w:proofErr w:type="spellEnd"/>
      <w:r w:rsidRPr="00AD754D">
        <w:rPr>
          <w:rFonts w:ascii="Times New Roman" w:hAnsi="Times New Roman" w:cs="Times New Roman"/>
          <w:b/>
          <w:bCs/>
          <w:lang w:val="fr-FR"/>
        </w:rPr>
        <w:t xml:space="preserve">, A., Fontaine, C., </w:t>
      </w:r>
      <w:proofErr w:type="spellStart"/>
      <w:r w:rsidRPr="00AD754D">
        <w:rPr>
          <w:rFonts w:ascii="Times New Roman" w:hAnsi="Times New Roman" w:cs="Times New Roman"/>
          <w:b/>
          <w:bCs/>
          <w:lang w:val="fr-FR"/>
        </w:rPr>
        <w:t>Barboni</w:t>
      </w:r>
      <w:proofErr w:type="spellEnd"/>
      <w:r w:rsidRPr="00AD754D">
        <w:rPr>
          <w:rFonts w:ascii="Times New Roman" w:hAnsi="Times New Roman" w:cs="Times New Roman"/>
          <w:b/>
          <w:bCs/>
          <w:lang w:val="fr-FR"/>
        </w:rPr>
        <w:t xml:space="preserve">, D., Sylvestre, F., </w:t>
      </w:r>
      <w:proofErr w:type="spellStart"/>
      <w:r w:rsidRPr="00AD754D">
        <w:rPr>
          <w:rFonts w:ascii="Times New Roman" w:hAnsi="Times New Roman" w:cs="Times New Roman"/>
          <w:b/>
          <w:bCs/>
          <w:lang w:val="fr-FR"/>
        </w:rPr>
        <w:t>Bourlès</w:t>
      </w:r>
      <w:proofErr w:type="spellEnd"/>
      <w:r w:rsidRPr="00AD754D">
        <w:rPr>
          <w:rFonts w:ascii="Times New Roman" w:hAnsi="Times New Roman" w:cs="Times New Roman"/>
          <w:b/>
          <w:bCs/>
          <w:lang w:val="fr-FR"/>
        </w:rPr>
        <w:t xml:space="preserve">, D. L., </w:t>
      </w:r>
      <w:proofErr w:type="spellStart"/>
      <w:r w:rsidRPr="00AD754D">
        <w:rPr>
          <w:rFonts w:ascii="Times New Roman" w:hAnsi="Times New Roman" w:cs="Times New Roman"/>
          <w:b/>
          <w:bCs/>
          <w:lang w:val="fr-FR"/>
        </w:rPr>
        <w:t>Paillès</w:t>
      </w:r>
      <w:proofErr w:type="spellEnd"/>
      <w:r w:rsidRPr="00AD754D">
        <w:rPr>
          <w:rFonts w:ascii="Times New Roman" w:hAnsi="Times New Roman" w:cs="Times New Roman"/>
          <w:b/>
          <w:bCs/>
          <w:lang w:val="fr-FR"/>
        </w:rPr>
        <w:t xml:space="preserve">, C., Buchet, G., </w:t>
      </w:r>
      <w:proofErr w:type="spellStart"/>
      <w:r w:rsidRPr="00AD754D">
        <w:rPr>
          <w:rFonts w:ascii="Times New Roman" w:hAnsi="Times New Roman" w:cs="Times New Roman"/>
          <w:b/>
          <w:bCs/>
          <w:lang w:val="fr-FR"/>
        </w:rPr>
        <w:t>Duringer</w:t>
      </w:r>
      <w:proofErr w:type="spellEnd"/>
      <w:r w:rsidRPr="00AD754D">
        <w:rPr>
          <w:rFonts w:ascii="Times New Roman" w:hAnsi="Times New Roman" w:cs="Times New Roman"/>
          <w:b/>
          <w:bCs/>
          <w:lang w:val="fr-FR"/>
        </w:rPr>
        <w:t xml:space="preserve">, P., </w:t>
      </w:r>
      <w:proofErr w:type="spellStart"/>
      <w:r w:rsidRPr="00AD754D">
        <w:rPr>
          <w:rFonts w:ascii="Times New Roman" w:hAnsi="Times New Roman" w:cs="Times New Roman"/>
          <w:b/>
          <w:bCs/>
          <w:lang w:val="fr-FR"/>
        </w:rPr>
        <w:t>Ghienne</w:t>
      </w:r>
      <w:proofErr w:type="spellEnd"/>
      <w:r w:rsidRPr="00AD754D">
        <w:rPr>
          <w:rFonts w:ascii="Times New Roman" w:hAnsi="Times New Roman" w:cs="Times New Roman"/>
          <w:b/>
          <w:bCs/>
          <w:lang w:val="fr-FR"/>
        </w:rPr>
        <w:t xml:space="preserve">, J.-F., </w:t>
      </w:r>
      <w:proofErr w:type="spellStart"/>
      <w:r w:rsidRPr="00AD754D">
        <w:rPr>
          <w:rFonts w:ascii="Times New Roman" w:hAnsi="Times New Roman" w:cs="Times New Roman"/>
          <w:b/>
          <w:bCs/>
          <w:lang w:val="fr-FR"/>
        </w:rPr>
        <w:t>Maley</w:t>
      </w:r>
      <w:proofErr w:type="spellEnd"/>
      <w:r w:rsidRPr="00AD754D">
        <w:rPr>
          <w:rFonts w:ascii="Times New Roman" w:hAnsi="Times New Roman" w:cs="Times New Roman"/>
          <w:b/>
          <w:bCs/>
          <w:lang w:val="fr-FR"/>
        </w:rPr>
        <w:t xml:space="preserve">, J., </w:t>
      </w:r>
      <w:proofErr w:type="spellStart"/>
      <w:r w:rsidRPr="00AD754D">
        <w:rPr>
          <w:rFonts w:ascii="Times New Roman" w:hAnsi="Times New Roman" w:cs="Times New Roman"/>
          <w:b/>
          <w:bCs/>
          <w:lang w:val="fr-FR"/>
        </w:rPr>
        <w:t>Mazur</w:t>
      </w:r>
      <w:proofErr w:type="spellEnd"/>
      <w:r w:rsidRPr="00AD754D">
        <w:rPr>
          <w:rFonts w:ascii="Times New Roman" w:hAnsi="Times New Roman" w:cs="Times New Roman"/>
          <w:b/>
          <w:bCs/>
          <w:lang w:val="fr-FR"/>
        </w:rPr>
        <w:t xml:space="preserve">, J.-C., </w:t>
      </w:r>
      <w:proofErr w:type="spellStart"/>
      <w:r w:rsidRPr="00AD754D">
        <w:rPr>
          <w:rFonts w:ascii="Times New Roman" w:hAnsi="Times New Roman" w:cs="Times New Roman"/>
          <w:b/>
          <w:bCs/>
          <w:lang w:val="fr-FR"/>
        </w:rPr>
        <w:t>Roquin</w:t>
      </w:r>
      <w:proofErr w:type="spellEnd"/>
      <w:r w:rsidRPr="00AD754D">
        <w:rPr>
          <w:rFonts w:ascii="Times New Roman" w:hAnsi="Times New Roman" w:cs="Times New Roman"/>
          <w:b/>
          <w:bCs/>
          <w:lang w:val="fr-FR"/>
        </w:rPr>
        <w:t xml:space="preserve">, C., Schuster, M., Vignaud, P., &amp; Brunet, M. (2016). </w:t>
      </w:r>
      <w:r w:rsidRPr="0092572D">
        <w:rPr>
          <w:rFonts w:ascii="Times New Roman" w:hAnsi="Times New Roman" w:cs="Times New Roman"/>
          <w:b/>
          <w:bCs/>
          <w:lang w:val="en-US"/>
        </w:rPr>
        <w:t xml:space="preserve">Lake Chad sedimentation and environments during the late Miocene and Pliocene: New evidence from mineralogy and chemistry of the </w:t>
      </w:r>
      <w:proofErr w:type="spellStart"/>
      <w:r w:rsidRPr="0092572D">
        <w:rPr>
          <w:rFonts w:ascii="Times New Roman" w:hAnsi="Times New Roman" w:cs="Times New Roman"/>
          <w:b/>
          <w:bCs/>
          <w:lang w:val="en-US"/>
        </w:rPr>
        <w:t>Bol</w:t>
      </w:r>
      <w:proofErr w:type="spellEnd"/>
      <w:r w:rsidRPr="0092572D">
        <w:rPr>
          <w:rFonts w:ascii="Times New Roman" w:hAnsi="Times New Roman" w:cs="Times New Roman"/>
          <w:b/>
          <w:bCs/>
          <w:lang w:val="en-US"/>
        </w:rPr>
        <w:t xml:space="preserve"> core sediments. Journal of African Earth Sciences, 118, 192-204. </w:t>
      </w:r>
      <w:hyperlink r:id="rId31" w:history="1">
        <w:r w:rsidRPr="008066E9">
          <w:rPr>
            <w:rStyle w:val="Hyperlink"/>
            <w:rFonts w:ascii="Times New Roman" w:hAnsi="Times New Roman" w:cs="Times New Roman"/>
            <w:b/>
            <w:bCs/>
            <w:lang w:val="en-US"/>
          </w:rPr>
          <w:t>https://doi.org/10.1016/j.jafrearsci.2016.02.023</w:t>
        </w:r>
      </w:hyperlink>
      <w:r>
        <w:rPr>
          <w:rFonts w:ascii="Times New Roman" w:hAnsi="Times New Roman" w:cs="Times New Roman"/>
          <w:b/>
          <w:bCs/>
          <w:lang w:val="en-US"/>
        </w:rPr>
        <w:t xml:space="preserve"> </w:t>
      </w:r>
    </w:p>
    <w:p w14:paraId="7BAA424A"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proofErr w:type="spellStart"/>
      <w:r w:rsidRPr="00D37315">
        <w:rPr>
          <w:rFonts w:ascii="Times New Roman" w:hAnsi="Times New Roman" w:cs="Times New Roman"/>
          <w:b/>
          <w:bCs/>
          <w:lang w:val="en-US"/>
        </w:rPr>
        <w:lastRenderedPageBreak/>
        <w:t>Najiah</w:t>
      </w:r>
      <w:proofErr w:type="spellEnd"/>
      <w:r w:rsidRPr="00D37315">
        <w:rPr>
          <w:rFonts w:ascii="Times New Roman" w:hAnsi="Times New Roman" w:cs="Times New Roman"/>
          <w:b/>
          <w:bCs/>
          <w:lang w:val="en-US"/>
        </w:rPr>
        <w:t>, A. (2023).</w:t>
      </w:r>
      <w:r w:rsidRPr="00D37315">
        <w:rPr>
          <w:rFonts w:ascii="Times New Roman" w:hAnsi="Times New Roman" w:cs="Times New Roman"/>
          <w:lang w:val="en-US"/>
        </w:rPr>
        <w:t xml:space="preserve"> Improving the image quality of grayscale thermal images taken from photovoltaic panels with contrast enhancement methods. International Journal of Innovative Computing, Information &amp; Control, 19(3), 733-747.</w:t>
      </w:r>
    </w:p>
    <w:p w14:paraId="4DBE06F8" w14:textId="77777777" w:rsidR="00B41788" w:rsidRPr="00D37315" w:rsidRDefault="00B41788" w:rsidP="00D37315">
      <w:pPr>
        <w:pStyle w:val="ListParagraph"/>
        <w:numPr>
          <w:ilvl w:val="0"/>
          <w:numId w:val="8"/>
        </w:numPr>
        <w:spacing w:line="360" w:lineRule="auto"/>
        <w:jc w:val="both"/>
        <w:rPr>
          <w:rFonts w:ascii="Times New Roman" w:hAnsi="Times New Roman" w:cs="Times New Roman"/>
          <w:lang w:val="en-US"/>
        </w:rPr>
      </w:pPr>
      <w:proofErr w:type="spellStart"/>
      <w:r w:rsidRPr="00D37315">
        <w:rPr>
          <w:rFonts w:ascii="Times New Roman" w:hAnsi="Times New Roman" w:cs="Times New Roman"/>
          <w:b/>
          <w:bCs/>
          <w:lang w:val="en-US"/>
        </w:rPr>
        <w:t>Namratha</w:t>
      </w:r>
      <w:proofErr w:type="spellEnd"/>
      <w:r w:rsidRPr="00D37315">
        <w:rPr>
          <w:rFonts w:ascii="Times New Roman" w:hAnsi="Times New Roman" w:cs="Times New Roman"/>
          <w:b/>
          <w:bCs/>
          <w:lang w:val="en-US"/>
        </w:rPr>
        <w:t xml:space="preserve">, K., </w:t>
      </w:r>
      <w:proofErr w:type="spellStart"/>
      <w:r w:rsidRPr="00D37315">
        <w:rPr>
          <w:rFonts w:ascii="Times New Roman" w:hAnsi="Times New Roman" w:cs="Times New Roman"/>
          <w:b/>
          <w:bCs/>
          <w:lang w:val="en-US"/>
        </w:rPr>
        <w:t>Nayan</w:t>
      </w:r>
      <w:proofErr w:type="spellEnd"/>
      <w:r w:rsidRPr="00D37315">
        <w:rPr>
          <w:rFonts w:ascii="Times New Roman" w:hAnsi="Times New Roman" w:cs="Times New Roman"/>
          <w:b/>
          <w:bCs/>
          <w:lang w:val="en-US"/>
        </w:rPr>
        <w:t xml:space="preserve">, M.B., </w:t>
      </w:r>
      <w:proofErr w:type="spellStart"/>
      <w:r w:rsidRPr="00D37315">
        <w:rPr>
          <w:rFonts w:ascii="Times New Roman" w:hAnsi="Times New Roman" w:cs="Times New Roman"/>
          <w:b/>
          <w:bCs/>
          <w:lang w:val="en-US"/>
        </w:rPr>
        <w:t>Byrappa</w:t>
      </w:r>
      <w:proofErr w:type="spellEnd"/>
      <w:r w:rsidRPr="00D37315">
        <w:rPr>
          <w:rFonts w:ascii="Times New Roman" w:hAnsi="Times New Roman" w:cs="Times New Roman"/>
          <w:b/>
          <w:bCs/>
          <w:lang w:val="en-US"/>
        </w:rPr>
        <w:t xml:space="preserve">, K., </w:t>
      </w:r>
      <w:proofErr w:type="spellStart"/>
      <w:r w:rsidRPr="00D37315">
        <w:rPr>
          <w:rFonts w:ascii="Times New Roman" w:hAnsi="Times New Roman" w:cs="Times New Roman"/>
          <w:b/>
          <w:bCs/>
          <w:lang w:val="en-US"/>
        </w:rPr>
        <w:t>Madesh</w:t>
      </w:r>
      <w:proofErr w:type="spellEnd"/>
      <w:r w:rsidRPr="00D37315">
        <w:rPr>
          <w:rFonts w:ascii="Times New Roman" w:hAnsi="Times New Roman" w:cs="Times New Roman"/>
          <w:b/>
          <w:bCs/>
          <w:lang w:val="en-US"/>
        </w:rPr>
        <w:t xml:space="preserve">, P., </w:t>
      </w:r>
      <w:proofErr w:type="spellStart"/>
      <w:r w:rsidRPr="00D37315">
        <w:rPr>
          <w:rFonts w:ascii="Times New Roman" w:hAnsi="Times New Roman" w:cs="Times New Roman"/>
          <w:b/>
          <w:bCs/>
          <w:lang w:val="en-US"/>
        </w:rPr>
        <w:t>Basavarajappa</w:t>
      </w:r>
      <w:proofErr w:type="spellEnd"/>
      <w:r w:rsidRPr="00D37315">
        <w:rPr>
          <w:rFonts w:ascii="Times New Roman" w:hAnsi="Times New Roman" w:cs="Times New Roman"/>
          <w:b/>
          <w:bCs/>
          <w:lang w:val="en-US"/>
        </w:rPr>
        <w:t>, H.T., 2022.</w:t>
      </w:r>
      <w:r w:rsidRPr="00D37315">
        <w:rPr>
          <w:rFonts w:ascii="Times New Roman" w:hAnsi="Times New Roman" w:cs="Times New Roman"/>
          <w:lang w:val="en-US"/>
        </w:rPr>
        <w:t xml:space="preserve"> Impact of industrial effluents on the ground water contamination around industrial areas of </w:t>
      </w:r>
      <w:proofErr w:type="spellStart"/>
      <w:r w:rsidRPr="00D37315">
        <w:rPr>
          <w:rFonts w:ascii="Times New Roman" w:hAnsi="Times New Roman" w:cs="Times New Roman"/>
          <w:lang w:val="en-US"/>
        </w:rPr>
        <w:t>Nanjunagud</w:t>
      </w:r>
      <w:proofErr w:type="spellEnd"/>
      <w:r w:rsidRPr="00D37315">
        <w:rPr>
          <w:rFonts w:ascii="Times New Roman" w:hAnsi="Times New Roman" w:cs="Times New Roman"/>
          <w:lang w:val="en-US"/>
        </w:rPr>
        <w:t>, Mysore district, India, and an effective strategy to treat using advanced oxidation process. International Journal of Advanced Research in Sciences, Engineering and Technology</w:t>
      </w:r>
    </w:p>
    <w:p w14:paraId="0E1E3C20"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proofErr w:type="spellStart"/>
      <w:r w:rsidRPr="00AD754D">
        <w:rPr>
          <w:rFonts w:ascii="Times New Roman" w:hAnsi="Times New Roman" w:cs="Times New Roman"/>
          <w:b/>
          <w:bCs/>
          <w:lang w:val="fr-FR"/>
        </w:rPr>
        <w:t>Olivry</w:t>
      </w:r>
      <w:proofErr w:type="spellEnd"/>
      <w:r w:rsidRPr="00AD754D">
        <w:rPr>
          <w:rFonts w:ascii="Times New Roman" w:hAnsi="Times New Roman" w:cs="Times New Roman"/>
          <w:b/>
          <w:bCs/>
          <w:lang w:val="fr-FR"/>
        </w:rPr>
        <w:t xml:space="preserve"> JC, </w:t>
      </w:r>
      <w:proofErr w:type="spellStart"/>
      <w:r w:rsidRPr="00AD754D">
        <w:rPr>
          <w:rFonts w:ascii="Times New Roman" w:hAnsi="Times New Roman" w:cs="Times New Roman"/>
          <w:b/>
          <w:bCs/>
          <w:lang w:val="fr-FR"/>
        </w:rPr>
        <w:t>Chouret</w:t>
      </w:r>
      <w:proofErr w:type="spellEnd"/>
      <w:r w:rsidRPr="00AD754D">
        <w:rPr>
          <w:rFonts w:ascii="Times New Roman" w:hAnsi="Times New Roman" w:cs="Times New Roman"/>
          <w:b/>
          <w:bCs/>
          <w:lang w:val="fr-FR"/>
        </w:rPr>
        <w:t xml:space="preserve"> A, </w:t>
      </w:r>
      <w:proofErr w:type="spellStart"/>
      <w:r w:rsidRPr="00AD754D">
        <w:rPr>
          <w:rFonts w:ascii="Times New Roman" w:hAnsi="Times New Roman" w:cs="Times New Roman"/>
          <w:b/>
          <w:bCs/>
          <w:lang w:val="fr-FR"/>
        </w:rPr>
        <w:t>Vuillaume</w:t>
      </w:r>
      <w:proofErr w:type="spellEnd"/>
      <w:r w:rsidRPr="00AD754D">
        <w:rPr>
          <w:rFonts w:ascii="Times New Roman" w:hAnsi="Times New Roman" w:cs="Times New Roman"/>
          <w:b/>
          <w:bCs/>
          <w:lang w:val="fr-FR"/>
        </w:rPr>
        <w:t xml:space="preserve"> G, </w:t>
      </w:r>
      <w:proofErr w:type="spellStart"/>
      <w:r w:rsidRPr="00AD754D">
        <w:rPr>
          <w:rFonts w:ascii="Times New Roman" w:hAnsi="Times New Roman" w:cs="Times New Roman"/>
          <w:b/>
          <w:bCs/>
          <w:lang w:val="fr-FR"/>
        </w:rPr>
        <w:t>Lemoalle</w:t>
      </w:r>
      <w:proofErr w:type="spellEnd"/>
      <w:r w:rsidRPr="00AD754D">
        <w:rPr>
          <w:rFonts w:ascii="Times New Roman" w:hAnsi="Times New Roman" w:cs="Times New Roman"/>
          <w:b/>
          <w:bCs/>
          <w:lang w:val="fr-FR"/>
        </w:rPr>
        <w:t xml:space="preserve"> J, </w:t>
      </w:r>
      <w:proofErr w:type="spellStart"/>
      <w:r w:rsidRPr="00AD754D">
        <w:rPr>
          <w:rFonts w:ascii="Times New Roman" w:hAnsi="Times New Roman" w:cs="Times New Roman"/>
          <w:b/>
          <w:bCs/>
          <w:lang w:val="fr-FR"/>
        </w:rPr>
        <w:t>Bricquet</w:t>
      </w:r>
      <w:proofErr w:type="spellEnd"/>
      <w:r w:rsidRPr="00AD754D">
        <w:rPr>
          <w:rFonts w:ascii="Times New Roman" w:hAnsi="Times New Roman" w:cs="Times New Roman"/>
          <w:b/>
          <w:bCs/>
          <w:lang w:val="fr-FR"/>
        </w:rPr>
        <w:t xml:space="preserve"> JP (1996).</w:t>
      </w:r>
      <w:r w:rsidRPr="00AD754D">
        <w:rPr>
          <w:rFonts w:ascii="Times New Roman" w:hAnsi="Times New Roman" w:cs="Times New Roman"/>
          <w:lang w:val="fr-FR"/>
        </w:rPr>
        <w:t xml:space="preserve"> </w:t>
      </w:r>
      <w:proofErr w:type="spellStart"/>
      <w:r w:rsidRPr="00D37315">
        <w:rPr>
          <w:rFonts w:ascii="Times New Roman" w:hAnsi="Times New Roman" w:cs="Times New Roman"/>
          <w:lang w:val="en-US"/>
        </w:rPr>
        <w:t>Hydrologie</w:t>
      </w:r>
      <w:proofErr w:type="spellEnd"/>
      <w:r w:rsidRPr="00D37315">
        <w:rPr>
          <w:rFonts w:ascii="Times New Roman" w:hAnsi="Times New Roman" w:cs="Times New Roman"/>
          <w:lang w:val="en-US"/>
        </w:rPr>
        <w:t xml:space="preserve"> du lac </w:t>
      </w:r>
      <w:proofErr w:type="spellStart"/>
      <w:r w:rsidRPr="00D37315">
        <w:rPr>
          <w:rFonts w:ascii="Times New Roman" w:hAnsi="Times New Roman" w:cs="Times New Roman"/>
          <w:lang w:val="en-US"/>
        </w:rPr>
        <w:t>Tchad</w:t>
      </w:r>
      <w:proofErr w:type="spellEnd"/>
      <w:r w:rsidRPr="00D37315">
        <w:rPr>
          <w:rFonts w:ascii="Times New Roman" w:hAnsi="Times New Roman" w:cs="Times New Roman"/>
          <w:lang w:val="en-US"/>
        </w:rPr>
        <w:t xml:space="preserve">, Vol. 12. </w:t>
      </w:r>
      <w:proofErr w:type="spellStart"/>
      <w:r w:rsidRPr="00D37315">
        <w:rPr>
          <w:rFonts w:ascii="Times New Roman" w:hAnsi="Times New Roman" w:cs="Times New Roman"/>
          <w:lang w:val="en-US"/>
        </w:rPr>
        <w:t>Orstom</w:t>
      </w:r>
      <w:proofErr w:type="spellEnd"/>
      <w:r w:rsidRPr="00D37315">
        <w:rPr>
          <w:rFonts w:ascii="Times New Roman" w:hAnsi="Times New Roman" w:cs="Times New Roman"/>
          <w:lang w:val="en-US"/>
        </w:rPr>
        <w:t>.</w:t>
      </w:r>
    </w:p>
    <w:p w14:paraId="38F55DE9" w14:textId="664A562D" w:rsidR="00B41788" w:rsidRPr="00D37315" w:rsidRDefault="00A40F07" w:rsidP="00A40F07">
      <w:pPr>
        <w:pStyle w:val="ListParagraph"/>
        <w:numPr>
          <w:ilvl w:val="0"/>
          <w:numId w:val="8"/>
        </w:numPr>
        <w:spacing w:after="0" w:line="360" w:lineRule="auto"/>
        <w:jc w:val="both"/>
        <w:rPr>
          <w:rFonts w:ascii="Times New Roman" w:hAnsi="Times New Roman" w:cs="Times New Roman"/>
          <w:lang w:val="en-US"/>
        </w:rPr>
      </w:pPr>
      <w:proofErr w:type="spellStart"/>
      <w:r w:rsidRPr="00A40F07">
        <w:rPr>
          <w:rFonts w:ascii="Times New Roman" w:hAnsi="Times New Roman" w:cs="Times New Roman"/>
          <w:b/>
          <w:bCs/>
          <w:lang w:val="en-US"/>
        </w:rPr>
        <w:t>Ouarekh</w:t>
      </w:r>
      <w:proofErr w:type="spellEnd"/>
      <w:r w:rsidRPr="00A40F07">
        <w:rPr>
          <w:rFonts w:ascii="Times New Roman" w:hAnsi="Times New Roman" w:cs="Times New Roman"/>
          <w:b/>
          <w:bCs/>
          <w:lang w:val="en-US"/>
        </w:rPr>
        <w:t xml:space="preserve">, M., </w:t>
      </w:r>
      <w:proofErr w:type="spellStart"/>
      <w:r w:rsidRPr="00A40F07">
        <w:rPr>
          <w:rFonts w:ascii="Times New Roman" w:hAnsi="Times New Roman" w:cs="Times New Roman"/>
          <w:b/>
          <w:bCs/>
          <w:lang w:val="en-US"/>
        </w:rPr>
        <w:t>Bouselsal</w:t>
      </w:r>
      <w:proofErr w:type="spellEnd"/>
      <w:r w:rsidRPr="00A40F07">
        <w:rPr>
          <w:rFonts w:ascii="Times New Roman" w:hAnsi="Times New Roman" w:cs="Times New Roman"/>
          <w:b/>
          <w:bCs/>
          <w:lang w:val="en-US"/>
        </w:rPr>
        <w:t xml:space="preserve">, B., </w:t>
      </w:r>
      <w:proofErr w:type="spellStart"/>
      <w:r w:rsidRPr="00A40F07">
        <w:rPr>
          <w:rFonts w:ascii="Times New Roman" w:hAnsi="Times New Roman" w:cs="Times New Roman"/>
          <w:b/>
          <w:bCs/>
          <w:lang w:val="en-US"/>
        </w:rPr>
        <w:t>Benaabidate</w:t>
      </w:r>
      <w:proofErr w:type="spellEnd"/>
      <w:r w:rsidRPr="00A40F07">
        <w:rPr>
          <w:rFonts w:ascii="Times New Roman" w:hAnsi="Times New Roman" w:cs="Times New Roman"/>
          <w:b/>
          <w:bCs/>
          <w:lang w:val="en-US"/>
        </w:rPr>
        <w:t xml:space="preserve">, L., </w:t>
      </w:r>
      <w:proofErr w:type="spellStart"/>
      <w:r w:rsidRPr="00A40F07">
        <w:rPr>
          <w:rFonts w:ascii="Times New Roman" w:hAnsi="Times New Roman" w:cs="Times New Roman"/>
          <w:b/>
          <w:bCs/>
          <w:lang w:val="en-US"/>
        </w:rPr>
        <w:t>Belksier</w:t>
      </w:r>
      <w:proofErr w:type="spellEnd"/>
      <w:r w:rsidRPr="00A40F07">
        <w:rPr>
          <w:rFonts w:ascii="Times New Roman" w:hAnsi="Times New Roman" w:cs="Times New Roman"/>
          <w:b/>
          <w:bCs/>
          <w:lang w:val="en-US"/>
        </w:rPr>
        <w:t xml:space="preserve">, M. S., </w:t>
      </w:r>
      <w:proofErr w:type="spellStart"/>
      <w:r w:rsidRPr="00A40F07">
        <w:rPr>
          <w:rFonts w:ascii="Times New Roman" w:hAnsi="Times New Roman" w:cs="Times New Roman"/>
          <w:b/>
          <w:bCs/>
          <w:lang w:val="en-US"/>
        </w:rPr>
        <w:t>Chellat</w:t>
      </w:r>
      <w:proofErr w:type="spellEnd"/>
      <w:r w:rsidRPr="00A40F07">
        <w:rPr>
          <w:rFonts w:ascii="Times New Roman" w:hAnsi="Times New Roman" w:cs="Times New Roman"/>
          <w:b/>
          <w:bCs/>
          <w:lang w:val="en-US"/>
        </w:rPr>
        <w:t xml:space="preserve">, S., &amp; </w:t>
      </w:r>
      <w:proofErr w:type="spellStart"/>
      <w:r w:rsidRPr="00A40F07">
        <w:rPr>
          <w:rFonts w:ascii="Times New Roman" w:hAnsi="Times New Roman" w:cs="Times New Roman"/>
          <w:b/>
          <w:bCs/>
          <w:lang w:val="en-US"/>
        </w:rPr>
        <w:t>Satouh</w:t>
      </w:r>
      <w:proofErr w:type="spellEnd"/>
      <w:r w:rsidRPr="00A40F07">
        <w:rPr>
          <w:rFonts w:ascii="Times New Roman" w:hAnsi="Times New Roman" w:cs="Times New Roman"/>
          <w:b/>
          <w:bCs/>
          <w:lang w:val="en-US"/>
        </w:rPr>
        <w:t xml:space="preserve">, A. (2024). Geochemical evaluation of fluoride enrichment in the </w:t>
      </w:r>
      <w:proofErr w:type="spellStart"/>
      <w:r w:rsidRPr="00A40F07">
        <w:rPr>
          <w:rFonts w:ascii="Times New Roman" w:hAnsi="Times New Roman" w:cs="Times New Roman"/>
          <w:b/>
          <w:bCs/>
          <w:lang w:val="en-US"/>
        </w:rPr>
        <w:t>complexe</w:t>
      </w:r>
      <w:proofErr w:type="spellEnd"/>
      <w:r w:rsidRPr="00A40F07">
        <w:rPr>
          <w:rFonts w:ascii="Times New Roman" w:hAnsi="Times New Roman" w:cs="Times New Roman"/>
          <w:b/>
          <w:bCs/>
          <w:lang w:val="en-US"/>
        </w:rPr>
        <w:t xml:space="preserve"> terminal aquifer and its implications for human health in Oued </w:t>
      </w:r>
      <w:proofErr w:type="spellStart"/>
      <w:r w:rsidRPr="00A40F07">
        <w:rPr>
          <w:rFonts w:ascii="Times New Roman" w:hAnsi="Times New Roman" w:cs="Times New Roman"/>
          <w:b/>
          <w:bCs/>
          <w:lang w:val="en-US"/>
        </w:rPr>
        <w:t>Souf</w:t>
      </w:r>
      <w:proofErr w:type="spellEnd"/>
      <w:r w:rsidRPr="00A40F07">
        <w:rPr>
          <w:rFonts w:ascii="Times New Roman" w:hAnsi="Times New Roman" w:cs="Times New Roman"/>
          <w:b/>
          <w:bCs/>
          <w:lang w:val="en-US"/>
        </w:rPr>
        <w:t xml:space="preserve"> Algerian Sahara. Sustain Water </w:t>
      </w:r>
      <w:proofErr w:type="spellStart"/>
      <w:r w:rsidRPr="00A40F07">
        <w:rPr>
          <w:rFonts w:ascii="Times New Roman" w:hAnsi="Times New Roman" w:cs="Times New Roman"/>
          <w:b/>
          <w:bCs/>
          <w:lang w:val="en-US"/>
        </w:rPr>
        <w:t>Resour</w:t>
      </w:r>
      <w:proofErr w:type="spellEnd"/>
      <w:r w:rsidRPr="00A40F07">
        <w:rPr>
          <w:rFonts w:ascii="Times New Roman" w:hAnsi="Times New Roman" w:cs="Times New Roman"/>
          <w:b/>
          <w:bCs/>
          <w:lang w:val="en-US"/>
        </w:rPr>
        <w:t xml:space="preserve"> </w:t>
      </w:r>
      <w:proofErr w:type="spellStart"/>
      <w:r w:rsidRPr="00A40F07">
        <w:rPr>
          <w:rFonts w:ascii="Times New Roman" w:hAnsi="Times New Roman" w:cs="Times New Roman"/>
          <w:b/>
          <w:bCs/>
          <w:lang w:val="en-US"/>
        </w:rPr>
        <w:t>Manag</w:t>
      </w:r>
      <w:proofErr w:type="spellEnd"/>
      <w:r w:rsidRPr="00A40F07">
        <w:rPr>
          <w:rFonts w:ascii="Times New Roman" w:hAnsi="Times New Roman" w:cs="Times New Roman"/>
          <w:b/>
          <w:bCs/>
          <w:lang w:val="en-US"/>
        </w:rPr>
        <w:t xml:space="preserve">, 10, 163. </w:t>
      </w:r>
      <w:hyperlink r:id="rId32" w:history="1">
        <w:r w:rsidRPr="008066E9">
          <w:rPr>
            <w:rStyle w:val="Hyperlink"/>
            <w:rFonts w:ascii="Times New Roman" w:hAnsi="Times New Roman" w:cs="Times New Roman"/>
            <w:b/>
            <w:bCs/>
            <w:lang w:val="en-US"/>
          </w:rPr>
          <w:t>https://doi.org/10.1007/s40899-024-01148-6</w:t>
        </w:r>
      </w:hyperlink>
      <w:r>
        <w:rPr>
          <w:rFonts w:ascii="Times New Roman" w:hAnsi="Times New Roman" w:cs="Times New Roman"/>
          <w:b/>
          <w:bCs/>
          <w:lang w:val="en-US"/>
        </w:rPr>
        <w:t xml:space="preserve"> </w:t>
      </w:r>
    </w:p>
    <w:p w14:paraId="382075A8" w14:textId="27504DB2" w:rsidR="00B41788" w:rsidRPr="00D37315" w:rsidRDefault="00567A59" w:rsidP="00567A59">
      <w:pPr>
        <w:pStyle w:val="ListParagraph"/>
        <w:numPr>
          <w:ilvl w:val="0"/>
          <w:numId w:val="8"/>
        </w:numPr>
        <w:spacing w:after="0" w:line="360" w:lineRule="auto"/>
        <w:jc w:val="both"/>
        <w:rPr>
          <w:rFonts w:ascii="Times New Roman" w:hAnsi="Times New Roman" w:cs="Times New Roman"/>
          <w:lang w:val="en-US"/>
        </w:rPr>
      </w:pPr>
      <w:r w:rsidRPr="00567A59">
        <w:rPr>
          <w:rFonts w:ascii="Times New Roman" w:hAnsi="Times New Roman" w:cs="Times New Roman"/>
          <w:b/>
          <w:bCs/>
          <w:lang w:val="en-US"/>
        </w:rPr>
        <w:t xml:space="preserve">Petrucci, O., &amp; </w:t>
      </w:r>
      <w:proofErr w:type="spellStart"/>
      <w:r w:rsidRPr="00567A59">
        <w:rPr>
          <w:rFonts w:ascii="Times New Roman" w:hAnsi="Times New Roman" w:cs="Times New Roman"/>
          <w:b/>
          <w:bCs/>
          <w:lang w:val="en-US"/>
        </w:rPr>
        <w:t>Polemio</w:t>
      </w:r>
      <w:proofErr w:type="spellEnd"/>
      <w:r w:rsidRPr="00567A59">
        <w:rPr>
          <w:rFonts w:ascii="Times New Roman" w:hAnsi="Times New Roman" w:cs="Times New Roman"/>
          <w:b/>
          <w:bCs/>
          <w:lang w:val="en-US"/>
        </w:rPr>
        <w:t xml:space="preserve">, M. (2007). Flood risk mitigation and anthropogenic modifications of a coastal plain in southern Italy: Combined effects over the past 150 years. Natural Hazards and Earth System Sciences, 7, 361. </w:t>
      </w:r>
      <w:hyperlink r:id="rId33" w:history="1">
        <w:r w:rsidRPr="008066E9">
          <w:rPr>
            <w:rStyle w:val="Hyperlink"/>
            <w:rFonts w:ascii="Times New Roman" w:hAnsi="Times New Roman" w:cs="Times New Roman"/>
            <w:b/>
            <w:bCs/>
            <w:lang w:val="en-US"/>
          </w:rPr>
          <w:t>https://doi.org/10.5194/nhess-7-361-2007</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p w14:paraId="504E88D8" w14:textId="71BF24B2" w:rsidR="00B41788" w:rsidRPr="00D37315" w:rsidRDefault="00284AB7" w:rsidP="00284AB7">
      <w:pPr>
        <w:pStyle w:val="ListParagraph"/>
        <w:numPr>
          <w:ilvl w:val="0"/>
          <w:numId w:val="8"/>
        </w:numPr>
        <w:spacing w:after="0" w:line="360" w:lineRule="auto"/>
        <w:jc w:val="both"/>
        <w:rPr>
          <w:rFonts w:ascii="Times New Roman" w:hAnsi="Times New Roman" w:cs="Times New Roman"/>
          <w:lang w:val="en-US"/>
        </w:rPr>
      </w:pPr>
      <w:r w:rsidRPr="00284AB7">
        <w:rPr>
          <w:rFonts w:ascii="Times New Roman" w:hAnsi="Times New Roman" w:cs="Times New Roman"/>
          <w:b/>
          <w:bCs/>
          <w:lang w:val="en-US"/>
        </w:rPr>
        <w:t xml:space="preserve">Piper, A. M. (1944). A graphic procedure in the geochemical interpretation of water analysis. Eos, Transactions American Geophysical Union, 25, 914-928. </w:t>
      </w:r>
      <w:hyperlink r:id="rId34" w:history="1">
        <w:r w:rsidRPr="008066E9">
          <w:rPr>
            <w:rStyle w:val="Hyperlink"/>
            <w:rFonts w:ascii="Times New Roman" w:hAnsi="Times New Roman" w:cs="Times New Roman"/>
            <w:b/>
            <w:bCs/>
            <w:lang w:val="en-US"/>
          </w:rPr>
          <w:t>https://doi.org/10.1029/TR025I006P00914</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p w14:paraId="6FE4A600" w14:textId="4124B3B0" w:rsidR="00B41788" w:rsidRPr="00AD754D" w:rsidRDefault="00750F8B" w:rsidP="00750F8B">
      <w:pPr>
        <w:pStyle w:val="ListParagraph"/>
        <w:numPr>
          <w:ilvl w:val="0"/>
          <w:numId w:val="8"/>
        </w:numPr>
        <w:spacing w:after="0" w:line="360" w:lineRule="auto"/>
        <w:jc w:val="both"/>
        <w:rPr>
          <w:rFonts w:ascii="Times New Roman" w:hAnsi="Times New Roman" w:cs="Times New Roman"/>
          <w:lang w:val="en-US"/>
        </w:rPr>
      </w:pPr>
      <w:proofErr w:type="spellStart"/>
      <w:r w:rsidRPr="00AD754D">
        <w:rPr>
          <w:rFonts w:ascii="Times New Roman" w:hAnsi="Times New Roman" w:cs="Times New Roman"/>
          <w:b/>
          <w:bCs/>
          <w:lang w:val="fr-FR"/>
        </w:rPr>
        <w:t>Polemio</w:t>
      </w:r>
      <w:proofErr w:type="spellEnd"/>
      <w:r w:rsidRPr="00AD754D">
        <w:rPr>
          <w:rFonts w:ascii="Times New Roman" w:hAnsi="Times New Roman" w:cs="Times New Roman"/>
          <w:b/>
          <w:bCs/>
          <w:lang w:val="fr-FR"/>
        </w:rPr>
        <w:t xml:space="preserve">, M., </w:t>
      </w:r>
      <w:proofErr w:type="spellStart"/>
      <w:r w:rsidRPr="00AD754D">
        <w:rPr>
          <w:rFonts w:ascii="Times New Roman" w:hAnsi="Times New Roman" w:cs="Times New Roman"/>
          <w:b/>
          <w:bCs/>
          <w:lang w:val="fr-FR"/>
        </w:rPr>
        <w:t>Limoni</w:t>
      </w:r>
      <w:proofErr w:type="spellEnd"/>
      <w:r w:rsidRPr="00AD754D">
        <w:rPr>
          <w:rFonts w:ascii="Times New Roman" w:hAnsi="Times New Roman" w:cs="Times New Roman"/>
          <w:b/>
          <w:bCs/>
          <w:lang w:val="fr-FR"/>
        </w:rPr>
        <w:t xml:space="preserve">, P. P., </w:t>
      </w:r>
      <w:proofErr w:type="spellStart"/>
      <w:r w:rsidRPr="00AD754D">
        <w:rPr>
          <w:rFonts w:ascii="Times New Roman" w:hAnsi="Times New Roman" w:cs="Times New Roman"/>
          <w:b/>
          <w:bCs/>
          <w:lang w:val="fr-FR"/>
        </w:rPr>
        <w:t>Mitolo</w:t>
      </w:r>
      <w:proofErr w:type="spellEnd"/>
      <w:r w:rsidRPr="00AD754D">
        <w:rPr>
          <w:rFonts w:ascii="Times New Roman" w:hAnsi="Times New Roman" w:cs="Times New Roman"/>
          <w:b/>
          <w:bCs/>
          <w:lang w:val="fr-FR"/>
        </w:rPr>
        <w:t xml:space="preserve">, D., </w:t>
      </w:r>
      <w:proofErr w:type="spellStart"/>
      <w:r w:rsidRPr="00AD754D">
        <w:rPr>
          <w:rFonts w:ascii="Times New Roman" w:hAnsi="Times New Roman" w:cs="Times New Roman"/>
          <w:b/>
          <w:bCs/>
          <w:lang w:val="fr-FR"/>
        </w:rPr>
        <w:t>Santaloia</w:t>
      </w:r>
      <w:proofErr w:type="spellEnd"/>
      <w:r w:rsidRPr="00AD754D">
        <w:rPr>
          <w:rFonts w:ascii="Times New Roman" w:hAnsi="Times New Roman" w:cs="Times New Roman"/>
          <w:b/>
          <w:bCs/>
          <w:lang w:val="fr-FR"/>
        </w:rPr>
        <w:t xml:space="preserve">, F., &amp; Virga, R. (2005). </w:t>
      </w:r>
      <w:r w:rsidRPr="00750F8B">
        <w:rPr>
          <w:rFonts w:ascii="Times New Roman" w:hAnsi="Times New Roman" w:cs="Times New Roman"/>
          <w:b/>
          <w:bCs/>
          <w:lang w:val="en-US"/>
        </w:rPr>
        <w:t xml:space="preserve">Nitrate pollution and quality degradation of Ionian coastal groundwater (Southern Italy). In L. </w:t>
      </w:r>
      <w:proofErr w:type="spellStart"/>
      <w:r w:rsidRPr="00750F8B">
        <w:rPr>
          <w:rFonts w:ascii="Times New Roman" w:hAnsi="Times New Roman" w:cs="Times New Roman"/>
          <w:b/>
          <w:bCs/>
          <w:lang w:val="en-US"/>
        </w:rPr>
        <w:t>Razowska-Jaworek</w:t>
      </w:r>
      <w:proofErr w:type="spellEnd"/>
      <w:r w:rsidRPr="00750F8B">
        <w:rPr>
          <w:rFonts w:ascii="Times New Roman" w:hAnsi="Times New Roman" w:cs="Times New Roman"/>
          <w:b/>
          <w:bCs/>
          <w:lang w:val="en-US"/>
        </w:rPr>
        <w:t xml:space="preserve"> &amp; A. </w:t>
      </w:r>
      <w:proofErr w:type="spellStart"/>
      <w:r w:rsidRPr="00750F8B">
        <w:rPr>
          <w:rFonts w:ascii="Times New Roman" w:hAnsi="Times New Roman" w:cs="Times New Roman"/>
          <w:b/>
          <w:bCs/>
          <w:lang w:val="en-US"/>
        </w:rPr>
        <w:t>Sadurski</w:t>
      </w:r>
      <w:proofErr w:type="spellEnd"/>
      <w:r w:rsidRPr="00750F8B">
        <w:rPr>
          <w:rFonts w:ascii="Times New Roman" w:hAnsi="Times New Roman" w:cs="Times New Roman"/>
          <w:b/>
          <w:bCs/>
          <w:lang w:val="en-US"/>
        </w:rPr>
        <w:t xml:space="preserve"> (Eds.), Nitrates in Groundwater: IAH Selected Papers on Hydrogeology 5 (pp. 163–176). CRC Press. </w:t>
      </w:r>
      <w:hyperlink r:id="rId35" w:history="1">
        <w:r w:rsidRPr="008066E9">
          <w:rPr>
            <w:rStyle w:val="Hyperlink"/>
            <w:rFonts w:ascii="Times New Roman" w:hAnsi="Times New Roman" w:cs="Times New Roman"/>
            <w:b/>
            <w:bCs/>
            <w:lang w:val="en-US"/>
          </w:rPr>
          <w:t>https://www.routledge.com/Nitrates-in-Groundwater-IAH-Selected-Papers-on-Hydrogeology-5/Razowska-Jaworek-Sadurski/p/book/9789058096647</w:t>
        </w:r>
      </w:hyperlink>
      <w:r>
        <w:rPr>
          <w:rFonts w:ascii="Times New Roman" w:hAnsi="Times New Roman" w:cs="Times New Roman"/>
          <w:b/>
          <w:bCs/>
          <w:lang w:val="en-US"/>
        </w:rPr>
        <w:t xml:space="preserve"> </w:t>
      </w:r>
    </w:p>
    <w:p w14:paraId="31C13E8B" w14:textId="071EA832" w:rsidR="00B41788" w:rsidRPr="00D37315" w:rsidRDefault="0007797F" w:rsidP="0007797F">
      <w:pPr>
        <w:pStyle w:val="ListParagraph"/>
        <w:numPr>
          <w:ilvl w:val="0"/>
          <w:numId w:val="8"/>
        </w:numPr>
        <w:spacing w:after="0" w:line="360" w:lineRule="auto"/>
        <w:jc w:val="both"/>
        <w:rPr>
          <w:rFonts w:ascii="Times New Roman" w:hAnsi="Times New Roman" w:cs="Times New Roman"/>
          <w:lang w:val="en-US"/>
        </w:rPr>
      </w:pPr>
      <w:r w:rsidRPr="00AD754D">
        <w:rPr>
          <w:rFonts w:ascii="Times New Roman" w:hAnsi="Times New Roman" w:cs="Times New Roman"/>
          <w:b/>
          <w:bCs/>
          <w:lang w:val="fr-FR"/>
        </w:rPr>
        <w:t xml:space="preserve">Roche, M. A. (1980). Traçage naturel salin et isotopique des eaux du système hydrologique du lac Tchad. </w:t>
      </w:r>
      <w:r w:rsidRPr="0007797F">
        <w:rPr>
          <w:rFonts w:ascii="Times New Roman" w:hAnsi="Times New Roman" w:cs="Times New Roman"/>
          <w:b/>
          <w:bCs/>
        </w:rPr>
        <w:t xml:space="preserve">ORSTOM. </w:t>
      </w:r>
      <w:hyperlink r:id="rId36" w:history="1">
        <w:r w:rsidRPr="008066E9">
          <w:rPr>
            <w:rStyle w:val="Hyperlink"/>
            <w:rFonts w:ascii="Times New Roman" w:hAnsi="Times New Roman" w:cs="Times New Roman"/>
            <w:b/>
            <w:bCs/>
          </w:rPr>
          <w:t>http://www.documentation.ird.fr/hor/fdi:00328</w:t>
        </w:r>
      </w:hyperlink>
      <w:r>
        <w:rPr>
          <w:rFonts w:ascii="Times New Roman" w:hAnsi="Times New Roman" w:cs="Times New Roman"/>
          <w:b/>
          <w:bCs/>
        </w:rPr>
        <w:t xml:space="preserve"> </w:t>
      </w:r>
    </w:p>
    <w:p w14:paraId="5D892DBD" w14:textId="77777777" w:rsidR="00B41788" w:rsidRPr="00AD754D" w:rsidRDefault="00B41788" w:rsidP="00D37315">
      <w:pPr>
        <w:pStyle w:val="ListParagraph"/>
        <w:numPr>
          <w:ilvl w:val="0"/>
          <w:numId w:val="8"/>
        </w:numPr>
        <w:spacing w:after="0" w:line="360" w:lineRule="auto"/>
        <w:jc w:val="both"/>
        <w:rPr>
          <w:rFonts w:ascii="Times New Roman" w:hAnsi="Times New Roman" w:cs="Times New Roman"/>
          <w:lang w:val="fr-FR"/>
        </w:rPr>
      </w:pPr>
      <w:r w:rsidRPr="00AD754D">
        <w:rPr>
          <w:rFonts w:ascii="Times New Roman" w:hAnsi="Times New Roman" w:cs="Times New Roman"/>
          <w:b/>
          <w:bCs/>
          <w:lang w:val="fr-FR"/>
        </w:rPr>
        <w:t xml:space="preserve">Schéma Directeur de l’Eau et de l’Assainissement du Tchad, 2001, </w:t>
      </w:r>
      <w:r w:rsidRPr="00AD754D">
        <w:rPr>
          <w:rFonts w:ascii="Times New Roman" w:hAnsi="Times New Roman" w:cs="Times New Roman"/>
          <w:lang w:val="fr-FR"/>
        </w:rPr>
        <w:t xml:space="preserve">Le bilan diagnostic des ressources en eau, République du Tchad Partie 1, 112 p. </w:t>
      </w:r>
    </w:p>
    <w:p w14:paraId="72ACA44B" w14:textId="4D00F83E" w:rsidR="00B41788" w:rsidRPr="00D37315" w:rsidRDefault="00C77D53" w:rsidP="00C77D53">
      <w:pPr>
        <w:pStyle w:val="ListParagraph"/>
        <w:numPr>
          <w:ilvl w:val="0"/>
          <w:numId w:val="8"/>
        </w:numPr>
        <w:spacing w:after="0" w:line="360" w:lineRule="auto"/>
        <w:jc w:val="both"/>
        <w:rPr>
          <w:rFonts w:ascii="Times New Roman" w:hAnsi="Times New Roman" w:cs="Times New Roman"/>
        </w:rPr>
      </w:pPr>
      <w:r w:rsidRPr="00C77D53">
        <w:rPr>
          <w:rFonts w:ascii="Times New Roman" w:hAnsi="Times New Roman" w:cs="Times New Roman"/>
          <w:b/>
          <w:bCs/>
        </w:rPr>
        <w:t xml:space="preserve">Schneider, J. L., &amp; Wolff, J.-P. (1992). </w:t>
      </w:r>
      <w:r w:rsidRPr="00AD754D">
        <w:rPr>
          <w:rFonts w:ascii="Times New Roman" w:hAnsi="Times New Roman" w:cs="Times New Roman"/>
          <w:b/>
          <w:bCs/>
          <w:lang w:val="fr-FR"/>
        </w:rPr>
        <w:t xml:space="preserve">Carte géologique et cartes hydrogéologiques à 1/1 500 000 de la République du </w:t>
      </w:r>
      <w:proofErr w:type="gramStart"/>
      <w:r w:rsidRPr="00AD754D">
        <w:rPr>
          <w:rFonts w:ascii="Times New Roman" w:hAnsi="Times New Roman" w:cs="Times New Roman"/>
          <w:b/>
          <w:bCs/>
          <w:lang w:val="fr-FR"/>
        </w:rPr>
        <w:t>Tchad:</w:t>
      </w:r>
      <w:proofErr w:type="gramEnd"/>
      <w:r w:rsidRPr="00AD754D">
        <w:rPr>
          <w:rFonts w:ascii="Times New Roman" w:hAnsi="Times New Roman" w:cs="Times New Roman"/>
          <w:b/>
          <w:bCs/>
          <w:lang w:val="fr-FR"/>
        </w:rPr>
        <w:t xml:space="preserve"> mémoire explicatif. </w:t>
      </w:r>
      <w:r w:rsidRPr="00C77D53">
        <w:rPr>
          <w:rFonts w:ascii="Times New Roman" w:hAnsi="Times New Roman" w:cs="Times New Roman"/>
          <w:b/>
          <w:bCs/>
        </w:rPr>
        <w:t>Éditions du BRGM.</w:t>
      </w:r>
      <w:r>
        <w:rPr>
          <w:rFonts w:ascii="Times New Roman" w:hAnsi="Times New Roman" w:cs="Times New Roman"/>
          <w:b/>
          <w:bCs/>
        </w:rPr>
        <w:t xml:space="preserve"> </w:t>
      </w:r>
      <w:r w:rsidR="00B41788" w:rsidRPr="00D37315">
        <w:rPr>
          <w:rFonts w:ascii="Times New Roman" w:hAnsi="Times New Roman" w:cs="Times New Roman"/>
        </w:rPr>
        <w:t xml:space="preserve"> </w:t>
      </w:r>
    </w:p>
    <w:p w14:paraId="6427BC04" w14:textId="6E35BE43" w:rsidR="00B41788" w:rsidRPr="00D37315" w:rsidRDefault="002E6688" w:rsidP="002E6688">
      <w:pPr>
        <w:pStyle w:val="ListParagraph"/>
        <w:numPr>
          <w:ilvl w:val="0"/>
          <w:numId w:val="8"/>
        </w:numPr>
        <w:spacing w:after="0" w:line="360" w:lineRule="auto"/>
        <w:jc w:val="both"/>
        <w:rPr>
          <w:rFonts w:ascii="Times New Roman" w:hAnsi="Times New Roman" w:cs="Times New Roman"/>
          <w:lang w:val="en-US"/>
        </w:rPr>
      </w:pPr>
      <w:r w:rsidRPr="00AD754D">
        <w:rPr>
          <w:rFonts w:ascii="Times New Roman" w:hAnsi="Times New Roman" w:cs="Times New Roman"/>
          <w:b/>
          <w:bCs/>
          <w:lang w:val="fr-FR"/>
        </w:rPr>
        <w:lastRenderedPageBreak/>
        <w:t xml:space="preserve">Schuster, M., </w:t>
      </w:r>
      <w:proofErr w:type="spellStart"/>
      <w:r w:rsidRPr="00AD754D">
        <w:rPr>
          <w:rFonts w:ascii="Times New Roman" w:hAnsi="Times New Roman" w:cs="Times New Roman"/>
          <w:b/>
          <w:bCs/>
          <w:lang w:val="fr-FR"/>
        </w:rPr>
        <w:t>Roquin</w:t>
      </w:r>
      <w:proofErr w:type="spellEnd"/>
      <w:r w:rsidRPr="00AD754D">
        <w:rPr>
          <w:rFonts w:ascii="Times New Roman" w:hAnsi="Times New Roman" w:cs="Times New Roman"/>
          <w:b/>
          <w:bCs/>
          <w:lang w:val="fr-FR"/>
        </w:rPr>
        <w:t xml:space="preserve">, C., </w:t>
      </w:r>
      <w:proofErr w:type="spellStart"/>
      <w:r w:rsidRPr="00AD754D">
        <w:rPr>
          <w:rFonts w:ascii="Times New Roman" w:hAnsi="Times New Roman" w:cs="Times New Roman"/>
          <w:b/>
          <w:bCs/>
          <w:lang w:val="fr-FR"/>
        </w:rPr>
        <w:t>Duringer</w:t>
      </w:r>
      <w:proofErr w:type="spellEnd"/>
      <w:r w:rsidRPr="00AD754D">
        <w:rPr>
          <w:rFonts w:ascii="Times New Roman" w:hAnsi="Times New Roman" w:cs="Times New Roman"/>
          <w:b/>
          <w:bCs/>
          <w:lang w:val="fr-FR"/>
        </w:rPr>
        <w:t xml:space="preserve">, P., Brunet, M., </w:t>
      </w:r>
      <w:proofErr w:type="spellStart"/>
      <w:r w:rsidRPr="00AD754D">
        <w:rPr>
          <w:rFonts w:ascii="Times New Roman" w:hAnsi="Times New Roman" w:cs="Times New Roman"/>
          <w:b/>
          <w:bCs/>
          <w:lang w:val="fr-FR"/>
        </w:rPr>
        <w:t>Caugy</w:t>
      </w:r>
      <w:proofErr w:type="spellEnd"/>
      <w:r w:rsidRPr="00AD754D">
        <w:rPr>
          <w:rFonts w:ascii="Times New Roman" w:hAnsi="Times New Roman" w:cs="Times New Roman"/>
          <w:b/>
          <w:bCs/>
          <w:lang w:val="fr-FR"/>
        </w:rPr>
        <w:t xml:space="preserve">, M., </w:t>
      </w:r>
      <w:proofErr w:type="spellStart"/>
      <w:r w:rsidRPr="00AD754D">
        <w:rPr>
          <w:rFonts w:ascii="Times New Roman" w:hAnsi="Times New Roman" w:cs="Times New Roman"/>
          <w:b/>
          <w:bCs/>
          <w:lang w:val="fr-FR"/>
        </w:rPr>
        <w:t>Fontugne</w:t>
      </w:r>
      <w:proofErr w:type="spellEnd"/>
      <w:r w:rsidRPr="00AD754D">
        <w:rPr>
          <w:rFonts w:ascii="Times New Roman" w:hAnsi="Times New Roman" w:cs="Times New Roman"/>
          <w:b/>
          <w:bCs/>
          <w:lang w:val="fr-FR"/>
        </w:rPr>
        <w:t xml:space="preserve">, M., </w:t>
      </w:r>
      <w:proofErr w:type="spellStart"/>
      <w:r w:rsidRPr="00AD754D">
        <w:rPr>
          <w:rFonts w:ascii="Times New Roman" w:hAnsi="Times New Roman" w:cs="Times New Roman"/>
          <w:b/>
          <w:bCs/>
          <w:lang w:val="fr-FR"/>
        </w:rPr>
        <w:t>Mackaye</w:t>
      </w:r>
      <w:proofErr w:type="spellEnd"/>
      <w:r w:rsidRPr="00AD754D">
        <w:rPr>
          <w:rFonts w:ascii="Times New Roman" w:hAnsi="Times New Roman" w:cs="Times New Roman"/>
          <w:b/>
          <w:bCs/>
          <w:lang w:val="fr-FR"/>
        </w:rPr>
        <w:t xml:space="preserve">, H. T., Vignaud, P., &amp; </w:t>
      </w:r>
      <w:proofErr w:type="spellStart"/>
      <w:r w:rsidRPr="00AD754D">
        <w:rPr>
          <w:rFonts w:ascii="Times New Roman" w:hAnsi="Times New Roman" w:cs="Times New Roman"/>
          <w:b/>
          <w:bCs/>
          <w:lang w:val="fr-FR"/>
        </w:rPr>
        <w:t>Ghienne</w:t>
      </w:r>
      <w:proofErr w:type="spellEnd"/>
      <w:r w:rsidRPr="00AD754D">
        <w:rPr>
          <w:rFonts w:ascii="Times New Roman" w:hAnsi="Times New Roman" w:cs="Times New Roman"/>
          <w:b/>
          <w:bCs/>
          <w:lang w:val="fr-FR"/>
        </w:rPr>
        <w:t xml:space="preserve">, J. F. (2005). </w:t>
      </w:r>
      <w:r w:rsidRPr="002E6688">
        <w:rPr>
          <w:rFonts w:ascii="Times New Roman" w:hAnsi="Times New Roman" w:cs="Times New Roman"/>
          <w:b/>
          <w:bCs/>
        </w:rPr>
        <w:t xml:space="preserve">Holocene Lake Mega-Chad </w:t>
      </w:r>
      <w:proofErr w:type="spellStart"/>
      <w:r w:rsidRPr="002E6688">
        <w:rPr>
          <w:rFonts w:ascii="Times New Roman" w:hAnsi="Times New Roman" w:cs="Times New Roman"/>
          <w:b/>
          <w:bCs/>
        </w:rPr>
        <w:t>palaeoshorelines</w:t>
      </w:r>
      <w:proofErr w:type="spellEnd"/>
      <w:r w:rsidRPr="002E6688">
        <w:rPr>
          <w:rFonts w:ascii="Times New Roman" w:hAnsi="Times New Roman" w:cs="Times New Roman"/>
          <w:b/>
          <w:bCs/>
        </w:rPr>
        <w:t xml:space="preserve"> from space. Quaternary Science Reviews, 24(16-17), 1821-1827. </w:t>
      </w:r>
      <w:hyperlink r:id="rId37" w:history="1">
        <w:r w:rsidRPr="008066E9">
          <w:rPr>
            <w:rStyle w:val="Hyperlink"/>
            <w:rFonts w:ascii="Times New Roman" w:hAnsi="Times New Roman" w:cs="Times New Roman"/>
            <w:b/>
            <w:bCs/>
          </w:rPr>
          <w:t>https://doi.org/10.1016/j.quascirev.2005.02.001</w:t>
        </w:r>
      </w:hyperlink>
      <w:r>
        <w:rPr>
          <w:rFonts w:ascii="Times New Roman" w:hAnsi="Times New Roman" w:cs="Times New Roman"/>
          <w:b/>
          <w:bCs/>
        </w:rPr>
        <w:t xml:space="preserve"> </w:t>
      </w:r>
    </w:p>
    <w:p w14:paraId="6364DF82"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r w:rsidRPr="00D37315">
        <w:rPr>
          <w:rFonts w:ascii="Times New Roman" w:hAnsi="Times New Roman" w:cs="Times New Roman"/>
          <w:b/>
          <w:bCs/>
          <w:lang w:val="fr-FR"/>
        </w:rPr>
        <w:t xml:space="preserve">Servant M (1973). </w:t>
      </w:r>
      <w:r w:rsidRPr="00AD754D">
        <w:rPr>
          <w:rFonts w:ascii="Times New Roman" w:hAnsi="Times New Roman" w:cs="Times New Roman"/>
          <w:lang w:val="fr-FR"/>
        </w:rPr>
        <w:t xml:space="preserve"> Séquences continentales et variations climatiques. Evolution du bassin du Tchad au </w:t>
      </w:r>
      <w:proofErr w:type="spellStart"/>
      <w:r w:rsidRPr="00AD754D">
        <w:rPr>
          <w:rFonts w:ascii="Times New Roman" w:hAnsi="Times New Roman" w:cs="Times New Roman"/>
          <w:lang w:val="fr-FR"/>
        </w:rPr>
        <w:t>Cenozofque</w:t>
      </w:r>
      <w:proofErr w:type="spellEnd"/>
      <w:r w:rsidRPr="00AD754D">
        <w:rPr>
          <w:rFonts w:ascii="Times New Roman" w:hAnsi="Times New Roman" w:cs="Times New Roman"/>
          <w:lang w:val="fr-FR"/>
        </w:rPr>
        <w:t xml:space="preserve"> sup</w:t>
      </w:r>
      <w:r w:rsidRPr="00AD754D">
        <w:rPr>
          <w:rFonts w:ascii="Cambria Math" w:hAnsi="Cambria Math" w:cs="Cambria Math"/>
          <w:lang w:val="fr-FR"/>
        </w:rPr>
        <w:t>∼</w:t>
      </w:r>
      <w:r w:rsidRPr="00AD754D">
        <w:rPr>
          <w:rFonts w:ascii="Times New Roman" w:hAnsi="Times New Roman" w:cs="Times New Roman"/>
          <w:lang w:val="fr-FR"/>
        </w:rPr>
        <w:t xml:space="preserve"> rieur. Thèse. </w:t>
      </w:r>
      <w:r w:rsidRPr="00D37315">
        <w:rPr>
          <w:rFonts w:ascii="Times New Roman" w:hAnsi="Times New Roman" w:cs="Times New Roman"/>
          <w:lang w:val="en-US"/>
        </w:rPr>
        <w:t xml:space="preserve">Sciences, </w:t>
      </w:r>
      <w:proofErr w:type="spellStart"/>
      <w:r w:rsidRPr="00D37315">
        <w:rPr>
          <w:rFonts w:ascii="Times New Roman" w:hAnsi="Times New Roman" w:cs="Times New Roman"/>
          <w:lang w:val="en-US"/>
        </w:rPr>
        <w:t>Universit</w:t>
      </w:r>
      <w:proofErr w:type="spellEnd"/>
      <w:r w:rsidRPr="00D37315">
        <w:rPr>
          <w:rFonts w:ascii="Cambria Math" w:hAnsi="Cambria Math" w:cs="Cambria Math"/>
          <w:lang w:val="en-US"/>
        </w:rPr>
        <w:t>∼</w:t>
      </w:r>
      <w:r w:rsidRPr="00D37315">
        <w:rPr>
          <w:rFonts w:ascii="Times New Roman" w:hAnsi="Times New Roman" w:cs="Times New Roman"/>
          <w:lang w:val="en-US"/>
        </w:rPr>
        <w:t xml:space="preserve"> Paris VI.</w:t>
      </w:r>
    </w:p>
    <w:p w14:paraId="2FDF7A4F" w14:textId="24BC9C9D" w:rsidR="00B41788" w:rsidRPr="00D37315" w:rsidRDefault="00791E09" w:rsidP="00791E09">
      <w:pPr>
        <w:pStyle w:val="ListParagraph"/>
        <w:numPr>
          <w:ilvl w:val="0"/>
          <w:numId w:val="8"/>
        </w:numPr>
        <w:spacing w:after="0" w:line="360" w:lineRule="auto"/>
        <w:jc w:val="both"/>
        <w:rPr>
          <w:rFonts w:ascii="Times New Roman" w:hAnsi="Times New Roman" w:cs="Times New Roman"/>
          <w:lang w:val="en-US"/>
        </w:rPr>
      </w:pPr>
      <w:r w:rsidRPr="00791E09">
        <w:rPr>
          <w:rFonts w:ascii="Times New Roman" w:hAnsi="Times New Roman" w:cs="Times New Roman"/>
          <w:b/>
          <w:bCs/>
          <w:lang w:val="en-US"/>
        </w:rPr>
        <w:t xml:space="preserve">Singhal, T. (2020). A review of coronavirus disease-2019 (COVID-19). Indian Journal of Pediatrics, 87(4), 281-286. </w:t>
      </w:r>
      <w:hyperlink r:id="rId38" w:history="1">
        <w:r w:rsidRPr="008066E9">
          <w:rPr>
            <w:rStyle w:val="Hyperlink"/>
            <w:rFonts w:ascii="Times New Roman" w:hAnsi="Times New Roman" w:cs="Times New Roman"/>
            <w:b/>
            <w:bCs/>
            <w:lang w:val="en-US"/>
          </w:rPr>
          <w:t>https://doi.org/10.1007/s12098-020-03263-6</w:t>
        </w:r>
      </w:hyperlink>
      <w:r>
        <w:rPr>
          <w:rFonts w:ascii="Times New Roman" w:hAnsi="Times New Roman" w:cs="Times New Roman"/>
          <w:b/>
          <w:bCs/>
          <w:lang w:val="en-US"/>
        </w:rPr>
        <w:t xml:space="preserve"> </w:t>
      </w:r>
    </w:p>
    <w:p w14:paraId="2B63FABF" w14:textId="49B65911" w:rsidR="00B41788" w:rsidRPr="00D37315" w:rsidRDefault="0093101C" w:rsidP="0093101C">
      <w:pPr>
        <w:pStyle w:val="ListParagraph"/>
        <w:numPr>
          <w:ilvl w:val="0"/>
          <w:numId w:val="8"/>
        </w:numPr>
        <w:spacing w:after="0" w:line="360" w:lineRule="auto"/>
        <w:jc w:val="both"/>
        <w:rPr>
          <w:rFonts w:ascii="Times New Roman" w:hAnsi="Times New Roman" w:cs="Times New Roman"/>
          <w:lang w:val="en-US"/>
        </w:rPr>
      </w:pPr>
      <w:proofErr w:type="spellStart"/>
      <w:r w:rsidRPr="0093101C">
        <w:rPr>
          <w:rFonts w:ascii="Times New Roman" w:hAnsi="Times New Roman" w:cs="Times New Roman"/>
          <w:b/>
          <w:bCs/>
          <w:lang w:val="en-US"/>
        </w:rPr>
        <w:t>Sunkari</w:t>
      </w:r>
      <w:proofErr w:type="spellEnd"/>
      <w:r w:rsidRPr="0093101C">
        <w:rPr>
          <w:rFonts w:ascii="Times New Roman" w:hAnsi="Times New Roman" w:cs="Times New Roman"/>
          <w:b/>
          <w:bCs/>
          <w:lang w:val="en-US"/>
        </w:rPr>
        <w:t xml:space="preserve">, E. D., </w:t>
      </w:r>
      <w:proofErr w:type="spellStart"/>
      <w:r w:rsidRPr="0093101C">
        <w:rPr>
          <w:rFonts w:ascii="Times New Roman" w:hAnsi="Times New Roman" w:cs="Times New Roman"/>
          <w:b/>
          <w:bCs/>
          <w:lang w:val="en-US"/>
        </w:rPr>
        <w:t>Abangba</w:t>
      </w:r>
      <w:proofErr w:type="spellEnd"/>
      <w:r w:rsidRPr="0093101C">
        <w:rPr>
          <w:rFonts w:ascii="Times New Roman" w:hAnsi="Times New Roman" w:cs="Times New Roman"/>
          <w:b/>
          <w:bCs/>
          <w:lang w:val="en-US"/>
        </w:rPr>
        <w:t xml:space="preserve">, T., </w:t>
      </w:r>
      <w:proofErr w:type="spellStart"/>
      <w:r w:rsidRPr="0093101C">
        <w:rPr>
          <w:rFonts w:ascii="Times New Roman" w:hAnsi="Times New Roman" w:cs="Times New Roman"/>
          <w:b/>
          <w:bCs/>
          <w:lang w:val="en-US"/>
        </w:rPr>
        <w:t>Ewusi</w:t>
      </w:r>
      <w:proofErr w:type="spellEnd"/>
      <w:r w:rsidRPr="0093101C">
        <w:rPr>
          <w:rFonts w:ascii="Times New Roman" w:hAnsi="Times New Roman" w:cs="Times New Roman"/>
          <w:b/>
          <w:bCs/>
          <w:lang w:val="en-US"/>
        </w:rPr>
        <w:t xml:space="preserve">, A., Tetteh, S. E. K., &amp; Ofosu, E. (2023). Hydrogeochemical evolution and assessment of groundwater quality for drinking and irrigation purposes in the </w:t>
      </w:r>
      <w:proofErr w:type="spellStart"/>
      <w:r w:rsidRPr="0093101C">
        <w:rPr>
          <w:rFonts w:ascii="Times New Roman" w:hAnsi="Times New Roman" w:cs="Times New Roman"/>
          <w:b/>
          <w:bCs/>
          <w:lang w:val="en-US"/>
        </w:rPr>
        <w:t>Gushegu</w:t>
      </w:r>
      <w:proofErr w:type="spellEnd"/>
      <w:r w:rsidRPr="0093101C">
        <w:rPr>
          <w:rFonts w:ascii="Times New Roman" w:hAnsi="Times New Roman" w:cs="Times New Roman"/>
          <w:b/>
          <w:bCs/>
          <w:lang w:val="en-US"/>
        </w:rPr>
        <w:t xml:space="preserve"> Municipality and some parts of East </w:t>
      </w:r>
      <w:proofErr w:type="spellStart"/>
      <w:r w:rsidRPr="0093101C">
        <w:rPr>
          <w:rFonts w:ascii="Times New Roman" w:hAnsi="Times New Roman" w:cs="Times New Roman"/>
          <w:b/>
          <w:bCs/>
          <w:lang w:val="en-US"/>
        </w:rPr>
        <w:t>Mamprusi</w:t>
      </w:r>
      <w:proofErr w:type="spellEnd"/>
      <w:r w:rsidRPr="0093101C">
        <w:rPr>
          <w:rFonts w:ascii="Times New Roman" w:hAnsi="Times New Roman" w:cs="Times New Roman"/>
          <w:b/>
          <w:bCs/>
          <w:lang w:val="en-US"/>
        </w:rPr>
        <w:t xml:space="preserve"> District, Ghana. Environmental Monitoring and Assessment, 195(1), 165. </w:t>
      </w:r>
      <w:hyperlink r:id="rId39" w:history="1">
        <w:r w:rsidRPr="008066E9">
          <w:rPr>
            <w:rStyle w:val="Hyperlink"/>
            <w:rFonts w:ascii="Times New Roman" w:hAnsi="Times New Roman" w:cs="Times New Roman"/>
            <w:b/>
            <w:bCs/>
            <w:lang w:val="en-US"/>
          </w:rPr>
          <w:t>https://doi.org/10.1007/s10661-022-10731-3</w:t>
        </w:r>
      </w:hyperlink>
      <w:r>
        <w:rPr>
          <w:rFonts w:ascii="Times New Roman" w:hAnsi="Times New Roman" w:cs="Times New Roman"/>
          <w:b/>
          <w:bCs/>
          <w:lang w:val="en-US"/>
        </w:rPr>
        <w:t xml:space="preserve"> </w:t>
      </w:r>
    </w:p>
    <w:p w14:paraId="35974741" w14:textId="4288BE65" w:rsidR="00B41788" w:rsidRPr="00D37315" w:rsidRDefault="001B1445" w:rsidP="001B1445">
      <w:pPr>
        <w:pStyle w:val="ListParagraph"/>
        <w:numPr>
          <w:ilvl w:val="0"/>
          <w:numId w:val="8"/>
        </w:numPr>
        <w:spacing w:after="0" w:line="360" w:lineRule="auto"/>
        <w:jc w:val="both"/>
        <w:rPr>
          <w:rFonts w:ascii="Times New Roman" w:hAnsi="Times New Roman" w:cs="Times New Roman"/>
          <w:lang w:val="en-US"/>
        </w:rPr>
      </w:pPr>
      <w:r w:rsidRPr="001B1445">
        <w:rPr>
          <w:rFonts w:ascii="Times New Roman" w:hAnsi="Times New Roman" w:cs="Times New Roman"/>
          <w:b/>
          <w:bCs/>
          <w:lang w:val="en-US"/>
        </w:rPr>
        <w:t xml:space="preserve">Swain, S., Sahoo, S., &amp; </w:t>
      </w:r>
      <w:proofErr w:type="spellStart"/>
      <w:r w:rsidRPr="001B1445">
        <w:rPr>
          <w:rFonts w:ascii="Times New Roman" w:hAnsi="Times New Roman" w:cs="Times New Roman"/>
          <w:b/>
          <w:bCs/>
          <w:lang w:val="en-US"/>
        </w:rPr>
        <w:t>Taloor</w:t>
      </w:r>
      <w:proofErr w:type="spellEnd"/>
      <w:r w:rsidRPr="001B1445">
        <w:rPr>
          <w:rFonts w:ascii="Times New Roman" w:hAnsi="Times New Roman" w:cs="Times New Roman"/>
          <w:b/>
          <w:bCs/>
          <w:lang w:val="en-US"/>
        </w:rPr>
        <w:t xml:space="preserve">, A. K. (2022). Groundwater quality assessment using geospatial and statistical approaches over Faridabad and Gurgaon districts of National Capital Region, India. Applied Water Science, 12(4), 75. </w:t>
      </w:r>
      <w:hyperlink r:id="rId40" w:history="1">
        <w:r w:rsidRPr="008066E9">
          <w:rPr>
            <w:rStyle w:val="Hyperlink"/>
            <w:rFonts w:ascii="Times New Roman" w:hAnsi="Times New Roman" w:cs="Times New Roman"/>
            <w:b/>
            <w:bCs/>
            <w:lang w:val="en-US"/>
          </w:rPr>
          <w:t>https://doi.org/10.1007/s12665-022-01009-2</w:t>
        </w:r>
      </w:hyperlink>
      <w:r>
        <w:rPr>
          <w:rFonts w:ascii="Times New Roman" w:hAnsi="Times New Roman" w:cs="Times New Roman"/>
          <w:b/>
          <w:bCs/>
          <w:lang w:val="en-US"/>
        </w:rPr>
        <w:t xml:space="preserve"> </w:t>
      </w:r>
    </w:p>
    <w:p w14:paraId="0795689A" w14:textId="5634C850" w:rsidR="00B41788" w:rsidRPr="001E5029" w:rsidRDefault="002B022C" w:rsidP="002B022C">
      <w:pPr>
        <w:pStyle w:val="Default"/>
        <w:numPr>
          <w:ilvl w:val="0"/>
          <w:numId w:val="8"/>
        </w:numPr>
        <w:spacing w:line="360" w:lineRule="auto"/>
        <w:jc w:val="both"/>
        <w:rPr>
          <w:rFonts w:ascii="Times New Roman" w:hAnsi="Times New Roman" w:cs="Times New Roman"/>
          <w:color w:val="auto"/>
          <w:lang w:val="en-US"/>
        </w:rPr>
      </w:pPr>
      <w:proofErr w:type="spellStart"/>
      <w:r w:rsidRPr="002B022C">
        <w:rPr>
          <w:rFonts w:ascii="Times New Roman" w:hAnsi="Times New Roman" w:cs="Times New Roman"/>
          <w:b/>
          <w:bCs/>
          <w:color w:val="auto"/>
          <w:lang w:val="en-US"/>
        </w:rPr>
        <w:t>Wederni</w:t>
      </w:r>
      <w:proofErr w:type="spellEnd"/>
      <w:r w:rsidRPr="002B022C">
        <w:rPr>
          <w:rFonts w:ascii="Times New Roman" w:hAnsi="Times New Roman" w:cs="Times New Roman"/>
          <w:b/>
          <w:bCs/>
          <w:color w:val="auto"/>
          <w:lang w:val="en-US"/>
        </w:rPr>
        <w:t xml:space="preserve">, K., </w:t>
      </w:r>
      <w:proofErr w:type="spellStart"/>
      <w:r w:rsidRPr="002B022C">
        <w:rPr>
          <w:rFonts w:ascii="Times New Roman" w:hAnsi="Times New Roman" w:cs="Times New Roman"/>
          <w:b/>
          <w:bCs/>
          <w:color w:val="auto"/>
          <w:lang w:val="en-US"/>
        </w:rPr>
        <w:t>Alaya</w:t>
      </w:r>
      <w:proofErr w:type="spellEnd"/>
      <w:r w:rsidRPr="002B022C">
        <w:rPr>
          <w:rFonts w:ascii="Times New Roman" w:hAnsi="Times New Roman" w:cs="Times New Roman"/>
          <w:b/>
          <w:bCs/>
          <w:color w:val="auto"/>
          <w:lang w:val="en-US"/>
        </w:rPr>
        <w:t xml:space="preserve">, M. B., </w:t>
      </w:r>
      <w:proofErr w:type="spellStart"/>
      <w:r w:rsidRPr="002B022C">
        <w:rPr>
          <w:rFonts w:ascii="Times New Roman" w:hAnsi="Times New Roman" w:cs="Times New Roman"/>
          <w:b/>
          <w:bCs/>
          <w:color w:val="auto"/>
          <w:lang w:val="en-US"/>
        </w:rPr>
        <w:t>Missaoui</w:t>
      </w:r>
      <w:proofErr w:type="spellEnd"/>
      <w:r w:rsidRPr="002B022C">
        <w:rPr>
          <w:rFonts w:ascii="Times New Roman" w:hAnsi="Times New Roman" w:cs="Times New Roman"/>
          <w:b/>
          <w:bCs/>
          <w:color w:val="auto"/>
          <w:lang w:val="en-US"/>
        </w:rPr>
        <w:t xml:space="preserve">, R., &amp; Hamed, Y. (2023). Assessment of groundwater hydrogeochemical characteristics and salinization intrusion in coastal arid area (South </w:t>
      </w:r>
      <w:proofErr w:type="spellStart"/>
      <w:r w:rsidRPr="002B022C">
        <w:rPr>
          <w:rFonts w:ascii="Times New Roman" w:hAnsi="Times New Roman" w:cs="Times New Roman"/>
          <w:b/>
          <w:bCs/>
          <w:color w:val="auto"/>
          <w:lang w:val="en-US"/>
        </w:rPr>
        <w:t>Gab`es</w:t>
      </w:r>
      <w:proofErr w:type="spellEnd"/>
      <w:r w:rsidRPr="002B022C">
        <w:rPr>
          <w:rFonts w:ascii="Times New Roman" w:hAnsi="Times New Roman" w:cs="Times New Roman"/>
          <w:b/>
          <w:bCs/>
          <w:color w:val="auto"/>
          <w:lang w:val="en-US"/>
        </w:rPr>
        <w:t xml:space="preserve">, South-East Tunisia). Journal of African Earth Sciences, 200, 104875. </w:t>
      </w:r>
      <w:hyperlink r:id="rId41" w:history="1">
        <w:r w:rsidRPr="008066E9">
          <w:rPr>
            <w:rStyle w:val="Hyperlink"/>
            <w:rFonts w:ascii="Times New Roman" w:hAnsi="Times New Roman" w:cs="Times New Roman"/>
            <w:b/>
            <w:bCs/>
            <w:lang w:val="en-US"/>
          </w:rPr>
          <w:t>https://doi.org/10.1016/j.jafrearsci.2023.104875</w:t>
        </w:r>
      </w:hyperlink>
      <w:r>
        <w:rPr>
          <w:rFonts w:ascii="Times New Roman" w:hAnsi="Times New Roman" w:cs="Times New Roman"/>
          <w:b/>
          <w:bCs/>
          <w:color w:val="auto"/>
          <w:lang w:val="en-US"/>
        </w:rPr>
        <w:t xml:space="preserve"> </w:t>
      </w:r>
    </w:p>
    <w:p w14:paraId="09DA8336" w14:textId="77777777" w:rsidR="00B41788" w:rsidRPr="00D37315" w:rsidRDefault="00B41788" w:rsidP="00D37315">
      <w:pPr>
        <w:pStyle w:val="ListParagraph"/>
        <w:numPr>
          <w:ilvl w:val="0"/>
          <w:numId w:val="8"/>
        </w:numPr>
        <w:spacing w:after="0" w:line="360" w:lineRule="auto"/>
        <w:jc w:val="both"/>
        <w:rPr>
          <w:rFonts w:ascii="Times New Roman" w:hAnsi="Times New Roman" w:cs="Times New Roman"/>
          <w:lang w:val="en-US"/>
        </w:rPr>
      </w:pPr>
      <w:r w:rsidRPr="00D37315">
        <w:rPr>
          <w:rFonts w:ascii="Times New Roman" w:hAnsi="Times New Roman" w:cs="Times New Roman"/>
          <w:b/>
          <w:bCs/>
          <w:lang w:val="en-US"/>
        </w:rPr>
        <w:t>Wilcox, L.V., 1955</w:t>
      </w:r>
      <w:r w:rsidRPr="00D37315">
        <w:rPr>
          <w:rFonts w:ascii="Times New Roman" w:hAnsi="Times New Roman" w:cs="Times New Roman"/>
          <w:lang w:val="en-US"/>
        </w:rPr>
        <w:t>. Classification and use of irrigation water. US Geol. Dept. Agric. Circ. 969, 19.</w:t>
      </w:r>
    </w:p>
    <w:p w14:paraId="1EE868FD" w14:textId="34CF5BB6" w:rsidR="00B41788" w:rsidRPr="00AD754D" w:rsidRDefault="007B4213" w:rsidP="007B4213">
      <w:pPr>
        <w:pStyle w:val="ListParagraph"/>
        <w:numPr>
          <w:ilvl w:val="0"/>
          <w:numId w:val="8"/>
        </w:numPr>
        <w:spacing w:after="0" w:line="360" w:lineRule="auto"/>
        <w:jc w:val="both"/>
        <w:rPr>
          <w:rFonts w:ascii="Times New Roman" w:hAnsi="Times New Roman" w:cs="Times New Roman"/>
        </w:rPr>
      </w:pPr>
      <w:r w:rsidRPr="007B4213">
        <w:rPr>
          <w:rFonts w:ascii="Times New Roman" w:hAnsi="Times New Roman" w:cs="Times New Roman"/>
          <w:b/>
          <w:bCs/>
          <w:lang w:val="en-US"/>
        </w:rPr>
        <w:t xml:space="preserve">World Health Organization. (2017). World health statistics 2017: Monitoring health for the SDGs, sustainable development goals. </w:t>
      </w:r>
      <w:hyperlink r:id="rId42" w:history="1">
        <w:r w:rsidRPr="008066E9">
          <w:rPr>
            <w:rStyle w:val="Hyperlink"/>
            <w:rFonts w:ascii="Times New Roman" w:hAnsi="Times New Roman" w:cs="Times New Roman"/>
            <w:b/>
            <w:bCs/>
            <w:lang w:val="en-US"/>
          </w:rPr>
          <w:t>http://www.who.int/gho/publications/world_health_statistics/2017/en/</w:t>
        </w:r>
      </w:hyperlink>
      <w:r>
        <w:rPr>
          <w:rFonts w:ascii="Times New Roman" w:hAnsi="Times New Roman" w:cs="Times New Roman"/>
          <w:b/>
          <w:bCs/>
          <w:lang w:val="en-US"/>
        </w:rPr>
        <w:t xml:space="preserve"> </w:t>
      </w:r>
    </w:p>
    <w:p w14:paraId="5510787E" w14:textId="07DFAA55" w:rsidR="00B41788" w:rsidRPr="001E5029" w:rsidRDefault="00A547C9" w:rsidP="00A547C9">
      <w:pPr>
        <w:pStyle w:val="Default"/>
        <w:numPr>
          <w:ilvl w:val="0"/>
          <w:numId w:val="8"/>
        </w:numPr>
        <w:spacing w:line="360" w:lineRule="auto"/>
        <w:jc w:val="both"/>
        <w:rPr>
          <w:rFonts w:ascii="Times New Roman" w:hAnsi="Times New Roman" w:cs="Times New Roman"/>
          <w:color w:val="auto"/>
        </w:rPr>
      </w:pPr>
      <w:r w:rsidRPr="00A547C9">
        <w:rPr>
          <w:rFonts w:ascii="Times New Roman" w:hAnsi="Times New Roman" w:cs="Times New Roman"/>
          <w:b/>
          <w:bCs/>
          <w:color w:val="auto"/>
        </w:rPr>
        <w:t xml:space="preserve">Yu, C., Yin, X., Li, H., &amp; Yang, Z. (2020). </w:t>
      </w:r>
      <w:r w:rsidRPr="00AD754D">
        <w:rPr>
          <w:rFonts w:ascii="Times New Roman" w:hAnsi="Times New Roman" w:cs="Times New Roman"/>
          <w:b/>
          <w:bCs/>
          <w:color w:val="auto"/>
          <w:lang w:val="en-US"/>
        </w:rPr>
        <w:t xml:space="preserve">A hybrid water-quality-index and grey water footprint assessment approach for comprehensively evaluating water resources utilization considering multiple pollutants. </w:t>
      </w:r>
      <w:r w:rsidRPr="00A547C9">
        <w:rPr>
          <w:rFonts w:ascii="Times New Roman" w:hAnsi="Times New Roman" w:cs="Times New Roman"/>
          <w:b/>
          <w:bCs/>
          <w:color w:val="auto"/>
        </w:rPr>
        <w:t xml:space="preserve">Journal of Cleaner Production, 248, 119225. </w:t>
      </w:r>
      <w:hyperlink r:id="rId43" w:history="1">
        <w:r w:rsidRPr="008066E9">
          <w:rPr>
            <w:rStyle w:val="Hyperlink"/>
            <w:rFonts w:ascii="Times New Roman" w:hAnsi="Times New Roman" w:cs="Times New Roman"/>
            <w:b/>
            <w:bCs/>
          </w:rPr>
          <w:t>https://doi.org/10.1016/j.jclepro.2019.119225</w:t>
        </w:r>
      </w:hyperlink>
      <w:r>
        <w:rPr>
          <w:rFonts w:ascii="Times New Roman" w:hAnsi="Times New Roman" w:cs="Times New Roman"/>
          <w:b/>
          <w:bCs/>
          <w:color w:val="auto"/>
        </w:rPr>
        <w:t xml:space="preserve"> </w:t>
      </w:r>
    </w:p>
    <w:p w14:paraId="73EB57A8" w14:textId="672AC816" w:rsidR="00B41788" w:rsidRPr="00D37315" w:rsidRDefault="00D9770E" w:rsidP="00D9770E">
      <w:pPr>
        <w:pStyle w:val="ListParagraph"/>
        <w:numPr>
          <w:ilvl w:val="0"/>
          <w:numId w:val="8"/>
        </w:numPr>
        <w:spacing w:after="0" w:line="360" w:lineRule="auto"/>
        <w:jc w:val="both"/>
        <w:rPr>
          <w:rFonts w:ascii="Times New Roman" w:hAnsi="Times New Roman" w:cs="Times New Roman"/>
          <w:lang w:val="en-US"/>
        </w:rPr>
      </w:pPr>
      <w:r w:rsidRPr="00D9770E">
        <w:rPr>
          <w:rFonts w:ascii="Times New Roman" w:hAnsi="Times New Roman" w:cs="Times New Roman"/>
          <w:b/>
          <w:bCs/>
          <w:lang w:val="en-US"/>
        </w:rPr>
        <w:t xml:space="preserve">Zhang, Y., He, Z., Tian, H., </w:t>
      </w:r>
      <w:proofErr w:type="spellStart"/>
      <w:r w:rsidRPr="00D9770E">
        <w:rPr>
          <w:rFonts w:ascii="Times New Roman" w:hAnsi="Times New Roman" w:cs="Times New Roman"/>
          <w:b/>
          <w:bCs/>
          <w:lang w:val="en-US"/>
        </w:rPr>
        <w:t>Xun</w:t>
      </w:r>
      <w:proofErr w:type="spellEnd"/>
      <w:r w:rsidRPr="00D9770E">
        <w:rPr>
          <w:rFonts w:ascii="Times New Roman" w:hAnsi="Times New Roman" w:cs="Times New Roman"/>
          <w:b/>
          <w:bCs/>
          <w:lang w:val="en-US"/>
        </w:rPr>
        <w:t xml:space="preserve">, H., </w:t>
      </w:r>
      <w:proofErr w:type="spellStart"/>
      <w:r w:rsidRPr="00D9770E">
        <w:rPr>
          <w:rFonts w:ascii="Times New Roman" w:hAnsi="Times New Roman" w:cs="Times New Roman"/>
          <w:b/>
          <w:bCs/>
          <w:lang w:val="en-US"/>
        </w:rPr>
        <w:t>Zhixiong</w:t>
      </w:r>
      <w:proofErr w:type="spellEnd"/>
      <w:r w:rsidRPr="00D9770E">
        <w:rPr>
          <w:rFonts w:ascii="Times New Roman" w:hAnsi="Times New Roman" w:cs="Times New Roman"/>
          <w:b/>
          <w:bCs/>
          <w:lang w:val="en-US"/>
        </w:rPr>
        <w:t xml:space="preserve">, Z., Yang, L., Yong, X., &amp; Rui, L. (2021). Hydrochemistry appraisal, quality assessment and health risk evaluation of shallow groundwater in the </w:t>
      </w:r>
      <w:proofErr w:type="spellStart"/>
      <w:r w:rsidRPr="00D9770E">
        <w:rPr>
          <w:rFonts w:ascii="Times New Roman" w:hAnsi="Times New Roman" w:cs="Times New Roman"/>
          <w:b/>
          <w:bCs/>
          <w:lang w:val="en-US"/>
        </w:rPr>
        <w:t>Mianyang</w:t>
      </w:r>
      <w:proofErr w:type="spellEnd"/>
      <w:r w:rsidRPr="00D9770E">
        <w:rPr>
          <w:rFonts w:ascii="Times New Roman" w:hAnsi="Times New Roman" w:cs="Times New Roman"/>
          <w:b/>
          <w:bCs/>
          <w:lang w:val="en-US"/>
        </w:rPr>
        <w:t xml:space="preserve"> area of Sichuan Basin, southwestern China. Environmental Earth Sciences. </w:t>
      </w:r>
      <w:hyperlink r:id="rId44" w:history="1">
        <w:r w:rsidRPr="008066E9">
          <w:rPr>
            <w:rStyle w:val="Hyperlink"/>
            <w:rFonts w:ascii="Times New Roman" w:hAnsi="Times New Roman" w:cs="Times New Roman"/>
            <w:b/>
            <w:bCs/>
            <w:lang w:val="en-US"/>
          </w:rPr>
          <w:t>https://doi.org/10.1007/s12665-021-09894-y</w:t>
        </w:r>
      </w:hyperlink>
      <w:r>
        <w:rPr>
          <w:rFonts w:ascii="Times New Roman" w:hAnsi="Times New Roman" w:cs="Times New Roman"/>
          <w:b/>
          <w:bCs/>
          <w:lang w:val="en-US"/>
        </w:rPr>
        <w:t xml:space="preserve"> </w:t>
      </w:r>
    </w:p>
    <w:p w14:paraId="268EB8BA" w14:textId="5E7DD1ED" w:rsidR="00B41788" w:rsidRPr="00D37315" w:rsidRDefault="007308A5" w:rsidP="007308A5">
      <w:pPr>
        <w:pStyle w:val="ListParagraph"/>
        <w:numPr>
          <w:ilvl w:val="0"/>
          <w:numId w:val="8"/>
        </w:numPr>
        <w:spacing w:after="0" w:line="360" w:lineRule="auto"/>
        <w:jc w:val="both"/>
        <w:rPr>
          <w:rFonts w:ascii="Times New Roman" w:hAnsi="Times New Roman" w:cs="Times New Roman"/>
          <w:lang w:val="en-US"/>
        </w:rPr>
      </w:pPr>
      <w:r w:rsidRPr="007308A5">
        <w:rPr>
          <w:rFonts w:ascii="Times New Roman" w:hAnsi="Times New Roman" w:cs="Times New Roman"/>
          <w:b/>
          <w:bCs/>
          <w:lang w:val="en-US"/>
        </w:rPr>
        <w:lastRenderedPageBreak/>
        <w:t xml:space="preserve">Zhu, Y., </w:t>
      </w:r>
      <w:proofErr w:type="spellStart"/>
      <w:r w:rsidRPr="007308A5">
        <w:rPr>
          <w:rFonts w:ascii="Times New Roman" w:hAnsi="Times New Roman" w:cs="Times New Roman"/>
          <w:b/>
          <w:bCs/>
          <w:lang w:val="en-US"/>
        </w:rPr>
        <w:t>Vvedenskaya</w:t>
      </w:r>
      <w:proofErr w:type="spellEnd"/>
      <w:r w:rsidRPr="007308A5">
        <w:rPr>
          <w:rFonts w:ascii="Times New Roman" w:hAnsi="Times New Roman" w:cs="Times New Roman"/>
          <w:b/>
          <w:bCs/>
          <w:lang w:val="en-US"/>
        </w:rPr>
        <w:t xml:space="preserve">, I. O., Sze, S.-H., Nickels, B. E., &amp; Kaplan, C. D. (2024). Quantitative analysis of transcription start site selection reveals control by DNA sequence, RNA polymerase II activity and NTP levels. Nature Structural &amp; Molecular Biology, 31(1), 190-202. </w:t>
      </w:r>
      <w:hyperlink r:id="rId45" w:history="1">
        <w:r w:rsidRPr="008066E9">
          <w:rPr>
            <w:rStyle w:val="Hyperlink"/>
            <w:rFonts w:ascii="Times New Roman" w:hAnsi="Times New Roman" w:cs="Times New Roman"/>
            <w:b/>
            <w:bCs/>
            <w:lang w:val="en-US"/>
          </w:rPr>
          <w:t>https://doi.org/10.1038/s41594-023-01171-9</w:t>
        </w:r>
      </w:hyperlink>
      <w:r>
        <w:rPr>
          <w:rFonts w:ascii="Times New Roman" w:hAnsi="Times New Roman" w:cs="Times New Roman"/>
          <w:b/>
          <w:bCs/>
          <w:lang w:val="en-US"/>
        </w:rPr>
        <w:t xml:space="preserve"> </w:t>
      </w:r>
      <w:r w:rsidR="00B41788" w:rsidRPr="00D37315">
        <w:rPr>
          <w:rFonts w:ascii="Times New Roman" w:hAnsi="Times New Roman" w:cs="Times New Roman"/>
          <w:lang w:val="en-US"/>
        </w:rPr>
        <w:t xml:space="preserve"> </w:t>
      </w:r>
    </w:p>
    <w:sectPr w:rsidR="00B41788" w:rsidRPr="00D37315">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6005C5" w14:textId="77777777" w:rsidR="00E818C1" w:rsidRDefault="00E818C1" w:rsidP="003A77EB">
      <w:pPr>
        <w:spacing w:after="0" w:line="240" w:lineRule="auto"/>
      </w:pPr>
      <w:r>
        <w:separator/>
      </w:r>
    </w:p>
  </w:endnote>
  <w:endnote w:type="continuationSeparator" w:id="0">
    <w:p w14:paraId="6D242E5C" w14:textId="77777777" w:rsidR="00E818C1" w:rsidRDefault="00E818C1" w:rsidP="003A7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00000001" w:usb1="00000003" w:usb2="00000000" w:usb3="00000000" w:csb0="0000019F" w:csb1="00000000"/>
  </w:font>
  <w:font w:name="Aptos Display">
    <w:altName w:val="Calibri"/>
    <w:charset w:val="00"/>
    <w:family w:val="swiss"/>
    <w:pitch w:val="variable"/>
    <w:sig w:usb0="00000001" w:usb1="00000003" w:usb2="00000000" w:usb3="00000000" w:csb0="0000019F" w:csb1="00000000"/>
  </w:font>
  <w:font w:name="Charis SIL">
    <w:altName w:val="Charis SI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68FA4" w14:textId="77777777" w:rsidR="00CB397C" w:rsidRDefault="00CB39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7844135"/>
      <w:docPartObj>
        <w:docPartGallery w:val="Page Numbers (Bottom of Page)"/>
        <w:docPartUnique/>
      </w:docPartObj>
    </w:sdtPr>
    <w:sdtEndPr/>
    <w:sdtContent>
      <w:p w14:paraId="45C98D60" w14:textId="41C8D341" w:rsidR="00B41788" w:rsidRDefault="00B41788">
        <w:pPr>
          <w:pStyle w:val="Footer"/>
          <w:jc w:val="center"/>
        </w:pPr>
        <w:r>
          <w:fldChar w:fldCharType="begin"/>
        </w:r>
        <w:r>
          <w:instrText>PAGE   \* MERGEFORMAT</w:instrText>
        </w:r>
        <w:r>
          <w:fldChar w:fldCharType="separate"/>
        </w:r>
        <w:r w:rsidR="00340C52" w:rsidRPr="00340C52">
          <w:rPr>
            <w:noProof/>
            <w:lang w:val="fr-FR"/>
          </w:rPr>
          <w:t>1</w:t>
        </w:r>
        <w:r>
          <w:fldChar w:fldCharType="end"/>
        </w:r>
      </w:p>
    </w:sdtContent>
  </w:sdt>
  <w:p w14:paraId="4BAFCD05" w14:textId="77777777" w:rsidR="00B41788" w:rsidRDefault="00B41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31D5D" w14:textId="77777777" w:rsidR="00CB397C" w:rsidRDefault="00CB39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69930F" w14:textId="77777777" w:rsidR="00E818C1" w:rsidRDefault="00E818C1" w:rsidP="003A77EB">
      <w:pPr>
        <w:spacing w:after="0" w:line="240" w:lineRule="auto"/>
      </w:pPr>
      <w:r>
        <w:separator/>
      </w:r>
    </w:p>
  </w:footnote>
  <w:footnote w:type="continuationSeparator" w:id="0">
    <w:p w14:paraId="373102FF" w14:textId="77777777" w:rsidR="00E818C1" w:rsidRDefault="00E818C1" w:rsidP="003A77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E1947" w14:textId="39C6E392" w:rsidR="00CB397C" w:rsidRDefault="00E818C1">
    <w:pPr>
      <w:pStyle w:val="Header"/>
    </w:pPr>
    <w:r>
      <w:rPr>
        <w:noProof/>
      </w:rPr>
      <w:pict w14:anchorId="7B1A44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138922" o:spid="_x0000_s2050" type="#_x0000_t136" style="position:absolute;margin-left:0;margin-top:0;width:574.6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0C858" w14:textId="3A4B5524" w:rsidR="00CB397C" w:rsidRDefault="00E818C1">
    <w:pPr>
      <w:pStyle w:val="Header"/>
    </w:pPr>
    <w:r>
      <w:rPr>
        <w:noProof/>
      </w:rPr>
      <w:pict w14:anchorId="63832C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138923" o:spid="_x0000_s2051" type="#_x0000_t136" style="position:absolute;margin-left:0;margin-top:0;width:574.6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3CA0F" w14:textId="72222F80" w:rsidR="00CB397C" w:rsidRDefault="00E818C1">
    <w:pPr>
      <w:pStyle w:val="Header"/>
    </w:pPr>
    <w:r>
      <w:rPr>
        <w:noProof/>
      </w:rPr>
      <w:pict w14:anchorId="19B28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6138921" o:spid="_x0000_s2049" type="#_x0000_t136" style="position:absolute;margin-left:0;margin-top:0;width:574.6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E21BF"/>
    <w:multiLevelType w:val="multilevel"/>
    <w:tmpl w:val="868E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A2C9A"/>
    <w:multiLevelType w:val="hybridMultilevel"/>
    <w:tmpl w:val="8774D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4B11B6"/>
    <w:multiLevelType w:val="multilevel"/>
    <w:tmpl w:val="3AF2B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944016"/>
    <w:multiLevelType w:val="multilevel"/>
    <w:tmpl w:val="911EB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F6782D"/>
    <w:multiLevelType w:val="multilevel"/>
    <w:tmpl w:val="671A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6C7AAB"/>
    <w:multiLevelType w:val="multilevel"/>
    <w:tmpl w:val="89D2A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93567E"/>
    <w:multiLevelType w:val="multilevel"/>
    <w:tmpl w:val="E54E7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2AB90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6"/>
  </w:num>
  <w:num w:numId="3">
    <w:abstractNumId w:val="3"/>
  </w:num>
  <w:num w:numId="4">
    <w:abstractNumId w:val="5"/>
  </w:num>
  <w:num w:numId="5">
    <w:abstractNumId w:val="7"/>
  </w:num>
  <w:num w:numId="6">
    <w:abstractNumId w:val="4"/>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820"/>
    <w:rsid w:val="00012B4D"/>
    <w:rsid w:val="00026C91"/>
    <w:rsid w:val="00074E8A"/>
    <w:rsid w:val="0007797F"/>
    <w:rsid w:val="000A593C"/>
    <w:rsid w:val="00104735"/>
    <w:rsid w:val="00120A5F"/>
    <w:rsid w:val="001370F8"/>
    <w:rsid w:val="001426B1"/>
    <w:rsid w:val="001623D3"/>
    <w:rsid w:val="00192C9A"/>
    <w:rsid w:val="00193B88"/>
    <w:rsid w:val="001A35AF"/>
    <w:rsid w:val="001B0EE5"/>
    <w:rsid w:val="001B1445"/>
    <w:rsid w:val="001B1834"/>
    <w:rsid w:val="001D53C4"/>
    <w:rsid w:val="001D7258"/>
    <w:rsid w:val="001F4618"/>
    <w:rsid w:val="00214D42"/>
    <w:rsid w:val="0026652C"/>
    <w:rsid w:val="00284AB7"/>
    <w:rsid w:val="00297671"/>
    <w:rsid w:val="002A18EE"/>
    <w:rsid w:val="002B022C"/>
    <w:rsid w:val="002E03EB"/>
    <w:rsid w:val="002E39D9"/>
    <w:rsid w:val="002E6688"/>
    <w:rsid w:val="003132D6"/>
    <w:rsid w:val="00340C52"/>
    <w:rsid w:val="003630D3"/>
    <w:rsid w:val="003A77EB"/>
    <w:rsid w:val="003C04C4"/>
    <w:rsid w:val="003E0DEE"/>
    <w:rsid w:val="003E6C52"/>
    <w:rsid w:val="00405248"/>
    <w:rsid w:val="00412996"/>
    <w:rsid w:val="00432780"/>
    <w:rsid w:val="00487D50"/>
    <w:rsid w:val="004D2B7B"/>
    <w:rsid w:val="004D50C6"/>
    <w:rsid w:val="005123B8"/>
    <w:rsid w:val="00535BA5"/>
    <w:rsid w:val="00535F75"/>
    <w:rsid w:val="00550CE6"/>
    <w:rsid w:val="00563839"/>
    <w:rsid w:val="00567A59"/>
    <w:rsid w:val="005A28F7"/>
    <w:rsid w:val="00625C94"/>
    <w:rsid w:val="0063325B"/>
    <w:rsid w:val="00692037"/>
    <w:rsid w:val="006B2820"/>
    <w:rsid w:val="006D10A1"/>
    <w:rsid w:val="00706E97"/>
    <w:rsid w:val="00712ACF"/>
    <w:rsid w:val="00714ECF"/>
    <w:rsid w:val="007308A5"/>
    <w:rsid w:val="00733C08"/>
    <w:rsid w:val="00746545"/>
    <w:rsid w:val="00750F8B"/>
    <w:rsid w:val="00791E09"/>
    <w:rsid w:val="007B4213"/>
    <w:rsid w:val="007C010F"/>
    <w:rsid w:val="007E2FCB"/>
    <w:rsid w:val="007E4123"/>
    <w:rsid w:val="00806024"/>
    <w:rsid w:val="0081074F"/>
    <w:rsid w:val="00816C93"/>
    <w:rsid w:val="00837C37"/>
    <w:rsid w:val="00853E2E"/>
    <w:rsid w:val="00887386"/>
    <w:rsid w:val="008A129B"/>
    <w:rsid w:val="008A168D"/>
    <w:rsid w:val="008A796F"/>
    <w:rsid w:val="008E414C"/>
    <w:rsid w:val="00901887"/>
    <w:rsid w:val="009132E9"/>
    <w:rsid w:val="0092572D"/>
    <w:rsid w:val="0093101C"/>
    <w:rsid w:val="009530EF"/>
    <w:rsid w:val="0098401F"/>
    <w:rsid w:val="009E1463"/>
    <w:rsid w:val="009E2F50"/>
    <w:rsid w:val="00A02377"/>
    <w:rsid w:val="00A0258B"/>
    <w:rsid w:val="00A40467"/>
    <w:rsid w:val="00A40F07"/>
    <w:rsid w:val="00A42648"/>
    <w:rsid w:val="00A46FC4"/>
    <w:rsid w:val="00A547C9"/>
    <w:rsid w:val="00A63A5E"/>
    <w:rsid w:val="00A7271E"/>
    <w:rsid w:val="00A80460"/>
    <w:rsid w:val="00AD754D"/>
    <w:rsid w:val="00B13E90"/>
    <w:rsid w:val="00B3170A"/>
    <w:rsid w:val="00B41788"/>
    <w:rsid w:val="00B82AA4"/>
    <w:rsid w:val="00BB4835"/>
    <w:rsid w:val="00BB777D"/>
    <w:rsid w:val="00BC07BB"/>
    <w:rsid w:val="00BD5D12"/>
    <w:rsid w:val="00C31E3B"/>
    <w:rsid w:val="00C67D9A"/>
    <w:rsid w:val="00C77D53"/>
    <w:rsid w:val="00C85E15"/>
    <w:rsid w:val="00CB397C"/>
    <w:rsid w:val="00D012CC"/>
    <w:rsid w:val="00D37315"/>
    <w:rsid w:val="00D5106E"/>
    <w:rsid w:val="00D9770E"/>
    <w:rsid w:val="00E43434"/>
    <w:rsid w:val="00E818C1"/>
    <w:rsid w:val="00E821EE"/>
    <w:rsid w:val="00E82E9C"/>
    <w:rsid w:val="00E86A67"/>
    <w:rsid w:val="00E95CB1"/>
    <w:rsid w:val="00EB727B"/>
    <w:rsid w:val="00F2700A"/>
    <w:rsid w:val="00F36391"/>
    <w:rsid w:val="00F43C07"/>
    <w:rsid w:val="00F91A56"/>
    <w:rsid w:val="00FF5F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DB4553"/>
  <w15:chartTrackingRefBased/>
  <w15:docId w15:val="{361BA739-9429-4F8B-9AB8-48A129E51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28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B28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B28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B28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B28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B28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B28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B28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B28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28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B28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B28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28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B28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B28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B28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B28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B2820"/>
    <w:rPr>
      <w:rFonts w:eastAsiaTheme="majorEastAsia" w:cstheme="majorBidi"/>
      <w:color w:val="272727" w:themeColor="text1" w:themeTint="D8"/>
    </w:rPr>
  </w:style>
  <w:style w:type="paragraph" w:styleId="Title">
    <w:name w:val="Title"/>
    <w:basedOn w:val="Normal"/>
    <w:next w:val="Normal"/>
    <w:link w:val="TitleChar"/>
    <w:uiPriority w:val="10"/>
    <w:qFormat/>
    <w:rsid w:val="006B28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B28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28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B28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B2820"/>
    <w:pPr>
      <w:spacing w:before="160"/>
      <w:jc w:val="center"/>
    </w:pPr>
    <w:rPr>
      <w:i/>
      <w:iCs/>
      <w:color w:val="404040" w:themeColor="text1" w:themeTint="BF"/>
    </w:rPr>
  </w:style>
  <w:style w:type="character" w:customStyle="1" w:styleId="QuoteChar">
    <w:name w:val="Quote Char"/>
    <w:basedOn w:val="DefaultParagraphFont"/>
    <w:link w:val="Quote"/>
    <w:uiPriority w:val="29"/>
    <w:rsid w:val="006B2820"/>
    <w:rPr>
      <w:i/>
      <w:iCs/>
      <w:color w:val="404040" w:themeColor="text1" w:themeTint="BF"/>
    </w:rPr>
  </w:style>
  <w:style w:type="paragraph" w:styleId="ListParagraph">
    <w:name w:val="List Paragraph"/>
    <w:basedOn w:val="Normal"/>
    <w:uiPriority w:val="34"/>
    <w:qFormat/>
    <w:rsid w:val="006B2820"/>
    <w:pPr>
      <w:ind w:left="720"/>
      <w:contextualSpacing/>
    </w:pPr>
  </w:style>
  <w:style w:type="character" w:styleId="IntenseEmphasis">
    <w:name w:val="Intense Emphasis"/>
    <w:basedOn w:val="DefaultParagraphFont"/>
    <w:uiPriority w:val="21"/>
    <w:qFormat/>
    <w:rsid w:val="006B2820"/>
    <w:rPr>
      <w:i/>
      <w:iCs/>
      <w:color w:val="0F4761" w:themeColor="accent1" w:themeShade="BF"/>
    </w:rPr>
  </w:style>
  <w:style w:type="paragraph" w:styleId="IntenseQuote">
    <w:name w:val="Intense Quote"/>
    <w:basedOn w:val="Normal"/>
    <w:next w:val="Normal"/>
    <w:link w:val="IntenseQuoteChar"/>
    <w:uiPriority w:val="30"/>
    <w:qFormat/>
    <w:rsid w:val="006B28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B2820"/>
    <w:rPr>
      <w:i/>
      <w:iCs/>
      <w:color w:val="0F4761" w:themeColor="accent1" w:themeShade="BF"/>
    </w:rPr>
  </w:style>
  <w:style w:type="character" w:styleId="IntenseReference">
    <w:name w:val="Intense Reference"/>
    <w:basedOn w:val="DefaultParagraphFont"/>
    <w:uiPriority w:val="32"/>
    <w:qFormat/>
    <w:rsid w:val="006B2820"/>
    <w:rPr>
      <w:b/>
      <w:bCs/>
      <w:smallCaps/>
      <w:color w:val="0F4761" w:themeColor="accent1" w:themeShade="BF"/>
      <w:spacing w:val="5"/>
    </w:rPr>
  </w:style>
  <w:style w:type="paragraph" w:styleId="NormalWeb">
    <w:name w:val="Normal (Web)"/>
    <w:basedOn w:val="Normal"/>
    <w:uiPriority w:val="99"/>
    <w:unhideWhenUsed/>
    <w:rsid w:val="006B2820"/>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B2820"/>
    <w:rPr>
      <w:b/>
      <w:bCs/>
    </w:rPr>
  </w:style>
  <w:style w:type="character" w:styleId="Emphasis">
    <w:name w:val="Emphasis"/>
    <w:basedOn w:val="DefaultParagraphFont"/>
    <w:uiPriority w:val="20"/>
    <w:qFormat/>
    <w:rsid w:val="006B2820"/>
    <w:rPr>
      <w:i/>
      <w:iCs/>
    </w:rPr>
  </w:style>
  <w:style w:type="character" w:styleId="Hyperlink">
    <w:name w:val="Hyperlink"/>
    <w:basedOn w:val="DefaultParagraphFont"/>
    <w:uiPriority w:val="99"/>
    <w:unhideWhenUsed/>
    <w:rsid w:val="0026652C"/>
    <w:rPr>
      <w:color w:val="467886" w:themeColor="hyperlink"/>
      <w:u w:val="single"/>
    </w:rPr>
  </w:style>
  <w:style w:type="paragraph" w:customStyle="1" w:styleId="Default">
    <w:name w:val="Default"/>
    <w:rsid w:val="0026652C"/>
    <w:pPr>
      <w:autoSpaceDE w:val="0"/>
      <w:autoSpaceDN w:val="0"/>
      <w:adjustRightInd w:val="0"/>
      <w:spacing w:after="0" w:line="240" w:lineRule="auto"/>
    </w:pPr>
    <w:rPr>
      <w:rFonts w:ascii="Charis SIL" w:hAnsi="Charis SIL" w:cs="Charis SIL"/>
      <w:color w:val="000000"/>
      <w:kern w:val="0"/>
      <w:lang w:val="fr-FR"/>
    </w:rPr>
  </w:style>
  <w:style w:type="paragraph" w:styleId="Header">
    <w:name w:val="header"/>
    <w:basedOn w:val="Normal"/>
    <w:link w:val="HeaderChar"/>
    <w:uiPriority w:val="99"/>
    <w:unhideWhenUsed/>
    <w:rsid w:val="003A77EB"/>
    <w:pPr>
      <w:tabs>
        <w:tab w:val="center" w:pos="4536"/>
        <w:tab w:val="right" w:pos="9072"/>
      </w:tabs>
      <w:spacing w:after="0" w:line="240" w:lineRule="auto"/>
    </w:pPr>
  </w:style>
  <w:style w:type="character" w:customStyle="1" w:styleId="HeaderChar">
    <w:name w:val="Header Char"/>
    <w:basedOn w:val="DefaultParagraphFont"/>
    <w:link w:val="Header"/>
    <w:uiPriority w:val="99"/>
    <w:rsid w:val="003A77EB"/>
  </w:style>
  <w:style w:type="paragraph" w:styleId="Footer">
    <w:name w:val="footer"/>
    <w:basedOn w:val="Normal"/>
    <w:link w:val="FooterChar"/>
    <w:uiPriority w:val="99"/>
    <w:unhideWhenUsed/>
    <w:rsid w:val="003A77EB"/>
    <w:pPr>
      <w:tabs>
        <w:tab w:val="center" w:pos="4536"/>
        <w:tab w:val="right" w:pos="9072"/>
      </w:tabs>
      <w:spacing w:after="0" w:line="240" w:lineRule="auto"/>
    </w:pPr>
  </w:style>
  <w:style w:type="character" w:customStyle="1" w:styleId="FooterChar">
    <w:name w:val="Footer Char"/>
    <w:basedOn w:val="DefaultParagraphFont"/>
    <w:link w:val="Footer"/>
    <w:uiPriority w:val="99"/>
    <w:rsid w:val="003A77EB"/>
  </w:style>
  <w:style w:type="character" w:customStyle="1" w:styleId="UnresolvedMention1">
    <w:name w:val="Unresolved Mention1"/>
    <w:basedOn w:val="DefaultParagraphFont"/>
    <w:uiPriority w:val="99"/>
    <w:semiHidden/>
    <w:unhideWhenUsed/>
    <w:rsid w:val="00074E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588755">
      <w:bodyDiv w:val="1"/>
      <w:marLeft w:val="0"/>
      <w:marRight w:val="0"/>
      <w:marTop w:val="0"/>
      <w:marBottom w:val="0"/>
      <w:divBdr>
        <w:top w:val="none" w:sz="0" w:space="0" w:color="auto"/>
        <w:left w:val="none" w:sz="0" w:space="0" w:color="auto"/>
        <w:bottom w:val="none" w:sz="0" w:space="0" w:color="auto"/>
        <w:right w:val="none" w:sz="0" w:space="0" w:color="auto"/>
      </w:divBdr>
    </w:div>
    <w:div w:id="1996714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f"/><Relationship Id="rId18" Type="http://schemas.openxmlformats.org/officeDocument/2006/relationships/hyperlink" Target="https://doi.org/10.26538/tjnpr/v6i4.9" TargetMode="External"/><Relationship Id="rId26" Type="http://schemas.openxmlformats.org/officeDocument/2006/relationships/hyperlink" Target="http://pubsdata.usgs.gov/pubs/wsp/wsp2254/html/pdf.html" TargetMode="External"/><Relationship Id="rId39" Type="http://schemas.openxmlformats.org/officeDocument/2006/relationships/hyperlink" Target="https://doi.org/10.1007/s10661-022-10731-3" TargetMode="External"/><Relationship Id="rId21" Type="http://schemas.openxmlformats.org/officeDocument/2006/relationships/hyperlink" Target="https://doi.org/10.1016/S0009-2541(99)00031-5" TargetMode="External"/><Relationship Id="rId34" Type="http://schemas.openxmlformats.org/officeDocument/2006/relationships/hyperlink" Target="https://doi.org/10.1029/TR025I006P00914" TargetMode="External"/><Relationship Id="rId42" Type="http://schemas.openxmlformats.org/officeDocument/2006/relationships/hyperlink" Target="http://www.who.int/gho/publications/world_health_statistics/2017/en/"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doi.org/10.3406/bulmi.1968.6245" TargetMode="External"/><Relationship Id="rId11" Type="http://schemas.openxmlformats.org/officeDocument/2006/relationships/image" Target="media/image5.png"/><Relationship Id="rId24" Type="http://schemas.openxmlformats.org/officeDocument/2006/relationships/hyperlink" Target="https://doi.org/10.1007/s11270-024-06961-5" TargetMode="External"/><Relationship Id="rId32" Type="http://schemas.openxmlformats.org/officeDocument/2006/relationships/hyperlink" Target="https://doi.org/10.1007/s40899-024-01148-6" TargetMode="External"/><Relationship Id="rId37" Type="http://schemas.openxmlformats.org/officeDocument/2006/relationships/hyperlink" Target="https://doi.org/10.1016/j.quascirev.2005.02.001" TargetMode="External"/><Relationship Id="rId40" Type="http://schemas.openxmlformats.org/officeDocument/2006/relationships/hyperlink" Target="https://doi.org/10.1007/s12665-022-01009-2" TargetMode="External"/><Relationship Id="rId45" Type="http://schemas.openxmlformats.org/officeDocument/2006/relationships/hyperlink" Target="https://doi.org/10.1038/s41594-023-01171-9"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doi.org/10.1007/978-3-030-76008-3_19" TargetMode="External"/><Relationship Id="rId31" Type="http://schemas.openxmlformats.org/officeDocument/2006/relationships/hyperlink" Target="https://doi.org/10.1016/j.jafrearsci.2016.02.023" TargetMode="External"/><Relationship Id="rId44" Type="http://schemas.openxmlformats.org/officeDocument/2006/relationships/hyperlink" Target="https://doi.org/10.1007/s12665-021-09894-y"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s://doi.org/10.1016/S1040-6182(01)00063-5" TargetMode="External"/><Relationship Id="rId27" Type="http://schemas.openxmlformats.org/officeDocument/2006/relationships/hyperlink" Target="https://doi.org/10.1007/s10726-012-9337-z" TargetMode="External"/><Relationship Id="rId30" Type="http://schemas.openxmlformats.org/officeDocument/2006/relationships/hyperlink" Target="https://doi.org/10.1016/j.envsoft.2021.104979" TargetMode="External"/><Relationship Id="rId35" Type="http://schemas.openxmlformats.org/officeDocument/2006/relationships/hyperlink" Target="https://www.routledge.com/Nitrates-in-Groundwater-IAH-Selected-Papers-on-Hydrogeology-5/Razowska-Jaworek-Sadurski/p/book/9789058096647" TargetMode="External"/><Relationship Id="rId43" Type="http://schemas.openxmlformats.org/officeDocument/2006/relationships/hyperlink" Target="https://doi.org/10.1016/j.jclepro.2019.119225"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5897/IJWREE2021.1012" TargetMode="External"/><Relationship Id="rId25" Type="http://schemas.openxmlformats.org/officeDocument/2006/relationships/hyperlink" Target="https://doi.org/10.12912/27197050/163122" TargetMode="External"/><Relationship Id="rId33" Type="http://schemas.openxmlformats.org/officeDocument/2006/relationships/hyperlink" Target="https://doi.org/10.5194/nhess-7-361-2007" TargetMode="External"/><Relationship Id="rId38" Type="http://schemas.openxmlformats.org/officeDocument/2006/relationships/hyperlink" Target="https://doi.org/10.1007/s12098-020-03263-6" TargetMode="External"/><Relationship Id="rId46" Type="http://schemas.openxmlformats.org/officeDocument/2006/relationships/header" Target="header1.xml"/><Relationship Id="rId20" Type="http://schemas.openxmlformats.org/officeDocument/2006/relationships/hyperlink" Target="https://doi.org/10.1007/978-3-030-72543-3_130" TargetMode="External"/><Relationship Id="rId41" Type="http://schemas.openxmlformats.org/officeDocument/2006/relationships/hyperlink" Target="https://doi.org/10.1016/j.jafrearsci.2023.10487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doi.org/10.1126/science.170.3962.1088" TargetMode="External"/><Relationship Id="rId28" Type="http://schemas.openxmlformats.org/officeDocument/2006/relationships/hyperlink" Target="https://doi.org/10.1016/S0899-5362(97)00080-8" TargetMode="External"/><Relationship Id="rId36" Type="http://schemas.openxmlformats.org/officeDocument/2006/relationships/hyperlink" Target="http://www.documentation.ird.fr/hor/fdi:00328" TargetMode="External"/><Relationship Id="rId49"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23</Pages>
  <Words>6206</Words>
  <Characters>35375</Characters>
  <Application>Microsoft Office Word</Application>
  <DocSecurity>0</DocSecurity>
  <Lines>294</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Moussa Batran</dc:creator>
  <cp:keywords/>
  <dc:description/>
  <cp:lastModifiedBy>SDI 1186</cp:lastModifiedBy>
  <cp:revision>5</cp:revision>
  <dcterms:created xsi:type="dcterms:W3CDTF">2025-12-14T08:04:00Z</dcterms:created>
  <dcterms:modified xsi:type="dcterms:W3CDTF">2025-12-15T08:28:00Z</dcterms:modified>
</cp:coreProperties>
</file>