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9536A" w14:textId="77777777" w:rsidR="004274F9" w:rsidRDefault="004274F9" w:rsidP="00332F72">
      <w:pPr>
        <w:tabs>
          <w:tab w:val="left" w:pos="3925"/>
        </w:tabs>
        <w:spacing w:line="276" w:lineRule="auto"/>
        <w:ind w:right="-188"/>
        <w:jc w:val="right"/>
        <w:rPr>
          <w:rFonts w:ascii="Arial" w:hAnsi="Arial" w:cs="Arial"/>
          <w:b/>
          <w:bCs/>
          <w:sz w:val="28"/>
          <w:szCs w:val="28"/>
        </w:rPr>
      </w:pPr>
      <w:bookmarkStart w:id="0" w:name="_Hlk216340976"/>
      <w:r w:rsidRPr="004274F9">
        <w:rPr>
          <w:rFonts w:ascii="Arial" w:hAnsi="Arial" w:cs="Arial"/>
          <w:b/>
          <w:bCs/>
          <w:sz w:val="28"/>
          <w:szCs w:val="28"/>
        </w:rPr>
        <w:t>Original Research Article</w:t>
      </w:r>
    </w:p>
    <w:p w14:paraId="71C93912" w14:textId="77777777" w:rsidR="004274F9" w:rsidRDefault="004274F9" w:rsidP="00332F72">
      <w:pPr>
        <w:tabs>
          <w:tab w:val="left" w:pos="3925"/>
        </w:tabs>
        <w:spacing w:line="276" w:lineRule="auto"/>
        <w:ind w:right="-188"/>
        <w:jc w:val="right"/>
        <w:rPr>
          <w:rFonts w:ascii="Arial" w:hAnsi="Arial" w:cs="Arial"/>
          <w:b/>
          <w:bCs/>
          <w:sz w:val="28"/>
          <w:szCs w:val="28"/>
        </w:rPr>
      </w:pPr>
    </w:p>
    <w:bookmarkEnd w:id="0"/>
    <w:p w14:paraId="710BE886" w14:textId="5CEAC7B7" w:rsidR="004274F9" w:rsidRPr="00B1420F" w:rsidRDefault="0072331D" w:rsidP="00332F72">
      <w:pPr>
        <w:tabs>
          <w:tab w:val="left" w:pos="3925"/>
        </w:tabs>
        <w:spacing w:line="276" w:lineRule="auto"/>
        <w:ind w:right="-188"/>
        <w:jc w:val="right"/>
        <w:rPr>
          <w:rFonts w:ascii="Arial" w:hAnsi="Arial" w:cs="Arial"/>
          <w:b/>
          <w:bCs/>
          <w:sz w:val="28"/>
          <w:szCs w:val="28"/>
        </w:rPr>
      </w:pPr>
      <w:r w:rsidRPr="0072331D">
        <w:rPr>
          <w:rFonts w:ascii="Arial" w:hAnsi="Arial" w:cs="Arial"/>
          <w:b/>
          <w:bCs/>
          <w:sz w:val="28"/>
          <w:szCs w:val="28"/>
          <w:highlight w:val="yellow"/>
        </w:rPr>
        <w:t>Comparative Analysis of Carbon Emissions from Trawl Fisheries in India within a Global Framework</w:t>
      </w:r>
    </w:p>
    <w:p w14:paraId="063DA4AD" w14:textId="35E58E8F" w:rsidR="004274F9" w:rsidRDefault="004274F9" w:rsidP="002F1FD7">
      <w:pPr>
        <w:spacing w:before="120" w:after="240" w:line="360" w:lineRule="auto"/>
        <w:ind w:right="-188"/>
        <w:jc w:val="right"/>
        <w:rPr>
          <w:rFonts w:asciiTheme="minorBidi" w:eastAsia="Times New Roman" w:hAnsiTheme="minorBidi"/>
          <w:b/>
          <w:sz w:val="24"/>
          <w:szCs w:val="24"/>
        </w:rPr>
      </w:pPr>
    </w:p>
    <w:p w14:paraId="429AE043" w14:textId="77777777" w:rsidR="00784462" w:rsidRDefault="00784462" w:rsidP="005F6B0F">
      <w:pPr>
        <w:spacing w:before="120" w:after="240" w:line="360" w:lineRule="auto"/>
        <w:ind w:right="-188"/>
        <w:jc w:val="center"/>
        <w:rPr>
          <w:rFonts w:ascii="Arial" w:eastAsia="Times New Roman" w:hAnsi="Arial" w:cs="Arial"/>
          <w:i/>
        </w:rPr>
      </w:pPr>
    </w:p>
    <w:p w14:paraId="19A5B875" w14:textId="0F29A0E0" w:rsidR="006D314D" w:rsidRPr="00B4214F" w:rsidRDefault="00B4214F" w:rsidP="008D0CA4">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B4214F">
        <w:rPr>
          <w:rFonts w:ascii="Times New Roman" w:eastAsia="Times New Roman" w:hAnsi="Times New Roman" w:cs="Times New Roman"/>
          <w:b/>
          <w:bCs/>
          <w:sz w:val="28"/>
          <w:szCs w:val="28"/>
          <w:lang w:eastAsia="en-IN"/>
        </w:rPr>
        <w:t>ABSTRACT</w:t>
      </w:r>
    </w:p>
    <w:p w14:paraId="62A276F8" w14:textId="4272C43F" w:rsidR="00EB095C" w:rsidRDefault="00EB095C" w:rsidP="00EB095C">
      <w:pPr>
        <w:pStyle w:val="NormalWeb"/>
        <w:spacing w:line="360" w:lineRule="auto"/>
        <w:jc w:val="both"/>
      </w:pPr>
      <w:r w:rsidRPr="00EB095C">
        <w:rPr>
          <w:highlight w:val="yellow"/>
        </w:rPr>
        <w:t>This study compares the carbon footprint of trawler operations in India with that of other global regions and explores key management and technological interventions to reduce emissions. The research aims to quantify emissions from Indian trawl fisheries, particularly those using bottom-contact gears, and compare these with emissions from trawlers in the Mediterranean, Europe, North America, and Oceania. Secondary data on fuel consumption and greenhouse gas emissions were collected from published assessments of trawlers operating in Kerala and along India’s northwest coast, as well as global datasets. Emission intensities, initially reported in kilograms of CO₂ equivalents per tonne of fish (kg CO₂ eq t</w:t>
      </w:r>
      <w:r w:rsidRPr="00EB095C">
        <w:rPr>
          <w:rFonts w:ascii="Cambria Math" w:hAnsi="Cambria Math" w:cs="Cambria Math"/>
          <w:highlight w:val="yellow"/>
        </w:rPr>
        <w:t>⁻</w:t>
      </w:r>
      <w:r w:rsidRPr="00EB095C">
        <w:rPr>
          <w:rFonts w:ascii="Aptos" w:hAnsi="Aptos" w:cs="Aptos"/>
          <w:highlight w:val="yellow"/>
        </w:rPr>
        <w:t>¹</w:t>
      </w:r>
      <w:r w:rsidRPr="00EB095C">
        <w:rPr>
          <w:highlight w:val="yellow"/>
        </w:rPr>
        <w:t xml:space="preserve"> fish), were converted to kilograms per kilogram of fish (kg CO</w:t>
      </w:r>
      <w:r w:rsidRPr="00EB095C">
        <w:rPr>
          <w:rFonts w:ascii="Aptos" w:hAnsi="Aptos" w:cs="Aptos"/>
          <w:highlight w:val="yellow"/>
        </w:rPr>
        <w:t>₂</w:t>
      </w:r>
      <w:r w:rsidRPr="00EB095C">
        <w:rPr>
          <w:highlight w:val="yellow"/>
        </w:rPr>
        <w:t xml:space="preserve"> eq kg</w:t>
      </w:r>
      <w:r w:rsidRPr="00EB095C">
        <w:rPr>
          <w:rFonts w:ascii="Cambria Math" w:hAnsi="Cambria Math" w:cs="Cambria Math"/>
          <w:highlight w:val="yellow"/>
        </w:rPr>
        <w:t>⁻</w:t>
      </w:r>
      <w:r w:rsidRPr="00EB095C">
        <w:rPr>
          <w:rFonts w:ascii="Aptos" w:hAnsi="Aptos" w:cs="Aptos"/>
          <w:highlight w:val="yellow"/>
        </w:rPr>
        <w:t>¹</w:t>
      </w:r>
      <w:r w:rsidRPr="00EB095C">
        <w:rPr>
          <w:highlight w:val="yellow"/>
        </w:rPr>
        <w:t xml:space="preserve"> fish) for consistent comparison. The findings reveal that bottom-contact gears, such as otter and beam trawls, generate significantly higher emissions per unit of catch compared to mid-water or pelagic trawls. This is primarily due to greater fuel consumption and the release of carbon from disturbed seabed sediments. In India, large multi-day trawlers emit more CO₂ per kilogram of fish than smaller, single-day vessels, showing a positive correlation between vessel size, engine power, and carbon intensity. Optimizing vessel speed, downsizing engines, and adopting energy-efficient harvesting technologies could reduce emissions by 20-40%. Innovations like pulse trawling, selective gear, and AI-based monitoring also offer promising pathways for reducing emissions. Despite the lower carbon footprint of trawl-caught fish compared to many terrestrial animal proteins, bottom trawling remains one of the most carbon-intensive fishing methods when accounting for seafloor disturbance. The study underscores the need for harmonized data, particularly in India, to better understand and mitigate the carbon impacts of global fisheries.</w:t>
      </w:r>
    </w:p>
    <w:p w14:paraId="3CED7337" w14:textId="6B0B06C7" w:rsidR="00860AFD" w:rsidRDefault="006D314D" w:rsidP="00EB095C">
      <w:pPr>
        <w:spacing w:before="100" w:beforeAutospacing="1" w:after="100" w:afterAutospacing="1" w:line="360" w:lineRule="auto"/>
        <w:ind w:right="-188"/>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Keywords:</w:t>
      </w:r>
      <w:r w:rsidRPr="006D314D">
        <w:rPr>
          <w:rFonts w:ascii="Times New Roman" w:eastAsia="Times New Roman" w:hAnsi="Times New Roman" w:cs="Times New Roman"/>
          <w:sz w:val="24"/>
          <w:szCs w:val="24"/>
          <w:lang w:eastAsia="en-IN"/>
        </w:rPr>
        <w:t xml:space="preserve"> </w:t>
      </w:r>
      <w:r w:rsidR="00EB095C">
        <w:rPr>
          <w:rFonts w:ascii="Times New Roman" w:eastAsia="Times New Roman" w:hAnsi="Times New Roman" w:cs="Times New Roman"/>
          <w:sz w:val="24"/>
          <w:szCs w:val="24"/>
          <w:lang w:eastAsia="en-IN"/>
        </w:rPr>
        <w:t>C</w:t>
      </w:r>
      <w:r w:rsidRPr="006D314D">
        <w:rPr>
          <w:rFonts w:ascii="Times New Roman" w:eastAsia="Times New Roman" w:hAnsi="Times New Roman" w:cs="Times New Roman"/>
          <w:sz w:val="24"/>
          <w:szCs w:val="24"/>
          <w:lang w:eastAsia="en-IN"/>
        </w:rPr>
        <w:t xml:space="preserve">arbon footprint; </w:t>
      </w:r>
      <w:r w:rsidR="00EB095C">
        <w:rPr>
          <w:rFonts w:ascii="Times New Roman" w:eastAsia="Times New Roman" w:hAnsi="Times New Roman" w:cs="Times New Roman"/>
          <w:sz w:val="24"/>
          <w:szCs w:val="24"/>
          <w:lang w:eastAsia="en-IN"/>
        </w:rPr>
        <w:t>T</w:t>
      </w:r>
      <w:r w:rsidRPr="006D314D">
        <w:rPr>
          <w:rFonts w:ascii="Times New Roman" w:eastAsia="Times New Roman" w:hAnsi="Times New Roman" w:cs="Times New Roman"/>
          <w:sz w:val="24"/>
          <w:szCs w:val="24"/>
          <w:lang w:eastAsia="en-IN"/>
        </w:rPr>
        <w:t xml:space="preserve">rawl fisheries; </w:t>
      </w:r>
      <w:r w:rsidR="00EB095C">
        <w:rPr>
          <w:rFonts w:ascii="Times New Roman" w:eastAsia="Times New Roman" w:hAnsi="Times New Roman" w:cs="Times New Roman"/>
          <w:sz w:val="24"/>
          <w:szCs w:val="24"/>
          <w:lang w:eastAsia="en-IN"/>
        </w:rPr>
        <w:t>F</w:t>
      </w:r>
      <w:r w:rsidRPr="006D314D">
        <w:rPr>
          <w:rFonts w:ascii="Times New Roman" w:eastAsia="Times New Roman" w:hAnsi="Times New Roman" w:cs="Times New Roman"/>
          <w:sz w:val="24"/>
          <w:szCs w:val="24"/>
          <w:lang w:eastAsia="en-IN"/>
        </w:rPr>
        <w:t xml:space="preserve">uel </w:t>
      </w:r>
      <w:r w:rsidR="00EB095C">
        <w:rPr>
          <w:rFonts w:ascii="Times New Roman" w:eastAsia="Times New Roman" w:hAnsi="Times New Roman" w:cs="Times New Roman"/>
          <w:sz w:val="24"/>
          <w:szCs w:val="24"/>
          <w:lang w:eastAsia="en-IN"/>
        </w:rPr>
        <w:t>c</w:t>
      </w:r>
      <w:r w:rsidRPr="006D314D">
        <w:rPr>
          <w:rFonts w:ascii="Times New Roman" w:eastAsia="Times New Roman" w:hAnsi="Times New Roman" w:cs="Times New Roman"/>
          <w:sz w:val="24"/>
          <w:szCs w:val="24"/>
          <w:lang w:eastAsia="en-IN"/>
        </w:rPr>
        <w:t xml:space="preserve">onsumption; </w:t>
      </w:r>
      <w:r w:rsidR="00EB095C">
        <w:rPr>
          <w:rFonts w:ascii="Times New Roman" w:eastAsia="Times New Roman" w:hAnsi="Times New Roman" w:cs="Times New Roman"/>
          <w:sz w:val="24"/>
          <w:szCs w:val="24"/>
          <w:lang w:eastAsia="en-IN"/>
        </w:rPr>
        <w:t>L</w:t>
      </w:r>
      <w:r w:rsidRPr="006D314D">
        <w:rPr>
          <w:rFonts w:ascii="Times New Roman" w:eastAsia="Times New Roman" w:hAnsi="Times New Roman" w:cs="Times New Roman"/>
          <w:sz w:val="24"/>
          <w:szCs w:val="24"/>
          <w:lang w:eastAsia="en-IN"/>
        </w:rPr>
        <w:t>ife</w:t>
      </w:r>
      <w:r w:rsidRPr="006D314D">
        <w:rPr>
          <w:rFonts w:ascii="Times New Roman" w:eastAsia="Times New Roman" w:hAnsi="Times New Roman" w:cs="Times New Roman"/>
          <w:sz w:val="24"/>
          <w:szCs w:val="24"/>
          <w:lang w:eastAsia="en-IN"/>
        </w:rPr>
        <w:noBreakHyphen/>
        <w:t>cycle assessment</w:t>
      </w:r>
    </w:p>
    <w:p w14:paraId="7A6382BF" w14:textId="77777777" w:rsidR="00EB095C" w:rsidRPr="00B27DDD" w:rsidRDefault="00EB095C" w:rsidP="00EB095C">
      <w:pPr>
        <w:spacing w:before="100" w:beforeAutospacing="1" w:after="100" w:afterAutospacing="1" w:line="360" w:lineRule="auto"/>
        <w:ind w:right="-188"/>
        <w:jc w:val="both"/>
        <w:rPr>
          <w:rFonts w:ascii="Times New Roman" w:eastAsia="Times New Roman" w:hAnsi="Times New Roman" w:cs="Times New Roman"/>
          <w:sz w:val="24"/>
          <w:szCs w:val="24"/>
          <w:lang w:eastAsia="en-IN"/>
        </w:rPr>
      </w:pPr>
    </w:p>
    <w:p w14:paraId="35D87202" w14:textId="3F7DC240" w:rsidR="00581C60" w:rsidRPr="00581C60" w:rsidRDefault="006D314D" w:rsidP="00581C60">
      <w:pPr>
        <w:pStyle w:val="ListParagraph"/>
        <w:numPr>
          <w:ilvl w:val="0"/>
          <w:numId w:val="3"/>
        </w:num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581C60">
        <w:rPr>
          <w:rFonts w:ascii="Times New Roman" w:eastAsia="Times New Roman" w:hAnsi="Times New Roman" w:cs="Times New Roman"/>
          <w:b/>
          <w:bCs/>
          <w:sz w:val="28"/>
          <w:szCs w:val="28"/>
          <w:lang w:eastAsia="en-IN"/>
        </w:rPr>
        <w:lastRenderedPageBreak/>
        <w:t>Introduction</w:t>
      </w:r>
    </w:p>
    <w:p w14:paraId="184065BF" w14:textId="390B402C" w:rsidR="00E15BC5" w:rsidRPr="00581C60" w:rsidRDefault="00581C60" w:rsidP="00581C60">
      <w:pPr>
        <w:pStyle w:val="NormalWeb"/>
        <w:spacing w:line="360" w:lineRule="auto"/>
        <w:jc w:val="both"/>
      </w:pPr>
      <w:r w:rsidRPr="00581C60">
        <w:t>Marine fisheries contribute a small but non</w:t>
      </w:r>
      <w:r w:rsidRPr="00581C60">
        <w:noBreakHyphen/>
        <w:t>negligible fraction of global greenhouse</w:t>
      </w:r>
      <w:r w:rsidRPr="00581C60">
        <w:noBreakHyphen/>
        <w:t>gas emissions: recent estimates suggest they account for roughly 4 % of food</w:t>
      </w:r>
      <w:r w:rsidRPr="00581C60">
        <w:noBreakHyphen/>
        <w:t>production emissions and about 0.5 % of total anthropogenic emissions</w:t>
      </w:r>
      <w:r>
        <w:t xml:space="preserve"> </w:t>
      </w:r>
      <w:r w:rsidRPr="00581C60">
        <w:t>(Zhang et al., 2024). Among fishing methods, trawling which includes bottom</w:t>
      </w:r>
      <w:r w:rsidRPr="00581C60">
        <w:noBreakHyphen/>
        <w:t>contact gears (e.g., otter and beam trawls) and mid</w:t>
      </w:r>
      <w:r w:rsidRPr="00581C60">
        <w:noBreakHyphen/>
        <w:t>water or pelagic gearsstands out for its high energy demands. Trawlers rely on powerful engines to tow heavy nets over long distances, making fuel combustion the primary source of greenhouse gases</w:t>
      </w:r>
      <w:r>
        <w:t xml:space="preserve"> </w:t>
      </w:r>
      <w:r w:rsidRPr="00581C60">
        <w:t xml:space="preserve">(Lutz et al. 2022;  Markager et al., 2021).. Beyond direct fuel use, bottom trawling physically disturbs seabed sediments. Recent modelling studies show that 55–60 % of the CO₂ released into the water column by such disturbance is emitted to the atmosphere within seven to nine years.  </w:t>
      </w:r>
      <w:r w:rsidR="00E15BC5" w:rsidRPr="00581C60">
        <w:t>This intensive energy use results in significant greenhouse gas emissions, primarily carbon dioxide (CO₂), nitrous oxide (N₂O), and methane (CH₄), contributing substantially to the sector’s carbon footprint. Additionally, bottom trawling disturbs carbon stored in marine sediments, potentially releasing more CO₂ into the water column, further exacerbating its climate impact</w:t>
      </w:r>
      <w:r w:rsidR="00E079A7" w:rsidRPr="00581C60">
        <w:t xml:space="preserve"> </w:t>
      </w:r>
      <w:r w:rsidR="00A239FE" w:rsidRPr="00581C60">
        <w:t>(OSPAR Commission, 2024)</w:t>
      </w:r>
      <w:r w:rsidR="00E15BC5" w:rsidRPr="00581C60">
        <w:t xml:space="preserve">. Due to its ecological effects and contribution to climate change, trawling has received increasing scrutiny (Watling &amp; Norse 1998; Pérez Roda et al. 2019; Tyedmers 2004; Sala et al. 2022). Previous studies have demonstrated that the energy demand of trawling is roughly fifteen times higher than that of purse seining (Sainsbury 1971), underscoring the need for targeted mitigation measures. Several frameworks, such as Life Cycle Assessment (LCA), have been developed to evaluate the climate impacts of fisheries, quantifying emissions from fuel combustion, vessel construction, and gear manufacture (Ziegler &amp; Valentinsson 2008; Ravi et al. 2020). Recent global studies by Parker et al. (2018) and Hilborn et al. (2023) have shown that demersal (bottom) fisheries account for a disproportionate share of carbon emissions, primarily due to the high fuel demands of bottom trawling. In India, emissions from trawl fisheries have been estimated for specific fleets (Sayana &amp; Remesan 2020; Devi et al. 2021), but there has been a lack of comprehensive synthesis and comparison with global data. </w:t>
      </w:r>
      <w:r w:rsidR="00E15BC5" w:rsidRPr="00581C60">
        <w:rPr>
          <w:highlight w:val="yellow"/>
        </w:rPr>
        <w:t xml:space="preserve">The existing research has largely focused on isolated case studies without harmonizing emission units for broader comparisons. This gap in the literature highlights the need for a more systematic approach to understanding and addressing the carbon footprint of Indian trawl fisheries within a global framework. This study addresses this gap by harmonizing emission units and exploring how Indian trawl fleets compare to those operating in other regions. By integrating emissions data from both India and global fleets, this research aims to provide a clearer understanding of the </w:t>
      </w:r>
      <w:r w:rsidR="00E15BC5" w:rsidRPr="00581C60">
        <w:rPr>
          <w:highlight w:val="yellow"/>
        </w:rPr>
        <w:lastRenderedPageBreak/>
        <w:t>carbon impact of trawl fisheries and identify potential mitigation strategies to reduce emissions across diverse trawl operations.</w:t>
      </w:r>
    </w:p>
    <w:p w14:paraId="5E55DB8F" w14:textId="52F8D48B" w:rsidR="006D314D" w:rsidRPr="005420D9" w:rsidRDefault="006D314D" w:rsidP="005420D9">
      <w:pPr>
        <w:pStyle w:val="ListParagraph"/>
        <w:numPr>
          <w:ilvl w:val="0"/>
          <w:numId w:val="3"/>
        </w:numPr>
        <w:spacing w:before="100" w:beforeAutospacing="1" w:after="0" w:line="360" w:lineRule="auto"/>
        <w:jc w:val="both"/>
        <w:outlineLvl w:val="1"/>
        <w:rPr>
          <w:rFonts w:ascii="Times New Roman" w:eastAsia="Times New Roman" w:hAnsi="Times New Roman" w:cs="Times New Roman"/>
          <w:b/>
          <w:bCs/>
          <w:sz w:val="28"/>
          <w:szCs w:val="28"/>
          <w:lang w:eastAsia="en-IN"/>
        </w:rPr>
      </w:pPr>
      <w:r w:rsidRPr="005420D9">
        <w:rPr>
          <w:rFonts w:ascii="Times New Roman" w:eastAsia="Times New Roman" w:hAnsi="Times New Roman" w:cs="Times New Roman"/>
          <w:b/>
          <w:bCs/>
          <w:sz w:val="28"/>
          <w:szCs w:val="28"/>
          <w:lang w:eastAsia="en-IN"/>
        </w:rPr>
        <w:t>Materials and Methods</w:t>
      </w:r>
    </w:p>
    <w:p w14:paraId="59B2BC76" w14:textId="77777777" w:rsidR="005420D9" w:rsidRPr="005420D9" w:rsidRDefault="005420D9" w:rsidP="005420D9">
      <w:pPr>
        <w:pStyle w:val="Heading3"/>
        <w:rPr>
          <w:rFonts w:ascii="Times New Roman" w:hAnsi="Times New Roman" w:cs="Times New Roman"/>
          <w:b/>
          <w:bCs/>
        </w:rPr>
      </w:pPr>
      <w:r w:rsidRPr="005420D9">
        <w:rPr>
          <w:rFonts w:ascii="Times New Roman" w:hAnsi="Times New Roman" w:cs="Times New Roman"/>
          <w:b/>
          <w:bCs/>
        </w:rPr>
        <w:t>2.1 Data Sources</w:t>
      </w:r>
    </w:p>
    <w:p w14:paraId="2DB8DB49" w14:textId="54383E84" w:rsidR="005420D9" w:rsidRPr="0057414D" w:rsidRDefault="005420D9" w:rsidP="005420D9">
      <w:p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5420D9">
        <w:rPr>
          <w:rFonts w:ascii="Times New Roman" w:eastAsia="Times New Roman" w:hAnsi="Times New Roman" w:cs="Times New Roman"/>
          <w:sz w:val="24"/>
          <w:szCs w:val="24"/>
          <w:lang w:eastAsia="en-IN"/>
        </w:rPr>
        <w:t>This comparative analysis relies exclusively on published secondary data. Fuel consumption and carbon emissions were compiled for three fleets in the Mediterranean single</w:t>
      </w:r>
      <w:r w:rsidRPr="005420D9">
        <w:rPr>
          <w:rFonts w:ascii="Times New Roman" w:eastAsia="Times New Roman" w:hAnsi="Times New Roman" w:cs="Times New Roman"/>
          <w:sz w:val="24"/>
          <w:szCs w:val="24"/>
          <w:lang w:eastAsia="en-IN"/>
        </w:rPr>
        <w:noBreakHyphen/>
        <w:t>boat bottom otter trawlers (OTB), mid</w:t>
      </w:r>
      <w:r w:rsidRPr="005420D9">
        <w:rPr>
          <w:rFonts w:ascii="Times New Roman" w:eastAsia="Times New Roman" w:hAnsi="Times New Roman" w:cs="Times New Roman"/>
          <w:sz w:val="24"/>
          <w:szCs w:val="24"/>
          <w:lang w:eastAsia="en-IN"/>
        </w:rPr>
        <w:noBreakHyphen/>
        <w:t>water pair trawlers (PTM) and Rapido beam trawlers (TBB) and for bottom and pelagic trawlers operating in Europe, North America and Oceania (Hilborn et al. 2023). Emissions data for Indian trawlers were taken from assessments of vessels operating out of Munambam and Cochin harbours in Kerala between 2014 and 2016 (Sayana &amp; Remesan 2020) and from surveys of trawlers along the north</w:t>
      </w:r>
      <w:r w:rsidRPr="005420D9">
        <w:rPr>
          <w:rFonts w:ascii="Times New Roman" w:eastAsia="Times New Roman" w:hAnsi="Times New Roman" w:cs="Times New Roman"/>
          <w:sz w:val="24"/>
          <w:szCs w:val="24"/>
          <w:lang w:eastAsia="en-IN"/>
        </w:rPr>
        <w:noBreakHyphen/>
        <w:t>west coast (Devi et al. 2021). Carbon emissions from the global fishing sector in 2011 were obtained from Parker et al. (2018). Units reported as million tonnes of CO₂ equivalents (</w:t>
      </w:r>
      <w:r w:rsidRPr="005420D9">
        <w:rPr>
          <w:rFonts w:ascii="Times New Roman" w:eastAsia="Times New Roman" w:hAnsi="Times New Roman" w:cs="Times New Roman"/>
          <w:i/>
          <w:iCs/>
          <w:sz w:val="24"/>
          <w:szCs w:val="24"/>
          <w:lang w:eastAsia="en-IN"/>
        </w:rPr>
        <w:t>Mt CO₂</w:t>
      </w:r>
      <w:r w:rsidRPr="005420D9">
        <w:rPr>
          <w:rFonts w:ascii="Times New Roman" w:eastAsia="Times New Roman" w:hAnsi="Times New Roman" w:cs="Times New Roman"/>
          <w:i/>
          <w:iCs/>
          <w:sz w:val="24"/>
          <w:szCs w:val="24"/>
          <w:lang w:eastAsia="en-IN"/>
        </w:rPr>
        <w:noBreakHyphen/>
        <w:t>eq</w:t>
      </w:r>
      <w:r w:rsidRPr="005420D9">
        <w:rPr>
          <w:rFonts w:ascii="Times New Roman" w:eastAsia="Times New Roman" w:hAnsi="Times New Roman" w:cs="Times New Roman"/>
          <w:sz w:val="24"/>
          <w:szCs w:val="24"/>
          <w:lang w:eastAsia="en-IN"/>
        </w:rPr>
        <w:t>) were converted to kilograms (</w:t>
      </w:r>
      <w:r w:rsidRPr="005420D9">
        <w:rPr>
          <w:rFonts w:ascii="Times New Roman" w:eastAsia="Times New Roman" w:hAnsi="Times New Roman" w:cs="Times New Roman"/>
          <w:i/>
          <w:iCs/>
          <w:sz w:val="24"/>
          <w:szCs w:val="24"/>
          <w:lang w:eastAsia="en-IN"/>
        </w:rPr>
        <w:t>kg CO₂</w:t>
      </w:r>
      <w:r w:rsidRPr="005420D9">
        <w:rPr>
          <w:rFonts w:ascii="Times New Roman" w:eastAsia="Times New Roman" w:hAnsi="Times New Roman" w:cs="Times New Roman"/>
          <w:i/>
          <w:iCs/>
          <w:sz w:val="24"/>
          <w:szCs w:val="24"/>
          <w:lang w:eastAsia="en-IN"/>
        </w:rPr>
        <w:noBreakHyphen/>
        <w:t>eq</w:t>
      </w:r>
      <w:r w:rsidRPr="005420D9">
        <w:rPr>
          <w:rFonts w:ascii="Times New Roman" w:eastAsia="Times New Roman" w:hAnsi="Times New Roman" w:cs="Times New Roman"/>
          <w:sz w:val="24"/>
          <w:szCs w:val="24"/>
          <w:lang w:eastAsia="en-IN"/>
        </w:rPr>
        <w:t>) by multiplying by 10⁹. Emission intensities expressed as kilogram CO₂ per tonne of fish (</w:t>
      </w:r>
      <w:r w:rsidRPr="005420D9">
        <w:rPr>
          <w:rFonts w:ascii="Times New Roman" w:eastAsia="Times New Roman" w:hAnsi="Times New Roman" w:cs="Times New Roman"/>
          <w:i/>
          <w:iCs/>
          <w:sz w:val="24"/>
          <w:szCs w:val="24"/>
          <w:lang w:eastAsia="en-IN"/>
        </w:rPr>
        <w:t>kg CO₂ t⁻¹ fish</w:t>
      </w:r>
      <w:r w:rsidRPr="005420D9">
        <w:rPr>
          <w:rFonts w:ascii="Times New Roman" w:eastAsia="Times New Roman" w:hAnsi="Times New Roman" w:cs="Times New Roman"/>
          <w:sz w:val="24"/>
          <w:szCs w:val="24"/>
          <w:lang w:eastAsia="en-IN"/>
        </w:rPr>
        <w:t xml:space="preserve">) were converted to </w:t>
      </w:r>
      <w:r w:rsidRPr="005420D9">
        <w:rPr>
          <w:rFonts w:ascii="Times New Roman" w:eastAsia="Times New Roman" w:hAnsi="Times New Roman" w:cs="Times New Roman"/>
          <w:i/>
          <w:iCs/>
          <w:sz w:val="24"/>
          <w:szCs w:val="24"/>
          <w:lang w:eastAsia="en-IN"/>
        </w:rPr>
        <w:t>kg CO₂ kg⁻¹ fish</w:t>
      </w:r>
      <w:r w:rsidRPr="005420D9">
        <w:rPr>
          <w:rFonts w:ascii="Times New Roman" w:eastAsia="Times New Roman" w:hAnsi="Times New Roman" w:cs="Times New Roman"/>
          <w:sz w:val="24"/>
          <w:szCs w:val="24"/>
          <w:lang w:eastAsia="en-IN"/>
        </w:rPr>
        <w:t xml:space="preserve"> by dividing by 1000 to allow direct comparison across fleets. The resulting dataset enables qualitative </w:t>
      </w:r>
      <w:r w:rsidRPr="00D5276D">
        <w:rPr>
          <w:rFonts w:ascii="Times New Roman" w:eastAsia="Times New Roman" w:hAnsi="Times New Roman" w:cs="Times New Roman"/>
          <w:sz w:val="24"/>
          <w:szCs w:val="24"/>
          <w:lang w:eastAsia="en-IN"/>
        </w:rPr>
        <w:t>comparisons of carbon intensity among gear types and regions.</w:t>
      </w:r>
      <w:r w:rsidR="0087231A" w:rsidRPr="00D5276D">
        <w:rPr>
          <w:rFonts w:ascii="Times New Roman" w:eastAsia="Times New Roman" w:hAnsi="Times New Roman" w:cs="Times New Roman"/>
          <w:sz w:val="24"/>
          <w:szCs w:val="24"/>
          <w:lang w:eastAsia="en-IN"/>
        </w:rPr>
        <w:t xml:space="preserve"> </w:t>
      </w:r>
      <w:r w:rsidRPr="00D5276D">
        <w:rPr>
          <w:rFonts w:ascii="Times New Roman" w:eastAsia="Times New Roman" w:hAnsi="Times New Roman" w:cs="Times New Roman"/>
          <w:sz w:val="24"/>
          <w:szCs w:val="24"/>
          <w:lang w:eastAsia="en-IN"/>
        </w:rPr>
        <w:t>(Figure 1)</w:t>
      </w:r>
    </w:p>
    <w:p w14:paraId="5C79CB9D" w14:textId="77777777" w:rsidR="005420D9" w:rsidRPr="0057414D" w:rsidRDefault="005420D9" w:rsidP="005420D9">
      <w:pPr>
        <w:pStyle w:val="Heading3"/>
        <w:spacing w:line="360" w:lineRule="auto"/>
        <w:jc w:val="both"/>
        <w:rPr>
          <w:rFonts w:ascii="Times New Roman" w:hAnsi="Times New Roman" w:cs="Times New Roman"/>
          <w:b/>
          <w:bCs/>
          <w:highlight w:val="yellow"/>
        </w:rPr>
      </w:pPr>
      <w:r w:rsidRPr="0057414D">
        <w:rPr>
          <w:rFonts w:ascii="Times New Roman" w:hAnsi="Times New Roman" w:cs="Times New Roman"/>
          <w:b/>
          <w:bCs/>
          <w:highlight w:val="yellow"/>
        </w:rPr>
        <w:t>2.2 Data Processing</w:t>
      </w:r>
    </w:p>
    <w:p w14:paraId="47851C5A" w14:textId="77777777" w:rsidR="005420D9" w:rsidRPr="0057414D" w:rsidRDefault="005420D9" w:rsidP="005420D9">
      <w:pPr>
        <w:pStyle w:val="NormalWeb"/>
        <w:spacing w:line="360" w:lineRule="auto"/>
        <w:jc w:val="both"/>
        <w:rPr>
          <w:highlight w:val="yellow"/>
        </w:rPr>
      </w:pPr>
      <w:r w:rsidRPr="0057414D">
        <w:rPr>
          <w:highlight w:val="yellow"/>
        </w:rPr>
        <w:t>To enable comparison, emission intensities reported as kilograms of CO₂ per tonne of fish were converted to kilograms per kilogram (dividing by 1,000), and totals expressed in million tonnes were converted to kilograms. Vessel categories were grouped into comparable classes (e.g., multi</w:t>
      </w:r>
      <w:r w:rsidRPr="0057414D">
        <w:rPr>
          <w:highlight w:val="yellow"/>
        </w:rPr>
        <w:noBreakHyphen/>
        <w:t>day large, multi</w:t>
      </w:r>
      <w:r w:rsidRPr="0057414D">
        <w:rPr>
          <w:highlight w:val="yellow"/>
        </w:rPr>
        <w:noBreakHyphen/>
        <w:t>day medium, single</w:t>
      </w:r>
      <w:r w:rsidRPr="0057414D">
        <w:rPr>
          <w:highlight w:val="yellow"/>
        </w:rPr>
        <w:noBreakHyphen/>
        <w:t>day). The harmonised data were collated into a single dataset recording gear type, vessel size, region, and emission intensity.</w:t>
      </w:r>
    </w:p>
    <w:p w14:paraId="589D8C20" w14:textId="77777777" w:rsidR="005420D9" w:rsidRPr="0057414D" w:rsidRDefault="005420D9" w:rsidP="005420D9">
      <w:pPr>
        <w:pStyle w:val="Heading3"/>
        <w:spacing w:line="360" w:lineRule="auto"/>
        <w:jc w:val="both"/>
        <w:rPr>
          <w:rFonts w:ascii="Times New Roman" w:hAnsi="Times New Roman" w:cs="Times New Roman"/>
          <w:b/>
          <w:bCs/>
          <w:highlight w:val="yellow"/>
        </w:rPr>
      </w:pPr>
      <w:r w:rsidRPr="0057414D">
        <w:rPr>
          <w:rFonts w:ascii="Times New Roman" w:hAnsi="Times New Roman" w:cs="Times New Roman"/>
          <w:b/>
          <w:bCs/>
          <w:highlight w:val="yellow"/>
        </w:rPr>
        <w:t>2.3 Comparative Approach</w:t>
      </w:r>
    </w:p>
    <w:p w14:paraId="36B4D915" w14:textId="19ECA549" w:rsidR="005420D9" w:rsidRPr="005420D9" w:rsidRDefault="005420D9" w:rsidP="005420D9">
      <w:pPr>
        <w:pStyle w:val="NormalWeb"/>
        <w:spacing w:line="360" w:lineRule="auto"/>
        <w:jc w:val="both"/>
      </w:pPr>
      <w:r w:rsidRPr="0057414D">
        <w:rPr>
          <w:highlight w:val="yellow"/>
        </w:rPr>
        <w:t>Given the heterogeneity of the source studies, the analysis uses descriptive comparisons rather than statistical meta</w:t>
      </w:r>
      <w:r w:rsidRPr="0057414D">
        <w:rPr>
          <w:highlight w:val="yellow"/>
        </w:rPr>
        <w:noBreakHyphen/>
        <w:t>analysis. We compare carbon intensities across gear types (bottom vs. pelagic trawls), vessel sizes and regions. Emissions from Indian fleets are positioned relative to Mediterranean and North Atlantic benchmarks to highlight differences and similarities. No new measurements were taken; uncertainties from the original studies are acknowledged.</w:t>
      </w:r>
    </w:p>
    <w:p w14:paraId="1513B240" w14:textId="1A4D43C1" w:rsidR="00B27DDD" w:rsidRDefault="00B27DD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noProof/>
        </w:rPr>
        <w:lastRenderedPageBreak/>
        <w:drawing>
          <wp:inline distT="0" distB="0" distL="0" distR="0" wp14:anchorId="212D0AF9" wp14:editId="580AAD59">
            <wp:extent cx="5730240" cy="2862185"/>
            <wp:effectExtent l="19050" t="19050" r="22860" b="14605"/>
            <wp:docPr id="819077826" name="Picture 1" descr="A diagram of a different way of transpor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77826" name="Picture 1" descr="A diagram of a different way of transportation&#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460"/>
                    <a:stretch>
                      <a:fillRect/>
                    </a:stretch>
                  </pic:blipFill>
                  <pic:spPr bwMode="auto">
                    <a:xfrm>
                      <a:off x="0" y="0"/>
                      <a:ext cx="5731510" cy="2862819"/>
                    </a:xfrm>
                    <a:prstGeom prst="rect">
                      <a:avLst/>
                    </a:prstGeom>
                    <a:noFill/>
                    <a:ln>
                      <a:solidFill>
                        <a:schemeClr val="accent3">
                          <a:lumMod val="40000"/>
                          <a:lumOff val="60000"/>
                        </a:schemeClr>
                      </a:solidFill>
                    </a:ln>
                    <a:extLst>
                      <a:ext uri="{53640926-AAD7-44D8-BBD7-CCE9431645EC}">
                        <a14:shadowObscured xmlns:a14="http://schemas.microsoft.com/office/drawing/2010/main"/>
                      </a:ext>
                    </a:extLst>
                  </pic:spPr>
                </pic:pic>
              </a:graphicData>
            </a:graphic>
          </wp:inline>
        </w:drawing>
      </w:r>
    </w:p>
    <w:p w14:paraId="71CB41F4" w14:textId="512C35A7" w:rsidR="00B27DDD" w:rsidRPr="00EC1BC3" w:rsidRDefault="00EC1BC3" w:rsidP="00EC1BC3">
      <w:pPr>
        <w:spacing w:before="100" w:beforeAutospacing="1" w:after="100" w:afterAutospacing="1" w:line="360" w:lineRule="auto"/>
        <w:jc w:val="center"/>
        <w:outlineLvl w:val="1"/>
        <w:rPr>
          <w:rFonts w:ascii="Times New Roman" w:eastAsia="Times New Roman" w:hAnsi="Times New Roman" w:cs="Times New Roman"/>
          <w:b/>
          <w:bCs/>
          <w:sz w:val="24"/>
          <w:szCs w:val="24"/>
          <w:lang w:eastAsia="en-IN"/>
        </w:rPr>
      </w:pPr>
      <w:r w:rsidRPr="00EC1BC3">
        <w:rPr>
          <w:rFonts w:ascii="Times New Roman" w:eastAsia="Times New Roman" w:hAnsi="Times New Roman" w:cs="Times New Roman"/>
          <w:b/>
          <w:bCs/>
          <w:sz w:val="24"/>
          <w:szCs w:val="24"/>
          <w:highlight w:val="yellow"/>
          <w:lang w:eastAsia="en-IN"/>
        </w:rPr>
        <w:t>Figure:1 Pictorial Representation of comparative analysis</w:t>
      </w:r>
    </w:p>
    <w:p w14:paraId="677FE6B3" w14:textId="686E7D56"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3</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Results and Discussion</w:t>
      </w:r>
    </w:p>
    <w:p w14:paraId="30C23D57"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3.1 Global carbon emissions and the role of demersal fisheries</w:t>
      </w:r>
    </w:p>
    <w:p w14:paraId="776BC5BA" w14:textId="03D80C6A" w:rsidR="00DC6152" w:rsidRDefault="00DC6152" w:rsidP="008D0CA4">
      <w:pPr>
        <w:spacing w:before="100" w:beforeAutospacing="1" w:after="100" w:afterAutospacing="1" w:line="360" w:lineRule="auto"/>
        <w:jc w:val="both"/>
        <w:outlineLvl w:val="2"/>
        <w:rPr>
          <w:rFonts w:ascii="Times New Roman" w:hAnsi="Times New Roman" w:cs="Times New Roman"/>
          <w:sz w:val="24"/>
          <w:szCs w:val="24"/>
        </w:rPr>
      </w:pPr>
      <w:r w:rsidRPr="00DC6152">
        <w:rPr>
          <w:rFonts w:ascii="Times New Roman" w:hAnsi="Times New Roman" w:cs="Times New Roman"/>
          <w:sz w:val="24"/>
          <w:szCs w:val="24"/>
        </w:rPr>
        <w:t>On a global scale, carbon emissions from motorised fishing fleets are several orders of magnitude higher than those from non-motorised fleets</w:t>
      </w:r>
      <w:r w:rsidR="0087231A">
        <w:rPr>
          <w:rFonts w:ascii="Times New Roman" w:hAnsi="Times New Roman" w:cs="Times New Roman"/>
          <w:sz w:val="24"/>
          <w:szCs w:val="24"/>
        </w:rPr>
        <w:t xml:space="preserve"> </w:t>
      </w:r>
      <w:r w:rsidR="00931540">
        <w:rPr>
          <w:rFonts w:ascii="Times New Roman" w:hAnsi="Times New Roman" w:cs="Times New Roman"/>
          <w:sz w:val="24"/>
          <w:szCs w:val="24"/>
        </w:rPr>
        <w:t xml:space="preserve">(Figure </w:t>
      </w:r>
      <w:r w:rsidR="005420D9">
        <w:rPr>
          <w:rFonts w:ascii="Times New Roman" w:hAnsi="Times New Roman" w:cs="Times New Roman"/>
          <w:sz w:val="24"/>
          <w:szCs w:val="24"/>
        </w:rPr>
        <w:t>2</w:t>
      </w:r>
      <w:r w:rsidR="00931540">
        <w:rPr>
          <w:rFonts w:ascii="Times New Roman" w:hAnsi="Times New Roman" w:cs="Times New Roman"/>
          <w:sz w:val="24"/>
          <w:szCs w:val="24"/>
        </w:rPr>
        <w:t>)</w:t>
      </w:r>
      <w:r w:rsidRPr="00DC6152">
        <w:rPr>
          <w:rFonts w:ascii="Times New Roman" w:hAnsi="Times New Roman" w:cs="Times New Roman"/>
          <w:sz w:val="24"/>
          <w:szCs w:val="24"/>
        </w:rPr>
        <w:t>. When expressed in a common unit, emissions from motorised fleets in 2011 exceeded those of non-motorised fleets by several billion kilograms of CO₂ equivalents, as reported by Parker et al. (2018). Demersal fisheries were identified as a major contributor to these emissions because the capture of demersal species typically involves continuous bottom trawling, a highly fuel-intensive activity. The resulting CO₂ emissions reflect not only the energy required to tow heavy fishing gear but also the disturbance and resuspension of carbon stored in seabed sediments. These findings emphasize that the climate impact of trawling cannot be assessed solely on the basis of catch volume; rather, fishing gear type and its interaction with the seafloor are critical drivers of carbon intensity</w:t>
      </w:r>
      <w:r w:rsidR="00950D4E">
        <w:rPr>
          <w:rFonts w:ascii="Times New Roman" w:hAnsi="Times New Roman" w:cs="Times New Roman"/>
          <w:sz w:val="24"/>
          <w:szCs w:val="24"/>
        </w:rPr>
        <w:t xml:space="preserve"> </w:t>
      </w:r>
      <w:r w:rsidR="00931540">
        <w:rPr>
          <w:rFonts w:ascii="Times New Roman" w:hAnsi="Times New Roman" w:cs="Times New Roman"/>
          <w:sz w:val="24"/>
          <w:szCs w:val="24"/>
        </w:rPr>
        <w:t xml:space="preserve">(Figure </w:t>
      </w:r>
      <w:r w:rsidR="00950D4E">
        <w:rPr>
          <w:rFonts w:ascii="Times New Roman" w:hAnsi="Times New Roman" w:cs="Times New Roman"/>
          <w:sz w:val="24"/>
          <w:szCs w:val="24"/>
        </w:rPr>
        <w:t>3</w:t>
      </w:r>
      <w:r w:rsidR="00931540">
        <w:rPr>
          <w:rFonts w:ascii="Times New Roman" w:hAnsi="Times New Roman" w:cs="Times New Roman"/>
          <w:sz w:val="24"/>
          <w:szCs w:val="24"/>
        </w:rPr>
        <w:t>)</w:t>
      </w:r>
      <w:r w:rsidRPr="00DC6152">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016"/>
      </w:tblGrid>
      <w:tr w:rsidR="000801B8" w14:paraId="55B8D661" w14:textId="77777777" w:rsidTr="00302BDE">
        <w:tc>
          <w:tcPr>
            <w:tcW w:w="9016" w:type="dxa"/>
          </w:tcPr>
          <w:p w14:paraId="3C63A4DF" w14:textId="3348EAE6" w:rsidR="000801B8" w:rsidRDefault="002A0C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6854E5" wp14:editId="55EB0A6E">
                  <wp:extent cx="5474216" cy="2630928"/>
                  <wp:effectExtent l="0" t="0" r="0" b="0"/>
                  <wp:docPr id="110546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5170" name="Picture 1105465170"/>
                          <pic:cNvPicPr/>
                        </pic:nvPicPr>
                        <pic:blipFill rotWithShape="1">
                          <a:blip r:embed="rId8" cstate="print">
                            <a:extLst>
                              <a:ext uri="{28A0092B-C50C-407E-A947-70E740481C1C}">
                                <a14:useLocalDpi xmlns:a14="http://schemas.microsoft.com/office/drawing/2010/main" val="0"/>
                              </a:ext>
                            </a:extLst>
                          </a:blip>
                          <a:srcRect t="11885"/>
                          <a:stretch>
                            <a:fillRect/>
                          </a:stretch>
                        </pic:blipFill>
                        <pic:spPr bwMode="auto">
                          <a:xfrm>
                            <a:off x="0" y="0"/>
                            <a:ext cx="5476893" cy="2632214"/>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105BAA79" w14:textId="77777777" w:rsidTr="00302BDE">
        <w:tc>
          <w:tcPr>
            <w:tcW w:w="9016" w:type="dxa"/>
          </w:tcPr>
          <w:p w14:paraId="25462DE7" w14:textId="20EB6446" w:rsidR="000801B8" w:rsidRDefault="0095346A" w:rsidP="008D0CA4">
            <w:pPr>
              <w:spacing w:before="100" w:beforeAutospacing="1" w:after="100" w:afterAutospacing="1" w:line="360" w:lineRule="auto"/>
              <w:jc w:val="both"/>
              <w:outlineLvl w:val="2"/>
              <w:rPr>
                <w:rFonts w:ascii="Times New Roman" w:hAnsi="Times New Roman" w:cs="Times New Roman"/>
                <w:noProof/>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C1BC3">
              <w:rPr>
                <w:rFonts w:ascii="Times New Roman" w:eastAsia="Times New Roman" w:hAnsi="Times New Roman" w:cs="Times New Roman"/>
                <w:b/>
                <w:bCs/>
                <w:sz w:val="24"/>
                <w:szCs w:val="24"/>
                <w:lang w:eastAsia="en-IN"/>
              </w:rPr>
              <w:t>2</w:t>
            </w:r>
            <w:r w:rsidR="002A0CB8">
              <w:rPr>
                <w:rFonts w:ascii="Times New Roman" w:eastAsia="Times New Roman" w:hAnsi="Times New Roman" w:cs="Times New Roman"/>
                <w:b/>
                <w:bCs/>
                <w:sz w:val="24"/>
                <w:szCs w:val="24"/>
                <w:lang w:eastAsia="en-IN"/>
              </w:rPr>
              <w:t xml:space="preserve"> Global caebon emission from fishing</w:t>
            </w:r>
          </w:p>
        </w:tc>
      </w:tr>
      <w:tr w:rsidR="00A8440C" w14:paraId="730B712A" w14:textId="77777777" w:rsidTr="00AD38CB">
        <w:tc>
          <w:tcPr>
            <w:tcW w:w="9016" w:type="dxa"/>
          </w:tcPr>
          <w:p w14:paraId="71A21BA5" w14:textId="4A952F4A" w:rsidR="00A8440C" w:rsidRDefault="002A0C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440EA9" wp14:editId="0D7DFDF3">
                  <wp:extent cx="5455249" cy="2652186"/>
                  <wp:effectExtent l="0" t="0" r="0" b="0"/>
                  <wp:docPr id="1343600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0704" name="Picture 1343600704"/>
                          <pic:cNvPicPr/>
                        </pic:nvPicPr>
                        <pic:blipFill rotWithShape="1">
                          <a:blip r:embed="rId9" cstate="print">
                            <a:extLst>
                              <a:ext uri="{28A0092B-C50C-407E-A947-70E740481C1C}">
                                <a14:useLocalDpi xmlns:a14="http://schemas.microsoft.com/office/drawing/2010/main" val="0"/>
                              </a:ext>
                            </a:extLst>
                          </a:blip>
                          <a:srcRect t="9962" r="5562" b="5860"/>
                          <a:stretch>
                            <a:fillRect/>
                          </a:stretch>
                        </pic:blipFill>
                        <pic:spPr bwMode="auto">
                          <a:xfrm>
                            <a:off x="0" y="0"/>
                            <a:ext cx="5555854" cy="2701097"/>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75A1C7C6" w14:textId="77777777" w:rsidTr="00AD38CB">
        <w:tc>
          <w:tcPr>
            <w:tcW w:w="9016" w:type="dxa"/>
          </w:tcPr>
          <w:p w14:paraId="633B5110" w14:textId="236F924A" w:rsidR="000801B8" w:rsidRDefault="0095346A" w:rsidP="008D0CA4">
            <w:pPr>
              <w:spacing w:before="100" w:beforeAutospacing="1" w:after="100" w:afterAutospacing="1" w:line="360" w:lineRule="auto"/>
              <w:jc w:val="both"/>
              <w:outlineLvl w:val="2"/>
              <w:rPr>
                <w:rFonts w:ascii="Times New Roman" w:hAnsi="Times New Roman" w:cs="Times New Roman"/>
                <w:noProof/>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C1BC3">
              <w:rPr>
                <w:rFonts w:ascii="Times New Roman" w:eastAsia="Times New Roman" w:hAnsi="Times New Roman" w:cs="Times New Roman"/>
                <w:b/>
                <w:bCs/>
                <w:sz w:val="24"/>
                <w:szCs w:val="24"/>
                <w:lang w:eastAsia="en-IN"/>
              </w:rPr>
              <w:t>3</w:t>
            </w:r>
            <w:r w:rsidR="002A0CB8">
              <w:rPr>
                <w:rFonts w:ascii="Times New Roman" w:eastAsia="Times New Roman" w:hAnsi="Times New Roman" w:cs="Times New Roman"/>
                <w:b/>
                <w:bCs/>
                <w:sz w:val="24"/>
                <w:szCs w:val="24"/>
                <w:lang w:eastAsia="en-IN"/>
              </w:rPr>
              <w:t xml:space="preserve"> Global caebon emission from fishing areas</w:t>
            </w:r>
          </w:p>
        </w:tc>
      </w:tr>
    </w:tbl>
    <w:p w14:paraId="7C805191" w14:textId="4BC248B3"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3.2 Mediterranean fleets: bottom versus mid</w:t>
      </w:r>
      <w:r w:rsidRPr="006D314D">
        <w:rPr>
          <w:rFonts w:ascii="Times New Roman" w:eastAsia="Times New Roman" w:hAnsi="Times New Roman" w:cs="Times New Roman"/>
          <w:b/>
          <w:bCs/>
          <w:sz w:val="27"/>
          <w:szCs w:val="27"/>
          <w:lang w:eastAsia="en-IN"/>
        </w:rPr>
        <w:noBreakHyphen/>
        <w:t>water gears</w:t>
      </w:r>
    </w:p>
    <w:p w14:paraId="61C628A0" w14:textId="0CC325B3" w:rsid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A comparison of Mediterranean trawl fleets illustrates the influence of gear type on emissions. Sala et al. (2022) measured emission intensities for three gear types: OTB and TBB (both bottom</w:t>
      </w:r>
      <w:r w:rsidRPr="006D314D">
        <w:rPr>
          <w:rFonts w:ascii="Times New Roman" w:eastAsia="Times New Roman" w:hAnsi="Times New Roman" w:cs="Times New Roman"/>
          <w:sz w:val="24"/>
          <w:szCs w:val="24"/>
          <w:lang w:eastAsia="en-IN"/>
        </w:rPr>
        <w:noBreakHyphen/>
        <w:t>contact gears) and PTM (a mid</w:t>
      </w:r>
      <w:r w:rsidRPr="006D314D">
        <w:rPr>
          <w:rFonts w:ascii="Times New Roman" w:eastAsia="Times New Roman" w:hAnsi="Times New Roman" w:cs="Times New Roman"/>
          <w:sz w:val="24"/>
          <w:szCs w:val="24"/>
          <w:lang w:eastAsia="en-IN"/>
        </w:rPr>
        <w:noBreakHyphen/>
        <w:t xml:space="preserve">water pair trawl). The original study reported emissions in </w:t>
      </w:r>
      <w:r w:rsidRPr="006D314D">
        <w:rPr>
          <w:rFonts w:ascii="Times New Roman" w:eastAsia="Times New Roman" w:hAnsi="Times New Roman" w:cs="Times New Roman"/>
          <w:i/>
          <w:iCs/>
          <w:sz w:val="24"/>
          <w:szCs w:val="24"/>
          <w:lang w:eastAsia="en-IN"/>
        </w:rPr>
        <w:t>kg CO₂ t⁻¹ fish</w:t>
      </w:r>
      <w:r w:rsidRPr="006D314D">
        <w:rPr>
          <w:rFonts w:ascii="Times New Roman" w:eastAsia="Times New Roman" w:hAnsi="Times New Roman" w:cs="Times New Roman"/>
          <w:sz w:val="24"/>
          <w:szCs w:val="24"/>
          <w:lang w:eastAsia="en-IN"/>
        </w:rPr>
        <w:t xml:space="preserve">. To harmonise units, those values are converted here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xml:space="preserve"> by dividing by 1 000. After conversion, bottom</w:t>
      </w:r>
      <w:r w:rsidRPr="006D314D">
        <w:rPr>
          <w:rFonts w:ascii="Times New Roman" w:eastAsia="Times New Roman" w:hAnsi="Times New Roman" w:cs="Times New Roman"/>
          <w:sz w:val="24"/>
          <w:szCs w:val="24"/>
          <w:lang w:eastAsia="en-IN"/>
        </w:rPr>
        <w:noBreakHyphen/>
        <w:t>contact gears exhibited values roughly an order of magnitude greater than the mid</w:t>
      </w:r>
      <w:r w:rsidRPr="006D314D">
        <w:rPr>
          <w:rFonts w:ascii="Times New Roman" w:eastAsia="Times New Roman" w:hAnsi="Times New Roman" w:cs="Times New Roman"/>
          <w:sz w:val="24"/>
          <w:szCs w:val="24"/>
          <w:lang w:eastAsia="en-IN"/>
        </w:rPr>
        <w:noBreakHyphen/>
        <w:t xml:space="preserve">water gear. For example, if an OTB emitted 600 kg CO₂ per tonne of fish (original units), this corresponds to 0.6 kg CO₂ per kilogram of fish. In contrast, a PTM emitting 150 kg CO₂ per tonne equates to 0.15 kg CO₂ per kilogram. The discrepancy </w:t>
      </w:r>
      <w:r w:rsidRPr="006D314D">
        <w:rPr>
          <w:rFonts w:ascii="Times New Roman" w:eastAsia="Times New Roman" w:hAnsi="Times New Roman" w:cs="Times New Roman"/>
          <w:sz w:val="24"/>
          <w:szCs w:val="24"/>
          <w:lang w:eastAsia="en-IN"/>
        </w:rPr>
        <w:lastRenderedPageBreak/>
        <w:t>reflects the greater fuel requirements of bottom trawling and the additional CO₂ released from disturbed sediments. Consequently, bottom trawling in the Mediterranean likely has a higher carbon footprint per kilogram of fish than mid</w:t>
      </w:r>
      <w:r w:rsidRPr="006D314D">
        <w:rPr>
          <w:rFonts w:ascii="Times New Roman" w:eastAsia="Times New Roman" w:hAnsi="Times New Roman" w:cs="Times New Roman"/>
          <w:sz w:val="24"/>
          <w:szCs w:val="24"/>
          <w:lang w:eastAsia="en-IN"/>
        </w:rPr>
        <w:noBreakHyphen/>
        <w:t>water trawling, despite similar catch rates</w:t>
      </w:r>
      <w:r w:rsidR="0087231A">
        <w:rPr>
          <w:rFonts w:ascii="Times New Roman" w:eastAsia="Times New Roman" w:hAnsi="Times New Roman" w:cs="Times New Roman"/>
          <w:sz w:val="24"/>
          <w:szCs w:val="24"/>
          <w:lang w:eastAsia="en-IN"/>
        </w:rPr>
        <w:t xml:space="preserve"> </w:t>
      </w:r>
      <w:r w:rsidR="00931540">
        <w:rPr>
          <w:rFonts w:ascii="Times New Roman" w:hAnsi="Times New Roman" w:cs="Times New Roman"/>
          <w:sz w:val="24"/>
          <w:szCs w:val="24"/>
        </w:rPr>
        <w:t xml:space="preserve">(Figure </w:t>
      </w:r>
      <w:r w:rsidR="001A40A8">
        <w:rPr>
          <w:rFonts w:ascii="Times New Roman" w:hAnsi="Times New Roman" w:cs="Times New Roman"/>
          <w:sz w:val="24"/>
          <w:szCs w:val="24"/>
        </w:rPr>
        <w:t>4</w:t>
      </w:r>
      <w:r w:rsidR="00931540">
        <w:rPr>
          <w:rFonts w:ascii="Times New Roman" w:hAnsi="Times New Roman" w:cs="Times New Roman"/>
          <w:sz w:val="24"/>
          <w:szCs w:val="24"/>
        </w:rPr>
        <w:t>)</w:t>
      </w:r>
      <w:r w:rsidRPr="006D314D">
        <w:rPr>
          <w:rFonts w:ascii="Times New Roman" w:eastAsia="Times New Roman" w:hAnsi="Times New Roman" w:cs="Times New Roman"/>
          <w:sz w:val="24"/>
          <w:szCs w:val="24"/>
          <w:lang w:eastAsia="en-IN"/>
        </w:rPr>
        <w:t>.</w:t>
      </w:r>
    </w:p>
    <w:tbl>
      <w:tblPr>
        <w:tblStyle w:val="TableGrid"/>
        <w:tblW w:w="9209" w:type="dxa"/>
        <w:tblLook w:val="04A0" w:firstRow="1" w:lastRow="0" w:firstColumn="1" w:lastColumn="0" w:noHBand="0" w:noVBand="1"/>
      </w:tblPr>
      <w:tblGrid>
        <w:gridCol w:w="9246"/>
      </w:tblGrid>
      <w:tr w:rsidR="00043820" w14:paraId="0C3D231B" w14:textId="77777777" w:rsidTr="00FB4DCD">
        <w:tc>
          <w:tcPr>
            <w:tcW w:w="9209" w:type="dxa"/>
          </w:tcPr>
          <w:p w14:paraId="20B2F3BB" w14:textId="1EFDC24A" w:rsidR="00043820" w:rsidRDefault="00043820"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8135DB0" wp14:editId="4F7A6A29">
                  <wp:extent cx="5731510" cy="2654617"/>
                  <wp:effectExtent l="0" t="0" r="2540" b="0"/>
                  <wp:docPr id="719060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0990" name="Picture 719060990"/>
                          <pic:cNvPicPr/>
                        </pic:nvPicPr>
                        <pic:blipFill rotWithShape="1">
                          <a:blip r:embed="rId10" cstate="print">
                            <a:extLst>
                              <a:ext uri="{28A0092B-C50C-407E-A947-70E740481C1C}">
                                <a14:useLocalDpi xmlns:a14="http://schemas.microsoft.com/office/drawing/2010/main" val="0"/>
                              </a:ext>
                            </a:extLst>
                          </a:blip>
                          <a:srcRect t="15083"/>
                          <a:stretch>
                            <a:fillRect/>
                          </a:stretch>
                        </pic:blipFill>
                        <pic:spPr bwMode="auto">
                          <a:xfrm>
                            <a:off x="0" y="0"/>
                            <a:ext cx="5731510" cy="2654617"/>
                          </a:xfrm>
                          <a:prstGeom prst="rect">
                            <a:avLst/>
                          </a:prstGeom>
                          <a:ln>
                            <a:noFill/>
                          </a:ln>
                          <a:extLst>
                            <a:ext uri="{53640926-AAD7-44D8-BBD7-CCE9431645EC}">
                              <a14:shadowObscured xmlns:a14="http://schemas.microsoft.com/office/drawing/2010/main"/>
                            </a:ext>
                          </a:extLst>
                        </pic:spPr>
                      </pic:pic>
                    </a:graphicData>
                  </a:graphic>
                </wp:inline>
              </w:drawing>
            </w:r>
          </w:p>
        </w:tc>
      </w:tr>
      <w:tr w:rsidR="00043820" w14:paraId="47B7E7B1" w14:textId="77777777" w:rsidTr="00FB4DCD">
        <w:tc>
          <w:tcPr>
            <w:tcW w:w="9209" w:type="dxa"/>
          </w:tcPr>
          <w:p w14:paraId="207871F1" w14:textId="1C0474BE" w:rsidR="00043820"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C1BC3">
              <w:rPr>
                <w:rFonts w:ascii="Times New Roman" w:eastAsia="Times New Roman" w:hAnsi="Times New Roman" w:cs="Times New Roman"/>
                <w:b/>
                <w:bCs/>
                <w:sz w:val="24"/>
                <w:szCs w:val="24"/>
                <w:lang w:eastAsia="en-IN"/>
              </w:rPr>
              <w:t>4</w:t>
            </w:r>
            <w:r w:rsidR="002A0CB8">
              <w:rPr>
                <w:rFonts w:ascii="Times New Roman" w:eastAsia="Times New Roman" w:hAnsi="Times New Roman" w:cs="Times New Roman"/>
                <w:b/>
                <w:bCs/>
                <w:sz w:val="24"/>
                <w:szCs w:val="24"/>
                <w:lang w:eastAsia="en-IN"/>
              </w:rPr>
              <w:t xml:space="preserve"> Average carbon footprint of single boat bottom otter trawler (OTB), Midwater pai trawler (PTM), and Rapido beam trawler (TBB) in Mediterranean fi</w:t>
            </w:r>
            <w:r w:rsidR="00FB4DCD">
              <w:rPr>
                <w:rFonts w:ascii="Times New Roman" w:eastAsia="Times New Roman" w:hAnsi="Times New Roman" w:cs="Times New Roman"/>
                <w:b/>
                <w:bCs/>
                <w:sz w:val="24"/>
                <w:szCs w:val="24"/>
                <w:lang w:eastAsia="en-IN"/>
              </w:rPr>
              <w:t>shing</w:t>
            </w:r>
          </w:p>
        </w:tc>
      </w:tr>
    </w:tbl>
    <w:p w14:paraId="0A117332"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3.3 Cross</w:t>
      </w:r>
      <w:r w:rsidRPr="006D314D">
        <w:rPr>
          <w:rFonts w:ascii="Times New Roman" w:eastAsia="Times New Roman" w:hAnsi="Times New Roman" w:cs="Times New Roman"/>
          <w:b/>
          <w:bCs/>
          <w:sz w:val="27"/>
          <w:szCs w:val="27"/>
          <w:lang w:eastAsia="en-IN"/>
        </w:rPr>
        <w:noBreakHyphen/>
        <w:t>regional comparisons: bottom versus pelagic trawlers</w:t>
      </w:r>
    </w:p>
    <w:p w14:paraId="273CA734" w14:textId="2605EBA7" w:rsidR="00AC572F" w:rsidRDefault="00AC572F" w:rsidP="008D0CA4">
      <w:pPr>
        <w:spacing w:before="100" w:beforeAutospacing="1" w:after="100" w:afterAutospacing="1" w:line="360" w:lineRule="auto"/>
        <w:jc w:val="both"/>
        <w:outlineLvl w:val="2"/>
        <w:rPr>
          <w:rFonts w:ascii="Times New Roman" w:hAnsi="Times New Roman" w:cs="Times New Roman"/>
          <w:sz w:val="24"/>
          <w:szCs w:val="24"/>
        </w:rPr>
      </w:pPr>
      <w:r w:rsidRPr="00AC572F">
        <w:rPr>
          <w:rFonts w:ascii="Times New Roman" w:hAnsi="Times New Roman" w:cs="Times New Roman"/>
          <w:sz w:val="24"/>
          <w:szCs w:val="24"/>
        </w:rPr>
        <w:t>Emission data synthesised for trawlers operating across Europe, North America and Oceania indicate clear differences between bottom and pelagic trawl fisheries (Hilborn et al., 2023). When standardised as kg CO₂ kg⁻¹ of fish landed, bottom trawlers consistently showed higher carbon intensities than pelagic trawlers across all regions examined. Although data for African and Asian fleets were limited, the available evidence still revealed the same trend of elevated emissions from bottom trawlers compared to pelagic trawlers. These results align with conclusions drawn from Mediterranean fisheries, reinforcing that bottom trawling is more carbon intensive than mid-water or pelagic trawling, largely due to higher fuel requirements and the added impact of seafloor disturbance</w:t>
      </w:r>
      <w:r w:rsidR="001A40A8">
        <w:rPr>
          <w:rFonts w:ascii="Times New Roman" w:hAnsi="Times New Roman" w:cs="Times New Roman"/>
          <w:sz w:val="24"/>
          <w:szCs w:val="24"/>
        </w:rPr>
        <w:t xml:space="preserve"> </w:t>
      </w:r>
      <w:r w:rsidR="00931540">
        <w:rPr>
          <w:rFonts w:ascii="Times New Roman" w:hAnsi="Times New Roman" w:cs="Times New Roman"/>
          <w:sz w:val="24"/>
          <w:szCs w:val="24"/>
        </w:rPr>
        <w:t xml:space="preserve">(Figure </w:t>
      </w:r>
      <w:r w:rsidR="001A40A8">
        <w:rPr>
          <w:rFonts w:ascii="Times New Roman" w:hAnsi="Times New Roman" w:cs="Times New Roman"/>
          <w:sz w:val="24"/>
          <w:szCs w:val="24"/>
        </w:rPr>
        <w:t>5</w:t>
      </w:r>
      <w:r w:rsidR="00931540">
        <w:rPr>
          <w:rFonts w:ascii="Times New Roman" w:hAnsi="Times New Roman" w:cs="Times New Roman"/>
          <w:sz w:val="24"/>
          <w:szCs w:val="24"/>
        </w:rPr>
        <w:t>)</w:t>
      </w:r>
      <w:r w:rsidRPr="00AC572F">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016"/>
      </w:tblGrid>
      <w:tr w:rsidR="000801B8" w14:paraId="3EA4204A" w14:textId="77777777" w:rsidTr="000801B8">
        <w:tc>
          <w:tcPr>
            <w:tcW w:w="9016" w:type="dxa"/>
          </w:tcPr>
          <w:p w14:paraId="28C592F9" w14:textId="5BFA2710" w:rsidR="000801B8" w:rsidRDefault="000801B8" w:rsidP="008D0CA4">
            <w:pPr>
              <w:spacing w:before="100" w:beforeAutospacing="1" w:after="100" w:afterAutospacing="1" w:line="360" w:lineRule="auto"/>
              <w:jc w:val="both"/>
              <w:outlineLvl w:val="2"/>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B987BA" wp14:editId="7A6A9BF4">
                  <wp:extent cx="5481637" cy="2682875"/>
                  <wp:effectExtent l="0" t="0" r="5080" b="3175"/>
                  <wp:docPr id="368667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7012" name="Picture 368667012"/>
                          <pic:cNvPicPr/>
                        </pic:nvPicPr>
                        <pic:blipFill rotWithShape="1">
                          <a:blip r:embed="rId11" cstate="print">
                            <a:extLst>
                              <a:ext uri="{28A0092B-C50C-407E-A947-70E740481C1C}">
                                <a14:useLocalDpi xmlns:a14="http://schemas.microsoft.com/office/drawing/2010/main" val="0"/>
                              </a:ext>
                            </a:extLst>
                          </a:blip>
                          <a:srcRect t="14168" r="4348"/>
                          <a:stretch>
                            <a:fillRect/>
                          </a:stretch>
                        </pic:blipFill>
                        <pic:spPr bwMode="auto">
                          <a:xfrm>
                            <a:off x="0" y="0"/>
                            <a:ext cx="5482287" cy="2683193"/>
                          </a:xfrm>
                          <a:prstGeom prst="rect">
                            <a:avLst/>
                          </a:prstGeom>
                          <a:ln>
                            <a:noFill/>
                          </a:ln>
                          <a:extLst>
                            <a:ext uri="{53640926-AAD7-44D8-BBD7-CCE9431645EC}">
                              <a14:shadowObscured xmlns:a14="http://schemas.microsoft.com/office/drawing/2010/main"/>
                            </a:ext>
                          </a:extLst>
                        </pic:spPr>
                      </pic:pic>
                    </a:graphicData>
                  </a:graphic>
                </wp:inline>
              </w:drawing>
            </w:r>
          </w:p>
        </w:tc>
      </w:tr>
      <w:tr w:rsidR="000801B8" w14:paraId="3CA147BD" w14:textId="77777777" w:rsidTr="000801B8">
        <w:tc>
          <w:tcPr>
            <w:tcW w:w="9016" w:type="dxa"/>
          </w:tcPr>
          <w:p w14:paraId="39779BD0" w14:textId="6BFDB1E1" w:rsidR="000801B8" w:rsidRDefault="0095346A" w:rsidP="008D0CA4">
            <w:pPr>
              <w:spacing w:before="100" w:beforeAutospacing="1" w:after="100" w:afterAutospacing="1" w:line="360" w:lineRule="auto"/>
              <w:jc w:val="both"/>
              <w:outlineLvl w:val="2"/>
              <w:rPr>
                <w:rFonts w:ascii="Times New Roman" w:hAnsi="Times New Roman" w:cs="Times New Roman"/>
                <w:sz w:val="24"/>
                <w:szCs w:val="24"/>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C1BC3">
              <w:rPr>
                <w:rFonts w:ascii="Times New Roman" w:eastAsia="Times New Roman" w:hAnsi="Times New Roman" w:cs="Times New Roman"/>
                <w:b/>
                <w:bCs/>
                <w:sz w:val="24"/>
                <w:szCs w:val="24"/>
                <w:lang w:eastAsia="en-IN"/>
              </w:rPr>
              <w:t>5</w:t>
            </w:r>
            <w:r w:rsidR="00EB11C0">
              <w:rPr>
                <w:rFonts w:ascii="Times New Roman" w:eastAsia="Times New Roman" w:hAnsi="Times New Roman" w:cs="Times New Roman"/>
                <w:b/>
                <w:bCs/>
                <w:sz w:val="24"/>
                <w:szCs w:val="24"/>
                <w:lang w:eastAsia="en-IN"/>
              </w:rPr>
              <w:t xml:space="preserve"> Carbon emission from bottom and pelagic trawler in Europe, North America, Oceania, Africa and Asia</w:t>
            </w:r>
          </w:p>
        </w:tc>
      </w:tr>
    </w:tbl>
    <w:p w14:paraId="07E856EB" w14:textId="2ECDC649"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3.4 Indian case studies: vessel size and carbon intensity</w:t>
      </w:r>
    </w:p>
    <w:p w14:paraId="775B1E47" w14:textId="3223E49B" w:rsid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Data from Kerala and north</w:t>
      </w:r>
      <w:r w:rsidRPr="006D314D">
        <w:rPr>
          <w:rFonts w:ascii="Times New Roman" w:eastAsia="Times New Roman" w:hAnsi="Times New Roman" w:cs="Times New Roman"/>
          <w:sz w:val="24"/>
          <w:szCs w:val="24"/>
          <w:lang w:eastAsia="en-IN"/>
        </w:rPr>
        <w:noBreakHyphen/>
        <w:t xml:space="preserve">west India reveal strong correlations between vessel size and carbon emissions per unit catch. Sayana and Remesan (2020) documented emissions from trawlers operating out of the Kerala coast. After converting emissions to </w:t>
      </w:r>
      <w:r w:rsidRPr="006D314D">
        <w:rPr>
          <w:rFonts w:ascii="Times New Roman" w:eastAsia="Times New Roman" w:hAnsi="Times New Roman" w:cs="Times New Roman"/>
          <w:i/>
          <w:iCs/>
          <w:sz w:val="24"/>
          <w:szCs w:val="24"/>
          <w:lang w:eastAsia="en-IN"/>
        </w:rPr>
        <w:t>kg CO₂ kg⁻¹ fish</w:t>
      </w:r>
      <w:r w:rsidRPr="006D314D">
        <w:rPr>
          <w:rFonts w:ascii="Times New Roman" w:eastAsia="Times New Roman" w:hAnsi="Times New Roman" w:cs="Times New Roman"/>
          <w:sz w:val="24"/>
          <w:szCs w:val="24"/>
          <w:lang w:eastAsia="en-IN"/>
        </w:rPr>
        <w:t>, the authors found that very large trawlers had significantly higher carbon footprints than smaller vessels</w:t>
      </w:r>
      <w:r w:rsidR="001A40A8">
        <w:rPr>
          <w:rFonts w:ascii="Times New Roman" w:eastAsia="Times New Roman" w:hAnsi="Times New Roman" w:cs="Times New Roman"/>
          <w:sz w:val="24"/>
          <w:szCs w:val="24"/>
          <w:lang w:eastAsia="en-IN"/>
        </w:rPr>
        <w:t xml:space="preserve"> </w:t>
      </w:r>
      <w:r w:rsidR="00931540">
        <w:rPr>
          <w:rFonts w:ascii="Times New Roman" w:hAnsi="Times New Roman" w:cs="Times New Roman"/>
          <w:sz w:val="24"/>
          <w:szCs w:val="24"/>
        </w:rPr>
        <w:t xml:space="preserve">(Figure </w:t>
      </w:r>
      <w:r w:rsidR="001A40A8">
        <w:rPr>
          <w:rFonts w:ascii="Times New Roman" w:hAnsi="Times New Roman" w:cs="Times New Roman"/>
          <w:sz w:val="24"/>
          <w:szCs w:val="24"/>
        </w:rPr>
        <w:t>6</w:t>
      </w:r>
      <w:r w:rsidR="00931540">
        <w:rPr>
          <w:rFonts w:ascii="Times New Roman" w:hAnsi="Times New Roman" w:cs="Times New Roman"/>
          <w:sz w:val="24"/>
          <w:szCs w:val="24"/>
        </w:rPr>
        <w:t>)</w:t>
      </w:r>
      <w:r w:rsidRPr="006D314D">
        <w:rPr>
          <w:rFonts w:ascii="Times New Roman" w:eastAsia="Times New Roman" w:hAnsi="Times New Roman" w:cs="Times New Roman"/>
          <w:sz w:val="24"/>
          <w:szCs w:val="24"/>
          <w:lang w:eastAsia="en-IN"/>
        </w:rPr>
        <w:t>. Similarly, Devi et al. (2021) evaluated multi</w:t>
      </w:r>
      <w:r w:rsidRPr="006D314D">
        <w:rPr>
          <w:rFonts w:ascii="Times New Roman" w:eastAsia="Times New Roman" w:hAnsi="Times New Roman" w:cs="Times New Roman"/>
          <w:sz w:val="24"/>
          <w:szCs w:val="24"/>
          <w:lang w:eastAsia="en-IN"/>
        </w:rPr>
        <w:noBreakHyphen/>
        <w:t>day large (MDL), multi</w:t>
      </w:r>
      <w:r w:rsidRPr="006D314D">
        <w:rPr>
          <w:rFonts w:ascii="Times New Roman" w:eastAsia="Times New Roman" w:hAnsi="Times New Roman" w:cs="Times New Roman"/>
          <w:sz w:val="24"/>
          <w:szCs w:val="24"/>
          <w:lang w:eastAsia="en-IN"/>
        </w:rPr>
        <w:noBreakHyphen/>
        <w:t>day medium (MDM) and single</w:t>
      </w:r>
      <w:r w:rsidRPr="006D314D">
        <w:rPr>
          <w:rFonts w:ascii="Times New Roman" w:eastAsia="Times New Roman" w:hAnsi="Times New Roman" w:cs="Times New Roman"/>
          <w:sz w:val="24"/>
          <w:szCs w:val="24"/>
          <w:lang w:eastAsia="en-IN"/>
        </w:rPr>
        <w:noBreakHyphen/>
        <w:t>day (SD) trawlers along the north</w:t>
      </w:r>
      <w:r w:rsidRPr="006D314D">
        <w:rPr>
          <w:rFonts w:ascii="Times New Roman" w:eastAsia="Times New Roman" w:hAnsi="Times New Roman" w:cs="Times New Roman"/>
          <w:sz w:val="24"/>
          <w:szCs w:val="24"/>
          <w:lang w:eastAsia="en-IN"/>
        </w:rPr>
        <w:noBreakHyphen/>
        <w:t>west coast. Carbon intensities were highest for MDL trawlers, intermediate for MDM trawlers and lowest for SD trawlers. These patterns arise because larger vessels typically use high</w:t>
      </w:r>
      <w:r w:rsidRPr="006D314D">
        <w:rPr>
          <w:rFonts w:ascii="Times New Roman" w:eastAsia="Times New Roman" w:hAnsi="Times New Roman" w:cs="Times New Roman"/>
          <w:sz w:val="24"/>
          <w:szCs w:val="24"/>
          <w:lang w:eastAsia="en-IN"/>
        </w:rPr>
        <w:noBreakHyphen/>
        <w:t>powered engines and travel longer distances at greater speeds, resulting in higher fuel consumption. The results suggest that reducing vessel size or engine capacity</w:t>
      </w:r>
      <w:r w:rsidR="00514B5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and optimising trip length</w:t>
      </w:r>
      <w:r w:rsidR="00514B54">
        <w:rPr>
          <w:rFonts w:ascii="Times New Roman" w:eastAsia="Times New Roman" w:hAnsi="Times New Roman" w:cs="Times New Roman"/>
          <w:sz w:val="24"/>
          <w:szCs w:val="24"/>
          <w:lang w:eastAsia="en-IN"/>
        </w:rPr>
        <w:t xml:space="preserve"> </w:t>
      </w:r>
      <w:r w:rsidRPr="006D314D">
        <w:rPr>
          <w:rFonts w:ascii="Times New Roman" w:eastAsia="Times New Roman" w:hAnsi="Times New Roman" w:cs="Times New Roman"/>
          <w:sz w:val="24"/>
          <w:szCs w:val="24"/>
          <w:lang w:eastAsia="en-IN"/>
        </w:rPr>
        <w:t>could yield significant emissions reductions for Indian trawler fleets</w:t>
      </w:r>
      <w:r w:rsidR="001A40A8">
        <w:rPr>
          <w:rFonts w:ascii="Times New Roman" w:eastAsia="Times New Roman" w:hAnsi="Times New Roman" w:cs="Times New Roman"/>
          <w:sz w:val="24"/>
          <w:szCs w:val="24"/>
          <w:lang w:eastAsia="en-IN"/>
        </w:rPr>
        <w:t xml:space="preserve"> </w:t>
      </w:r>
      <w:r w:rsidR="00931540">
        <w:rPr>
          <w:rFonts w:ascii="Times New Roman" w:hAnsi="Times New Roman" w:cs="Times New Roman"/>
          <w:sz w:val="24"/>
          <w:szCs w:val="24"/>
        </w:rPr>
        <w:t xml:space="preserve">(Figure </w:t>
      </w:r>
      <w:r w:rsidR="001A40A8">
        <w:rPr>
          <w:rFonts w:ascii="Times New Roman" w:hAnsi="Times New Roman" w:cs="Times New Roman"/>
          <w:sz w:val="24"/>
          <w:szCs w:val="24"/>
        </w:rPr>
        <w:t>7</w:t>
      </w:r>
      <w:r w:rsidR="00931540">
        <w:rPr>
          <w:rFonts w:ascii="Times New Roman" w:hAnsi="Times New Roman" w:cs="Times New Roman"/>
          <w:sz w:val="24"/>
          <w:szCs w:val="24"/>
        </w:rPr>
        <w:t>)</w:t>
      </w:r>
      <w:r w:rsidRPr="006D314D">
        <w:rPr>
          <w:rFonts w:ascii="Times New Roman" w:eastAsia="Times New Roman" w:hAnsi="Times New Roman" w:cs="Times New Roman"/>
          <w:sz w:val="24"/>
          <w:szCs w:val="24"/>
          <w:lang w:eastAsia="en-IN"/>
        </w:rPr>
        <w:t>.</w:t>
      </w:r>
    </w:p>
    <w:tbl>
      <w:tblPr>
        <w:tblStyle w:val="TableGrid"/>
        <w:tblW w:w="0" w:type="auto"/>
        <w:tblLook w:val="04A0" w:firstRow="1" w:lastRow="0" w:firstColumn="1" w:lastColumn="0" w:noHBand="0" w:noVBand="1"/>
      </w:tblPr>
      <w:tblGrid>
        <w:gridCol w:w="9016"/>
      </w:tblGrid>
      <w:tr w:rsidR="00F4277C" w14:paraId="6EEEA4E9" w14:textId="77777777" w:rsidTr="00F4277C">
        <w:tc>
          <w:tcPr>
            <w:tcW w:w="9016" w:type="dxa"/>
          </w:tcPr>
          <w:p w14:paraId="45EEA2F7" w14:textId="74722B6F" w:rsidR="00F4277C" w:rsidRDefault="00F4277C"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5AF949E8" wp14:editId="094D8D98">
                  <wp:extent cx="5731510" cy="2816543"/>
                  <wp:effectExtent l="0" t="0" r="2540" b="3175"/>
                  <wp:docPr id="2013758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58740" name="Picture 2013758740"/>
                          <pic:cNvPicPr/>
                        </pic:nvPicPr>
                        <pic:blipFill rotWithShape="1">
                          <a:blip r:embed="rId12" cstate="print">
                            <a:extLst>
                              <a:ext uri="{28A0092B-C50C-407E-A947-70E740481C1C}">
                                <a14:useLocalDpi xmlns:a14="http://schemas.microsoft.com/office/drawing/2010/main" val="0"/>
                              </a:ext>
                            </a:extLst>
                          </a:blip>
                          <a:srcRect t="9902"/>
                          <a:stretch>
                            <a:fillRect/>
                          </a:stretch>
                        </pic:blipFill>
                        <pic:spPr bwMode="auto">
                          <a:xfrm>
                            <a:off x="0" y="0"/>
                            <a:ext cx="5731510" cy="2816543"/>
                          </a:xfrm>
                          <a:prstGeom prst="rect">
                            <a:avLst/>
                          </a:prstGeom>
                          <a:ln>
                            <a:noFill/>
                          </a:ln>
                          <a:extLst>
                            <a:ext uri="{53640926-AAD7-44D8-BBD7-CCE9431645EC}">
                              <a14:shadowObscured xmlns:a14="http://schemas.microsoft.com/office/drawing/2010/main"/>
                            </a:ext>
                          </a:extLst>
                        </pic:spPr>
                      </pic:pic>
                    </a:graphicData>
                  </a:graphic>
                </wp:inline>
              </w:drawing>
            </w:r>
          </w:p>
        </w:tc>
      </w:tr>
      <w:tr w:rsidR="00F4277C" w14:paraId="3A3A79CF" w14:textId="77777777" w:rsidTr="00F4277C">
        <w:tc>
          <w:tcPr>
            <w:tcW w:w="9016" w:type="dxa"/>
          </w:tcPr>
          <w:p w14:paraId="54396DEA" w14:textId="0D02BC64" w:rsidR="00F4277C"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C1BC3">
              <w:rPr>
                <w:rFonts w:ascii="Times New Roman" w:eastAsia="Times New Roman" w:hAnsi="Times New Roman" w:cs="Times New Roman"/>
                <w:b/>
                <w:bCs/>
                <w:sz w:val="24"/>
                <w:szCs w:val="24"/>
                <w:lang w:eastAsia="en-IN"/>
              </w:rPr>
              <w:t>6</w:t>
            </w:r>
            <w:r w:rsidR="00EB11C0">
              <w:rPr>
                <w:rFonts w:ascii="Times New Roman" w:eastAsia="Times New Roman" w:hAnsi="Times New Roman" w:cs="Times New Roman"/>
                <w:b/>
                <w:bCs/>
                <w:sz w:val="24"/>
                <w:szCs w:val="24"/>
                <w:lang w:eastAsia="en-IN"/>
              </w:rPr>
              <w:t xml:space="preserve"> Carbon emission from trawlers operated in kerala coast</w:t>
            </w:r>
          </w:p>
        </w:tc>
      </w:tr>
      <w:tr w:rsidR="00FC14AD" w14:paraId="68BC33C4" w14:textId="77777777" w:rsidTr="00F4277C">
        <w:tc>
          <w:tcPr>
            <w:tcW w:w="9016" w:type="dxa"/>
          </w:tcPr>
          <w:p w14:paraId="0F41C200" w14:textId="6C2029A7" w:rsidR="00FC14AD" w:rsidRDefault="00955895"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8EAD82A" wp14:editId="4A5CF3DA">
                  <wp:extent cx="5224145" cy="2652713"/>
                  <wp:effectExtent l="0" t="0" r="0" b="0"/>
                  <wp:docPr id="715067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67497" name="Picture 715067497"/>
                          <pic:cNvPicPr/>
                        </pic:nvPicPr>
                        <pic:blipFill rotWithShape="1">
                          <a:blip r:embed="rId13" cstate="print">
                            <a:extLst>
                              <a:ext uri="{28A0092B-C50C-407E-A947-70E740481C1C}">
                                <a14:useLocalDpi xmlns:a14="http://schemas.microsoft.com/office/drawing/2010/main" val="0"/>
                              </a:ext>
                            </a:extLst>
                          </a:blip>
                          <a:srcRect l="3715" t="10370" r="3652" b="3390"/>
                          <a:stretch>
                            <a:fillRect/>
                          </a:stretch>
                        </pic:blipFill>
                        <pic:spPr bwMode="auto">
                          <a:xfrm>
                            <a:off x="0" y="0"/>
                            <a:ext cx="5231609" cy="2656503"/>
                          </a:xfrm>
                          <a:prstGeom prst="rect">
                            <a:avLst/>
                          </a:prstGeom>
                          <a:ln>
                            <a:noFill/>
                          </a:ln>
                          <a:extLst>
                            <a:ext uri="{53640926-AAD7-44D8-BBD7-CCE9431645EC}">
                              <a14:shadowObscured xmlns:a14="http://schemas.microsoft.com/office/drawing/2010/main"/>
                            </a:ext>
                          </a:extLst>
                        </pic:spPr>
                      </pic:pic>
                    </a:graphicData>
                  </a:graphic>
                </wp:inline>
              </w:drawing>
            </w:r>
          </w:p>
        </w:tc>
      </w:tr>
      <w:tr w:rsidR="00FC14AD" w14:paraId="2DF9C004" w14:textId="77777777" w:rsidTr="00F4277C">
        <w:tc>
          <w:tcPr>
            <w:tcW w:w="9016" w:type="dxa"/>
          </w:tcPr>
          <w:p w14:paraId="7E48127A" w14:textId="10371EBC" w:rsidR="00FC14AD" w:rsidRDefault="0095346A"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60AFD">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ure</w:t>
            </w:r>
            <w:r w:rsidRPr="00860AFD">
              <w:rPr>
                <w:rFonts w:ascii="Times New Roman" w:eastAsia="Times New Roman" w:hAnsi="Times New Roman" w:cs="Times New Roman"/>
                <w:b/>
                <w:bCs/>
                <w:sz w:val="24"/>
                <w:szCs w:val="24"/>
                <w:lang w:eastAsia="en-IN"/>
              </w:rPr>
              <w:t>:</w:t>
            </w:r>
            <w:r w:rsidR="00EC1BC3">
              <w:rPr>
                <w:rFonts w:ascii="Times New Roman" w:eastAsia="Times New Roman" w:hAnsi="Times New Roman" w:cs="Times New Roman"/>
                <w:b/>
                <w:bCs/>
                <w:sz w:val="24"/>
                <w:szCs w:val="24"/>
                <w:lang w:eastAsia="en-IN"/>
              </w:rPr>
              <w:t>7</w:t>
            </w:r>
            <w:r w:rsidR="00EB11C0">
              <w:rPr>
                <w:rFonts w:ascii="Times New Roman" w:eastAsia="Times New Roman" w:hAnsi="Times New Roman" w:cs="Times New Roman"/>
                <w:b/>
                <w:bCs/>
                <w:sz w:val="24"/>
                <w:szCs w:val="24"/>
                <w:lang w:eastAsia="en-IN"/>
              </w:rPr>
              <w:t xml:space="preserve"> Carbon emission from trawlers operated in North-West coast of India</w:t>
            </w:r>
          </w:p>
        </w:tc>
      </w:tr>
    </w:tbl>
    <w:p w14:paraId="7DA590BC" w14:textId="77777777" w:rsidR="006D314D" w:rsidRPr="006D314D"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7"/>
          <w:szCs w:val="27"/>
          <w:lang w:eastAsia="en-IN"/>
        </w:rPr>
      </w:pPr>
      <w:r w:rsidRPr="006D314D">
        <w:rPr>
          <w:rFonts w:ascii="Times New Roman" w:eastAsia="Times New Roman" w:hAnsi="Times New Roman" w:cs="Times New Roman"/>
          <w:b/>
          <w:bCs/>
          <w:sz w:val="27"/>
          <w:szCs w:val="27"/>
          <w:lang w:eastAsia="en-IN"/>
        </w:rPr>
        <w:t>3.5 Carbon footprint of trawled fish compared with other proteins</w:t>
      </w:r>
    </w:p>
    <w:p w14:paraId="53AE81BE" w14:textId="15D70889" w:rsidR="006D314D" w:rsidRPr="001508EB" w:rsidRDefault="00AC572F" w:rsidP="001508EB">
      <w:pPr>
        <w:pStyle w:val="NormalWeb"/>
        <w:spacing w:line="360" w:lineRule="auto"/>
        <w:jc w:val="both"/>
        <w:rPr>
          <w:color w:val="EE0000"/>
        </w:rPr>
      </w:pPr>
      <w:r>
        <w:t>B</w:t>
      </w:r>
      <w:r w:rsidR="006D314D" w:rsidRPr="006D314D">
        <w:t>ottom trawling is carbon intensive relative to other fishing methods, its carbon footprint remains lower than that of many terrestrial animal proteins. Sandström et al. (2018) showed that beef, lamb and farmed fish have substantially higher carbon footprints per kilogram of edible product than wild</w:t>
      </w:r>
      <w:r w:rsidR="006D314D" w:rsidRPr="006D314D">
        <w:noBreakHyphen/>
        <w:t>caught fish. Munoz et al. (2023) compared fuel</w:t>
      </w:r>
      <w:r w:rsidR="006D314D" w:rsidRPr="006D314D">
        <w:noBreakHyphen/>
        <w:t>based emissions from bottom trawlers with those from pork, lamb and beef. When only fuel combustion is considered, trawl</w:t>
      </w:r>
      <w:r w:rsidR="006D314D" w:rsidRPr="006D314D">
        <w:noBreakHyphen/>
        <w:t>caught fish emit less CO₂ per kilogram than most land</w:t>
      </w:r>
      <w:r w:rsidR="006D314D" w:rsidRPr="006D314D">
        <w:noBreakHyphen/>
        <w:t xml:space="preserve">based meats. However, when the release of carbon from disturbed seabed sediments is included, </w:t>
      </w:r>
      <w:r w:rsidR="006D314D" w:rsidRPr="006D314D">
        <w:lastRenderedPageBreak/>
        <w:t>bottom</w:t>
      </w:r>
      <w:r w:rsidR="006D314D" w:rsidRPr="006D314D">
        <w:noBreakHyphen/>
        <w:t>trawled fish become the animal protein with the highest CO₂ footprint in the comparison. Even the most efficient bottom trawling fleets exhibit higher emissions per kilogram of food produced than mid</w:t>
      </w:r>
      <w:r w:rsidR="006D314D" w:rsidRPr="006D314D">
        <w:noBreakHyphen/>
        <w:t>water trawling or many other animal proteins. These findings emphasise the need to reduce seafloor contact in bottom trawling to lower both fuel consumption and sediment</w:t>
      </w:r>
      <w:r w:rsidR="006D314D" w:rsidRPr="006D314D">
        <w:noBreakHyphen/>
        <w:t>derived emissions.</w:t>
      </w:r>
      <w:r w:rsidR="001508EB">
        <w:t xml:space="preserve"> </w:t>
      </w:r>
    </w:p>
    <w:p w14:paraId="68B44331" w14:textId="77777777" w:rsidR="006D314D" w:rsidRPr="00212D8B" w:rsidRDefault="006D314D" w:rsidP="008D0CA4">
      <w:pPr>
        <w:spacing w:before="100" w:beforeAutospacing="1" w:after="100" w:afterAutospacing="1" w:line="360" w:lineRule="auto"/>
        <w:jc w:val="both"/>
        <w:outlineLvl w:val="2"/>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3.6 Mitigation strategies and management considerations</w:t>
      </w:r>
    </w:p>
    <w:p w14:paraId="6682A197" w14:textId="2099FB5A"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3.6.1. </w:t>
      </w:r>
      <w:r w:rsidR="006D314D" w:rsidRPr="006D314D">
        <w:rPr>
          <w:rFonts w:ascii="Times New Roman" w:eastAsia="Times New Roman" w:hAnsi="Times New Roman" w:cs="Times New Roman"/>
          <w:b/>
          <w:bCs/>
          <w:sz w:val="24"/>
          <w:szCs w:val="24"/>
          <w:lang w:eastAsia="en-IN"/>
        </w:rPr>
        <w:t>Improving operational efficiency.</w:t>
      </w:r>
      <w:r w:rsidR="006D314D" w:rsidRPr="006D314D">
        <w:rPr>
          <w:rFonts w:ascii="Times New Roman" w:eastAsia="Times New Roman" w:hAnsi="Times New Roman" w:cs="Times New Roman"/>
          <w:sz w:val="24"/>
          <w:szCs w:val="24"/>
          <w:lang w:eastAsia="en-IN"/>
        </w:rPr>
        <w:t xml:space="preserve"> </w:t>
      </w:r>
      <w:r w:rsidR="00AC572F" w:rsidRPr="00AC572F">
        <w:rPr>
          <w:rFonts w:ascii="Times New Roman" w:hAnsi="Times New Roman" w:cs="Times New Roman"/>
          <w:sz w:val="24"/>
          <w:szCs w:val="24"/>
        </w:rPr>
        <w:t>Reducing engine revolutions per minute (rpm) by 10–20 % can lead to fuel savings of 20–40 % (Gulbrandsen, 2012). Operating vessels at their economic cruising speeds, installing appropriately sized engines and carrying out preventive maintenance</w:t>
      </w:r>
      <w:r w:rsidR="00AC572F">
        <w:rPr>
          <w:rFonts w:ascii="Times New Roman" w:hAnsi="Times New Roman" w:cs="Times New Roman"/>
          <w:sz w:val="24"/>
          <w:szCs w:val="24"/>
        </w:rPr>
        <w:t xml:space="preserve"> </w:t>
      </w:r>
      <w:r w:rsidR="00AC572F" w:rsidRPr="00AC572F">
        <w:rPr>
          <w:rFonts w:ascii="Times New Roman" w:hAnsi="Times New Roman" w:cs="Times New Roman"/>
          <w:sz w:val="24"/>
          <w:szCs w:val="24"/>
        </w:rPr>
        <w:t>such as cleaning or replacing engine components</w:t>
      </w:r>
      <w:r w:rsidR="00AC572F">
        <w:rPr>
          <w:rFonts w:ascii="Times New Roman" w:hAnsi="Times New Roman" w:cs="Times New Roman"/>
          <w:sz w:val="24"/>
          <w:szCs w:val="24"/>
        </w:rPr>
        <w:t xml:space="preserve"> </w:t>
      </w:r>
      <w:r w:rsidR="00AC572F" w:rsidRPr="00AC572F">
        <w:rPr>
          <w:rFonts w:ascii="Times New Roman" w:hAnsi="Times New Roman" w:cs="Times New Roman"/>
          <w:sz w:val="24"/>
          <w:szCs w:val="24"/>
        </w:rPr>
        <w:t>are low-cost measures that can effectively reduce emissions without requiring major changes to fishing practices. The adoption of energy-efficient harvesting technologies tailored to specific target species can further enhance fuel savings. In the present analysis, implementation of such measures could substantially lower kg CO₂ kg⁻¹ of fish across both Indian and global fishing fleets.</w:t>
      </w:r>
    </w:p>
    <w:p w14:paraId="3C7E022F" w14:textId="41506BB4"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3.6.2. </w:t>
      </w:r>
      <w:r w:rsidR="006D314D" w:rsidRPr="006D314D">
        <w:rPr>
          <w:rFonts w:ascii="Times New Roman" w:eastAsia="Times New Roman" w:hAnsi="Times New Roman" w:cs="Times New Roman"/>
          <w:b/>
          <w:bCs/>
          <w:sz w:val="24"/>
          <w:szCs w:val="24"/>
          <w:lang w:eastAsia="en-IN"/>
        </w:rPr>
        <w:t>Alternative gears and gear modifications.</w:t>
      </w:r>
      <w:r w:rsidR="006D314D" w:rsidRPr="006D314D">
        <w:rPr>
          <w:rFonts w:ascii="Times New Roman" w:eastAsia="Times New Roman" w:hAnsi="Times New Roman" w:cs="Times New Roman"/>
          <w:sz w:val="24"/>
          <w:szCs w:val="24"/>
          <w:lang w:eastAsia="en-IN"/>
        </w:rPr>
        <w:t xml:space="preserve"> Switching from bottom trawls to pots, longlines or bottom seines can reduce seafloor impact and fuel consumption. However, these alternatives may not be economically or operationally viable for all target species (Suuronen et al. 2012). For example, pots and longlines work well for cod and sablefish in Alaska but may not be suitable for flatfish or scallops. Nonetheless, gear innovations show promise: electric pulse trawls and illuminated trawls encourage fish to lift off the seabed, reducing both bottom contact and fuel use (Soetaert et al. 2015; Lomeli et al. 2021). Pulse trawling has been shown to reduce mortality of benthic megafauna and lower discards compared with traditional tickler</w:t>
      </w:r>
      <w:r w:rsidR="006D314D" w:rsidRPr="006D314D">
        <w:rPr>
          <w:rFonts w:ascii="Times New Roman" w:eastAsia="Times New Roman" w:hAnsi="Times New Roman" w:cs="Times New Roman"/>
          <w:sz w:val="24"/>
          <w:szCs w:val="24"/>
          <w:lang w:eastAsia="en-IN"/>
        </w:rPr>
        <w:noBreakHyphen/>
        <w:t>chain trawls (ICES 2018; Bergman &amp; Meesters 2020). Despite subsequent regulatory bans in some jurisdictions, continued research and refinement of such technologies could provide viable low</w:t>
      </w:r>
      <w:r w:rsidR="006D314D" w:rsidRPr="006D314D">
        <w:rPr>
          <w:rFonts w:ascii="Times New Roman" w:eastAsia="Times New Roman" w:hAnsi="Times New Roman" w:cs="Times New Roman"/>
          <w:sz w:val="24"/>
          <w:szCs w:val="24"/>
          <w:lang w:eastAsia="en-IN"/>
        </w:rPr>
        <w:noBreakHyphen/>
        <w:t>impact alternatives in the future.</w:t>
      </w:r>
    </w:p>
    <w:p w14:paraId="4926A73B" w14:textId="637BA630"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3.6.3. </w:t>
      </w:r>
      <w:r w:rsidR="006D314D" w:rsidRPr="006D314D">
        <w:rPr>
          <w:rFonts w:ascii="Times New Roman" w:eastAsia="Times New Roman" w:hAnsi="Times New Roman" w:cs="Times New Roman"/>
          <w:b/>
          <w:bCs/>
          <w:sz w:val="24"/>
          <w:szCs w:val="24"/>
          <w:lang w:eastAsia="en-IN"/>
        </w:rPr>
        <w:t>Spatial management and bycatch reduction.</w:t>
      </w:r>
      <w:r w:rsidR="006D314D" w:rsidRPr="006D314D">
        <w:rPr>
          <w:rFonts w:ascii="Times New Roman" w:eastAsia="Times New Roman" w:hAnsi="Times New Roman" w:cs="Times New Roman"/>
          <w:sz w:val="24"/>
          <w:szCs w:val="24"/>
          <w:lang w:eastAsia="en-IN"/>
        </w:rPr>
        <w:t xml:space="preserve"> Effective management of trawl fisheries must balance environmental, social and economic objectives. Spatial measures such as no</w:t>
      </w:r>
      <w:r w:rsidR="006D314D" w:rsidRPr="006D314D">
        <w:rPr>
          <w:rFonts w:ascii="Times New Roman" w:eastAsia="Times New Roman" w:hAnsi="Times New Roman" w:cs="Times New Roman"/>
          <w:sz w:val="24"/>
          <w:szCs w:val="24"/>
          <w:lang w:eastAsia="en-IN"/>
        </w:rPr>
        <w:noBreakHyphen/>
        <w:t>trawl zones protect vulnerable habitats (e.g. coral reefs, sponge beds and nurseries), while move</w:t>
      </w:r>
      <w:r w:rsidR="006D314D" w:rsidRPr="006D314D">
        <w:rPr>
          <w:rFonts w:ascii="Times New Roman" w:eastAsia="Times New Roman" w:hAnsi="Times New Roman" w:cs="Times New Roman"/>
          <w:sz w:val="24"/>
          <w:szCs w:val="24"/>
          <w:lang w:eastAsia="en-IN"/>
        </w:rPr>
        <w:noBreakHyphen/>
        <w:t>on rules combined with tradable quotas can reduce unwanted bycatch (Groenbaek et al. 2023). Territorial use rights and area</w:t>
      </w:r>
      <w:r w:rsidR="006D314D" w:rsidRPr="006D314D">
        <w:rPr>
          <w:rFonts w:ascii="Times New Roman" w:eastAsia="Times New Roman" w:hAnsi="Times New Roman" w:cs="Times New Roman"/>
          <w:sz w:val="24"/>
          <w:szCs w:val="24"/>
          <w:lang w:eastAsia="en-IN"/>
        </w:rPr>
        <w:noBreakHyphen/>
        <w:t xml:space="preserve">based management strategies have shown that focusing effort on dense aggregations of target species increases catch efficiency and reduces the benthic footprint </w:t>
      </w:r>
      <w:r w:rsidR="006D314D" w:rsidRPr="006D314D">
        <w:rPr>
          <w:rFonts w:ascii="Times New Roman" w:eastAsia="Times New Roman" w:hAnsi="Times New Roman" w:cs="Times New Roman"/>
          <w:sz w:val="24"/>
          <w:szCs w:val="24"/>
          <w:lang w:eastAsia="en-IN"/>
        </w:rPr>
        <w:lastRenderedPageBreak/>
        <w:t>(Bloor et al. 2021).</w:t>
      </w:r>
      <w:r w:rsidR="00AC572F">
        <w:rPr>
          <w:rFonts w:ascii="Times New Roman" w:eastAsia="Times New Roman" w:hAnsi="Times New Roman" w:cs="Times New Roman"/>
          <w:sz w:val="24"/>
          <w:szCs w:val="24"/>
          <w:lang w:eastAsia="en-IN"/>
        </w:rPr>
        <w:t xml:space="preserve"> </w:t>
      </w:r>
      <w:r w:rsidR="006D314D" w:rsidRPr="006D314D">
        <w:rPr>
          <w:rFonts w:ascii="Times New Roman" w:eastAsia="Times New Roman" w:hAnsi="Times New Roman" w:cs="Times New Roman"/>
          <w:sz w:val="24"/>
          <w:szCs w:val="24"/>
          <w:lang w:eastAsia="en-IN"/>
        </w:rPr>
        <w:t>Technologies such as turtle</w:t>
      </w:r>
      <w:r w:rsidR="006D314D" w:rsidRPr="006D314D">
        <w:rPr>
          <w:rFonts w:ascii="Times New Roman" w:eastAsia="Times New Roman" w:hAnsi="Times New Roman" w:cs="Times New Roman"/>
          <w:sz w:val="24"/>
          <w:szCs w:val="24"/>
          <w:lang w:eastAsia="en-IN"/>
        </w:rPr>
        <w:noBreakHyphen/>
        <w:t>excluder devices and marine</w:t>
      </w:r>
      <w:r w:rsidR="006D314D" w:rsidRPr="006D314D">
        <w:rPr>
          <w:rFonts w:ascii="Times New Roman" w:eastAsia="Times New Roman" w:hAnsi="Times New Roman" w:cs="Times New Roman"/>
          <w:sz w:val="24"/>
          <w:szCs w:val="24"/>
          <w:lang w:eastAsia="en-IN"/>
        </w:rPr>
        <w:noBreakHyphen/>
        <w:t>mammal exclusion devices have drastically reduced bycatch of protected species (Magnuson et al. 1990; Hamilton &amp; Baker 2015), but adoption remains limited due to perceived inconvenience and cost (Suuronen 2022). Broader uptake of these devices would further reduce the collateral impacts of trawling and potentially improve fuel efficiency by reducing gear resistance.</w:t>
      </w:r>
    </w:p>
    <w:p w14:paraId="6AEA5A52" w14:textId="206F17E6" w:rsidR="006D314D" w:rsidRPr="006D314D" w:rsidRDefault="008D0CA4"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3.6.4. </w:t>
      </w:r>
      <w:r w:rsidR="006D314D" w:rsidRPr="006D314D">
        <w:rPr>
          <w:rFonts w:ascii="Times New Roman" w:eastAsia="Times New Roman" w:hAnsi="Times New Roman" w:cs="Times New Roman"/>
          <w:b/>
          <w:bCs/>
          <w:sz w:val="24"/>
          <w:szCs w:val="24"/>
          <w:lang w:eastAsia="en-IN"/>
        </w:rPr>
        <w:t>Smart technologies and life</w:t>
      </w:r>
      <w:r w:rsidR="006D314D" w:rsidRPr="006D314D">
        <w:rPr>
          <w:rFonts w:ascii="Times New Roman" w:eastAsia="Times New Roman" w:hAnsi="Times New Roman" w:cs="Times New Roman"/>
          <w:b/>
          <w:bCs/>
          <w:sz w:val="24"/>
          <w:szCs w:val="24"/>
          <w:lang w:eastAsia="en-IN"/>
        </w:rPr>
        <w:noBreakHyphen/>
        <w:t>cycle assessments.</w:t>
      </w:r>
      <w:r w:rsidR="006D314D" w:rsidRPr="006D314D">
        <w:rPr>
          <w:rFonts w:ascii="Times New Roman" w:eastAsia="Times New Roman" w:hAnsi="Times New Roman" w:cs="Times New Roman"/>
          <w:sz w:val="24"/>
          <w:szCs w:val="24"/>
          <w:lang w:eastAsia="en-IN"/>
        </w:rPr>
        <w:t xml:space="preserve"> Recent advances in artificial intelligence (AI), the Internet of Things (IoT) and remote sensing allow real</w:t>
      </w:r>
      <w:r w:rsidR="006D314D" w:rsidRPr="006D314D">
        <w:rPr>
          <w:rFonts w:ascii="Times New Roman" w:eastAsia="Times New Roman" w:hAnsi="Times New Roman" w:cs="Times New Roman"/>
          <w:sz w:val="24"/>
          <w:szCs w:val="24"/>
          <w:lang w:eastAsia="en-IN"/>
        </w:rPr>
        <w:noBreakHyphen/>
        <w:t>time monitoring of vessel movements, fuel consumption and bycatch hotspots. AI</w:t>
      </w:r>
      <w:r w:rsidR="006D314D" w:rsidRPr="006D314D">
        <w:rPr>
          <w:rFonts w:ascii="Times New Roman" w:eastAsia="Times New Roman" w:hAnsi="Times New Roman" w:cs="Times New Roman"/>
          <w:sz w:val="24"/>
          <w:szCs w:val="24"/>
          <w:lang w:eastAsia="en-IN"/>
        </w:rPr>
        <w:noBreakHyphen/>
        <w:t>based analyses can classify fishing behaviours, optimise routes and improve safety (Cheng et al. 2023). Life</w:t>
      </w:r>
      <w:r w:rsidR="006D314D" w:rsidRPr="006D314D">
        <w:rPr>
          <w:rFonts w:ascii="Times New Roman" w:eastAsia="Times New Roman" w:hAnsi="Times New Roman" w:cs="Times New Roman"/>
          <w:sz w:val="24"/>
          <w:szCs w:val="24"/>
          <w:lang w:eastAsia="en-IN"/>
        </w:rPr>
        <w:noBreakHyphen/>
        <w:t>cycle assessment (LCA) tools help identify emission hotspots across gear types and regions, providing the basis for eco</w:t>
      </w:r>
      <w:r w:rsidR="006D314D" w:rsidRPr="006D314D">
        <w:rPr>
          <w:rFonts w:ascii="Times New Roman" w:eastAsia="Times New Roman" w:hAnsi="Times New Roman" w:cs="Times New Roman"/>
          <w:sz w:val="24"/>
          <w:szCs w:val="24"/>
          <w:lang w:eastAsia="en-IN"/>
        </w:rPr>
        <w:noBreakHyphen/>
        <w:t>labelling schemes that inform consumers and reward low</w:t>
      </w:r>
      <w:r w:rsidR="006D314D" w:rsidRPr="006D314D">
        <w:rPr>
          <w:rFonts w:ascii="Times New Roman" w:eastAsia="Times New Roman" w:hAnsi="Times New Roman" w:cs="Times New Roman"/>
          <w:sz w:val="24"/>
          <w:szCs w:val="24"/>
          <w:lang w:eastAsia="en-IN"/>
        </w:rPr>
        <w:noBreakHyphen/>
        <w:t>impact practices (Ravi et al. 2020). Harmonised LCA studies across different fisheries—and the incorporation of sediment</w:t>
      </w:r>
      <w:r w:rsidR="006D314D" w:rsidRPr="006D314D">
        <w:rPr>
          <w:rFonts w:ascii="Times New Roman" w:eastAsia="Times New Roman" w:hAnsi="Times New Roman" w:cs="Times New Roman"/>
          <w:sz w:val="24"/>
          <w:szCs w:val="24"/>
          <w:lang w:eastAsia="en-IN"/>
        </w:rPr>
        <w:noBreakHyphen/>
        <w:t>disturbance emissions—are essential for guiding sustainable dietary choices and policy interventions.</w:t>
      </w:r>
    </w:p>
    <w:p w14:paraId="3B97FE77" w14:textId="0C16C614" w:rsidR="006D314D" w:rsidRDefault="006D314D" w:rsidP="003E071C">
      <w:pPr>
        <w:spacing w:before="100" w:beforeAutospacing="1" w:after="100" w:afterAutospacing="1" w:line="276"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4</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Conclusion</w:t>
      </w:r>
    </w:p>
    <w:p w14:paraId="2CC252A1" w14:textId="3733172C" w:rsidR="00D56A8B" w:rsidRPr="00D56A8B" w:rsidRDefault="00D56A8B" w:rsidP="00D56A8B">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D56A8B">
        <w:rPr>
          <w:rFonts w:ascii="Times New Roman" w:eastAsia="Times New Roman" w:hAnsi="Times New Roman" w:cs="Times New Roman"/>
          <w:sz w:val="24"/>
          <w:szCs w:val="24"/>
          <w:highlight w:val="yellow"/>
          <w:lang w:eastAsia="en-IN"/>
        </w:rPr>
        <w:t xml:space="preserve">This study presents a comparative overview of the carbon emissions from trawl fisheries in India in a global context in light of key differences between regional practices and the very determinants of emissions. The results show that trawling, specifically bottom contact trawls such as otter and beam trawls, is one of the most energy intensive fishing techniques and has carbon footprints from fuel use and release of carbon dioxide from disturbed seabed sediments. In the Indian context, the larger multi-day trawlers have significantly higher levels of carbon emissions per kilogram of fish in comparison with the smaller, single-day vessels, thus highlighting the role of vessel size, engine power, and operational efficiency in the emission outcomes. The comparative assessment of Indian trawl fisheries with those of the rest of the world operating in the Mediterranean, Europe, North America, and Oceania indicates that bottom-contact trawling always has higher carbon intensities than pelagic trawling. This pattern identifies the central importance of gear type and seafloor disturbance as key drivers of carbon emissions in the sector. Furthermore, despite the comparatively lower carbon footprint of trawl caught fish compared to other animal proteins, carbon intensity of bottom trawling is a significant environmental concern, especially considering the impact of seafloor disturbance. Several mitigation strategies have been identified to limit emissions from trawl fisheries. These include improvements to operational efficiency with measures like lowering engine revolutions </w:t>
      </w:r>
      <w:r w:rsidRPr="00D56A8B">
        <w:rPr>
          <w:rFonts w:ascii="Times New Roman" w:eastAsia="Times New Roman" w:hAnsi="Times New Roman" w:cs="Times New Roman"/>
          <w:sz w:val="24"/>
          <w:szCs w:val="24"/>
          <w:highlight w:val="yellow"/>
          <w:lang w:eastAsia="en-IN"/>
        </w:rPr>
        <w:lastRenderedPageBreak/>
        <w:t>per minute, vessel speed optimisation, engine down sizing and energy efficient technologies. In addition, innovative gear technologies such as pulse trawling and AI-based monitoring systems - show potential for further emission reductions by minimising fuel consumption and reducing the seafloor impact. In addition, spatial management approaches and bycatch reduction technologies could not only enhance the sustainability of trawl fisheries but also contribute to fuel efficiency and lower carbon footprints. In conclusion, the present study highlights the need for standardized data on carbon emissions from trawl fisheries especially in the Indian context to enable more accurate assessments of their climatic impact and to guide future mitigation efforts. By adopting technological innovations, optimizing operational practices, and implementing targeted management strategies, the carbon footprint of trawl fisheries can be significantly reduced, contributing to the overall goal of reducing the environmental impacts of global fisheries. Further work and collaborations are essential to refine these strategies and ensure their effective implementation in diverse fisheries.</w:t>
      </w:r>
    </w:p>
    <w:p w14:paraId="4433EE41" w14:textId="0511848D" w:rsidR="006D314D" w:rsidRPr="00212D8B" w:rsidRDefault="006D314D" w:rsidP="008D0CA4">
      <w:pPr>
        <w:spacing w:before="100" w:beforeAutospacing="1" w:after="100" w:afterAutospacing="1" w:line="360" w:lineRule="auto"/>
        <w:jc w:val="both"/>
        <w:outlineLvl w:val="1"/>
        <w:rPr>
          <w:rFonts w:ascii="Times New Roman" w:eastAsia="Times New Roman" w:hAnsi="Times New Roman" w:cs="Times New Roman"/>
          <w:b/>
          <w:bCs/>
          <w:sz w:val="28"/>
          <w:szCs w:val="28"/>
          <w:lang w:eastAsia="en-IN"/>
        </w:rPr>
      </w:pPr>
      <w:r w:rsidRPr="00212D8B">
        <w:rPr>
          <w:rFonts w:ascii="Times New Roman" w:eastAsia="Times New Roman" w:hAnsi="Times New Roman" w:cs="Times New Roman"/>
          <w:b/>
          <w:bCs/>
          <w:sz w:val="28"/>
          <w:szCs w:val="28"/>
          <w:lang w:eastAsia="en-IN"/>
        </w:rPr>
        <w:t>5</w:t>
      </w:r>
      <w:r w:rsidR="008D0CA4" w:rsidRPr="00212D8B">
        <w:rPr>
          <w:rFonts w:ascii="Times New Roman" w:eastAsia="Times New Roman" w:hAnsi="Times New Roman" w:cs="Times New Roman"/>
          <w:b/>
          <w:bCs/>
          <w:sz w:val="28"/>
          <w:szCs w:val="28"/>
          <w:lang w:eastAsia="en-IN"/>
        </w:rPr>
        <w:t>.</w:t>
      </w:r>
      <w:r w:rsidRPr="00212D8B">
        <w:rPr>
          <w:rFonts w:ascii="Times New Roman" w:eastAsia="Times New Roman" w:hAnsi="Times New Roman" w:cs="Times New Roman"/>
          <w:b/>
          <w:bCs/>
          <w:sz w:val="28"/>
          <w:szCs w:val="28"/>
          <w:lang w:eastAsia="en-IN"/>
        </w:rPr>
        <w:t> Future Scope</w:t>
      </w:r>
    </w:p>
    <w:p w14:paraId="1747FE3F" w14:textId="77777777" w:rsidR="006D314D" w:rsidRPr="006D314D" w:rsidRDefault="006D314D" w:rsidP="008D0CA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sz w:val="24"/>
          <w:szCs w:val="24"/>
          <w:lang w:eastAsia="en-IN"/>
        </w:rPr>
        <w:t>The findings highlight several avenues for future work:</w:t>
      </w:r>
    </w:p>
    <w:p w14:paraId="3FF16711"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Technological innovations.</w:t>
      </w:r>
      <w:r w:rsidRPr="006D314D">
        <w:rPr>
          <w:rFonts w:ascii="Times New Roman" w:eastAsia="Times New Roman" w:hAnsi="Times New Roman" w:cs="Times New Roman"/>
          <w:sz w:val="24"/>
          <w:szCs w:val="24"/>
          <w:lang w:eastAsia="en-IN"/>
        </w:rPr>
        <w:t xml:space="preserve"> Development of lightweight, low</w:t>
      </w:r>
      <w:r w:rsidRPr="006D314D">
        <w:rPr>
          <w:rFonts w:ascii="Times New Roman" w:eastAsia="Times New Roman" w:hAnsi="Times New Roman" w:cs="Times New Roman"/>
          <w:sz w:val="24"/>
          <w:szCs w:val="24"/>
          <w:lang w:eastAsia="en-IN"/>
        </w:rPr>
        <w:noBreakHyphen/>
        <w:t>resistance trawl designs that minimise seafloor contact; wider adoption of selective gear (e.g. pots, longlines, pulse trawls) to reduce fuel use and bycatch; and exploration of hybrid or electric propulsion systems and renewable fuels.</w:t>
      </w:r>
    </w:p>
    <w:p w14:paraId="2B0BC926"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Integration of smart technologies.</w:t>
      </w:r>
      <w:r w:rsidRPr="006D314D">
        <w:rPr>
          <w:rFonts w:ascii="Times New Roman" w:eastAsia="Times New Roman" w:hAnsi="Times New Roman" w:cs="Times New Roman"/>
          <w:sz w:val="24"/>
          <w:szCs w:val="24"/>
          <w:lang w:eastAsia="en-IN"/>
        </w:rPr>
        <w:t xml:space="preserve"> Deployment of AI, IoT and remote</w:t>
      </w:r>
      <w:r w:rsidRPr="006D314D">
        <w:rPr>
          <w:rFonts w:ascii="Times New Roman" w:eastAsia="Times New Roman" w:hAnsi="Times New Roman" w:cs="Times New Roman"/>
          <w:sz w:val="24"/>
          <w:szCs w:val="24"/>
          <w:lang w:eastAsia="en-IN"/>
        </w:rPr>
        <w:noBreakHyphen/>
        <w:t>sensing tools for optimising fishing routes, reducing idle time and monitoring fuel use, bycatch and benthic impacts in real time.</w:t>
      </w:r>
    </w:p>
    <w:p w14:paraId="7E3085B3"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Ecosystem</w:t>
      </w:r>
      <w:r w:rsidRPr="006D314D">
        <w:rPr>
          <w:rFonts w:ascii="Times New Roman" w:eastAsia="Times New Roman" w:hAnsi="Times New Roman" w:cs="Times New Roman"/>
          <w:b/>
          <w:bCs/>
          <w:sz w:val="24"/>
          <w:szCs w:val="24"/>
          <w:lang w:eastAsia="en-IN"/>
        </w:rPr>
        <w:noBreakHyphen/>
        <w:t>based and spatial management.</w:t>
      </w:r>
      <w:r w:rsidRPr="006D314D">
        <w:rPr>
          <w:rFonts w:ascii="Times New Roman" w:eastAsia="Times New Roman" w:hAnsi="Times New Roman" w:cs="Times New Roman"/>
          <w:sz w:val="24"/>
          <w:szCs w:val="24"/>
          <w:lang w:eastAsia="en-IN"/>
        </w:rPr>
        <w:t xml:space="preserve"> Expansion of no</w:t>
      </w:r>
      <w:r w:rsidRPr="006D314D">
        <w:rPr>
          <w:rFonts w:ascii="Times New Roman" w:eastAsia="Times New Roman" w:hAnsi="Times New Roman" w:cs="Times New Roman"/>
          <w:sz w:val="24"/>
          <w:szCs w:val="24"/>
          <w:lang w:eastAsia="en-IN"/>
        </w:rPr>
        <w:noBreakHyphen/>
        <w:t>trawl zones in ecologically sensitive habitats; implementation of territorial use rights and area</w:t>
      </w:r>
      <w:r w:rsidRPr="006D314D">
        <w:rPr>
          <w:rFonts w:ascii="Times New Roman" w:eastAsia="Times New Roman" w:hAnsi="Times New Roman" w:cs="Times New Roman"/>
          <w:sz w:val="24"/>
          <w:szCs w:val="24"/>
          <w:lang w:eastAsia="en-IN"/>
        </w:rPr>
        <w:noBreakHyphen/>
        <w:t>based management to concentrate effort on dense stocks while limiting habitat damage.</w:t>
      </w:r>
    </w:p>
    <w:p w14:paraId="26862E7F"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Policy and market incentives.</w:t>
      </w:r>
      <w:r w:rsidRPr="006D314D">
        <w:rPr>
          <w:rFonts w:ascii="Times New Roman" w:eastAsia="Times New Roman" w:hAnsi="Times New Roman" w:cs="Times New Roman"/>
          <w:sz w:val="24"/>
          <w:szCs w:val="24"/>
          <w:lang w:eastAsia="en-IN"/>
        </w:rPr>
        <w:t xml:space="preserve"> Strengthening eco</w:t>
      </w:r>
      <w:r w:rsidRPr="006D314D">
        <w:rPr>
          <w:rFonts w:ascii="Times New Roman" w:eastAsia="Times New Roman" w:hAnsi="Times New Roman" w:cs="Times New Roman"/>
          <w:sz w:val="24"/>
          <w:szCs w:val="24"/>
          <w:lang w:eastAsia="en-IN"/>
        </w:rPr>
        <w:noBreakHyphen/>
        <w:t>labelling and carbon</w:t>
      </w:r>
      <w:r w:rsidRPr="006D314D">
        <w:rPr>
          <w:rFonts w:ascii="Times New Roman" w:eastAsia="Times New Roman" w:hAnsi="Times New Roman" w:cs="Times New Roman"/>
          <w:sz w:val="24"/>
          <w:szCs w:val="24"/>
          <w:lang w:eastAsia="en-IN"/>
        </w:rPr>
        <w:noBreakHyphen/>
        <w:t>footprint labelling to reward sustainable practices and enable low</w:t>
      </w:r>
      <w:r w:rsidRPr="006D314D">
        <w:rPr>
          <w:rFonts w:ascii="Times New Roman" w:eastAsia="Times New Roman" w:hAnsi="Times New Roman" w:cs="Times New Roman"/>
          <w:sz w:val="24"/>
          <w:szCs w:val="24"/>
          <w:lang w:eastAsia="en-IN"/>
        </w:rPr>
        <w:noBreakHyphen/>
        <w:t>impact consumer choices; creating carbon credit schemes and financial incentives for fleets adopting fuel</w:t>
      </w:r>
      <w:r w:rsidRPr="006D314D">
        <w:rPr>
          <w:rFonts w:ascii="Times New Roman" w:eastAsia="Times New Roman" w:hAnsi="Times New Roman" w:cs="Times New Roman"/>
          <w:sz w:val="24"/>
          <w:szCs w:val="24"/>
          <w:lang w:eastAsia="en-IN"/>
        </w:rPr>
        <w:noBreakHyphen/>
        <w:t>efficient technologies and reduced</w:t>
      </w:r>
      <w:r w:rsidRPr="006D314D">
        <w:rPr>
          <w:rFonts w:ascii="Times New Roman" w:eastAsia="Times New Roman" w:hAnsi="Times New Roman" w:cs="Times New Roman"/>
          <w:sz w:val="24"/>
          <w:szCs w:val="24"/>
          <w:lang w:eastAsia="en-IN"/>
        </w:rPr>
        <w:noBreakHyphen/>
        <w:t>impact gear; and fostering international cooperation to harmonise carbon</w:t>
      </w:r>
      <w:r w:rsidRPr="006D314D">
        <w:rPr>
          <w:rFonts w:ascii="Times New Roman" w:eastAsia="Times New Roman" w:hAnsi="Times New Roman" w:cs="Times New Roman"/>
          <w:sz w:val="24"/>
          <w:szCs w:val="24"/>
          <w:lang w:eastAsia="en-IN"/>
        </w:rPr>
        <w:noBreakHyphen/>
        <w:t>reduction standards in fisheries.</w:t>
      </w:r>
    </w:p>
    <w:p w14:paraId="04B28B64"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lastRenderedPageBreak/>
        <w:t>Socio</w:t>
      </w:r>
      <w:r w:rsidRPr="006D314D">
        <w:rPr>
          <w:rFonts w:ascii="Times New Roman" w:eastAsia="Times New Roman" w:hAnsi="Times New Roman" w:cs="Times New Roman"/>
          <w:b/>
          <w:bCs/>
          <w:sz w:val="24"/>
          <w:szCs w:val="24"/>
          <w:lang w:eastAsia="en-IN"/>
        </w:rPr>
        <w:noBreakHyphen/>
        <w:t>economic transitions.</w:t>
      </w:r>
      <w:r w:rsidRPr="006D314D">
        <w:rPr>
          <w:rFonts w:ascii="Times New Roman" w:eastAsia="Times New Roman" w:hAnsi="Times New Roman" w:cs="Times New Roman"/>
          <w:sz w:val="24"/>
          <w:szCs w:val="24"/>
          <w:lang w:eastAsia="en-IN"/>
        </w:rPr>
        <w:t xml:space="preserve"> Providing subsidies, training and risk</w:t>
      </w:r>
      <w:r w:rsidRPr="006D314D">
        <w:rPr>
          <w:rFonts w:ascii="Times New Roman" w:eastAsia="Times New Roman" w:hAnsi="Times New Roman" w:cs="Times New Roman"/>
          <w:sz w:val="24"/>
          <w:szCs w:val="24"/>
          <w:lang w:eastAsia="en-IN"/>
        </w:rPr>
        <w:noBreakHyphen/>
        <w:t>sharing mechanisms to help fishers transition to alternative gear; diversifying livelihood options for coastal communities to reduce dependence on high</w:t>
      </w:r>
      <w:r w:rsidRPr="006D314D">
        <w:rPr>
          <w:rFonts w:ascii="Times New Roman" w:eastAsia="Times New Roman" w:hAnsi="Times New Roman" w:cs="Times New Roman"/>
          <w:sz w:val="24"/>
          <w:szCs w:val="24"/>
          <w:lang w:eastAsia="en-IN"/>
        </w:rPr>
        <w:noBreakHyphen/>
        <w:t>impact bottom trawling.</w:t>
      </w:r>
    </w:p>
    <w:p w14:paraId="509A3938" w14:textId="77777777" w:rsidR="006D314D" w:rsidRPr="006D314D" w:rsidRDefault="006D314D" w:rsidP="008D0CA4">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Research and LCA.</w:t>
      </w:r>
      <w:r w:rsidRPr="006D314D">
        <w:rPr>
          <w:rFonts w:ascii="Times New Roman" w:eastAsia="Times New Roman" w:hAnsi="Times New Roman" w:cs="Times New Roman"/>
          <w:sz w:val="24"/>
          <w:szCs w:val="24"/>
          <w:lang w:eastAsia="en-IN"/>
        </w:rPr>
        <w:t xml:space="preserve"> Expanding life</w:t>
      </w:r>
      <w:r w:rsidRPr="006D314D">
        <w:rPr>
          <w:rFonts w:ascii="Times New Roman" w:eastAsia="Times New Roman" w:hAnsi="Times New Roman" w:cs="Times New Roman"/>
          <w:sz w:val="24"/>
          <w:szCs w:val="24"/>
          <w:lang w:eastAsia="en-IN"/>
        </w:rPr>
        <w:noBreakHyphen/>
        <w:t>cycle assessments across regions and gear types; conducting comparative studies of carbon footprints across fisheries, aquaculture and terrestrial proteins to guide sustainable diet transitions; and monitoring benthic carbon release under varying trawling intensities to refine climate</w:t>
      </w:r>
      <w:r w:rsidRPr="006D314D">
        <w:rPr>
          <w:rFonts w:ascii="Times New Roman" w:eastAsia="Times New Roman" w:hAnsi="Times New Roman" w:cs="Times New Roman"/>
          <w:sz w:val="24"/>
          <w:szCs w:val="24"/>
          <w:lang w:eastAsia="en-IN"/>
        </w:rPr>
        <w:noBreakHyphen/>
        <w:t>impact estimates.</w:t>
      </w:r>
    </w:p>
    <w:p w14:paraId="0F7F26F2" w14:textId="1E8D88F7" w:rsidR="002F1B8C" w:rsidRPr="00D5276D" w:rsidRDefault="006D314D" w:rsidP="00D5276D">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D314D">
        <w:rPr>
          <w:rFonts w:ascii="Times New Roman" w:eastAsia="Times New Roman" w:hAnsi="Times New Roman" w:cs="Times New Roman"/>
          <w:b/>
          <w:bCs/>
          <w:sz w:val="24"/>
          <w:szCs w:val="24"/>
          <w:lang w:eastAsia="en-IN"/>
        </w:rPr>
        <w:t>Global food security and climate synergies.</w:t>
      </w:r>
      <w:r w:rsidRPr="006D314D">
        <w:rPr>
          <w:rFonts w:ascii="Times New Roman" w:eastAsia="Times New Roman" w:hAnsi="Times New Roman" w:cs="Times New Roman"/>
          <w:sz w:val="24"/>
          <w:szCs w:val="24"/>
          <w:lang w:eastAsia="en-IN"/>
        </w:rPr>
        <w:t xml:space="preserve"> Integrating fisheries research with climate</w:t>
      </w:r>
      <w:r w:rsidRPr="006D314D">
        <w:rPr>
          <w:rFonts w:ascii="Times New Roman" w:eastAsia="Times New Roman" w:hAnsi="Times New Roman" w:cs="Times New Roman"/>
          <w:sz w:val="24"/>
          <w:szCs w:val="24"/>
          <w:lang w:eastAsia="en-IN"/>
        </w:rPr>
        <w:noBreakHyphen/>
        <w:t>change adaptation strategies to ensure the resilience of marine food systems and exploring low</w:t>
      </w:r>
      <w:r w:rsidRPr="006D314D">
        <w:rPr>
          <w:rFonts w:ascii="Times New Roman" w:eastAsia="Times New Roman" w:hAnsi="Times New Roman" w:cs="Times New Roman"/>
          <w:sz w:val="24"/>
          <w:szCs w:val="24"/>
          <w:lang w:eastAsia="en-IN"/>
        </w:rPr>
        <w:noBreakHyphen/>
        <w:t>carbon seafood and plant</w:t>
      </w:r>
      <w:r w:rsidRPr="006D314D">
        <w:rPr>
          <w:rFonts w:ascii="Times New Roman" w:eastAsia="Times New Roman" w:hAnsi="Times New Roman" w:cs="Times New Roman"/>
          <w:sz w:val="24"/>
          <w:szCs w:val="24"/>
          <w:lang w:eastAsia="en-IN"/>
        </w:rPr>
        <w:noBreakHyphen/>
        <w:t>based alternatives as complementary strategies to reduce protein</w:t>
      </w:r>
      <w:r w:rsidRPr="006D314D">
        <w:rPr>
          <w:rFonts w:ascii="Times New Roman" w:eastAsia="Times New Roman" w:hAnsi="Times New Roman" w:cs="Times New Roman"/>
          <w:sz w:val="24"/>
          <w:szCs w:val="24"/>
          <w:lang w:eastAsia="en-IN"/>
        </w:rPr>
        <w:noBreakHyphen/>
        <w:t>related emissions.</w:t>
      </w:r>
    </w:p>
    <w:p w14:paraId="393F18EB" w14:textId="77777777" w:rsidR="002F1B8C" w:rsidRPr="00EC0725" w:rsidRDefault="002F1B8C" w:rsidP="000D1D36">
      <w:pPr>
        <w:spacing w:line="360" w:lineRule="auto"/>
        <w:rPr>
          <w:rFonts w:ascii="Times New Roman" w:eastAsia="Calibri" w:hAnsi="Times New Roman" w:cs="Times New Roman"/>
          <w:b/>
          <w:bCs/>
          <w:kern w:val="2"/>
          <w:sz w:val="24"/>
          <w:szCs w:val="24"/>
          <w:highlight w:val="yellow"/>
          <w:lang w:val="en-US"/>
        </w:rPr>
      </w:pPr>
      <w:bookmarkStart w:id="1" w:name="_Hlk204003461"/>
      <w:bookmarkStart w:id="2" w:name="_Hlk213070710"/>
      <w:r w:rsidRPr="00EC0725">
        <w:rPr>
          <w:rFonts w:ascii="Times New Roman" w:eastAsia="Calibri" w:hAnsi="Times New Roman" w:cs="Times New Roman"/>
          <w:b/>
          <w:bCs/>
          <w:kern w:val="2"/>
          <w:sz w:val="24"/>
          <w:szCs w:val="24"/>
          <w:highlight w:val="yellow"/>
          <w:lang w:val="en-US"/>
        </w:rPr>
        <w:t>Disclaimer (Artificial intelligence)</w:t>
      </w:r>
    </w:p>
    <w:p w14:paraId="57158F1C" w14:textId="5CBFB9D1" w:rsidR="000B4874" w:rsidRPr="000D1D36" w:rsidRDefault="002F1B8C" w:rsidP="000D1D36">
      <w:pPr>
        <w:spacing w:line="360" w:lineRule="auto"/>
        <w:rPr>
          <w:rFonts w:ascii="Times New Roman" w:eastAsia="Calibri" w:hAnsi="Times New Roman" w:cs="Times New Roman"/>
          <w:kern w:val="2"/>
          <w:sz w:val="24"/>
          <w:szCs w:val="24"/>
          <w:lang w:val="en-US"/>
        </w:rPr>
      </w:pPr>
      <w:r w:rsidRPr="000D1D36">
        <w:rPr>
          <w:rFonts w:ascii="Times New Roman" w:eastAsia="Calibri" w:hAnsi="Times New Roman" w:cs="Times New Roman"/>
          <w:kern w:val="2"/>
          <w:sz w:val="24"/>
          <w:szCs w:val="24"/>
          <w:highlight w:val="yellow"/>
          <w:lang w:val="en-US"/>
        </w:rPr>
        <w:t>Author(s) hereby declare that NO generative AI technologies such as Large Language Models (ChatGPT, COPILOT, etc.) and text-to-image generators have been used during the writing or editing of this manuscript.</w:t>
      </w:r>
      <w:r w:rsidRPr="005D33A1">
        <w:rPr>
          <w:rFonts w:ascii="Times New Roman" w:eastAsia="Calibri" w:hAnsi="Times New Roman" w:cs="Times New Roman"/>
          <w:kern w:val="2"/>
          <w:sz w:val="24"/>
          <w:szCs w:val="24"/>
          <w:lang w:val="en-US"/>
        </w:rPr>
        <w:t xml:space="preserve"> </w:t>
      </w:r>
      <w:bookmarkEnd w:id="1"/>
      <w:bookmarkEnd w:id="2"/>
    </w:p>
    <w:p w14:paraId="59689CB2" w14:textId="0D42CF40" w:rsidR="004B4E0B" w:rsidRPr="000B4874" w:rsidRDefault="004B4E0B" w:rsidP="000B4874">
      <w:pPr>
        <w:rPr>
          <w:rFonts w:ascii="Calibri" w:eastAsia="Calibri" w:hAnsi="Calibri" w:cs="Times New Roman"/>
          <w:kern w:val="2"/>
          <w:highlight w:val="yellow"/>
          <w:lang w:val="en-US"/>
        </w:rPr>
      </w:pPr>
      <w:r w:rsidRPr="00212D8B">
        <w:rPr>
          <w:rFonts w:ascii="Times New Roman" w:eastAsia="Times New Roman" w:hAnsi="Times New Roman" w:cs="Times New Roman"/>
          <w:b/>
          <w:bCs/>
          <w:sz w:val="28"/>
          <w:szCs w:val="28"/>
          <w:lang w:eastAsia="en-IN"/>
        </w:rPr>
        <w:t>6.</w:t>
      </w:r>
      <w:r w:rsidRPr="00212D8B">
        <w:rPr>
          <w:rFonts w:ascii="Times New Roman" w:eastAsia="Times New Roman" w:hAnsi="Times New Roman" w:cs="Times New Roman"/>
          <w:sz w:val="28"/>
          <w:szCs w:val="28"/>
          <w:lang w:eastAsia="en-IN"/>
        </w:rPr>
        <w:t xml:space="preserve"> </w:t>
      </w:r>
      <w:r w:rsidRPr="00212D8B">
        <w:rPr>
          <w:rFonts w:ascii="Times New Roman" w:eastAsia="Times New Roman" w:hAnsi="Times New Roman" w:cs="Times New Roman"/>
          <w:b/>
          <w:bCs/>
          <w:sz w:val="28"/>
          <w:szCs w:val="28"/>
          <w:lang w:eastAsia="en-IN"/>
        </w:rPr>
        <w:t>References</w:t>
      </w:r>
    </w:p>
    <w:p w14:paraId="08D03E37"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Bergman, M. J., &amp; Meesters, E. H. (2020). First indications for reduced mortality of non-target invertebrate benthic megafauna after pulse beam trawling. ICES Journal of Marine Science, 77(2), 846–857. </w:t>
      </w:r>
      <w:hyperlink r:id="rId14" w:history="1">
        <w:r w:rsidRPr="00576A73">
          <w:rPr>
            <w:rStyle w:val="Hyperlink"/>
            <w:rFonts w:ascii="Times New Roman" w:hAnsi="Times New Roman" w:cs="Times New Roman"/>
            <w:sz w:val="24"/>
            <w:szCs w:val="24"/>
          </w:rPr>
          <w:t>https://doi.org/10.1093/icesjms/fsz250</w:t>
        </w:r>
      </w:hyperlink>
      <w:r>
        <w:rPr>
          <w:rFonts w:ascii="Times New Roman" w:hAnsi="Times New Roman" w:cs="Times New Roman"/>
          <w:sz w:val="24"/>
          <w:szCs w:val="24"/>
        </w:rPr>
        <w:t xml:space="preserve"> </w:t>
      </w:r>
    </w:p>
    <w:p w14:paraId="04237518"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Bloor, I. S. M., Duncan, P. F., Dignan, S. P., Emmerson, J. A., Beard, D., Gell, F. R., McHarg, K., &amp; Kaiser, M. J. (2021). Boom not bust: Cooperative management as a mechanism for improving the commercial efficiency and environmental outcomes of regional scallop fisheries. Marine Policy, 132, 104649. </w:t>
      </w:r>
      <w:hyperlink r:id="rId15" w:history="1">
        <w:r w:rsidRPr="00576A73">
          <w:rPr>
            <w:rStyle w:val="Hyperlink"/>
            <w:rFonts w:ascii="Times New Roman" w:hAnsi="Times New Roman" w:cs="Times New Roman"/>
            <w:sz w:val="24"/>
            <w:szCs w:val="24"/>
          </w:rPr>
          <w:t>https://doi.org/10.1016/j.marpol.2021.104649</w:t>
        </w:r>
      </w:hyperlink>
      <w:r>
        <w:rPr>
          <w:rFonts w:ascii="Times New Roman" w:hAnsi="Times New Roman" w:cs="Times New Roman"/>
          <w:sz w:val="24"/>
          <w:szCs w:val="24"/>
        </w:rPr>
        <w:t xml:space="preserve"> </w:t>
      </w:r>
    </w:p>
    <w:p w14:paraId="41842999"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Cheng, X., Zhang, F., Chen, X., &amp; Wang, J. (2023). Application of artificial intelligence in the study of fishing vessel behavior. Fishes, 8(10), 516. </w:t>
      </w:r>
      <w:hyperlink r:id="rId16" w:history="1">
        <w:r w:rsidRPr="00576A73">
          <w:rPr>
            <w:rStyle w:val="Hyperlink"/>
            <w:rFonts w:ascii="Times New Roman" w:hAnsi="Times New Roman" w:cs="Times New Roman"/>
            <w:sz w:val="24"/>
            <w:szCs w:val="24"/>
          </w:rPr>
          <w:t>https://doi.org/10.3390/fishes8100516</w:t>
        </w:r>
      </w:hyperlink>
      <w:r>
        <w:rPr>
          <w:rFonts w:ascii="Times New Roman" w:hAnsi="Times New Roman" w:cs="Times New Roman"/>
          <w:sz w:val="24"/>
          <w:szCs w:val="24"/>
        </w:rPr>
        <w:t xml:space="preserve"> </w:t>
      </w:r>
    </w:p>
    <w:p w14:paraId="0140F875"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Devi, M. S., Xavier, K. M., Singh, A. S., Edwin, L., Singh, V. V., &amp; Shenoy, L. (2021). Environmental pressure of active fishing method: A study on carbon emission by trawlers from north-west Indian coast. Marine Policy, 127, 104453. </w:t>
      </w:r>
      <w:hyperlink r:id="rId17" w:history="1">
        <w:r w:rsidRPr="00576A73">
          <w:rPr>
            <w:rStyle w:val="Hyperlink"/>
            <w:rFonts w:ascii="Times New Roman" w:hAnsi="Times New Roman" w:cs="Times New Roman"/>
            <w:sz w:val="24"/>
            <w:szCs w:val="24"/>
          </w:rPr>
          <w:t>https://doi.org/10.1016/j.marpol.2021.104453</w:t>
        </w:r>
      </w:hyperlink>
      <w:r>
        <w:rPr>
          <w:rFonts w:ascii="Times New Roman" w:hAnsi="Times New Roman" w:cs="Times New Roman"/>
          <w:sz w:val="24"/>
          <w:szCs w:val="24"/>
        </w:rPr>
        <w:t xml:space="preserve"> </w:t>
      </w:r>
    </w:p>
    <w:p w14:paraId="5078CAA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Gilman, E., Perez Roda, A., Huntington, T., Kennelly, S., Suuronen, P., Chaloupka, M., &amp; Medley, P. (2020). Benchmarking global fisheries discards. Scientific Reports, 10, 14017. </w:t>
      </w:r>
      <w:hyperlink r:id="rId18" w:history="1">
        <w:r w:rsidRPr="00576A73">
          <w:rPr>
            <w:rStyle w:val="Hyperlink"/>
            <w:rFonts w:ascii="Times New Roman" w:hAnsi="Times New Roman" w:cs="Times New Roman"/>
            <w:sz w:val="24"/>
            <w:szCs w:val="24"/>
          </w:rPr>
          <w:t>https://doi.org/10.1038/s41598-020-63695-w</w:t>
        </w:r>
      </w:hyperlink>
      <w:r>
        <w:rPr>
          <w:rFonts w:ascii="Times New Roman" w:hAnsi="Times New Roman" w:cs="Times New Roman"/>
          <w:sz w:val="24"/>
          <w:szCs w:val="24"/>
        </w:rPr>
        <w:t xml:space="preserve"> </w:t>
      </w:r>
    </w:p>
    <w:p w14:paraId="4CA9C747"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lastRenderedPageBreak/>
        <w:t xml:space="preserve">Grønbæk, L., Lindroos, M., Munro, G., Pintassilgo, P., &amp; Turris, B. (2023). The avoidance of unwanted catch and cooperation: The case of the British Columbia groundfish trawl fishery. ICES Journal of Marine Science, 80(3), 483–491. </w:t>
      </w:r>
      <w:hyperlink r:id="rId19" w:history="1">
        <w:r w:rsidRPr="00576A73">
          <w:rPr>
            <w:rStyle w:val="Hyperlink"/>
            <w:rFonts w:ascii="Times New Roman" w:hAnsi="Times New Roman" w:cs="Times New Roman"/>
            <w:sz w:val="24"/>
            <w:szCs w:val="24"/>
          </w:rPr>
          <w:t>https://doi.org/10.1093/icesjms/fsac005</w:t>
        </w:r>
      </w:hyperlink>
      <w:r>
        <w:rPr>
          <w:rFonts w:ascii="Times New Roman" w:hAnsi="Times New Roman" w:cs="Times New Roman"/>
          <w:sz w:val="24"/>
          <w:szCs w:val="24"/>
        </w:rPr>
        <w:t xml:space="preserve"> </w:t>
      </w:r>
    </w:p>
    <w:p w14:paraId="1E3199E2"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Gulbrandsen, O. (2012). Fuel savings for small fishing vessels – A manual. FAO, Rome. </w:t>
      </w:r>
      <w:hyperlink r:id="rId20" w:history="1">
        <w:r w:rsidRPr="00576A73">
          <w:rPr>
            <w:rStyle w:val="Hyperlink"/>
            <w:rFonts w:ascii="Times New Roman" w:hAnsi="Times New Roman" w:cs="Times New Roman"/>
            <w:sz w:val="24"/>
            <w:szCs w:val="24"/>
          </w:rPr>
          <w:t>https://www.fao.org/4/i2461e/i2461e.pdf</w:t>
        </w:r>
      </w:hyperlink>
      <w:r>
        <w:rPr>
          <w:rFonts w:ascii="Times New Roman" w:hAnsi="Times New Roman" w:cs="Times New Roman"/>
          <w:sz w:val="24"/>
          <w:szCs w:val="24"/>
        </w:rPr>
        <w:t xml:space="preserve"> </w:t>
      </w:r>
    </w:p>
    <w:p w14:paraId="5920A504"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Hamilton, S., &amp; Baker, G. B. (2015). Review of research and assessments on the efficacy of sea lion exclusion devices in reducing the incidental mortality of New Zealand sea lions Phocarctos hookeri in the Auckland Islands squid trawl fishery. Fisheries Research, 161, 200–206. </w:t>
      </w:r>
      <w:hyperlink r:id="rId21" w:history="1">
        <w:r w:rsidRPr="00576A73">
          <w:rPr>
            <w:rStyle w:val="Hyperlink"/>
            <w:rFonts w:ascii="Times New Roman" w:hAnsi="Times New Roman" w:cs="Times New Roman"/>
            <w:sz w:val="24"/>
            <w:szCs w:val="24"/>
          </w:rPr>
          <w:t>https://doi.org/10.1016/j.fishres.2014.07.010</w:t>
        </w:r>
      </w:hyperlink>
      <w:r>
        <w:rPr>
          <w:rFonts w:ascii="Times New Roman" w:hAnsi="Times New Roman" w:cs="Times New Roman"/>
          <w:sz w:val="24"/>
          <w:szCs w:val="24"/>
        </w:rPr>
        <w:t xml:space="preserve"> </w:t>
      </w:r>
    </w:p>
    <w:p w14:paraId="77985254"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Hilborn, R., Amoroso, R., Collie, J., Hiddink, J. G., Kaiser, M. J., Mazor, T., McConnaughey, R. A., Parma, A. M., Pitcher, C. R., Sciberras, M., &amp; Suuronen, P. (2023). Evaluating the sustainability and environmental impacts of trawling compared to other food production systems. ICES Journal of Marine Science, 80(6), 1567–1579. </w:t>
      </w:r>
      <w:hyperlink r:id="rId22" w:history="1">
        <w:r w:rsidRPr="00576A73">
          <w:rPr>
            <w:rStyle w:val="Hyperlink"/>
            <w:rFonts w:ascii="Times New Roman" w:hAnsi="Times New Roman" w:cs="Times New Roman"/>
            <w:sz w:val="24"/>
            <w:szCs w:val="24"/>
          </w:rPr>
          <w:t>https://doi.org/10.1093/icesjms/fsad115</w:t>
        </w:r>
      </w:hyperlink>
      <w:r>
        <w:rPr>
          <w:rFonts w:ascii="Times New Roman" w:hAnsi="Times New Roman" w:cs="Times New Roman"/>
          <w:sz w:val="24"/>
          <w:szCs w:val="24"/>
        </w:rPr>
        <w:t xml:space="preserve"> </w:t>
      </w:r>
    </w:p>
    <w:p w14:paraId="410E6778"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ICES. (2018). Report of the Working Group on Electric Trawling (WGELECTRA). ICES Report WGELECTRA 2018. </w:t>
      </w:r>
      <w:hyperlink r:id="rId23" w:history="1">
        <w:r w:rsidRPr="00576A73">
          <w:rPr>
            <w:rStyle w:val="Hyperlink"/>
            <w:rFonts w:ascii="Times New Roman" w:hAnsi="Times New Roman" w:cs="Times New Roman"/>
            <w:sz w:val="24"/>
            <w:szCs w:val="24"/>
          </w:rPr>
          <w:t>https://doi.org/10.17895/ices.pub.8160</w:t>
        </w:r>
      </w:hyperlink>
      <w:r>
        <w:rPr>
          <w:rFonts w:ascii="Times New Roman" w:hAnsi="Times New Roman" w:cs="Times New Roman"/>
          <w:sz w:val="24"/>
          <w:szCs w:val="24"/>
        </w:rPr>
        <w:t xml:space="preserve"> </w:t>
      </w:r>
    </w:p>
    <w:p w14:paraId="43862B8A"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Lomeli, M. J., Wakefield, W. W., Herrmann, B., Dykstra, C. L., Simeon, A., Rudy, D. M., &amp; Planas, J. V. (2020). Use of artificial illumination to reduce Pacific halibut bycatch in a U.S. West Coast groundfish bottom trawl. Fisheries Research, 233, 105737. </w:t>
      </w:r>
      <w:hyperlink r:id="rId24" w:history="1">
        <w:r w:rsidRPr="00576A73">
          <w:rPr>
            <w:rStyle w:val="Hyperlink"/>
            <w:rFonts w:ascii="Times New Roman" w:hAnsi="Times New Roman" w:cs="Times New Roman"/>
            <w:sz w:val="24"/>
            <w:szCs w:val="24"/>
          </w:rPr>
          <w:t>https://doi.org/10.1016/j.fishres.2020.105737</w:t>
        </w:r>
      </w:hyperlink>
      <w:r>
        <w:rPr>
          <w:rFonts w:ascii="Times New Roman" w:hAnsi="Times New Roman" w:cs="Times New Roman"/>
          <w:sz w:val="24"/>
          <w:szCs w:val="24"/>
        </w:rPr>
        <w:t xml:space="preserve"> </w:t>
      </w:r>
    </w:p>
    <w:p w14:paraId="4C1A6AE3"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National Research Council. (1990). Decline of the sea turtles: Causes and prevention. National Academies Press. </w:t>
      </w:r>
      <w:hyperlink r:id="rId25" w:history="1">
        <w:r w:rsidRPr="00576A73">
          <w:rPr>
            <w:rStyle w:val="Hyperlink"/>
            <w:rFonts w:ascii="Times New Roman" w:hAnsi="Times New Roman" w:cs="Times New Roman"/>
            <w:sz w:val="24"/>
            <w:szCs w:val="24"/>
          </w:rPr>
          <w:t>https://doi.org/10.17226/1536</w:t>
        </w:r>
      </w:hyperlink>
      <w:r>
        <w:rPr>
          <w:rFonts w:ascii="Times New Roman" w:hAnsi="Times New Roman" w:cs="Times New Roman"/>
          <w:sz w:val="24"/>
          <w:szCs w:val="24"/>
        </w:rPr>
        <w:t xml:space="preserve"> </w:t>
      </w:r>
    </w:p>
    <w:p w14:paraId="2B74E5A0"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Muñoz, M., Reul, A., Guijarro, B., &amp; Hidalgo, M. (2023). Carbon footprint, economic benefits and sustainable fishing: Lessons for the future from the Western Mediterranean. Science of the Total Environment, 865, 160783. </w:t>
      </w:r>
      <w:hyperlink r:id="rId26" w:history="1">
        <w:r w:rsidRPr="00576A73">
          <w:rPr>
            <w:rStyle w:val="Hyperlink"/>
            <w:rFonts w:ascii="Times New Roman" w:hAnsi="Times New Roman" w:cs="Times New Roman"/>
            <w:sz w:val="24"/>
            <w:szCs w:val="24"/>
          </w:rPr>
          <w:t>https://doi.org/10.1016/j.scitotenv.2022.160783</w:t>
        </w:r>
      </w:hyperlink>
      <w:r>
        <w:rPr>
          <w:rFonts w:ascii="Times New Roman" w:hAnsi="Times New Roman" w:cs="Times New Roman"/>
          <w:sz w:val="24"/>
          <w:szCs w:val="24"/>
        </w:rPr>
        <w:t xml:space="preserve"> </w:t>
      </w:r>
    </w:p>
    <w:p w14:paraId="6A8A472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Parker, R. W. R., Blanchard, J. L., Gardner, C., Green, B. S., Hartmann, K., Tyedmers, P. H., &amp; Watson, R. A. (2018). Fuel use and greenhouse gas emissions of world fisheries. Nature Climate Change, 8(4), 333-337. </w:t>
      </w:r>
      <w:hyperlink r:id="rId27" w:history="1">
        <w:r w:rsidRPr="00576A73">
          <w:rPr>
            <w:rStyle w:val="Hyperlink"/>
            <w:rFonts w:ascii="Times New Roman" w:hAnsi="Times New Roman" w:cs="Times New Roman"/>
            <w:sz w:val="24"/>
            <w:szCs w:val="24"/>
          </w:rPr>
          <w:t>https://doi.org/10.1038/s41558-018-0117-x</w:t>
        </w:r>
      </w:hyperlink>
      <w:r>
        <w:rPr>
          <w:rFonts w:ascii="Times New Roman" w:hAnsi="Times New Roman" w:cs="Times New Roman"/>
          <w:sz w:val="24"/>
          <w:szCs w:val="24"/>
        </w:rPr>
        <w:t xml:space="preserve"> </w:t>
      </w:r>
    </w:p>
    <w:p w14:paraId="640E5BE0" w14:textId="1203E60A"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Ravi, R., Das, P. H., &amp; Edwin, L. (2020). Life cycle assessment-based identification of environmental hotspots in commercial trawl fisheries of Kerala and mitigation strategies. International Journal of Life Cycle Assessment, 25(10), 1952–1966. </w:t>
      </w:r>
      <w:hyperlink r:id="rId28" w:history="1">
        <w:r w:rsidRPr="00576A73">
          <w:rPr>
            <w:rStyle w:val="Hyperlink"/>
            <w:rFonts w:ascii="Times New Roman" w:hAnsi="Times New Roman" w:cs="Times New Roman"/>
            <w:sz w:val="24"/>
            <w:szCs w:val="24"/>
          </w:rPr>
          <w:t>https://doi.org/10.1007/s11367-020-01774-4</w:t>
        </w:r>
      </w:hyperlink>
    </w:p>
    <w:p w14:paraId="1A97AB09" w14:textId="677A90B5" w:rsidR="004B4E0B" w:rsidRPr="00DF635B" w:rsidRDefault="004B4E0B" w:rsidP="004B4E0B">
      <w:pPr>
        <w:spacing w:line="276" w:lineRule="auto"/>
        <w:ind w:left="720" w:hanging="720"/>
        <w:jc w:val="both"/>
        <w:rPr>
          <w:rFonts w:ascii="Times New Roman" w:hAnsi="Times New Roman" w:cs="Times New Roman"/>
          <w:sz w:val="24"/>
          <w:szCs w:val="24"/>
        </w:rPr>
      </w:pPr>
      <w:r w:rsidRPr="00DF635B">
        <w:rPr>
          <w:rFonts w:ascii="Times New Roman" w:hAnsi="Times New Roman" w:cs="Times New Roman"/>
          <w:sz w:val="24"/>
          <w:szCs w:val="24"/>
        </w:rPr>
        <w:t xml:space="preserve">Sainsbury, J. C. (1971). </w:t>
      </w:r>
      <w:r w:rsidRPr="00DF635B">
        <w:rPr>
          <w:rFonts w:ascii="Times New Roman" w:hAnsi="Times New Roman" w:cs="Times New Roman"/>
          <w:i/>
          <w:iCs/>
          <w:sz w:val="24"/>
          <w:szCs w:val="24"/>
        </w:rPr>
        <w:t>Commercial fishing methods.</w:t>
      </w:r>
      <w:r w:rsidRPr="00DF635B">
        <w:rPr>
          <w:rFonts w:ascii="Times New Roman" w:hAnsi="Times New Roman" w:cs="Times New Roman"/>
          <w:sz w:val="24"/>
          <w:szCs w:val="24"/>
        </w:rPr>
        <w:t xml:space="preserve"> Fishing News (Books) Ltd.</w:t>
      </w:r>
    </w:p>
    <w:p w14:paraId="1AC74579"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Sala, A., Damalas, D., Labanchi, L., Martinsohn, J., Moro, F., Sabatella, R., &amp; Notti, E. (2022). Energy audit and carbon footprint in trawl fisheries. Scientific Data, 9(1), 428. </w:t>
      </w:r>
      <w:hyperlink r:id="rId29" w:history="1">
        <w:r w:rsidRPr="00576A73">
          <w:rPr>
            <w:rStyle w:val="Hyperlink"/>
            <w:rFonts w:ascii="Times New Roman" w:hAnsi="Times New Roman" w:cs="Times New Roman"/>
            <w:sz w:val="24"/>
            <w:szCs w:val="24"/>
          </w:rPr>
          <w:t>https://doi.org/10.1038/s41597-022-01478-0</w:t>
        </w:r>
      </w:hyperlink>
      <w:r>
        <w:rPr>
          <w:rFonts w:ascii="Times New Roman" w:hAnsi="Times New Roman" w:cs="Times New Roman"/>
          <w:sz w:val="24"/>
          <w:szCs w:val="24"/>
        </w:rPr>
        <w:t xml:space="preserve"> </w:t>
      </w:r>
    </w:p>
    <w:p w14:paraId="4E76DB3C" w14:textId="77777777" w:rsidR="00241CBC" w:rsidRDefault="00241CBC" w:rsidP="004B4E0B">
      <w:pPr>
        <w:spacing w:line="276" w:lineRule="auto"/>
        <w:ind w:left="720" w:hanging="720"/>
        <w:jc w:val="both"/>
        <w:rPr>
          <w:rFonts w:ascii="Times New Roman" w:hAnsi="Times New Roman" w:cs="Times New Roman"/>
          <w:sz w:val="24"/>
          <w:szCs w:val="24"/>
          <w:lang w:val="nn-NO"/>
        </w:rPr>
      </w:pPr>
      <w:r w:rsidRPr="00241CBC">
        <w:rPr>
          <w:rFonts w:ascii="Times New Roman" w:hAnsi="Times New Roman" w:cs="Times New Roman"/>
          <w:sz w:val="24"/>
          <w:szCs w:val="24"/>
          <w:lang w:val="nn-NO"/>
        </w:rPr>
        <w:lastRenderedPageBreak/>
        <w:t xml:space="preserve">Sandström, V., Valin, H., Krisztin, T., Havlík, P., Herrero, M., &amp; Kastner, T. (2018). The role of trade in the greenhouse gas footprints of EU diets. Global Food Security, 19, 48–55. </w:t>
      </w:r>
      <w:hyperlink r:id="rId30" w:history="1">
        <w:r w:rsidRPr="00576A73">
          <w:rPr>
            <w:rStyle w:val="Hyperlink"/>
            <w:rFonts w:ascii="Times New Roman" w:hAnsi="Times New Roman" w:cs="Times New Roman"/>
            <w:sz w:val="24"/>
            <w:szCs w:val="24"/>
            <w:lang w:val="nn-NO"/>
          </w:rPr>
          <w:t>https://doi.org/10.1016/j.gfs.2018.08.007</w:t>
        </w:r>
      </w:hyperlink>
      <w:r>
        <w:rPr>
          <w:rFonts w:ascii="Times New Roman" w:hAnsi="Times New Roman" w:cs="Times New Roman"/>
          <w:sz w:val="24"/>
          <w:szCs w:val="24"/>
          <w:lang w:val="nn-NO"/>
        </w:rPr>
        <w:t xml:space="preserve"> </w:t>
      </w:r>
    </w:p>
    <w:p w14:paraId="7CF9E056"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Sayana, K. A., &amp; Remesan, M. P. (2020). Assessment of fuel consumption rate of mechanised trawlers in Kerala, South India. Agro-Economist, 7(1), 51–56. </w:t>
      </w:r>
      <w:hyperlink r:id="rId31" w:history="1">
        <w:r w:rsidRPr="00576A73">
          <w:rPr>
            <w:rStyle w:val="Hyperlink"/>
            <w:rFonts w:ascii="Times New Roman" w:hAnsi="Times New Roman" w:cs="Times New Roman"/>
            <w:sz w:val="24"/>
            <w:szCs w:val="24"/>
          </w:rPr>
          <w:t>https://agroeconomistjournal.com/</w:t>
        </w:r>
      </w:hyperlink>
      <w:r>
        <w:rPr>
          <w:rFonts w:ascii="Times New Roman" w:hAnsi="Times New Roman" w:cs="Times New Roman"/>
          <w:sz w:val="24"/>
          <w:szCs w:val="24"/>
        </w:rPr>
        <w:t xml:space="preserve"> </w:t>
      </w:r>
    </w:p>
    <w:p w14:paraId="1355D853"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Soetaert, M., Decostere, A., Polet, H., Verschueren, B., &amp; Chiers, K. (2015). Electrotrawling: a promising alternative fishing technique warranting further exploration. Fish and Fisheries, 16(1), 104–124. </w:t>
      </w:r>
      <w:hyperlink r:id="rId32" w:history="1">
        <w:r w:rsidRPr="00576A73">
          <w:rPr>
            <w:rStyle w:val="Hyperlink"/>
            <w:rFonts w:ascii="Times New Roman" w:hAnsi="Times New Roman" w:cs="Times New Roman"/>
            <w:sz w:val="24"/>
            <w:szCs w:val="24"/>
          </w:rPr>
          <w:t>https://doi.org/10.1111/faf.12047</w:t>
        </w:r>
      </w:hyperlink>
      <w:r>
        <w:rPr>
          <w:rFonts w:ascii="Times New Roman" w:hAnsi="Times New Roman" w:cs="Times New Roman"/>
          <w:sz w:val="24"/>
          <w:szCs w:val="24"/>
        </w:rPr>
        <w:t xml:space="preserve"> .</w:t>
      </w:r>
    </w:p>
    <w:p w14:paraId="7E5C8166" w14:textId="49C12FDC" w:rsidR="004B4E0B" w:rsidRPr="00DF635B" w:rsidRDefault="004B4E0B" w:rsidP="004B4E0B">
      <w:pPr>
        <w:spacing w:line="276" w:lineRule="auto"/>
        <w:ind w:left="720" w:hanging="720"/>
        <w:jc w:val="both"/>
        <w:rPr>
          <w:rFonts w:ascii="Times New Roman" w:hAnsi="Times New Roman" w:cs="Times New Roman"/>
          <w:sz w:val="24"/>
          <w:szCs w:val="24"/>
        </w:rPr>
      </w:pPr>
      <w:r w:rsidRPr="00DF635B">
        <w:rPr>
          <w:rFonts w:ascii="Times New Roman" w:hAnsi="Times New Roman" w:cs="Times New Roman"/>
          <w:sz w:val="24"/>
          <w:szCs w:val="24"/>
        </w:rPr>
        <w:t xml:space="preserve">Suuronen, P. (2022). Understanding perspectives and barriers that affect fishers’ responses to bycatch reduction technologies. </w:t>
      </w:r>
      <w:r w:rsidRPr="00DF635B">
        <w:rPr>
          <w:rFonts w:ascii="Times New Roman" w:hAnsi="Times New Roman" w:cs="Times New Roman"/>
          <w:i/>
          <w:iCs/>
          <w:sz w:val="24"/>
          <w:szCs w:val="24"/>
        </w:rPr>
        <w:t>ICES Journal of Marine Science, 79</w:t>
      </w:r>
      <w:r w:rsidRPr="00DF635B">
        <w:rPr>
          <w:rFonts w:ascii="Times New Roman" w:hAnsi="Times New Roman" w:cs="Times New Roman"/>
          <w:sz w:val="24"/>
          <w:szCs w:val="24"/>
        </w:rPr>
        <w:t xml:space="preserve">(3), 1015–1023. </w:t>
      </w:r>
      <w:hyperlink r:id="rId33" w:tgtFrame="_new" w:history="1">
        <w:r w:rsidRPr="00DF635B">
          <w:rPr>
            <w:rStyle w:val="Hyperlink"/>
            <w:rFonts w:ascii="Times New Roman" w:hAnsi="Times New Roman" w:cs="Times New Roman"/>
            <w:sz w:val="24"/>
            <w:szCs w:val="24"/>
          </w:rPr>
          <w:t>https://doi.org/10.1093/icesjms/fsac045</w:t>
        </w:r>
      </w:hyperlink>
    </w:p>
    <w:p w14:paraId="35670112"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Suuronen, P., Chopin, F., Glass, C., Løkkeborg, S., Matsushita, Y., Queirolo, D., &amp; Rihan, D. (2012). Low impact and fuel efficient fishing: Looking beyond the horizon. Fisheries Research, 119–120, 135–146. </w:t>
      </w:r>
      <w:hyperlink r:id="rId34" w:history="1">
        <w:r w:rsidRPr="00576A73">
          <w:rPr>
            <w:rStyle w:val="Hyperlink"/>
            <w:rFonts w:ascii="Times New Roman" w:hAnsi="Times New Roman" w:cs="Times New Roman"/>
            <w:sz w:val="24"/>
            <w:szCs w:val="24"/>
          </w:rPr>
          <w:t>https://doi.org/10.1016/j.fishres.2011.12.009</w:t>
        </w:r>
      </w:hyperlink>
      <w:r>
        <w:rPr>
          <w:rFonts w:ascii="Times New Roman" w:hAnsi="Times New Roman" w:cs="Times New Roman"/>
          <w:sz w:val="24"/>
          <w:szCs w:val="24"/>
        </w:rPr>
        <w:t xml:space="preserve"> </w:t>
      </w:r>
    </w:p>
    <w:p w14:paraId="72D6738B"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Tyedmers, P. (2004). Fisheries and energy use. In C. J. Cleveland (Ed.), Encyclopedia of energy (Vol. 2, pp. 683–693). Elsevier. </w:t>
      </w:r>
      <w:hyperlink r:id="rId35" w:history="1">
        <w:r w:rsidRPr="00576A73">
          <w:rPr>
            <w:rStyle w:val="Hyperlink"/>
            <w:rFonts w:ascii="Times New Roman" w:hAnsi="Times New Roman" w:cs="Times New Roman"/>
            <w:sz w:val="24"/>
            <w:szCs w:val="24"/>
          </w:rPr>
          <w:t>https://www.elsevier.com/books/encyclopedia-of-energy/cleveland/978-0-12-176480-7</w:t>
        </w:r>
      </w:hyperlink>
      <w:r>
        <w:rPr>
          <w:rFonts w:ascii="Times New Roman" w:hAnsi="Times New Roman" w:cs="Times New Roman"/>
          <w:sz w:val="24"/>
          <w:szCs w:val="24"/>
        </w:rPr>
        <w:t xml:space="preserve"> </w:t>
      </w:r>
    </w:p>
    <w:p w14:paraId="33EE0121" w14:textId="77777777" w:rsidR="00241CBC" w:rsidRDefault="00241CBC" w:rsidP="004B4E0B">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Watling, L. (2013). Deep-sea trawling must be banned. Nature, 501(7465), 7. </w:t>
      </w:r>
      <w:hyperlink r:id="rId36" w:history="1">
        <w:r w:rsidRPr="00576A73">
          <w:rPr>
            <w:rStyle w:val="Hyperlink"/>
            <w:rFonts w:ascii="Times New Roman" w:hAnsi="Times New Roman" w:cs="Times New Roman"/>
            <w:sz w:val="24"/>
            <w:szCs w:val="24"/>
          </w:rPr>
          <w:t>https://doi.org/10.1038/501007a</w:t>
        </w:r>
      </w:hyperlink>
      <w:r>
        <w:rPr>
          <w:rFonts w:ascii="Times New Roman" w:hAnsi="Times New Roman" w:cs="Times New Roman"/>
          <w:sz w:val="24"/>
          <w:szCs w:val="24"/>
        </w:rPr>
        <w:t xml:space="preserve"> </w:t>
      </w:r>
    </w:p>
    <w:p w14:paraId="2DEC76D7" w14:textId="2F3A27D9" w:rsidR="00642052" w:rsidRDefault="00241CBC" w:rsidP="00241CBC">
      <w:pPr>
        <w:spacing w:line="276" w:lineRule="auto"/>
        <w:ind w:left="720" w:hanging="720"/>
        <w:jc w:val="both"/>
        <w:rPr>
          <w:rFonts w:ascii="Times New Roman" w:hAnsi="Times New Roman" w:cs="Times New Roman"/>
          <w:sz w:val="24"/>
          <w:szCs w:val="24"/>
        </w:rPr>
      </w:pPr>
      <w:r w:rsidRPr="00241CBC">
        <w:rPr>
          <w:rFonts w:ascii="Times New Roman" w:hAnsi="Times New Roman" w:cs="Times New Roman"/>
          <w:sz w:val="24"/>
          <w:szCs w:val="24"/>
        </w:rPr>
        <w:t xml:space="preserve">Ziegler, F., &amp; Valentinsson, D. (2008). Environmental life cycle assessment of Norway lobster (Nephrops norvegicus) caught along the Swedish west coast by creels and conventional trawls—LCA methodology with case study. International Journal of Life Cycle Assessment. </w:t>
      </w:r>
      <w:hyperlink r:id="rId37" w:history="1">
        <w:r w:rsidRPr="00576A73">
          <w:rPr>
            <w:rStyle w:val="Hyperlink"/>
            <w:rFonts w:ascii="Times New Roman" w:hAnsi="Times New Roman" w:cs="Times New Roman"/>
            <w:sz w:val="24"/>
            <w:szCs w:val="24"/>
          </w:rPr>
          <w:t>https://doi.org/10.1007/s11367-008-0002-8</w:t>
        </w:r>
      </w:hyperlink>
      <w:r>
        <w:rPr>
          <w:rFonts w:ascii="Times New Roman" w:hAnsi="Times New Roman" w:cs="Times New Roman"/>
          <w:sz w:val="24"/>
          <w:szCs w:val="24"/>
        </w:rPr>
        <w:t xml:space="preserve"> </w:t>
      </w:r>
    </w:p>
    <w:p w14:paraId="65178147" w14:textId="22D987AC" w:rsidR="00241CBC" w:rsidRPr="00223342" w:rsidRDefault="00731C36" w:rsidP="00241CBC">
      <w:pPr>
        <w:spacing w:line="276" w:lineRule="auto"/>
        <w:ind w:left="720" w:hanging="720"/>
        <w:jc w:val="both"/>
        <w:rPr>
          <w:rStyle w:val="Hyperlink"/>
          <w:rFonts w:ascii="Times New Roman" w:hAnsi="Times New Roman" w:cs="Times New Roman"/>
          <w:sz w:val="24"/>
          <w:szCs w:val="24"/>
          <w:highlight w:val="yellow"/>
        </w:rPr>
      </w:pPr>
      <w:r w:rsidRPr="00223342">
        <w:rPr>
          <w:rFonts w:ascii="Times New Roman" w:hAnsi="Times New Roman" w:cs="Times New Roman"/>
          <w:sz w:val="24"/>
          <w:szCs w:val="24"/>
          <w:highlight w:val="yellow"/>
        </w:rPr>
        <w:t xml:space="preserve">Zhang, Z., Liu, H., Jin, J., Zhu, X., Han, D. and Xie, S., 2024. Towards a low-carbon footprint: Current status and prospects for aquaculture. Water Biology and Security, 3(4), p.100290. </w:t>
      </w:r>
      <w:hyperlink r:id="rId38" w:tgtFrame="_blank" w:tooltip="Persistent link using digital object identifier" w:history="1">
        <w:r w:rsidRPr="00223342">
          <w:rPr>
            <w:rStyle w:val="Hyperlink"/>
            <w:rFonts w:ascii="Times New Roman" w:hAnsi="Times New Roman" w:cs="Times New Roman"/>
            <w:sz w:val="24"/>
            <w:szCs w:val="24"/>
            <w:highlight w:val="yellow"/>
          </w:rPr>
          <w:t>https://doi.org/10.1016/j.watbs.2024.100290</w:t>
        </w:r>
      </w:hyperlink>
    </w:p>
    <w:p w14:paraId="0FE6317B" w14:textId="77777777" w:rsidR="006B0F11" w:rsidRPr="00223342" w:rsidRDefault="006B0F11" w:rsidP="006B0F11">
      <w:pPr>
        <w:spacing w:line="276" w:lineRule="auto"/>
        <w:ind w:left="720" w:hanging="720"/>
        <w:jc w:val="both"/>
        <w:rPr>
          <w:rFonts w:ascii="Times New Roman" w:hAnsi="Times New Roman" w:cs="Times New Roman"/>
          <w:sz w:val="24"/>
          <w:szCs w:val="24"/>
          <w:highlight w:val="yellow"/>
        </w:rPr>
      </w:pPr>
      <w:r w:rsidRPr="00223342">
        <w:rPr>
          <w:rFonts w:ascii="Times New Roman" w:hAnsi="Times New Roman" w:cs="Times New Roman"/>
          <w:sz w:val="24"/>
          <w:szCs w:val="24"/>
          <w:highlight w:val="yellow"/>
        </w:rPr>
        <w:t>OSPAR Commission. (2024). Investigating the effects of mobile bottom fishing on benthic carbon processing and storage: a systematic review protocol. </w:t>
      </w:r>
      <w:r w:rsidRPr="00223342">
        <w:rPr>
          <w:rFonts w:ascii="Times New Roman" w:hAnsi="Times New Roman" w:cs="Times New Roman"/>
          <w:i/>
          <w:iCs/>
          <w:sz w:val="24"/>
          <w:szCs w:val="24"/>
          <w:highlight w:val="yellow"/>
        </w:rPr>
        <w:t>Systematic Review Protocol</w:t>
      </w:r>
      <w:r w:rsidRPr="00223342">
        <w:rPr>
          <w:rFonts w:ascii="Times New Roman" w:hAnsi="Times New Roman" w:cs="Times New Roman"/>
          <w:sz w:val="24"/>
          <w:szCs w:val="24"/>
          <w:highlight w:val="yellow"/>
        </w:rPr>
        <w:t>.​</w:t>
      </w:r>
    </w:p>
    <w:p w14:paraId="10CDCFC7" w14:textId="77777777" w:rsidR="006B0F11" w:rsidRPr="00223342" w:rsidRDefault="006B0F11" w:rsidP="006B0F11">
      <w:pPr>
        <w:spacing w:line="276" w:lineRule="auto"/>
        <w:ind w:left="720" w:hanging="720"/>
        <w:jc w:val="both"/>
        <w:rPr>
          <w:rFonts w:ascii="Times New Roman" w:hAnsi="Times New Roman" w:cs="Times New Roman"/>
          <w:sz w:val="24"/>
          <w:szCs w:val="24"/>
          <w:highlight w:val="yellow"/>
        </w:rPr>
      </w:pPr>
      <w:r w:rsidRPr="00223342">
        <w:rPr>
          <w:rFonts w:ascii="Times New Roman" w:hAnsi="Times New Roman" w:cs="Times New Roman"/>
          <w:sz w:val="24"/>
          <w:szCs w:val="24"/>
          <w:highlight w:val="yellow"/>
        </w:rPr>
        <w:t>Lutz, S. J., Heyl, T., &amp; Moustaka-Gouni, M. (2022). The impact of mobile demersal fishing on carbon storage in seabed sediments. </w:t>
      </w:r>
      <w:r w:rsidRPr="00223342">
        <w:rPr>
          <w:rFonts w:ascii="Times New Roman" w:hAnsi="Times New Roman" w:cs="Times New Roman"/>
          <w:i/>
          <w:iCs/>
          <w:sz w:val="24"/>
          <w:szCs w:val="24"/>
          <w:highlight w:val="yellow"/>
        </w:rPr>
        <w:t>Biological Conservation</w:t>
      </w:r>
      <w:r w:rsidRPr="00223342">
        <w:rPr>
          <w:rFonts w:ascii="Times New Roman" w:hAnsi="Times New Roman" w:cs="Times New Roman"/>
          <w:sz w:val="24"/>
          <w:szCs w:val="24"/>
          <w:highlight w:val="yellow"/>
        </w:rPr>
        <w:t>, 269, 109567.​</w:t>
      </w:r>
    </w:p>
    <w:p w14:paraId="42A8BE50" w14:textId="175BCB40" w:rsidR="006B0F11" w:rsidRPr="006B0F11" w:rsidRDefault="006B0F11" w:rsidP="00985C3D">
      <w:pPr>
        <w:spacing w:line="276" w:lineRule="auto"/>
        <w:ind w:left="720" w:right="95" w:hanging="720"/>
        <w:jc w:val="both"/>
        <w:rPr>
          <w:rFonts w:ascii="Times New Roman" w:hAnsi="Times New Roman" w:cs="Times New Roman"/>
          <w:sz w:val="24"/>
          <w:szCs w:val="24"/>
        </w:rPr>
      </w:pPr>
      <w:r w:rsidRPr="00223342">
        <w:rPr>
          <w:rFonts w:ascii="Times New Roman" w:hAnsi="Times New Roman" w:cs="Times New Roman"/>
          <w:sz w:val="24"/>
          <w:szCs w:val="24"/>
          <w:highlight w:val="yellow"/>
        </w:rPr>
        <w:t>Markager, S., Andersen, J. H., Carstensen, J., et al. (2021). Physical disturbance by bottom trawling suspends particulate matter and alters biogeochemical processes on and near the seafloor. </w:t>
      </w:r>
      <w:r w:rsidRPr="00223342">
        <w:rPr>
          <w:rFonts w:ascii="Times New Roman" w:hAnsi="Times New Roman" w:cs="Times New Roman"/>
          <w:i/>
          <w:iCs/>
          <w:sz w:val="24"/>
          <w:szCs w:val="24"/>
          <w:highlight w:val="yellow"/>
        </w:rPr>
        <w:t>Frontiers in Marine Science</w:t>
      </w:r>
      <w:r w:rsidRPr="00223342">
        <w:rPr>
          <w:rFonts w:ascii="Times New Roman" w:hAnsi="Times New Roman" w:cs="Times New Roman"/>
          <w:sz w:val="24"/>
          <w:szCs w:val="24"/>
          <w:highlight w:val="yellow"/>
        </w:rPr>
        <w:t>, 8,</w:t>
      </w:r>
      <w:r w:rsidR="00985C3D">
        <w:rPr>
          <w:rFonts w:ascii="Times New Roman" w:hAnsi="Times New Roman" w:cs="Times New Roman"/>
          <w:sz w:val="24"/>
          <w:szCs w:val="24"/>
          <w:highlight w:val="yellow"/>
        </w:rPr>
        <w:t xml:space="preserve"> </w:t>
      </w:r>
      <w:r w:rsidRPr="00223342">
        <w:rPr>
          <w:rFonts w:ascii="Times New Roman" w:hAnsi="Times New Roman" w:cs="Times New Roman"/>
          <w:sz w:val="24"/>
          <w:szCs w:val="24"/>
          <w:highlight w:val="yellow"/>
        </w:rPr>
        <w:t>683331.</w:t>
      </w:r>
      <w:r w:rsidR="00985C3D">
        <w:rPr>
          <w:rFonts w:ascii="Times New Roman" w:hAnsi="Times New Roman" w:cs="Times New Roman"/>
          <w:sz w:val="24"/>
          <w:szCs w:val="24"/>
        </w:rPr>
        <w:t xml:space="preserve"> </w:t>
      </w:r>
      <w:hyperlink r:id="rId39" w:history="1">
        <w:r w:rsidR="00985C3D" w:rsidRPr="00110967">
          <w:rPr>
            <w:rStyle w:val="Hyperlink"/>
            <w:rFonts w:ascii="Times New Roman" w:hAnsi="Times New Roman" w:cs="Times New Roman"/>
            <w:sz w:val="24"/>
            <w:szCs w:val="24"/>
            <w:highlight w:val="yellow"/>
          </w:rPr>
          <w:t>https://doi.org/10.3389/fmars.2021.683331</w:t>
        </w:r>
      </w:hyperlink>
      <w:r w:rsidRPr="00223342">
        <w:rPr>
          <w:rStyle w:val="Hyperlink"/>
          <w:rFonts w:ascii="Times New Roman" w:hAnsi="Times New Roman" w:cs="Times New Roman"/>
          <w:sz w:val="24"/>
          <w:szCs w:val="24"/>
          <w:highlight w:val="yellow"/>
        </w:rPr>
        <w:t>​</w:t>
      </w:r>
    </w:p>
    <w:p w14:paraId="4107EADC" w14:textId="77777777" w:rsidR="006B0F11" w:rsidRPr="004B4E0B" w:rsidRDefault="006B0F11" w:rsidP="00241CBC">
      <w:pPr>
        <w:spacing w:line="276" w:lineRule="auto"/>
        <w:ind w:left="720" w:hanging="720"/>
        <w:jc w:val="both"/>
        <w:rPr>
          <w:rFonts w:ascii="Times New Roman" w:hAnsi="Times New Roman" w:cs="Times New Roman"/>
          <w:sz w:val="24"/>
          <w:szCs w:val="24"/>
        </w:rPr>
      </w:pPr>
    </w:p>
    <w:sectPr w:rsidR="006B0F11" w:rsidRPr="004B4E0B" w:rsidSect="002772F7">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45794" w14:textId="77777777" w:rsidR="00012ED1" w:rsidRDefault="00012ED1" w:rsidP="001610C5">
      <w:pPr>
        <w:spacing w:after="0" w:line="240" w:lineRule="auto"/>
      </w:pPr>
      <w:r>
        <w:separator/>
      </w:r>
    </w:p>
  </w:endnote>
  <w:endnote w:type="continuationSeparator" w:id="0">
    <w:p w14:paraId="14B72850" w14:textId="77777777" w:rsidR="00012ED1" w:rsidRDefault="00012ED1" w:rsidP="00161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B37D" w14:textId="77777777" w:rsidR="001610C5" w:rsidRDefault="00161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785B" w14:textId="77777777" w:rsidR="001610C5" w:rsidRDefault="00161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FFF7" w14:textId="77777777" w:rsidR="001610C5" w:rsidRDefault="00161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9D681" w14:textId="77777777" w:rsidR="00012ED1" w:rsidRDefault="00012ED1" w:rsidP="001610C5">
      <w:pPr>
        <w:spacing w:after="0" w:line="240" w:lineRule="auto"/>
      </w:pPr>
      <w:r>
        <w:separator/>
      </w:r>
    </w:p>
  </w:footnote>
  <w:footnote w:type="continuationSeparator" w:id="0">
    <w:p w14:paraId="6FD5F4F4" w14:textId="77777777" w:rsidR="00012ED1" w:rsidRDefault="00012ED1" w:rsidP="00161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9F64" w14:textId="28993EB2" w:rsidR="001610C5" w:rsidRDefault="00000000">
    <w:pPr>
      <w:pStyle w:val="Header"/>
    </w:pPr>
    <w:r>
      <w:rPr>
        <w:noProof/>
      </w:rPr>
      <w:pict w14:anchorId="66DF8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EACC9" w14:textId="117BFA5E" w:rsidR="001610C5" w:rsidRDefault="00000000">
    <w:pPr>
      <w:pStyle w:val="Header"/>
    </w:pPr>
    <w:r>
      <w:rPr>
        <w:noProof/>
      </w:rPr>
      <w:pict w14:anchorId="12BA5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E714A" w14:textId="44C30CEC" w:rsidR="001610C5" w:rsidRDefault="00000000">
    <w:pPr>
      <w:pStyle w:val="Header"/>
    </w:pPr>
    <w:r>
      <w:rPr>
        <w:noProof/>
      </w:rPr>
      <w:pict w14:anchorId="0BBBF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51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227A4"/>
    <w:multiLevelType w:val="hybridMultilevel"/>
    <w:tmpl w:val="A34AD1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0431CF3"/>
    <w:multiLevelType w:val="multilevel"/>
    <w:tmpl w:val="B280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24326A"/>
    <w:multiLevelType w:val="multilevel"/>
    <w:tmpl w:val="B6380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E43BF4"/>
    <w:multiLevelType w:val="hybridMultilevel"/>
    <w:tmpl w:val="DA8E39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5646294">
    <w:abstractNumId w:val="2"/>
  </w:num>
  <w:num w:numId="2" w16cid:durableId="766006113">
    <w:abstractNumId w:val="3"/>
  </w:num>
  <w:num w:numId="3" w16cid:durableId="1662386344">
    <w:abstractNumId w:val="0"/>
  </w:num>
  <w:num w:numId="4" w16cid:durableId="711998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3MDA1sDA1tzAysTBW0lEKTi0uzszPAykwNKgFAKsl0zktAAAA"/>
  </w:docVars>
  <w:rsids>
    <w:rsidRoot w:val="00C63A66"/>
    <w:rsid w:val="00012ED1"/>
    <w:rsid w:val="00043820"/>
    <w:rsid w:val="000801B8"/>
    <w:rsid w:val="000B4874"/>
    <w:rsid w:val="000C5324"/>
    <w:rsid w:val="000D1D36"/>
    <w:rsid w:val="000E11B0"/>
    <w:rsid w:val="001051DE"/>
    <w:rsid w:val="00143FC7"/>
    <w:rsid w:val="001508EB"/>
    <w:rsid w:val="001610C5"/>
    <w:rsid w:val="00190635"/>
    <w:rsid w:val="001A40A8"/>
    <w:rsid w:val="001D55BF"/>
    <w:rsid w:val="001E5C2F"/>
    <w:rsid w:val="00212D8B"/>
    <w:rsid w:val="00223342"/>
    <w:rsid w:val="00241CBC"/>
    <w:rsid w:val="002772F7"/>
    <w:rsid w:val="002A0CB8"/>
    <w:rsid w:val="002F1B8C"/>
    <w:rsid w:val="002F1FD7"/>
    <w:rsid w:val="00306219"/>
    <w:rsid w:val="00332F72"/>
    <w:rsid w:val="003951DD"/>
    <w:rsid w:val="003A5D72"/>
    <w:rsid w:val="003C6A74"/>
    <w:rsid w:val="003D5CC6"/>
    <w:rsid w:val="003E071C"/>
    <w:rsid w:val="004274F9"/>
    <w:rsid w:val="004733C5"/>
    <w:rsid w:val="004B4E0B"/>
    <w:rsid w:val="004E1122"/>
    <w:rsid w:val="00514B54"/>
    <w:rsid w:val="005420D9"/>
    <w:rsid w:val="0057158E"/>
    <w:rsid w:val="0057414D"/>
    <w:rsid w:val="00581C60"/>
    <w:rsid w:val="0059619A"/>
    <w:rsid w:val="005C4C72"/>
    <w:rsid w:val="005D33A1"/>
    <w:rsid w:val="005F6B0F"/>
    <w:rsid w:val="00625648"/>
    <w:rsid w:val="00642052"/>
    <w:rsid w:val="00690ABC"/>
    <w:rsid w:val="006B0F11"/>
    <w:rsid w:val="006D314D"/>
    <w:rsid w:val="00712145"/>
    <w:rsid w:val="0072331D"/>
    <w:rsid w:val="00731C36"/>
    <w:rsid w:val="0073433E"/>
    <w:rsid w:val="007351B9"/>
    <w:rsid w:val="00747435"/>
    <w:rsid w:val="00784462"/>
    <w:rsid w:val="00860AFD"/>
    <w:rsid w:val="0087231A"/>
    <w:rsid w:val="008B731C"/>
    <w:rsid w:val="008D0CA4"/>
    <w:rsid w:val="008D3F12"/>
    <w:rsid w:val="008E4E74"/>
    <w:rsid w:val="00910563"/>
    <w:rsid w:val="00916189"/>
    <w:rsid w:val="00931540"/>
    <w:rsid w:val="00950D4E"/>
    <w:rsid w:val="0095346A"/>
    <w:rsid w:val="00955895"/>
    <w:rsid w:val="00985C3D"/>
    <w:rsid w:val="009B632E"/>
    <w:rsid w:val="009E3192"/>
    <w:rsid w:val="009E37D2"/>
    <w:rsid w:val="00A239FE"/>
    <w:rsid w:val="00A42095"/>
    <w:rsid w:val="00A8440C"/>
    <w:rsid w:val="00AA378C"/>
    <w:rsid w:val="00AC37FB"/>
    <w:rsid w:val="00AC572F"/>
    <w:rsid w:val="00AD0D91"/>
    <w:rsid w:val="00AD7D4D"/>
    <w:rsid w:val="00AF5E91"/>
    <w:rsid w:val="00B27DDD"/>
    <w:rsid w:val="00B4214F"/>
    <w:rsid w:val="00C01421"/>
    <w:rsid w:val="00C63A66"/>
    <w:rsid w:val="00C853EE"/>
    <w:rsid w:val="00C92C9F"/>
    <w:rsid w:val="00CF6643"/>
    <w:rsid w:val="00D27D19"/>
    <w:rsid w:val="00D5276D"/>
    <w:rsid w:val="00D56A8B"/>
    <w:rsid w:val="00D57CB9"/>
    <w:rsid w:val="00DC16D4"/>
    <w:rsid w:val="00DC6152"/>
    <w:rsid w:val="00DC6D07"/>
    <w:rsid w:val="00DD2431"/>
    <w:rsid w:val="00DE6341"/>
    <w:rsid w:val="00DE7982"/>
    <w:rsid w:val="00E079A7"/>
    <w:rsid w:val="00E15BC5"/>
    <w:rsid w:val="00E30B58"/>
    <w:rsid w:val="00E52F70"/>
    <w:rsid w:val="00E675EC"/>
    <w:rsid w:val="00EB095C"/>
    <w:rsid w:val="00EB11C0"/>
    <w:rsid w:val="00EB14AD"/>
    <w:rsid w:val="00EC0725"/>
    <w:rsid w:val="00EC1BC3"/>
    <w:rsid w:val="00F12C96"/>
    <w:rsid w:val="00F4277C"/>
    <w:rsid w:val="00F62915"/>
    <w:rsid w:val="00F71CCF"/>
    <w:rsid w:val="00FA431C"/>
    <w:rsid w:val="00FB3379"/>
    <w:rsid w:val="00FB4DCD"/>
    <w:rsid w:val="00FC14AD"/>
    <w:rsid w:val="00FC47F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D0E8D"/>
  <w15:chartTrackingRefBased/>
  <w15:docId w15:val="{BEB7ED05-8CBF-408E-BACB-D1036A4CE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CA4"/>
  </w:style>
  <w:style w:type="paragraph" w:styleId="Heading1">
    <w:name w:val="heading 1"/>
    <w:basedOn w:val="Normal"/>
    <w:next w:val="Normal"/>
    <w:link w:val="Heading1Char"/>
    <w:uiPriority w:val="9"/>
    <w:qFormat/>
    <w:rsid w:val="008D0CA4"/>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8D0CA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8D0CA4"/>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8D0CA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D0CA4"/>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8D0CA4"/>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8D0CA4"/>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8D0CA4"/>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8D0CA4"/>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CA4"/>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8D0CA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8D0CA4"/>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8D0CA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D0CA4"/>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8D0CA4"/>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8D0CA4"/>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8D0CA4"/>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8D0CA4"/>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8D0CA4"/>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8D0CA4"/>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8D0CA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D0CA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8D0CA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D0CA4"/>
    <w:rPr>
      <w:i/>
      <w:iCs/>
      <w:color w:val="404040" w:themeColor="text1" w:themeTint="BF"/>
    </w:rPr>
  </w:style>
  <w:style w:type="paragraph" w:styleId="ListParagraph">
    <w:name w:val="List Paragraph"/>
    <w:basedOn w:val="Normal"/>
    <w:uiPriority w:val="34"/>
    <w:qFormat/>
    <w:rsid w:val="00C63A66"/>
    <w:pPr>
      <w:ind w:left="720"/>
      <w:contextualSpacing/>
    </w:pPr>
  </w:style>
  <w:style w:type="character" w:styleId="IntenseEmphasis">
    <w:name w:val="Intense Emphasis"/>
    <w:basedOn w:val="DefaultParagraphFont"/>
    <w:uiPriority w:val="21"/>
    <w:qFormat/>
    <w:rsid w:val="008D0CA4"/>
    <w:rPr>
      <w:b/>
      <w:bCs/>
      <w:i/>
      <w:iCs/>
    </w:rPr>
  </w:style>
  <w:style w:type="paragraph" w:styleId="IntenseQuote">
    <w:name w:val="Intense Quote"/>
    <w:basedOn w:val="Normal"/>
    <w:next w:val="Normal"/>
    <w:link w:val="IntenseQuoteChar"/>
    <w:uiPriority w:val="30"/>
    <w:qFormat/>
    <w:rsid w:val="008D0CA4"/>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8D0CA4"/>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8D0CA4"/>
    <w:rPr>
      <w:b/>
      <w:bCs/>
      <w:smallCaps/>
      <w:spacing w:val="5"/>
      <w:u w:val="single"/>
    </w:rPr>
  </w:style>
  <w:style w:type="paragraph" w:styleId="NormalWeb">
    <w:name w:val="Normal (Web)"/>
    <w:basedOn w:val="Normal"/>
    <w:uiPriority w:val="99"/>
    <w:unhideWhenUsed/>
    <w:rsid w:val="006D314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8D0CA4"/>
    <w:rPr>
      <w:i/>
      <w:iCs/>
    </w:rPr>
  </w:style>
  <w:style w:type="character" w:styleId="Strong">
    <w:name w:val="Strong"/>
    <w:basedOn w:val="DefaultParagraphFont"/>
    <w:uiPriority w:val="22"/>
    <w:qFormat/>
    <w:rsid w:val="008D0CA4"/>
    <w:rPr>
      <w:b/>
      <w:bCs/>
    </w:rPr>
  </w:style>
  <w:style w:type="character" w:customStyle="1" w:styleId="text-token-text-secondary">
    <w:name w:val="text-token-text-secondary"/>
    <w:basedOn w:val="DefaultParagraphFont"/>
    <w:rsid w:val="006D314D"/>
  </w:style>
  <w:style w:type="paragraph" w:styleId="Caption">
    <w:name w:val="caption"/>
    <w:basedOn w:val="Normal"/>
    <w:next w:val="Normal"/>
    <w:uiPriority w:val="35"/>
    <w:semiHidden/>
    <w:unhideWhenUsed/>
    <w:qFormat/>
    <w:rsid w:val="008D0CA4"/>
    <w:pPr>
      <w:spacing w:line="240" w:lineRule="auto"/>
    </w:pPr>
    <w:rPr>
      <w:b/>
      <w:bCs/>
      <w:smallCaps/>
      <w:color w:val="595959" w:themeColor="text1" w:themeTint="A6"/>
      <w:spacing w:val="6"/>
    </w:rPr>
  </w:style>
  <w:style w:type="paragraph" w:styleId="NoSpacing">
    <w:name w:val="No Spacing"/>
    <w:uiPriority w:val="1"/>
    <w:qFormat/>
    <w:rsid w:val="008D0CA4"/>
    <w:pPr>
      <w:spacing w:after="0" w:line="240" w:lineRule="auto"/>
    </w:pPr>
  </w:style>
  <w:style w:type="character" w:styleId="SubtleEmphasis">
    <w:name w:val="Subtle Emphasis"/>
    <w:basedOn w:val="DefaultParagraphFont"/>
    <w:uiPriority w:val="19"/>
    <w:qFormat/>
    <w:rsid w:val="008D0CA4"/>
    <w:rPr>
      <w:i/>
      <w:iCs/>
      <w:color w:val="404040" w:themeColor="text1" w:themeTint="BF"/>
    </w:rPr>
  </w:style>
  <w:style w:type="character" w:styleId="SubtleReference">
    <w:name w:val="Subtle Reference"/>
    <w:basedOn w:val="DefaultParagraphFont"/>
    <w:uiPriority w:val="31"/>
    <w:qFormat/>
    <w:rsid w:val="008D0CA4"/>
    <w:rPr>
      <w:smallCaps/>
      <w:color w:val="404040" w:themeColor="text1" w:themeTint="BF"/>
      <w:u w:val="single" w:color="7F7F7F" w:themeColor="text1" w:themeTint="80"/>
    </w:rPr>
  </w:style>
  <w:style w:type="character" w:styleId="BookTitle">
    <w:name w:val="Book Title"/>
    <w:basedOn w:val="DefaultParagraphFont"/>
    <w:uiPriority w:val="33"/>
    <w:qFormat/>
    <w:rsid w:val="008D0CA4"/>
    <w:rPr>
      <w:b/>
      <w:bCs/>
      <w:smallCaps/>
    </w:rPr>
  </w:style>
  <w:style w:type="paragraph" w:styleId="TOCHeading">
    <w:name w:val="TOC Heading"/>
    <w:basedOn w:val="Heading1"/>
    <w:next w:val="Normal"/>
    <w:uiPriority w:val="39"/>
    <w:semiHidden/>
    <w:unhideWhenUsed/>
    <w:qFormat/>
    <w:rsid w:val="008D0CA4"/>
    <w:pPr>
      <w:outlineLvl w:val="9"/>
    </w:pPr>
  </w:style>
  <w:style w:type="table" w:styleId="TableGrid">
    <w:name w:val="Table Grid"/>
    <w:basedOn w:val="TableNormal"/>
    <w:uiPriority w:val="39"/>
    <w:rsid w:val="00A8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4E0B"/>
    <w:rPr>
      <w:color w:val="467886" w:themeColor="hyperlink"/>
      <w:u w:val="single"/>
    </w:rPr>
  </w:style>
  <w:style w:type="character" w:styleId="UnresolvedMention">
    <w:name w:val="Unresolved Mention"/>
    <w:basedOn w:val="DefaultParagraphFont"/>
    <w:uiPriority w:val="99"/>
    <w:semiHidden/>
    <w:unhideWhenUsed/>
    <w:rsid w:val="002F1FD7"/>
    <w:rPr>
      <w:color w:val="605E5C"/>
      <w:shd w:val="clear" w:color="auto" w:fill="E1DFDD"/>
    </w:rPr>
  </w:style>
  <w:style w:type="character" w:styleId="LineNumber">
    <w:name w:val="line number"/>
    <w:basedOn w:val="DefaultParagraphFont"/>
    <w:uiPriority w:val="99"/>
    <w:semiHidden/>
    <w:unhideWhenUsed/>
    <w:rsid w:val="00AF5E91"/>
  </w:style>
  <w:style w:type="paragraph" w:styleId="Header">
    <w:name w:val="header"/>
    <w:basedOn w:val="Normal"/>
    <w:link w:val="HeaderChar"/>
    <w:uiPriority w:val="99"/>
    <w:unhideWhenUsed/>
    <w:rsid w:val="00161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0C5"/>
  </w:style>
  <w:style w:type="paragraph" w:styleId="Footer">
    <w:name w:val="footer"/>
    <w:basedOn w:val="Normal"/>
    <w:link w:val="FooterChar"/>
    <w:uiPriority w:val="99"/>
    <w:unhideWhenUsed/>
    <w:rsid w:val="00161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0C5"/>
  </w:style>
  <w:style w:type="character" w:customStyle="1" w:styleId="cf01">
    <w:name w:val="cf01"/>
    <w:basedOn w:val="DefaultParagraphFont"/>
    <w:rsid w:val="0072331D"/>
    <w:rPr>
      <w:rFonts w:ascii="Segoe UI" w:hAnsi="Segoe UI" w:cs="Segoe UI" w:hint="default"/>
      <w:sz w:val="18"/>
      <w:szCs w:val="18"/>
    </w:rPr>
  </w:style>
  <w:style w:type="character" w:customStyle="1" w:styleId="anchor-text">
    <w:name w:val="anchor-text"/>
    <w:basedOn w:val="DefaultParagraphFont"/>
    <w:rsid w:val="00731C36"/>
  </w:style>
  <w:style w:type="paragraph" w:customStyle="1" w:styleId="my-2">
    <w:name w:val="my-2"/>
    <w:basedOn w:val="Normal"/>
    <w:rsid w:val="006B0F1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xt-box-trim-both">
    <w:name w:val="text-box-trim-both"/>
    <w:basedOn w:val="DefaultParagraphFont"/>
    <w:rsid w:val="006B0F11"/>
  </w:style>
  <w:style w:type="character" w:customStyle="1" w:styleId="ms-1">
    <w:name w:val="ms-1"/>
    <w:basedOn w:val="DefaultParagraphFont"/>
    <w:rsid w:val="00581C60"/>
  </w:style>
  <w:style w:type="character" w:customStyle="1" w:styleId="max-w-15ch">
    <w:name w:val="max-w-[15ch]"/>
    <w:basedOn w:val="DefaultParagraphFont"/>
    <w:rsid w:val="00581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38/s41598-020-63695-w" TargetMode="External"/><Relationship Id="rId26" Type="http://schemas.openxmlformats.org/officeDocument/2006/relationships/hyperlink" Target="https://doi.org/10.1016/j.scitotenv.2022.160783" TargetMode="External"/><Relationship Id="rId39" Type="http://schemas.openxmlformats.org/officeDocument/2006/relationships/hyperlink" Target="https://doi.org/10.3389/fmars.2021.683331" TargetMode="External"/><Relationship Id="rId21" Type="http://schemas.openxmlformats.org/officeDocument/2006/relationships/hyperlink" Target="https://doi.org/10.1016/j.fishres.2014.07.010" TargetMode="External"/><Relationship Id="rId34" Type="http://schemas.openxmlformats.org/officeDocument/2006/relationships/hyperlink" Target="https://doi.org/10.1016/j.fishres.2011.12.009"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3390/fishes8100516" TargetMode="External"/><Relationship Id="rId29" Type="http://schemas.openxmlformats.org/officeDocument/2006/relationships/hyperlink" Target="https://doi.org/10.1038/s41597-022-0147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fishres.2020.105737" TargetMode="External"/><Relationship Id="rId32" Type="http://schemas.openxmlformats.org/officeDocument/2006/relationships/hyperlink" Target="https://doi.org/10.1111/faf.12047" TargetMode="External"/><Relationship Id="rId37" Type="http://schemas.openxmlformats.org/officeDocument/2006/relationships/hyperlink" Target="https://doi.org/10.1007/s11367-008-0002-8"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marpol.2021.104649" TargetMode="External"/><Relationship Id="rId23" Type="http://schemas.openxmlformats.org/officeDocument/2006/relationships/hyperlink" Target="https://doi.org/10.17895/ices.pub.8160" TargetMode="External"/><Relationship Id="rId28" Type="http://schemas.openxmlformats.org/officeDocument/2006/relationships/hyperlink" Target="https://doi.org/10.1007/s11367-020-01774-4" TargetMode="External"/><Relationship Id="rId36" Type="http://schemas.openxmlformats.org/officeDocument/2006/relationships/hyperlink" Target="https://doi.org/10.1038/501007a" TargetMode="External"/><Relationship Id="rId10" Type="http://schemas.openxmlformats.org/officeDocument/2006/relationships/image" Target="media/image4.png"/><Relationship Id="rId19" Type="http://schemas.openxmlformats.org/officeDocument/2006/relationships/hyperlink" Target="https://doi.org/10.1093/icesjms/fsac005" TargetMode="External"/><Relationship Id="rId31" Type="http://schemas.openxmlformats.org/officeDocument/2006/relationships/hyperlink" Target="https://agroeconomistjournal.com/"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93/icesjms/fsz250" TargetMode="External"/><Relationship Id="rId22" Type="http://schemas.openxmlformats.org/officeDocument/2006/relationships/hyperlink" Target="https://doi.org/10.1093/icesjms/fsad115" TargetMode="External"/><Relationship Id="rId27" Type="http://schemas.openxmlformats.org/officeDocument/2006/relationships/hyperlink" Target="https://doi.org/10.1038/s41558-018-0117-x" TargetMode="External"/><Relationship Id="rId30" Type="http://schemas.openxmlformats.org/officeDocument/2006/relationships/hyperlink" Target="https://doi.org/10.1016/j.gfs.2018.08.007" TargetMode="External"/><Relationship Id="rId35" Type="http://schemas.openxmlformats.org/officeDocument/2006/relationships/hyperlink" Target="https://www.elsevier.com/books/encyclopedia-of-energy/cleveland/978-0-12-176480-7"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1016/j.marpol.2021.104453" TargetMode="External"/><Relationship Id="rId25" Type="http://schemas.openxmlformats.org/officeDocument/2006/relationships/hyperlink" Target="https://doi.org/10.17226/1536" TargetMode="External"/><Relationship Id="rId33" Type="http://schemas.openxmlformats.org/officeDocument/2006/relationships/hyperlink" Target="https://doi.org/10.1093/icesjms/fsac045" TargetMode="External"/><Relationship Id="rId38" Type="http://schemas.openxmlformats.org/officeDocument/2006/relationships/hyperlink" Target="https://doi.org/10.1016/j.watbs.2024.100290" TargetMode="External"/><Relationship Id="rId46" Type="http://schemas.openxmlformats.org/officeDocument/2006/relationships/fontTable" Target="fontTable.xml"/><Relationship Id="rId20" Type="http://schemas.openxmlformats.org/officeDocument/2006/relationships/hyperlink" Target="https://www.fao.org/4/i2461e/i2461e.pdf"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532</TotalTime>
  <Pages>14</Pages>
  <Words>4466</Words>
  <Characters>25462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Bhautik Savaliya</dc:creator>
  <cp:keywords/>
  <dc:description/>
  <cp:lastModifiedBy>Bhautik Savaliya</cp:lastModifiedBy>
  <cp:revision>129</cp:revision>
  <dcterms:created xsi:type="dcterms:W3CDTF">2025-12-08T20:48:00Z</dcterms:created>
  <dcterms:modified xsi:type="dcterms:W3CDTF">2025-12-13T12:21:00Z</dcterms:modified>
</cp:coreProperties>
</file>