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3D03" w14:textId="51D18FBB" w:rsidR="00754C9A" w:rsidRDefault="00B02E19" w:rsidP="00441B6F">
      <w:pPr>
        <w:pStyle w:val="Title"/>
        <w:spacing w:after="0"/>
        <w:jc w:val="both"/>
        <w:rPr>
          <w:rFonts w:ascii="Arial" w:hAnsi="Arial" w:cs="Arial"/>
        </w:rPr>
      </w:pPr>
      <w:r w:rsidRPr="00B02E19">
        <w:rPr>
          <w:rFonts w:ascii="Arial" w:hAnsi="Arial" w:cs="Arial"/>
        </w:rPr>
        <w:t>Review Article</w:t>
      </w:r>
    </w:p>
    <w:p w14:paraId="289373DD" w14:textId="77777777" w:rsidR="00B02E19" w:rsidRDefault="00B02E19" w:rsidP="00441B6F">
      <w:pPr>
        <w:pStyle w:val="Title"/>
        <w:spacing w:after="0"/>
        <w:jc w:val="both"/>
        <w:rPr>
          <w:rFonts w:ascii="Arial" w:hAnsi="Arial" w:cs="Arial"/>
        </w:rPr>
      </w:pPr>
    </w:p>
    <w:p w14:paraId="065E5AB3" w14:textId="4B8F463B" w:rsidR="002C57D2" w:rsidRPr="00FB3A86" w:rsidRDefault="00210EAD" w:rsidP="00210EAD">
      <w:pPr>
        <w:pStyle w:val="Affiliation"/>
        <w:spacing w:after="0" w:line="240" w:lineRule="auto"/>
        <w:rPr>
          <w:rFonts w:ascii="Arial" w:hAnsi="Arial" w:cs="Arial"/>
        </w:rPr>
      </w:pPr>
      <w:r w:rsidRPr="00210EAD">
        <w:rPr>
          <w:rFonts w:ascii="Arial" w:hAnsi="Arial" w:cs="Arial"/>
          <w:b/>
          <w:bCs/>
          <w:sz w:val="36"/>
          <w:szCs w:val="36"/>
        </w:rPr>
        <w:t>Carbon Credits and Ecosystem Service Valuation as Economic Pathways for Sustainable Agriculture and Rural Livelihood Enhancement</w:t>
      </w:r>
    </w:p>
    <w:p w14:paraId="6CCA3D25" w14:textId="77777777" w:rsidR="00B01FCD" w:rsidRPr="00FB3A86" w:rsidRDefault="00000000" w:rsidP="00441B6F">
      <w:pPr>
        <w:pStyle w:val="Copyright"/>
        <w:spacing w:after="0" w:line="240" w:lineRule="auto"/>
        <w:jc w:val="both"/>
        <w:rPr>
          <w:rFonts w:ascii="Arial" w:hAnsi="Arial" w:cs="Arial"/>
        </w:rPr>
        <w:sectPr w:rsidR="00B01FCD" w:rsidRPr="00FB3A86" w:rsidSect="009C22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8D56A6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9ECC61" w14:textId="2D69BFDA"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0C29AC" w14:textId="77777777" w:rsidTr="004F2216">
        <w:tc>
          <w:tcPr>
            <w:tcW w:w="8424" w:type="dxa"/>
            <w:shd w:val="clear" w:color="auto" w:fill="F2F2F2"/>
          </w:tcPr>
          <w:p w14:paraId="0A3F1B6F" w14:textId="13FA6E7A" w:rsidR="00505F06" w:rsidRPr="00192041" w:rsidRDefault="00CE6940" w:rsidP="004F2216">
            <w:pPr>
              <w:jc w:val="both"/>
              <w:rPr>
                <w:rFonts w:ascii="Arial" w:hAnsi="Arial" w:cs="Arial"/>
              </w:rPr>
            </w:pPr>
            <w:r w:rsidRPr="00CE6940">
              <w:rPr>
                <w:rFonts w:ascii="Arial" w:hAnsi="Arial" w:cs="Arial"/>
              </w:rPr>
              <w:t>Climate change is increasingly degrading agricultural productivity and ecosystem health, necessitating economic mechanisms that reconcile sustainable rural livelihoods with environmental sustainability. This study aims to examine the role of carbon credit</w:t>
            </w:r>
            <w:r w:rsidR="001777AB">
              <w:rPr>
                <w:rFonts w:ascii="Arial" w:hAnsi="Arial" w:cs="Arial"/>
              </w:rPr>
              <w:t>s</w:t>
            </w:r>
            <w:r w:rsidRPr="00CE6940">
              <w:rPr>
                <w:rFonts w:ascii="Arial" w:hAnsi="Arial" w:cs="Arial"/>
              </w:rPr>
              <w:t xml:space="preserve"> and Ecosystem Service Valuation (ESV) in promoting sustainable agriculture and enhancing rural livelihoods. Using evidence-based synthesis of global carbon pricing mechanisms and Payments for Ecosystem Services (PES) initiatives, the study </w:t>
            </w:r>
            <w:r w:rsidR="001777AB">
              <w:rPr>
                <w:rFonts w:ascii="Arial" w:hAnsi="Arial" w:cs="Arial"/>
              </w:rPr>
              <w:t>highlights</w:t>
            </w:r>
            <w:r w:rsidRPr="00CE6940">
              <w:rPr>
                <w:rFonts w:ascii="Arial" w:hAnsi="Arial" w:cs="Arial"/>
              </w:rPr>
              <w:t xml:space="preserve"> a comparative </w:t>
            </w:r>
            <w:r w:rsidR="001777AB" w:rsidRPr="00CE6940">
              <w:rPr>
                <w:rFonts w:ascii="Arial" w:hAnsi="Arial" w:cs="Arial"/>
              </w:rPr>
              <w:t>investigative</w:t>
            </w:r>
            <w:r w:rsidRPr="00CE6940">
              <w:rPr>
                <w:rFonts w:ascii="Arial" w:hAnsi="Arial" w:cs="Arial"/>
              </w:rPr>
              <w:t xml:space="preserve"> approach to assess their economic, social, and environmental co-benefits. The results indicate that well-designed carbon and PES schemes effectively internalize environmental costs, diversify farmers’ income sources, reduce poverty, and enhance climate resilience among smallholders. </w:t>
            </w:r>
            <w:r>
              <w:rPr>
                <w:rFonts w:ascii="Arial" w:hAnsi="Arial" w:cs="Arial"/>
              </w:rPr>
              <w:t>Indicatively</w:t>
            </w:r>
            <w:r w:rsidRPr="00CE6940">
              <w:rPr>
                <w:rFonts w:ascii="Arial" w:hAnsi="Arial" w:cs="Arial"/>
              </w:rPr>
              <w:t>, significant trade-offs persist between carbon sequestration and key ecosystem processes such as biodiversity conservation, soil fertility, and water management. Additionally, valuation challenges, land-use trade-offs, and institutional gaps limit large-scale effectiveness. The study recommends strengthening governance frameworks, monitoring systems, and policy integration to optimize outcomes. It concludes that aligning carbon markets with ecosystem valuation can effectively support sustainable agricultural systems and the United Nations Sustainable Development Goals.</w:t>
            </w:r>
          </w:p>
        </w:tc>
      </w:tr>
    </w:tbl>
    <w:p w14:paraId="17A775BE" w14:textId="77777777" w:rsidR="00636EB2" w:rsidRDefault="00636EB2" w:rsidP="00441B6F">
      <w:pPr>
        <w:pStyle w:val="Body"/>
        <w:spacing w:after="0"/>
        <w:rPr>
          <w:rFonts w:ascii="Arial" w:hAnsi="Arial" w:cs="Arial"/>
          <w:i/>
        </w:rPr>
      </w:pPr>
    </w:p>
    <w:p w14:paraId="0E5CADBA" w14:textId="36797BD4" w:rsidR="00A24E7E" w:rsidRDefault="00A24E7E" w:rsidP="00441B6F">
      <w:pPr>
        <w:pStyle w:val="Body"/>
        <w:spacing w:after="0"/>
        <w:rPr>
          <w:rFonts w:ascii="Arial" w:hAnsi="Arial" w:cs="Arial"/>
          <w:i/>
        </w:rPr>
      </w:pPr>
      <w:r>
        <w:rPr>
          <w:rFonts w:ascii="Arial" w:hAnsi="Arial" w:cs="Arial"/>
          <w:i/>
        </w:rPr>
        <w:t xml:space="preserve">Keywords: </w:t>
      </w:r>
      <w:r w:rsidR="00CB242E" w:rsidRPr="00CB242E">
        <w:rPr>
          <w:rFonts w:ascii="Arial" w:hAnsi="Arial" w:cs="Arial"/>
          <w:i/>
        </w:rPr>
        <w:t>Agricultural sustainability, Carbon credits, Ecosystem service valuation, Rural livelihoods, Sustainable Development Goals.</w:t>
      </w:r>
    </w:p>
    <w:p w14:paraId="74963A35" w14:textId="77777777" w:rsidR="00505F06" w:rsidRPr="00A24E7E" w:rsidRDefault="00505F06" w:rsidP="00441B6F">
      <w:pPr>
        <w:pStyle w:val="Body"/>
        <w:spacing w:after="0"/>
        <w:rPr>
          <w:rFonts w:ascii="Arial" w:hAnsi="Arial" w:cs="Arial"/>
          <w:i/>
        </w:rPr>
      </w:pPr>
    </w:p>
    <w:p w14:paraId="4243EFAD" w14:textId="7E5CFE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4E9365" w14:textId="77777777" w:rsidR="00790ADA" w:rsidRPr="00FB3A86" w:rsidRDefault="00790ADA" w:rsidP="00441B6F">
      <w:pPr>
        <w:pStyle w:val="AbstHead"/>
        <w:spacing w:after="0"/>
        <w:jc w:val="both"/>
        <w:rPr>
          <w:rFonts w:ascii="Arial" w:hAnsi="Arial" w:cs="Arial"/>
        </w:rPr>
      </w:pPr>
    </w:p>
    <w:p w14:paraId="148EEC65" w14:textId="285673CF" w:rsidR="00790ADA" w:rsidRDefault="00CB242E" w:rsidP="00441B6F">
      <w:pPr>
        <w:pStyle w:val="Body"/>
        <w:spacing w:after="0"/>
        <w:rPr>
          <w:rFonts w:ascii="Arial" w:hAnsi="Arial" w:cs="Arial"/>
        </w:rPr>
      </w:pPr>
      <w:r w:rsidRPr="00CB242E">
        <w:rPr>
          <w:rFonts w:ascii="Arial" w:hAnsi="Arial" w:cs="Arial"/>
        </w:rPr>
        <w:t xml:space="preserve">Climate change is deeply affecting the agriculture and the economy of rural communities across the globe (Tolulope et al., 2025). Rising temperatures (Verma &amp; Sudan, 2021) and alterations in weather patterns (Ahmad et al., 2022) are threatening the livelihoods of the majority of smallholder and rural farmers, as they are affecting crop yields and livestock productivity (Gokul et al., 2025). Climate stress results in significant economic impairment (Nie et al., 2024) and loss of food security (Adekunle et al., 2024) by impacting agricultural productivity. </w:t>
      </w:r>
      <w:r w:rsidR="00E411F4">
        <w:rPr>
          <w:rFonts w:ascii="Arial" w:hAnsi="Arial" w:cs="Arial"/>
        </w:rPr>
        <w:t xml:space="preserve">As a result, rural regions that depend on </w:t>
      </w:r>
      <w:r w:rsidR="00B32215">
        <w:rPr>
          <w:rFonts w:ascii="Arial" w:hAnsi="Arial" w:cs="Arial"/>
        </w:rPr>
        <w:t xml:space="preserve">traditional </w:t>
      </w:r>
      <w:r w:rsidR="00E411F4">
        <w:rPr>
          <w:rFonts w:ascii="Arial" w:hAnsi="Arial" w:cs="Arial"/>
        </w:rPr>
        <w:t xml:space="preserve">agriculture </w:t>
      </w:r>
      <w:r w:rsidR="00B32215">
        <w:rPr>
          <w:rFonts w:ascii="Arial" w:hAnsi="Arial" w:cs="Arial"/>
        </w:rPr>
        <w:t>practices with limited climate adaptation</w:t>
      </w:r>
      <w:r w:rsidR="00E411F4">
        <w:rPr>
          <w:rFonts w:ascii="Arial" w:hAnsi="Arial" w:cs="Arial"/>
        </w:rPr>
        <w:t xml:space="preserve"> </w:t>
      </w:r>
      <w:r w:rsidR="00B32215">
        <w:rPr>
          <w:rFonts w:ascii="Arial" w:hAnsi="Arial" w:cs="Arial"/>
        </w:rPr>
        <w:t xml:space="preserve">experience </w:t>
      </w:r>
      <w:r w:rsidR="00E411F4">
        <w:rPr>
          <w:rFonts w:ascii="Arial" w:hAnsi="Arial" w:cs="Arial"/>
        </w:rPr>
        <w:t>a decline in farm income, leading to</w:t>
      </w:r>
      <w:r w:rsidRPr="00CB242E">
        <w:rPr>
          <w:rFonts w:ascii="Arial" w:hAnsi="Arial" w:cs="Arial"/>
        </w:rPr>
        <w:t xml:space="preserve"> rural poverty and food insecurity (</w:t>
      </w:r>
      <w:proofErr w:type="spellStart"/>
      <w:r w:rsidRPr="00CB242E">
        <w:rPr>
          <w:rFonts w:ascii="Arial" w:hAnsi="Arial" w:cs="Arial"/>
        </w:rPr>
        <w:t>Neglo</w:t>
      </w:r>
      <w:proofErr w:type="spellEnd"/>
      <w:r w:rsidRPr="00CB242E">
        <w:rPr>
          <w:rFonts w:ascii="Arial" w:hAnsi="Arial" w:cs="Arial"/>
        </w:rPr>
        <w:t xml:space="preserve"> et al., 2021). Overall, climate change, agricultural sustainability, and rural livelihoods are closely interconnected (Abebaw, 2025; Das &amp; Ansari, 2021). In this context, carbon credits and the valuation of ecosystem services become mechanisms to bring environmental and development goals together. By placing an economic price on carbon sequestration and non-market ecosystem values can generate funds and incentives for sustainable agriculture (Bhattacharyya et al., 2022). </w:t>
      </w:r>
      <w:proofErr w:type="spellStart"/>
      <w:r w:rsidRPr="00CB242E">
        <w:rPr>
          <w:rFonts w:ascii="Arial" w:hAnsi="Arial" w:cs="Arial"/>
        </w:rPr>
        <w:t>Pigovian</w:t>
      </w:r>
      <w:proofErr w:type="spellEnd"/>
      <w:r w:rsidRPr="00CB242E">
        <w:rPr>
          <w:rFonts w:ascii="Arial" w:hAnsi="Arial" w:cs="Arial"/>
        </w:rPr>
        <w:t xml:space="preserve"> tax-like mechanisms and carbon credit markets (Metcalf, 2021) can pay farmers for the adoption of carbon-sequestering measures such as soil conservation and agroforestry, increasing farm incomes (Barbato &amp; Strong, 2023). Similarly, Payments for ecosystem services (PES) acknowledge non-market values of healthy soil, diverse wildlife habitats, and clean water and pay </w:t>
      </w:r>
      <w:r w:rsidRPr="00CB242E">
        <w:rPr>
          <w:rFonts w:ascii="Arial" w:hAnsi="Arial" w:cs="Arial"/>
        </w:rPr>
        <w:lastRenderedPageBreak/>
        <w:t xml:space="preserve">stewards of land for conserving and restoring these. Together, carbon and ecosystem payments can enable agricultural emissions and degradation reduction and still contribute to rural development (Strauss et al., 2024). As Scheid (2023) points out, new schemes of carbon farming provide the possibility of protecting and restoring native ecosystems, with biodiversity benefits, and can bring tens of billions of </w:t>
      </w:r>
      <w:proofErr w:type="gramStart"/>
      <w:r w:rsidRPr="00CB242E">
        <w:rPr>
          <w:rFonts w:ascii="Arial" w:hAnsi="Arial" w:cs="Arial"/>
        </w:rPr>
        <w:t>revenue</w:t>
      </w:r>
      <w:proofErr w:type="gramEnd"/>
      <w:r w:rsidRPr="00CB242E">
        <w:rPr>
          <w:rFonts w:ascii="Arial" w:hAnsi="Arial" w:cs="Arial"/>
        </w:rPr>
        <w:t xml:space="preserve"> to farmers. Through this </w:t>
      </w:r>
      <w:r w:rsidR="00E411F4">
        <w:rPr>
          <w:rFonts w:ascii="Arial" w:hAnsi="Arial" w:cs="Arial"/>
        </w:rPr>
        <w:t xml:space="preserve">global perspective </w:t>
      </w:r>
      <w:r w:rsidR="0086622E">
        <w:rPr>
          <w:rFonts w:ascii="Arial" w:hAnsi="Arial" w:cs="Arial"/>
        </w:rPr>
        <w:t xml:space="preserve">and narrative-based integrative </w:t>
      </w:r>
      <w:r w:rsidR="00E411F4">
        <w:rPr>
          <w:rFonts w:ascii="Arial" w:hAnsi="Arial" w:cs="Arial"/>
        </w:rPr>
        <w:t xml:space="preserve">review, we determine how integrated valuation of carbon and ecosystem services can promote the </w:t>
      </w:r>
      <w:r w:rsidRPr="00CB242E">
        <w:rPr>
          <w:rFonts w:ascii="Arial" w:hAnsi="Arial" w:cs="Arial"/>
        </w:rPr>
        <w:t>attainment of climate and development outcomes at the rural scale.</w:t>
      </w:r>
      <w:r w:rsidR="0086622E">
        <w:rPr>
          <w:rFonts w:ascii="Arial" w:hAnsi="Arial" w:cs="Arial"/>
        </w:rPr>
        <w:t xml:space="preserve"> </w:t>
      </w:r>
    </w:p>
    <w:p w14:paraId="7DBE9DD1" w14:textId="77777777" w:rsidR="00CB242E" w:rsidRPr="00FB3A86" w:rsidRDefault="00CB242E" w:rsidP="00441B6F">
      <w:pPr>
        <w:pStyle w:val="Body"/>
        <w:spacing w:after="0"/>
        <w:rPr>
          <w:rFonts w:ascii="Arial" w:hAnsi="Arial" w:cs="Arial"/>
        </w:rPr>
      </w:pPr>
    </w:p>
    <w:p w14:paraId="4A0F88CD" w14:textId="1742EAD6" w:rsidR="007F7B32" w:rsidRDefault="00902823" w:rsidP="00441B6F">
      <w:pPr>
        <w:pStyle w:val="AbstHead"/>
        <w:spacing w:after="0"/>
        <w:jc w:val="both"/>
        <w:rPr>
          <w:rFonts w:ascii="Arial" w:hAnsi="Arial" w:cs="Arial"/>
        </w:rPr>
      </w:pPr>
      <w:r>
        <w:rPr>
          <w:rFonts w:ascii="Arial" w:hAnsi="Arial" w:cs="Arial"/>
        </w:rPr>
        <w:t xml:space="preserve">2. </w:t>
      </w:r>
      <w:r w:rsidR="00E411F4" w:rsidRPr="00E411F4">
        <w:rPr>
          <w:rFonts w:ascii="Arial" w:hAnsi="Arial" w:cs="Arial"/>
        </w:rPr>
        <w:t xml:space="preserve">The Economics of Carbon Credits: </w:t>
      </w:r>
    </w:p>
    <w:p w14:paraId="50FFFD75" w14:textId="77777777" w:rsidR="00790ADA" w:rsidRPr="00FB3A86" w:rsidRDefault="00790ADA" w:rsidP="00441B6F">
      <w:pPr>
        <w:pStyle w:val="AbstHead"/>
        <w:spacing w:after="0"/>
        <w:jc w:val="both"/>
        <w:rPr>
          <w:rFonts w:ascii="Arial" w:hAnsi="Arial" w:cs="Arial"/>
        </w:rPr>
      </w:pPr>
    </w:p>
    <w:p w14:paraId="536548E9" w14:textId="4821E22E" w:rsidR="00790ADA" w:rsidRDefault="00E411F4" w:rsidP="00441B6F">
      <w:pPr>
        <w:pStyle w:val="Body"/>
        <w:spacing w:after="0"/>
        <w:rPr>
          <w:rFonts w:ascii="Arial" w:hAnsi="Arial" w:cs="Arial"/>
        </w:rPr>
      </w:pPr>
      <w:r w:rsidRPr="00E411F4">
        <w:rPr>
          <w:rFonts w:ascii="Arial" w:hAnsi="Arial" w:cs="Arial"/>
        </w:rPr>
        <w:t xml:space="preserve">Carbon markets aim to internalize the climate costs of emissions by putting a price on carbon emissions (Wags &amp; Ifeanyi, 2024). Compliance markets such as the EU Emissions Trading System (Jo, 2021) and China’s national ETS (Li et al., 2022) are legally mandated cap and trade systems and taxes, covering large emitters and often excluding agriculture directly. Voluntary carbon markets operate through external regulation: private firms and individuals purchase carbon credits, each representing 1 </w:t>
      </w:r>
      <w:proofErr w:type="spellStart"/>
      <w:r w:rsidRPr="00E411F4">
        <w:rPr>
          <w:rFonts w:ascii="Arial" w:hAnsi="Arial" w:cs="Arial"/>
        </w:rPr>
        <w:t>tonne</w:t>
      </w:r>
      <w:proofErr w:type="spellEnd"/>
      <w:r w:rsidRPr="00E411F4">
        <w:rPr>
          <w:rFonts w:ascii="Arial" w:hAnsi="Arial" w:cs="Arial"/>
        </w:rPr>
        <w:t xml:space="preserve"> of carbon dioxide equivalent (</w:t>
      </w:r>
      <w:proofErr w:type="spellStart"/>
      <w:r w:rsidRPr="00E411F4">
        <w:rPr>
          <w:rFonts w:ascii="Arial" w:hAnsi="Arial" w:cs="Arial"/>
        </w:rPr>
        <w:t>CO</w:t>
      </w:r>
      <w:r w:rsidRPr="00E411F4">
        <w:rPr>
          <w:rFonts w:ascii="Cambria Math" w:hAnsi="Cambria Math" w:cs="Cambria Math"/>
        </w:rPr>
        <w:t>₂</w:t>
      </w:r>
      <w:r w:rsidRPr="00E411F4">
        <w:rPr>
          <w:rFonts w:ascii="Arial" w:hAnsi="Arial" w:cs="Arial"/>
        </w:rPr>
        <w:t>e</w:t>
      </w:r>
      <w:proofErr w:type="spellEnd"/>
      <w:r w:rsidRPr="00E411F4">
        <w:rPr>
          <w:rFonts w:ascii="Arial" w:hAnsi="Arial" w:cs="Arial"/>
        </w:rPr>
        <w:t>) removed to meet corporate climate targets (</w:t>
      </w:r>
      <w:proofErr w:type="spellStart"/>
      <w:r w:rsidRPr="00E411F4">
        <w:rPr>
          <w:rFonts w:ascii="Arial" w:hAnsi="Arial" w:cs="Arial"/>
        </w:rPr>
        <w:t>Battocletti</w:t>
      </w:r>
      <w:proofErr w:type="spellEnd"/>
      <w:r w:rsidRPr="00E411F4">
        <w:rPr>
          <w:rFonts w:ascii="Arial" w:hAnsi="Arial" w:cs="Arial"/>
        </w:rPr>
        <w:t>, 2025). Indicatively, the World Bank reports that as of 2022, carbon taxes and trading schemes cover about 23% of global GHG emissions (World Bank Group, 2023). Carbon pricing can be an effective way to incorporate the costs of climate change into economic decision-making, thus theoretically leading to more socially efficient outcomes and higher social welfare. In practice, compliance schemes raise substantial revenue, roughly $95 billion in carbon taxes and ETS revenues in 2022, which governments can reinvest in clean technology and rural development (Taheri, 2025; World Bank Group, 2023; Zhang, 2025). Agriculture’s relevance is twofold. First, agri</w:t>
      </w:r>
      <w:r w:rsidRPr="00E411F4">
        <w:rPr>
          <w:rFonts w:ascii="Cambria Math" w:hAnsi="Cambria Math" w:cs="Cambria Math"/>
        </w:rPr>
        <w:t>‐</w:t>
      </w:r>
      <w:r w:rsidRPr="00E411F4">
        <w:rPr>
          <w:rFonts w:ascii="Arial" w:hAnsi="Arial" w:cs="Arial"/>
        </w:rPr>
        <w:t xml:space="preserve">food systems are major emitters: roughly one-third of anthropogenic GHG emissions stem from farming and land use (Food and Agriculture Organization of the United Nations, 2024). Methane and nitrous oxide dominate agricultural GHGs (OECD, 2022). Thus, including agriculture in carbon pricing could yield climate benefits, for instance, reducing methane from livestock </w:t>
      </w:r>
      <w:r>
        <w:rPr>
          <w:rFonts w:ascii="Arial" w:hAnsi="Arial" w:cs="Arial"/>
        </w:rPr>
        <w:t>and</w:t>
      </w:r>
      <w:r w:rsidRPr="00E411F4">
        <w:rPr>
          <w:rFonts w:ascii="Arial" w:hAnsi="Arial" w:cs="Arial"/>
        </w:rPr>
        <w:t xml:space="preserve"> fertili</w:t>
      </w:r>
      <w:r>
        <w:rPr>
          <w:rFonts w:ascii="Arial" w:hAnsi="Arial" w:cs="Arial"/>
        </w:rPr>
        <w:t>z</w:t>
      </w:r>
      <w:r w:rsidRPr="00E411F4">
        <w:rPr>
          <w:rFonts w:ascii="Arial" w:hAnsi="Arial" w:cs="Arial"/>
        </w:rPr>
        <w:t>er use. Second, agriculture offers a large carbon sequestration potential. Soil and woody biomass carbon in croplands and pastures can absorb CO</w:t>
      </w:r>
      <w:r w:rsidRPr="00E411F4">
        <w:rPr>
          <w:rFonts w:ascii="Cambria Math" w:hAnsi="Cambria Math" w:cs="Cambria Math"/>
        </w:rPr>
        <w:t>₂</w:t>
      </w:r>
      <w:r w:rsidRPr="00E411F4">
        <w:rPr>
          <w:rFonts w:ascii="Arial" w:hAnsi="Arial" w:cs="Arial"/>
        </w:rPr>
        <w:t xml:space="preserve"> if managed well. UNCTAD puts the Uruguay hypothesis of least-developed countries’ untapped agricultural carbon credits at 2% of annual global emissions, subject to sufficient project access and adequate carbon prices (UNCTAD, 2024). Overall, theoretically speaking, carbon markets can offer price incentives for farmers' climate-resilient agriculture (Yusof, 2025). However, designing mechanisms that align welfare economics by maximizing net social benefits with on</w:t>
      </w:r>
      <w:r w:rsidRPr="00E411F4">
        <w:rPr>
          <w:rFonts w:ascii="Cambria Math" w:hAnsi="Cambria Math" w:cs="Cambria Math"/>
        </w:rPr>
        <w:t>‐</w:t>
      </w:r>
      <w:r w:rsidRPr="00E411F4">
        <w:rPr>
          <w:rFonts w:ascii="Arial" w:hAnsi="Arial" w:cs="Arial"/>
        </w:rPr>
        <w:t>the</w:t>
      </w:r>
      <w:r w:rsidRPr="00E411F4">
        <w:rPr>
          <w:rFonts w:ascii="Cambria Math" w:hAnsi="Cambria Math" w:cs="Cambria Math"/>
        </w:rPr>
        <w:t>‐</w:t>
      </w:r>
      <w:r w:rsidRPr="00E411F4">
        <w:rPr>
          <w:rFonts w:ascii="Arial" w:hAnsi="Arial" w:cs="Arial"/>
        </w:rPr>
        <w:t>ground realities, such as market failures, transaction costs, remains a key challenge (Shin, 2016). The following figure (Fig. 1) illustrates the conceptual flowchart of the carbon credit mechanism, outlining the sequential processes involved from project implementation to credit generation and market transaction.</w:t>
      </w:r>
    </w:p>
    <w:p w14:paraId="03165869" w14:textId="1B7DAA12" w:rsidR="00E411F4" w:rsidRDefault="00E411F4" w:rsidP="00441B6F">
      <w:pPr>
        <w:pStyle w:val="Body"/>
        <w:spacing w:after="0"/>
        <w:rPr>
          <w:rFonts w:ascii="Arial" w:hAnsi="Arial" w:cs="Arial"/>
        </w:rPr>
      </w:pPr>
      <w:r>
        <w:rPr>
          <w:noProof/>
        </w:rPr>
        <w:lastRenderedPageBreak/>
        <w:drawing>
          <wp:inline distT="0" distB="0" distL="0" distR="0" wp14:anchorId="3EF2478F" wp14:editId="6FB01CAD">
            <wp:extent cx="4736776" cy="2547691"/>
            <wp:effectExtent l="0" t="0" r="635" b="5080"/>
            <wp:docPr id="135518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3266" cy="2567317"/>
                    </a:xfrm>
                    <a:prstGeom prst="rect">
                      <a:avLst/>
                    </a:prstGeom>
                    <a:noFill/>
                    <a:ln>
                      <a:noFill/>
                    </a:ln>
                  </pic:spPr>
                </pic:pic>
              </a:graphicData>
            </a:graphic>
          </wp:inline>
        </w:drawing>
      </w:r>
    </w:p>
    <w:p w14:paraId="7B026E33" w14:textId="6B54C177" w:rsidR="00E411F4" w:rsidRDefault="00E411F4" w:rsidP="00441B6F">
      <w:pPr>
        <w:pStyle w:val="Body"/>
        <w:spacing w:after="0"/>
        <w:rPr>
          <w:rFonts w:ascii="Arial" w:hAnsi="Arial" w:cs="Arial"/>
        </w:rPr>
      </w:pPr>
      <w:r w:rsidRPr="00E411F4">
        <w:rPr>
          <w:rFonts w:ascii="Arial" w:hAnsi="Arial" w:cs="Arial"/>
        </w:rPr>
        <w:t>Fig. 1: Economic Flow of Carbon Credits in Agricultural Systems (Cariappa et al., 2024; Hameed et al., 2025; Yucheng, 2024)</w:t>
      </w:r>
    </w:p>
    <w:p w14:paraId="2A88DDDD" w14:textId="77777777" w:rsidR="00E411F4" w:rsidRPr="00FB3A86" w:rsidRDefault="00E411F4" w:rsidP="00441B6F">
      <w:pPr>
        <w:pStyle w:val="Body"/>
        <w:spacing w:after="0"/>
        <w:rPr>
          <w:rFonts w:ascii="Arial" w:hAnsi="Arial" w:cs="Arial"/>
        </w:rPr>
      </w:pPr>
    </w:p>
    <w:p w14:paraId="0AC94806" w14:textId="598B5FC0" w:rsidR="00505F06" w:rsidRDefault="00E411F4" w:rsidP="00441B6F">
      <w:pPr>
        <w:pStyle w:val="Body"/>
        <w:spacing w:after="0"/>
        <w:rPr>
          <w:rFonts w:ascii="Arial" w:hAnsi="Arial" w:cs="Arial"/>
          <w:b/>
          <w:caps/>
          <w:sz w:val="22"/>
        </w:rPr>
      </w:pPr>
      <w:r w:rsidRPr="00E411F4">
        <w:rPr>
          <w:rFonts w:ascii="Arial" w:hAnsi="Arial" w:cs="Arial"/>
          <w:b/>
          <w:caps/>
          <w:sz w:val="22"/>
        </w:rPr>
        <w:t>3. Ecosystem Service Valuation (ESV):</w:t>
      </w:r>
    </w:p>
    <w:p w14:paraId="05567074" w14:textId="77777777" w:rsidR="00E411F4" w:rsidRDefault="00E411F4" w:rsidP="00441B6F">
      <w:pPr>
        <w:pStyle w:val="Body"/>
        <w:spacing w:after="0"/>
        <w:rPr>
          <w:rFonts w:ascii="Arial" w:hAnsi="Arial" w:cs="Arial"/>
          <w:b/>
          <w:caps/>
          <w:sz w:val="22"/>
        </w:rPr>
      </w:pPr>
    </w:p>
    <w:p w14:paraId="5EA8C371" w14:textId="77777777" w:rsidR="00E411F4" w:rsidRPr="00E411F4" w:rsidRDefault="00E411F4" w:rsidP="00E411F4">
      <w:pPr>
        <w:pStyle w:val="Body"/>
        <w:rPr>
          <w:rFonts w:ascii="Arial" w:hAnsi="Arial" w:cs="Arial"/>
        </w:rPr>
      </w:pPr>
      <w:r w:rsidRPr="00E411F4">
        <w:rPr>
          <w:rFonts w:ascii="Arial" w:hAnsi="Arial" w:cs="Arial"/>
        </w:rPr>
        <w:t xml:space="preserve">Ecosystem services (ES) are generally divided into four categories: provisioning services that include utilizable products like food, </w:t>
      </w:r>
      <w:proofErr w:type="spellStart"/>
      <w:r w:rsidRPr="00E411F4">
        <w:rPr>
          <w:rFonts w:ascii="Arial" w:hAnsi="Arial" w:cs="Arial"/>
        </w:rPr>
        <w:t>fibre</w:t>
      </w:r>
      <w:proofErr w:type="spellEnd"/>
      <w:r w:rsidRPr="00E411F4">
        <w:rPr>
          <w:rFonts w:ascii="Arial" w:hAnsi="Arial" w:cs="Arial"/>
        </w:rPr>
        <w:t>, fresh water, regulating services that include weather and flood control, pollination, water purification, cultural services including use of recreation, aesthetic and spiritual values, and supporting services such as soil development, nutrient cycles (</w:t>
      </w:r>
      <w:proofErr w:type="spellStart"/>
      <w:r w:rsidRPr="00E411F4">
        <w:rPr>
          <w:rFonts w:ascii="Arial" w:hAnsi="Arial" w:cs="Arial"/>
        </w:rPr>
        <w:t>Finisdore</w:t>
      </w:r>
      <w:proofErr w:type="spellEnd"/>
      <w:r w:rsidRPr="00E411F4">
        <w:rPr>
          <w:rFonts w:ascii="Arial" w:hAnsi="Arial" w:cs="Arial"/>
        </w:rPr>
        <w:t xml:space="preserve"> et al., 2020; La Notte et al., 2017; Obiang Ndong et al., 2020; Sattler et al., 2013). They contribute both to agricultural productivity and rural livelihoods (Zhou et al., 2023), but practically all of them are not traded. Valuation methods attempt to quantify ecosystem services in monetary terms: they include revealed preference techniques (Bateman &amp; Kling, 2020), stated preference methods (Barkmann et al., 2008), and production-function approaches (</w:t>
      </w:r>
      <w:proofErr w:type="spellStart"/>
      <w:r w:rsidRPr="00E411F4">
        <w:rPr>
          <w:rFonts w:ascii="Arial" w:hAnsi="Arial" w:cs="Arial"/>
        </w:rPr>
        <w:t>Grammatikopoulou</w:t>
      </w:r>
      <w:proofErr w:type="spellEnd"/>
      <w:r w:rsidRPr="00E411F4">
        <w:rPr>
          <w:rFonts w:ascii="Arial" w:hAnsi="Arial" w:cs="Arial"/>
        </w:rPr>
        <w:t xml:space="preserve"> et al., 2024) linking ecosystem inputs to market outputs and benefit-transfer. Direct market prices and cost-based methods are also used when applicable. The choice of method depends on data and context.</w:t>
      </w:r>
    </w:p>
    <w:p w14:paraId="08B6728B" w14:textId="0B5E9BD9" w:rsidR="00E411F4" w:rsidRDefault="00E411F4" w:rsidP="00E411F4">
      <w:pPr>
        <w:pStyle w:val="Body"/>
        <w:spacing w:after="0"/>
        <w:rPr>
          <w:rFonts w:ascii="Arial" w:hAnsi="Arial" w:cs="Arial"/>
        </w:rPr>
      </w:pPr>
      <w:r w:rsidRPr="00E411F4">
        <w:rPr>
          <w:rFonts w:ascii="Arial" w:hAnsi="Arial" w:cs="Arial"/>
        </w:rPr>
        <w:t>Guerry et al. (2015) argue that assigning monetary values to nature helps inform policy and draws attention to ecosystems’ hidden advantages. Manero et al. (2022) doubts about the accuracy of non-market valuation or caution about the moral and methodological dangers of commodifying nature. However, valuing ecosystem services provides important signals: assigning economic worth to soil fertility (</w:t>
      </w:r>
      <w:proofErr w:type="spellStart"/>
      <w:r w:rsidRPr="00E411F4">
        <w:rPr>
          <w:rFonts w:ascii="Arial" w:hAnsi="Arial" w:cs="Arial"/>
        </w:rPr>
        <w:t>Baveye</w:t>
      </w:r>
      <w:proofErr w:type="spellEnd"/>
      <w:r w:rsidRPr="00E411F4">
        <w:rPr>
          <w:rFonts w:ascii="Arial" w:hAnsi="Arial" w:cs="Arial"/>
        </w:rPr>
        <w:t xml:space="preserve"> et al., 2016), biodiversity (Paul et al., 2020) and water regulation (</w:t>
      </w:r>
      <w:proofErr w:type="spellStart"/>
      <w:r w:rsidRPr="00E411F4">
        <w:rPr>
          <w:rFonts w:ascii="Arial" w:hAnsi="Arial" w:cs="Arial"/>
        </w:rPr>
        <w:t>Grizzetti</w:t>
      </w:r>
      <w:proofErr w:type="spellEnd"/>
      <w:r w:rsidRPr="00E411F4">
        <w:rPr>
          <w:rFonts w:ascii="Arial" w:hAnsi="Arial" w:cs="Arial"/>
        </w:rPr>
        <w:t xml:space="preserve"> et al., 2016), it can reveal how conservation enhances rural well-being and guide cost–benefit analysis of agricultural interventions, including trade-offs with production (Cavender-Bares et al., 2015). The Ecosystem Service Valuation pyramid in (Fig. 2) depicts the four categories of ecosystem services, emphasizing their economic value hierarchy.</w:t>
      </w:r>
    </w:p>
    <w:p w14:paraId="15E14D15" w14:textId="2161B748" w:rsidR="00E411F4" w:rsidRDefault="00E411F4" w:rsidP="00E411F4">
      <w:pPr>
        <w:pStyle w:val="Body"/>
        <w:spacing w:after="0"/>
        <w:rPr>
          <w:rFonts w:ascii="Arial" w:hAnsi="Arial" w:cs="Arial"/>
        </w:rPr>
      </w:pPr>
      <w:r>
        <w:rPr>
          <w:noProof/>
        </w:rPr>
        <w:lastRenderedPageBreak/>
        <w:drawing>
          <wp:inline distT="0" distB="0" distL="0" distR="0" wp14:anchorId="3CC10D8A" wp14:editId="37C44CF3">
            <wp:extent cx="5212080" cy="2179002"/>
            <wp:effectExtent l="0" t="0" r="0" b="0"/>
            <wp:docPr id="1151902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0959" r="1127" b="13825"/>
                    <a:stretch>
                      <a:fillRect/>
                    </a:stretch>
                  </pic:blipFill>
                  <pic:spPr bwMode="auto">
                    <a:xfrm>
                      <a:off x="0" y="0"/>
                      <a:ext cx="5212080" cy="2179002"/>
                    </a:xfrm>
                    <a:prstGeom prst="rect">
                      <a:avLst/>
                    </a:prstGeom>
                    <a:noFill/>
                    <a:ln>
                      <a:noFill/>
                    </a:ln>
                    <a:extLst>
                      <a:ext uri="{53640926-AAD7-44D8-BBD7-CCE9431645EC}">
                        <a14:shadowObscured xmlns:a14="http://schemas.microsoft.com/office/drawing/2010/main"/>
                      </a:ext>
                    </a:extLst>
                  </pic:spPr>
                </pic:pic>
              </a:graphicData>
            </a:graphic>
          </wp:inline>
        </w:drawing>
      </w:r>
    </w:p>
    <w:p w14:paraId="6B1FF2BA" w14:textId="0F2177AD" w:rsidR="00E411F4" w:rsidRDefault="00E411F4" w:rsidP="00E411F4">
      <w:pPr>
        <w:pStyle w:val="Body"/>
        <w:spacing w:after="0"/>
        <w:rPr>
          <w:rFonts w:ascii="Arial" w:hAnsi="Arial" w:cs="Arial"/>
        </w:rPr>
      </w:pPr>
      <w:r w:rsidRPr="00E411F4">
        <w:rPr>
          <w:rFonts w:ascii="Arial" w:hAnsi="Arial" w:cs="Arial"/>
        </w:rPr>
        <w:t>Fig. 2: Hierarchy of Ecosystem Services and Their Economic Value (</w:t>
      </w:r>
      <w:proofErr w:type="spellStart"/>
      <w:r w:rsidRPr="00E411F4">
        <w:rPr>
          <w:rFonts w:ascii="Arial" w:hAnsi="Arial" w:cs="Arial"/>
        </w:rPr>
        <w:t>Behboudian</w:t>
      </w:r>
      <w:proofErr w:type="spellEnd"/>
      <w:r w:rsidRPr="00E411F4">
        <w:rPr>
          <w:rFonts w:ascii="Arial" w:hAnsi="Arial" w:cs="Arial"/>
        </w:rPr>
        <w:t xml:space="preserve"> et al., 2021; </w:t>
      </w:r>
      <w:proofErr w:type="spellStart"/>
      <w:r w:rsidRPr="00E411F4">
        <w:rPr>
          <w:rFonts w:ascii="Arial" w:hAnsi="Arial" w:cs="Arial"/>
        </w:rPr>
        <w:t>Heckwolf</w:t>
      </w:r>
      <w:proofErr w:type="spellEnd"/>
      <w:r w:rsidRPr="00E411F4">
        <w:rPr>
          <w:rFonts w:ascii="Arial" w:hAnsi="Arial" w:cs="Arial"/>
        </w:rPr>
        <w:t xml:space="preserve"> et al., 2021; Lim, 2022)</w:t>
      </w:r>
    </w:p>
    <w:p w14:paraId="483FA8B9" w14:textId="77777777" w:rsidR="00E411F4" w:rsidRDefault="00E411F4" w:rsidP="00E411F4">
      <w:pPr>
        <w:pStyle w:val="Body"/>
        <w:spacing w:after="0"/>
        <w:rPr>
          <w:rFonts w:ascii="Arial" w:hAnsi="Arial" w:cs="Arial"/>
        </w:rPr>
      </w:pPr>
    </w:p>
    <w:p w14:paraId="64122192" w14:textId="789A4136" w:rsidR="00E411F4" w:rsidRDefault="00E411F4" w:rsidP="00441B6F">
      <w:pPr>
        <w:pStyle w:val="Head1"/>
        <w:spacing w:after="0"/>
        <w:jc w:val="both"/>
        <w:rPr>
          <w:rFonts w:ascii="Arial" w:hAnsi="Arial" w:cs="Arial"/>
        </w:rPr>
      </w:pPr>
      <w:r w:rsidRPr="00E411F4">
        <w:rPr>
          <w:rFonts w:ascii="Arial" w:hAnsi="Arial" w:cs="Arial"/>
        </w:rPr>
        <w:t>4. Livelihood Diversification through Carbon Credit and Payment to Ecosystem Service (PES) Revenues</w:t>
      </w:r>
    </w:p>
    <w:p w14:paraId="1ED368A4" w14:textId="77777777" w:rsidR="00790ADA" w:rsidRPr="00FB3A86" w:rsidRDefault="00790ADA" w:rsidP="00441B6F">
      <w:pPr>
        <w:pStyle w:val="Head1"/>
        <w:spacing w:after="0"/>
        <w:jc w:val="both"/>
        <w:rPr>
          <w:rFonts w:ascii="Arial" w:hAnsi="Arial" w:cs="Arial"/>
        </w:rPr>
      </w:pPr>
    </w:p>
    <w:p w14:paraId="602D5AA7" w14:textId="416BE34E" w:rsidR="00790ADA" w:rsidRDefault="00E411F4" w:rsidP="00441B6F">
      <w:pPr>
        <w:pStyle w:val="Body"/>
        <w:spacing w:after="0"/>
        <w:rPr>
          <w:rFonts w:ascii="Arial" w:hAnsi="Arial" w:cs="Arial"/>
        </w:rPr>
      </w:pPr>
      <w:r w:rsidRPr="00E411F4">
        <w:rPr>
          <w:rFonts w:ascii="Arial" w:hAnsi="Arial" w:cs="Arial"/>
        </w:rPr>
        <w:t>Carbon-credit and PES schemes have the potential to create new income for farming households through incentives for agroforestry (Awazi et al., 2025), soil restoration (Meena et al., 2024), and watershed management (Connor et al., 2022). Indicatively, agroforestry can offer timber, fruit and fodder products in addition to crops, hence diversifying farm income (Kassie, 2017). Smallholder agroforestry with carbon payments and PES in Ethiopia generated around 28 percent</w:t>
      </w:r>
      <w:r w:rsidR="00D2432A">
        <w:rPr>
          <w:rFonts w:ascii="Arial" w:hAnsi="Arial" w:cs="Arial"/>
        </w:rPr>
        <w:t>age</w:t>
      </w:r>
      <w:r w:rsidRPr="00E411F4">
        <w:rPr>
          <w:rFonts w:ascii="Arial" w:hAnsi="Arial" w:cs="Arial"/>
        </w:rPr>
        <w:t xml:space="preserve"> of household income, which substantially reduced poverty rates (</w:t>
      </w:r>
      <w:proofErr w:type="spellStart"/>
      <w:r w:rsidRPr="00E411F4">
        <w:rPr>
          <w:rFonts w:ascii="Arial" w:hAnsi="Arial" w:cs="Arial"/>
        </w:rPr>
        <w:t>Tebkew</w:t>
      </w:r>
      <w:proofErr w:type="spellEnd"/>
      <w:r w:rsidRPr="00E411F4">
        <w:rPr>
          <w:rFonts w:ascii="Arial" w:hAnsi="Arial" w:cs="Arial"/>
        </w:rPr>
        <w:t xml:space="preserve"> et al., 2024). The Grain-for-Green (PES) scheme of China provided alternative livelihoods to farmers that can offset the losses caused by reduced crop area (Li &amp; Zander, 2020). PES schemes encourage households to diversify their livelihood and farming by combining environmental regulations with resource access (Wegner, 2016). This diversification safeguards from income risk: in times of crop failures, carbon and PES profits act as a safety net, creating resilience (Li &amp; Zander, 2020). </w:t>
      </w:r>
    </w:p>
    <w:p w14:paraId="366B41C6" w14:textId="77777777" w:rsidR="00E411F4" w:rsidRDefault="00E411F4" w:rsidP="00441B6F">
      <w:pPr>
        <w:pStyle w:val="Body"/>
        <w:spacing w:after="0"/>
        <w:rPr>
          <w:rFonts w:ascii="Arial" w:hAnsi="Arial" w:cs="Arial"/>
        </w:rPr>
      </w:pPr>
    </w:p>
    <w:p w14:paraId="554B4BD4"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 xml:space="preserve">5. </w:t>
      </w:r>
      <w:bookmarkStart w:id="0" w:name="_Hlk215219095"/>
      <w:r w:rsidRPr="00E411F4">
        <w:rPr>
          <w:rFonts w:ascii="Arial" w:hAnsi="Arial" w:cs="Arial"/>
          <w:b/>
          <w:bCs/>
          <w:sz w:val="22"/>
          <w:szCs w:val="22"/>
        </w:rPr>
        <w:t>Poverty Alleviation, Resilience, and Welfare Gains</w:t>
      </w:r>
      <w:bookmarkEnd w:id="0"/>
    </w:p>
    <w:p w14:paraId="443929EF" w14:textId="3B5FBD80" w:rsidR="00E411F4" w:rsidRDefault="00E411F4" w:rsidP="00441B6F">
      <w:pPr>
        <w:pStyle w:val="Body"/>
        <w:spacing w:after="0"/>
        <w:rPr>
          <w:rFonts w:ascii="Arial" w:hAnsi="Arial" w:cs="Arial"/>
        </w:rPr>
      </w:pPr>
      <w:r w:rsidRPr="00E411F4">
        <w:rPr>
          <w:rFonts w:ascii="Arial" w:hAnsi="Arial" w:cs="Arial"/>
        </w:rPr>
        <w:t>Carbon payments and new PES are frequently directly transferred to rural families, increasing household income (Wang et al., 2017). These funds are a significant factor for welfare enhancement: in Ethiopian agroforestry-based farms, poverty levels decreased by more than 10 per cent, and reduced income inequality (</w:t>
      </w:r>
      <w:proofErr w:type="spellStart"/>
      <w:r w:rsidRPr="00E411F4">
        <w:rPr>
          <w:rFonts w:ascii="Arial" w:hAnsi="Arial" w:cs="Arial"/>
        </w:rPr>
        <w:t>Tebkew</w:t>
      </w:r>
      <w:proofErr w:type="spellEnd"/>
      <w:r w:rsidRPr="00E411F4">
        <w:rPr>
          <w:rFonts w:ascii="Arial" w:hAnsi="Arial" w:cs="Arial"/>
        </w:rPr>
        <w:t xml:space="preserve"> et al., 2024). Similarly, quantitative analyses in China’s ecosystem-service programs show that higher participation in PES correlates with income growth for farm households (Sheng &amp; Wang, 2022). Notably, a substantial share of these benefits accrued through the facilitation of off-farm </w:t>
      </w:r>
      <w:proofErr w:type="spellStart"/>
      <w:r w:rsidRPr="00E411F4">
        <w:rPr>
          <w:rFonts w:ascii="Arial" w:hAnsi="Arial" w:cs="Arial"/>
        </w:rPr>
        <w:t>labour</w:t>
      </w:r>
      <w:proofErr w:type="spellEnd"/>
      <w:r w:rsidRPr="00E411F4">
        <w:rPr>
          <w:rFonts w:ascii="Arial" w:hAnsi="Arial" w:cs="Arial"/>
        </w:rPr>
        <w:t xml:space="preserve"> opportunities, whereby PES-derived income enabled households to allocate capital toward education and local enterprises, rather than being confined solely to on-farm consumption. By diversifying revenues and allowing investments in assets, carbon, and PES schemes can thus enhance household resilience (Aza, 2019). Meta-studies of climate-smart practices find overall benefits to farm welfare when farmers adopt such measures (</w:t>
      </w:r>
      <w:proofErr w:type="spellStart"/>
      <w:r w:rsidRPr="00E411F4">
        <w:rPr>
          <w:rFonts w:ascii="Arial" w:hAnsi="Arial" w:cs="Arial"/>
        </w:rPr>
        <w:t>Adimassu</w:t>
      </w:r>
      <w:proofErr w:type="spellEnd"/>
      <w:r w:rsidRPr="00E411F4">
        <w:rPr>
          <w:rFonts w:ascii="Arial" w:hAnsi="Arial" w:cs="Arial"/>
        </w:rPr>
        <w:t xml:space="preserve"> et al., 2025). Evidence suggests that effectively designed carbon and PES interventions can uplift rural livelihoods, raising average incomes and alleviating poverty as they develop adaptive resilience (Li &amp; Zander, 2020).</w:t>
      </w:r>
    </w:p>
    <w:p w14:paraId="5554CFB5" w14:textId="77777777" w:rsidR="00E411F4" w:rsidRDefault="00E411F4" w:rsidP="00441B6F">
      <w:pPr>
        <w:pStyle w:val="Body"/>
        <w:spacing w:after="0"/>
        <w:rPr>
          <w:rFonts w:ascii="Arial" w:hAnsi="Arial" w:cs="Arial"/>
        </w:rPr>
      </w:pPr>
    </w:p>
    <w:p w14:paraId="4D2EC84E" w14:textId="77777777" w:rsidR="00E411F4" w:rsidRDefault="00E411F4" w:rsidP="00441B6F">
      <w:pPr>
        <w:pStyle w:val="Body"/>
        <w:spacing w:after="0"/>
        <w:rPr>
          <w:rFonts w:ascii="Arial" w:hAnsi="Arial" w:cs="Arial"/>
        </w:rPr>
      </w:pPr>
    </w:p>
    <w:p w14:paraId="7D1A337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lastRenderedPageBreak/>
        <w:t xml:space="preserve">6. </w:t>
      </w:r>
      <w:bookmarkStart w:id="1" w:name="_Hlk215219103"/>
      <w:r w:rsidRPr="00E411F4">
        <w:rPr>
          <w:rFonts w:ascii="Arial" w:hAnsi="Arial" w:cs="Arial"/>
          <w:b/>
          <w:bCs/>
          <w:sz w:val="22"/>
          <w:szCs w:val="22"/>
        </w:rPr>
        <w:t>Synergies and Trade-offs Between Carbon Credits and Ecosystem Services</w:t>
      </w:r>
      <w:bookmarkEnd w:id="1"/>
      <w:r w:rsidRPr="00E411F4">
        <w:rPr>
          <w:rFonts w:ascii="Arial" w:hAnsi="Arial" w:cs="Arial"/>
          <w:b/>
          <w:bCs/>
          <w:sz w:val="22"/>
          <w:szCs w:val="22"/>
        </w:rPr>
        <w:t xml:space="preserve">: </w:t>
      </w:r>
    </w:p>
    <w:p w14:paraId="71344B77"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6.1. Payment for Ecosystem Services (PES) as an Integrative Framework:</w:t>
      </w:r>
    </w:p>
    <w:p w14:paraId="6899BA3B" w14:textId="5F8D73BA" w:rsidR="00E411F4" w:rsidRDefault="00E411F4" w:rsidP="00441B6F">
      <w:pPr>
        <w:pStyle w:val="Body"/>
        <w:spacing w:after="0"/>
        <w:rPr>
          <w:rFonts w:ascii="Arial" w:hAnsi="Arial" w:cs="Arial"/>
        </w:rPr>
      </w:pPr>
      <w:r w:rsidRPr="00E411F4">
        <w:rPr>
          <w:rFonts w:ascii="Arial" w:hAnsi="Arial" w:cs="Arial"/>
        </w:rPr>
        <w:t>Payment for Ecosystem Services (PES) schemes can operationalize carbon and other ecosystem values together (Kaiser et al., 2023). Land stewards, who are usually farmers or communities, are paid monetary rewards for holding land stewardship clear of harm and securing ecosystem services (Raymond et al., 2016). Around the world, PES programs reward watershed protection, agroforestry, frequently bundling several benefits (Jindal &amp; Vardhan, 2018). COP21 (</w:t>
      </w:r>
      <w:proofErr w:type="spellStart"/>
      <w:r w:rsidRPr="00E411F4">
        <w:rPr>
          <w:rFonts w:ascii="Arial" w:hAnsi="Arial" w:cs="Arial"/>
        </w:rPr>
        <w:t>Kreienkamp</w:t>
      </w:r>
      <w:proofErr w:type="spellEnd"/>
      <w:r w:rsidRPr="00E411F4">
        <w:rPr>
          <w:rFonts w:ascii="Arial" w:hAnsi="Arial" w:cs="Arial"/>
        </w:rPr>
        <w:t>, 2021) and COP27 (</w:t>
      </w:r>
      <w:proofErr w:type="spellStart"/>
      <w:r w:rsidRPr="00E411F4">
        <w:rPr>
          <w:rFonts w:ascii="Arial" w:hAnsi="Arial" w:cs="Arial"/>
        </w:rPr>
        <w:t>Muigua</w:t>
      </w:r>
      <w:proofErr w:type="spellEnd"/>
      <w:r w:rsidRPr="00E411F4">
        <w:rPr>
          <w:rFonts w:ascii="Arial" w:hAnsi="Arial" w:cs="Arial"/>
        </w:rPr>
        <w:t>, 2023) recognized that integrated approaches are needed to meet climate, biodiversity and development goals. A recent analysis notes that PES programs offer a solution by monetizing benefits, including climate change mitigation, adaptation and biodiversity (Chiriac et al., 2023). China’s Grain for Green and the US Conservation Reserve Program have paid farmers to retire degraded cropland, yielding both carbon and habitat gains (Deng et al., 2017). New initiatives explicitly aim to channel climate finance through PES to smallholders, emphasizing robust measurement and private-sector funding. In core, PES provides a market-like framework that can integrate carbon sequestration with other public goods into a composite payment. When carefully designed, PES can align farmers’ incentives with their role of stewardship of the ecosystem, elevating rural incomes while augmenting multiple services (Zhou et al., 2025).</w:t>
      </w:r>
    </w:p>
    <w:p w14:paraId="69968B38" w14:textId="77777777" w:rsidR="00E411F4" w:rsidRDefault="00E411F4" w:rsidP="00441B6F">
      <w:pPr>
        <w:pStyle w:val="Body"/>
        <w:spacing w:after="0"/>
        <w:rPr>
          <w:rFonts w:ascii="Arial" w:hAnsi="Arial" w:cs="Arial"/>
        </w:rPr>
      </w:pPr>
    </w:p>
    <w:p w14:paraId="7DAA65E9" w14:textId="79656B63" w:rsidR="00E411F4" w:rsidRP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6.2. Co-Benefits of Carbon Sequestration: Biodiversity, Soil Health, and Water Regulation</w:t>
      </w:r>
    </w:p>
    <w:p w14:paraId="0F515798" w14:textId="77777777" w:rsidR="00E411F4" w:rsidRDefault="00E411F4" w:rsidP="00441B6F">
      <w:pPr>
        <w:pStyle w:val="Body"/>
        <w:spacing w:after="0"/>
        <w:rPr>
          <w:rFonts w:ascii="Arial" w:hAnsi="Arial" w:cs="Arial"/>
        </w:rPr>
      </w:pPr>
    </w:p>
    <w:p w14:paraId="719739C4" w14:textId="33F9AAB0" w:rsidR="00E411F4" w:rsidRDefault="00E411F4" w:rsidP="00441B6F">
      <w:pPr>
        <w:pStyle w:val="Body"/>
        <w:spacing w:after="0"/>
        <w:rPr>
          <w:rFonts w:ascii="Arial" w:hAnsi="Arial" w:cs="Arial"/>
        </w:rPr>
      </w:pPr>
      <w:r w:rsidRPr="00E411F4">
        <w:rPr>
          <w:rFonts w:ascii="Arial" w:hAnsi="Arial" w:cs="Arial"/>
        </w:rPr>
        <w:t>Carbon-friendly agricultural systems tend to provide additional ecosystem services. Agroforestry (Mulatu &amp; Hunde, 2019) and reforestation (Di et al., 2021), enhance carbon sequestration and support wildlife and biodiversity. The addition of carbon to the soil leads to better soil health, enhancing nutrient availability and soil structure, which subsequently leads to higher crop resilience and yields (Liang et al., 2025). Healthier soils also store more water and minimize surface runoff, improving water management and quality. National programs report similar co-benefits: USDA’s climate-smart agriculture practices not only increase soil carbon but also improve soil fertility, water retention, air quality, and wildlife habitat (USDA, 2025). A recent structured review finds strong co-benefits of carbon farming where opportunity costs are high (Strauss et al., 2024). In sum, carbon-sequestering interventions tend to bolster regulating services and supporting services (Scheid et al., 2023). In turn, these services underpin long-term farm productivity and rural resilience (Bailey &amp; Buck, 2016). Explicitly accounting for such co-benefits can make climate payments more attractive and equitable, encouraging broader adoption of agroecological practices. (</w:t>
      </w:r>
      <w:proofErr w:type="spellStart"/>
      <w:r w:rsidRPr="00E411F4">
        <w:rPr>
          <w:rFonts w:ascii="Arial" w:hAnsi="Arial" w:cs="Arial"/>
        </w:rPr>
        <w:t>Lavorel</w:t>
      </w:r>
      <w:proofErr w:type="spellEnd"/>
      <w:r w:rsidRPr="00E411F4">
        <w:rPr>
          <w:rFonts w:ascii="Arial" w:hAnsi="Arial" w:cs="Arial"/>
        </w:rPr>
        <w:t xml:space="preserve"> et al., 2020; Sinclair et al., 2019).      </w:t>
      </w:r>
    </w:p>
    <w:p w14:paraId="3E4E0190" w14:textId="77777777" w:rsidR="00E411F4" w:rsidRDefault="00E411F4" w:rsidP="00441B6F">
      <w:pPr>
        <w:pStyle w:val="Body"/>
        <w:spacing w:after="0"/>
        <w:rPr>
          <w:rFonts w:ascii="Arial" w:hAnsi="Arial" w:cs="Arial"/>
        </w:rPr>
      </w:pPr>
    </w:p>
    <w:p w14:paraId="1EAF9C0F" w14:textId="60E55C19"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 xml:space="preserve">6.3. Trade-offs and Leakage Effects: Land Use Competition and Displacement Risks  </w:t>
      </w:r>
    </w:p>
    <w:p w14:paraId="62DB15A3" w14:textId="77777777" w:rsidR="00E411F4" w:rsidRDefault="00E411F4" w:rsidP="00441B6F">
      <w:pPr>
        <w:pStyle w:val="Body"/>
        <w:spacing w:after="0"/>
        <w:rPr>
          <w:rFonts w:ascii="Arial" w:hAnsi="Arial" w:cs="Arial"/>
          <w:b/>
          <w:bCs/>
          <w:sz w:val="22"/>
          <w:szCs w:val="22"/>
        </w:rPr>
      </w:pPr>
    </w:p>
    <w:p w14:paraId="44877E13" w14:textId="71E57501" w:rsidR="00E411F4" w:rsidRDefault="00E411F4" w:rsidP="00441B6F">
      <w:pPr>
        <w:pStyle w:val="Body"/>
        <w:spacing w:after="0"/>
        <w:rPr>
          <w:rFonts w:ascii="Arial" w:hAnsi="Arial" w:cs="Arial"/>
        </w:rPr>
      </w:pPr>
      <w:r w:rsidRPr="00E411F4">
        <w:rPr>
          <w:rFonts w:ascii="Arial" w:hAnsi="Arial" w:cs="Arial"/>
        </w:rPr>
        <w:t>There are also trade-offs involved in integrating carbon and ecosystem payments. When land is converted to high-carbon purposes, this may conflict with food production and income requirements (</w:t>
      </w:r>
      <w:proofErr w:type="spellStart"/>
      <w:r w:rsidRPr="00E411F4">
        <w:rPr>
          <w:rFonts w:ascii="Arial" w:hAnsi="Arial" w:cs="Arial"/>
        </w:rPr>
        <w:t>Vlek</w:t>
      </w:r>
      <w:proofErr w:type="spellEnd"/>
      <w:r w:rsidRPr="00E411F4">
        <w:rPr>
          <w:rFonts w:ascii="Arial" w:hAnsi="Arial" w:cs="Arial"/>
        </w:rPr>
        <w:t xml:space="preserve"> et al., 2017). Indicatively, an ecological restoration case in the Loess Plateau in China captured carbon and enhanced water retention and biodiversity, yet reduced agricultural production by approximately 15% (Jiang et al., 2025). On the other hand, increases in crop production increase yields but can decrease carbon storage and water quality (Xia et al., 2018). The trade-off between provisioning and regulating services is contextual. A modelling study concludes that sustaining maximum yields often sacrifices </w:t>
      </w:r>
      <w:r w:rsidRPr="00E411F4">
        <w:rPr>
          <w:rFonts w:ascii="Arial" w:hAnsi="Arial" w:cs="Arial"/>
        </w:rPr>
        <w:lastRenderedPageBreak/>
        <w:t xml:space="preserve">carbon and biodiversity services, whereas restoration scenarios reverse that trade-off (Strauss et al., 2024). Leakage is another issue: limiting land use in a region can just cause agriculture to move elsewhere and counteract net climate and ecosystem benefits (Dooley &amp; Kartha, 2018; </w:t>
      </w:r>
      <w:proofErr w:type="spellStart"/>
      <w:r w:rsidRPr="00E411F4">
        <w:rPr>
          <w:rFonts w:ascii="Arial" w:hAnsi="Arial" w:cs="Arial"/>
        </w:rPr>
        <w:t>Filewod</w:t>
      </w:r>
      <w:proofErr w:type="spellEnd"/>
      <w:r w:rsidRPr="00E411F4">
        <w:rPr>
          <w:rFonts w:ascii="Arial" w:hAnsi="Arial" w:cs="Arial"/>
        </w:rPr>
        <w:t xml:space="preserve"> &amp; McCarney, 2023). Moreover, carbon projects that emphasize carbon risk solely do not consider the other ecosystem values. High-yield monocultures and soil amendments might increase carbon uptake but degrade biodiversity and water quality if not managed holistically. The latest criticism states that carbon markets may offer both threat and opportunity to nature, and that safeguards are necessary to make sure the projects bring about real additional benefits to ecosystems (Scheid et al., 2023). In practice, they require high standards and integrated design to reduce adverse trade-offs.</w:t>
      </w:r>
    </w:p>
    <w:p w14:paraId="7DF001C0" w14:textId="77777777" w:rsidR="00E411F4" w:rsidRDefault="00E411F4" w:rsidP="00441B6F">
      <w:pPr>
        <w:pStyle w:val="Body"/>
        <w:spacing w:after="0"/>
        <w:rPr>
          <w:rFonts w:ascii="Arial" w:hAnsi="Arial" w:cs="Arial"/>
        </w:rPr>
      </w:pPr>
    </w:p>
    <w:p w14:paraId="2A23E44D" w14:textId="13707E61"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6.4. Valuation Integration for Bundled-Service Markets</w:t>
      </w:r>
    </w:p>
    <w:p w14:paraId="7F9A124B" w14:textId="77777777" w:rsidR="00E411F4" w:rsidRDefault="00E411F4" w:rsidP="00441B6F">
      <w:pPr>
        <w:pStyle w:val="Body"/>
        <w:spacing w:after="0"/>
        <w:rPr>
          <w:rFonts w:ascii="Arial" w:hAnsi="Arial" w:cs="Arial"/>
          <w:b/>
          <w:bCs/>
          <w:sz w:val="22"/>
          <w:szCs w:val="22"/>
        </w:rPr>
      </w:pPr>
    </w:p>
    <w:p w14:paraId="78109500" w14:textId="30CB1393" w:rsidR="00E411F4" w:rsidRPr="00E411F4" w:rsidRDefault="00E411F4" w:rsidP="00441B6F">
      <w:pPr>
        <w:pStyle w:val="Body"/>
        <w:spacing w:after="0"/>
        <w:rPr>
          <w:rFonts w:ascii="Arial" w:hAnsi="Arial" w:cs="Arial"/>
        </w:rPr>
      </w:pPr>
      <w:r w:rsidRPr="00E411F4">
        <w:rPr>
          <w:rFonts w:ascii="Arial" w:hAnsi="Arial" w:cs="Arial"/>
        </w:rPr>
        <w:t xml:space="preserve">There is growing interest in creating credit stacks and bundled markets that value multiple services together. A single project might generate carbon credits, water quality improvement, and biodiversity habitat. However, bundling services poses logistical and valuation challenges. According to a policy analysis, nature-credit systems have frequently failed to provide bundled services since it is difficult to separate services into distinct markets (Anna, 2025). Bundling needs both integrated valuation and governance. A promising strategy is place-based and community-led PES that directly aggregates different values: a Chinese rural PES case introduced local governance and platform fees so that beneficiaries of clean water, recreation, and food all contribute payments. (Zhou et al., 2025). Likewise, agricultural products can have eco-certifications that integrate both carbon and biodiversity standards. Overall, integrating valuation allows firms or governments to pay a single fee that is shared among ecosystem benefits, potentially simplifying transactions. The key is to ensure that credit buyers understand the full bundle of services and that land managers are rewarded for multiple outcomes. Bundled-service markets can promote synergies and allow greater co-financing of rural environmental stewardship when they are planned appropriately. (Fiore &amp; Grabbe, 2025). </w:t>
      </w:r>
    </w:p>
    <w:p w14:paraId="641476DE" w14:textId="77777777" w:rsidR="00E411F4" w:rsidRDefault="00E411F4" w:rsidP="00441B6F">
      <w:pPr>
        <w:pStyle w:val="Body"/>
        <w:spacing w:after="0"/>
        <w:rPr>
          <w:rFonts w:ascii="Arial" w:hAnsi="Arial" w:cs="Arial"/>
          <w:b/>
          <w:bCs/>
          <w:sz w:val="22"/>
          <w:szCs w:val="22"/>
        </w:rPr>
      </w:pPr>
    </w:p>
    <w:p w14:paraId="6138A9A3"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 Policy, Governance, and Institutional Dimensions</w:t>
      </w:r>
    </w:p>
    <w:p w14:paraId="55D0BA1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7.1. Role of International Climate Agreements</w:t>
      </w:r>
    </w:p>
    <w:p w14:paraId="534E5A9F" w14:textId="77777777" w:rsidR="00E411F4" w:rsidRDefault="00E411F4" w:rsidP="00441B6F">
      <w:pPr>
        <w:pStyle w:val="Body"/>
        <w:spacing w:after="0"/>
        <w:rPr>
          <w:rFonts w:ascii="Arial" w:hAnsi="Arial" w:cs="Arial"/>
          <w:b/>
          <w:bCs/>
          <w:sz w:val="22"/>
          <w:szCs w:val="22"/>
        </w:rPr>
      </w:pPr>
    </w:p>
    <w:p w14:paraId="0E1880B2" w14:textId="7A2C603D" w:rsidR="00E411F4" w:rsidRDefault="00E411F4" w:rsidP="00441B6F">
      <w:pPr>
        <w:pStyle w:val="Body"/>
        <w:spacing w:after="0"/>
        <w:rPr>
          <w:rFonts w:ascii="Arial" w:hAnsi="Arial" w:cs="Arial"/>
        </w:rPr>
      </w:pPr>
      <w:r w:rsidRPr="00E411F4">
        <w:rPr>
          <w:rFonts w:ascii="Arial" w:hAnsi="Arial" w:cs="Arial"/>
        </w:rPr>
        <w:t>International frameworks shape carbon and ecosystem markets. The Clean Development Mechanism (CDM) of the Kyoto Protocol in 1997 allowed certain forestry and methane projects to produce carbon credits, some of which were agriculture-related (Jindal &amp; Vardhan, 2023; Wittman et al., 2015). Article 6 of the Paris Agreement of 2015 also gave legitimacy to international carbon trading (Edmonds et al., 2019). The cross-border transfers and a new UN mechanism</w:t>
      </w:r>
      <w:r w:rsidR="00681847">
        <w:rPr>
          <w:rFonts w:ascii="Arial" w:hAnsi="Arial" w:cs="Arial"/>
        </w:rPr>
        <w:t xml:space="preserve"> </w:t>
      </w:r>
      <w:r w:rsidRPr="00E411F4">
        <w:rPr>
          <w:rFonts w:ascii="Arial" w:hAnsi="Arial" w:cs="Arial"/>
        </w:rPr>
        <w:t xml:space="preserve">credits are rules that have been filled in by negotiations at COP24, COP26 and COP27. These frameworks promote the </w:t>
      </w:r>
      <w:r w:rsidR="00681847">
        <w:rPr>
          <w:rFonts w:ascii="Arial" w:hAnsi="Arial" w:cs="Arial"/>
        </w:rPr>
        <w:t>cooperation</w:t>
      </w:r>
      <w:r w:rsidRPr="00E411F4">
        <w:rPr>
          <w:rFonts w:ascii="Arial" w:hAnsi="Arial" w:cs="Arial"/>
        </w:rPr>
        <w:t xml:space="preserve"> of countries in the carbon markets to achieve the Nationally Determined Contributions (NDCs). The World Bank notes promising signs of cooperation between countries on carbon markets under the Paris Agreement (World Bank Group, 2023). However, stringent double-counting rules and host-country consent are still being refined. International agreements also highlight nature’s role: the UNFCCC COP decisions on REDD+ and on Nature-based Solutions aim to integrate biodiversity co-benefits (Gupta &amp; Dube, 2021; Smith et al., 2019). These global mandates increase the legitimacy of carbon projects in agriculture, but also impose safeguards that participating projects must follow. </w:t>
      </w:r>
    </w:p>
    <w:p w14:paraId="072C97BD" w14:textId="77777777" w:rsidR="00681847" w:rsidRDefault="00681847" w:rsidP="00441B6F">
      <w:pPr>
        <w:pStyle w:val="Body"/>
        <w:spacing w:after="0"/>
        <w:rPr>
          <w:rFonts w:ascii="Arial" w:hAnsi="Arial" w:cs="Arial"/>
        </w:rPr>
      </w:pPr>
    </w:p>
    <w:p w14:paraId="083E3074" w14:textId="77777777" w:rsidR="00681847" w:rsidRPr="00E411F4" w:rsidRDefault="00681847" w:rsidP="00441B6F">
      <w:pPr>
        <w:pStyle w:val="Body"/>
        <w:spacing w:after="0"/>
        <w:rPr>
          <w:rFonts w:ascii="Arial" w:hAnsi="Arial" w:cs="Arial"/>
        </w:rPr>
      </w:pPr>
    </w:p>
    <w:p w14:paraId="71DF1534" w14:textId="77777777" w:rsidR="00681847" w:rsidRPr="00681847" w:rsidRDefault="00681847" w:rsidP="00681847">
      <w:pPr>
        <w:pStyle w:val="Body"/>
        <w:rPr>
          <w:rFonts w:ascii="Arial" w:hAnsi="Arial" w:cs="Arial"/>
          <w:b/>
          <w:bCs/>
          <w:sz w:val="22"/>
          <w:szCs w:val="22"/>
        </w:rPr>
      </w:pPr>
      <w:r w:rsidRPr="00681847">
        <w:rPr>
          <w:rFonts w:ascii="Arial" w:hAnsi="Arial" w:cs="Arial"/>
          <w:b/>
          <w:bCs/>
          <w:sz w:val="22"/>
          <w:szCs w:val="22"/>
        </w:rPr>
        <w:t xml:space="preserve">7.2. </w:t>
      </w:r>
      <w:bookmarkStart w:id="2" w:name="_Hlk215219127"/>
      <w:r w:rsidRPr="00681847">
        <w:rPr>
          <w:rFonts w:ascii="Arial" w:hAnsi="Arial" w:cs="Arial"/>
          <w:b/>
          <w:bCs/>
          <w:sz w:val="22"/>
          <w:szCs w:val="22"/>
        </w:rPr>
        <w:t>National Policy Instruments for Carbon Pricing and PES in Agriculture</w:t>
      </w:r>
    </w:p>
    <w:bookmarkEnd w:id="2"/>
    <w:p w14:paraId="7AFD0486" w14:textId="163D4F40" w:rsidR="00790ADA" w:rsidRDefault="00681847" w:rsidP="00681847">
      <w:pPr>
        <w:pStyle w:val="Body"/>
        <w:spacing w:after="0"/>
        <w:rPr>
          <w:rFonts w:ascii="Arial" w:hAnsi="Arial" w:cs="Arial"/>
        </w:rPr>
      </w:pPr>
      <w:r w:rsidRPr="00681847">
        <w:rPr>
          <w:rFonts w:ascii="Arial" w:hAnsi="Arial" w:cs="Arial"/>
        </w:rPr>
        <w:lastRenderedPageBreak/>
        <w:t xml:space="preserve">At the national level, governments have different instruments. Some jurisdictions extend carbon pricing to land use or agriculture: for instance, New Zealand’s ETS covers forestry and potentially agriculture, while the EU has LULUCF regulations requiring accounting of cropland carbon. (World Bank Group, 2023). Most countries have enacted carbon taxes or broad ETS for industry, but agriculture often relies on subsidies or voluntary programs. In parallel, many countries have launched PES schemes. Notable examples include Costa Rica’s long-running national PES paying landowners to conserve forest and China’s Grain for Green payments for afforestation (Zhou et al., 2025). The US Conservation Reserve Program pays farmers to retire erodible land, delivering carbon storage and habitat benefits. Several African and Latin American nations pilot agroforestry and soil-carbon projects supported by MDBs. Thus, while direct carbon taxes on farmers are still rare, most governments have at least some incentives for sustainable practices, including tax breaks, grants, technical assistance, and PES. International climate finance, including the Green Climate Fund, and bilateral aid increasingly channel support for rural climate-smart agriculture. In general, national policy mixes tend to combine agricultural subsidies with emerging carbon and PES instruments to encourage low-carbon practices (Chiriac et al., 2023). Table 1 presents global carbon pricing and Payment for Ecosystem Services (PES) </w:t>
      </w:r>
      <w:proofErr w:type="spellStart"/>
      <w:r w:rsidRPr="00681847">
        <w:rPr>
          <w:rFonts w:ascii="Arial" w:hAnsi="Arial" w:cs="Arial"/>
        </w:rPr>
        <w:t>programmes</w:t>
      </w:r>
      <w:proofErr w:type="spellEnd"/>
      <w:r w:rsidRPr="00681847">
        <w:rPr>
          <w:rFonts w:ascii="Arial" w:hAnsi="Arial" w:cs="Arial"/>
        </w:rPr>
        <w:t xml:space="preserve"> in the agricultural sector, offering a comparative overview across regions and policy frameworks. </w:t>
      </w:r>
    </w:p>
    <w:p w14:paraId="0418B987" w14:textId="77777777" w:rsidR="00681847" w:rsidRDefault="00681847" w:rsidP="00681847">
      <w:pPr>
        <w:pStyle w:val="Body"/>
        <w:spacing w:after="0"/>
        <w:rPr>
          <w:rFonts w:ascii="Arial" w:hAnsi="Arial" w:cs="Arial"/>
        </w:rPr>
      </w:pPr>
    </w:p>
    <w:p w14:paraId="37E9964C" w14:textId="37A57BFB"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1847" w:rsidRPr="00681847">
        <w:rPr>
          <w:rFonts w:ascii="Arial" w:hAnsi="Arial"/>
          <w:b/>
        </w:rPr>
        <w:t>Comparative Overview of Global Carbon Pricing and PES Programs in Agriculture</w:t>
      </w:r>
    </w:p>
    <w:p w14:paraId="0CFD03F3" w14:textId="77777777" w:rsidR="00681847" w:rsidRDefault="00681847" w:rsidP="00441B6F">
      <w:pPr>
        <w:tabs>
          <w:tab w:val="left" w:pos="1080"/>
        </w:tabs>
        <w:jc w:val="both"/>
        <w:rPr>
          <w:rFonts w:ascii="Arial" w:hAnsi="Arial"/>
          <w:b/>
        </w:rPr>
      </w:pPr>
    </w:p>
    <w:tbl>
      <w:tblPr>
        <w:tblW w:w="5660" w:type="pct"/>
        <w:tblBorders>
          <w:top w:val="single" w:sz="4" w:space="0" w:color="auto"/>
          <w:bottom w:val="single" w:sz="4" w:space="0" w:color="auto"/>
        </w:tblBorders>
        <w:tblLayout w:type="fixed"/>
        <w:tblLook w:val="04A0" w:firstRow="1" w:lastRow="0" w:firstColumn="1" w:lastColumn="0" w:noHBand="0" w:noVBand="1"/>
      </w:tblPr>
      <w:tblGrid>
        <w:gridCol w:w="1156"/>
        <w:gridCol w:w="1369"/>
        <w:gridCol w:w="1455"/>
        <w:gridCol w:w="1587"/>
        <w:gridCol w:w="2682"/>
        <w:gridCol w:w="1287"/>
      </w:tblGrid>
      <w:tr w:rsidR="00681847" w:rsidRPr="00681847" w14:paraId="0B01251C" w14:textId="77777777" w:rsidTr="00681847">
        <w:trPr>
          <w:trHeight w:val="936"/>
        </w:trPr>
        <w:tc>
          <w:tcPr>
            <w:tcW w:w="606" w:type="pct"/>
            <w:vAlign w:val="center"/>
            <w:hideMark/>
          </w:tcPr>
          <w:p w14:paraId="59A7140B"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Country</w:t>
            </w:r>
          </w:p>
        </w:tc>
        <w:tc>
          <w:tcPr>
            <w:tcW w:w="718" w:type="pct"/>
            <w:vAlign w:val="center"/>
            <w:hideMark/>
          </w:tcPr>
          <w:p w14:paraId="79B8DC09"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Policy Instrument</w:t>
            </w:r>
          </w:p>
        </w:tc>
        <w:tc>
          <w:tcPr>
            <w:tcW w:w="763" w:type="pct"/>
            <w:vAlign w:val="center"/>
            <w:hideMark/>
          </w:tcPr>
          <w:p w14:paraId="43DE30A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Mechanism Type</w:t>
            </w:r>
          </w:p>
        </w:tc>
        <w:tc>
          <w:tcPr>
            <w:tcW w:w="832" w:type="pct"/>
            <w:vAlign w:val="center"/>
            <w:hideMark/>
          </w:tcPr>
          <w:p w14:paraId="3DFCE8A8"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Coverage (Sector/Area)</w:t>
            </w:r>
          </w:p>
        </w:tc>
        <w:tc>
          <w:tcPr>
            <w:tcW w:w="1406" w:type="pct"/>
            <w:vAlign w:val="center"/>
            <w:hideMark/>
          </w:tcPr>
          <w:p w14:paraId="2A765025"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Key Outcomes</w:t>
            </w:r>
          </w:p>
        </w:tc>
        <w:tc>
          <w:tcPr>
            <w:tcW w:w="675" w:type="pct"/>
            <w:vAlign w:val="center"/>
            <w:hideMark/>
          </w:tcPr>
          <w:p w14:paraId="17ED707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Reference</w:t>
            </w:r>
          </w:p>
        </w:tc>
      </w:tr>
      <w:tr w:rsidR="00681847" w:rsidRPr="00681847" w14:paraId="3C24D3A5" w14:textId="77777777" w:rsidTr="00681847">
        <w:trPr>
          <w:trHeight w:val="3432"/>
        </w:trPr>
        <w:tc>
          <w:tcPr>
            <w:tcW w:w="606" w:type="pct"/>
            <w:vAlign w:val="center"/>
            <w:hideMark/>
          </w:tcPr>
          <w:p w14:paraId="45F95167"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European Union</w:t>
            </w:r>
          </w:p>
        </w:tc>
        <w:tc>
          <w:tcPr>
            <w:tcW w:w="718" w:type="pct"/>
            <w:vAlign w:val="center"/>
            <w:hideMark/>
          </w:tcPr>
          <w:p w14:paraId="08B4B90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EU Carbon Removals and Carbon Farming Regulation</w:t>
            </w:r>
          </w:p>
        </w:tc>
        <w:tc>
          <w:tcPr>
            <w:tcW w:w="763" w:type="pct"/>
            <w:vAlign w:val="center"/>
            <w:hideMark/>
          </w:tcPr>
          <w:p w14:paraId="182B2ED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Voluntary carbon credit certification</w:t>
            </w:r>
          </w:p>
        </w:tc>
        <w:tc>
          <w:tcPr>
            <w:tcW w:w="832" w:type="pct"/>
            <w:vAlign w:val="center"/>
            <w:hideMark/>
          </w:tcPr>
          <w:p w14:paraId="4BB1AEA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Agricultural soils and forestry</w:t>
            </w:r>
          </w:p>
        </w:tc>
        <w:tc>
          <w:tcPr>
            <w:tcW w:w="1406" w:type="pct"/>
            <w:vAlign w:val="center"/>
            <w:hideMark/>
          </w:tcPr>
          <w:p w14:paraId="7A85F26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Establishes the EU’s first voluntary carbon farming market, enabling farmers to earn credits for sequestration and soil carbon practices. Potential market $6 billion/year. Aims to incentivize climate-friendly farming; scope will likely expand by 2026.</w:t>
            </w:r>
          </w:p>
        </w:tc>
        <w:tc>
          <w:tcPr>
            <w:tcW w:w="675" w:type="pct"/>
            <w:vAlign w:val="center"/>
            <w:hideMark/>
          </w:tcPr>
          <w:p w14:paraId="7FB0C93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10.1016/j.landusepol.2025.107755","ISSN":"02648377","author":[{"dropping-particle":"","family":"Panagos","given":"Panos","non-dropping-particle":"","parse-names":false,"suffix":""},{"dropping-particle":"","family":"Orgiazzi","given":"Alberto","non-dropping-particle":"","parse-names":false,"suffix":""},{"dropping-particle":"","family":"Lugato","given":"Emanuele","non-dropping-particle":"","parse-names":false,"suffix":""},{"dropping-particle":"","family":"Vandenesch","given":"Guillaume","non-dropping-particle":"","parse-names":false,"suffix":""},{"dropping-particle":"","family":"Thannberger","given":"Laurent","non-dropping-particle":"","parse-names":false,"suffix":""},{"dropping-particle":"","family":"Neff","given":"Jason C.","non-dropping-particle":"","parse-names":false,"suffix":""},{"dropping-particle":"","family":"Reijneveld","given":"Arjan","non-dropping-particle":"","parse-names":false,"suffix":""},{"dropping-particle":"","family":"Mathijs","given":"Erik","non-dropping-particle":"","parse-names":false,"suffix":""},{"dropping-particle":"","family":"Chapot","given":"Pascal","non-dropping-particle":"","parse-names":false,"suffix":""},{"dropping-particle":"","family":"Guerrini","given":"Sara","non-dropping-particle":"","parse-names":false,"suffix":""},{"dropping-particle":"","family":"Štyriaková","given":"Darina","non-dropping-particle":"","parse-names":false,"suffix":""},{"dropping-particle":"","family":"Kremers","given":"Julian","non-dropping-particle":"","parse-names":false,"suffix":""},{"dropping-particle":"","family":"Martin","given":"Paul","non-dropping-particle":"","parse-names":false,"suffix":""},{"dropping-particle":"","family":"Tol","given":"Ramon","non-dropping-particle":"Van Der","parse-names":false,"suffix":""},{"dropping-particle":"","family":"Burgeon","given":"Victor","non-dropping-particle":"","parse-names":false,"suffix":""},{"dropping-particle":"","family":"Kalimeri","given":"Elena","non-dropping-particle":"","parse-names":false,"suffix":""},{"dropping-particle":"","family":"Eynde","given":"Elise","non-dropping-particle":"Van","parse-names":false,"suffix":""}],"container-title":"Land Use Policy","id":"ITEM-1","issued":{"date-parts":[["2025","11"]]},"page":"107755","title":"Healthy soils as a booster to EU competitiveness","type":"article-journal","volume":"158"},"uris":["http://www.mendeley.com/documents/?uuid=2bb4e470-cfa0-41fa-ab8f-1b331e2d8be9"]},{"id":"ITEM-2","itemData":{"URL":"https://climate.ec.europa.eu/eu-action/carbon-removals-and-carbon-farming_en#:~:text=Carbon farming rewards farmers and,emission reductions from livestock activities","accessed":{"date-parts":[["2025","11","9"]]},"author":[{"dropping-particle":"","family":"European Commission","given":"","non-dropping-particle":"","parse-names":false,"suffix":""}],"container-title":"Energy, Climate change, Environment","id":"ITEM-2","issued":{"date-parts":[["2025"]]},"title":"Carbon removals and carbon farming","type":"webpage"},"uris":["http://www.mendeley.com/documents/?uuid=92a28a05-f2d0-41a2-80ae-3751a74276a1"]}],"mendeley":{"formattedCitation":"(European Commission, 2025; Panagos et al., 2025)","plainTextFormattedCitation":"(European Commission, 2025; Panagos et al., 2025)","previouslyFormattedCitation":"(European Commission, 2025; Panagos et al.,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(European Commission, 2025; Panagos et al., 2025)</w:t>
            </w:r>
            <w:r w:rsidRPr="00681847">
              <w:rPr>
                <w:rFonts w:ascii="Arial" w:hAnsi="Arial" w:cs="Arial"/>
                <w:color w:val="000000"/>
                <w:lang w:eastAsia="en-IN"/>
              </w:rPr>
              <w:fldChar w:fldCharType="end"/>
            </w:r>
          </w:p>
        </w:tc>
      </w:tr>
      <w:tr w:rsidR="00681847" w:rsidRPr="00681847" w14:paraId="6E89F3E5" w14:textId="77777777" w:rsidTr="00681847">
        <w:trPr>
          <w:trHeight w:val="4680"/>
        </w:trPr>
        <w:tc>
          <w:tcPr>
            <w:tcW w:w="606" w:type="pct"/>
            <w:vAlign w:val="center"/>
            <w:hideMark/>
          </w:tcPr>
          <w:p w14:paraId="6BD83A7A"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China</w:t>
            </w:r>
          </w:p>
        </w:tc>
        <w:tc>
          <w:tcPr>
            <w:tcW w:w="718" w:type="pct"/>
            <w:vAlign w:val="center"/>
            <w:hideMark/>
          </w:tcPr>
          <w:p w14:paraId="61485CD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Ecological Compensation Program (GECP); Sloping Land Conversion (Grain-for-Green)</w:t>
            </w:r>
          </w:p>
        </w:tc>
        <w:tc>
          <w:tcPr>
            <w:tcW w:w="763" w:type="pct"/>
            <w:vAlign w:val="center"/>
            <w:hideMark/>
          </w:tcPr>
          <w:p w14:paraId="301EB47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Government-directed PES (land-use compensation)</w:t>
            </w:r>
          </w:p>
        </w:tc>
        <w:tc>
          <w:tcPr>
            <w:tcW w:w="832" w:type="pct"/>
            <w:vAlign w:val="center"/>
            <w:hideMark/>
          </w:tcPr>
          <w:p w14:paraId="24FF2070"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Grasslands (pastoral rangelands); marginal farmland to forests</w:t>
            </w:r>
          </w:p>
        </w:tc>
        <w:tc>
          <w:tcPr>
            <w:tcW w:w="1406" w:type="pct"/>
            <w:vAlign w:val="center"/>
            <w:hideMark/>
          </w:tcPr>
          <w:p w14:paraId="6A8C3A4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PES (GECP) modestly improved pasture quality and significantly raised herders’ incomes. Large-scale agricultural reforestation programs such as Grain-for-Green have invested $378.5 billion since 1998, converting 624 </w:t>
            </w:r>
            <w:proofErr w:type="spellStart"/>
            <w:r w:rsidRPr="00681847">
              <w:rPr>
                <w:rFonts w:ascii="Arial" w:hAnsi="Arial" w:cs="Arial"/>
                <w:color w:val="000000"/>
                <w:lang w:eastAsia="en-IN"/>
              </w:rPr>
              <w:t>Mha</w:t>
            </w:r>
            <w:proofErr w:type="spellEnd"/>
            <w:r w:rsidRPr="00681847">
              <w:rPr>
                <w:rFonts w:ascii="Arial" w:hAnsi="Arial" w:cs="Arial"/>
                <w:color w:val="000000"/>
                <w:lang w:eastAsia="en-IN"/>
              </w:rPr>
              <w:t xml:space="preserve"> of cropland to forest and improving soil and water conservation. These measures sequester carbon while supporting rural livelihoods.</w:t>
            </w:r>
          </w:p>
        </w:tc>
        <w:tc>
          <w:tcPr>
            <w:tcW w:w="675" w:type="pct"/>
            <w:vAlign w:val="center"/>
            <w:hideMark/>
          </w:tcPr>
          <w:p w14:paraId="20A4D4F1"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{"citationItems":[{"id":"ITEM-1","itemData":{"DOI":"10.1038/s41467-021-24942-8","ISSN":"2041-1723","abstract":"Many countries have undertaken large and high-profile payment-for-ecosystem-services (PES) programs to sustain the use of their natural resources. Nevertheless, few studies have comprehensively examined the impacts of existing PES programs. Grassland Ecological Compensation Policy (GECP) is one of the few pastorally focused PES programs with large investments and long duration, which aim to improve grassland quality and increase herder income. Here we present empirical evidence of the effects of GECP on grassland quality and herder income. Through a thorough and in-depth econometric analysis of remote sensing and household survey data, we find that, although GECP improves grassland quality (albeit to only a small extent) and has a large positive effect on income, it exacerbates existing income inequality among herders within their local communities. The analysis demonstrates that the program has induced herders to change their livestock production behavior. Heterogeneity analysis emphasizes the importance of making sure the programs are flexible and are adapted to local resource circumstances.","author":[{"dropping-particle":"","family":"Hou","given":"Lingling","non-dropping-particle":"","parse-names":false,"suffix":""},{"dropping-particle":"","family":"Xia","given":"Fang","non-dropping-particle":"","parse-names":false,"suffix":""},{"dropping-particle":"","family":"Chen","given":"Qihui","non-dropping-particle":"","parse-names":false,"suffix":""},{"dropping-particle":"","family":"Huang","given":"Jikun","non-dropping-particle":"","parse-names":false,"suffix":""},{"dropping-particle":"","family":"He","given":"Yong","non-dropping-particle":"","parse-names":false,"suffix":""},{"dropping-particle":"","family":"Rose","given":"Nathan","non-dropping-particle":"","parse-names":false,"suffix":""},{"dropping-particle":"","family":"Rozelle","given":"Scott","non-dropping-particle":"","parse-names":false,"suffix":""}],"container-title":"Nature Communications","id":"ITEM-1","issue":"1","issued":{"date-parts":[["2021"]]},"page":"4683","title":"Grassland ecological compensation policy in China improves grassland quality and increases herders’ income","type":"article-journal","volume":"12"},"uris":["http://www.mendeley.com/documents/?uuid=d3b73023-f69f-4b7e-8b84-efc9969ea7c6"]},{"id":"ITEM-2","itemData":{"author":[{"dropping-particle":"","family":"World Bank","given":"","non-dropping-particle":"","parse-names":false,"suffix":""}],"id":"ITEM-2","issued":{"date-parts":[["2021"]]},"title":"Ecological compensation in China: Trends and opportunities for incentive-based policies towards a greener China.","type":"report"},"uris":["http://www.mendeley.com/documents/?uuid=ba7bbc0c-95cb-4951-be9b-b60bb02800be"]}],"mendeley":{"formattedCitation":"(Hou et al., 2021; World Bank, 2021)","plainTextFormattedCitation":"(Hou et al., 2021; World Bank, 2021)","previouslyFormattedCitation":"(Hou et al., 2021; World Bank, 2021)"},"properties":{"noteIndex":0},"schema":"https://github.com/citation-style-language/schema/raw/master/csl-citation.json"}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(Hou et al., 2021; World Bank, 2021)</w:t>
            </w:r>
            <w:r w:rsidRPr="00681847">
              <w:rPr>
                <w:rFonts w:ascii="Arial" w:hAnsi="Arial" w:cs="Arial"/>
                <w:color w:val="000000"/>
                <w:lang w:eastAsia="en-IN"/>
              </w:rPr>
              <w:fldChar w:fldCharType="end"/>
            </w:r>
          </w:p>
        </w:tc>
      </w:tr>
      <w:tr w:rsidR="00681847" w:rsidRPr="00681847" w14:paraId="7B1B4284" w14:textId="77777777" w:rsidTr="00681847">
        <w:trPr>
          <w:trHeight w:val="5616"/>
        </w:trPr>
        <w:tc>
          <w:tcPr>
            <w:tcW w:w="606" w:type="pct"/>
            <w:vAlign w:val="center"/>
            <w:hideMark/>
          </w:tcPr>
          <w:p w14:paraId="3D5E89EF"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New Zealand</w:t>
            </w:r>
          </w:p>
        </w:tc>
        <w:tc>
          <w:tcPr>
            <w:tcW w:w="718" w:type="pct"/>
            <w:vAlign w:val="center"/>
            <w:hideMark/>
          </w:tcPr>
          <w:p w14:paraId="6EDE657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New Zealand Emissions Trading Scheme (NZ ETS); Agriculture pricing initiative</w:t>
            </w:r>
          </w:p>
        </w:tc>
        <w:tc>
          <w:tcPr>
            <w:tcW w:w="763" w:type="pct"/>
            <w:vAlign w:val="center"/>
            <w:hideMark/>
          </w:tcPr>
          <w:p w14:paraId="64E7B00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Cap-and-trade; planned farm-level carbon charge</w:t>
            </w:r>
          </w:p>
        </w:tc>
        <w:tc>
          <w:tcPr>
            <w:tcW w:w="832" w:type="pct"/>
            <w:vAlign w:val="center"/>
            <w:hideMark/>
          </w:tcPr>
          <w:p w14:paraId="27587A5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Forestry (carbon sinks); formerly, livestock methane</w:t>
            </w:r>
          </w:p>
        </w:tc>
        <w:tc>
          <w:tcPr>
            <w:tcW w:w="1406" w:type="pct"/>
            <w:vAlign w:val="center"/>
            <w:hideMark/>
          </w:tcPr>
          <w:p w14:paraId="085B5E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The NZ ETS grants carbon units for farm afforestation and has generated NZD 5.6 billion in revenue (2018-2024) for climate measures. In 2024, the government repealed planned farm-gate agricultural levies, removing agriculture from the ETS, and set a goal to price farm emissions by 2030 using an alternate mechanism. ETS incentives have largely driven plantation forestry rather than direct farm emissions reductions.</w:t>
            </w:r>
          </w:p>
        </w:tc>
        <w:tc>
          <w:tcPr>
            <w:tcW w:w="675" w:type="pct"/>
            <w:vAlign w:val="center"/>
            <w:hideMark/>
          </w:tcPr>
          <w:p w14:paraId="3435481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{"citationItems":[{"id":"ITEM-1","itemData":{"URL":"https://icapcarbonaction.com/en/ets/new-zealand-emissions-trading-scheme#:~:text=agricultural sector had been established,level in 2027","accessed":{"date-parts":[["2025","11","9"]]},"author":[{"dropping-particle":"","family":"International Carbon Action Partnership","given":"","non-dropping-particle":"","parse-names":false,"suffix":""}],"id":"ITEM-1","issued":{"date-parts":[["2025"]]},"title":"New Zealand Emissions Trading Scheme","type":"webpage"},"uris":["http://www.mendeley.com/documents/?uuid=f156b158-2c57-45f6-910d-ced90bc1d7f1"]}],"mendeley":{"formattedCitation":"(International Carbon Action Partnership, 2025)","plainTextFormattedCitation":"(International Carbon Action Partnership, 2025)","previouslyFormattedCitation":"(International Carbon Action Partnership,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(International Carbon Action Partnership, 2025)</w:t>
            </w:r>
            <w:r w:rsidRPr="00681847">
              <w:rPr>
                <w:rFonts w:ascii="Arial" w:hAnsi="Arial" w:cs="Arial"/>
                <w:color w:val="000000"/>
                <w:lang w:eastAsia="en-IN"/>
              </w:rPr>
              <w:fldChar w:fldCharType="end"/>
            </w:r>
          </w:p>
        </w:tc>
      </w:tr>
      <w:tr w:rsidR="00681847" w:rsidRPr="00681847" w14:paraId="69D98E65" w14:textId="77777777" w:rsidTr="00681847">
        <w:trPr>
          <w:trHeight w:val="4668"/>
        </w:trPr>
        <w:tc>
          <w:tcPr>
            <w:tcW w:w="606" w:type="pct"/>
            <w:vAlign w:val="center"/>
            <w:hideMark/>
          </w:tcPr>
          <w:p w14:paraId="5FD3A99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Costa Rica</w:t>
            </w:r>
          </w:p>
        </w:tc>
        <w:tc>
          <w:tcPr>
            <w:tcW w:w="718" w:type="pct"/>
            <w:vAlign w:val="center"/>
            <w:hideMark/>
          </w:tcPr>
          <w:p w14:paraId="561D74B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National PES Program under Forest Law 7575 (administered by FONAFIFO)</w:t>
            </w:r>
          </w:p>
        </w:tc>
        <w:tc>
          <w:tcPr>
            <w:tcW w:w="763" w:type="pct"/>
            <w:vAlign w:val="center"/>
            <w:hideMark/>
          </w:tcPr>
          <w:p w14:paraId="4312BA0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Government-financed direct payments</w:t>
            </w:r>
          </w:p>
        </w:tc>
        <w:tc>
          <w:tcPr>
            <w:tcW w:w="832" w:type="pct"/>
            <w:vAlign w:val="center"/>
            <w:hideMark/>
          </w:tcPr>
          <w:p w14:paraId="4076EDC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Private forest on farms (reforestation, conservation, agroforestry)</w:t>
            </w:r>
          </w:p>
        </w:tc>
        <w:tc>
          <w:tcPr>
            <w:tcW w:w="1406" w:type="pct"/>
            <w:vAlign w:val="center"/>
            <w:hideMark/>
          </w:tcPr>
          <w:p w14:paraId="2D8C488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 longstanding PES program (since 1996) pays landowners for forest ecosystem services such as carbon, water, and biodiversity. It has reversed deforestation: millions of trees planted and thousands of smallholders enrolled for cash payments. For example, 7 million new trees on private farms and many families receiving income. Annual budget $20–25 M (mostly fuel tax), sustaining significant rural livelihoods.</w:t>
            </w:r>
          </w:p>
        </w:tc>
        <w:tc>
          <w:tcPr>
            <w:tcW w:w="675" w:type="pct"/>
            <w:vAlign w:val="center"/>
            <w:hideMark/>
          </w:tcPr>
          <w:p w14:paraId="79C732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{"citationItems":[{"id":"ITEM-1","itemData":{"URL":"https://www.sdg16.plus/policies/payments-to-landowners-for-forest-conservation-costa-rica/#:~:text=a publicly funded program that,cash transfers for their participation","accessed":{"date-parts":[["2025","11","9"]]},"author":[{"dropping-particle":"","family":"Stamm","given":"Laura","non-dropping-particle":"","parse-names":false,"suffix":""}],"container-title":"NYU Center on International Cooperation","id":"ITEM-1","issued":{"date-parts":[["2025"]]},"title":"Costa Rica’s Forest Law 7575 incentivizes local landowners to protect forests (1996–ongoing)","type":"webpage"},"uris":["http://www.mendeley.com/documents/?uuid=d22ec0a6-babc-4bef-9fa2-6ef46154d090"]}],"mendeley":{"formattedCitation":"(Stamm, 2025)","plainTextFormattedCitation":"(Stamm, 2025)","previouslyFormattedCitation":"(Stamm,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(Stamm, 2025)</w:t>
            </w:r>
            <w:r w:rsidRPr="00681847">
              <w:rPr>
                <w:rFonts w:ascii="Arial" w:hAnsi="Arial" w:cs="Arial"/>
                <w:color w:val="000000"/>
                <w:lang w:eastAsia="en-IN"/>
              </w:rPr>
              <w:fldChar w:fldCharType="end"/>
            </w:r>
          </w:p>
        </w:tc>
      </w:tr>
      <w:tr w:rsidR="00681847" w:rsidRPr="00681847" w14:paraId="6A33DBEC" w14:textId="77777777" w:rsidTr="00681847">
        <w:trPr>
          <w:trHeight w:val="6240"/>
        </w:trPr>
        <w:tc>
          <w:tcPr>
            <w:tcW w:w="606" w:type="pct"/>
            <w:vAlign w:val="center"/>
            <w:hideMark/>
          </w:tcPr>
          <w:p w14:paraId="5A38A436"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USA</w:t>
            </w:r>
          </w:p>
        </w:tc>
        <w:tc>
          <w:tcPr>
            <w:tcW w:w="718" w:type="pct"/>
            <w:vAlign w:val="center"/>
            <w:hideMark/>
          </w:tcPr>
          <w:p w14:paraId="4A009E8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USDA Conservation Programs (CRP, EQIP, CSP under Farm Bill) + voluntary offset markets</w:t>
            </w:r>
          </w:p>
        </w:tc>
        <w:tc>
          <w:tcPr>
            <w:tcW w:w="763" w:type="pct"/>
            <w:vAlign w:val="center"/>
            <w:hideMark/>
          </w:tcPr>
          <w:p w14:paraId="14CF9FD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 subsidies and PES; voluntary offsets</w:t>
            </w:r>
          </w:p>
        </w:tc>
        <w:tc>
          <w:tcPr>
            <w:tcW w:w="832" w:type="pct"/>
            <w:vAlign w:val="center"/>
            <w:hideMark/>
          </w:tcPr>
          <w:p w14:paraId="7C34481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Cropland retirement; soil carbon &amp; cover crops; farm forestry; livestock methane</w:t>
            </w:r>
          </w:p>
        </w:tc>
        <w:tc>
          <w:tcPr>
            <w:tcW w:w="1406" w:type="pct"/>
            <w:vAlign w:val="center"/>
            <w:hideMark/>
          </w:tcPr>
          <w:p w14:paraId="7CBF32C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Federal conservation programs (voluntary contracts) serve as PES-type incentives. The Conservation Reserve Program (CRP) enrolled about 22.9 million acres by 2023 for long-term conservation. In 2022, the Inflation Reduction Act provided $18 B for agriculture GHG mitigation via these programs. Meanwhile, voluntary carbon markets are emerging for agriculture, such as soil</w:t>
            </w:r>
            <w:r w:rsidRPr="00681847">
              <w:rPr>
                <w:rFonts w:ascii="Arial" w:hAnsi="Arial" w:cs="Arial"/>
                <w:color w:val="000000"/>
                <w:lang w:eastAsia="en-IN"/>
              </w:rPr>
              <w:noBreakHyphen/>
              <w:t>carbon projects, methane digester credits, though at a limited scale.</w:t>
            </w:r>
          </w:p>
        </w:tc>
        <w:tc>
          <w:tcPr>
            <w:tcW w:w="675" w:type="pct"/>
            <w:vAlign w:val="center"/>
            <w:hideMark/>
          </w:tcPr>
          <w:p w14:paraId="4E0D2AE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{"citationItems":[{"id":"ITEM-1","itemData":{"URL":"https://www.rff.org/publications/issue-briefs/how-usda-conservation-programs-mitigate-agricultural-greenhouse-gas-emissions/#:~:text=traditional natural resource conservation objectives,GHG monitoring and","accessed":{"date-parts":[["2025","11","9"]]},"author":[{"dropping-particle":"","family":"Emily Joiner, Michael A. Toman","given":"Suzanne Russo","non-dropping-particle":"","parse-names":false,"suffix":""}],"container-title":"Issue Brief","id":"ITEM-1","issued":{"date-parts":[["2023"]]},"title":"How USDA Conservation Programs Mitigate Agricultural Greenhouse Gas Emissions","type":"webpage"},"uris":["http://www.mendeley.com/documents/?uuid=fd997167-d9bc-4068-8fdf-130b1c52783d"]}],"mendeley":{"formattedCitation":"(Emily Joiner, Michael A. Toman, 2023)","manualFormatting":"(Joiner et al., 2023)","plainTextFormattedCitation":"(Emily Joiner, Michael A. Toman, 2023)","previouslyFormattedCitation":"(Emily Joiner, Michael A. Toman, 2023)"},"properties":{"noteIndex":0},"schema":"https://github.com/citation-style-language/schema/raw/master/csl-citation.json"}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(Joiner et al., 2023)</w:t>
            </w:r>
            <w:r w:rsidRPr="00681847">
              <w:rPr>
                <w:rFonts w:ascii="Arial" w:hAnsi="Arial" w:cs="Arial"/>
                <w:color w:val="000000"/>
                <w:lang w:eastAsia="en-IN"/>
              </w:rPr>
              <w:fldChar w:fldCharType="end"/>
            </w:r>
          </w:p>
        </w:tc>
      </w:tr>
      <w:tr w:rsidR="00681847" w:rsidRPr="00681847" w14:paraId="2D6D4D42" w14:textId="77777777" w:rsidTr="00681847">
        <w:trPr>
          <w:trHeight w:val="5928"/>
        </w:trPr>
        <w:tc>
          <w:tcPr>
            <w:tcW w:w="606" w:type="pct"/>
            <w:vAlign w:val="center"/>
            <w:hideMark/>
          </w:tcPr>
          <w:p w14:paraId="6288DE2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India</w:t>
            </w:r>
          </w:p>
        </w:tc>
        <w:tc>
          <w:tcPr>
            <w:tcW w:w="718" w:type="pct"/>
            <w:vAlign w:val="center"/>
            <w:hideMark/>
          </w:tcPr>
          <w:p w14:paraId="37C03E5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National Green Credit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Nationally Determined Contribution (NDC) driven agroforestry policies</w:t>
            </w:r>
          </w:p>
        </w:tc>
        <w:tc>
          <w:tcPr>
            <w:tcW w:w="763" w:type="pct"/>
            <w:vAlign w:val="center"/>
            <w:hideMark/>
          </w:tcPr>
          <w:p w14:paraId="652448D9"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Emerging eco-credit trading: voluntary offsets</w:t>
            </w:r>
          </w:p>
        </w:tc>
        <w:tc>
          <w:tcPr>
            <w:tcW w:w="832" w:type="pct"/>
            <w:vAlign w:val="center"/>
            <w:hideMark/>
          </w:tcPr>
          <w:p w14:paraId="3C0BA45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Agroforestry and reforestation on farms</w:t>
            </w:r>
          </w:p>
        </w:tc>
        <w:tc>
          <w:tcPr>
            <w:tcW w:w="1406" w:type="pct"/>
            <w:vAlign w:val="center"/>
            <w:hideMark/>
          </w:tcPr>
          <w:p w14:paraId="25AC92F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India has no formal agricultural sector carbon price. PES mechanisms are nascent: the 2023 Green Credit Rules create a market-based system to reward positive environmental actions. Intended coverage includes tree planting on farms and soil carbon enhancement. To date, PES remains an “emerging” concept in India. Future outcomes are largely preparatory – the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xml:space="preserve"> could eventually monetize ecosystem services in agriculture as it scales up.</w:t>
            </w:r>
          </w:p>
        </w:tc>
        <w:tc>
          <w:tcPr>
            <w:tcW w:w="675" w:type="pct"/>
            <w:vAlign w:val="center"/>
            <w:hideMark/>
          </w:tcPr>
          <w:p w14:paraId="688E129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{"citationItems":[{"id":"ITEM-1","itemData":{"author":[{"dropping-particle":"","family":"The Nature Conservancy India","given":"","non-dropping-particle":"","parse-names":false,"suffix":""}],"id":"ITEM-1","issued":{"date-parts":[["2022"]]},"title":"Strengthening Payments for Ecosystem Services in India","type":"report"},"uris":["http://www.mendeley.com/documents/?uuid=4ec07163-489c-4440-a4ba-a979923c455f"]}],"mendeley":{"formattedCitation":"(The Nature Conservancy India, 2022)","plainTextFormattedCitation":"(The Nature Conservancy India, 2022)","previouslyFormattedCitation":"(The Nature Conservancy India, 2022)"},"properties":{"noteIndex":0},"schema":"https://github.com/citation-style-language/schema/raw/master/csl-citation.json"}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(The Nature Conservancy India, 2022)</w:t>
            </w:r>
            <w:r w:rsidRPr="00681847">
              <w:rPr>
                <w:rFonts w:ascii="Arial" w:hAnsi="Arial" w:cs="Arial"/>
                <w:color w:val="000000"/>
                <w:lang w:eastAsia="en-IN"/>
              </w:rPr>
              <w:fldChar w:fldCharType="end"/>
            </w:r>
          </w:p>
        </w:tc>
      </w:tr>
    </w:tbl>
    <w:p w14:paraId="14A2DED8" w14:textId="77777777" w:rsidR="00681847" w:rsidRDefault="00681847" w:rsidP="00441B6F">
      <w:pPr>
        <w:tabs>
          <w:tab w:val="left" w:pos="1080"/>
        </w:tabs>
        <w:jc w:val="both"/>
        <w:rPr>
          <w:rFonts w:ascii="Arial" w:hAnsi="Arial"/>
          <w:b/>
        </w:rPr>
      </w:pPr>
    </w:p>
    <w:p w14:paraId="6A7F0026"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7.3. Institutional Arrangements: Governance, Monitoring, and Enforcement</w:t>
      </w:r>
    </w:p>
    <w:p w14:paraId="50212551" w14:textId="77777777" w:rsidR="00681847" w:rsidRPr="00681847" w:rsidRDefault="00681847" w:rsidP="00681847">
      <w:pPr>
        <w:autoSpaceDE w:val="0"/>
        <w:autoSpaceDN w:val="0"/>
        <w:adjustRightInd w:val="0"/>
        <w:jc w:val="both"/>
        <w:rPr>
          <w:rFonts w:ascii="Arial" w:hAnsi="Arial" w:cs="Arial"/>
        </w:rPr>
      </w:pPr>
    </w:p>
    <w:p w14:paraId="11071C64" w14:textId="77777777" w:rsidR="00681847" w:rsidRDefault="00681847" w:rsidP="00681847">
      <w:pPr>
        <w:autoSpaceDE w:val="0"/>
        <w:autoSpaceDN w:val="0"/>
        <w:adjustRightInd w:val="0"/>
        <w:jc w:val="both"/>
        <w:rPr>
          <w:rFonts w:ascii="Arial" w:hAnsi="Arial" w:cs="Arial"/>
        </w:rPr>
      </w:pPr>
      <w:r w:rsidRPr="00681847">
        <w:rPr>
          <w:rFonts w:ascii="Arial" w:hAnsi="Arial" w:cs="Arial"/>
        </w:rPr>
        <w:t xml:space="preserve">Credible carbon and PES schemes depend on robust institutions. This encompasses clear property and carbon rights, transparent registries, credible measurement systems, and legal systems to enforce contracts (Shen et al., 2023). International research highlights that effective domestic regulations and monitoring enhance the returns of carbon markets. Indicatively, UNCTAD notes that LDCs require more robust laws, regulations and monitoring to enable projects to bring local development (UNCTAD, 2024). Similarly, the </w:t>
      </w:r>
      <w:proofErr w:type="spellStart"/>
      <w:r w:rsidRPr="00681847">
        <w:rPr>
          <w:rFonts w:ascii="Arial" w:hAnsi="Arial" w:cs="Arial"/>
        </w:rPr>
        <w:t>CompensACTION</w:t>
      </w:r>
      <w:proofErr w:type="spellEnd"/>
      <w:r w:rsidRPr="00681847">
        <w:rPr>
          <w:rFonts w:ascii="Arial" w:hAnsi="Arial" w:cs="Arial"/>
        </w:rPr>
        <w:t xml:space="preserve"> initiative of the G7 emphasizes that strong measurement frameworks will be the key to success in smallholder PES programs (Wollenberg et al., 2022). Common standards such as Verified Carbon Standard, Gold Standard offer independent auditing and verification (MRV) protocols to measure carbon and other metrics (Woo, 2021). Effective governance would include participatory land-use planning and anti-corruption supervision at the local level. In the absence of reliable MRV and enforcement, markets are faltering: the history of voluntary carbon markets has demonstrated that bad quality credits and false claims destroy credibility (Ziegler, 2023). Thus, multi-layer governance: village committees, national agencies, and international organizations should align to make sure that payments are actually based on ecosystem performance.</w:t>
      </w:r>
    </w:p>
    <w:p w14:paraId="6D56802D" w14:textId="77777777" w:rsidR="00681847" w:rsidRDefault="00681847" w:rsidP="00681847">
      <w:pPr>
        <w:autoSpaceDE w:val="0"/>
        <w:autoSpaceDN w:val="0"/>
        <w:adjustRightInd w:val="0"/>
        <w:jc w:val="both"/>
        <w:rPr>
          <w:rFonts w:ascii="Arial" w:hAnsi="Arial" w:cs="Arial"/>
        </w:rPr>
      </w:pPr>
    </w:p>
    <w:p w14:paraId="59BA8855"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 xml:space="preserve">8. Methodological Innovations and Future Directions </w:t>
      </w:r>
    </w:p>
    <w:p w14:paraId="197C0BE8" w14:textId="77777777" w:rsidR="00681847" w:rsidRPr="00681847" w:rsidRDefault="00681847" w:rsidP="00681847">
      <w:pPr>
        <w:autoSpaceDE w:val="0"/>
        <w:autoSpaceDN w:val="0"/>
        <w:adjustRightInd w:val="0"/>
        <w:jc w:val="both"/>
        <w:rPr>
          <w:rFonts w:ascii="Arial" w:hAnsi="Arial" w:cs="Arial"/>
          <w:b/>
          <w:bCs/>
          <w:sz w:val="22"/>
          <w:szCs w:val="22"/>
        </w:rPr>
      </w:pPr>
    </w:p>
    <w:p w14:paraId="640CFEB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8.1. Advances in Econometric Modelling of Adoption and Valuation</w:t>
      </w:r>
    </w:p>
    <w:p w14:paraId="5707CCA1" w14:textId="77777777" w:rsidR="00681847" w:rsidRPr="00681847" w:rsidRDefault="00681847" w:rsidP="00681847">
      <w:pPr>
        <w:autoSpaceDE w:val="0"/>
        <w:autoSpaceDN w:val="0"/>
        <w:adjustRightInd w:val="0"/>
        <w:jc w:val="both"/>
        <w:rPr>
          <w:rFonts w:ascii="Arial" w:hAnsi="Arial" w:cs="Arial"/>
        </w:rPr>
      </w:pPr>
    </w:p>
    <w:p w14:paraId="6194AA84"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 xml:space="preserve">Scientists are increasingly applying advanced modelling to comprehend the </w:t>
      </w:r>
      <w:proofErr w:type="spellStart"/>
      <w:r w:rsidRPr="00681847">
        <w:rPr>
          <w:rFonts w:ascii="Arial" w:hAnsi="Arial" w:cs="Arial"/>
        </w:rPr>
        <w:t>behaviour</w:t>
      </w:r>
      <w:proofErr w:type="spellEnd"/>
      <w:r w:rsidRPr="00681847">
        <w:rPr>
          <w:rFonts w:ascii="Arial" w:hAnsi="Arial" w:cs="Arial"/>
        </w:rPr>
        <w:t xml:space="preserve"> of farmers and the value of ecosystem benefits. Choice experiments and contingent valuation surveys measure the willingness of rural people toward PES. Meanwhile, econometric </w:t>
      </w:r>
      <w:r w:rsidRPr="00681847">
        <w:rPr>
          <w:rFonts w:ascii="Arial" w:hAnsi="Arial" w:cs="Arial"/>
        </w:rPr>
        <w:lastRenderedPageBreak/>
        <w:t xml:space="preserve">models indicate drivers of participation: farm size, education, and risk preferences (Jia et al., 2022; Li et al., 2022). To illustrate, interviews with U.S. farmers revealed that the majority of the respondents were already engaged in sustainable practices, and they considered carbon payments as a supplementary incentive, </w:t>
      </w:r>
      <w:proofErr w:type="spellStart"/>
      <w:r w:rsidRPr="00681847">
        <w:rPr>
          <w:rFonts w:ascii="Arial" w:hAnsi="Arial" w:cs="Arial"/>
        </w:rPr>
        <w:t>emphasising</w:t>
      </w:r>
      <w:proofErr w:type="spellEnd"/>
      <w:r w:rsidRPr="00681847">
        <w:rPr>
          <w:rFonts w:ascii="Arial" w:hAnsi="Arial" w:cs="Arial"/>
        </w:rPr>
        <w:t xml:space="preserve"> the issues of additionality and transaction costs (Barbato &amp; Strong, 2023). These insights can be used to design incentives to appeal to genuinely marginal farmers. Future econometric studies will probably incorporate spatial data and social variables to make predictions about adoption patterns, and will optimize non-market valuation methods to establish fair rates of payment.</w:t>
      </w:r>
    </w:p>
    <w:p w14:paraId="1F5E6358"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8.2. MRV (Measurement, Reporting, and Verification) in Agricultural Carbon Projects</w:t>
      </w:r>
    </w:p>
    <w:p w14:paraId="0315F533"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Credible MRV plays a critical role in verifying that the reported emissions are authentic. Agriculture is a challenge: Carbon and biomass of the soil are distributed erratically. Indicatively, a recent Soil Carbon International Research Consortium that launched in 2023 seeks to harmonize MRV approaches by standardizing measurements and models across projects (</w:t>
      </w:r>
      <w:proofErr w:type="spellStart"/>
      <w:r w:rsidRPr="00681847">
        <w:rPr>
          <w:rFonts w:ascii="Arial" w:hAnsi="Arial" w:cs="Arial"/>
        </w:rPr>
        <w:t>orcasa</w:t>
      </w:r>
      <w:proofErr w:type="spellEnd"/>
      <w:r w:rsidRPr="00681847">
        <w:rPr>
          <w:rFonts w:ascii="Arial" w:hAnsi="Arial" w:cs="Arial"/>
        </w:rPr>
        <w:t xml:space="preserve">, 2025). Machine learning and high-resolution remote sensing by satellite imagery, drone imagery can be used to scale up and monitor land-use changes, tree cover, and soil health indicators more frequently (Mitchell et al., 2017). Mobile soil sensors and big-data models are starting to forecast the carbon of soil with greater accuracy (Liu et al., 2024). A combination of field data and spatial analytics, and carbon accounting is becoming increasingly automated, including COMET-Farm, Gold Standard methodologies (Ellis &amp; Paustian, 2024). Carbon credits and project data are also being tested over blockchain and digital registries (Woo et al., 2021). Therefore, in the near future, the developments in AI and cloud computing will likely reduce the price of MRV and make it more open, which will allow small farms to be a part of effective carbon programs. </w:t>
      </w:r>
    </w:p>
    <w:p w14:paraId="7C6C4AEA" w14:textId="77777777" w:rsidR="00681847" w:rsidRPr="00681847" w:rsidRDefault="00681847" w:rsidP="00681847">
      <w:pPr>
        <w:autoSpaceDE w:val="0"/>
        <w:autoSpaceDN w:val="0"/>
        <w:adjustRightInd w:val="0"/>
        <w:jc w:val="both"/>
        <w:rPr>
          <w:rFonts w:ascii="Arial" w:hAnsi="Arial" w:cs="Arial"/>
        </w:rPr>
      </w:pPr>
    </w:p>
    <w:p w14:paraId="6182E559" w14:textId="77777777" w:rsidR="00681847" w:rsidRPr="00681847" w:rsidRDefault="00681847" w:rsidP="00681847">
      <w:pPr>
        <w:autoSpaceDE w:val="0"/>
        <w:autoSpaceDN w:val="0"/>
        <w:adjustRightInd w:val="0"/>
        <w:jc w:val="both"/>
        <w:rPr>
          <w:rFonts w:ascii="Arial" w:hAnsi="Arial" w:cs="Arial"/>
        </w:rPr>
      </w:pPr>
    </w:p>
    <w:p w14:paraId="75A57F4A"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8.3. Technological Innovations: AI, Remote Sensing, and Blockchain in Carbon Markets</w:t>
      </w:r>
    </w:p>
    <w:p w14:paraId="4525B211" w14:textId="77777777" w:rsidR="00681847" w:rsidRPr="00681847" w:rsidRDefault="00681847" w:rsidP="00681847">
      <w:pPr>
        <w:autoSpaceDE w:val="0"/>
        <w:autoSpaceDN w:val="0"/>
        <w:adjustRightInd w:val="0"/>
        <w:jc w:val="both"/>
        <w:rPr>
          <w:rFonts w:ascii="Arial" w:hAnsi="Arial" w:cs="Arial"/>
        </w:rPr>
      </w:pPr>
    </w:p>
    <w:p w14:paraId="691132AA" w14:textId="77777777" w:rsidR="00681847" w:rsidRDefault="00681847" w:rsidP="00681847">
      <w:pPr>
        <w:autoSpaceDE w:val="0"/>
        <w:autoSpaceDN w:val="0"/>
        <w:adjustRightInd w:val="0"/>
        <w:jc w:val="both"/>
        <w:rPr>
          <w:rFonts w:ascii="Arial" w:hAnsi="Arial" w:cs="Arial"/>
        </w:rPr>
      </w:pPr>
      <w:r w:rsidRPr="00681847">
        <w:rPr>
          <w:rFonts w:ascii="Arial" w:hAnsi="Arial" w:cs="Arial"/>
        </w:rPr>
        <w:t>In addition to MRV, technology is transforming every aspect of carbon-ecosystem markets. Satellite-based remote sensing, such as NASA GEDI, ESA Sentinel series, has become a regular source of information on carbon in vegetation and land cover (Liang, et al., 2025), which helps underline carbon stores. These large datasets can be processed by artificial intelligence, forecasting the carbon fluxes with alternative land practices, and optimizing farm planning according to carbon and yield. The use of AI-based decision tools reduces emissions and enhances resource use efficiency. Transparency in carbon trading is being tested with blockchain and smart contracts: they can trace the history of a credit and execute payment policies automatically (Boumaiza &amp; Maher, 2024). These technologies, though in their early stages in the agricultural sector, are likely to cut down on transaction costs and fraud. Indicatively, micropayments to farmers due to measured carbon sequestration could be facilitated by blockchain platforms in near real-time.</w:t>
      </w:r>
    </w:p>
    <w:p w14:paraId="0D1AB7EB" w14:textId="77777777" w:rsidR="00681847" w:rsidRPr="00681847" w:rsidRDefault="00681847" w:rsidP="00681847">
      <w:pPr>
        <w:autoSpaceDE w:val="0"/>
        <w:autoSpaceDN w:val="0"/>
        <w:adjustRightInd w:val="0"/>
        <w:jc w:val="both"/>
        <w:rPr>
          <w:rFonts w:ascii="Arial" w:hAnsi="Arial" w:cs="Arial"/>
        </w:rPr>
      </w:pPr>
    </w:p>
    <w:p w14:paraId="53D19C7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9. Conclusion</w:t>
      </w:r>
    </w:p>
    <w:p w14:paraId="561F1250" w14:textId="77777777" w:rsidR="00681847" w:rsidRPr="00681847" w:rsidRDefault="00681847" w:rsidP="00681847">
      <w:pPr>
        <w:autoSpaceDE w:val="0"/>
        <w:autoSpaceDN w:val="0"/>
        <w:adjustRightInd w:val="0"/>
        <w:jc w:val="both"/>
        <w:rPr>
          <w:rFonts w:ascii="Arial" w:hAnsi="Arial" w:cs="Arial"/>
        </w:rPr>
      </w:pPr>
    </w:p>
    <w:p w14:paraId="357BE7BE" w14:textId="2B6C72F9" w:rsidR="00681847" w:rsidRDefault="00681847" w:rsidP="00681847">
      <w:pPr>
        <w:autoSpaceDE w:val="0"/>
        <w:autoSpaceDN w:val="0"/>
        <w:adjustRightInd w:val="0"/>
        <w:jc w:val="both"/>
        <w:rPr>
          <w:rFonts w:ascii="Arial" w:hAnsi="Arial" w:cs="Arial"/>
        </w:rPr>
      </w:pPr>
      <w:r w:rsidRPr="00681847">
        <w:rPr>
          <w:rFonts w:ascii="Arial" w:hAnsi="Arial" w:cs="Arial"/>
        </w:rPr>
        <w:t xml:space="preserve">Carbon credits and ecosystem service valuation provide alternative economic directions towards more sustainable agriculture and resilient rural livelihoods. This literature study reveals how properly priced carbon incentives can ensure that agriculture becomes a part of the climate solution, and ecosystem service valuations help direct sustainable land use by discovering hidden values such as clean water and biodiversity. The are numerous co-benefits: carbon farming maintains healthier soils, increases biodiversity, and improves water management. However, to capture these synergies, special attention has to be paid to designing them to prevent trade-offs: optimizing food production could mean trading off part of the carbon and biodiversity benefits, and vice versa. These outcomes can be balanced with integrated, bundled strategies, including multi-service PES. From a policy perspective, </w:t>
      </w:r>
      <w:r w:rsidRPr="00681847">
        <w:rPr>
          <w:rFonts w:ascii="Arial" w:hAnsi="Arial" w:cs="Arial"/>
        </w:rPr>
        <w:lastRenderedPageBreak/>
        <w:t xml:space="preserve">carbon and PES tools are integrated into global climate and development agendas. The rules of international agreements such as Kyoto, Paris, and post-2025 frameworks motivate countries to establish carbon markets and nature-based solutions, and to negotiate on double-counting and high-integrity credits. At the national level, direct subsidies, as well as carbon pricing and region-specific PES programs, are beginning to emerge in most regions. Institutional capacity is still a challenge: strong MRV, transparent land rights, and effective governance are needed to make sure that payments are made to the intended beneficiaries, and ecosystems are genuinely improved. These economic tools can assist in transforming agri-food systems that are required to meet climate and sustainable development goals, United Nations Sustainable Development Goals SDG 2: Zero Hunger, SDG 13: Climate Action, and SDG 15: Life on Land. Indicatively, encouraging smallholder farmers to adopt carbon-smart agriculture using both market and policy-based incentives can simultaneously help achieve poverty reduction and climate mitigation goals. In this regard, future studies need to be devoted to impact assessment </w:t>
      </w:r>
      <w:proofErr w:type="spellStart"/>
      <w:r w:rsidRPr="00681847">
        <w:rPr>
          <w:rFonts w:ascii="Arial" w:hAnsi="Arial" w:cs="Arial"/>
        </w:rPr>
        <w:t>rigour</w:t>
      </w:r>
      <w:proofErr w:type="spellEnd"/>
      <w:r w:rsidRPr="00681847">
        <w:rPr>
          <w:rFonts w:ascii="Arial" w:hAnsi="Arial" w:cs="Arial"/>
        </w:rPr>
        <w:t xml:space="preserve"> on the available carbon-PES projects, advanced econometric and spatial modelling of adoption, and advanced accounting techniques of ecosystem bundles. The evaluation of long-term effects on economic and ecological risk-sharing strategies among farmers and the provision of accessibility to marginalized communities are critical. Agricultural economists and interdisciplinary groups will be instrumental in assessing and improving these mechanisms. Finally, pricing carbon and ecosystem services in agriculture would bridge climate action and rural development. As we incorporate such valuations into markets and policy, we can give farmers an option to viable income streams that also involve carbon sequestration and conserve ecosystems. To attain global sustainability targets, such integrated strategies will have to be scaled and efficient economic analysis and governance facilitated. With mounting evidence, it is evident that economic incentives, when properly designed, can turn agricultural landscapes into a crucial key to both climate mitigation and resilient livelihoods.</w:t>
      </w:r>
    </w:p>
    <w:p w14:paraId="372B38D4" w14:textId="4366C4C4" w:rsidR="00927834" w:rsidRDefault="00927834" w:rsidP="00681847">
      <w:pPr>
        <w:autoSpaceDE w:val="0"/>
        <w:autoSpaceDN w:val="0"/>
        <w:adjustRightInd w:val="0"/>
        <w:jc w:val="both"/>
        <w:rPr>
          <w:rFonts w:ascii="Arial" w:hAnsi="Arial" w:cs="Arial"/>
          <w:b/>
          <w:bCs/>
          <w:sz w:val="22"/>
          <w:szCs w:val="22"/>
        </w:rPr>
      </w:pPr>
    </w:p>
    <w:p w14:paraId="5897732F" w14:textId="452AC610" w:rsidR="001D40E7" w:rsidRDefault="001D40E7" w:rsidP="00681847">
      <w:pPr>
        <w:autoSpaceDE w:val="0"/>
        <w:autoSpaceDN w:val="0"/>
        <w:adjustRightInd w:val="0"/>
        <w:jc w:val="both"/>
        <w:rPr>
          <w:rFonts w:ascii="Arial" w:hAnsi="Arial" w:cs="Arial"/>
          <w:b/>
          <w:bCs/>
          <w:sz w:val="22"/>
          <w:szCs w:val="22"/>
        </w:rPr>
      </w:pPr>
    </w:p>
    <w:p w14:paraId="14FD348C" w14:textId="50D5A571" w:rsidR="001D40E7" w:rsidRDefault="001D40E7" w:rsidP="00681847">
      <w:pPr>
        <w:autoSpaceDE w:val="0"/>
        <w:autoSpaceDN w:val="0"/>
        <w:adjustRightInd w:val="0"/>
        <w:jc w:val="both"/>
        <w:rPr>
          <w:rFonts w:ascii="Arial" w:hAnsi="Arial" w:cs="Arial"/>
          <w:b/>
          <w:bCs/>
          <w:sz w:val="22"/>
          <w:szCs w:val="22"/>
        </w:rPr>
      </w:pPr>
    </w:p>
    <w:p w14:paraId="2C87E801" w14:textId="77777777" w:rsidR="001D40E7" w:rsidRDefault="001D40E7" w:rsidP="001D40E7">
      <w:pPr>
        <w:rPr>
          <w:rFonts w:ascii="Calibri" w:eastAsia="Calibri" w:hAnsi="Calibri"/>
          <w:kern w:val="2"/>
          <w:highlight w:val="yellow"/>
        </w:rPr>
      </w:pPr>
      <w:bookmarkStart w:id="3" w:name="_Hlk204003461"/>
      <w:bookmarkStart w:id="4" w:name="_Hlk213070710"/>
      <w:r>
        <w:rPr>
          <w:rFonts w:ascii="Calibri" w:eastAsia="Calibri" w:hAnsi="Calibri"/>
          <w:kern w:val="2"/>
          <w:highlight w:val="yellow"/>
        </w:rPr>
        <w:t>Disclaimer (Artificial intelligence)</w:t>
      </w:r>
    </w:p>
    <w:p w14:paraId="77BA990B" w14:textId="77777777" w:rsidR="00D2432A" w:rsidRDefault="00D2432A" w:rsidP="001D40E7">
      <w:pPr>
        <w:rPr>
          <w:rFonts w:ascii="Calibri" w:eastAsia="Calibri" w:hAnsi="Calibri"/>
          <w:kern w:val="2"/>
          <w:highlight w:val="yellow"/>
        </w:rPr>
      </w:pPr>
    </w:p>
    <w:p w14:paraId="3FED9A08" w14:textId="77777777" w:rsidR="001D40E7" w:rsidRDefault="001D40E7" w:rsidP="001D40E7">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3"/>
    <w:bookmarkEnd w:id="4"/>
    <w:p w14:paraId="1DCD3D30" w14:textId="77777777" w:rsidR="00860000" w:rsidRDefault="00860000" w:rsidP="00441B6F">
      <w:pPr>
        <w:pStyle w:val="ReferHead"/>
        <w:spacing w:after="0"/>
        <w:jc w:val="both"/>
        <w:rPr>
          <w:rFonts w:ascii="Arial" w:hAnsi="Arial" w:cs="Arial"/>
        </w:rPr>
      </w:pPr>
    </w:p>
    <w:p w14:paraId="55023515" w14:textId="6044B659" w:rsidR="00790ADA" w:rsidRDefault="00681847" w:rsidP="00441B6F">
      <w:pPr>
        <w:pStyle w:val="ReferHead"/>
        <w:spacing w:after="0"/>
        <w:jc w:val="both"/>
        <w:rPr>
          <w:rFonts w:ascii="Arial" w:hAnsi="Arial" w:cs="Arial"/>
        </w:rPr>
      </w:pPr>
      <w:r w:rsidRPr="00681847">
        <w:rPr>
          <w:rFonts w:ascii="Arial" w:hAnsi="Arial" w:cs="Arial"/>
        </w:rPr>
        <w:t>10. References</w:t>
      </w:r>
    </w:p>
    <w:p w14:paraId="15897669" w14:textId="77777777" w:rsidR="00681847" w:rsidRPr="00FB3A86" w:rsidRDefault="00681847" w:rsidP="00441B6F">
      <w:pPr>
        <w:pStyle w:val="ReferHead"/>
        <w:spacing w:after="0"/>
        <w:jc w:val="both"/>
        <w:rPr>
          <w:rFonts w:ascii="Arial" w:hAnsi="Arial" w:cs="Arial"/>
        </w:rPr>
      </w:pPr>
    </w:p>
    <w:p w14:paraId="5F014557" w14:textId="6DC526EA" w:rsidR="00681847" w:rsidRDefault="00681847" w:rsidP="00681847">
      <w:pPr>
        <w:pStyle w:val="Body"/>
      </w:pPr>
      <w:r>
        <w:t xml:space="preserve">Aaron Scheid, Hugh McDonald, Julia Bognar, L.-L. T. (2023). Carbon farming co-benefits: Approaches to enhance and safeguard biodiversity. </w:t>
      </w:r>
      <w:hyperlink r:id="rId16" w:history="1">
        <w:r w:rsidR="0018237F" w:rsidRPr="00677B16">
          <w:rPr>
            <w:rStyle w:val="Hyperlink"/>
          </w:rPr>
          <w:t>https://ieep.eu/wp-content/uploads/2023/01/Carbon-farming-co-benefits-Approaches-to-enhance-and-safeguard-biodiversity_IEEP-Ecologic-2023.pdf</w:t>
        </w:r>
      </w:hyperlink>
      <w:r>
        <w:t>.</w:t>
      </w:r>
      <w:r w:rsidR="0018237F">
        <w:t xml:space="preserve"> </w:t>
      </w:r>
    </w:p>
    <w:p w14:paraId="4ECDF412" w14:textId="42581191" w:rsidR="00681847" w:rsidRDefault="00681847" w:rsidP="00681847">
      <w:pPr>
        <w:pStyle w:val="Body"/>
      </w:pPr>
      <w:r>
        <w:t xml:space="preserve">Abebaw, S. E. (2025). A Global Review of the Impacts of Climate Change and Variability on </w:t>
      </w:r>
      <w:proofErr w:type="gramStart"/>
      <w:r>
        <w:t>Agricultural  Productivity</w:t>
      </w:r>
      <w:proofErr w:type="gramEnd"/>
      <w:r>
        <w:t xml:space="preserve"> and Farmers’ Adaptation Strategies. Food Science &amp; Nutrition, 13(5), e70260. </w:t>
      </w:r>
      <w:hyperlink r:id="rId17" w:history="1">
        <w:r w:rsidR="00EF0C54" w:rsidRPr="00677B16">
          <w:rPr>
            <w:rStyle w:val="Hyperlink"/>
          </w:rPr>
          <w:t>https://doi.org/10.1002/fsn3.70260</w:t>
        </w:r>
      </w:hyperlink>
      <w:r w:rsidR="00EF0C54">
        <w:t xml:space="preserve"> </w:t>
      </w:r>
    </w:p>
    <w:p w14:paraId="4E192BBB" w14:textId="17E96865" w:rsidR="00681847" w:rsidRDefault="00681847" w:rsidP="00681847">
      <w:pPr>
        <w:pStyle w:val="Body"/>
      </w:pPr>
      <w:r>
        <w:t xml:space="preserve">Adekunle Stephen Toromade, Deborah </w:t>
      </w:r>
      <w:proofErr w:type="spellStart"/>
      <w:r>
        <w:t>Aanuoluwa</w:t>
      </w:r>
      <w:proofErr w:type="spellEnd"/>
      <w:r>
        <w:t xml:space="preserve"> </w:t>
      </w:r>
      <w:proofErr w:type="spellStart"/>
      <w:r>
        <w:t>Soyombo</w:t>
      </w:r>
      <w:proofErr w:type="spellEnd"/>
      <w:r>
        <w:t xml:space="preserve">, Eseoghene Kupa, &amp; Tochukwu Ignatius Ijomah. (2024). Reviewing the impact of climate change on global food security: Challenges and solutions. International Journal of Applied Research in Social Sciences, 6(7), 1403–1416. </w:t>
      </w:r>
      <w:hyperlink r:id="rId18" w:history="1">
        <w:r w:rsidR="00E20414" w:rsidRPr="00677B16">
          <w:rPr>
            <w:rStyle w:val="Hyperlink"/>
          </w:rPr>
          <w:t>https://doi.org/10.51594/ijarss.v6i7.1300</w:t>
        </w:r>
      </w:hyperlink>
      <w:r w:rsidR="00E20414">
        <w:t xml:space="preserve"> </w:t>
      </w:r>
    </w:p>
    <w:p w14:paraId="36AF92EE" w14:textId="668C174D" w:rsidR="00681847" w:rsidRDefault="00681847" w:rsidP="00681847">
      <w:pPr>
        <w:pStyle w:val="Body"/>
      </w:pPr>
      <w:proofErr w:type="spellStart"/>
      <w:r>
        <w:lastRenderedPageBreak/>
        <w:t>Adimassu</w:t>
      </w:r>
      <w:proofErr w:type="spellEnd"/>
      <w:r>
        <w:t xml:space="preserve">, Z., </w:t>
      </w:r>
      <w:proofErr w:type="spellStart"/>
      <w:r>
        <w:t>Tibebe</w:t>
      </w:r>
      <w:proofErr w:type="spellEnd"/>
      <w:r>
        <w:t xml:space="preserve">, D., Tamene, L., &amp; Abera, W. (2025). Evaluating the effects of Climate Smart Agricultural (CSA) practices on productivity, adaptation, and mitigation indicators in Ethiopia: A meta-analysis approach. </w:t>
      </w:r>
      <w:proofErr w:type="spellStart"/>
      <w:r>
        <w:t>Heliyon</w:t>
      </w:r>
      <w:proofErr w:type="spellEnd"/>
      <w:r>
        <w:t xml:space="preserve">, 11(4). </w:t>
      </w:r>
      <w:hyperlink r:id="rId19" w:history="1">
        <w:r w:rsidR="0013759C" w:rsidRPr="00677B16">
          <w:rPr>
            <w:rStyle w:val="Hyperlink"/>
          </w:rPr>
          <w:t>https://doi.org/10.1016/j.heliyon.2025.e42796</w:t>
        </w:r>
      </w:hyperlink>
      <w:r w:rsidR="0013759C">
        <w:t xml:space="preserve"> </w:t>
      </w:r>
    </w:p>
    <w:p w14:paraId="08A480D1" w14:textId="08BEF839" w:rsidR="00681847" w:rsidRDefault="00681847" w:rsidP="00681847">
      <w:pPr>
        <w:pStyle w:val="Body"/>
      </w:pPr>
      <w:r>
        <w:t xml:space="preserve">Ahmad, M. M., Yaseen, M., &amp; Saqib, S. E. (2022). Climate change impacts of drought on the livelihood of dryland smallholders: Implications of adaptation challenges. International Journal of Disaster Risk Reduction, 80, 103210. </w:t>
      </w:r>
      <w:hyperlink r:id="rId20" w:history="1">
        <w:r w:rsidR="00F04B30" w:rsidRPr="00677B16">
          <w:rPr>
            <w:rStyle w:val="Hyperlink"/>
          </w:rPr>
          <w:t>https://doi.org/10.1016/j.ijdrr.2022.103210</w:t>
        </w:r>
      </w:hyperlink>
      <w:r w:rsidR="00F04B30">
        <w:t xml:space="preserve"> </w:t>
      </w:r>
    </w:p>
    <w:p w14:paraId="29EE88ED" w14:textId="389BB009" w:rsidR="00681847" w:rsidRDefault="00681847" w:rsidP="00681847">
      <w:pPr>
        <w:pStyle w:val="Body"/>
      </w:pPr>
      <w:r>
        <w:t xml:space="preserve">Anna Fiore, H. G. (2025). Nature markets: how can credits and shares provide durable, additional finance? </w:t>
      </w:r>
      <w:hyperlink r:id="rId21" w:history="1">
        <w:r w:rsidR="009C782F" w:rsidRPr="00677B16">
          <w:rPr>
            <w:rStyle w:val="Hyperlink"/>
          </w:rPr>
          <w:t>https://www.bruegel.org/policy-brief/nature-markets-how-can-credits-and-shares-provide-durable-additional-finance</w:t>
        </w:r>
      </w:hyperlink>
      <w:r>
        <w:t>.</w:t>
      </w:r>
      <w:r w:rsidR="009C782F">
        <w:t xml:space="preserve"> </w:t>
      </w:r>
    </w:p>
    <w:p w14:paraId="3F07AC03" w14:textId="33B4EF3E" w:rsidR="00681847" w:rsidRDefault="00681847" w:rsidP="00681847">
      <w:pPr>
        <w:pStyle w:val="Body"/>
      </w:pPr>
      <w:r>
        <w:t xml:space="preserve">Awazi, N. P., Alemagi, D., &amp; </w:t>
      </w:r>
      <w:proofErr w:type="spellStart"/>
      <w:r>
        <w:t>Ambebe</w:t>
      </w:r>
      <w:proofErr w:type="spellEnd"/>
      <w:r>
        <w:t xml:space="preserve">, T. F. (2025). Promoting the carbon market in agroforestry systems: the role of global, national and sectoral initiatives. Discover Forests, 1(1), 9. </w:t>
      </w:r>
      <w:hyperlink r:id="rId22" w:history="1">
        <w:r w:rsidR="00C656D9" w:rsidRPr="00677B16">
          <w:rPr>
            <w:rStyle w:val="Hyperlink"/>
          </w:rPr>
          <w:t>https://doi.org/10.1007/s44415-025-00013-4</w:t>
        </w:r>
      </w:hyperlink>
      <w:r w:rsidR="00C656D9">
        <w:t xml:space="preserve"> </w:t>
      </w:r>
    </w:p>
    <w:p w14:paraId="245EC69C" w14:textId="1DBBD207" w:rsidR="00681847" w:rsidRDefault="00681847" w:rsidP="00681847">
      <w:pPr>
        <w:pStyle w:val="Body"/>
      </w:pPr>
      <w:r>
        <w:t xml:space="preserve">Aza, A. C. F. (2019). Evaluation of integrated PES schemes with focus on sustainability and resilience enhancement: the case of Brazil (Doctoral dissertation, Master Thesis. International Master of Science in Rural Development, </w:t>
      </w:r>
      <w:proofErr w:type="spellStart"/>
      <w:r>
        <w:t>Universidade</w:t>
      </w:r>
      <w:proofErr w:type="spellEnd"/>
      <w:r>
        <w:t xml:space="preserve"> de Pisa, Pisa, </w:t>
      </w:r>
      <w:proofErr w:type="spellStart"/>
      <w:r>
        <w:t>Itália</w:t>
      </w:r>
      <w:proofErr w:type="spellEnd"/>
      <w:r>
        <w:t xml:space="preserve"> 2018. 145p. </w:t>
      </w:r>
      <w:proofErr w:type="spellStart"/>
      <w:r>
        <w:t>Disponível</w:t>
      </w:r>
      <w:proofErr w:type="spellEnd"/>
      <w:r>
        <w:t xml:space="preserve"> em </w:t>
      </w:r>
      <w:hyperlink r:id="rId23" w:history="1">
        <w:r w:rsidR="005679B5" w:rsidRPr="00677B16">
          <w:rPr>
            <w:rStyle w:val="Hyperlink"/>
          </w:rPr>
          <w:t>https://lib.ugent.be/fulltxt/RUG01/002/509/552/RUG01-002509552_2018_0001_AC.pdf</w:t>
        </w:r>
      </w:hyperlink>
      <w:r w:rsidR="005679B5">
        <w:t xml:space="preserve"> </w:t>
      </w:r>
      <w:r>
        <w:t>.</w:t>
      </w:r>
    </w:p>
    <w:p w14:paraId="62F60824" w14:textId="0129793D" w:rsidR="00681847" w:rsidRDefault="00681847" w:rsidP="00681847">
      <w:pPr>
        <w:pStyle w:val="Body"/>
      </w:pPr>
      <w:r>
        <w:t xml:space="preserve">Bailey, I., &amp; Buck, L. E. (2016). Managing for resilience: a landscape framework for food and livelihood security and ecosystem services. Food Security, 8(3), 477–490. </w:t>
      </w:r>
      <w:hyperlink r:id="rId24" w:history="1">
        <w:r w:rsidR="00E17EFD" w:rsidRPr="00677B16">
          <w:rPr>
            <w:rStyle w:val="Hyperlink"/>
          </w:rPr>
          <w:t>https://doi.org/10.1007/s12571-016-0575-9</w:t>
        </w:r>
      </w:hyperlink>
      <w:r w:rsidR="00E17EFD">
        <w:t xml:space="preserve"> </w:t>
      </w:r>
    </w:p>
    <w:p w14:paraId="13A33322" w14:textId="6F27C400" w:rsidR="00681847" w:rsidRDefault="00681847" w:rsidP="00681847">
      <w:pPr>
        <w:pStyle w:val="Body"/>
      </w:pPr>
      <w:r>
        <w:t xml:space="preserve">Barbato, C. T., &amp; Strong, A. L. (2023). Farmer perspectives on carbon markets incentivizing agricultural soil carbon sequestration. </w:t>
      </w:r>
      <w:proofErr w:type="spellStart"/>
      <w:r>
        <w:t>Npj</w:t>
      </w:r>
      <w:proofErr w:type="spellEnd"/>
      <w:r>
        <w:t xml:space="preserve"> Climate Action, 2(1), 26. </w:t>
      </w:r>
      <w:hyperlink r:id="rId25" w:history="1">
        <w:r w:rsidR="00A81832" w:rsidRPr="00677B16">
          <w:rPr>
            <w:rStyle w:val="Hyperlink"/>
          </w:rPr>
          <w:t>https://doi.org/10.1038/s44168-023-00055-4</w:t>
        </w:r>
      </w:hyperlink>
      <w:r w:rsidR="00A81832">
        <w:t xml:space="preserve"> </w:t>
      </w:r>
    </w:p>
    <w:p w14:paraId="76ED61F6" w14:textId="638BCD10" w:rsidR="00681847" w:rsidRDefault="00681847" w:rsidP="00681847">
      <w:pPr>
        <w:pStyle w:val="Body"/>
      </w:pPr>
      <w:r>
        <w:t xml:space="preserve">Barkmann, J., Glenk, K., Keil, A., Leemhuis, C., Dietrich, N., Gerold, G., &amp; Marggraf, R. (2008). Confronting unfamiliarity with ecosystem functions: The case for an ecosystem service approach to environmental valuation with stated preference methods. Ecological Economics, 65(1), 48–62. </w:t>
      </w:r>
      <w:hyperlink r:id="rId26" w:history="1">
        <w:r w:rsidR="00640289" w:rsidRPr="00677B16">
          <w:rPr>
            <w:rStyle w:val="Hyperlink"/>
          </w:rPr>
          <w:t>https://doi.org/10.1016/j.ecolecon.2007.12.002</w:t>
        </w:r>
      </w:hyperlink>
      <w:r w:rsidR="00640289">
        <w:t xml:space="preserve"> </w:t>
      </w:r>
    </w:p>
    <w:p w14:paraId="0BD40691" w14:textId="1CCE3736" w:rsidR="00681847" w:rsidRDefault="00681847" w:rsidP="00681847">
      <w:pPr>
        <w:pStyle w:val="Body"/>
      </w:pPr>
      <w:r>
        <w:t xml:space="preserve">Bateman, I. J., &amp; Kling, C. L. (2020). Revealed preference methods for nonmarket valuation: An introduction to best practices. Review of Environmental Economics and Policy. </w:t>
      </w:r>
      <w:hyperlink r:id="rId27" w:history="1">
        <w:r w:rsidR="00B43C6C" w:rsidRPr="00677B16">
          <w:rPr>
            <w:rStyle w:val="Hyperlink"/>
          </w:rPr>
          <w:t>https://doi.org/10.1093/reep/reaa009</w:t>
        </w:r>
      </w:hyperlink>
      <w:r w:rsidR="00B43C6C">
        <w:t xml:space="preserve"> </w:t>
      </w:r>
      <w:r>
        <w:t>.</w:t>
      </w:r>
    </w:p>
    <w:p w14:paraId="600CA73D" w14:textId="77777777" w:rsidR="00681847" w:rsidRDefault="00681847" w:rsidP="00681847">
      <w:pPr>
        <w:pStyle w:val="Body"/>
      </w:pPr>
      <w:proofErr w:type="spellStart"/>
      <w:r>
        <w:t>Battocletti</w:t>
      </w:r>
      <w:proofErr w:type="spellEnd"/>
      <w:r>
        <w:t>, V. (2025). THE VOLUNTARY CARBON MARKET: A Law and Economics Analysis. https://tesidottorato.depositolegale.it/handle/20.500.14242/213807. Retrieved on 10th October 2025.</w:t>
      </w:r>
    </w:p>
    <w:p w14:paraId="6078C2B3" w14:textId="3B1B7ADE" w:rsidR="00681847" w:rsidRDefault="00681847" w:rsidP="00681847">
      <w:pPr>
        <w:pStyle w:val="Body"/>
      </w:pPr>
      <w:proofErr w:type="spellStart"/>
      <w:r>
        <w:t>Baveye</w:t>
      </w:r>
      <w:proofErr w:type="spellEnd"/>
      <w:r>
        <w:t xml:space="preserve">, P. C., </w:t>
      </w:r>
      <w:proofErr w:type="spellStart"/>
      <w:r>
        <w:t>Baveye</w:t>
      </w:r>
      <w:proofErr w:type="spellEnd"/>
      <w:r>
        <w:t xml:space="preserve">, J., &amp; Gowdy, J. (2016). Soil “Ecosystem” Services and Natural Capital: Critical Appraisal of Research on Uncertain Ground. Frontiers in Environmental Science, 4. </w:t>
      </w:r>
      <w:hyperlink r:id="rId28" w:history="1">
        <w:r w:rsidR="00241A1A" w:rsidRPr="00677B16">
          <w:rPr>
            <w:rStyle w:val="Hyperlink"/>
          </w:rPr>
          <w:t>https://doi.org/10.3389/fenvs.2016.00041</w:t>
        </w:r>
      </w:hyperlink>
      <w:r w:rsidR="00241A1A">
        <w:t xml:space="preserve"> </w:t>
      </w:r>
    </w:p>
    <w:p w14:paraId="13D22A51" w14:textId="48D0CFFA" w:rsidR="00681847" w:rsidRDefault="00681847" w:rsidP="00681847">
      <w:pPr>
        <w:pStyle w:val="Body"/>
      </w:pPr>
      <w:proofErr w:type="spellStart"/>
      <w:r>
        <w:t>Behboudian</w:t>
      </w:r>
      <w:proofErr w:type="spellEnd"/>
      <w:r>
        <w:t xml:space="preserve">, M., </w:t>
      </w:r>
      <w:proofErr w:type="spellStart"/>
      <w:r>
        <w:t>Kerachian</w:t>
      </w:r>
      <w:proofErr w:type="spellEnd"/>
      <w:r>
        <w:t xml:space="preserve">, R., </w:t>
      </w:r>
      <w:proofErr w:type="spellStart"/>
      <w:r>
        <w:t>Motlaghzadeh</w:t>
      </w:r>
      <w:proofErr w:type="spellEnd"/>
      <w:r>
        <w:t xml:space="preserve">, K., &amp; Ashrafi, S. (2021). Evaluating water resources management scenarios considering the hierarchical structure of decision-makers and ecosystem services-based criteria. Science of The Total Environment, 751, 141759. </w:t>
      </w:r>
      <w:hyperlink r:id="rId29" w:history="1">
        <w:r w:rsidR="00440860" w:rsidRPr="00677B16">
          <w:rPr>
            <w:rStyle w:val="Hyperlink"/>
          </w:rPr>
          <w:t>https://doi.org/10.1016/j.scitotenv.2020.141759</w:t>
        </w:r>
      </w:hyperlink>
      <w:r w:rsidR="00440860">
        <w:t xml:space="preserve"> </w:t>
      </w:r>
    </w:p>
    <w:p w14:paraId="00AE1E60" w14:textId="5BF7CED2" w:rsidR="00681847" w:rsidRDefault="00681847" w:rsidP="00681847">
      <w:pPr>
        <w:pStyle w:val="Body"/>
      </w:pPr>
      <w:r>
        <w:lastRenderedPageBreak/>
        <w:t xml:space="preserve">Bhattacharyya, P., Santra, P., Mandal, D., &amp; Mondal, B. (2022). Pricing of Carbon Sequestration and Environmental Regulation. In Pricing of Ecosystem Services in Agriculture: A Basis of Crop Insurance (pp. 59–81). Springer Nature Singapore. </w:t>
      </w:r>
      <w:hyperlink r:id="rId30" w:history="1">
        <w:r w:rsidR="00AF762E" w:rsidRPr="00677B16">
          <w:rPr>
            <w:rStyle w:val="Hyperlink"/>
          </w:rPr>
          <w:t>https://doi.org/10.1007/978-981-19-4416-1_4</w:t>
        </w:r>
      </w:hyperlink>
      <w:r w:rsidR="00AF762E">
        <w:t xml:space="preserve"> </w:t>
      </w:r>
    </w:p>
    <w:p w14:paraId="32CFFE26" w14:textId="66D757AC" w:rsidR="00681847" w:rsidRDefault="00681847" w:rsidP="00681847">
      <w:pPr>
        <w:pStyle w:val="Body"/>
      </w:pPr>
      <w:r>
        <w:t xml:space="preserve">Boumaiza, A., &amp; Maher, K. (2024). Leveraging blockchain technology to enhance transparency and efficiency in carbon trading markets. International Journal of Electrical Power &amp; Energy Systems, 162, 110225. </w:t>
      </w:r>
      <w:hyperlink r:id="rId31" w:history="1">
        <w:r w:rsidR="00132595" w:rsidRPr="00677B16">
          <w:rPr>
            <w:rStyle w:val="Hyperlink"/>
          </w:rPr>
          <w:t>https://doi.org/10.1016/j.ijepes.2024.110225</w:t>
        </w:r>
      </w:hyperlink>
      <w:r w:rsidR="00132595">
        <w:t xml:space="preserve"> </w:t>
      </w:r>
    </w:p>
    <w:p w14:paraId="7055D743" w14:textId="24BEFA9A" w:rsidR="00681847" w:rsidRDefault="00681847" w:rsidP="00681847">
      <w:pPr>
        <w:pStyle w:val="Body"/>
      </w:pPr>
      <w:r>
        <w:t xml:space="preserve">Cariappa, A. A. G., </w:t>
      </w:r>
      <w:proofErr w:type="spellStart"/>
      <w:r>
        <w:t>Konath</w:t>
      </w:r>
      <w:proofErr w:type="spellEnd"/>
      <w:r>
        <w:t xml:space="preserve">, N. C., Sapkota, T. B., &amp; Krishna, V. V. (2024). Evaluating the potential and eligibility of conservation agriculture practices for carbon credits. Scientific Reports, 14(1), 9193. </w:t>
      </w:r>
      <w:hyperlink r:id="rId32" w:history="1">
        <w:r w:rsidR="00FE04C5" w:rsidRPr="00677B16">
          <w:rPr>
            <w:rStyle w:val="Hyperlink"/>
          </w:rPr>
          <w:t>https://doi.org/10.1038/s41598-024-59262-6</w:t>
        </w:r>
      </w:hyperlink>
      <w:r w:rsidR="00FE04C5">
        <w:t xml:space="preserve"> </w:t>
      </w:r>
    </w:p>
    <w:p w14:paraId="28301A6B" w14:textId="6B4941DB" w:rsidR="00681847" w:rsidRDefault="00681847" w:rsidP="00681847">
      <w:pPr>
        <w:pStyle w:val="Body"/>
      </w:pPr>
      <w:r>
        <w:t>Cavender-Bares, J., Polasky, S., King, E., &amp; Balvanera, P. (2015). A sustainability framework for assessing trade-offs in ecosystem services. Ecology and Society, 20(1).</w:t>
      </w:r>
      <w:r w:rsidR="00074992" w:rsidRPr="00074992">
        <w:t xml:space="preserve"> </w:t>
      </w:r>
      <w:hyperlink r:id="rId33" w:history="1">
        <w:r w:rsidR="00074992" w:rsidRPr="00677B16">
          <w:rPr>
            <w:rStyle w:val="Hyperlink"/>
          </w:rPr>
          <w:t>https://doi.org/10.5751/ES-06917-200117</w:t>
        </w:r>
      </w:hyperlink>
      <w:r w:rsidR="00074992">
        <w:t xml:space="preserve"> </w:t>
      </w:r>
    </w:p>
    <w:p w14:paraId="58723A7C" w14:textId="5A1A2157" w:rsidR="00681847" w:rsidRDefault="00681847" w:rsidP="00681847">
      <w:pPr>
        <w:pStyle w:val="Body"/>
      </w:pPr>
      <w:r>
        <w:t xml:space="preserve">Connor, J. D., Summers, D., Regan, C., Abbott, H., Van Der Linden, L., &amp; Frizenschaf, J. (2022). Sensitivity analysis in economic evaluation of payments for water and carbon ecosystem services. Ecosystem Services, 54, 101416. </w:t>
      </w:r>
      <w:hyperlink r:id="rId34" w:history="1">
        <w:r w:rsidR="00782798" w:rsidRPr="00677B16">
          <w:rPr>
            <w:rStyle w:val="Hyperlink"/>
          </w:rPr>
          <w:t>https://doi.org/10.1016/j.ecoser.2022.101416</w:t>
        </w:r>
      </w:hyperlink>
      <w:r w:rsidR="00782798">
        <w:t xml:space="preserve"> </w:t>
      </w:r>
    </w:p>
    <w:p w14:paraId="313A890E" w14:textId="39282B13" w:rsidR="00681847" w:rsidRDefault="00681847" w:rsidP="00681847">
      <w:pPr>
        <w:pStyle w:val="Body"/>
      </w:pPr>
      <w:r>
        <w:t xml:space="preserve">Daniela Chiriac, Harsha Vishnumolakala, P. R. (2023). Landscape of Climate Finance for Agrifood Systems. </w:t>
      </w:r>
      <w:hyperlink r:id="rId35" w:history="1">
        <w:r w:rsidR="00213FAF" w:rsidRPr="00677B16">
          <w:rPr>
            <w:rStyle w:val="Hyperlink"/>
          </w:rPr>
          <w:t>https://www.climatepolicyinitiative.org/wp-content/uploads/2023/07/landscape-of-climate-finance-for-agrifood-systems.pdf</w:t>
        </w:r>
      </w:hyperlink>
      <w:r w:rsidR="00213FAF">
        <w:t xml:space="preserve"> </w:t>
      </w:r>
      <w:r>
        <w:t>.</w:t>
      </w:r>
    </w:p>
    <w:p w14:paraId="2DA8A80B" w14:textId="671A0763" w:rsidR="00681847" w:rsidRDefault="00681847" w:rsidP="00681847">
      <w:pPr>
        <w:pStyle w:val="Body"/>
      </w:pPr>
      <w:r>
        <w:t>Das, U., &amp; Ansari, M. A. (2021). The nexus of climate change, sustainable agriculture and farm livelihood. Climate Research, 84, 23–40.</w:t>
      </w:r>
      <w:r w:rsidR="005B50D7" w:rsidRPr="005B50D7">
        <w:t xml:space="preserve"> </w:t>
      </w:r>
      <w:hyperlink r:id="rId36" w:history="1">
        <w:r w:rsidR="005B50D7" w:rsidRPr="00677B16">
          <w:rPr>
            <w:rStyle w:val="Hyperlink"/>
          </w:rPr>
          <w:t>https://doi.org/10.3354/cr01648</w:t>
        </w:r>
      </w:hyperlink>
      <w:r w:rsidR="005B50D7">
        <w:t xml:space="preserve"> </w:t>
      </w:r>
    </w:p>
    <w:p w14:paraId="3A436C30" w14:textId="2F71F75F" w:rsidR="00681847" w:rsidRDefault="00681847" w:rsidP="00681847">
      <w:pPr>
        <w:pStyle w:val="Body"/>
      </w:pPr>
      <w:r>
        <w:t xml:space="preserve">Deng, L., Liu, S., Kim, D. G., Peng, C., Sweeney, S., &amp; Shangguan, Z. (2017). Past and future carbon sequestration benefits of China’s grain for green program. Global Environmental Change, 47, 13–20. </w:t>
      </w:r>
      <w:hyperlink r:id="rId37" w:history="1">
        <w:r w:rsidR="001C2470" w:rsidRPr="00677B16">
          <w:rPr>
            <w:rStyle w:val="Hyperlink"/>
          </w:rPr>
          <w:t>https://doi.org/10.1016/j.gloenvcha.2017.09.006</w:t>
        </w:r>
      </w:hyperlink>
      <w:r w:rsidR="001C2470">
        <w:t xml:space="preserve"> </w:t>
      </w:r>
    </w:p>
    <w:p w14:paraId="479A3E23" w14:textId="552C3DDE" w:rsidR="00681847" w:rsidRDefault="00681847" w:rsidP="00681847">
      <w:pPr>
        <w:pStyle w:val="Body"/>
      </w:pPr>
      <w:r>
        <w:t xml:space="preserve">Di Sacco, A., Hardwick, K. A., Blakesley, D., </w:t>
      </w:r>
      <w:proofErr w:type="spellStart"/>
      <w:r>
        <w:t>Brancalion</w:t>
      </w:r>
      <w:proofErr w:type="spellEnd"/>
      <w:r>
        <w:t xml:space="preserve">, P. H. S., Breman, E., Cecilio Rebola, L., Chomba, S., Dixon, K., Elliott, S., </w:t>
      </w:r>
      <w:proofErr w:type="spellStart"/>
      <w:r>
        <w:t>Ruyonga</w:t>
      </w:r>
      <w:proofErr w:type="spellEnd"/>
      <w:r>
        <w:t xml:space="preserve">, G., Shaw, K., Smith, P., Smith, R. J., &amp; Antonelli, A. (2021). Ten golden rules for reforestation to optimize carbon sequestration, biodiversity recovery and livelihood benefits. Global Change Biology, 27(7), 1328–1348. </w:t>
      </w:r>
      <w:hyperlink r:id="rId38" w:history="1">
        <w:r w:rsidR="009A0994" w:rsidRPr="00677B16">
          <w:rPr>
            <w:rStyle w:val="Hyperlink"/>
          </w:rPr>
          <w:t>https://doi.org/10.1111/gcb.15498</w:t>
        </w:r>
      </w:hyperlink>
      <w:r w:rsidR="009A0994">
        <w:t xml:space="preserve"> </w:t>
      </w:r>
    </w:p>
    <w:p w14:paraId="034E903F" w14:textId="049024A5" w:rsidR="00681847" w:rsidRDefault="00681847" w:rsidP="00681847">
      <w:pPr>
        <w:pStyle w:val="Body"/>
      </w:pPr>
      <w:r>
        <w:t xml:space="preserve">Dooley, K., &amp; Kartha, S. (2018). Land-based negative emissions: risks for climate mitigation and impacts on sustainable development. International Environmental Agreements: Politics, Law and Economics, 18(1), 79–98. </w:t>
      </w:r>
      <w:hyperlink r:id="rId39" w:history="1">
        <w:r w:rsidR="005A459C" w:rsidRPr="00677B16">
          <w:rPr>
            <w:rStyle w:val="Hyperlink"/>
          </w:rPr>
          <w:t>https://doi.org/10.1007/s10784-017-9382-9</w:t>
        </w:r>
      </w:hyperlink>
      <w:r w:rsidR="005A459C">
        <w:t xml:space="preserve"> </w:t>
      </w:r>
    </w:p>
    <w:p w14:paraId="780077F5" w14:textId="6DA64113" w:rsidR="00681847" w:rsidRDefault="00681847" w:rsidP="00681847">
      <w:pPr>
        <w:pStyle w:val="Body"/>
      </w:pPr>
      <w:r>
        <w:t xml:space="preserve">Edmonds, J., Forrister, D., Clarke, L., Clara, S. de, &amp; Munnings, C. (2019). The economic potential of article 6 of the Paris Agreement and implementation challenges. International Emissions Trading Association. </w:t>
      </w:r>
      <w:hyperlink r:id="rId40" w:history="1">
        <w:r w:rsidR="002B37F7" w:rsidRPr="00677B16">
          <w:rPr>
            <w:rStyle w:val="Hyperlink"/>
          </w:rPr>
          <w:t>https://www.ieta.org/resources/International_WG/Article6/CLPC_A6%20report_no%20crops.pdf</w:t>
        </w:r>
      </w:hyperlink>
      <w:r w:rsidR="002B37F7">
        <w:t xml:space="preserve"> </w:t>
      </w:r>
      <w:r>
        <w:t>.</w:t>
      </w:r>
    </w:p>
    <w:p w14:paraId="4506DF40" w14:textId="0734AC7F" w:rsidR="00681847" w:rsidRDefault="00681847" w:rsidP="00681847">
      <w:pPr>
        <w:pStyle w:val="Body"/>
      </w:pPr>
      <w:r>
        <w:t xml:space="preserve">Ellis, E., &amp; Paustian, K. (2024). Importance of on-farm research for validating process-based models of climate-smart agriculture. Carbon Balance and Management, 19(1), 16. </w:t>
      </w:r>
      <w:hyperlink r:id="rId41" w:history="1">
        <w:r w:rsidR="000327C2" w:rsidRPr="00677B16">
          <w:rPr>
            <w:rStyle w:val="Hyperlink"/>
          </w:rPr>
          <w:t>https://doi.org/10.1186/s13021-024-00260-6</w:t>
        </w:r>
      </w:hyperlink>
      <w:r w:rsidR="000327C2">
        <w:t xml:space="preserve"> </w:t>
      </w:r>
    </w:p>
    <w:p w14:paraId="1C2A4F07" w14:textId="77777777" w:rsidR="009F15F8" w:rsidRDefault="00681847" w:rsidP="00681847">
      <w:pPr>
        <w:pStyle w:val="Body"/>
      </w:pPr>
      <w:r>
        <w:lastRenderedPageBreak/>
        <w:t xml:space="preserve">Emily Joiner, Michael A. Toman, S. R. (2023). How USDA Conservation Programs Mitigate Agricultural Greenhouse Gas Emissions. Issue Brief. </w:t>
      </w:r>
      <w:hyperlink r:id="rId42" w:history="1">
        <w:r w:rsidR="009F15F8" w:rsidRPr="00677B16">
          <w:rPr>
            <w:rStyle w:val="Hyperlink"/>
          </w:rPr>
          <w:t>https://www.rff.org/publications/issue-briefs/how-usda-conservation-programs-mitigate-agricultural-greenhouse-gas-emissions/</w:t>
        </w:r>
      </w:hyperlink>
      <w:r w:rsidR="009F15F8">
        <w:t xml:space="preserve">. </w:t>
      </w:r>
    </w:p>
    <w:p w14:paraId="6F838B50" w14:textId="0810A083" w:rsidR="00681847" w:rsidRDefault="00681847" w:rsidP="00681847">
      <w:pPr>
        <w:pStyle w:val="Body"/>
      </w:pPr>
      <w:r>
        <w:t>European Commission. (2025). Carbon removals and carbon farming. Energy, Climate Change, Environment. Carbon Removals and Carbon Farming - Climate Action - European Commission. Retrieved on 10th October 2025.</w:t>
      </w:r>
      <w:r w:rsidR="00235C9E" w:rsidRPr="00235C9E">
        <w:t xml:space="preserve"> </w:t>
      </w:r>
      <w:hyperlink r:id="rId43" w:history="1">
        <w:r w:rsidR="00235C9E" w:rsidRPr="00677B16">
          <w:rPr>
            <w:rStyle w:val="Hyperlink"/>
          </w:rPr>
          <w:t>https://climate.ec.europa.eu/eu-action/carbon-removals-and-carbon-farming_en</w:t>
        </w:r>
      </w:hyperlink>
      <w:r w:rsidR="00235C9E">
        <w:t xml:space="preserve"> </w:t>
      </w:r>
    </w:p>
    <w:p w14:paraId="248481A9" w14:textId="4B9C731F" w:rsidR="00681847" w:rsidRDefault="00681847" w:rsidP="00681847">
      <w:pPr>
        <w:pStyle w:val="Body"/>
      </w:pPr>
      <w:proofErr w:type="spellStart"/>
      <w:r>
        <w:t>Filewod</w:t>
      </w:r>
      <w:proofErr w:type="spellEnd"/>
      <w:r>
        <w:t>, B., &amp; McCarney, G. (2023). Avoiding carbon leakage from nature-based offsets by design. One Earth, 6(7), 790–802.</w:t>
      </w:r>
      <w:r w:rsidR="00DA40EE" w:rsidRPr="00DA40EE">
        <w:t xml:space="preserve"> </w:t>
      </w:r>
      <w:hyperlink r:id="rId44" w:history="1">
        <w:r w:rsidR="00DA40EE" w:rsidRPr="00677B16">
          <w:rPr>
            <w:rStyle w:val="Hyperlink"/>
          </w:rPr>
          <w:t>https://doi.org/10.1016/j.oneear.2023.05.024</w:t>
        </w:r>
      </w:hyperlink>
      <w:r w:rsidR="00DA40EE">
        <w:t xml:space="preserve"> </w:t>
      </w:r>
    </w:p>
    <w:p w14:paraId="0A6F0524" w14:textId="648BE487" w:rsidR="00681847" w:rsidRDefault="00681847" w:rsidP="00681847">
      <w:pPr>
        <w:pStyle w:val="Body"/>
      </w:pPr>
      <w:proofErr w:type="spellStart"/>
      <w:r>
        <w:t>Finisdore</w:t>
      </w:r>
      <w:proofErr w:type="spellEnd"/>
      <w:r>
        <w:t xml:space="preserve">, J., Rhodes, C., Haines-Young, R., Maynard, S., Wielgus, J., </w:t>
      </w:r>
      <w:proofErr w:type="spellStart"/>
      <w:r>
        <w:t>Dvarskas</w:t>
      </w:r>
      <w:proofErr w:type="spellEnd"/>
      <w:r>
        <w:t xml:space="preserve">, A., </w:t>
      </w:r>
      <w:proofErr w:type="spellStart"/>
      <w:r>
        <w:t>Houdet</w:t>
      </w:r>
      <w:proofErr w:type="spellEnd"/>
      <w:r>
        <w:t xml:space="preserve">, J., </w:t>
      </w:r>
      <w:proofErr w:type="spellStart"/>
      <w:r>
        <w:t>Quétier</w:t>
      </w:r>
      <w:proofErr w:type="spellEnd"/>
      <w:r>
        <w:t xml:space="preserve">, F., Lamothe, K. A., Ding, H., Soulard, F., Van Houtven, G., &amp; Rowcroft, P. (2020). The 18 benefits of using ecosystem services classification systems. Ecosystem Services, 45, 101160. </w:t>
      </w:r>
      <w:hyperlink r:id="rId45" w:history="1">
        <w:r w:rsidR="001C303E" w:rsidRPr="00677B16">
          <w:rPr>
            <w:rStyle w:val="Hyperlink"/>
          </w:rPr>
          <w:t>https://doi.org/10.1016/j.ecoser.2020.101160</w:t>
        </w:r>
      </w:hyperlink>
      <w:r w:rsidR="001C303E">
        <w:t xml:space="preserve"> </w:t>
      </w:r>
    </w:p>
    <w:p w14:paraId="6024FA43" w14:textId="4C470E20" w:rsidR="00681847" w:rsidRDefault="00681847" w:rsidP="00681847">
      <w:pPr>
        <w:pStyle w:val="Body"/>
      </w:pPr>
      <w:r>
        <w:t xml:space="preserve">Food and Agriculture Organization of the United Nations. (2024). Greenhouse gas emissions from agrifood systems: Global, regional and country trends, 2000–2022. </w:t>
      </w:r>
      <w:hyperlink r:id="rId46" w:history="1">
        <w:r w:rsidR="0011054A" w:rsidRPr="00677B16">
          <w:rPr>
            <w:rStyle w:val="Hyperlink"/>
          </w:rPr>
          <w:t>https://openknowledge.fao.org/items/74bfebdb-3272-4e6a-98f4-ee36c7146d44</w:t>
        </w:r>
      </w:hyperlink>
      <w:r w:rsidR="0011054A">
        <w:t xml:space="preserve"> </w:t>
      </w:r>
      <w:r>
        <w:t xml:space="preserve">Agrifood systems account for </w:t>
      </w:r>
      <w:proofErr w:type="spellStart"/>
      <w:proofErr w:type="gramStart"/>
      <w:r>
        <w:t>about,household</w:t>
      </w:r>
      <w:proofErr w:type="spellEnd"/>
      <w:proofErr w:type="gramEnd"/>
      <w:r>
        <w:t xml:space="preserve"> consumption and food disposal. Retrieved on 13th October 2025.</w:t>
      </w:r>
    </w:p>
    <w:p w14:paraId="05A1C16C" w14:textId="47164865" w:rsidR="00681847" w:rsidRDefault="00681847" w:rsidP="00681847">
      <w:pPr>
        <w:pStyle w:val="Body"/>
      </w:pPr>
      <w:r>
        <w:t xml:space="preserve">Gokul, S., Sabarivasan, R., Dinesh, G. K., Praveena, K., Kumar, S. M., </w:t>
      </w:r>
      <w:proofErr w:type="spellStart"/>
      <w:r>
        <w:t>Venkatramanan</w:t>
      </w:r>
      <w:proofErr w:type="spellEnd"/>
      <w:r>
        <w:t xml:space="preserve">, V., Raveena, R., &amp; Karthick, V. (2025). Agronomic Adaptation Strategies and Economic Implications of Climate Change on Agriculture and Allied Sectors in the Northeastern Hill Regions of India. International Journal of Environment and Climate Change, 15(6), 416–439. </w:t>
      </w:r>
      <w:hyperlink r:id="rId47" w:history="1">
        <w:r w:rsidR="008D2396" w:rsidRPr="00677B16">
          <w:rPr>
            <w:rStyle w:val="Hyperlink"/>
          </w:rPr>
          <w:t>https://doi.org/10.9734/ijecc/2025/v15i64899</w:t>
        </w:r>
      </w:hyperlink>
      <w:r w:rsidR="008D2396">
        <w:t xml:space="preserve"> </w:t>
      </w:r>
    </w:p>
    <w:p w14:paraId="298600FC" w14:textId="4B19417C" w:rsidR="00681847" w:rsidRDefault="00681847" w:rsidP="00681847">
      <w:pPr>
        <w:pStyle w:val="Body"/>
      </w:pPr>
      <w:proofErr w:type="spellStart"/>
      <w:r>
        <w:t>Grammatikopoulou</w:t>
      </w:r>
      <w:proofErr w:type="spellEnd"/>
      <w:r>
        <w:t xml:space="preserve">, I., </w:t>
      </w:r>
      <w:proofErr w:type="spellStart"/>
      <w:r>
        <w:t>Chatzimichael</w:t>
      </w:r>
      <w:proofErr w:type="spellEnd"/>
      <w:r>
        <w:t xml:space="preserve">, K., Sylla, M., LA, N. A., ZURBARAN, N. M., &amp; PARACCHINI, M.-L. (2024). The contribution of ecosystem services in agricultural production: An application of the production function approach. </w:t>
      </w:r>
      <w:hyperlink r:id="rId48" w:history="1">
        <w:r w:rsidR="000B3D4A" w:rsidRPr="00677B16">
          <w:rPr>
            <w:rStyle w:val="Hyperlink"/>
          </w:rPr>
          <w:t>https://doi.org/10.2760/1432445</w:t>
        </w:r>
      </w:hyperlink>
      <w:r w:rsidR="000B3D4A">
        <w:t xml:space="preserve"> </w:t>
      </w:r>
      <w:r>
        <w:t>.</w:t>
      </w:r>
    </w:p>
    <w:p w14:paraId="2355FEAA" w14:textId="77777777" w:rsidR="00A54393" w:rsidRDefault="00681847" w:rsidP="00681847">
      <w:pPr>
        <w:pStyle w:val="Body"/>
      </w:pPr>
      <w:r>
        <w:t xml:space="preserve">Grizzetti, B., </w:t>
      </w:r>
      <w:proofErr w:type="spellStart"/>
      <w:r>
        <w:t>Lanzanova</w:t>
      </w:r>
      <w:proofErr w:type="spellEnd"/>
      <w:r>
        <w:t xml:space="preserve">, D., </w:t>
      </w:r>
      <w:proofErr w:type="spellStart"/>
      <w:r>
        <w:t>Liquete</w:t>
      </w:r>
      <w:proofErr w:type="spellEnd"/>
      <w:r>
        <w:t xml:space="preserve">, C., Reynaud, A., &amp; Cardoso, A. C. (2016). Assessing water ecosystem services for water resource management. Environmental Science &amp; Policy, 61, 194–203. </w:t>
      </w:r>
      <w:hyperlink r:id="rId49" w:history="1">
        <w:r w:rsidR="00A54393" w:rsidRPr="00677B16">
          <w:rPr>
            <w:rStyle w:val="Hyperlink"/>
          </w:rPr>
          <w:t>https://doi.org/10.1016/j.envsci.2016.04.008</w:t>
        </w:r>
      </w:hyperlink>
      <w:r w:rsidR="00A54393">
        <w:t xml:space="preserve"> </w:t>
      </w:r>
    </w:p>
    <w:p w14:paraId="074AB8EB" w14:textId="2855410F" w:rsidR="00681847" w:rsidRDefault="00681847" w:rsidP="00681847">
      <w:pPr>
        <w:pStyle w:val="Body"/>
      </w:pPr>
      <w:r>
        <w:t xml:space="preserve">Guerry, A. D., Polasky, S., Lubchenco, J., Chaplin-Kramer, R., Daily, G. C., Griffin, R., Ruckelshaus, M., Bateman, I. J., </w:t>
      </w:r>
      <w:proofErr w:type="spellStart"/>
      <w:r>
        <w:t>Duraiappah</w:t>
      </w:r>
      <w:proofErr w:type="spellEnd"/>
      <w:r>
        <w:t xml:space="preserve">, A., Elmqvist, T., Feldman, M. W., Folke, C., Hoekstra, J., </w:t>
      </w:r>
      <w:proofErr w:type="spellStart"/>
      <w:r>
        <w:t>Kareiva</w:t>
      </w:r>
      <w:proofErr w:type="spellEnd"/>
      <w:r>
        <w:t xml:space="preserve">, P. M., Keeler, B. L., Li, S., McKenzie, E., Ouyang, Z., Reyers, B., … Vira, B. (2015). Natural capital and ecosystem services informing decisions: From promise to practice. Proceedings of the National Academy of Sciences, 112(24), 7348–7355. </w:t>
      </w:r>
      <w:hyperlink r:id="rId50" w:history="1">
        <w:r w:rsidR="000D23D1" w:rsidRPr="00677B16">
          <w:rPr>
            <w:rStyle w:val="Hyperlink"/>
          </w:rPr>
          <w:t>https://doi.org/10.1073/pnas.1503751112</w:t>
        </w:r>
      </w:hyperlink>
      <w:r w:rsidR="000D23D1">
        <w:t xml:space="preserve"> </w:t>
      </w:r>
    </w:p>
    <w:p w14:paraId="58A4BD9A" w14:textId="72BF04E6" w:rsidR="00681847" w:rsidRDefault="00681847" w:rsidP="00681847">
      <w:pPr>
        <w:pStyle w:val="Body"/>
      </w:pPr>
      <w:r>
        <w:t xml:space="preserve">Gupta, H., &amp; Dube, L. C. (2021). Benefits of Evaluating Ecosystem Services for Implementation of Nature-based Solutions Under the Paris Agreement. In M. </w:t>
      </w:r>
      <w:proofErr w:type="spellStart"/>
      <w:r>
        <w:t>Behnassi</w:t>
      </w:r>
      <w:proofErr w:type="spellEnd"/>
      <w:r>
        <w:t xml:space="preserve">, H. Gupta, M. El Haiba, &amp; G. Ramachandran (Eds.), Social-Ecological Systems (SES): From Risks and Insecurity to Viability and Resilience (pp. 39–56). Springer International Publishing. </w:t>
      </w:r>
      <w:hyperlink r:id="rId51" w:history="1">
        <w:r w:rsidR="00034D42" w:rsidRPr="00677B16">
          <w:rPr>
            <w:rStyle w:val="Hyperlink"/>
          </w:rPr>
          <w:t>https://doi.org/10.1007/978-3-030-76247-6_2</w:t>
        </w:r>
      </w:hyperlink>
      <w:r w:rsidR="00034D42">
        <w:t xml:space="preserve"> </w:t>
      </w:r>
    </w:p>
    <w:p w14:paraId="430A998F" w14:textId="39F2A10A" w:rsidR="00681847" w:rsidRDefault="00681847" w:rsidP="00681847">
      <w:pPr>
        <w:pStyle w:val="Body"/>
      </w:pPr>
      <w:r>
        <w:t xml:space="preserve">Hameed, R., Abbas, A., Sharma, R., &amp; Singh, S. V. (2025). Multifarious Approaches of Agri-Based Carbon Credit Generation for Green Economy. In B. </w:t>
      </w:r>
      <w:proofErr w:type="spellStart"/>
      <w:r>
        <w:t>Pramanick</w:t>
      </w:r>
      <w:proofErr w:type="spellEnd"/>
      <w:r>
        <w:t xml:space="preserve">, S. V. Singh, S. </w:t>
      </w:r>
      <w:r>
        <w:lastRenderedPageBreak/>
        <w:t xml:space="preserve">Maitra, S. Celletti, &amp; A. Hossain (Eds.), Climate-Smart Agricultural Technologies: Approaches for Field Crops Production Systems (pp. 419–437). Springer Nature Singapore. </w:t>
      </w:r>
      <w:hyperlink r:id="rId52" w:history="1">
        <w:r w:rsidR="00AC00B8" w:rsidRPr="00677B16">
          <w:rPr>
            <w:rStyle w:val="Hyperlink"/>
          </w:rPr>
          <w:t>https://doi.org/10.1007/978-981-96-7699-6_18</w:t>
        </w:r>
      </w:hyperlink>
      <w:r w:rsidR="00AC00B8">
        <w:t xml:space="preserve"> </w:t>
      </w:r>
    </w:p>
    <w:p w14:paraId="08B1C9E9" w14:textId="037D0F78" w:rsidR="00681847" w:rsidRDefault="00681847" w:rsidP="00681847">
      <w:pPr>
        <w:pStyle w:val="Body"/>
      </w:pPr>
      <w:r>
        <w:t xml:space="preserve">Heckwolf, M. J., Peterson, A., Jänes, H., Horne, P., Künne, J., Liversage, K., Sajeva, M., Reusch, T. B. H., &amp; Kotta, J. (2021). From ecosystems to socio-economic benefits: A systematic review of coastal ecosystem services in the Baltic Sea. Science of The Total Environment, 755, 142565. </w:t>
      </w:r>
      <w:hyperlink r:id="rId53" w:history="1">
        <w:r w:rsidR="00E84387" w:rsidRPr="00677B16">
          <w:rPr>
            <w:rStyle w:val="Hyperlink"/>
          </w:rPr>
          <w:t>https://doi.org/10.1016/j.scitotenv.2020.142565</w:t>
        </w:r>
      </w:hyperlink>
      <w:r w:rsidR="00E84387">
        <w:t xml:space="preserve"> </w:t>
      </w:r>
    </w:p>
    <w:p w14:paraId="279BA3A6" w14:textId="6926C16E" w:rsidR="00681847" w:rsidRDefault="00681847" w:rsidP="00681847">
      <w:pPr>
        <w:pStyle w:val="Body"/>
      </w:pPr>
      <w:r>
        <w:t xml:space="preserve">Hou, L., Xia, F., Chen, Q., Huang, J., He, Y., Rose, N., &amp; Rozelle, S. (2021). Grassland ecological compensation policy in China improves grassland quality and increases herders’ income. Nature Communications, 12(1), 4683. </w:t>
      </w:r>
      <w:hyperlink r:id="rId54" w:history="1">
        <w:r w:rsidR="00493BBB" w:rsidRPr="00677B16">
          <w:rPr>
            <w:rStyle w:val="Hyperlink"/>
          </w:rPr>
          <w:t>https://doi.org/10.1038/s41467-021-24942-8</w:t>
        </w:r>
      </w:hyperlink>
      <w:r w:rsidR="00493BBB">
        <w:t xml:space="preserve"> </w:t>
      </w:r>
    </w:p>
    <w:p w14:paraId="18E1CD08" w14:textId="07CA9E9D" w:rsidR="00681847" w:rsidRDefault="00681847" w:rsidP="00681847">
      <w:pPr>
        <w:pStyle w:val="Body"/>
      </w:pPr>
      <w:r>
        <w:t xml:space="preserve">International Carbon Action Partnership. (2025). New Zealand Emissions Trading Scheme. https://icapcarbonaction.com/en/ets/new-zealand-emissions-trading-scheme#:~:text=agricultural sector had been </w:t>
      </w:r>
      <w:proofErr w:type="spellStart"/>
      <w:proofErr w:type="gramStart"/>
      <w:r>
        <w:t>established,level</w:t>
      </w:r>
      <w:proofErr w:type="spellEnd"/>
      <w:proofErr w:type="gramEnd"/>
      <w:r>
        <w:t xml:space="preserve"> in 2027. Retrieved on 10th October 2025.</w:t>
      </w:r>
      <w:r w:rsidR="00381C9B" w:rsidRPr="00381C9B">
        <w:t xml:space="preserve"> </w:t>
      </w:r>
      <w:hyperlink r:id="rId55" w:history="1">
        <w:r w:rsidR="00381C9B" w:rsidRPr="00677B16">
          <w:rPr>
            <w:rStyle w:val="Hyperlink"/>
          </w:rPr>
          <w:t>https://icapcarbonaction.com/en/ets/new-zealand-emissions-trading-scheme</w:t>
        </w:r>
      </w:hyperlink>
      <w:r w:rsidR="00381C9B">
        <w:t xml:space="preserve"> </w:t>
      </w:r>
    </w:p>
    <w:p w14:paraId="551C9456" w14:textId="77777777" w:rsidR="008720A9" w:rsidRDefault="00681847" w:rsidP="00681847">
      <w:pPr>
        <w:pStyle w:val="Body"/>
      </w:pPr>
      <w:r>
        <w:t xml:space="preserve">Jia, L., Deng, Y., Hou, M., Li, Y., Ding, Z., &amp; Yao, S. (2022). Pathways from the payment for ecosystem services program to ecological and socio-economic outcomes. Ecological Indicators, 144, 109534. </w:t>
      </w:r>
      <w:hyperlink r:id="rId56" w:history="1">
        <w:r w:rsidR="008720A9" w:rsidRPr="00677B16">
          <w:rPr>
            <w:rStyle w:val="Hyperlink"/>
          </w:rPr>
          <w:t>https://doi.org/10.1016/j.ecolind.2022.109534</w:t>
        </w:r>
      </w:hyperlink>
      <w:r w:rsidR="008720A9">
        <w:t xml:space="preserve"> </w:t>
      </w:r>
    </w:p>
    <w:p w14:paraId="314AD4A0" w14:textId="7688509D" w:rsidR="00681847" w:rsidRDefault="00681847" w:rsidP="00681847">
      <w:pPr>
        <w:pStyle w:val="Body"/>
      </w:pPr>
      <w:r>
        <w:t xml:space="preserve">Jiang, J., Zhao, H., Zhang, J., &amp; Dong, B. (2025). Trade-offs between agricultural production and ecosystem services under different land management scenarios in the Loess Plateau of China. Scientific Reports, 15(1), 21385. </w:t>
      </w:r>
      <w:hyperlink r:id="rId57" w:history="1">
        <w:r w:rsidR="000B4EFD" w:rsidRPr="00677B16">
          <w:rPr>
            <w:rStyle w:val="Hyperlink"/>
          </w:rPr>
          <w:t>https://doi.org/10.1038/s41598-025-06650-1</w:t>
        </w:r>
      </w:hyperlink>
      <w:r w:rsidR="000B4EFD">
        <w:t xml:space="preserve"> </w:t>
      </w:r>
    </w:p>
    <w:p w14:paraId="1ECBD797" w14:textId="185A996D" w:rsidR="00681847" w:rsidRDefault="00681847" w:rsidP="00681847">
      <w:pPr>
        <w:pStyle w:val="Body"/>
      </w:pPr>
      <w:r>
        <w:t>Jindal, R., &amp; Vardhan, M. (2018). PES in multifunctional landscapes: Assessment of socio-economic feasibility for synergy in land use. Co-Investment in Ecosystem Services: Global Lessons from Payment and Incentive Schemes. Nairobi: World Agroforestry Centre (ICRAF).</w:t>
      </w:r>
      <w:r w:rsidR="00620C02" w:rsidRPr="00620C02">
        <w:t xml:space="preserve"> </w:t>
      </w:r>
      <w:hyperlink r:id="rId58" w:history="1">
        <w:r w:rsidR="00620C02" w:rsidRPr="00677B16">
          <w:rPr>
            <w:rStyle w:val="Hyperlink"/>
          </w:rPr>
          <w:t>https://www.cifor-icraf.org/knowledge/publication/6727/pes-in-multifunctional-landscapes-assessment-of-socio-economic-feasibility-for-synergy-in-land-use/</w:t>
        </w:r>
      </w:hyperlink>
      <w:r w:rsidR="00620C02">
        <w:t xml:space="preserve"> </w:t>
      </w:r>
    </w:p>
    <w:p w14:paraId="0D1A910D" w14:textId="783CE7A4" w:rsidR="00681847" w:rsidRDefault="00681847" w:rsidP="00681847">
      <w:pPr>
        <w:pStyle w:val="Body"/>
      </w:pPr>
      <w:r>
        <w:t xml:space="preserve">Jindal, R., &amp; Vardhan, M. (2023). Agriculture-based offsets for voluntary carbon markets: review of current state, extent of markets, smallholder and gender concerns, and addressing research gaps. </w:t>
      </w:r>
      <w:hyperlink r:id="rId59" w:history="1">
        <w:r w:rsidR="008C5451" w:rsidRPr="00677B16">
          <w:rPr>
            <w:rStyle w:val="Hyperlink"/>
          </w:rPr>
          <w:t>https://doi.org/https://hdl.handle.net/10883/22992</w:t>
        </w:r>
      </w:hyperlink>
      <w:r w:rsidR="008C5451">
        <w:t xml:space="preserve"> </w:t>
      </w:r>
    </w:p>
    <w:p w14:paraId="4F3B675A" w14:textId="461E1E3A" w:rsidR="00681847" w:rsidRDefault="00681847" w:rsidP="00681847">
      <w:pPr>
        <w:pStyle w:val="Body"/>
      </w:pPr>
      <w:r>
        <w:t xml:space="preserve">Jo, A. (2021). Culture and Compliance: Evidence from the European Union Emissions Trading Scheme. The Journal of Law and Economics, 64(1), 181–205. </w:t>
      </w:r>
      <w:hyperlink r:id="rId60" w:history="1">
        <w:r w:rsidR="00AA5A14" w:rsidRPr="00677B16">
          <w:rPr>
            <w:rStyle w:val="Hyperlink"/>
          </w:rPr>
          <w:t>https://doi.org/10.1086/711158</w:t>
        </w:r>
      </w:hyperlink>
      <w:r w:rsidR="00AA5A14">
        <w:t xml:space="preserve"> </w:t>
      </w:r>
    </w:p>
    <w:p w14:paraId="34F8DA69" w14:textId="1374B5A3" w:rsidR="00681847" w:rsidRDefault="00681847" w:rsidP="00681847">
      <w:pPr>
        <w:pStyle w:val="Body"/>
      </w:pPr>
      <w:r>
        <w:t xml:space="preserve">Kaiser, J., Krueger, T., &amp; Haase, D. (2023). Global patterns of collective payments for ecosystem services and their degrees of commodification. Ecological Economics, 209, 107816. </w:t>
      </w:r>
      <w:hyperlink r:id="rId61" w:history="1">
        <w:r w:rsidR="00D10089" w:rsidRPr="00677B16">
          <w:rPr>
            <w:rStyle w:val="Hyperlink"/>
          </w:rPr>
          <w:t>https://doi.org/10.1016/j.ecolecon.2023.107816</w:t>
        </w:r>
      </w:hyperlink>
      <w:r w:rsidR="00D10089">
        <w:t xml:space="preserve"> </w:t>
      </w:r>
    </w:p>
    <w:p w14:paraId="49DFCB81" w14:textId="22BA2C86" w:rsidR="00681847" w:rsidRDefault="00681847" w:rsidP="00681847">
      <w:pPr>
        <w:pStyle w:val="Body"/>
      </w:pPr>
      <w:r>
        <w:t xml:space="preserve">Kassie, G. W. (2017). Agroforestry and farm income diversification: synergy or trade-off? The case of Ethiopia. Environmental Systems Research, 6(1), 8. </w:t>
      </w:r>
      <w:hyperlink r:id="rId62" w:history="1">
        <w:r w:rsidR="000C1129" w:rsidRPr="00677B16">
          <w:rPr>
            <w:rStyle w:val="Hyperlink"/>
          </w:rPr>
          <w:t>https://doi.org/10.1186/s40068-017-0085-6</w:t>
        </w:r>
      </w:hyperlink>
      <w:r w:rsidR="000C1129">
        <w:t xml:space="preserve"> </w:t>
      </w:r>
    </w:p>
    <w:p w14:paraId="298EFA24" w14:textId="6EB61C86" w:rsidR="00681847" w:rsidRDefault="00681847" w:rsidP="00681847">
      <w:pPr>
        <w:pStyle w:val="Body"/>
      </w:pPr>
      <w:proofErr w:type="spellStart"/>
      <w:r>
        <w:t>Kreienkamp</w:t>
      </w:r>
      <w:proofErr w:type="spellEnd"/>
      <w:r>
        <w:t xml:space="preserve">, J. (2021). The United Nations Sustainable Development Goals on Biodiversity, Climate Change and Health. </w:t>
      </w:r>
      <w:hyperlink r:id="rId63" w:history="1">
        <w:r w:rsidR="00B325F1" w:rsidRPr="00677B16">
          <w:rPr>
            <w:rStyle w:val="Hyperlink"/>
          </w:rPr>
          <w:t>https://www.ucl.ac.uk/global-governance/sites/global_governance/files/final_workshop_report_un_sdgs_on_biodiversity_climate_change_and_health_towards_a_shared_agenda.pdf</w:t>
        </w:r>
      </w:hyperlink>
      <w:r w:rsidR="00B325F1">
        <w:t xml:space="preserve">. </w:t>
      </w:r>
    </w:p>
    <w:p w14:paraId="6D1F0E98" w14:textId="55BC013A" w:rsidR="00681847" w:rsidRDefault="00681847" w:rsidP="00681847">
      <w:pPr>
        <w:pStyle w:val="Body"/>
      </w:pPr>
      <w:r>
        <w:lastRenderedPageBreak/>
        <w:t xml:space="preserve">La Notte, A., D’Amato, D., Mäkinen, H., </w:t>
      </w:r>
      <w:proofErr w:type="spellStart"/>
      <w:r>
        <w:t>Paracchini</w:t>
      </w:r>
      <w:proofErr w:type="spellEnd"/>
      <w:r>
        <w:t xml:space="preserve">, M. L., </w:t>
      </w:r>
      <w:proofErr w:type="spellStart"/>
      <w:r>
        <w:t>Liquete</w:t>
      </w:r>
      <w:proofErr w:type="spellEnd"/>
      <w:r>
        <w:t xml:space="preserve">, C., Egoh, B., </w:t>
      </w:r>
      <w:proofErr w:type="spellStart"/>
      <w:r>
        <w:t>Geneletti</w:t>
      </w:r>
      <w:proofErr w:type="spellEnd"/>
      <w:r>
        <w:t xml:space="preserve">, D., &amp; Crossman, N. D. (2017). Ecosystem services classification: A systems ecology perspective of the cascade framework. Ecological Indicators, 74, 392–402. </w:t>
      </w:r>
      <w:hyperlink r:id="rId64" w:history="1">
        <w:r w:rsidR="000466F3" w:rsidRPr="00677B16">
          <w:rPr>
            <w:rStyle w:val="Hyperlink"/>
          </w:rPr>
          <w:t>https://doi.org/10.1016/j.ecolind.2016.11.030</w:t>
        </w:r>
      </w:hyperlink>
      <w:r w:rsidR="000466F3">
        <w:t xml:space="preserve"> </w:t>
      </w:r>
    </w:p>
    <w:p w14:paraId="5B7FBD0D" w14:textId="5652F1AE" w:rsidR="00681847" w:rsidRDefault="00681847" w:rsidP="00681847">
      <w:pPr>
        <w:pStyle w:val="Body"/>
      </w:pPr>
      <w:proofErr w:type="spellStart"/>
      <w:r>
        <w:t>Lavorel</w:t>
      </w:r>
      <w:proofErr w:type="spellEnd"/>
      <w:r>
        <w:t xml:space="preserve">, S., Locatelli, B., </w:t>
      </w:r>
      <w:proofErr w:type="spellStart"/>
      <w:r>
        <w:t>Colloff</w:t>
      </w:r>
      <w:proofErr w:type="spellEnd"/>
      <w:r>
        <w:t xml:space="preserve">, M. J., &amp; Bruley, E. (2020). Co-producing ecosystem services for adapting to climate change. Philosophical Transactions of the Royal Society B: Biological Sciences, 375(1794), 20190119. </w:t>
      </w:r>
      <w:hyperlink r:id="rId65" w:history="1">
        <w:r w:rsidR="001B023E" w:rsidRPr="00677B16">
          <w:rPr>
            <w:rStyle w:val="Hyperlink"/>
          </w:rPr>
          <w:t>https://doi.org/10.1098/rstb.2019.0119</w:t>
        </w:r>
      </w:hyperlink>
      <w:r w:rsidR="001B023E">
        <w:t xml:space="preserve"> </w:t>
      </w:r>
    </w:p>
    <w:p w14:paraId="4E8481D9" w14:textId="0359D6FB" w:rsidR="00681847" w:rsidRDefault="00681847" w:rsidP="00681847">
      <w:pPr>
        <w:pStyle w:val="Body"/>
      </w:pPr>
      <w:r>
        <w:t xml:space="preserve">Li, J., Yao, Y., &amp; Wang, X. (2022). The first compliance cycle of China’s National Emissions Trading Scheme: insights and implications. Carbon Neutrality, 1(1), 34. </w:t>
      </w:r>
      <w:hyperlink r:id="rId66" w:history="1">
        <w:r w:rsidR="00600494" w:rsidRPr="00677B16">
          <w:rPr>
            <w:rStyle w:val="Hyperlink"/>
          </w:rPr>
          <w:t>https://doi.org/10.1007/s43979-022-00035-3</w:t>
        </w:r>
      </w:hyperlink>
      <w:r w:rsidR="00600494">
        <w:t xml:space="preserve"> </w:t>
      </w:r>
    </w:p>
    <w:p w14:paraId="47C0050A" w14:textId="77777777" w:rsidR="00CC4CB2" w:rsidRDefault="00681847" w:rsidP="00681847">
      <w:pPr>
        <w:pStyle w:val="Body"/>
      </w:pPr>
      <w:r>
        <w:t xml:space="preserve">Li, Q., &amp; Zander, P. (2020). Resilience building of rural livelihoods in PES </w:t>
      </w:r>
      <w:proofErr w:type="spellStart"/>
      <w:r>
        <w:t>programmes</w:t>
      </w:r>
      <w:proofErr w:type="spellEnd"/>
      <w:r>
        <w:t xml:space="preserve">: A case study in China’s Loess Hills. </w:t>
      </w:r>
      <w:proofErr w:type="spellStart"/>
      <w:r>
        <w:t>Ambio</w:t>
      </w:r>
      <w:proofErr w:type="spellEnd"/>
      <w:r>
        <w:t xml:space="preserve">, 49(4), 962–985. </w:t>
      </w:r>
      <w:hyperlink r:id="rId67" w:history="1">
        <w:r w:rsidR="00CC4CB2" w:rsidRPr="00677B16">
          <w:rPr>
            <w:rStyle w:val="Hyperlink"/>
          </w:rPr>
          <w:t>https://doi.org/10.1007/s13280-019-01236-4</w:t>
        </w:r>
      </w:hyperlink>
      <w:r w:rsidR="00CC4CB2">
        <w:t xml:space="preserve"> </w:t>
      </w:r>
    </w:p>
    <w:p w14:paraId="722C0101" w14:textId="44E20A48" w:rsidR="00681847" w:rsidRDefault="00681847" w:rsidP="00681847">
      <w:pPr>
        <w:pStyle w:val="Body"/>
      </w:pPr>
      <w:r>
        <w:t xml:space="preserve">Li, S., Hui, B., Jin, C., Liu, X., Xu, F., Su, C., &amp; Li, T. (2022). Considering Farmers’ Heterogeneity to Payment Ecosystem Services Participation: A Choice Experiment and Agent-Based Model Analysis in </w:t>
      </w:r>
      <w:proofErr w:type="spellStart"/>
      <w:r>
        <w:t>Xin’an</w:t>
      </w:r>
      <w:proofErr w:type="spellEnd"/>
      <w:r>
        <w:t xml:space="preserve"> River Basin, China. International Journal of Environmental Research and Public Health, 19(12), 7190. </w:t>
      </w:r>
      <w:hyperlink r:id="rId68" w:history="1">
        <w:r w:rsidR="005355D3" w:rsidRPr="00677B16">
          <w:rPr>
            <w:rStyle w:val="Hyperlink"/>
          </w:rPr>
          <w:t>https://doi.org/10.3390/ijerph19127190</w:t>
        </w:r>
      </w:hyperlink>
      <w:r w:rsidR="005355D3">
        <w:t xml:space="preserve"> </w:t>
      </w:r>
    </w:p>
    <w:p w14:paraId="1D2F68AB" w14:textId="69424B3D" w:rsidR="00681847" w:rsidRDefault="00681847" w:rsidP="00681847">
      <w:pPr>
        <w:pStyle w:val="Body"/>
      </w:pPr>
      <w:r>
        <w:t xml:space="preserve">Liang, X., Yu, S., Ju, Y., Wang, Y., &amp; Yin, D. (2025). Integrated Management Practices Foster Soil Health, Productivity, and Agroecosystem Resilience. Agronomy, 15(8), 1816. </w:t>
      </w:r>
      <w:hyperlink r:id="rId69" w:history="1">
        <w:r w:rsidR="00BC26AB" w:rsidRPr="00677B16">
          <w:rPr>
            <w:rStyle w:val="Hyperlink"/>
          </w:rPr>
          <w:t>https://doi.org/10.3390/agronomy15081816</w:t>
        </w:r>
      </w:hyperlink>
      <w:r w:rsidR="00BC26AB">
        <w:t xml:space="preserve"> </w:t>
      </w:r>
    </w:p>
    <w:p w14:paraId="3ECF31C7" w14:textId="28ABE323" w:rsidR="00681847" w:rsidRDefault="00681847" w:rsidP="00681847">
      <w:pPr>
        <w:pStyle w:val="Body"/>
      </w:pPr>
      <w:r>
        <w:t xml:space="preserve">Liang, X., Yu, S., Meng, B., Wang, X., Yang, C., Shi, C., &amp; Ding, J. (2025). Multi-Source Remote Sensing and GIS for Forest Carbon Monitoring Toward Carbon Neutrality. Forests, 16(6), 971. </w:t>
      </w:r>
      <w:hyperlink r:id="rId70" w:history="1">
        <w:r w:rsidR="005123B5" w:rsidRPr="00677B16">
          <w:rPr>
            <w:rStyle w:val="Hyperlink"/>
          </w:rPr>
          <w:t>https://doi.org/10.3390/f16060971</w:t>
        </w:r>
      </w:hyperlink>
      <w:r w:rsidR="005123B5">
        <w:t xml:space="preserve"> </w:t>
      </w:r>
    </w:p>
    <w:p w14:paraId="7BD3FABE" w14:textId="77777777" w:rsidR="00611068" w:rsidRDefault="00681847" w:rsidP="00681847">
      <w:pPr>
        <w:pStyle w:val="Body"/>
      </w:pPr>
      <w:r>
        <w:t xml:space="preserve">Lim, W. M. (2022). The sustainability pyramid: A hierarchical approach to greater sustainability and the United Nations Sustainable Development Goals with implications for marketing theory, practice, and public policy. Australasian Marketing Journal, 30(2), 142–150. </w:t>
      </w:r>
      <w:hyperlink r:id="rId71" w:history="1">
        <w:r w:rsidR="00611068" w:rsidRPr="00677B16">
          <w:rPr>
            <w:rStyle w:val="Hyperlink"/>
          </w:rPr>
          <w:t>https://doi.org/10.1177/18393349211069152</w:t>
        </w:r>
      </w:hyperlink>
      <w:r w:rsidR="00611068">
        <w:t xml:space="preserve"> </w:t>
      </w:r>
    </w:p>
    <w:p w14:paraId="7BC6796D" w14:textId="77777777" w:rsidR="002E086F" w:rsidRDefault="00681847" w:rsidP="00681847">
      <w:pPr>
        <w:pStyle w:val="Body"/>
      </w:pPr>
      <w:r>
        <w:t xml:space="preserve">Liu, J., Hu, J., Liu, H., &amp; Han, K. (2024). Global soil respiration estimation based on ecological big data and machine learning model. Scientific Reports, 14(1), 13231. </w:t>
      </w:r>
      <w:hyperlink r:id="rId72" w:history="1">
        <w:r w:rsidR="002E086F" w:rsidRPr="00677B16">
          <w:rPr>
            <w:rStyle w:val="Hyperlink"/>
          </w:rPr>
          <w:t>https://doi.org/10.1038/s41598-024-64235-w</w:t>
        </w:r>
      </w:hyperlink>
      <w:r w:rsidR="002E086F">
        <w:t xml:space="preserve"> </w:t>
      </w:r>
    </w:p>
    <w:p w14:paraId="1920099C" w14:textId="70DC619B" w:rsidR="00681847" w:rsidRDefault="00681847" w:rsidP="00681847">
      <w:pPr>
        <w:pStyle w:val="Body"/>
      </w:pPr>
      <w:r>
        <w:t xml:space="preserve">Manero, A., Taylor, K., Nikolakis, W., Adamowicz, W., Marshall, V., Spencer-Cotton, A., Nguyen, M., &amp; Grafton, R. Q. (2022). A systematic literature review of non-market valuation of Indigenous peoples’ values: Current knowledge, best-practice and framing questions for future research. Ecosystem Services, 54, 101417. </w:t>
      </w:r>
      <w:hyperlink r:id="rId73" w:history="1">
        <w:r w:rsidR="002C7C92" w:rsidRPr="00677B16">
          <w:rPr>
            <w:rStyle w:val="Hyperlink"/>
          </w:rPr>
          <w:t>https://doi.org/10.1016/j.ecoser.2022.101417</w:t>
        </w:r>
      </w:hyperlink>
      <w:r w:rsidR="002C7C92">
        <w:t xml:space="preserve"> </w:t>
      </w:r>
    </w:p>
    <w:p w14:paraId="7D1D6AD4" w14:textId="2D15B9FD" w:rsidR="00681847" w:rsidRDefault="00681847" w:rsidP="00681847">
      <w:pPr>
        <w:pStyle w:val="Body"/>
      </w:pPr>
      <w:r>
        <w:t>Meena, R. S., Pradhan, G., Nalani, Kumar, S., Singh, A. K., Verma, S. K., Mina, K. K., Kumar, S., &amp; Chaturvedi, R. K. (2024). Diversified cropping modules designed for soil restoration, &lt;</w:t>
      </w:r>
      <w:proofErr w:type="spellStart"/>
      <w:r>
        <w:t>scp</w:t>
      </w:r>
      <w:proofErr w:type="spellEnd"/>
      <w:r>
        <w:t>&gt; CO 2 &lt;/</w:t>
      </w:r>
      <w:proofErr w:type="spellStart"/>
      <w:r>
        <w:t>scp</w:t>
      </w:r>
      <w:proofErr w:type="spellEnd"/>
      <w:r>
        <w:t xml:space="preserve">&gt; sequestration, and generating carbon credits. Land Degradation &amp; Development, 35(14), 4314–4329. </w:t>
      </w:r>
      <w:hyperlink r:id="rId74" w:history="1">
        <w:r w:rsidR="00E96A16" w:rsidRPr="00677B16">
          <w:rPr>
            <w:rStyle w:val="Hyperlink"/>
          </w:rPr>
          <w:t>https://doi.org/10.1002/ldr.5224</w:t>
        </w:r>
      </w:hyperlink>
      <w:r w:rsidR="00E96A16">
        <w:t xml:space="preserve"> </w:t>
      </w:r>
    </w:p>
    <w:p w14:paraId="6C9839F4" w14:textId="458CF529" w:rsidR="00681847" w:rsidRDefault="00681847" w:rsidP="00681847">
      <w:pPr>
        <w:pStyle w:val="Body"/>
      </w:pPr>
      <w:r>
        <w:t xml:space="preserve">Metcalf, G. E. (2021). Carbon Taxes in Theory and Practice. Annual Review of Resource Economics, 13(1), 245–265. </w:t>
      </w:r>
      <w:hyperlink r:id="rId75" w:history="1">
        <w:r w:rsidR="006C1211" w:rsidRPr="00677B16">
          <w:rPr>
            <w:rStyle w:val="Hyperlink"/>
          </w:rPr>
          <w:t>https://doi.org/10.1146/annurev-resource-102519-113630</w:t>
        </w:r>
      </w:hyperlink>
      <w:r w:rsidR="006C1211">
        <w:t xml:space="preserve"> </w:t>
      </w:r>
    </w:p>
    <w:p w14:paraId="26F4380F" w14:textId="58A60A20" w:rsidR="00681847" w:rsidRDefault="00681847" w:rsidP="00681847">
      <w:pPr>
        <w:pStyle w:val="Body"/>
      </w:pPr>
      <w:r>
        <w:lastRenderedPageBreak/>
        <w:t xml:space="preserve">Mitchell, A. L., Rosenqvist, A., &amp; Mora, B. (2017). Current remote sensing approaches to monitoring forest degradation in support of countries measurement, reporting and verification (MRV) systems for REDD+. Carbon Balance and Management, 12(1), 9. </w:t>
      </w:r>
      <w:hyperlink r:id="rId76" w:history="1">
        <w:r w:rsidR="006C1211" w:rsidRPr="00677B16">
          <w:rPr>
            <w:rStyle w:val="Hyperlink"/>
          </w:rPr>
          <w:t>https://doi.org/10.1186/s13021-017-0078-9</w:t>
        </w:r>
      </w:hyperlink>
      <w:r w:rsidR="006C1211">
        <w:t xml:space="preserve"> </w:t>
      </w:r>
    </w:p>
    <w:p w14:paraId="02175904" w14:textId="1685A983" w:rsidR="00681847" w:rsidRDefault="00681847" w:rsidP="00681847">
      <w:pPr>
        <w:pStyle w:val="Body"/>
      </w:pPr>
      <w:proofErr w:type="spellStart"/>
      <w:r>
        <w:t>Muigua</w:t>
      </w:r>
      <w:proofErr w:type="spellEnd"/>
      <w:r>
        <w:t>, K. (2023). COP 27 and biodiversity: towards an integrated approach to climate change mitigation and biodiversity conservation. https://kmco.co.ke/wp-content/uploads/2023/02/COP-27-and-Biodiversity-Towards-an-Integrated-Approach-to-Climate-Change-Mitigation-and-Biodiversity-Conservation-Kariuki-Muigua.pdf. Retrieved on 15th October 2025.</w:t>
      </w:r>
      <w:r w:rsidR="00C62A01">
        <w:t xml:space="preserve">  </w:t>
      </w:r>
    </w:p>
    <w:p w14:paraId="54BE9F75" w14:textId="2290281D" w:rsidR="00681847" w:rsidRDefault="00681847" w:rsidP="00681847">
      <w:pPr>
        <w:pStyle w:val="Body"/>
      </w:pPr>
      <w:r>
        <w:t xml:space="preserve">Mulatu, K., &amp; Hunde, D. (2019). Agroforestry: a supplementary tool for biodiversity conservation and climate change mitigation and adaptation. System, 9(19), 54–66. </w:t>
      </w:r>
      <w:hyperlink r:id="rId77" w:history="1">
        <w:r w:rsidR="00C62A01" w:rsidRPr="00677B16">
          <w:rPr>
            <w:rStyle w:val="Hyperlink"/>
          </w:rPr>
          <w:t>https://doi.org/10.7176/JNSR/9-19-07</w:t>
        </w:r>
      </w:hyperlink>
      <w:r w:rsidR="00C62A01">
        <w:t xml:space="preserve"> </w:t>
      </w:r>
      <w:r>
        <w:t>.</w:t>
      </w:r>
      <w:r w:rsidR="00C62A01">
        <w:t xml:space="preserve"> </w:t>
      </w:r>
    </w:p>
    <w:p w14:paraId="2FF81D67" w14:textId="2BF7BD6B" w:rsidR="00681847" w:rsidRDefault="00681847" w:rsidP="00681847">
      <w:pPr>
        <w:pStyle w:val="Body"/>
      </w:pPr>
      <w:proofErr w:type="spellStart"/>
      <w:r>
        <w:t>Neglo</w:t>
      </w:r>
      <w:proofErr w:type="spellEnd"/>
      <w:r>
        <w:t xml:space="preserve">, K. A. W., Gebrekidan, T., &amp; Lyu, K. (2021). The Role of Agriculture and Non-Farm Economy in Addressing Food Insecurity in Ethiopia: A Review. Sustainability, 13(7), 3874. </w:t>
      </w:r>
      <w:hyperlink r:id="rId78" w:history="1">
        <w:r w:rsidR="009221BA" w:rsidRPr="00677B16">
          <w:rPr>
            <w:rStyle w:val="Hyperlink"/>
          </w:rPr>
          <w:t>https://doi.org/10.3390/su13073874</w:t>
        </w:r>
      </w:hyperlink>
      <w:r w:rsidR="009221BA">
        <w:t xml:space="preserve"> </w:t>
      </w:r>
    </w:p>
    <w:p w14:paraId="5C8CD75A" w14:textId="4C65A507" w:rsidR="00681847" w:rsidRDefault="00681847" w:rsidP="00681847">
      <w:pPr>
        <w:pStyle w:val="Body"/>
      </w:pPr>
      <w:r>
        <w:t xml:space="preserve">Nie, P., Zhao, K., Ma, D., Liu, H., Amin, S., &amp; Yasin, I. (2024). Global Climate Change, Mental Health, and Socio-Economic Stressors: Toward Sustainable Interventions across Regions. Sustainability, 16(19), 8693. </w:t>
      </w:r>
      <w:hyperlink r:id="rId79" w:history="1">
        <w:r w:rsidR="009221BA" w:rsidRPr="00677B16">
          <w:rPr>
            <w:rStyle w:val="Hyperlink"/>
          </w:rPr>
          <w:t>https://doi.org/10.3390/su16198693</w:t>
        </w:r>
      </w:hyperlink>
      <w:r w:rsidR="009221BA">
        <w:t xml:space="preserve"> </w:t>
      </w:r>
    </w:p>
    <w:p w14:paraId="222E76DB" w14:textId="4F520E81" w:rsidR="00681847" w:rsidRDefault="00681847" w:rsidP="00681847">
      <w:pPr>
        <w:pStyle w:val="Body"/>
      </w:pPr>
      <w:r>
        <w:t xml:space="preserve">Obiang Ndong, G., </w:t>
      </w:r>
      <w:proofErr w:type="spellStart"/>
      <w:r>
        <w:t>Therond</w:t>
      </w:r>
      <w:proofErr w:type="spellEnd"/>
      <w:r>
        <w:t xml:space="preserve">, O., &amp; Cousin, I. (2020). Analysis of relationships between ecosystem services: A generic classification and review of the literature. Ecosystem Services, 43, 101120. </w:t>
      </w:r>
      <w:hyperlink r:id="rId80" w:history="1">
        <w:r w:rsidR="00EE2006" w:rsidRPr="00677B16">
          <w:rPr>
            <w:rStyle w:val="Hyperlink"/>
          </w:rPr>
          <w:t>https://doi.org/10.1016/j.ecoser.2020.101120</w:t>
        </w:r>
      </w:hyperlink>
      <w:r w:rsidR="00EE2006">
        <w:t xml:space="preserve"> </w:t>
      </w:r>
    </w:p>
    <w:p w14:paraId="6B927D42" w14:textId="77777777" w:rsidR="00681847" w:rsidRDefault="00681847" w:rsidP="00681847">
      <w:pPr>
        <w:pStyle w:val="Body"/>
      </w:pPr>
      <w:r>
        <w:t xml:space="preserve">OECD. (2022). Agriculture and sustainability. https://www.oecd.org/en/topics/policy-issues/agriculture-and-sustainability.html#:~:text=For the OECD as </w:t>
      </w:r>
      <w:proofErr w:type="spellStart"/>
      <w:proofErr w:type="gramStart"/>
      <w:r>
        <w:t>a,of</w:t>
      </w:r>
      <w:proofErr w:type="spellEnd"/>
      <w:proofErr w:type="gramEnd"/>
      <w:r>
        <w:t xml:space="preserve"> organic and inorganic </w:t>
      </w:r>
      <w:proofErr w:type="spellStart"/>
      <w:r>
        <w:t>fertilisers</w:t>
      </w:r>
      <w:proofErr w:type="spellEnd"/>
      <w:r>
        <w:t>. Retrieved on 15th October 2025.</w:t>
      </w:r>
    </w:p>
    <w:p w14:paraId="6DDC34AD" w14:textId="77777777" w:rsidR="00681847" w:rsidRDefault="00681847" w:rsidP="00681847">
      <w:pPr>
        <w:pStyle w:val="Body"/>
      </w:pPr>
      <w:proofErr w:type="spellStart"/>
      <w:r>
        <w:t>orcasa</w:t>
      </w:r>
      <w:proofErr w:type="spellEnd"/>
      <w:r>
        <w:t>. (2025). The Soil Carbon IRC. https://irc-orcasa.eu/join-the-soil-carbon-irc/#:~:text=1,SRIA. Retrieved on 15th October 2025.</w:t>
      </w:r>
    </w:p>
    <w:p w14:paraId="33DDB9AC" w14:textId="6C61D5CD" w:rsidR="00681847" w:rsidRDefault="00681847" w:rsidP="00681847">
      <w:pPr>
        <w:pStyle w:val="Body"/>
      </w:pPr>
      <w:r>
        <w:t xml:space="preserve">Panagos, P., </w:t>
      </w:r>
      <w:proofErr w:type="spellStart"/>
      <w:r>
        <w:t>Orgiazzi</w:t>
      </w:r>
      <w:proofErr w:type="spellEnd"/>
      <w:r>
        <w:t xml:space="preserve">, A., </w:t>
      </w:r>
      <w:proofErr w:type="spellStart"/>
      <w:r>
        <w:t>Lugato</w:t>
      </w:r>
      <w:proofErr w:type="spellEnd"/>
      <w:r>
        <w:t xml:space="preserve">, E., </w:t>
      </w:r>
      <w:proofErr w:type="spellStart"/>
      <w:r>
        <w:t>Vandenesch</w:t>
      </w:r>
      <w:proofErr w:type="spellEnd"/>
      <w:r>
        <w:t xml:space="preserve">, G., </w:t>
      </w:r>
      <w:proofErr w:type="spellStart"/>
      <w:r>
        <w:t>Thannberger</w:t>
      </w:r>
      <w:proofErr w:type="spellEnd"/>
      <w:r>
        <w:t xml:space="preserve">, L., Neff, J. C., </w:t>
      </w:r>
      <w:proofErr w:type="spellStart"/>
      <w:r>
        <w:t>Reijneveld</w:t>
      </w:r>
      <w:proofErr w:type="spellEnd"/>
      <w:r>
        <w:t xml:space="preserve">, A., Mathijs, E., </w:t>
      </w:r>
      <w:proofErr w:type="spellStart"/>
      <w:r>
        <w:t>Chapot</w:t>
      </w:r>
      <w:proofErr w:type="spellEnd"/>
      <w:r>
        <w:t xml:space="preserve">, P., Guerrini, S., </w:t>
      </w:r>
      <w:proofErr w:type="spellStart"/>
      <w:r>
        <w:t>Štyriaková</w:t>
      </w:r>
      <w:proofErr w:type="spellEnd"/>
      <w:r>
        <w:t xml:space="preserve">, D., Kremers, J., Martin, P., Van Der Tol, R., Burgeon, V., Kalimeri, E., &amp; Van </w:t>
      </w:r>
      <w:proofErr w:type="spellStart"/>
      <w:r>
        <w:t>Eynde</w:t>
      </w:r>
      <w:proofErr w:type="spellEnd"/>
      <w:r>
        <w:t xml:space="preserve">, E. (2025). Healthy soils as a booster to EU competitiveness. Land Use Policy, 158, 107755. </w:t>
      </w:r>
      <w:hyperlink r:id="rId81" w:history="1">
        <w:r w:rsidR="008D579E" w:rsidRPr="00677B16">
          <w:rPr>
            <w:rStyle w:val="Hyperlink"/>
          </w:rPr>
          <w:t>https://doi.org/10.1016/j.landusepol.2025.107755</w:t>
        </w:r>
      </w:hyperlink>
      <w:r w:rsidR="008D579E">
        <w:t xml:space="preserve"> </w:t>
      </w:r>
    </w:p>
    <w:p w14:paraId="5C28D9D1" w14:textId="59233696" w:rsidR="00681847" w:rsidRDefault="00681847" w:rsidP="00681847">
      <w:pPr>
        <w:pStyle w:val="Body"/>
      </w:pPr>
      <w:r>
        <w:t xml:space="preserve">Paul, C., Hanley, N., Meyer, S. T., Fürst, C., Weisser, W. W., &amp; Knoke, T. (2020). On the functional relationship between biodiversity and economic value. Science Advances, 6(5). </w:t>
      </w:r>
      <w:hyperlink r:id="rId82" w:history="1">
        <w:r w:rsidR="008D579E" w:rsidRPr="00677B16">
          <w:rPr>
            <w:rStyle w:val="Hyperlink"/>
          </w:rPr>
          <w:t>https://doi.org/10.1126/sciadv.aax7712</w:t>
        </w:r>
      </w:hyperlink>
      <w:r w:rsidR="008D579E">
        <w:t xml:space="preserve"> </w:t>
      </w:r>
    </w:p>
    <w:p w14:paraId="26391B11" w14:textId="7766032D" w:rsidR="00681847" w:rsidRDefault="00681847" w:rsidP="00681847">
      <w:pPr>
        <w:pStyle w:val="Body"/>
      </w:pPr>
      <w:r>
        <w:t xml:space="preserve">Raymond, C. M., Bieling, C., Fagerholm, N., Martin-Lopez, B., &amp; </w:t>
      </w:r>
      <w:proofErr w:type="spellStart"/>
      <w:r>
        <w:t>Plieninger</w:t>
      </w:r>
      <w:proofErr w:type="spellEnd"/>
      <w:r>
        <w:t xml:space="preserve">, T. (2016). The farmer as a landscape steward: Comparing local understandings of landscape stewardship, landscape values, and land management actions. </w:t>
      </w:r>
      <w:proofErr w:type="spellStart"/>
      <w:r>
        <w:t>Ambio</w:t>
      </w:r>
      <w:proofErr w:type="spellEnd"/>
      <w:r>
        <w:t xml:space="preserve">, 45(2), 173–184. </w:t>
      </w:r>
      <w:hyperlink r:id="rId83" w:history="1">
        <w:r w:rsidR="008D579E" w:rsidRPr="00677B16">
          <w:rPr>
            <w:rStyle w:val="Hyperlink"/>
          </w:rPr>
          <w:t>https://doi.org/10.1007/s13280-015-0694-0</w:t>
        </w:r>
      </w:hyperlink>
      <w:r w:rsidR="008D579E">
        <w:t xml:space="preserve"> </w:t>
      </w:r>
    </w:p>
    <w:p w14:paraId="77D0237A" w14:textId="74DB89FD" w:rsidR="00681847" w:rsidRDefault="00681847" w:rsidP="00681847">
      <w:pPr>
        <w:pStyle w:val="Body"/>
      </w:pPr>
      <w:r>
        <w:t xml:space="preserve">Sattler, C., </w:t>
      </w:r>
      <w:proofErr w:type="spellStart"/>
      <w:r>
        <w:t>Trampnau</w:t>
      </w:r>
      <w:proofErr w:type="spellEnd"/>
      <w:r>
        <w:t xml:space="preserve">, S., </w:t>
      </w:r>
      <w:proofErr w:type="spellStart"/>
      <w:r>
        <w:t>Schomers</w:t>
      </w:r>
      <w:proofErr w:type="spellEnd"/>
      <w:r>
        <w:t xml:space="preserve">, S., Meyer, C., &amp; Matzdorf, B. (2013). Multi-classification of payments for ecosystem services: How do classification characteristics relate to overall PES success? Ecosystem Services, 6, 31–45. </w:t>
      </w:r>
      <w:hyperlink r:id="rId84" w:history="1">
        <w:r w:rsidR="008D579E" w:rsidRPr="00677B16">
          <w:rPr>
            <w:rStyle w:val="Hyperlink"/>
          </w:rPr>
          <w:t>https://doi.org/10.1016/j.ecoser.2013.09.007</w:t>
        </w:r>
      </w:hyperlink>
      <w:r w:rsidR="008D579E">
        <w:t xml:space="preserve"> </w:t>
      </w:r>
    </w:p>
    <w:p w14:paraId="06EE0A64" w14:textId="1AC3DCB7" w:rsidR="00681847" w:rsidRDefault="00681847" w:rsidP="00681847">
      <w:pPr>
        <w:pStyle w:val="Body"/>
      </w:pPr>
      <w:r>
        <w:lastRenderedPageBreak/>
        <w:t xml:space="preserve">Scheid, A. et al. (2023). Carbon farming co-benefits: Approaches to enhance and safeguard biodiversity. https://www.ecologic.eu/19040#:~:text=Carbon farming refers to </w:t>
      </w:r>
      <w:proofErr w:type="spellStart"/>
      <w:proofErr w:type="gramStart"/>
      <w:r>
        <w:t>the,with</w:t>
      </w:r>
      <w:proofErr w:type="spellEnd"/>
      <w:proofErr w:type="gramEnd"/>
      <w:r>
        <w:t xml:space="preserve"> corresponding gains for biodiversity. Retrieved on 4th October 2025.</w:t>
      </w:r>
      <w:r w:rsidR="008D579E">
        <w:t xml:space="preserve"> </w:t>
      </w:r>
    </w:p>
    <w:p w14:paraId="75115699" w14:textId="2C2C3CE6" w:rsidR="00681847" w:rsidRDefault="00681847" w:rsidP="00681847">
      <w:pPr>
        <w:pStyle w:val="Body"/>
      </w:pPr>
      <w:r>
        <w:t xml:space="preserve">Shen, X., Gatto, P., &amp; Pagliacci, F. (2023). Unravelling the Role of Institutions in Market-Based Instruments: A Systematic Review on Forest Carbon Mechanisms. Forests, 14(1), 136. </w:t>
      </w:r>
      <w:hyperlink r:id="rId85" w:history="1">
        <w:r w:rsidR="008D579E" w:rsidRPr="00677B16">
          <w:rPr>
            <w:rStyle w:val="Hyperlink"/>
          </w:rPr>
          <w:t>https://doi.org/10.3390/f14010136</w:t>
        </w:r>
      </w:hyperlink>
      <w:r w:rsidR="008D579E">
        <w:t xml:space="preserve"> </w:t>
      </w:r>
    </w:p>
    <w:p w14:paraId="3534153B" w14:textId="360AE201" w:rsidR="00681847" w:rsidRDefault="00681847" w:rsidP="00681847">
      <w:pPr>
        <w:pStyle w:val="Body"/>
      </w:pPr>
      <w:r>
        <w:t xml:space="preserve">Sheng, J., &amp; Wang, H. (2022). Participation, income growth and poverty alleviation in payments for ecosystem services: The case of China’s Wolong Nature Reserve. Ecological Economics, 196, 107433. </w:t>
      </w:r>
      <w:hyperlink r:id="rId86" w:history="1">
        <w:r w:rsidR="008D579E" w:rsidRPr="00677B16">
          <w:rPr>
            <w:rStyle w:val="Hyperlink"/>
          </w:rPr>
          <w:t>https://doi.org/10.1016/j.ecolecon.2022.107433</w:t>
        </w:r>
      </w:hyperlink>
      <w:r w:rsidR="008D579E">
        <w:t xml:space="preserve"> </w:t>
      </w:r>
    </w:p>
    <w:p w14:paraId="2A1F56C5" w14:textId="5DB34E81" w:rsidR="00681847" w:rsidRDefault="00681847" w:rsidP="00681847">
      <w:pPr>
        <w:pStyle w:val="Body"/>
      </w:pPr>
      <w:r>
        <w:t xml:space="preserve">Shin, C. (2016). A conceptual approach to the relationships between the social economy, social welfare, and social innovation. Journal of Science and Technology Policy Management, 7(2), 154–172. </w:t>
      </w:r>
      <w:hyperlink r:id="rId87" w:history="1">
        <w:r w:rsidR="008D579E" w:rsidRPr="00677B16">
          <w:rPr>
            <w:rStyle w:val="Hyperlink"/>
          </w:rPr>
          <w:t>https://doi.org/10.1108/JSTPM-08-2015-0027</w:t>
        </w:r>
      </w:hyperlink>
      <w:r w:rsidR="008D579E">
        <w:t xml:space="preserve"> </w:t>
      </w:r>
    </w:p>
    <w:p w14:paraId="0F509158" w14:textId="6E202941" w:rsidR="00681847" w:rsidRDefault="00681847" w:rsidP="00681847">
      <w:pPr>
        <w:pStyle w:val="Body"/>
      </w:pPr>
      <w:r>
        <w:t>Sinclair, F., Wezel, A., Mbow, C., Chomba, S., Robiglio, V., &amp; Harrison, R. (2019). The contribution of agroecological approaches to realizing climate-resilient agriculture. GCA: Rotterdam, The Netherlands.</w:t>
      </w:r>
      <w:r w:rsidR="008D579E" w:rsidRPr="008D579E">
        <w:t xml:space="preserve"> </w:t>
      </w:r>
      <w:hyperlink r:id="rId88" w:history="1">
        <w:r w:rsidR="008D579E" w:rsidRPr="00677B16">
          <w:rPr>
            <w:rStyle w:val="Hyperlink"/>
          </w:rPr>
          <w:t>https://gca.org/wp-content/uploads/2020/12/TheContributionsOfAgroecologicalApproaches.pdf</w:t>
        </w:r>
      </w:hyperlink>
      <w:r w:rsidR="008D579E">
        <w:t xml:space="preserve"> </w:t>
      </w:r>
    </w:p>
    <w:p w14:paraId="20E4A547" w14:textId="5CDBBCC3" w:rsidR="00681847" w:rsidRDefault="00681847" w:rsidP="00681847">
      <w:pPr>
        <w:pStyle w:val="Body"/>
      </w:pPr>
      <w:r>
        <w:t xml:space="preserve">Smith, R., Guevara, O., Wenzel, L., Dudley, N., Petrone-Mendoza, V., Cadena, M., &amp; Rhodes, A. (2019). Ensuring Co-benefits for Biodiversity, Climate Change and Sustainable Development. In W. Leal Filho, J. Barbir, &amp; R. Preziosi (Eds.), Handbook of Climate Change and Biodiversity (pp. 151–166). Springer International Publishing. </w:t>
      </w:r>
      <w:hyperlink r:id="rId89" w:history="1">
        <w:r w:rsidR="000E378D" w:rsidRPr="00677B16">
          <w:rPr>
            <w:rStyle w:val="Hyperlink"/>
          </w:rPr>
          <w:t>https://doi.org/10.1007/978-3-319-98681-4_9</w:t>
        </w:r>
      </w:hyperlink>
      <w:r w:rsidR="000E378D">
        <w:t xml:space="preserve"> </w:t>
      </w:r>
    </w:p>
    <w:p w14:paraId="7EA55321" w14:textId="5DEF7E17" w:rsidR="00681847" w:rsidRDefault="00681847" w:rsidP="00681847">
      <w:pPr>
        <w:pStyle w:val="Body"/>
      </w:pPr>
      <w:r>
        <w:t xml:space="preserve">Stamm, L. (2025). Costa Rica’s Forest Law 7575 incentivizes local landowners to protect forests (1996–ongoing). NYU Center on International Cooperation. https://www.sdg16.plus/policies/payments-to-landowners-for-forest-conservation-costa-rica/#:~:text=a publicly funded program </w:t>
      </w:r>
      <w:proofErr w:type="spellStart"/>
      <w:proofErr w:type="gramStart"/>
      <w:r>
        <w:t>that,cash</w:t>
      </w:r>
      <w:proofErr w:type="spellEnd"/>
      <w:proofErr w:type="gramEnd"/>
      <w:r>
        <w:t xml:space="preserve"> transfers for their participation. Retrieved on 8th October 2025.</w:t>
      </w:r>
      <w:r w:rsidR="00DA5DC8">
        <w:t xml:space="preserve"> </w:t>
      </w:r>
    </w:p>
    <w:p w14:paraId="27731DFD" w14:textId="3EACB220" w:rsidR="00681847" w:rsidRDefault="00681847" w:rsidP="00681847">
      <w:pPr>
        <w:pStyle w:val="Body"/>
      </w:pPr>
      <w:r>
        <w:t xml:space="preserve">Strauss, V., Paul, C., Dönmez, C., &amp; Burkhard, B. (2024). Carbon farming for climate change mitigation and ecosystem services – Potentials and influencing factors. Journal of Environmental Management, 372, 123253. </w:t>
      </w:r>
      <w:hyperlink r:id="rId90" w:history="1">
        <w:r w:rsidR="00DA5DC8" w:rsidRPr="00677B16">
          <w:rPr>
            <w:rStyle w:val="Hyperlink"/>
          </w:rPr>
          <w:t>https://doi.org/10.1016/j.jenvman.2024.123253</w:t>
        </w:r>
      </w:hyperlink>
      <w:r w:rsidR="00DA5DC8">
        <w:t xml:space="preserve"> </w:t>
      </w:r>
    </w:p>
    <w:p w14:paraId="06523646" w14:textId="4E0BF730" w:rsidR="00681847" w:rsidRDefault="00681847" w:rsidP="00681847">
      <w:pPr>
        <w:pStyle w:val="Body"/>
      </w:pPr>
      <w:r>
        <w:t xml:space="preserve">Taheri </w:t>
      </w:r>
      <w:proofErr w:type="spellStart"/>
      <w:r>
        <w:t>Hosseinkhani</w:t>
      </w:r>
      <w:proofErr w:type="spellEnd"/>
      <w:r>
        <w:t xml:space="preserve">, N. (2025). Comprehensive Analysis of Carbon Taxation and Emission Trading Systems: Design, Implementation, and Impacts. </w:t>
      </w:r>
      <w:hyperlink r:id="rId91" w:history="1">
        <w:r w:rsidR="00DA5DC8" w:rsidRPr="00677B16">
          <w:rPr>
            <w:rStyle w:val="Hyperlink"/>
          </w:rPr>
          <w:t>https://doi.org/10.2139/ssrn.5505198</w:t>
        </w:r>
      </w:hyperlink>
      <w:r w:rsidR="00DA5DC8">
        <w:t xml:space="preserve"> </w:t>
      </w:r>
    </w:p>
    <w:p w14:paraId="1AF8DA39" w14:textId="54C0EC52" w:rsidR="00681847" w:rsidRDefault="00681847" w:rsidP="00681847">
      <w:pPr>
        <w:pStyle w:val="Body"/>
      </w:pPr>
      <w:proofErr w:type="spellStart"/>
      <w:r>
        <w:t>Tebkew</w:t>
      </w:r>
      <w:proofErr w:type="spellEnd"/>
      <w:r>
        <w:t xml:space="preserve">, M., Asfaw, Z., Worku, A., &amp; Jacobson, M. (2024). Contribution of agroforestry practices to income and poverty status of households in Northwestern Ethiopia. Discover Agriculture, 2(1), 48. </w:t>
      </w:r>
      <w:hyperlink r:id="rId92" w:history="1">
        <w:r w:rsidR="00DA5DC8" w:rsidRPr="00677B16">
          <w:rPr>
            <w:rStyle w:val="Hyperlink"/>
          </w:rPr>
          <w:t>https://doi.org/10.1007/s44279-024-00062-x</w:t>
        </w:r>
      </w:hyperlink>
      <w:r w:rsidR="00DA5DC8">
        <w:t xml:space="preserve"> </w:t>
      </w:r>
    </w:p>
    <w:p w14:paraId="57D8786C" w14:textId="41A6F2AE" w:rsidR="00681847" w:rsidRDefault="00681847" w:rsidP="00681847">
      <w:pPr>
        <w:pStyle w:val="Body"/>
      </w:pPr>
      <w:r>
        <w:t xml:space="preserve">The Nature Conservancy India. (2022). Strengthening Payments for Ecosystem Services in India. https://www.tncindia.in/content/dam/tnc/nature/en/documents/Strengthening-and-scaling-PES-in-India.pdf#:~:text=Payments for ecosystem </w:t>
      </w:r>
      <w:proofErr w:type="gramStart"/>
      <w:r>
        <w:t>service ,With</w:t>
      </w:r>
      <w:proofErr w:type="gramEnd"/>
      <w:r>
        <w:t xml:space="preserve"> the degradation of natural. Retrieved on 8th October 2025.</w:t>
      </w:r>
      <w:r w:rsidR="00DA5DC8" w:rsidRPr="00DA5DC8">
        <w:t xml:space="preserve"> </w:t>
      </w:r>
      <w:hyperlink r:id="rId93" w:history="1">
        <w:r w:rsidR="00DA5DC8" w:rsidRPr="00677B16">
          <w:rPr>
            <w:rStyle w:val="Hyperlink"/>
          </w:rPr>
          <w:t>https://www.tncindia.in/content/dam/tnc/nature/en/documents/Strengthening-and-scaling-PES-in-India.pdf</w:t>
        </w:r>
      </w:hyperlink>
      <w:r w:rsidR="00DA5DC8">
        <w:t xml:space="preserve"> </w:t>
      </w:r>
    </w:p>
    <w:p w14:paraId="2690BE86" w14:textId="1D8829D2" w:rsidR="00681847" w:rsidRDefault="00681847" w:rsidP="00681847">
      <w:pPr>
        <w:pStyle w:val="Body"/>
      </w:pPr>
      <w:r>
        <w:lastRenderedPageBreak/>
        <w:t xml:space="preserve">Tolulope, O. Y., Bamidele, J., </w:t>
      </w:r>
      <w:proofErr w:type="spellStart"/>
      <w:r>
        <w:t>Eleke</w:t>
      </w:r>
      <w:proofErr w:type="spellEnd"/>
      <w:r>
        <w:t xml:space="preserve">, U. P., Joel, O. J., Joel, A. F., &amp; </w:t>
      </w:r>
      <w:proofErr w:type="spellStart"/>
      <w:r>
        <w:t>Sennuga</w:t>
      </w:r>
      <w:proofErr w:type="spellEnd"/>
      <w:r>
        <w:t xml:space="preserve">, S. O. (2025). Adapting to environmental changes and climate impacts in rural communities: A comprehensive review. Global Journal of Earth and Environmental Science, 10(1), 1–7. </w:t>
      </w:r>
      <w:hyperlink r:id="rId94" w:history="1">
        <w:r w:rsidR="001B5B3B" w:rsidRPr="00677B16">
          <w:rPr>
            <w:rStyle w:val="Hyperlink"/>
          </w:rPr>
          <w:t>https://doi.org/doi.org/10.31248/GJEES2024.169</w:t>
        </w:r>
      </w:hyperlink>
      <w:r w:rsidR="001B5B3B">
        <w:t xml:space="preserve"> </w:t>
      </w:r>
    </w:p>
    <w:p w14:paraId="19E9D4C0" w14:textId="0B0DDFB1" w:rsidR="00681847" w:rsidRDefault="00681847" w:rsidP="00681847">
      <w:pPr>
        <w:pStyle w:val="Body"/>
      </w:pPr>
      <w:r>
        <w:t>UNCTAD. (2024). Leveraging carbon markets for least developed countries. https://unctad.org/news/leveraging-carbon-markets-least-developed-countries#:~:text=,and renewable energy. Retrieved on 8th October 2025.</w:t>
      </w:r>
      <w:r w:rsidR="001B5B3B">
        <w:t xml:space="preserve"> </w:t>
      </w:r>
    </w:p>
    <w:p w14:paraId="3A939AD3" w14:textId="30BE37A3" w:rsidR="00681847" w:rsidRDefault="00681847" w:rsidP="00681847">
      <w:pPr>
        <w:pStyle w:val="Body"/>
      </w:pPr>
      <w:r>
        <w:t xml:space="preserve">USDA. (2025). NRCS Climate-Smart Mitigation Activities. National Resources Conservation Service. https://www.nrcs.usda.gov/conservation-basics/natural-resource-concerns/climate/climate-smart-mitigation-activities#:~:text=appropriately%2C these activities are expected </w:t>
      </w:r>
      <w:proofErr w:type="spellStart"/>
      <w:proofErr w:type="gramStart"/>
      <w:r>
        <w:t>to,wildlife</w:t>
      </w:r>
      <w:proofErr w:type="spellEnd"/>
      <w:proofErr w:type="gramEnd"/>
      <w:r>
        <w:t xml:space="preserve"> habitat and air quality. Retrieved on 8th October 2025.</w:t>
      </w:r>
      <w:r w:rsidR="001B5B3B">
        <w:t xml:space="preserve"> </w:t>
      </w:r>
    </w:p>
    <w:p w14:paraId="4BA758A8" w14:textId="025849CF" w:rsidR="00681847" w:rsidRDefault="00681847" w:rsidP="00681847">
      <w:pPr>
        <w:pStyle w:val="Body"/>
      </w:pPr>
      <w:r>
        <w:t>Verma, S., &amp; Sudan, F. K. (2021). Impact of climate change on marginal and small farmers’ livelihood and their adaptation strategies-a review. Regional Economic Development Research, 2(2), 96–112.</w:t>
      </w:r>
      <w:r w:rsidR="001B5B3B" w:rsidRPr="001B5B3B">
        <w:t xml:space="preserve"> </w:t>
      </w:r>
      <w:hyperlink r:id="rId95" w:history="1">
        <w:r w:rsidR="001B5B3B" w:rsidRPr="00677B16">
          <w:rPr>
            <w:rStyle w:val="Hyperlink"/>
          </w:rPr>
          <w:t>https://doi.org/10.37256/redr.222021896</w:t>
        </w:r>
      </w:hyperlink>
      <w:r w:rsidR="001B5B3B">
        <w:t xml:space="preserve"> </w:t>
      </w:r>
    </w:p>
    <w:p w14:paraId="6E011439" w14:textId="453C0B94" w:rsidR="00681847" w:rsidRDefault="00681847" w:rsidP="00681847">
      <w:pPr>
        <w:pStyle w:val="Body"/>
      </w:pPr>
      <w:proofErr w:type="spellStart"/>
      <w:r>
        <w:t>Vlek</w:t>
      </w:r>
      <w:proofErr w:type="spellEnd"/>
      <w:r>
        <w:t xml:space="preserve">, P., </w:t>
      </w:r>
      <w:proofErr w:type="spellStart"/>
      <w:r>
        <w:t>Khamzina</w:t>
      </w:r>
      <w:proofErr w:type="spellEnd"/>
      <w:r>
        <w:t xml:space="preserve">, A., Azadi, H., Bhaduri, A., Bharati, L., </w:t>
      </w:r>
      <w:proofErr w:type="spellStart"/>
      <w:r>
        <w:t>Braimoh</w:t>
      </w:r>
      <w:proofErr w:type="spellEnd"/>
      <w:r>
        <w:t xml:space="preserve">, A., Martius, C., Sunderland, T., &amp; Taheri, F. (2017). Trade-Offs in Multi-Purpose Land Use under Land Degradation. Sustainability, 9(12), 2196. </w:t>
      </w:r>
      <w:hyperlink r:id="rId96" w:history="1">
        <w:r w:rsidR="008E335F" w:rsidRPr="00677B16">
          <w:rPr>
            <w:rStyle w:val="Hyperlink"/>
          </w:rPr>
          <w:t>https://doi.org/10.3390/su9122196</w:t>
        </w:r>
      </w:hyperlink>
      <w:r w:rsidR="008E335F">
        <w:t xml:space="preserve"> </w:t>
      </w:r>
    </w:p>
    <w:p w14:paraId="3A71BDD4" w14:textId="0563F304" w:rsidR="00681847" w:rsidRDefault="00681847" w:rsidP="00681847">
      <w:pPr>
        <w:pStyle w:val="Body"/>
      </w:pPr>
      <w:r>
        <w:t xml:space="preserve">Wags </w:t>
      </w:r>
      <w:proofErr w:type="spellStart"/>
      <w:r>
        <w:t>Numoipiri</w:t>
      </w:r>
      <w:proofErr w:type="spellEnd"/>
      <w:r>
        <w:t xml:space="preserve"> Digitemie, &amp; Ifeanyi </w:t>
      </w:r>
      <w:proofErr w:type="spellStart"/>
      <w:r>
        <w:t>Onyedika</w:t>
      </w:r>
      <w:proofErr w:type="spellEnd"/>
      <w:r>
        <w:t xml:space="preserve"> Ekemezie. (2024). Assessing the role of carbon pricing in global climate change mitigation strategies. Magna Scientia Advanced Research and Reviews, 10(2), 022–031. </w:t>
      </w:r>
      <w:hyperlink r:id="rId97" w:history="1">
        <w:r w:rsidR="008E335F" w:rsidRPr="00677B16">
          <w:rPr>
            <w:rStyle w:val="Hyperlink"/>
          </w:rPr>
          <w:t>https://doi.org/10.30574/msarr.2024.10.2.0040</w:t>
        </w:r>
      </w:hyperlink>
      <w:r w:rsidR="008E335F">
        <w:t xml:space="preserve"> </w:t>
      </w:r>
    </w:p>
    <w:p w14:paraId="388C2FE1" w14:textId="44E6C370" w:rsidR="00681847" w:rsidRDefault="00681847" w:rsidP="00681847">
      <w:pPr>
        <w:pStyle w:val="Body"/>
      </w:pPr>
      <w:r>
        <w:t xml:space="preserve">Wang, C., Pang, W., &amp; Hong, J. (2017). Impact of a regional payment for ecosystem service program on the livelihoods of different rural households. Journal of Cleaner Production, 164, 1058–1067. </w:t>
      </w:r>
      <w:hyperlink r:id="rId98" w:history="1">
        <w:r w:rsidR="008E335F" w:rsidRPr="00677B16">
          <w:rPr>
            <w:rStyle w:val="Hyperlink"/>
          </w:rPr>
          <w:t>https://doi.org/10.1016/j.jclepro.2017.07.002</w:t>
        </w:r>
      </w:hyperlink>
      <w:r w:rsidR="008E335F">
        <w:t xml:space="preserve"> </w:t>
      </w:r>
    </w:p>
    <w:p w14:paraId="7515979D" w14:textId="65316C2A" w:rsidR="00681847" w:rsidRDefault="00681847" w:rsidP="00681847">
      <w:pPr>
        <w:pStyle w:val="Body"/>
      </w:pPr>
      <w:r>
        <w:t xml:space="preserve">Wegner, G. I. (2016). Payments for ecosystem services (PES): a flexible, participatory, and integrated approach for improved conservation and equity outcomes. Environment, Development and Sustainability, 18(3), 617–644. </w:t>
      </w:r>
      <w:hyperlink r:id="rId99" w:history="1">
        <w:r w:rsidR="008E335F" w:rsidRPr="00677B16">
          <w:rPr>
            <w:rStyle w:val="Hyperlink"/>
          </w:rPr>
          <w:t>https://doi.org/10.1007/s10668-015-9673-7</w:t>
        </w:r>
      </w:hyperlink>
      <w:r w:rsidR="008E335F">
        <w:t xml:space="preserve"> </w:t>
      </w:r>
    </w:p>
    <w:p w14:paraId="586649CF" w14:textId="671A3B42" w:rsidR="00681847" w:rsidRDefault="00681847" w:rsidP="00681847">
      <w:pPr>
        <w:pStyle w:val="Body"/>
      </w:pPr>
      <w:r>
        <w:t xml:space="preserve">Wittman, H., Powell, L. J., &amp; Corbera, E. (2015). Financing the agrarian transition? The Clean Development Mechanism and agricultural change in Latin America. Environment and Planning A: Economy and Space, 47(10), 2031–2046. </w:t>
      </w:r>
      <w:hyperlink r:id="rId100" w:history="1">
        <w:r w:rsidR="008E335F" w:rsidRPr="00677B16">
          <w:rPr>
            <w:rStyle w:val="Hyperlink"/>
          </w:rPr>
          <w:t>https://doi.org/10.1068/a130218p</w:t>
        </w:r>
      </w:hyperlink>
      <w:r w:rsidR="008E335F">
        <w:t xml:space="preserve"> </w:t>
      </w:r>
    </w:p>
    <w:p w14:paraId="672A7A11" w14:textId="170E2184" w:rsidR="00681847" w:rsidRDefault="00681847" w:rsidP="00681847">
      <w:pPr>
        <w:pStyle w:val="Body"/>
      </w:pPr>
      <w:r>
        <w:t xml:space="preserve">Wollenberg, E. K., </w:t>
      </w:r>
      <w:proofErr w:type="spellStart"/>
      <w:r>
        <w:t>Tennigkeit</w:t>
      </w:r>
      <w:proofErr w:type="spellEnd"/>
      <w:r>
        <w:t xml:space="preserve">, T., Dinesh, D., Baumert, S., Röhrig, F., Kirfel-Rühle, L., &amp; </w:t>
      </w:r>
      <w:proofErr w:type="spellStart"/>
      <w:r>
        <w:t>Zeppenfeldt</w:t>
      </w:r>
      <w:proofErr w:type="spellEnd"/>
      <w:r>
        <w:t>, L. (2022). Compensating farmers for ecosystem services: lessons and an agenda for innovation. https://cgspace.cgiar.org/server/api/core/bitstreams/df9c4a2d-07e5-45b4-9b08-4a9539993c6b/content. Retrieved on 8th October 2025.</w:t>
      </w:r>
      <w:r w:rsidR="008E335F">
        <w:t xml:space="preserve"> </w:t>
      </w:r>
    </w:p>
    <w:p w14:paraId="6399BF48" w14:textId="050D920D" w:rsidR="00681847" w:rsidRDefault="00681847" w:rsidP="00681847">
      <w:pPr>
        <w:pStyle w:val="Body"/>
      </w:pPr>
      <w:r>
        <w:t>Woo, J. (2021). A New Blockchain Framework for Existing Building Energy Performance Measurement, Reporting, and Verification (MRV): A Pathway for the Building Sector to Participate in the Carbon Credit Market. University of Florida. https://www.proquest.com/openview/439305272c28dab581b4bce723b46387/1?pq-origsite=gscholar&amp;cbl=18750&amp;diss=y. Retrieved on 15th October 2025.</w:t>
      </w:r>
      <w:r w:rsidR="008E335F">
        <w:t xml:space="preserve"> </w:t>
      </w:r>
    </w:p>
    <w:p w14:paraId="1C4C1695" w14:textId="4AB20E6A" w:rsidR="00681847" w:rsidRDefault="00681847" w:rsidP="00681847">
      <w:pPr>
        <w:pStyle w:val="Body"/>
      </w:pPr>
      <w:r>
        <w:t xml:space="preserve">Woo, J., Fatima, R., </w:t>
      </w:r>
      <w:proofErr w:type="spellStart"/>
      <w:r>
        <w:t>Kibert</w:t>
      </w:r>
      <w:proofErr w:type="spellEnd"/>
      <w:r>
        <w:t xml:space="preserve">, C. J., Newman, R. E., Tian, Y., &amp; Srinivasan, R. S. (2021). Applying blockchain technology for building energy performance measurement, reporting, and verification (MRV) and the carbon credit market: A review of the literature. Building and Environment, 205, 108199. </w:t>
      </w:r>
      <w:hyperlink r:id="rId101" w:history="1">
        <w:r w:rsidR="008E335F" w:rsidRPr="00677B16">
          <w:rPr>
            <w:rStyle w:val="Hyperlink"/>
          </w:rPr>
          <w:t>https://doi.org/10.1016/j.buildenv.2021.108199</w:t>
        </w:r>
      </w:hyperlink>
      <w:r w:rsidR="008E335F">
        <w:t xml:space="preserve"> </w:t>
      </w:r>
    </w:p>
    <w:p w14:paraId="2E0B1B69" w14:textId="1DF4D806" w:rsidR="00681847" w:rsidRDefault="00681847" w:rsidP="00681847">
      <w:pPr>
        <w:pStyle w:val="Body"/>
      </w:pPr>
      <w:r>
        <w:lastRenderedPageBreak/>
        <w:t xml:space="preserve">World Bank. (2021). Ecological compensation in China: Trends and opportunities for incentive-based policies towards a greener China. https://documents1.worldbank.org/curated/en/099120202112224400/pdf/P168160098d5ca0720a23c0fa9f168a6688.pdf#:~:text=These programs have invested </w:t>
      </w:r>
      <w:proofErr w:type="spellStart"/>
      <w:proofErr w:type="gramStart"/>
      <w:r>
        <w:t>more,country</w:t>
      </w:r>
      <w:proofErr w:type="spellEnd"/>
      <w:proofErr w:type="gramEnd"/>
      <w:r>
        <w:t xml:space="preserve"> to tackle these challenges. Retrieved on 15th October 2025.</w:t>
      </w:r>
      <w:r w:rsidR="008E335F">
        <w:t xml:space="preserve"> </w:t>
      </w:r>
    </w:p>
    <w:p w14:paraId="7B275758" w14:textId="3AAB378D" w:rsidR="00681847" w:rsidRDefault="00681847" w:rsidP="00681847">
      <w:pPr>
        <w:pStyle w:val="Body"/>
      </w:pPr>
      <w:r>
        <w:t xml:space="preserve">World Bank Group. (2023). Record High Revenues </w:t>
      </w:r>
      <w:proofErr w:type="gramStart"/>
      <w:r>
        <w:t>From</w:t>
      </w:r>
      <w:proofErr w:type="gramEnd"/>
      <w:r>
        <w:t xml:space="preserve"> Global Carbon Pricing Near $100 Billion. https://www.worldbank.org/en/news/press-release/2023/05/23/record-high-revenues-from-global-carbon-pricing-near-100-billion. Retrieved on 14th October 2025.</w:t>
      </w:r>
      <w:r w:rsidR="008E335F">
        <w:t xml:space="preserve"> </w:t>
      </w:r>
    </w:p>
    <w:p w14:paraId="2F4EC0C2" w14:textId="4CCE6E9C" w:rsidR="00681847" w:rsidRDefault="00681847" w:rsidP="00681847">
      <w:pPr>
        <w:pStyle w:val="Body"/>
      </w:pPr>
      <w:r>
        <w:t xml:space="preserve">Xia, L., Lam, S. K., Wolf, B., Kiese, R., Chen, D., &amp; </w:t>
      </w:r>
      <w:proofErr w:type="spellStart"/>
      <w:r>
        <w:t>Butterbach</w:t>
      </w:r>
      <w:proofErr w:type="spellEnd"/>
      <w:r>
        <w:rPr>
          <w:rFonts w:ascii="Cambria Math" w:hAnsi="Cambria Math" w:cs="Cambria Math"/>
        </w:rPr>
        <w:t>‐</w:t>
      </w:r>
      <w:r>
        <w:t>Bahl, K. (2018). Trade</w:t>
      </w:r>
      <w:r>
        <w:rPr>
          <w:rFonts w:ascii="Cambria Math" w:hAnsi="Cambria Math" w:cs="Cambria Math"/>
        </w:rPr>
        <w:t>‐</w:t>
      </w:r>
      <w:r>
        <w:t>offs between soil carbon sequestration and reactive nitrogen losses under straw return in global agroecosystems. Global Change Biology, 24(12), 5919</w:t>
      </w:r>
      <w:r>
        <w:rPr>
          <w:rFonts w:cs="Helvetica"/>
        </w:rPr>
        <w:t>–</w:t>
      </w:r>
      <w:r>
        <w:t xml:space="preserve">5932. </w:t>
      </w:r>
      <w:hyperlink r:id="rId102" w:history="1">
        <w:r w:rsidR="008E335F" w:rsidRPr="00677B16">
          <w:rPr>
            <w:rStyle w:val="Hyperlink"/>
          </w:rPr>
          <w:t>https://doi.org/10.1111/gcb.14466</w:t>
        </w:r>
      </w:hyperlink>
      <w:r w:rsidR="008E335F">
        <w:t xml:space="preserve"> </w:t>
      </w:r>
    </w:p>
    <w:p w14:paraId="7B459AA1" w14:textId="3F7C4935" w:rsidR="00681847" w:rsidRDefault="00681847" w:rsidP="00681847">
      <w:pPr>
        <w:pStyle w:val="Body"/>
      </w:pPr>
      <w:r>
        <w:t>Yucheng, Z. (2024). Application of Carbon Market Mechanisms in Agricultural Economics and Their Roles in Sustainable Development. Academic Journal of Business &amp; Management, 6(9), 92–96.</w:t>
      </w:r>
      <w:r w:rsidR="008E335F" w:rsidRPr="008E335F">
        <w:t xml:space="preserve"> </w:t>
      </w:r>
      <w:hyperlink r:id="rId103" w:history="1">
        <w:r w:rsidR="008E335F" w:rsidRPr="00677B16">
          <w:rPr>
            <w:rStyle w:val="Hyperlink"/>
          </w:rPr>
          <w:t>https://doi.org/10.25236/AJBM.2024.060913</w:t>
        </w:r>
      </w:hyperlink>
      <w:r w:rsidR="008E335F">
        <w:t xml:space="preserve"> </w:t>
      </w:r>
    </w:p>
    <w:p w14:paraId="384A0F9F" w14:textId="55ECD830" w:rsidR="00681847" w:rsidRDefault="00681847" w:rsidP="00681847">
      <w:pPr>
        <w:pStyle w:val="Body"/>
      </w:pPr>
      <w:proofErr w:type="spellStart"/>
      <w:r>
        <w:t>Yunyi</w:t>
      </w:r>
      <w:proofErr w:type="spellEnd"/>
      <w:r>
        <w:t xml:space="preserve"> Zhou, Wei </w:t>
      </w:r>
      <w:proofErr w:type="gramStart"/>
      <w:r>
        <w:t>Zhang,  and</w:t>
      </w:r>
      <w:proofErr w:type="gramEnd"/>
      <w:r>
        <w:t xml:space="preserve"> K. C. (2025). Reinventing payment for environmental services (PES) from the ground up: An alternative, community-driven model in China. IFPRI Blog: Research Post, Natural Resources and Resilience. https://www.ifpri.org/blog/reinventing-payment-for-environmental-services-pes-from-the-ground-up-an-alternative-community-driven-model-in-china/#:~:text=Reconciling and harmonizing rural development%2</w:t>
      </w:r>
      <w:proofErr w:type="gramStart"/>
      <w:r>
        <w:t>C,scale</w:t>
      </w:r>
      <w:proofErr w:type="gramEnd"/>
      <w:r>
        <w:t xml:space="preserve"> farmers. Retrieved on 13th October 2025.</w:t>
      </w:r>
      <w:r w:rsidR="00736E5A">
        <w:t xml:space="preserve"> </w:t>
      </w:r>
    </w:p>
    <w:p w14:paraId="0C46076E" w14:textId="274E220D" w:rsidR="00681847" w:rsidRDefault="00681847" w:rsidP="00681847">
      <w:pPr>
        <w:pStyle w:val="Body"/>
      </w:pPr>
      <w:r>
        <w:t xml:space="preserve">Yusof, Z. Bin. (2025). Investigating Policy Instruments for Promoting Climate-Resilient Agricultural Practices in Smallholder Farming Communities: A Socioeconomic and Environmental Perspective. Transactions on Digital Society, Human Behavior, and Socioeconomic Studies, 15(2), 9–18. </w:t>
      </w:r>
      <w:hyperlink r:id="rId104" w:history="1">
        <w:r w:rsidR="00736E5A" w:rsidRPr="00677B16">
          <w:rPr>
            <w:rStyle w:val="Hyperlink"/>
          </w:rPr>
          <w:t>https://sciencequill.com/index.php/TDSHBS/article/view/2025-02-07</w:t>
        </w:r>
      </w:hyperlink>
      <w:r w:rsidR="00736E5A">
        <w:t xml:space="preserve"> </w:t>
      </w:r>
    </w:p>
    <w:p w14:paraId="7597B111" w14:textId="0BD047B5" w:rsidR="00681847" w:rsidRDefault="00681847" w:rsidP="00681847">
      <w:pPr>
        <w:pStyle w:val="Body"/>
      </w:pPr>
      <w:r>
        <w:t xml:space="preserve">Zhang, L. (2025). Economic Policy Instruments. In Sustainability Economics (pp. 391–413). Springer Nature Switzerland. </w:t>
      </w:r>
      <w:hyperlink r:id="rId105" w:history="1">
        <w:r w:rsidR="00736E5A" w:rsidRPr="00677B16">
          <w:rPr>
            <w:rStyle w:val="Hyperlink"/>
          </w:rPr>
          <w:t>https://doi.org/10.1007/978-3-031-87829-9_18</w:t>
        </w:r>
      </w:hyperlink>
      <w:r w:rsidR="00736E5A">
        <w:t xml:space="preserve"> </w:t>
      </w:r>
    </w:p>
    <w:p w14:paraId="5770DC86" w14:textId="4FDABC87" w:rsidR="00681847" w:rsidRDefault="00681847" w:rsidP="00681847">
      <w:pPr>
        <w:pStyle w:val="Body"/>
      </w:pPr>
      <w:r>
        <w:t xml:space="preserve">Zhou, L., Guan, D., Sun, L., He, X., Chen, M., Zhang, Y., &amp; Zhou, L. (2023). What is the relationship between ecosystem services and farmers’ livelihoods? Based on measuring the contribution of ecosystem services to farmers’ livelihoods. Frontiers in Ecology and Evolution, 11. </w:t>
      </w:r>
      <w:hyperlink r:id="rId106" w:history="1">
        <w:r w:rsidR="00736E5A" w:rsidRPr="00677B16">
          <w:rPr>
            <w:rStyle w:val="Hyperlink"/>
          </w:rPr>
          <w:t>https://doi.org/10.3389/fevo.2023.1106167</w:t>
        </w:r>
      </w:hyperlink>
      <w:r w:rsidR="00736E5A">
        <w:t xml:space="preserve"> </w:t>
      </w:r>
    </w:p>
    <w:p w14:paraId="2A506C4F" w14:textId="38D4EF83" w:rsidR="00B01FCD" w:rsidRPr="00681847" w:rsidRDefault="00681847" w:rsidP="00681847">
      <w:pPr>
        <w:pStyle w:val="Body"/>
      </w:pPr>
      <w:r>
        <w:t>Ziegler, T. (2023). Assessing Credibility in the Voluntary Carbon Market? Developing, testing, and evaluating a credibility assessment framework using the Integrity Council for the Voluntary Carbon Market as a case study. IIIEE Master Thesis.</w:t>
      </w:r>
      <w:r w:rsidR="006810C0">
        <w:t xml:space="preserve"> </w:t>
      </w:r>
      <w:hyperlink r:id="rId107" w:history="1">
        <w:r w:rsidR="006810C0" w:rsidRPr="006810C0">
          <w:rPr>
            <w:rStyle w:val="Hyperlink"/>
          </w:rPr>
          <w:t>Assessing Credibility in the Voluntary Carbon Market? Developing, testing, and evaluating a credibility assessment framework using the Integrity Council for the Voluntary Carbon Market as a case study | LUP Student Papers</w:t>
        </w:r>
      </w:hyperlink>
      <w:r w:rsidR="006810C0">
        <w:t xml:space="preserve">. </w:t>
      </w:r>
      <w:r w:rsidR="006810C0">
        <w:t>Retrieved</w:t>
      </w:r>
      <w:r w:rsidR="006810C0">
        <w:t xml:space="preserve"> on 03/10/2025.</w:t>
      </w:r>
    </w:p>
    <w:sectPr w:rsidR="00B01FCD" w:rsidRPr="00681847" w:rsidSect="009C2298">
      <w:headerReference w:type="even" r:id="rId108"/>
      <w:headerReference w:type="default" r:id="rId109"/>
      <w:footerReference w:type="default" r:id="rId110"/>
      <w:headerReference w:type="first" r:id="rId1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D77E" w14:textId="77777777" w:rsidR="008D1C12" w:rsidRDefault="008D1C12" w:rsidP="00C37E61">
      <w:r>
        <w:separator/>
      </w:r>
    </w:p>
  </w:endnote>
  <w:endnote w:type="continuationSeparator" w:id="0">
    <w:p w14:paraId="28300D49" w14:textId="77777777" w:rsidR="008D1C12" w:rsidRDefault="008D1C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9F7" w14:textId="77777777" w:rsidR="009C2298" w:rsidRDefault="009C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428" w14:textId="77777777" w:rsidR="009C2298" w:rsidRDefault="009C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0154" w14:textId="77777777" w:rsidR="006C1211" w:rsidRDefault="006C1211">
    <w:pPr>
      <w:pStyle w:val="Footer"/>
      <w:rPr>
        <w:rFonts w:ascii="Arial" w:hAnsi="Arial" w:cs="Arial"/>
        <w:sz w:val="16"/>
      </w:rPr>
    </w:pPr>
  </w:p>
  <w:p w14:paraId="06FE9743" w14:textId="77777777" w:rsidR="006C1211" w:rsidRDefault="006C12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FD8B1A" w14:textId="77777777" w:rsidR="006C1211" w:rsidRDefault="006C1211">
    <w:pPr>
      <w:pStyle w:val="Footer"/>
      <w:rPr>
        <w:rFonts w:ascii="Arial" w:hAnsi="Arial" w:cs="Arial"/>
        <w:sz w:val="16"/>
      </w:rPr>
    </w:pPr>
  </w:p>
  <w:p w14:paraId="6CCE5EC3" w14:textId="77777777" w:rsidR="006C1211" w:rsidRPr="009E048A" w:rsidRDefault="006C12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8AD" w14:textId="77777777" w:rsidR="006C1211" w:rsidRPr="00C37E61" w:rsidRDefault="006C12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F146" w14:textId="77777777" w:rsidR="008D1C12" w:rsidRDefault="008D1C12" w:rsidP="00C37E61">
      <w:r>
        <w:separator/>
      </w:r>
    </w:p>
  </w:footnote>
  <w:footnote w:type="continuationSeparator" w:id="0">
    <w:p w14:paraId="190073C7" w14:textId="77777777" w:rsidR="008D1C12" w:rsidRDefault="008D1C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2150" w14:textId="78A77601" w:rsidR="009C2298" w:rsidRDefault="00000000">
    <w:pPr>
      <w:pStyle w:val="Header"/>
    </w:pPr>
    <w:r>
      <w:rPr>
        <w:noProof/>
      </w:rPr>
      <w:pict w14:anchorId="448D3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6A91" w14:textId="524CB752" w:rsidR="009C2298" w:rsidRDefault="00000000">
    <w:pPr>
      <w:pStyle w:val="Header"/>
    </w:pPr>
    <w:r>
      <w:rPr>
        <w:noProof/>
      </w:rPr>
      <w:pict w14:anchorId="0EF46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5D6" w14:textId="457D6CAC" w:rsidR="006C1211" w:rsidRPr="00296529" w:rsidRDefault="00000000" w:rsidP="00296529">
    <w:pPr>
      <w:ind w:left="2160"/>
      <w:jc w:val="center"/>
      <w:rPr>
        <w:rFonts w:ascii="Times New Roman" w:eastAsia="Calibri" w:hAnsi="Times New Roman"/>
        <w:i/>
        <w:sz w:val="18"/>
        <w:szCs w:val="22"/>
      </w:rPr>
    </w:pPr>
    <w:r>
      <w:rPr>
        <w:noProof/>
      </w:rPr>
      <w:pict w14:anchorId="6D0A7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F9AF70" w14:textId="77777777" w:rsidR="006C1211" w:rsidRPr="00296529" w:rsidRDefault="006C12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CC141C" w14:textId="77777777" w:rsidR="006C1211" w:rsidRPr="00296529" w:rsidRDefault="006C12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2C4765" w14:textId="77777777" w:rsidR="006C1211" w:rsidRPr="00296529" w:rsidRDefault="006C12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BBC3A2" w14:textId="77777777" w:rsidR="006C1211" w:rsidRDefault="006C12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4D04CD" w14:textId="77777777" w:rsidR="006C1211" w:rsidRDefault="006C12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BE1C7D" w14:textId="77777777" w:rsidR="006C1211" w:rsidRDefault="006C12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FA24" w14:textId="6A3214F1" w:rsidR="009C2298" w:rsidRDefault="00000000">
    <w:pPr>
      <w:pStyle w:val="Header"/>
    </w:pPr>
    <w:r>
      <w:rPr>
        <w:noProof/>
      </w:rPr>
      <w:pict w14:anchorId="2321F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9423" w14:textId="330D1ABC" w:rsidR="009C2298" w:rsidRDefault="00000000">
    <w:pPr>
      <w:pStyle w:val="Header"/>
    </w:pPr>
    <w:r>
      <w:rPr>
        <w:noProof/>
      </w:rPr>
      <w:pict w14:anchorId="7B56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6186" w14:textId="2EA4287D" w:rsidR="009C2298" w:rsidRDefault="00000000">
    <w:pPr>
      <w:pStyle w:val="Header"/>
    </w:pPr>
    <w:r>
      <w:rPr>
        <w:noProof/>
      </w:rPr>
      <w:pict w14:anchorId="11817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94056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89974">
    <w:abstractNumId w:val="15"/>
  </w:num>
  <w:num w:numId="3" w16cid:durableId="1336768035">
    <w:abstractNumId w:val="23"/>
  </w:num>
  <w:num w:numId="4" w16cid:durableId="656181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8376779">
    <w:abstractNumId w:val="7"/>
  </w:num>
  <w:num w:numId="6" w16cid:durableId="756680686">
    <w:abstractNumId w:val="6"/>
  </w:num>
  <w:num w:numId="7" w16cid:durableId="1712799280">
    <w:abstractNumId w:val="1"/>
  </w:num>
  <w:num w:numId="8" w16cid:durableId="1844005889">
    <w:abstractNumId w:val="12"/>
  </w:num>
  <w:num w:numId="9" w16cid:durableId="1064988551">
    <w:abstractNumId w:val="25"/>
  </w:num>
  <w:num w:numId="10" w16cid:durableId="571693202">
    <w:abstractNumId w:val="2"/>
  </w:num>
  <w:num w:numId="11" w16cid:durableId="1505436578">
    <w:abstractNumId w:val="18"/>
  </w:num>
  <w:num w:numId="12" w16cid:durableId="356977462">
    <w:abstractNumId w:val="3"/>
  </w:num>
  <w:num w:numId="13" w16cid:durableId="1060831767">
    <w:abstractNumId w:val="17"/>
  </w:num>
  <w:num w:numId="14" w16cid:durableId="2013288609">
    <w:abstractNumId w:val="8"/>
  </w:num>
  <w:num w:numId="15" w16cid:durableId="1799059954">
    <w:abstractNumId w:val="21"/>
  </w:num>
  <w:num w:numId="16" w16cid:durableId="634262477">
    <w:abstractNumId w:val="5"/>
  </w:num>
  <w:num w:numId="17" w16cid:durableId="745151663">
    <w:abstractNumId w:val="22"/>
  </w:num>
  <w:num w:numId="18" w16cid:durableId="303314201">
    <w:abstractNumId w:val="14"/>
  </w:num>
  <w:num w:numId="19" w16cid:durableId="1171679776">
    <w:abstractNumId w:val="28"/>
  </w:num>
  <w:num w:numId="20" w16cid:durableId="71702324">
    <w:abstractNumId w:val="11"/>
  </w:num>
  <w:num w:numId="21" w16cid:durableId="828637724">
    <w:abstractNumId w:val="9"/>
  </w:num>
  <w:num w:numId="22" w16cid:durableId="1582908282">
    <w:abstractNumId w:val="13"/>
  </w:num>
  <w:num w:numId="23" w16cid:durableId="1484160817">
    <w:abstractNumId w:val="19"/>
  </w:num>
  <w:num w:numId="24" w16cid:durableId="285938042">
    <w:abstractNumId w:val="26"/>
  </w:num>
  <w:num w:numId="25" w16cid:durableId="1106388154">
    <w:abstractNumId w:val="4"/>
  </w:num>
  <w:num w:numId="26" w16cid:durableId="113210246">
    <w:abstractNumId w:val="16"/>
  </w:num>
  <w:num w:numId="27" w16cid:durableId="37243777">
    <w:abstractNumId w:val="20"/>
  </w:num>
  <w:num w:numId="28" w16cid:durableId="1220748264">
    <w:abstractNumId w:val="27"/>
  </w:num>
  <w:num w:numId="29" w16cid:durableId="1062102549">
    <w:abstractNumId w:val="24"/>
  </w:num>
  <w:num w:numId="30" w16cid:durableId="1417171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7C2"/>
    <w:rsid w:val="00034D42"/>
    <w:rsid w:val="0004579C"/>
    <w:rsid w:val="000466F3"/>
    <w:rsid w:val="00074992"/>
    <w:rsid w:val="000A47FA"/>
    <w:rsid w:val="000A65D3"/>
    <w:rsid w:val="000B1E33"/>
    <w:rsid w:val="000B3D4A"/>
    <w:rsid w:val="000B4EFD"/>
    <w:rsid w:val="000C1129"/>
    <w:rsid w:val="000D23D1"/>
    <w:rsid w:val="000D689F"/>
    <w:rsid w:val="000E378D"/>
    <w:rsid w:val="000E7B7B"/>
    <w:rsid w:val="000E7D62"/>
    <w:rsid w:val="00103357"/>
    <w:rsid w:val="0011054A"/>
    <w:rsid w:val="00112EB0"/>
    <w:rsid w:val="00123C9F"/>
    <w:rsid w:val="00126190"/>
    <w:rsid w:val="00130F17"/>
    <w:rsid w:val="001320BF"/>
    <w:rsid w:val="00132595"/>
    <w:rsid w:val="0013759C"/>
    <w:rsid w:val="00163BC4"/>
    <w:rsid w:val="00171E48"/>
    <w:rsid w:val="001777AB"/>
    <w:rsid w:val="0018237F"/>
    <w:rsid w:val="00191062"/>
    <w:rsid w:val="00192041"/>
    <w:rsid w:val="00192B72"/>
    <w:rsid w:val="001A29D8"/>
    <w:rsid w:val="001A5CAA"/>
    <w:rsid w:val="001B023E"/>
    <w:rsid w:val="001B0427"/>
    <w:rsid w:val="001B5B3B"/>
    <w:rsid w:val="001C2470"/>
    <w:rsid w:val="001C303E"/>
    <w:rsid w:val="001D0D57"/>
    <w:rsid w:val="001D2688"/>
    <w:rsid w:val="001D3A51"/>
    <w:rsid w:val="001D40E7"/>
    <w:rsid w:val="001E10D2"/>
    <w:rsid w:val="001E25B4"/>
    <w:rsid w:val="001E44FE"/>
    <w:rsid w:val="00200595"/>
    <w:rsid w:val="00204835"/>
    <w:rsid w:val="00210EAD"/>
    <w:rsid w:val="00213FAF"/>
    <w:rsid w:val="00231920"/>
    <w:rsid w:val="0023195C"/>
    <w:rsid w:val="00235C9E"/>
    <w:rsid w:val="00241A1A"/>
    <w:rsid w:val="0024282C"/>
    <w:rsid w:val="002460DC"/>
    <w:rsid w:val="00250985"/>
    <w:rsid w:val="0025542B"/>
    <w:rsid w:val="002556F6"/>
    <w:rsid w:val="00283105"/>
    <w:rsid w:val="00284C4C"/>
    <w:rsid w:val="00287E68"/>
    <w:rsid w:val="00296529"/>
    <w:rsid w:val="002A27FA"/>
    <w:rsid w:val="002B27FB"/>
    <w:rsid w:val="002B37F7"/>
    <w:rsid w:val="002B685A"/>
    <w:rsid w:val="002C57D2"/>
    <w:rsid w:val="002C7C92"/>
    <w:rsid w:val="002E086F"/>
    <w:rsid w:val="002E0D56"/>
    <w:rsid w:val="00315186"/>
    <w:rsid w:val="0033343E"/>
    <w:rsid w:val="003512C2"/>
    <w:rsid w:val="00371FB6"/>
    <w:rsid w:val="003763C1"/>
    <w:rsid w:val="00376BBE"/>
    <w:rsid w:val="00381C9B"/>
    <w:rsid w:val="0039224F"/>
    <w:rsid w:val="003A43A4"/>
    <w:rsid w:val="003A7E18"/>
    <w:rsid w:val="003B1391"/>
    <w:rsid w:val="003C4C86"/>
    <w:rsid w:val="003C6258"/>
    <w:rsid w:val="003E2904"/>
    <w:rsid w:val="00401927"/>
    <w:rsid w:val="0041027F"/>
    <w:rsid w:val="00412475"/>
    <w:rsid w:val="00423789"/>
    <w:rsid w:val="00440860"/>
    <w:rsid w:val="00440F43"/>
    <w:rsid w:val="00441B6F"/>
    <w:rsid w:val="00446221"/>
    <w:rsid w:val="00450E62"/>
    <w:rsid w:val="004539DB"/>
    <w:rsid w:val="00471A80"/>
    <w:rsid w:val="00493BBB"/>
    <w:rsid w:val="004D305E"/>
    <w:rsid w:val="004D4277"/>
    <w:rsid w:val="004F2216"/>
    <w:rsid w:val="00502516"/>
    <w:rsid w:val="00505F06"/>
    <w:rsid w:val="00506828"/>
    <w:rsid w:val="005123B5"/>
    <w:rsid w:val="0053056E"/>
    <w:rsid w:val="005355D3"/>
    <w:rsid w:val="00554FDA"/>
    <w:rsid w:val="005625A0"/>
    <w:rsid w:val="00562EAD"/>
    <w:rsid w:val="005679B5"/>
    <w:rsid w:val="005A459C"/>
    <w:rsid w:val="005B50D7"/>
    <w:rsid w:val="005C784C"/>
    <w:rsid w:val="005D17F6"/>
    <w:rsid w:val="005E5539"/>
    <w:rsid w:val="00600204"/>
    <w:rsid w:val="00600494"/>
    <w:rsid w:val="00602BF5"/>
    <w:rsid w:val="00611068"/>
    <w:rsid w:val="00617FDD"/>
    <w:rsid w:val="00620C02"/>
    <w:rsid w:val="00633614"/>
    <w:rsid w:val="00633F68"/>
    <w:rsid w:val="00636EB2"/>
    <w:rsid w:val="006375B8"/>
    <w:rsid w:val="00640289"/>
    <w:rsid w:val="00641CF2"/>
    <w:rsid w:val="0066510A"/>
    <w:rsid w:val="00673F9F"/>
    <w:rsid w:val="00674D11"/>
    <w:rsid w:val="006810C0"/>
    <w:rsid w:val="00681847"/>
    <w:rsid w:val="00686953"/>
    <w:rsid w:val="00687DEA"/>
    <w:rsid w:val="00687E67"/>
    <w:rsid w:val="006967F7"/>
    <w:rsid w:val="006A250C"/>
    <w:rsid w:val="006B21D3"/>
    <w:rsid w:val="006B57D0"/>
    <w:rsid w:val="006C1211"/>
    <w:rsid w:val="006D30FF"/>
    <w:rsid w:val="006D6940"/>
    <w:rsid w:val="006E7F38"/>
    <w:rsid w:val="006F11EC"/>
    <w:rsid w:val="0070082C"/>
    <w:rsid w:val="00711EB6"/>
    <w:rsid w:val="007369E6"/>
    <w:rsid w:val="00736E5A"/>
    <w:rsid w:val="00746E59"/>
    <w:rsid w:val="00754C9A"/>
    <w:rsid w:val="0075599A"/>
    <w:rsid w:val="00761D52"/>
    <w:rsid w:val="0077749E"/>
    <w:rsid w:val="00782798"/>
    <w:rsid w:val="00790ADA"/>
    <w:rsid w:val="007D2288"/>
    <w:rsid w:val="007E088F"/>
    <w:rsid w:val="007F7B32"/>
    <w:rsid w:val="00804BC2"/>
    <w:rsid w:val="00810B51"/>
    <w:rsid w:val="0081209C"/>
    <w:rsid w:val="0081431A"/>
    <w:rsid w:val="0083216F"/>
    <w:rsid w:val="00860000"/>
    <w:rsid w:val="00863BD3"/>
    <w:rsid w:val="008641ED"/>
    <w:rsid w:val="0086622E"/>
    <w:rsid w:val="00866D66"/>
    <w:rsid w:val="008671C6"/>
    <w:rsid w:val="008720A9"/>
    <w:rsid w:val="00875803"/>
    <w:rsid w:val="008B459E"/>
    <w:rsid w:val="008C09FD"/>
    <w:rsid w:val="008C5451"/>
    <w:rsid w:val="008D1C12"/>
    <w:rsid w:val="008D2396"/>
    <w:rsid w:val="008D579E"/>
    <w:rsid w:val="008E13AE"/>
    <w:rsid w:val="008E1506"/>
    <w:rsid w:val="008E335F"/>
    <w:rsid w:val="008E710C"/>
    <w:rsid w:val="008F69D6"/>
    <w:rsid w:val="00902823"/>
    <w:rsid w:val="00915CA6"/>
    <w:rsid w:val="009221BA"/>
    <w:rsid w:val="009277D6"/>
    <w:rsid w:val="00927834"/>
    <w:rsid w:val="009500A6"/>
    <w:rsid w:val="00957C18"/>
    <w:rsid w:val="009659BA"/>
    <w:rsid w:val="00983040"/>
    <w:rsid w:val="0098312B"/>
    <w:rsid w:val="00996403"/>
    <w:rsid w:val="009A0994"/>
    <w:rsid w:val="009B3FB9"/>
    <w:rsid w:val="009C2298"/>
    <w:rsid w:val="009C2465"/>
    <w:rsid w:val="009C782F"/>
    <w:rsid w:val="009D35A0"/>
    <w:rsid w:val="009D7EB7"/>
    <w:rsid w:val="009E048A"/>
    <w:rsid w:val="009E08E9"/>
    <w:rsid w:val="009E3DB9"/>
    <w:rsid w:val="009E6E35"/>
    <w:rsid w:val="009F0EDA"/>
    <w:rsid w:val="009F15F8"/>
    <w:rsid w:val="00A03B96"/>
    <w:rsid w:val="00A05B19"/>
    <w:rsid w:val="00A1134E"/>
    <w:rsid w:val="00A24E7E"/>
    <w:rsid w:val="00A258C3"/>
    <w:rsid w:val="00A347C0"/>
    <w:rsid w:val="00A34805"/>
    <w:rsid w:val="00A51431"/>
    <w:rsid w:val="00A539AD"/>
    <w:rsid w:val="00A54393"/>
    <w:rsid w:val="00A81832"/>
    <w:rsid w:val="00A94063"/>
    <w:rsid w:val="00AA5A14"/>
    <w:rsid w:val="00AA6219"/>
    <w:rsid w:val="00AA74E0"/>
    <w:rsid w:val="00AB703F"/>
    <w:rsid w:val="00AC00B8"/>
    <w:rsid w:val="00AC6BB8"/>
    <w:rsid w:val="00AE008F"/>
    <w:rsid w:val="00AF762E"/>
    <w:rsid w:val="00B01FCD"/>
    <w:rsid w:val="00B02E19"/>
    <w:rsid w:val="00B1776C"/>
    <w:rsid w:val="00B261F4"/>
    <w:rsid w:val="00B32215"/>
    <w:rsid w:val="00B325F1"/>
    <w:rsid w:val="00B43C6C"/>
    <w:rsid w:val="00B52583"/>
    <w:rsid w:val="00B52896"/>
    <w:rsid w:val="00B61D91"/>
    <w:rsid w:val="00B95236"/>
    <w:rsid w:val="00B96BD9"/>
    <w:rsid w:val="00BA1B01"/>
    <w:rsid w:val="00BA2641"/>
    <w:rsid w:val="00BB04C2"/>
    <w:rsid w:val="00BB37AA"/>
    <w:rsid w:val="00BC26AB"/>
    <w:rsid w:val="00BC53A0"/>
    <w:rsid w:val="00BE62AD"/>
    <w:rsid w:val="00BF121F"/>
    <w:rsid w:val="00BF1F80"/>
    <w:rsid w:val="00BF4203"/>
    <w:rsid w:val="00C03D99"/>
    <w:rsid w:val="00C166EF"/>
    <w:rsid w:val="00C17EB0"/>
    <w:rsid w:val="00C27F5F"/>
    <w:rsid w:val="00C30A0F"/>
    <w:rsid w:val="00C37E61"/>
    <w:rsid w:val="00C62A01"/>
    <w:rsid w:val="00C656D9"/>
    <w:rsid w:val="00C70F1B"/>
    <w:rsid w:val="00C71A47"/>
    <w:rsid w:val="00C7464C"/>
    <w:rsid w:val="00C85588"/>
    <w:rsid w:val="00CA4B11"/>
    <w:rsid w:val="00CB242E"/>
    <w:rsid w:val="00CC4CB2"/>
    <w:rsid w:val="00CD6755"/>
    <w:rsid w:val="00CD6856"/>
    <w:rsid w:val="00CE0089"/>
    <w:rsid w:val="00CE6940"/>
    <w:rsid w:val="00CE793C"/>
    <w:rsid w:val="00CF193C"/>
    <w:rsid w:val="00D10089"/>
    <w:rsid w:val="00D173F1"/>
    <w:rsid w:val="00D2432A"/>
    <w:rsid w:val="00D70B5D"/>
    <w:rsid w:val="00D74CB0"/>
    <w:rsid w:val="00D8295D"/>
    <w:rsid w:val="00DA40EE"/>
    <w:rsid w:val="00DA5DC8"/>
    <w:rsid w:val="00DB3806"/>
    <w:rsid w:val="00DC2A65"/>
    <w:rsid w:val="00DE15F0"/>
    <w:rsid w:val="00DE5663"/>
    <w:rsid w:val="00DE78AA"/>
    <w:rsid w:val="00E053D0"/>
    <w:rsid w:val="00E15994"/>
    <w:rsid w:val="00E17EFD"/>
    <w:rsid w:val="00E20414"/>
    <w:rsid w:val="00E3114E"/>
    <w:rsid w:val="00E31A70"/>
    <w:rsid w:val="00E33A23"/>
    <w:rsid w:val="00E35B02"/>
    <w:rsid w:val="00E411F4"/>
    <w:rsid w:val="00E66496"/>
    <w:rsid w:val="00E66B35"/>
    <w:rsid w:val="00E66E10"/>
    <w:rsid w:val="00E769F6"/>
    <w:rsid w:val="00E8407C"/>
    <w:rsid w:val="00E84387"/>
    <w:rsid w:val="00E84F3C"/>
    <w:rsid w:val="00E94F5A"/>
    <w:rsid w:val="00E96A16"/>
    <w:rsid w:val="00EA012C"/>
    <w:rsid w:val="00EC6A55"/>
    <w:rsid w:val="00ED0288"/>
    <w:rsid w:val="00EE2006"/>
    <w:rsid w:val="00EE52CB"/>
    <w:rsid w:val="00EF0C54"/>
    <w:rsid w:val="00EF581D"/>
    <w:rsid w:val="00EF7FD8"/>
    <w:rsid w:val="00F04B30"/>
    <w:rsid w:val="00F06F59"/>
    <w:rsid w:val="00F17988"/>
    <w:rsid w:val="00F42E8B"/>
    <w:rsid w:val="00F469F0"/>
    <w:rsid w:val="00F53273"/>
    <w:rsid w:val="00F755E4"/>
    <w:rsid w:val="00F77D02"/>
    <w:rsid w:val="00FB3A86"/>
    <w:rsid w:val="00FD36C8"/>
    <w:rsid w:val="00FE04C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55D0C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colecon.2007.12.002" TargetMode="External"/><Relationship Id="rId21" Type="http://schemas.openxmlformats.org/officeDocument/2006/relationships/hyperlink" Target="https://www.bruegel.org/policy-brief/nature-markets-how-can-credits-and-shares-provide-durable-additional-finance" TargetMode="External"/><Relationship Id="rId42" Type="http://schemas.openxmlformats.org/officeDocument/2006/relationships/hyperlink" Target="https://www.rff.org/publications/issue-briefs/how-usda-conservation-programs-mitigate-agricultural-greenhouse-gas-emissions/" TargetMode="External"/><Relationship Id="rId47" Type="http://schemas.openxmlformats.org/officeDocument/2006/relationships/hyperlink" Target="https://doi.org/10.9734/ijecc/2025/v15i64899" TargetMode="External"/><Relationship Id="rId63" Type="http://schemas.openxmlformats.org/officeDocument/2006/relationships/hyperlink" Target="https://www.ucl.ac.uk/global-governance/sites/global_governance/files/final_workshop_report_un_sdgs_on_biodiversity_climate_change_and_health_towards_a_shared_agenda.pdf" TargetMode="External"/><Relationship Id="rId68" Type="http://schemas.openxmlformats.org/officeDocument/2006/relationships/hyperlink" Target="https://doi.org/10.3390/ijerph19127190" TargetMode="External"/><Relationship Id="rId84" Type="http://schemas.openxmlformats.org/officeDocument/2006/relationships/hyperlink" Target="https://doi.org/10.1016/j.ecoser.2013.09.007" TargetMode="External"/><Relationship Id="rId89" Type="http://schemas.openxmlformats.org/officeDocument/2006/relationships/hyperlink" Target="https://doi.org/10.1007/978-3-319-98681-4_9" TargetMode="External"/><Relationship Id="rId112" Type="http://schemas.openxmlformats.org/officeDocument/2006/relationships/fontTable" Target="fontTable.xml"/><Relationship Id="rId16" Type="http://schemas.openxmlformats.org/officeDocument/2006/relationships/hyperlink" Target="https://ieep.eu/wp-content/uploads/2023/01/Carbon-farming-co-benefits-Approaches-to-enhance-and-safeguard-biodiversity_IEEP-Ecologic-2023.pdf" TargetMode="External"/><Relationship Id="rId107" Type="http://schemas.openxmlformats.org/officeDocument/2006/relationships/hyperlink" Target="https://lup.lub.lu.se/student-papers/search/publication/9133772" TargetMode="External"/><Relationship Id="rId11" Type="http://schemas.openxmlformats.org/officeDocument/2006/relationships/footer" Target="footer2.xml"/><Relationship Id="rId32" Type="http://schemas.openxmlformats.org/officeDocument/2006/relationships/hyperlink" Target="https://doi.org/10.1038/s41598-024-59262-6" TargetMode="External"/><Relationship Id="rId37" Type="http://schemas.openxmlformats.org/officeDocument/2006/relationships/hyperlink" Target="https://doi.org/10.1016/j.gloenvcha.2017.09.006" TargetMode="External"/><Relationship Id="rId53" Type="http://schemas.openxmlformats.org/officeDocument/2006/relationships/hyperlink" Target="https://doi.org/10.1016/j.scitotenv.2020.142565" TargetMode="External"/><Relationship Id="rId58" Type="http://schemas.openxmlformats.org/officeDocument/2006/relationships/hyperlink" Target="https://www.cifor-icraf.org/knowledge/publication/6727/pes-in-multifunctional-landscapes-assessment-of-socio-economic-feasibility-for-synergy-in-land-use/" TargetMode="External"/><Relationship Id="rId74" Type="http://schemas.openxmlformats.org/officeDocument/2006/relationships/hyperlink" Target="https://doi.org/10.1002/ldr.5224" TargetMode="External"/><Relationship Id="rId79" Type="http://schemas.openxmlformats.org/officeDocument/2006/relationships/hyperlink" Target="https://doi.org/10.3390/su16198693" TargetMode="External"/><Relationship Id="rId102" Type="http://schemas.openxmlformats.org/officeDocument/2006/relationships/hyperlink" Target="https://doi.org/10.1111/gcb.14466" TargetMode="External"/><Relationship Id="rId5" Type="http://schemas.openxmlformats.org/officeDocument/2006/relationships/webSettings" Target="webSettings.xml"/><Relationship Id="rId90" Type="http://schemas.openxmlformats.org/officeDocument/2006/relationships/hyperlink" Target="https://doi.org/10.1016/j.jenvman.2024.123253" TargetMode="External"/><Relationship Id="rId95" Type="http://schemas.openxmlformats.org/officeDocument/2006/relationships/hyperlink" Target="https://doi.org/10.37256/redr.222021896" TargetMode="External"/><Relationship Id="rId22" Type="http://schemas.openxmlformats.org/officeDocument/2006/relationships/hyperlink" Target="https://doi.org/10.1007/s44415-025-00013-4" TargetMode="External"/><Relationship Id="rId27" Type="http://schemas.openxmlformats.org/officeDocument/2006/relationships/hyperlink" Target="https://doi.org/10.1093/reep/reaa009" TargetMode="External"/><Relationship Id="rId43" Type="http://schemas.openxmlformats.org/officeDocument/2006/relationships/hyperlink" Target="https://climate.ec.europa.eu/eu-action/carbon-removals-and-carbon-farming_en" TargetMode="External"/><Relationship Id="rId48" Type="http://schemas.openxmlformats.org/officeDocument/2006/relationships/hyperlink" Target="https://doi.org/10.2760/1432445" TargetMode="External"/><Relationship Id="rId64" Type="http://schemas.openxmlformats.org/officeDocument/2006/relationships/hyperlink" Target="https://doi.org/10.1016/j.ecolind.2016.11.030" TargetMode="External"/><Relationship Id="rId69" Type="http://schemas.openxmlformats.org/officeDocument/2006/relationships/hyperlink" Target="https://doi.org/10.3390/agronomy15081816" TargetMode="External"/><Relationship Id="rId113" Type="http://schemas.openxmlformats.org/officeDocument/2006/relationships/theme" Target="theme/theme1.xml"/><Relationship Id="rId80" Type="http://schemas.openxmlformats.org/officeDocument/2006/relationships/hyperlink" Target="https://doi.org/10.1016/j.ecoser.2020.101120" TargetMode="External"/><Relationship Id="rId85" Type="http://schemas.openxmlformats.org/officeDocument/2006/relationships/hyperlink" Target="https://doi.org/10.3390/f14010136" TargetMode="External"/><Relationship Id="rId12" Type="http://schemas.openxmlformats.org/officeDocument/2006/relationships/header" Target="header3.xml"/><Relationship Id="rId17" Type="http://schemas.openxmlformats.org/officeDocument/2006/relationships/hyperlink" Target="https://doi.org/10.1002/fsn3.70260" TargetMode="External"/><Relationship Id="rId33" Type="http://schemas.openxmlformats.org/officeDocument/2006/relationships/hyperlink" Target="https://doi.org/10.5751/ES-06917-200117" TargetMode="External"/><Relationship Id="rId38" Type="http://schemas.openxmlformats.org/officeDocument/2006/relationships/hyperlink" Target="https://doi.org/10.1111/gcb.15498" TargetMode="External"/><Relationship Id="rId59" Type="http://schemas.openxmlformats.org/officeDocument/2006/relationships/hyperlink" Target="https://doi.org/https://hdl.handle.net/10883/22992" TargetMode="External"/><Relationship Id="rId103" Type="http://schemas.openxmlformats.org/officeDocument/2006/relationships/hyperlink" Target="https://doi.org/10.25236/AJBM.2024.060913" TargetMode="External"/><Relationship Id="rId108" Type="http://schemas.openxmlformats.org/officeDocument/2006/relationships/header" Target="header4.xml"/><Relationship Id="rId54" Type="http://schemas.openxmlformats.org/officeDocument/2006/relationships/hyperlink" Target="https://doi.org/10.1038/s41467-021-24942-8" TargetMode="External"/><Relationship Id="rId70" Type="http://schemas.openxmlformats.org/officeDocument/2006/relationships/hyperlink" Target="https://doi.org/10.3390/f16060971" TargetMode="External"/><Relationship Id="rId75" Type="http://schemas.openxmlformats.org/officeDocument/2006/relationships/hyperlink" Target="https://doi.org/10.1146/annurev-resource-102519-113630" TargetMode="External"/><Relationship Id="rId91" Type="http://schemas.openxmlformats.org/officeDocument/2006/relationships/hyperlink" Target="https://doi.org/10.2139/ssrn.5505198" TargetMode="External"/><Relationship Id="rId96" Type="http://schemas.openxmlformats.org/officeDocument/2006/relationships/hyperlink" Target="https://doi.org/10.3390/su91221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lib.ugent.be/fulltxt/RUG01/002/509/552/RUG01-002509552_2018_0001_AC.pdf" TargetMode="External"/><Relationship Id="rId28" Type="http://schemas.openxmlformats.org/officeDocument/2006/relationships/hyperlink" Target="https://doi.org/10.3389/fenvs.2016.00041" TargetMode="External"/><Relationship Id="rId36" Type="http://schemas.openxmlformats.org/officeDocument/2006/relationships/hyperlink" Target="https://doi.org/10.3354/cr01648" TargetMode="External"/><Relationship Id="rId49" Type="http://schemas.openxmlformats.org/officeDocument/2006/relationships/hyperlink" Target="https://doi.org/10.1016/j.envsci.2016.04.008" TargetMode="External"/><Relationship Id="rId57" Type="http://schemas.openxmlformats.org/officeDocument/2006/relationships/hyperlink" Target="https://doi.org/10.1038/s41598-025-06650-1" TargetMode="External"/><Relationship Id="rId106" Type="http://schemas.openxmlformats.org/officeDocument/2006/relationships/hyperlink" Target="https://doi.org/10.3389/fevo.2023.1106167" TargetMode="External"/><Relationship Id="rId10" Type="http://schemas.openxmlformats.org/officeDocument/2006/relationships/footer" Target="footer1.xml"/><Relationship Id="rId31" Type="http://schemas.openxmlformats.org/officeDocument/2006/relationships/hyperlink" Target="https://doi.org/10.1016/j.ijepes.2024.110225" TargetMode="External"/><Relationship Id="rId44" Type="http://schemas.openxmlformats.org/officeDocument/2006/relationships/hyperlink" Target="https://doi.org/10.1016/j.oneear.2023.05.024" TargetMode="External"/><Relationship Id="rId52" Type="http://schemas.openxmlformats.org/officeDocument/2006/relationships/hyperlink" Target="https://doi.org/10.1007/978-981-96-7699-6_18" TargetMode="External"/><Relationship Id="rId60" Type="http://schemas.openxmlformats.org/officeDocument/2006/relationships/hyperlink" Target="https://doi.org/10.1086/711158" TargetMode="External"/><Relationship Id="rId65" Type="http://schemas.openxmlformats.org/officeDocument/2006/relationships/hyperlink" Target="https://doi.org/10.1098/rstb.2019.0119" TargetMode="External"/><Relationship Id="rId73" Type="http://schemas.openxmlformats.org/officeDocument/2006/relationships/hyperlink" Target="https://doi.org/10.1016/j.ecoser.2022.101417" TargetMode="External"/><Relationship Id="rId78" Type="http://schemas.openxmlformats.org/officeDocument/2006/relationships/hyperlink" Target="https://doi.org/10.3390/su13073874" TargetMode="External"/><Relationship Id="rId81" Type="http://schemas.openxmlformats.org/officeDocument/2006/relationships/hyperlink" Target="https://doi.org/10.1016/j.landusepol.2025.107755" TargetMode="External"/><Relationship Id="rId86" Type="http://schemas.openxmlformats.org/officeDocument/2006/relationships/hyperlink" Target="https://doi.org/10.1016/j.ecolecon.2022.107433" TargetMode="External"/><Relationship Id="rId94" Type="http://schemas.openxmlformats.org/officeDocument/2006/relationships/hyperlink" Target="https://doi.org/doi.org/10.31248/GJEES2024.169" TargetMode="External"/><Relationship Id="rId99" Type="http://schemas.openxmlformats.org/officeDocument/2006/relationships/hyperlink" Target="https://doi.org/10.1007/s10668-015-9673-7" TargetMode="External"/><Relationship Id="rId101" Type="http://schemas.openxmlformats.org/officeDocument/2006/relationships/hyperlink" Target="https://doi.org/10.1016/j.buildenv.2021.10819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51594/ijarss.v6i7.1300" TargetMode="External"/><Relationship Id="rId39" Type="http://schemas.openxmlformats.org/officeDocument/2006/relationships/hyperlink" Target="https://doi.org/10.1007/s10784-017-9382-9" TargetMode="External"/><Relationship Id="rId109" Type="http://schemas.openxmlformats.org/officeDocument/2006/relationships/header" Target="header5.xml"/><Relationship Id="rId34" Type="http://schemas.openxmlformats.org/officeDocument/2006/relationships/hyperlink" Target="https://doi.org/10.1016/j.ecoser.2022.101416" TargetMode="External"/><Relationship Id="rId50" Type="http://schemas.openxmlformats.org/officeDocument/2006/relationships/hyperlink" Target="https://doi.org/10.1073/pnas.1503751112" TargetMode="External"/><Relationship Id="rId55" Type="http://schemas.openxmlformats.org/officeDocument/2006/relationships/hyperlink" Target="https://icapcarbonaction.com/en/ets/new-zealand-emissions-trading-scheme" TargetMode="External"/><Relationship Id="rId76" Type="http://schemas.openxmlformats.org/officeDocument/2006/relationships/hyperlink" Target="https://doi.org/10.1186/s13021-017-0078-9" TargetMode="External"/><Relationship Id="rId97" Type="http://schemas.openxmlformats.org/officeDocument/2006/relationships/hyperlink" Target="https://doi.org/10.30574/msarr.2024.10.2.0040" TargetMode="External"/><Relationship Id="rId104" Type="http://schemas.openxmlformats.org/officeDocument/2006/relationships/hyperlink" Target="https://sciencequill.com/index.php/TDSHBS/article/view/2025-02-07" TargetMode="External"/><Relationship Id="rId7" Type="http://schemas.openxmlformats.org/officeDocument/2006/relationships/endnotes" Target="endnotes.xml"/><Relationship Id="rId71" Type="http://schemas.openxmlformats.org/officeDocument/2006/relationships/hyperlink" Target="https://doi.org/10.1177/18393349211069152" TargetMode="External"/><Relationship Id="rId92" Type="http://schemas.openxmlformats.org/officeDocument/2006/relationships/hyperlink" Target="https://doi.org/10.1007/s44279-024-00062-x" TargetMode="External"/><Relationship Id="rId2" Type="http://schemas.openxmlformats.org/officeDocument/2006/relationships/numbering" Target="numbering.xml"/><Relationship Id="rId29" Type="http://schemas.openxmlformats.org/officeDocument/2006/relationships/hyperlink" Target="https://doi.org/10.1016/j.scitotenv.2020.141759" TargetMode="External"/><Relationship Id="rId24" Type="http://schemas.openxmlformats.org/officeDocument/2006/relationships/hyperlink" Target="https://doi.org/10.1007/s12571-016-0575-9" TargetMode="External"/><Relationship Id="rId40" Type="http://schemas.openxmlformats.org/officeDocument/2006/relationships/hyperlink" Target="https://www.ieta.org/resources/International_WG/Article6/CLPC_A6%20report_no%20crops.pdf" TargetMode="External"/><Relationship Id="rId45" Type="http://schemas.openxmlformats.org/officeDocument/2006/relationships/hyperlink" Target="https://doi.org/10.1016/j.ecoser.2020.101160" TargetMode="External"/><Relationship Id="rId66" Type="http://schemas.openxmlformats.org/officeDocument/2006/relationships/hyperlink" Target="https://doi.org/10.1007/s43979-022-00035-3" TargetMode="External"/><Relationship Id="rId87" Type="http://schemas.openxmlformats.org/officeDocument/2006/relationships/hyperlink" Target="https://doi.org/10.1108/JSTPM-08-2015-0027" TargetMode="External"/><Relationship Id="rId110" Type="http://schemas.openxmlformats.org/officeDocument/2006/relationships/footer" Target="footer4.xml"/><Relationship Id="rId61" Type="http://schemas.openxmlformats.org/officeDocument/2006/relationships/hyperlink" Target="https://doi.org/10.1016/j.ecolecon.2023.107816" TargetMode="External"/><Relationship Id="rId82" Type="http://schemas.openxmlformats.org/officeDocument/2006/relationships/hyperlink" Target="https://doi.org/10.1126/sciadv.aax7712" TargetMode="External"/><Relationship Id="rId19" Type="http://schemas.openxmlformats.org/officeDocument/2006/relationships/hyperlink" Target="https://doi.org/10.1016/j.heliyon.2025.e42796" TargetMode="External"/><Relationship Id="rId14" Type="http://schemas.openxmlformats.org/officeDocument/2006/relationships/image" Target="media/image1.png"/><Relationship Id="rId30" Type="http://schemas.openxmlformats.org/officeDocument/2006/relationships/hyperlink" Target="https://doi.org/10.1007/978-981-19-4416-1_4" TargetMode="External"/><Relationship Id="rId35" Type="http://schemas.openxmlformats.org/officeDocument/2006/relationships/hyperlink" Target="https://www.climatepolicyinitiative.org/wp-content/uploads/2023/07/landscape-of-climate-finance-for-agrifood-systems.pdf" TargetMode="External"/><Relationship Id="rId56" Type="http://schemas.openxmlformats.org/officeDocument/2006/relationships/hyperlink" Target="https://doi.org/10.1016/j.ecolind.2022.109534" TargetMode="External"/><Relationship Id="rId77" Type="http://schemas.openxmlformats.org/officeDocument/2006/relationships/hyperlink" Target="https://doi.org/10.7176/JNSR/9-19-07" TargetMode="External"/><Relationship Id="rId100" Type="http://schemas.openxmlformats.org/officeDocument/2006/relationships/hyperlink" Target="https://doi.org/10.1068/a130218p" TargetMode="External"/><Relationship Id="rId105" Type="http://schemas.openxmlformats.org/officeDocument/2006/relationships/hyperlink" Target="https://doi.org/10.1007/978-3-031-87829-9_18" TargetMode="External"/><Relationship Id="rId8" Type="http://schemas.openxmlformats.org/officeDocument/2006/relationships/header" Target="header1.xml"/><Relationship Id="rId51" Type="http://schemas.openxmlformats.org/officeDocument/2006/relationships/hyperlink" Target="https://doi.org/10.1007/978-3-030-76247-6_2" TargetMode="External"/><Relationship Id="rId72" Type="http://schemas.openxmlformats.org/officeDocument/2006/relationships/hyperlink" Target="https://doi.org/10.1038/s41598-024-64235-w" TargetMode="External"/><Relationship Id="rId93" Type="http://schemas.openxmlformats.org/officeDocument/2006/relationships/hyperlink" Target="https://www.tncindia.in/content/dam/tnc/nature/en/documents/Strengthening-and-scaling-PES-in-India.pdf" TargetMode="External"/><Relationship Id="rId98" Type="http://schemas.openxmlformats.org/officeDocument/2006/relationships/hyperlink" Target="https://doi.org/10.1016/j.jclepro.2017.07.002" TargetMode="External"/><Relationship Id="rId3" Type="http://schemas.openxmlformats.org/officeDocument/2006/relationships/styles" Target="styles.xml"/><Relationship Id="rId25" Type="http://schemas.openxmlformats.org/officeDocument/2006/relationships/hyperlink" Target="https://doi.org/10.1038/s44168-023-00055-4" TargetMode="External"/><Relationship Id="rId46" Type="http://schemas.openxmlformats.org/officeDocument/2006/relationships/hyperlink" Target="https://openknowledge.fao.org/items/74bfebdb-3272-4e6a-98f4-ee36c7146d44" TargetMode="External"/><Relationship Id="rId67" Type="http://schemas.openxmlformats.org/officeDocument/2006/relationships/hyperlink" Target="https://doi.org/10.1007/s13280-019-01236-4" TargetMode="External"/><Relationship Id="rId20" Type="http://schemas.openxmlformats.org/officeDocument/2006/relationships/hyperlink" Target="https://doi.org/10.1016/j.ijdrr.2022.103210" TargetMode="External"/><Relationship Id="rId41" Type="http://schemas.openxmlformats.org/officeDocument/2006/relationships/hyperlink" Target="https://doi.org/10.1186/s13021-024-00260-6" TargetMode="External"/><Relationship Id="rId62" Type="http://schemas.openxmlformats.org/officeDocument/2006/relationships/hyperlink" Target="https://doi.org/10.1186/s40068-017-0085-6" TargetMode="External"/><Relationship Id="rId83" Type="http://schemas.openxmlformats.org/officeDocument/2006/relationships/hyperlink" Target="https://doi.org/10.1007/s13280-015-0694-0" TargetMode="External"/><Relationship Id="rId88" Type="http://schemas.openxmlformats.org/officeDocument/2006/relationships/hyperlink" Target="https://gca.org/wp-content/uploads/2020/12/TheContributionsOfAgroecologicalApproaches.pdf" TargetMode="External"/><Relationship Id="rId11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11D14-E451-45A8-8E24-D1F7217C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21</Pages>
  <Words>11741</Words>
  <Characters>66926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Gokul Shanmugam</cp:lastModifiedBy>
  <cp:revision>122</cp:revision>
  <cp:lastPrinted>1999-07-06T11:00:00Z</cp:lastPrinted>
  <dcterms:created xsi:type="dcterms:W3CDTF">2014-10-25T14:34:00Z</dcterms:created>
  <dcterms:modified xsi:type="dcterms:W3CDTF">2025-12-06T10:23:00Z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2547cbf7-65ca-4bc9-a231-5b483765b6e2</vt:lpwstr>
  </property>
</Properties>
</file>