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79012" w14:textId="77777777" w:rsidR="00D47DD3" w:rsidRDefault="00926C9B">
      <w:pPr>
        <w:rPr>
          <w:rFonts w:ascii="Arial" w:eastAsia="Arial" w:hAnsi="Arial" w:cs="Arial"/>
          <w:b/>
          <w:bCs/>
          <w:sz w:val="36"/>
          <w:szCs w:val="36"/>
        </w:rPr>
      </w:pPr>
      <w:r>
        <w:rPr>
          <w:rFonts w:ascii="Arial" w:eastAsia="Arial" w:hAnsi="Arial" w:cs="Arial"/>
          <w:b/>
          <w:bCs/>
          <w:sz w:val="36"/>
          <w:szCs w:val="36"/>
        </w:rPr>
        <w:t>Review Article</w:t>
      </w:r>
    </w:p>
    <w:p w14:paraId="062EFAA7" w14:textId="77777777" w:rsidR="00D47DD3" w:rsidRDefault="00D47DD3"/>
    <w:p w14:paraId="535292A9" w14:textId="77777777" w:rsidR="00D47DD3" w:rsidRDefault="00926C9B">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Internet of Things (IoT)-Linked Approaches for Soil Health Monitoring</w:t>
      </w:r>
    </w:p>
    <w:p w14:paraId="21D14DDD" w14:textId="77777777" w:rsidR="00D47DD3" w:rsidRDefault="00D47DD3">
      <w:pPr>
        <w:pBdr>
          <w:top w:val="nil"/>
          <w:left w:val="nil"/>
          <w:bottom w:val="nil"/>
          <w:right w:val="nil"/>
          <w:between w:val="nil"/>
        </w:pBdr>
        <w:jc w:val="both"/>
        <w:rPr>
          <w:rFonts w:ascii="Arial" w:eastAsia="Arial" w:hAnsi="Arial" w:cs="Arial"/>
          <w:b/>
          <w:bCs/>
          <w:color w:val="000000"/>
          <w:sz w:val="36"/>
          <w:szCs w:val="36"/>
        </w:rPr>
      </w:pPr>
    </w:p>
    <w:p w14:paraId="75A4E369" w14:textId="77777777" w:rsidR="00D47DD3" w:rsidRDefault="00D47DD3">
      <w:pPr>
        <w:pBdr>
          <w:top w:val="nil"/>
          <w:left w:val="nil"/>
          <w:bottom w:val="nil"/>
          <w:right w:val="nil"/>
          <w:between w:val="nil"/>
        </w:pBdr>
        <w:jc w:val="right"/>
        <w:rPr>
          <w:rFonts w:ascii="Arial" w:eastAsia="Arial" w:hAnsi="Arial" w:cs="Arial"/>
          <w:b/>
          <w:bCs/>
          <w:color w:val="000000"/>
          <w:sz w:val="24"/>
          <w:szCs w:val="24"/>
        </w:rPr>
      </w:pPr>
    </w:p>
    <w:p w14:paraId="51B521F6" w14:textId="77777777" w:rsidR="00D47DD3" w:rsidRDefault="00D47DD3">
      <w:pPr>
        <w:pBdr>
          <w:top w:val="nil"/>
          <w:left w:val="nil"/>
          <w:bottom w:val="nil"/>
          <w:right w:val="nil"/>
          <w:between w:val="nil"/>
        </w:pBdr>
        <w:jc w:val="right"/>
        <w:rPr>
          <w:rFonts w:ascii="Arial" w:eastAsia="Arial" w:hAnsi="Arial" w:cs="Arial"/>
          <w:color w:val="000000"/>
        </w:rPr>
      </w:pPr>
    </w:p>
    <w:p w14:paraId="2CE4CD15" w14:textId="77777777" w:rsidR="00D47DD3" w:rsidRDefault="00D47DD3">
      <w:pPr>
        <w:pBdr>
          <w:top w:val="nil"/>
          <w:left w:val="nil"/>
          <w:bottom w:val="nil"/>
          <w:right w:val="nil"/>
          <w:between w:val="nil"/>
        </w:pBdr>
        <w:jc w:val="right"/>
        <w:rPr>
          <w:rFonts w:ascii="Arial" w:eastAsia="Arial" w:hAnsi="Arial" w:cs="Arial"/>
          <w:color w:val="000000"/>
        </w:rPr>
      </w:pPr>
    </w:p>
    <w:p w14:paraId="609C7BFD" w14:textId="77777777" w:rsidR="00D47DD3" w:rsidRDefault="00D47DD3">
      <w:pPr>
        <w:pBdr>
          <w:top w:val="nil"/>
          <w:left w:val="nil"/>
          <w:bottom w:val="nil"/>
          <w:right w:val="nil"/>
          <w:between w:val="nil"/>
        </w:pBdr>
        <w:jc w:val="right"/>
        <w:rPr>
          <w:rFonts w:ascii="Arial" w:eastAsia="Arial" w:hAnsi="Arial" w:cs="Arial"/>
          <w:color w:val="000000"/>
        </w:rPr>
      </w:pPr>
    </w:p>
    <w:p w14:paraId="6E4D7F2F" w14:textId="77777777" w:rsidR="00D47DD3" w:rsidRDefault="00D47DD3">
      <w:pPr>
        <w:pBdr>
          <w:top w:val="nil"/>
          <w:left w:val="nil"/>
          <w:bottom w:val="nil"/>
          <w:right w:val="nil"/>
          <w:between w:val="nil"/>
        </w:pBdr>
        <w:jc w:val="right"/>
        <w:rPr>
          <w:rFonts w:ascii="Arial" w:eastAsia="Arial" w:hAnsi="Arial" w:cs="Arial"/>
          <w:color w:val="000000"/>
        </w:rPr>
      </w:pPr>
    </w:p>
    <w:p w14:paraId="2E152BF5" w14:textId="77777777" w:rsidR="00D47DD3" w:rsidRDefault="00D47DD3">
      <w:pPr>
        <w:pBdr>
          <w:top w:val="nil"/>
          <w:left w:val="nil"/>
          <w:bottom w:val="nil"/>
          <w:right w:val="nil"/>
          <w:between w:val="nil"/>
        </w:pBdr>
        <w:jc w:val="both"/>
        <w:rPr>
          <w:rFonts w:ascii="Arial" w:eastAsia="Arial" w:hAnsi="Arial" w:cs="Arial"/>
          <w:color w:val="000000"/>
        </w:rPr>
      </w:pPr>
    </w:p>
    <w:p w14:paraId="7D440F78" w14:textId="77777777" w:rsidR="00D47DD3" w:rsidRDefault="00000000">
      <w:pPr>
        <w:pBdr>
          <w:top w:val="nil"/>
          <w:left w:val="nil"/>
          <w:bottom w:val="nil"/>
          <w:right w:val="nil"/>
          <w:between w:val="nil"/>
        </w:pBdr>
        <w:jc w:val="both"/>
        <w:rPr>
          <w:rFonts w:ascii="Arial" w:eastAsia="Arial" w:hAnsi="Arial" w:cs="Arial"/>
          <w:color w:val="000000"/>
          <w:sz w:val="16"/>
          <w:szCs w:val="16"/>
        </w:rPr>
        <w:sectPr w:rsidR="00D47DD3">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Pr>
          <w:rFonts w:ascii="Arial" w:eastAsia="Arial" w:hAnsi="Arial" w:cs="Arial"/>
          <w:noProof/>
          <w:color w:val="000000"/>
          <w:sz w:val="16"/>
          <w:szCs w:val="16"/>
        </w:rPr>
      </w:r>
      <w:r>
        <w:rPr>
          <w:rFonts w:ascii="Arial" w:eastAsia="Arial" w:hAnsi="Arial" w:cs="Arial"/>
          <w:noProof/>
          <w:color w:val="000000"/>
          <w:sz w:val="16"/>
          <w:szCs w:val="16"/>
        </w:rPr>
        <w:pict w14:anchorId="5E6699ED">
          <v:shapetype id="_x0000_t32" coordsize="21600,21600" o:spt="32" o:oned="t" path="m,l21600,21600e" filled="f">
            <v:path arrowok="t" fillok="f" o:connecttype="none"/>
            <o:lock v:ext="edit" shapetype="t"/>
          </v:shapetype>
          <v:shape id="_x0000_s2050" type="#_x0000_t32" style="width:417.6pt;height:.05pt;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926C9B">
        <w:rPr>
          <w:rFonts w:ascii="Arial" w:eastAsia="Arial" w:hAnsi="Arial" w:cs="Arial"/>
          <w:color w:val="000000"/>
          <w:sz w:val="16"/>
          <w:szCs w:val="16"/>
        </w:rPr>
        <w:t>.</w:t>
      </w:r>
    </w:p>
    <w:p w14:paraId="37127B03" w14:textId="77777777" w:rsidR="00D47DD3" w:rsidRDefault="00926C9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5B05E4B3" w14:textId="77777777" w:rsidR="00D47DD3" w:rsidRDefault="00D47DD3">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D47DD3" w14:paraId="168EF19E" w14:textId="77777777">
        <w:tc>
          <w:tcPr>
            <w:tcW w:w="8424" w:type="dxa"/>
            <w:shd w:val="clear" w:color="auto" w:fill="F2F2F2"/>
          </w:tcPr>
          <w:p w14:paraId="0C23933A" w14:textId="77777777" w:rsidR="00D47DD3" w:rsidRDefault="00D47DD3">
            <w:pPr>
              <w:pBdr>
                <w:top w:val="nil"/>
                <w:left w:val="nil"/>
                <w:bottom w:val="nil"/>
                <w:right w:val="nil"/>
                <w:between w:val="nil"/>
              </w:pBdr>
              <w:jc w:val="both"/>
              <w:rPr>
                <w:rFonts w:ascii="Arial" w:eastAsia="Arial" w:hAnsi="Arial" w:cs="Arial"/>
                <w:color w:val="000000"/>
              </w:rPr>
            </w:pPr>
          </w:p>
          <w:p w14:paraId="4BD3D6A3"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Soil health plays a fundamental role in ensuring sustainable agricultural productivity and ecological stability. Traditional methods of soil health assessment such as manual sampling and laboratory analyses are labour-intensive, time-consuming, and limited in their spatial and temporal resolution. With the growing demands of food production and the pressing threats posed by climate change and land degradation, there is an urgent need for real-time, cost-effective, and scalable soil health monitoring systems. The Internet of Things (IoT) has emerged as a transformative solution, offering continuous, remote, and sensor-based monitoring of key soil parameters. This review presents an in-depth examination of IoT-linked technologies and their application in assessing soil physical, chemical, and biological properties. The paper also explores the architectural framework of IoT systems, including sensing, communication, data processing, and application layers. Further, it discusses recent case studies involving smart irrigation systems, real-time nutrient monitoring, and integration with unmanned aerial vehicles (UAVs). While the benefits of IoT-based systems are substantial including increased efficiency, reduced labour, and improved decision-making several challenges remain, such as high initial costs, energy requirements, and limited connectivity in rural areas. Overall, IoT presents promising potential for revolutionizing soil health monitoring and promoting resilient and sustainable agricultural systems.</w:t>
            </w:r>
          </w:p>
          <w:p w14:paraId="18DDF865" w14:textId="77777777" w:rsidR="00D47DD3" w:rsidRDefault="00D47DD3">
            <w:pPr>
              <w:pBdr>
                <w:top w:val="nil"/>
                <w:left w:val="nil"/>
                <w:bottom w:val="nil"/>
                <w:right w:val="nil"/>
                <w:between w:val="nil"/>
              </w:pBdr>
              <w:jc w:val="both"/>
              <w:rPr>
                <w:rFonts w:ascii="Arial" w:eastAsia="Arial" w:hAnsi="Arial" w:cs="Arial"/>
                <w:color w:val="000000"/>
              </w:rPr>
            </w:pPr>
          </w:p>
        </w:tc>
      </w:tr>
    </w:tbl>
    <w:p w14:paraId="04D7F359" w14:textId="77777777" w:rsidR="00D47DD3" w:rsidRDefault="00D47DD3">
      <w:pPr>
        <w:pBdr>
          <w:top w:val="nil"/>
          <w:left w:val="nil"/>
          <w:bottom w:val="nil"/>
          <w:right w:val="nil"/>
          <w:between w:val="nil"/>
        </w:pBdr>
        <w:jc w:val="both"/>
        <w:rPr>
          <w:rFonts w:ascii="Arial" w:eastAsia="Arial" w:hAnsi="Arial" w:cs="Arial"/>
          <w:i/>
          <w:iCs/>
          <w:color w:val="000000"/>
        </w:rPr>
      </w:pPr>
    </w:p>
    <w:p w14:paraId="6B9F529B" w14:textId="77777777" w:rsidR="00D47DD3" w:rsidRDefault="00926C9B">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w:t>
      </w:r>
      <w:r>
        <w:rPr>
          <w:rFonts w:ascii="Times New Roman" w:eastAsia="Times New Roman" w:hAnsi="Times New Roman" w:cs="Times New Roman"/>
          <w:color w:val="0D0D0D"/>
          <w:sz w:val="24"/>
          <w:szCs w:val="24"/>
        </w:rPr>
        <w:t xml:space="preserve"> </w:t>
      </w:r>
      <w:r>
        <w:rPr>
          <w:rFonts w:ascii="Arial" w:eastAsia="Arial" w:hAnsi="Arial" w:cs="Arial"/>
          <w:i/>
          <w:iCs/>
          <w:color w:val="000000"/>
        </w:rPr>
        <w:t>Soil health, Internet of Things (IoT), sensors, smart agriculture, real-time monitoring, soil parameters</w:t>
      </w:r>
    </w:p>
    <w:p w14:paraId="5A30E3C4" w14:textId="77777777" w:rsidR="00D47DD3" w:rsidRDefault="00D47DD3">
      <w:pPr>
        <w:keepNext/>
        <w:pBdr>
          <w:top w:val="nil"/>
          <w:left w:val="nil"/>
          <w:bottom w:val="nil"/>
          <w:right w:val="nil"/>
          <w:between w:val="nil"/>
        </w:pBdr>
        <w:jc w:val="both"/>
        <w:rPr>
          <w:rFonts w:ascii="Arial" w:eastAsia="Arial" w:hAnsi="Arial" w:cs="Arial"/>
          <w:i/>
          <w:iCs/>
          <w:color w:val="000000"/>
        </w:rPr>
      </w:pPr>
    </w:p>
    <w:p w14:paraId="209EBFC8" w14:textId="77777777" w:rsidR="00D47DD3" w:rsidRDefault="00926C9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5300C83" w14:textId="77777777" w:rsidR="00D47DD3" w:rsidRDefault="00926C9B">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Soil health is crucial for sustainable agriculture and ecosystem management. It can be defined as the ability of a living soil to perform effectively within its natural or managed ecosystem, supporting plant and animal productivity, improving or preserving water and air quality, and enhancing the health of both plants and animals (Doran et al., 1996). As the global population continues to grow, which is projected to reach approximately 8.9 billion by 2035 and 9.8 billion by 2050 (PRB, 2023), the demand for food is expected to increase by 53 per cent by 2050. This phenomenal growth places significant pressure on agriculture to enhance productivity sustainably, underscoring the critical importance of maintaining soil health. The use of fertilizers and pesticides is also progressively rising annually to meet this growing demand for higher yields and quality of agricultural products. Unfortunately, this increase </w:t>
      </w:r>
      <w:r>
        <w:rPr>
          <w:rFonts w:ascii="Arial" w:eastAsia="Arial" w:hAnsi="Arial" w:cs="Arial"/>
          <w:color w:val="000000"/>
        </w:rPr>
        <w:lastRenderedPageBreak/>
        <w:t>contributes to environmental challenges, such as higher emissions of nitrous oxide, a potent greenhouse gas associated with nitrogenous fertilizers (Paustian et al.</w:t>
      </w:r>
      <w:r>
        <w:rPr>
          <w:rFonts w:ascii="Arial" w:eastAsia="Arial" w:hAnsi="Arial" w:cs="Arial"/>
          <w:i/>
          <w:iCs/>
          <w:color w:val="000000"/>
        </w:rPr>
        <w:t>,</w:t>
      </w:r>
      <w:r>
        <w:rPr>
          <w:rFonts w:ascii="Arial" w:eastAsia="Arial" w:hAnsi="Arial" w:cs="Arial"/>
          <w:color w:val="000000"/>
        </w:rPr>
        <w:t xml:space="preserve"> 2016).   </w:t>
      </w:r>
    </w:p>
    <w:p w14:paraId="1F5CC18D" w14:textId="77777777" w:rsidR="00D47DD3" w:rsidRDefault="00926C9B">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In India, where agriculture and allied activities cover 264.5 million hectares, nearly 146.8 million hectares suffer from degradation due to erosion, landslides, salinization, unbalanced fertilizer use, and other practices (Bhattacharyya et al., 2015). Globally, soil degradation is reducing productivity on 20 per cent of cropland, 16 per cent of forest land, 19 per cent of grassland, and 27 per cent of rangeland (UNCCD, 2017). This widespread degradation highlights the need for effective soil health monitoring and management. Soil health is determined by a complex interplay of physical, chemical, and biological factors. Hence monitoring requires measurement of all the three properties viz. physical (moisture, temperature), chemical (pH, electrical conductivity, nutrient availability) and biological (O</w:t>
      </w:r>
      <w:r>
        <w:rPr>
          <w:rFonts w:ascii="Arial" w:eastAsia="Arial" w:hAnsi="Arial" w:cs="Arial"/>
          <w:color w:val="000000"/>
          <w:vertAlign w:val="subscript"/>
        </w:rPr>
        <w:t>2</w:t>
      </w:r>
      <w:r>
        <w:rPr>
          <w:rFonts w:ascii="Arial" w:eastAsia="Arial" w:hAnsi="Arial" w:cs="Arial"/>
          <w:color w:val="000000"/>
        </w:rPr>
        <w:t>, CO</w:t>
      </w:r>
      <w:r>
        <w:rPr>
          <w:rFonts w:ascii="Arial" w:eastAsia="Arial" w:hAnsi="Arial" w:cs="Arial"/>
          <w:color w:val="000000"/>
          <w:vertAlign w:val="subscript"/>
        </w:rPr>
        <w:t>2</w:t>
      </w:r>
      <w:r>
        <w:rPr>
          <w:rFonts w:ascii="Arial" w:eastAsia="Arial" w:hAnsi="Arial" w:cs="Arial"/>
          <w:color w:val="000000"/>
        </w:rPr>
        <w:t xml:space="preserve"> concentration, microbial activity). Ensuring a balanced combination of these factors is key to maintaining healthy soil ecosystems (Doran and Zeiss, 2000; Ramson et al., 2021).   </w:t>
      </w:r>
    </w:p>
    <w:p w14:paraId="447A0E65" w14:textId="77777777" w:rsidR="00D47DD3" w:rsidRDefault="00926C9B">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Soil health assessment mainly relies on visual inspection, soil sampling and laboratory testing. However, these methods are labour-intensive, time-consuming, and often limited in spatial coverage. They also lack real-time data and can disrupt soil conditions, potentially affecting results (Nocita et al., 2015). This has become more relevant in the context of fast changing weather parameters due to climate change.  Recently, the Internet of Things (IoT) has emerged as a promising solution for soil health monitoring. IoT refers to a network of physical devices equipped with sensors, software, and other technologies that connect and exchange data through the internet or other communication networks (Tiwary et al., 2018). This technology enables real-time data collection, transmission, and analysis, allowing for continuous and remote monitoring of critical soil parameters (Nasar and Kausar, 2019). The adoption of IoT is expanding across various applications, marking it as a pivotal technology in the digital transformation of soil health management (Patel et al., 2016; Paul et al., 2020). Integrating IoT technology, can enhance the ability to monitor soil health more effectively and sustainably, addressing the challenges posed by population growth, climate change, and environmental degradation.</w:t>
      </w:r>
    </w:p>
    <w:p w14:paraId="1987202C" w14:textId="77777777" w:rsidR="00D47DD3" w:rsidRDefault="00D47DD3">
      <w:pPr>
        <w:pBdr>
          <w:top w:val="nil"/>
          <w:left w:val="nil"/>
          <w:bottom w:val="nil"/>
          <w:right w:val="nil"/>
          <w:between w:val="nil"/>
        </w:pBdr>
        <w:jc w:val="both"/>
        <w:rPr>
          <w:rFonts w:ascii="Arial" w:eastAsia="Arial" w:hAnsi="Arial" w:cs="Arial"/>
          <w:color w:val="000000"/>
        </w:rPr>
      </w:pPr>
    </w:p>
    <w:p w14:paraId="6FE9E58A" w14:textId="77777777" w:rsidR="00D47DD3" w:rsidRDefault="00926C9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IoT LINKED SOIL HEALTH MONITORING APPROACHES </w:t>
      </w:r>
    </w:p>
    <w:p w14:paraId="7B17C9C1"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The Internet of Things (IoT) involves embedding sensors, devices, and systems with connectivity capabilities to collect and exchange data. In soil health monitoring, it enables the real-time gathering and analysis of soil data (Gautam et al., 2020). By providing real-time insights into various soil parameters, IoT-enhanced monitoring systems can significantly improve agricultural practices. These advancements facilitate optimized water management and better soil health, ultimately supporting sustainable food production and addressing growing global challenges (Penailillo et al., 2024).  </w:t>
      </w:r>
    </w:p>
    <w:p w14:paraId="5AA3DD3C" w14:textId="77777777" w:rsidR="00D47DD3" w:rsidRDefault="00926C9B">
      <w:pPr>
        <w:pBdr>
          <w:top w:val="nil"/>
          <w:left w:val="nil"/>
          <w:bottom w:val="nil"/>
          <w:right w:val="nil"/>
          <w:between w:val="nil"/>
        </w:pBdr>
        <w:jc w:val="both"/>
        <w:rPr>
          <w:rFonts w:ascii="Arial" w:eastAsia="Arial" w:hAnsi="Arial" w:cs="Arial"/>
          <w:b/>
          <w:bCs/>
          <w:color w:val="000000"/>
          <w:sz w:val="22"/>
          <w:szCs w:val="22"/>
        </w:rPr>
      </w:pPr>
      <w:bookmarkStart w:id="0" w:name="_gau7i4w86cqc" w:colFirst="0" w:colLast="0"/>
      <w:bookmarkEnd w:id="0"/>
      <w:r>
        <w:rPr>
          <w:rFonts w:ascii="Arial" w:eastAsia="Arial" w:hAnsi="Arial" w:cs="Arial"/>
          <w:b/>
          <w:bCs/>
          <w:smallCaps/>
          <w:color w:val="000000"/>
          <w:sz w:val="22"/>
          <w:szCs w:val="22"/>
        </w:rPr>
        <w:t xml:space="preserve">2.1 </w:t>
      </w:r>
      <w:r>
        <w:rPr>
          <w:rFonts w:ascii="Arial" w:eastAsia="Arial" w:hAnsi="Arial" w:cs="Arial"/>
          <w:b/>
          <w:bCs/>
          <w:color w:val="000000"/>
          <w:sz w:val="22"/>
          <w:szCs w:val="22"/>
        </w:rPr>
        <w:t>IoT ARCHITECTURE</w:t>
      </w:r>
      <w:r>
        <w:rPr>
          <w:rFonts w:ascii="Arial" w:eastAsia="Arial" w:hAnsi="Arial" w:cs="Arial"/>
          <w:color w:val="000000"/>
        </w:rPr>
        <w:t xml:space="preserve"> </w:t>
      </w:r>
    </w:p>
    <w:p w14:paraId="5B6B24D5"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IoT can be explained under four layers viz. sensing layer, network layer, data processing layer and application layer (Tiwary et al.,2018)</w:t>
      </w:r>
      <w:r>
        <w:rPr>
          <w:rFonts w:ascii="Arial" w:eastAsia="Arial" w:hAnsi="Arial" w:cs="Arial"/>
          <w:b/>
          <w:bCs/>
          <w:color w:val="000000"/>
        </w:rPr>
        <w:t xml:space="preserve"> </w:t>
      </w:r>
      <w:r>
        <w:rPr>
          <w:rFonts w:ascii="Arial" w:eastAsia="Arial" w:hAnsi="Arial" w:cs="Arial"/>
          <w:color w:val="000000"/>
        </w:rPr>
        <w:t xml:space="preserve"> </w:t>
      </w:r>
    </w:p>
    <w:p w14:paraId="3870D7A5" w14:textId="77777777" w:rsidR="00D47DD3" w:rsidRDefault="00926C9B">
      <w:pPr>
        <w:tabs>
          <w:tab w:val="left" w:pos="1080"/>
        </w:tabs>
        <w:jc w:val="both"/>
        <w:rPr>
          <w:rFonts w:ascii="Arial" w:eastAsia="Arial" w:hAnsi="Arial" w:cs="Arial"/>
          <w:b/>
          <w:bCs/>
          <w:color w:val="000000"/>
        </w:rPr>
      </w:pPr>
      <w:r>
        <w:rPr>
          <w:rFonts w:ascii="Arial" w:eastAsia="Arial" w:hAnsi="Arial" w:cs="Arial"/>
          <w:b/>
          <w:bCs/>
          <w:color w:val="000000"/>
        </w:rPr>
        <w:t xml:space="preserve">2.1.1 Sensing Layer </w:t>
      </w:r>
    </w:p>
    <w:p w14:paraId="5C0DADBB"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The initial layer of the IoT architecture, which refers to the components that directly interact with the physical environment to collect the data and perform actions, enabling real-time monitoring, control and automation of various applications (Jamali et al., 2020) The various components include sensors, actuators and microcontrollers.    </w:t>
      </w:r>
    </w:p>
    <w:p w14:paraId="13CEC224" w14:textId="77777777" w:rsidR="00D47DD3" w:rsidRDefault="00926C9B">
      <w:pPr>
        <w:tabs>
          <w:tab w:val="left" w:pos="1080"/>
        </w:tabs>
        <w:jc w:val="both"/>
        <w:rPr>
          <w:rFonts w:ascii="Arial" w:eastAsia="Arial" w:hAnsi="Arial" w:cs="Arial"/>
          <w:b/>
          <w:bCs/>
          <w:i/>
          <w:iCs/>
          <w:color w:val="000000"/>
        </w:rPr>
      </w:pPr>
      <w:bookmarkStart w:id="1" w:name="_dyayn2fo2eu7" w:colFirst="0" w:colLast="0"/>
      <w:bookmarkEnd w:id="1"/>
      <w:r>
        <w:rPr>
          <w:rFonts w:ascii="Arial" w:eastAsia="Arial" w:hAnsi="Arial" w:cs="Arial"/>
          <w:b/>
          <w:bCs/>
          <w:i/>
          <w:iCs/>
          <w:color w:val="000000"/>
        </w:rPr>
        <w:t xml:space="preserve">2.1.1.1 Sensor </w:t>
      </w:r>
    </w:p>
    <w:p w14:paraId="7DFAA56F"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 xml:space="preserve">       Common sensors used for soil health monitoring include soil moisture sensors, pH sensor, electrical conductivity sensor (EC sensor), nutrient sensor, water level sensor, optical sensor, passive infrared sensor (PIR) and optical sensors (Farooq et al., 2019). Soil moisture sensors measure the water content in the soil, help to decide when and how much to water plants (Patil et al., 2017). By placing these sensors at different depths, they track water levels at various soil depths. They help to improve crop growth, save water, and prevent overwatering, which can lead to nutrient loss and soil erosion (Mahbub, 2020). Various types </w:t>
      </w:r>
      <w:r>
        <w:rPr>
          <w:rFonts w:ascii="Arial" w:eastAsia="Arial" w:hAnsi="Arial" w:cs="Arial"/>
          <w:color w:val="000000"/>
        </w:rPr>
        <w:lastRenderedPageBreak/>
        <w:t xml:space="preserve">of sensors are available today, each having variable performances (Francesca et al., 2010). Various soil moisture sensors widely used for soil health monitoring are shown in Table 1.  </w:t>
      </w:r>
    </w:p>
    <w:p w14:paraId="13A982AC" w14:textId="77777777" w:rsidR="00D47DD3" w:rsidRDefault="00D47DD3">
      <w:pPr>
        <w:tabs>
          <w:tab w:val="left" w:pos="1080"/>
        </w:tabs>
        <w:jc w:val="center"/>
        <w:rPr>
          <w:rFonts w:ascii="Arial" w:eastAsia="Arial" w:hAnsi="Arial" w:cs="Arial"/>
        </w:rPr>
      </w:pPr>
      <w:bookmarkStart w:id="2" w:name="_2x6ntlipq8m6" w:colFirst="0" w:colLast="0"/>
      <w:bookmarkEnd w:id="2"/>
    </w:p>
    <w:p w14:paraId="6906B0D0" w14:textId="77777777" w:rsidR="00D47DD3" w:rsidRDefault="00926C9B">
      <w:pPr>
        <w:tabs>
          <w:tab w:val="left" w:pos="1080"/>
        </w:tabs>
        <w:jc w:val="center"/>
        <w:rPr>
          <w:rFonts w:ascii="Arial" w:eastAsia="Arial" w:hAnsi="Arial" w:cs="Arial"/>
          <w:color w:val="000000"/>
        </w:rPr>
      </w:pPr>
      <w:r>
        <w:rPr>
          <w:rFonts w:ascii="Arial" w:eastAsia="Arial" w:hAnsi="Arial" w:cs="Arial"/>
        </w:rPr>
        <w:t>Table 1.</w:t>
      </w:r>
      <w:r>
        <w:rPr>
          <w:rFonts w:ascii="Arial" w:eastAsia="Arial" w:hAnsi="Arial" w:cs="Arial"/>
        </w:rPr>
        <w:tab/>
        <w:t xml:space="preserve">Different types of soil moisture sensors </w:t>
      </w:r>
    </w:p>
    <w:p w14:paraId="40B9FB79" w14:textId="77777777" w:rsidR="00D47DD3" w:rsidRDefault="00D47DD3">
      <w:pPr>
        <w:tabs>
          <w:tab w:val="left" w:pos="1080"/>
        </w:tabs>
        <w:jc w:val="both"/>
        <w:rPr>
          <w:rFonts w:ascii="Arial" w:eastAsia="Arial" w:hAnsi="Arial" w:cs="Arial"/>
          <w:color w:val="000000"/>
        </w:rPr>
      </w:pPr>
    </w:p>
    <w:tbl>
      <w:tblPr>
        <w:tblStyle w:val="a0"/>
        <w:tblW w:w="8502" w:type="dxa"/>
        <w:tblInd w:w="26" w:type="dxa"/>
        <w:tblLayout w:type="fixed"/>
        <w:tblLook w:val="0400" w:firstRow="0" w:lastRow="0" w:firstColumn="0" w:lastColumn="0" w:noHBand="0" w:noVBand="1"/>
      </w:tblPr>
      <w:tblGrid>
        <w:gridCol w:w="395"/>
        <w:gridCol w:w="2976"/>
        <w:gridCol w:w="5131"/>
      </w:tblGrid>
      <w:tr w:rsidR="00D47DD3" w14:paraId="6B263DC0" w14:textId="77777777">
        <w:trPr>
          <w:trHeight w:val="20"/>
        </w:trPr>
        <w:tc>
          <w:tcPr>
            <w:tcW w:w="395" w:type="dxa"/>
            <w:tcBorders>
              <w:top w:val="single" w:sz="4" w:space="0" w:color="000000"/>
              <w:bottom w:val="single" w:sz="4" w:space="0" w:color="000000"/>
            </w:tcBorders>
            <w:vAlign w:val="center"/>
          </w:tcPr>
          <w:p w14:paraId="39F1179D" w14:textId="77777777" w:rsidR="00D47DD3" w:rsidRDefault="00926C9B">
            <w:pPr>
              <w:tabs>
                <w:tab w:val="left" w:pos="1080"/>
              </w:tabs>
              <w:jc w:val="center"/>
              <w:rPr>
                <w:rFonts w:ascii="Arial" w:eastAsia="Arial" w:hAnsi="Arial" w:cs="Arial"/>
                <w:color w:val="000000"/>
                <w:sz w:val="18"/>
                <w:szCs w:val="18"/>
              </w:rPr>
            </w:pPr>
            <w:bookmarkStart w:id="3" w:name="_ku0p9uiby7pl" w:colFirst="0" w:colLast="0"/>
            <w:bookmarkEnd w:id="3"/>
            <w:r>
              <w:rPr>
                <w:rFonts w:ascii="Arial" w:eastAsia="Arial" w:hAnsi="Arial" w:cs="Arial"/>
                <w:color w:val="000000"/>
                <w:sz w:val="18"/>
                <w:szCs w:val="18"/>
              </w:rPr>
              <w:t>.</w:t>
            </w:r>
          </w:p>
        </w:tc>
        <w:tc>
          <w:tcPr>
            <w:tcW w:w="2976" w:type="dxa"/>
            <w:tcBorders>
              <w:top w:val="single" w:sz="4" w:space="0" w:color="000000"/>
              <w:bottom w:val="single" w:sz="4" w:space="0" w:color="000000"/>
            </w:tcBorders>
            <w:vAlign w:val="center"/>
          </w:tcPr>
          <w:p w14:paraId="7123C6E3" w14:textId="77777777" w:rsidR="00D47DD3" w:rsidRDefault="00926C9B">
            <w:pPr>
              <w:tabs>
                <w:tab w:val="left" w:pos="1080"/>
              </w:tabs>
              <w:jc w:val="center"/>
              <w:rPr>
                <w:rFonts w:ascii="Arial" w:eastAsia="Arial" w:hAnsi="Arial" w:cs="Arial"/>
                <w:color w:val="000000"/>
                <w:sz w:val="18"/>
                <w:szCs w:val="18"/>
              </w:rPr>
            </w:pPr>
            <w:r>
              <w:rPr>
                <w:rFonts w:ascii="Arial" w:eastAsia="Arial" w:hAnsi="Arial" w:cs="Arial"/>
                <w:color w:val="000000"/>
                <w:sz w:val="18"/>
                <w:szCs w:val="18"/>
              </w:rPr>
              <w:t>Sensor type</w:t>
            </w:r>
          </w:p>
        </w:tc>
        <w:tc>
          <w:tcPr>
            <w:tcW w:w="5131" w:type="dxa"/>
            <w:tcBorders>
              <w:top w:val="single" w:sz="4" w:space="0" w:color="000000"/>
              <w:bottom w:val="single" w:sz="4" w:space="0" w:color="000000"/>
            </w:tcBorders>
            <w:vAlign w:val="center"/>
          </w:tcPr>
          <w:p w14:paraId="0491DF0A" w14:textId="77777777" w:rsidR="00D47DD3" w:rsidRDefault="00926C9B">
            <w:pPr>
              <w:tabs>
                <w:tab w:val="left" w:pos="1080"/>
              </w:tabs>
              <w:jc w:val="center"/>
              <w:rPr>
                <w:rFonts w:ascii="Arial" w:eastAsia="Arial" w:hAnsi="Arial" w:cs="Arial"/>
                <w:color w:val="000000"/>
                <w:sz w:val="18"/>
                <w:szCs w:val="18"/>
              </w:rPr>
            </w:pPr>
            <w:r>
              <w:rPr>
                <w:rFonts w:ascii="Arial" w:eastAsia="Arial" w:hAnsi="Arial" w:cs="Arial"/>
                <w:color w:val="000000"/>
                <w:sz w:val="18"/>
                <w:szCs w:val="18"/>
              </w:rPr>
              <w:t>Principle</w:t>
            </w:r>
          </w:p>
        </w:tc>
      </w:tr>
      <w:tr w:rsidR="00D47DD3" w14:paraId="0FE18F33" w14:textId="77777777">
        <w:trPr>
          <w:trHeight w:val="20"/>
        </w:trPr>
        <w:tc>
          <w:tcPr>
            <w:tcW w:w="395" w:type="dxa"/>
            <w:tcBorders>
              <w:top w:val="single" w:sz="4" w:space="0" w:color="000000"/>
            </w:tcBorders>
            <w:vAlign w:val="center"/>
          </w:tcPr>
          <w:p w14:paraId="351BD4A7"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1  </w:t>
            </w:r>
          </w:p>
        </w:tc>
        <w:tc>
          <w:tcPr>
            <w:tcW w:w="2976" w:type="dxa"/>
            <w:tcBorders>
              <w:top w:val="single" w:sz="4" w:space="0" w:color="000000"/>
            </w:tcBorders>
            <w:vAlign w:val="center"/>
          </w:tcPr>
          <w:p w14:paraId="07B9E5B6"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Capacitive   </w:t>
            </w:r>
          </w:p>
        </w:tc>
        <w:tc>
          <w:tcPr>
            <w:tcW w:w="5131" w:type="dxa"/>
            <w:tcBorders>
              <w:top w:val="single" w:sz="4" w:space="0" w:color="000000"/>
            </w:tcBorders>
            <w:vAlign w:val="center"/>
          </w:tcPr>
          <w:p w14:paraId="01AE1ED5"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Measures soil moisture content by detecting changes in capacitance caused by soil water content  </w:t>
            </w:r>
          </w:p>
        </w:tc>
      </w:tr>
      <w:tr w:rsidR="00D47DD3" w14:paraId="35EAF7D9" w14:textId="77777777">
        <w:trPr>
          <w:trHeight w:val="20"/>
        </w:trPr>
        <w:tc>
          <w:tcPr>
            <w:tcW w:w="395" w:type="dxa"/>
            <w:vAlign w:val="center"/>
          </w:tcPr>
          <w:p w14:paraId="5B3F4562"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2  </w:t>
            </w:r>
          </w:p>
        </w:tc>
        <w:tc>
          <w:tcPr>
            <w:tcW w:w="2976" w:type="dxa"/>
            <w:vAlign w:val="center"/>
          </w:tcPr>
          <w:p w14:paraId="2555B7BD"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Resistive  </w:t>
            </w:r>
          </w:p>
        </w:tc>
        <w:tc>
          <w:tcPr>
            <w:tcW w:w="5131" w:type="dxa"/>
            <w:vAlign w:val="center"/>
          </w:tcPr>
          <w:p w14:paraId="6476A028"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Measures soil moisture content by detecting changes in electrical resistance between two electrodes  </w:t>
            </w:r>
          </w:p>
        </w:tc>
      </w:tr>
      <w:tr w:rsidR="00D47DD3" w14:paraId="241169AD" w14:textId="77777777">
        <w:trPr>
          <w:trHeight w:val="20"/>
        </w:trPr>
        <w:tc>
          <w:tcPr>
            <w:tcW w:w="395" w:type="dxa"/>
            <w:vAlign w:val="center"/>
          </w:tcPr>
          <w:p w14:paraId="12330718"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3  </w:t>
            </w:r>
          </w:p>
        </w:tc>
        <w:tc>
          <w:tcPr>
            <w:tcW w:w="2976" w:type="dxa"/>
            <w:vAlign w:val="center"/>
          </w:tcPr>
          <w:p w14:paraId="4AA3CD3B"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Time domain reflectometry (TDR)  </w:t>
            </w:r>
          </w:p>
        </w:tc>
        <w:tc>
          <w:tcPr>
            <w:tcW w:w="5131" w:type="dxa"/>
            <w:vAlign w:val="center"/>
          </w:tcPr>
          <w:p w14:paraId="09051C0A"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Measures the time delay in reflected electromagnetic signals to detect changes in moisture content  </w:t>
            </w:r>
          </w:p>
        </w:tc>
      </w:tr>
      <w:tr w:rsidR="00D47DD3" w14:paraId="47DDD796" w14:textId="77777777">
        <w:trPr>
          <w:trHeight w:val="20"/>
        </w:trPr>
        <w:tc>
          <w:tcPr>
            <w:tcW w:w="395" w:type="dxa"/>
            <w:tcBorders>
              <w:bottom w:val="single" w:sz="4" w:space="0" w:color="000000"/>
            </w:tcBorders>
            <w:vAlign w:val="center"/>
          </w:tcPr>
          <w:p w14:paraId="4B0FD49C"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4  </w:t>
            </w:r>
          </w:p>
        </w:tc>
        <w:tc>
          <w:tcPr>
            <w:tcW w:w="2976" w:type="dxa"/>
            <w:tcBorders>
              <w:bottom w:val="single" w:sz="4" w:space="0" w:color="000000"/>
            </w:tcBorders>
            <w:vAlign w:val="center"/>
          </w:tcPr>
          <w:p w14:paraId="395C3871"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Frequency domain reflectometry (FDR)  </w:t>
            </w:r>
          </w:p>
        </w:tc>
        <w:tc>
          <w:tcPr>
            <w:tcW w:w="5131" w:type="dxa"/>
            <w:tcBorders>
              <w:bottom w:val="single" w:sz="4" w:space="0" w:color="000000"/>
            </w:tcBorders>
            <w:vAlign w:val="center"/>
          </w:tcPr>
          <w:p w14:paraId="21EE23BD"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Measures the frequency changes in reflected electromagnetic signals to detect changes in moisture content  </w:t>
            </w:r>
          </w:p>
        </w:tc>
      </w:tr>
    </w:tbl>
    <w:p w14:paraId="24A46BBD"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Source: Zazueta and Xin, 1994; Kashyap and Kumar, 2021</w:t>
      </w:r>
    </w:p>
    <w:p w14:paraId="52C5E7C2" w14:textId="77777777" w:rsidR="00D47DD3" w:rsidRDefault="00D47DD3">
      <w:pPr>
        <w:tabs>
          <w:tab w:val="left" w:pos="1080"/>
        </w:tabs>
        <w:jc w:val="both"/>
        <w:rPr>
          <w:rFonts w:ascii="Arial" w:eastAsia="Arial" w:hAnsi="Arial" w:cs="Arial"/>
          <w:color w:val="000000"/>
        </w:rPr>
      </w:pPr>
    </w:p>
    <w:p w14:paraId="0D58DCDD" w14:textId="76B72D8F" w:rsidR="00D47DD3" w:rsidRDefault="00926C9B">
      <w:pPr>
        <w:tabs>
          <w:tab w:val="left" w:pos="1080"/>
        </w:tabs>
        <w:jc w:val="both"/>
        <w:rPr>
          <w:rFonts w:ascii="Arial" w:eastAsia="Arial" w:hAnsi="Arial" w:cs="Arial"/>
          <w:color w:val="000000"/>
        </w:rPr>
      </w:pPr>
      <w:r>
        <w:rPr>
          <w:rFonts w:ascii="Arial" w:eastAsia="Arial" w:hAnsi="Arial" w:cs="Arial"/>
          <w:color w:val="000000"/>
        </w:rPr>
        <w:t>Temperature sensors serve to the indicate thermal suitability for crops, impact microbial activity    and nutrient cycling (Futagawa et al., 2009)   while pH sensors serve to enhance crop yield and quality, minimize nutrient deficiencies and excesses, and prevent soil acidification in the long run (Patil et al., 2021). Nutrient sensors help in targeted fertilization, reducing environmental pollution and optical sensors use reflectance to infer soil texture, colour, and organic matter (Murray, 2018). Electrical Conductivity (EC) sensors measure soluble salt content, correlating with soil fertility and salinity levels</w:t>
      </w:r>
      <w:r>
        <w:rPr>
          <w:rFonts w:ascii="Arial" w:eastAsia="Arial" w:hAnsi="Arial" w:cs="Arial"/>
          <w:b/>
          <w:bCs/>
          <w:color w:val="000000"/>
        </w:rPr>
        <w:t xml:space="preserve"> </w:t>
      </w:r>
      <w:r>
        <w:rPr>
          <w:rFonts w:ascii="Arial" w:eastAsia="Arial" w:hAnsi="Arial" w:cs="Arial"/>
          <w:color w:val="000000"/>
        </w:rPr>
        <w:t>(Othaman et al., 2021). Water level sensors are used in irrigation systems to regulate water supply from tanks or reservoirs (</w:t>
      </w:r>
      <w:r w:rsidR="00FD1A65" w:rsidRPr="00554A08">
        <w:rPr>
          <w:rFonts w:ascii="Arial" w:eastAsia="Arial" w:hAnsi="Arial" w:cs="Arial"/>
          <w:color w:val="000000"/>
        </w:rPr>
        <w:t xml:space="preserve">Aarif </w:t>
      </w:r>
      <w:r>
        <w:rPr>
          <w:rFonts w:ascii="Arial" w:eastAsia="Arial" w:hAnsi="Arial" w:cs="Arial"/>
          <w:color w:val="000000"/>
        </w:rPr>
        <w:t>et al., 202</w:t>
      </w:r>
      <w:r w:rsidR="00FD1A65">
        <w:rPr>
          <w:rFonts w:ascii="Arial" w:eastAsia="Arial" w:hAnsi="Arial" w:cs="Arial"/>
          <w:color w:val="000000"/>
        </w:rPr>
        <w:t>5</w:t>
      </w:r>
      <w:r>
        <w:rPr>
          <w:rFonts w:ascii="Arial" w:eastAsia="Arial" w:hAnsi="Arial" w:cs="Arial"/>
          <w:color w:val="000000"/>
        </w:rPr>
        <w:t xml:space="preserve">). PIR sensors can be used for the detection of  animal intrusions into agricultural fields and for mitigating crop damage, (Bapat et al., 2017)   </w:t>
      </w:r>
    </w:p>
    <w:p w14:paraId="251DC688" w14:textId="77777777" w:rsidR="00D47DD3" w:rsidRDefault="00926C9B">
      <w:pPr>
        <w:tabs>
          <w:tab w:val="left" w:pos="1080"/>
        </w:tabs>
        <w:jc w:val="both"/>
        <w:rPr>
          <w:rFonts w:ascii="Arial" w:eastAsia="Arial" w:hAnsi="Arial" w:cs="Arial"/>
          <w:b/>
          <w:bCs/>
          <w:i/>
          <w:iCs/>
          <w:color w:val="000000"/>
        </w:rPr>
      </w:pPr>
      <w:r>
        <w:rPr>
          <w:rFonts w:ascii="Arial" w:eastAsia="Arial" w:hAnsi="Arial" w:cs="Arial"/>
          <w:b/>
          <w:bCs/>
          <w:i/>
          <w:iCs/>
          <w:color w:val="000000"/>
        </w:rPr>
        <w:t xml:space="preserve">2.1.1.2 Actuators   </w:t>
      </w:r>
    </w:p>
    <w:p w14:paraId="02560462"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Devices or systems that convert signals into physical actions or movements. It include valves, relay, pump   </w:t>
      </w:r>
    </w:p>
    <w:p w14:paraId="38F2E730" w14:textId="77777777" w:rsidR="00D47DD3" w:rsidRDefault="00926C9B">
      <w:pPr>
        <w:tabs>
          <w:tab w:val="left" w:pos="1080"/>
        </w:tabs>
        <w:jc w:val="both"/>
        <w:rPr>
          <w:rFonts w:ascii="Arial" w:eastAsia="Arial" w:hAnsi="Arial" w:cs="Arial"/>
          <w:b/>
          <w:bCs/>
          <w:i/>
          <w:iCs/>
          <w:color w:val="000000"/>
        </w:rPr>
      </w:pPr>
      <w:r>
        <w:rPr>
          <w:rFonts w:ascii="Arial" w:eastAsia="Arial" w:hAnsi="Arial" w:cs="Arial"/>
          <w:b/>
          <w:bCs/>
          <w:i/>
          <w:iCs/>
          <w:color w:val="000000"/>
        </w:rPr>
        <w:t xml:space="preserve">2.1.1.3 Microcontroller  </w:t>
      </w:r>
    </w:p>
    <w:p w14:paraId="599BF022"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Microcontrollers (e.g., Arduino, Raspberry Pi) serve as the central processors for embedded systems. Arduino boards are cost-effective and suitable for single-task systems, while Raspberry Pi boards support multitasking and advanced processing (Swathi et al., 2018).</w:t>
      </w:r>
    </w:p>
    <w:p w14:paraId="4E583512"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 xml:space="preserve">  </w:t>
      </w:r>
    </w:p>
    <w:p w14:paraId="28F8E2E2" w14:textId="77777777" w:rsidR="00D47DD3" w:rsidRDefault="00926C9B">
      <w:pPr>
        <w:tabs>
          <w:tab w:val="left" w:pos="1080"/>
        </w:tabs>
        <w:jc w:val="both"/>
        <w:rPr>
          <w:rFonts w:ascii="Arial" w:eastAsia="Arial" w:hAnsi="Arial" w:cs="Arial"/>
          <w:b/>
          <w:bCs/>
          <w:color w:val="000000"/>
        </w:rPr>
      </w:pPr>
      <w:r>
        <w:rPr>
          <w:rFonts w:ascii="Arial" w:eastAsia="Arial" w:hAnsi="Arial" w:cs="Arial"/>
          <w:b/>
          <w:bCs/>
          <w:color w:val="000000"/>
        </w:rPr>
        <w:t xml:space="preserve">2.1.2 Network Layer  </w:t>
      </w:r>
    </w:p>
    <w:p w14:paraId="6F24CECB" w14:textId="736E633D" w:rsidR="00D47DD3" w:rsidRDefault="00926C9B">
      <w:pPr>
        <w:tabs>
          <w:tab w:val="left" w:pos="1080"/>
        </w:tabs>
        <w:jc w:val="both"/>
        <w:rPr>
          <w:rFonts w:ascii="Arial" w:eastAsia="Arial" w:hAnsi="Arial" w:cs="Arial"/>
          <w:color w:val="000000"/>
        </w:rPr>
      </w:pPr>
      <w:r>
        <w:rPr>
          <w:rFonts w:ascii="Arial" w:eastAsia="Arial" w:hAnsi="Arial" w:cs="Arial"/>
          <w:color w:val="000000"/>
        </w:rPr>
        <w:tab/>
        <w:t>The communication layer facilitates interaction between different layers of the IoT architecture. Communication protocols are fundamental to IoT agricultural network systems and applications, as they facilitate the exchange of all agricultural data and information across the network. It ensures that data gathered in the sensing layer are transmitted directly to the cloud or the application layer. WiFi, Bluetooth, Zigbee, IoT gateway devices etc, are a few examples that connect devices to the cloud (Jamali et al., 2020).</w:t>
      </w:r>
      <w:r w:rsidR="00436773">
        <w:rPr>
          <w:rFonts w:ascii="Arial" w:eastAsia="Arial" w:hAnsi="Arial" w:cs="Arial"/>
          <w:color w:val="000000"/>
        </w:rPr>
        <w:t xml:space="preserve"> </w:t>
      </w:r>
      <w:r w:rsidR="00742194">
        <w:rPr>
          <w:rFonts w:ascii="Arial" w:eastAsia="Arial" w:hAnsi="Arial" w:cs="Arial"/>
          <w:color w:val="000000"/>
        </w:rPr>
        <w:t>LoRaWAN is a long-range, low-power wireless communication system used to transmit data over several kilometres. MQTT (Message Queuing Telemetry Transport) is a lightweight protocol that allows IoT devices to send data efficiently with minimal bandwidth. ZigBee serves as a low-power wireless communication standard suitable for short-range sensor networks. RFID (Radio Frequency Identification) uses radio waves to identify and track objects, enabling quick and contactless data transfer.</w:t>
      </w:r>
      <w:r>
        <w:rPr>
          <w:rFonts w:ascii="Arial" w:eastAsia="Arial" w:hAnsi="Arial" w:cs="Arial"/>
          <w:color w:val="000000"/>
        </w:rPr>
        <w:t xml:space="preserve"> Comparison of different communication protocols are shown in Table 2.  </w:t>
      </w:r>
    </w:p>
    <w:p w14:paraId="721E21A7" w14:textId="77777777" w:rsidR="00D47DD3" w:rsidRDefault="00D47DD3">
      <w:pPr>
        <w:tabs>
          <w:tab w:val="left" w:pos="1080"/>
        </w:tabs>
        <w:jc w:val="both"/>
        <w:rPr>
          <w:rFonts w:ascii="Arial" w:eastAsia="Arial" w:hAnsi="Arial" w:cs="Arial"/>
          <w:color w:val="000000"/>
        </w:rPr>
      </w:pPr>
    </w:p>
    <w:p w14:paraId="08FDF0B1" w14:textId="77777777" w:rsidR="00D47DD3" w:rsidRDefault="00D47DD3">
      <w:pPr>
        <w:tabs>
          <w:tab w:val="left" w:pos="1080"/>
        </w:tabs>
        <w:jc w:val="both"/>
        <w:rPr>
          <w:rFonts w:ascii="Arial" w:eastAsia="Arial" w:hAnsi="Arial" w:cs="Arial"/>
          <w:color w:val="000000"/>
        </w:rPr>
      </w:pPr>
    </w:p>
    <w:p w14:paraId="110774DE" w14:textId="77777777" w:rsidR="00D47DD3" w:rsidRDefault="00D47DD3">
      <w:pPr>
        <w:tabs>
          <w:tab w:val="left" w:pos="1080"/>
        </w:tabs>
        <w:jc w:val="center"/>
        <w:rPr>
          <w:rFonts w:ascii="Arial" w:eastAsia="Arial" w:hAnsi="Arial" w:cs="Arial"/>
          <w:b/>
          <w:bCs/>
        </w:rPr>
      </w:pPr>
    </w:p>
    <w:p w14:paraId="661B35D3" w14:textId="77777777" w:rsidR="00D47DD3" w:rsidRDefault="00926C9B">
      <w:pPr>
        <w:tabs>
          <w:tab w:val="left" w:pos="1080"/>
        </w:tabs>
        <w:jc w:val="center"/>
        <w:rPr>
          <w:rFonts w:ascii="Arial" w:eastAsia="Arial" w:hAnsi="Arial" w:cs="Arial"/>
          <w:color w:val="000000"/>
        </w:rPr>
      </w:pPr>
      <w:bookmarkStart w:id="4" w:name="_dfq3sz9sb5y9" w:colFirst="0" w:colLast="0"/>
      <w:bookmarkEnd w:id="4"/>
      <w:r>
        <w:rPr>
          <w:rFonts w:ascii="Arial" w:eastAsia="Arial" w:hAnsi="Arial" w:cs="Arial"/>
        </w:rPr>
        <w:t>Table 2.</w:t>
      </w:r>
      <w:r>
        <w:rPr>
          <w:rFonts w:ascii="Arial" w:eastAsia="Arial" w:hAnsi="Arial" w:cs="Arial"/>
        </w:rPr>
        <w:tab/>
        <w:t xml:space="preserve">Comparison of different communication protocols </w:t>
      </w:r>
    </w:p>
    <w:p w14:paraId="3CECBCF0" w14:textId="77777777" w:rsidR="00D47DD3" w:rsidRDefault="00D47DD3">
      <w:pPr>
        <w:tabs>
          <w:tab w:val="left" w:pos="1080"/>
        </w:tabs>
        <w:jc w:val="center"/>
        <w:rPr>
          <w:rFonts w:ascii="Arial" w:eastAsia="Arial" w:hAnsi="Arial" w:cs="Arial"/>
          <w:color w:val="000000"/>
        </w:rPr>
      </w:pPr>
    </w:p>
    <w:tbl>
      <w:tblPr>
        <w:tblStyle w:val="a1"/>
        <w:tblW w:w="8278" w:type="dxa"/>
        <w:tblInd w:w="169" w:type="dxa"/>
        <w:tblLayout w:type="fixed"/>
        <w:tblLook w:val="0400" w:firstRow="0" w:lastRow="0" w:firstColumn="0" w:lastColumn="0" w:noHBand="0" w:noVBand="1"/>
      </w:tblPr>
      <w:tblGrid>
        <w:gridCol w:w="1988"/>
        <w:gridCol w:w="2407"/>
        <w:gridCol w:w="2694"/>
        <w:gridCol w:w="1189"/>
      </w:tblGrid>
      <w:tr w:rsidR="00D47DD3" w14:paraId="59D80CA7" w14:textId="77777777">
        <w:trPr>
          <w:trHeight w:val="510"/>
        </w:trPr>
        <w:tc>
          <w:tcPr>
            <w:tcW w:w="1988" w:type="dxa"/>
            <w:tcBorders>
              <w:top w:val="single" w:sz="8" w:space="0" w:color="000000"/>
              <w:left w:val="single" w:sz="8" w:space="0" w:color="000000"/>
              <w:bottom w:val="single" w:sz="8" w:space="0" w:color="000000"/>
              <w:right w:val="single" w:sz="8" w:space="0" w:color="000000"/>
            </w:tcBorders>
            <w:vAlign w:val="center"/>
          </w:tcPr>
          <w:p w14:paraId="6119227F"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Parameters  </w:t>
            </w:r>
          </w:p>
        </w:tc>
        <w:tc>
          <w:tcPr>
            <w:tcW w:w="2407" w:type="dxa"/>
            <w:tcBorders>
              <w:top w:val="single" w:sz="8" w:space="0" w:color="000000"/>
              <w:left w:val="single" w:sz="8" w:space="0" w:color="000000"/>
              <w:bottom w:val="single" w:sz="8" w:space="0" w:color="000000"/>
              <w:right w:val="single" w:sz="8" w:space="0" w:color="000000"/>
            </w:tcBorders>
          </w:tcPr>
          <w:p w14:paraId="1C4D3DC7" w14:textId="77777777" w:rsidR="00D47DD3" w:rsidRDefault="00D47DD3">
            <w:pPr>
              <w:tabs>
                <w:tab w:val="left" w:pos="1080"/>
              </w:tabs>
              <w:jc w:val="both"/>
              <w:rPr>
                <w:rFonts w:ascii="Arial" w:eastAsia="Arial" w:hAnsi="Arial" w:cs="Arial"/>
                <w:color w:val="000000"/>
                <w:sz w:val="18"/>
                <w:szCs w:val="18"/>
              </w:rPr>
            </w:pPr>
          </w:p>
          <w:p w14:paraId="5A47B463"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Transmission range  </w:t>
            </w:r>
          </w:p>
        </w:tc>
        <w:tc>
          <w:tcPr>
            <w:tcW w:w="2694" w:type="dxa"/>
            <w:tcBorders>
              <w:top w:val="single" w:sz="8" w:space="0" w:color="000000"/>
              <w:left w:val="single" w:sz="8" w:space="0" w:color="000000"/>
              <w:bottom w:val="single" w:sz="8" w:space="0" w:color="000000"/>
              <w:right w:val="single" w:sz="8" w:space="0" w:color="000000"/>
            </w:tcBorders>
            <w:vAlign w:val="center"/>
          </w:tcPr>
          <w:p w14:paraId="0BE0238B"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Energy consumption  </w:t>
            </w:r>
          </w:p>
        </w:tc>
        <w:tc>
          <w:tcPr>
            <w:tcW w:w="1189" w:type="dxa"/>
            <w:tcBorders>
              <w:top w:val="single" w:sz="8" w:space="0" w:color="000000"/>
              <w:left w:val="single" w:sz="8" w:space="0" w:color="000000"/>
              <w:bottom w:val="single" w:sz="8" w:space="0" w:color="000000"/>
              <w:right w:val="single" w:sz="8" w:space="0" w:color="000000"/>
            </w:tcBorders>
            <w:vAlign w:val="center"/>
          </w:tcPr>
          <w:p w14:paraId="30C03C5A"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Cost  </w:t>
            </w:r>
          </w:p>
        </w:tc>
      </w:tr>
      <w:tr w:rsidR="00D47DD3" w14:paraId="714A3927" w14:textId="77777777">
        <w:trPr>
          <w:trHeight w:val="432"/>
        </w:trPr>
        <w:tc>
          <w:tcPr>
            <w:tcW w:w="1988" w:type="dxa"/>
            <w:tcBorders>
              <w:top w:val="single" w:sz="8" w:space="0" w:color="000000"/>
              <w:left w:val="single" w:sz="8" w:space="0" w:color="000000"/>
              <w:bottom w:val="single" w:sz="8" w:space="0" w:color="000000"/>
              <w:right w:val="single" w:sz="8" w:space="0" w:color="000000"/>
            </w:tcBorders>
          </w:tcPr>
          <w:p w14:paraId="506A5934"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WiFi   </w:t>
            </w:r>
          </w:p>
        </w:tc>
        <w:tc>
          <w:tcPr>
            <w:tcW w:w="2407" w:type="dxa"/>
            <w:tcBorders>
              <w:top w:val="single" w:sz="8" w:space="0" w:color="000000"/>
              <w:left w:val="single" w:sz="8" w:space="0" w:color="000000"/>
              <w:bottom w:val="single" w:sz="8" w:space="0" w:color="000000"/>
              <w:right w:val="single" w:sz="8" w:space="0" w:color="000000"/>
            </w:tcBorders>
          </w:tcPr>
          <w:p w14:paraId="1AED075F"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20–100 m   </w:t>
            </w:r>
          </w:p>
        </w:tc>
        <w:tc>
          <w:tcPr>
            <w:tcW w:w="2694" w:type="dxa"/>
            <w:tcBorders>
              <w:top w:val="single" w:sz="8" w:space="0" w:color="000000"/>
              <w:left w:val="single" w:sz="8" w:space="0" w:color="000000"/>
              <w:bottom w:val="single" w:sz="8" w:space="0" w:color="000000"/>
              <w:right w:val="single" w:sz="8" w:space="0" w:color="000000"/>
            </w:tcBorders>
          </w:tcPr>
          <w:p w14:paraId="12407512"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High   </w:t>
            </w:r>
          </w:p>
        </w:tc>
        <w:tc>
          <w:tcPr>
            <w:tcW w:w="1189" w:type="dxa"/>
            <w:tcBorders>
              <w:top w:val="single" w:sz="8" w:space="0" w:color="000000"/>
              <w:left w:val="single" w:sz="8" w:space="0" w:color="000000"/>
              <w:bottom w:val="single" w:sz="8" w:space="0" w:color="000000"/>
              <w:right w:val="single" w:sz="8" w:space="0" w:color="000000"/>
            </w:tcBorders>
          </w:tcPr>
          <w:p w14:paraId="4DD7F7CC"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High   </w:t>
            </w:r>
          </w:p>
        </w:tc>
      </w:tr>
      <w:tr w:rsidR="00D47DD3" w14:paraId="1C246171" w14:textId="77777777">
        <w:trPr>
          <w:trHeight w:val="434"/>
        </w:trPr>
        <w:tc>
          <w:tcPr>
            <w:tcW w:w="1988" w:type="dxa"/>
            <w:tcBorders>
              <w:top w:val="single" w:sz="8" w:space="0" w:color="000000"/>
              <w:left w:val="single" w:sz="8" w:space="0" w:color="000000"/>
              <w:bottom w:val="single" w:sz="8" w:space="0" w:color="000000"/>
              <w:right w:val="single" w:sz="8" w:space="0" w:color="000000"/>
            </w:tcBorders>
          </w:tcPr>
          <w:p w14:paraId="477F8A86"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LoRaWAN  </w:t>
            </w:r>
          </w:p>
        </w:tc>
        <w:tc>
          <w:tcPr>
            <w:tcW w:w="2407" w:type="dxa"/>
            <w:tcBorders>
              <w:top w:val="single" w:sz="8" w:space="0" w:color="000000"/>
              <w:left w:val="single" w:sz="8" w:space="0" w:color="000000"/>
              <w:bottom w:val="single" w:sz="8" w:space="0" w:color="000000"/>
              <w:right w:val="single" w:sz="8" w:space="0" w:color="000000"/>
            </w:tcBorders>
          </w:tcPr>
          <w:p w14:paraId="02F20C2D"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&lt;30 km   </w:t>
            </w:r>
          </w:p>
        </w:tc>
        <w:tc>
          <w:tcPr>
            <w:tcW w:w="2694" w:type="dxa"/>
            <w:tcBorders>
              <w:top w:val="single" w:sz="8" w:space="0" w:color="000000"/>
              <w:left w:val="single" w:sz="8" w:space="0" w:color="000000"/>
              <w:bottom w:val="single" w:sz="8" w:space="0" w:color="000000"/>
              <w:right w:val="single" w:sz="8" w:space="0" w:color="000000"/>
            </w:tcBorders>
          </w:tcPr>
          <w:p w14:paraId="1AC9D77E"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Very low   </w:t>
            </w:r>
          </w:p>
        </w:tc>
        <w:tc>
          <w:tcPr>
            <w:tcW w:w="1189" w:type="dxa"/>
            <w:tcBorders>
              <w:top w:val="single" w:sz="8" w:space="0" w:color="000000"/>
              <w:left w:val="single" w:sz="8" w:space="0" w:color="000000"/>
              <w:bottom w:val="single" w:sz="8" w:space="0" w:color="000000"/>
              <w:right w:val="single" w:sz="8" w:space="0" w:color="000000"/>
            </w:tcBorders>
          </w:tcPr>
          <w:p w14:paraId="4C5CB8A5"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High   </w:t>
            </w:r>
          </w:p>
        </w:tc>
      </w:tr>
      <w:tr w:rsidR="00D47DD3" w14:paraId="2D0A8C13" w14:textId="77777777">
        <w:trPr>
          <w:trHeight w:val="433"/>
        </w:trPr>
        <w:tc>
          <w:tcPr>
            <w:tcW w:w="1988" w:type="dxa"/>
            <w:tcBorders>
              <w:top w:val="single" w:sz="8" w:space="0" w:color="000000"/>
              <w:left w:val="single" w:sz="8" w:space="0" w:color="000000"/>
              <w:bottom w:val="single" w:sz="8" w:space="0" w:color="000000"/>
              <w:right w:val="single" w:sz="8" w:space="0" w:color="000000"/>
            </w:tcBorders>
          </w:tcPr>
          <w:p w14:paraId="3ABAFB2D"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RFID   </w:t>
            </w:r>
          </w:p>
        </w:tc>
        <w:tc>
          <w:tcPr>
            <w:tcW w:w="2407" w:type="dxa"/>
            <w:tcBorders>
              <w:top w:val="single" w:sz="8" w:space="0" w:color="000000"/>
              <w:left w:val="single" w:sz="8" w:space="0" w:color="000000"/>
              <w:bottom w:val="single" w:sz="8" w:space="0" w:color="000000"/>
              <w:right w:val="single" w:sz="8" w:space="0" w:color="000000"/>
            </w:tcBorders>
          </w:tcPr>
          <w:p w14:paraId="3242BFFF"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1-5 m   </w:t>
            </w:r>
          </w:p>
        </w:tc>
        <w:tc>
          <w:tcPr>
            <w:tcW w:w="2694" w:type="dxa"/>
            <w:tcBorders>
              <w:top w:val="single" w:sz="8" w:space="0" w:color="000000"/>
              <w:left w:val="single" w:sz="8" w:space="0" w:color="000000"/>
              <w:bottom w:val="single" w:sz="8" w:space="0" w:color="000000"/>
              <w:right w:val="single" w:sz="8" w:space="0" w:color="000000"/>
            </w:tcBorders>
          </w:tcPr>
          <w:p w14:paraId="45CC5A86"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c>
          <w:tcPr>
            <w:tcW w:w="1189" w:type="dxa"/>
            <w:tcBorders>
              <w:top w:val="single" w:sz="8" w:space="0" w:color="000000"/>
              <w:left w:val="single" w:sz="8" w:space="0" w:color="000000"/>
              <w:bottom w:val="single" w:sz="8" w:space="0" w:color="000000"/>
              <w:right w:val="single" w:sz="8" w:space="0" w:color="000000"/>
            </w:tcBorders>
          </w:tcPr>
          <w:p w14:paraId="4BB9AC0F"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r w:rsidR="00D47DD3" w14:paraId="4EF45D05" w14:textId="77777777">
        <w:trPr>
          <w:trHeight w:val="433"/>
        </w:trPr>
        <w:tc>
          <w:tcPr>
            <w:tcW w:w="1988" w:type="dxa"/>
            <w:tcBorders>
              <w:top w:val="single" w:sz="8" w:space="0" w:color="000000"/>
              <w:left w:val="single" w:sz="8" w:space="0" w:color="000000"/>
              <w:bottom w:val="single" w:sz="8" w:space="0" w:color="000000"/>
              <w:right w:val="single" w:sz="8" w:space="0" w:color="000000"/>
            </w:tcBorders>
          </w:tcPr>
          <w:p w14:paraId="08AC7977"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ZigBee   </w:t>
            </w:r>
          </w:p>
        </w:tc>
        <w:tc>
          <w:tcPr>
            <w:tcW w:w="2407" w:type="dxa"/>
            <w:tcBorders>
              <w:top w:val="single" w:sz="8" w:space="0" w:color="000000"/>
              <w:left w:val="single" w:sz="8" w:space="0" w:color="000000"/>
              <w:bottom w:val="single" w:sz="8" w:space="0" w:color="000000"/>
              <w:right w:val="single" w:sz="8" w:space="0" w:color="000000"/>
            </w:tcBorders>
          </w:tcPr>
          <w:p w14:paraId="5BBC856C"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10–20 m   </w:t>
            </w:r>
          </w:p>
        </w:tc>
        <w:tc>
          <w:tcPr>
            <w:tcW w:w="2694" w:type="dxa"/>
            <w:tcBorders>
              <w:top w:val="single" w:sz="8" w:space="0" w:color="000000"/>
              <w:left w:val="single" w:sz="8" w:space="0" w:color="000000"/>
              <w:bottom w:val="single" w:sz="8" w:space="0" w:color="000000"/>
              <w:right w:val="single" w:sz="8" w:space="0" w:color="000000"/>
            </w:tcBorders>
          </w:tcPr>
          <w:p w14:paraId="6A576D1A"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c>
          <w:tcPr>
            <w:tcW w:w="1189" w:type="dxa"/>
            <w:tcBorders>
              <w:top w:val="single" w:sz="8" w:space="0" w:color="000000"/>
              <w:left w:val="single" w:sz="8" w:space="0" w:color="000000"/>
              <w:bottom w:val="single" w:sz="8" w:space="0" w:color="000000"/>
              <w:right w:val="single" w:sz="8" w:space="0" w:color="000000"/>
            </w:tcBorders>
          </w:tcPr>
          <w:p w14:paraId="37017BBA"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r w:rsidR="00D47DD3" w14:paraId="15F40070" w14:textId="77777777">
        <w:trPr>
          <w:trHeight w:val="433"/>
        </w:trPr>
        <w:tc>
          <w:tcPr>
            <w:tcW w:w="1988" w:type="dxa"/>
            <w:tcBorders>
              <w:top w:val="single" w:sz="8" w:space="0" w:color="000000"/>
              <w:left w:val="single" w:sz="8" w:space="0" w:color="000000"/>
              <w:bottom w:val="single" w:sz="8" w:space="0" w:color="000000"/>
              <w:right w:val="single" w:sz="8" w:space="0" w:color="000000"/>
            </w:tcBorders>
          </w:tcPr>
          <w:p w14:paraId="0FA1697A"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MQTT   </w:t>
            </w:r>
          </w:p>
        </w:tc>
        <w:tc>
          <w:tcPr>
            <w:tcW w:w="2407" w:type="dxa"/>
            <w:tcBorders>
              <w:top w:val="single" w:sz="8" w:space="0" w:color="000000"/>
              <w:left w:val="single" w:sz="8" w:space="0" w:color="000000"/>
              <w:bottom w:val="single" w:sz="8" w:space="0" w:color="000000"/>
              <w:right w:val="single" w:sz="8" w:space="0" w:color="000000"/>
            </w:tcBorders>
          </w:tcPr>
          <w:p w14:paraId="3E582CEF"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694" w:type="dxa"/>
            <w:tcBorders>
              <w:top w:val="single" w:sz="8" w:space="0" w:color="000000"/>
              <w:left w:val="single" w:sz="8" w:space="0" w:color="000000"/>
              <w:bottom w:val="single" w:sz="8" w:space="0" w:color="000000"/>
              <w:right w:val="single" w:sz="8" w:space="0" w:color="000000"/>
            </w:tcBorders>
          </w:tcPr>
          <w:p w14:paraId="57C0AED4"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c>
          <w:tcPr>
            <w:tcW w:w="1189" w:type="dxa"/>
            <w:tcBorders>
              <w:top w:val="single" w:sz="8" w:space="0" w:color="000000"/>
              <w:left w:val="single" w:sz="8" w:space="0" w:color="000000"/>
              <w:bottom w:val="single" w:sz="8" w:space="0" w:color="000000"/>
              <w:right w:val="single" w:sz="8" w:space="0" w:color="000000"/>
            </w:tcBorders>
          </w:tcPr>
          <w:p w14:paraId="15FFEB56"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r w:rsidR="00D47DD3" w14:paraId="04D8EFF9" w14:textId="77777777">
        <w:trPr>
          <w:trHeight w:val="432"/>
        </w:trPr>
        <w:tc>
          <w:tcPr>
            <w:tcW w:w="1988" w:type="dxa"/>
            <w:tcBorders>
              <w:top w:val="single" w:sz="8" w:space="0" w:color="000000"/>
              <w:left w:val="single" w:sz="8" w:space="0" w:color="000000"/>
              <w:bottom w:val="single" w:sz="8" w:space="0" w:color="000000"/>
              <w:right w:val="single" w:sz="8" w:space="0" w:color="000000"/>
            </w:tcBorders>
          </w:tcPr>
          <w:p w14:paraId="4CC17306"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SigFox   </w:t>
            </w:r>
          </w:p>
        </w:tc>
        <w:tc>
          <w:tcPr>
            <w:tcW w:w="2407" w:type="dxa"/>
            <w:tcBorders>
              <w:top w:val="single" w:sz="8" w:space="0" w:color="000000"/>
              <w:left w:val="single" w:sz="8" w:space="0" w:color="000000"/>
              <w:bottom w:val="single" w:sz="8" w:space="0" w:color="000000"/>
              <w:right w:val="single" w:sz="8" w:space="0" w:color="000000"/>
            </w:tcBorders>
          </w:tcPr>
          <w:p w14:paraId="346678B5"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30-50 km   </w:t>
            </w:r>
          </w:p>
        </w:tc>
        <w:tc>
          <w:tcPr>
            <w:tcW w:w="2694" w:type="dxa"/>
            <w:tcBorders>
              <w:top w:val="single" w:sz="8" w:space="0" w:color="000000"/>
              <w:left w:val="single" w:sz="8" w:space="0" w:color="000000"/>
              <w:bottom w:val="single" w:sz="8" w:space="0" w:color="000000"/>
              <w:right w:val="single" w:sz="8" w:space="0" w:color="000000"/>
            </w:tcBorders>
          </w:tcPr>
          <w:p w14:paraId="5A319530"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c>
          <w:tcPr>
            <w:tcW w:w="1189" w:type="dxa"/>
            <w:tcBorders>
              <w:top w:val="single" w:sz="8" w:space="0" w:color="000000"/>
              <w:left w:val="single" w:sz="8" w:space="0" w:color="000000"/>
              <w:bottom w:val="single" w:sz="8" w:space="0" w:color="000000"/>
              <w:right w:val="single" w:sz="8" w:space="0" w:color="000000"/>
            </w:tcBorders>
          </w:tcPr>
          <w:p w14:paraId="3B353FAF"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r w:rsidR="00D47DD3" w14:paraId="42DF732F" w14:textId="77777777">
        <w:trPr>
          <w:trHeight w:val="435"/>
        </w:trPr>
        <w:tc>
          <w:tcPr>
            <w:tcW w:w="1988" w:type="dxa"/>
            <w:tcBorders>
              <w:top w:val="single" w:sz="8" w:space="0" w:color="000000"/>
              <w:left w:val="single" w:sz="8" w:space="0" w:color="000000"/>
              <w:bottom w:val="single" w:sz="8" w:space="0" w:color="000000"/>
              <w:right w:val="single" w:sz="8" w:space="0" w:color="000000"/>
            </w:tcBorders>
          </w:tcPr>
          <w:p w14:paraId="117ADD4E"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Bluetooth  </w:t>
            </w:r>
          </w:p>
        </w:tc>
        <w:tc>
          <w:tcPr>
            <w:tcW w:w="2407" w:type="dxa"/>
            <w:tcBorders>
              <w:top w:val="single" w:sz="8" w:space="0" w:color="000000"/>
              <w:left w:val="single" w:sz="8" w:space="0" w:color="000000"/>
              <w:bottom w:val="single" w:sz="8" w:space="0" w:color="000000"/>
              <w:right w:val="single" w:sz="8" w:space="0" w:color="000000"/>
            </w:tcBorders>
          </w:tcPr>
          <w:p w14:paraId="3188B581"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8-10 m  </w:t>
            </w:r>
          </w:p>
        </w:tc>
        <w:tc>
          <w:tcPr>
            <w:tcW w:w="2694" w:type="dxa"/>
            <w:tcBorders>
              <w:top w:val="single" w:sz="8" w:space="0" w:color="000000"/>
              <w:left w:val="single" w:sz="8" w:space="0" w:color="000000"/>
              <w:bottom w:val="single" w:sz="8" w:space="0" w:color="000000"/>
              <w:right w:val="single" w:sz="8" w:space="0" w:color="000000"/>
            </w:tcBorders>
          </w:tcPr>
          <w:p w14:paraId="64A7EA3B"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Very low  </w:t>
            </w:r>
          </w:p>
        </w:tc>
        <w:tc>
          <w:tcPr>
            <w:tcW w:w="1189" w:type="dxa"/>
            <w:tcBorders>
              <w:top w:val="single" w:sz="8" w:space="0" w:color="000000"/>
              <w:left w:val="single" w:sz="8" w:space="0" w:color="000000"/>
              <w:bottom w:val="single" w:sz="8" w:space="0" w:color="000000"/>
              <w:right w:val="single" w:sz="8" w:space="0" w:color="000000"/>
            </w:tcBorders>
          </w:tcPr>
          <w:p w14:paraId="18D1C782" w14:textId="77777777" w:rsidR="00D47DD3" w:rsidRDefault="00926C9B">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bl>
    <w:p w14:paraId="1152AB51"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 xml:space="preserve">  Source: Farooq et al., 2019</w:t>
      </w:r>
    </w:p>
    <w:p w14:paraId="2B8302B7" w14:textId="77777777" w:rsidR="00D47DD3" w:rsidRDefault="00D47DD3">
      <w:pPr>
        <w:tabs>
          <w:tab w:val="left" w:pos="1080"/>
        </w:tabs>
        <w:jc w:val="both"/>
        <w:rPr>
          <w:rFonts w:ascii="Arial" w:eastAsia="Arial" w:hAnsi="Arial" w:cs="Arial"/>
          <w:b/>
          <w:bCs/>
          <w:color w:val="000000"/>
        </w:rPr>
      </w:pPr>
    </w:p>
    <w:p w14:paraId="5C0BFA79" w14:textId="77777777" w:rsidR="00D47DD3" w:rsidRDefault="00D47DD3">
      <w:pPr>
        <w:tabs>
          <w:tab w:val="left" w:pos="1080"/>
        </w:tabs>
        <w:jc w:val="both"/>
        <w:rPr>
          <w:rFonts w:ascii="Arial" w:eastAsia="Arial" w:hAnsi="Arial" w:cs="Arial"/>
          <w:color w:val="000000"/>
        </w:rPr>
      </w:pPr>
    </w:p>
    <w:p w14:paraId="5294E58C" w14:textId="77777777" w:rsidR="00D47DD3" w:rsidRDefault="00926C9B">
      <w:pPr>
        <w:tabs>
          <w:tab w:val="left" w:pos="1080"/>
        </w:tabs>
        <w:jc w:val="both"/>
        <w:rPr>
          <w:rFonts w:ascii="Arial" w:eastAsia="Arial" w:hAnsi="Arial" w:cs="Arial"/>
          <w:b/>
          <w:bCs/>
          <w:color w:val="000000"/>
        </w:rPr>
      </w:pPr>
      <w:r>
        <w:rPr>
          <w:rFonts w:ascii="Arial" w:eastAsia="Arial" w:hAnsi="Arial" w:cs="Arial"/>
          <w:b/>
          <w:bCs/>
          <w:color w:val="000000"/>
        </w:rPr>
        <w:t xml:space="preserve">2.1.3 Data processing layer </w:t>
      </w:r>
    </w:p>
    <w:p w14:paraId="353713C9"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Often referred to as the "cloud layer," this component handles data storage, filtering, and analytics. Common cloud platforms include AWS IoT Core, Microsoft Azure, and ThingSpeak (Nakhuva and Champaneria, 2015). These platforms allow real-time graphical representation and historical analysis of soil data.  </w:t>
      </w:r>
    </w:p>
    <w:p w14:paraId="1CFEDD63" w14:textId="77777777" w:rsidR="00D47DD3" w:rsidRDefault="00926C9B">
      <w:pPr>
        <w:tabs>
          <w:tab w:val="left" w:pos="1080"/>
        </w:tabs>
        <w:jc w:val="both"/>
        <w:rPr>
          <w:rFonts w:ascii="Arial" w:eastAsia="Arial" w:hAnsi="Arial" w:cs="Arial"/>
          <w:b/>
          <w:bCs/>
          <w:color w:val="000000"/>
        </w:rPr>
      </w:pPr>
      <w:r>
        <w:rPr>
          <w:rFonts w:ascii="Arial" w:eastAsia="Arial" w:hAnsi="Arial" w:cs="Arial"/>
          <w:b/>
          <w:bCs/>
          <w:color w:val="000000"/>
        </w:rPr>
        <w:t xml:space="preserve">2.1.4 Application layer    </w:t>
      </w:r>
    </w:p>
    <w:p w14:paraId="787FF0DC" w14:textId="77777777" w:rsidR="00D47DD3" w:rsidRDefault="00926C9B">
      <w:pPr>
        <w:tabs>
          <w:tab w:val="left" w:pos="1080"/>
        </w:tabs>
        <w:jc w:val="both"/>
        <w:rPr>
          <w:rFonts w:ascii="Arial" w:eastAsia="Arial" w:hAnsi="Arial" w:cs="Arial"/>
          <w:color w:val="000000"/>
        </w:rPr>
      </w:pPr>
      <w:bookmarkStart w:id="5" w:name="_ev9w1gwuwngy" w:colFirst="0" w:colLast="0"/>
      <w:bookmarkEnd w:id="5"/>
      <w:r>
        <w:rPr>
          <w:rFonts w:ascii="Arial" w:eastAsia="Arial" w:hAnsi="Arial" w:cs="Arial"/>
          <w:color w:val="000000"/>
        </w:rPr>
        <w:tab/>
        <w:t xml:space="preserve">This top layer interfaces with end users-farmers, agronomists, or researchers via dashboards, mobile apps, or web portals. It translates processed data into actionable insights for irrigation, fertilization, or crop selection (Jamali et al., 2020). ThingSpeak is a web service which assists in plotting the output data in graphical form (Pasha, 2016).  </w:t>
      </w:r>
    </w:p>
    <w:p w14:paraId="5F481637"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 xml:space="preserve"> </w:t>
      </w:r>
    </w:p>
    <w:p w14:paraId="6B892434" w14:textId="77777777" w:rsidR="00D47DD3" w:rsidRDefault="00926C9B">
      <w:pPr>
        <w:tabs>
          <w:tab w:val="left" w:pos="1080"/>
        </w:tabs>
        <w:jc w:val="both"/>
        <w:rPr>
          <w:rFonts w:ascii="Arial" w:eastAsia="Arial" w:hAnsi="Arial" w:cs="Arial"/>
          <w:b/>
          <w:bCs/>
          <w:color w:val="000000"/>
        </w:rPr>
      </w:pPr>
      <w:bookmarkStart w:id="6" w:name="_jl2eeb6kbkqm" w:colFirst="0" w:colLast="0"/>
      <w:bookmarkEnd w:id="6"/>
      <w:r>
        <w:rPr>
          <w:rFonts w:ascii="Arial" w:eastAsia="Arial" w:hAnsi="Arial" w:cs="Arial"/>
          <w:b/>
          <w:bCs/>
          <w:color w:val="000000"/>
        </w:rPr>
        <w:t>3. MONITORING SOIL PARAMETERS USING IoT</w:t>
      </w:r>
    </w:p>
    <w:p w14:paraId="073ED222"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The effectiveness of IoT in soil health monitoring lies in its ability to continuously assess physical, chemical, and biological parameters through a network of sensors. These real time measurements offer spatial and temporal resolution unmatched by traditional sampling methods, enhancing precision agriculture practices. This section presents how IoT enables monitoring of key soil properties.</w:t>
      </w:r>
    </w:p>
    <w:p w14:paraId="101023C4" w14:textId="77777777" w:rsidR="00D47DD3" w:rsidRDefault="00926C9B">
      <w:pPr>
        <w:tabs>
          <w:tab w:val="left" w:pos="1080"/>
        </w:tabs>
        <w:jc w:val="both"/>
        <w:rPr>
          <w:rFonts w:ascii="Arial" w:eastAsia="Arial" w:hAnsi="Arial" w:cs="Arial"/>
          <w:b/>
          <w:bCs/>
          <w:color w:val="000000"/>
        </w:rPr>
      </w:pPr>
      <w:bookmarkStart w:id="7" w:name="_v5guklizsxyz" w:colFirst="0" w:colLast="0"/>
      <w:bookmarkEnd w:id="7"/>
      <w:r>
        <w:rPr>
          <w:rFonts w:ascii="Arial" w:eastAsia="Arial" w:hAnsi="Arial" w:cs="Arial"/>
          <w:b/>
          <w:bCs/>
          <w:color w:val="000000"/>
        </w:rPr>
        <w:t xml:space="preserve">3.1 MONITORING SOIL PHYSICAL PARAMETERS USING IoT     </w:t>
      </w:r>
    </w:p>
    <w:p w14:paraId="5638DFA2"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Physical parameters such as soil moisture and soil temperature are essential determinants of plant water availability, seed germination, root growth, and microbial activity. IoT-based monitoring of these parameters supports optimized irrigation scheduling, reduces water wastage, and enhances crop productivity.</w:t>
      </w:r>
    </w:p>
    <w:p w14:paraId="5EE823FD"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Several studies have demonstrated the accuracy and reliability of IoT-linked soil moisture sensing systems. Barapatre and Patel (2019) conducted a comparative study using 24 soil samples from Maharashtra to evaluate resistive and capacitive soil moisture sensors. Results showed that capacitive sensors had a stronger correlation with gravimetric moisture values, lower RMSE (Root Mean Square Error), and higher consistency. Capacitive sensors were therefore identified as more reliable for long-term monitoring in agricultural fields. Saikia and Khatoon (2022) developed a handheld soil moisture monitoring device for alluvial soils of Assam using YL-69 sensors and an Arduino Uno microcontroller, where data were transmitted via Wi-Fi to the ThingSpeak cloud platform, which enabled graphical visualization of moisture changes over time. In Tamil Nadu, Ezhilazhahi and Bhuvaneswari (2017) monitored soil moisture variations in a sweet potato field over one week, with sensors recording data at four daily intervals (6 am, 10 am, 2 pm, and 6 pm). The study revealed substantial temporal </w:t>
      </w:r>
      <w:r>
        <w:rPr>
          <w:rFonts w:ascii="Arial" w:eastAsia="Arial" w:hAnsi="Arial" w:cs="Arial"/>
          <w:color w:val="000000"/>
        </w:rPr>
        <w:lastRenderedPageBreak/>
        <w:t xml:space="preserve">fluctuations due to environmental conditions and highlighted the importance of intra-day monitoring. Seasonal variations in moisture and temperature in the loamy soils of the National Forest Park of Zi Jin Shan, China, was studied by Wu et al. (2023) using depth-wise sensors at 0, 0.1, 0.2, 0.3, and 0.4 m and observed soil moisture increase during the summer due to monsoon rainfall, while surface temperatures peaked during spring and summer, declining significantly during autumn and winter. A soil monitoring system developed by Deshpande et al. (2022) for the clayey soils of Pune involved sensors at 5 cm, 15 cm, 50 cm, and 100 cm depths and observed that surface layers exhibited greater moisture variability, while deeper layers were more stable with higher moisture retention. Conversely, temperature readings increased with depth, highlighting the importance of multi-layered analysis. Aarthi et al. (2023) monitored daily moisture and temperature in a spinach garden for 25 days, with soil moisture dropping to its lowest at midday due to evapotranspiration, while soil temperature peaking at 12:00 pm, driven by solar intensity. The findings underscore the influence of diurnal cycles and weather conditions.  Bhavani and Begum (2017) designed a soil monitoring system to predict the disease occurrence in paddy fields based on changes in temperature, humidity and soil moisture. </w:t>
      </w:r>
    </w:p>
    <w:p w14:paraId="0AB98E75" w14:textId="2F7E3709" w:rsidR="00D47DD3" w:rsidRDefault="00926C9B">
      <w:pPr>
        <w:tabs>
          <w:tab w:val="left" w:pos="1080"/>
        </w:tabs>
        <w:jc w:val="both"/>
        <w:rPr>
          <w:rFonts w:ascii="Arial" w:eastAsia="Arial" w:hAnsi="Arial" w:cs="Arial"/>
          <w:color w:val="000000"/>
        </w:rPr>
      </w:pPr>
      <w:r>
        <w:rPr>
          <w:rFonts w:ascii="Arial" w:eastAsia="Arial" w:hAnsi="Arial" w:cs="Arial"/>
          <w:color w:val="000000"/>
        </w:rPr>
        <w:tab/>
        <w:t>Effective monitoring systems are instrumental in ensuring optimal plant growth and development, and are a key component in the design of smart irrigation control systems. By harnessing real-time data and insights, these systems enable farmers to make informed decisions, reduce water losses, and increase crop productivity, ultimately supporting global food security and sustainable agriculture practices (Keswani et al., 2019).   Jha et al. (2017) implemented an automatic irrigation system in a wheat field in Dehradun using moisture sensor. Alerts were triggered when moisture fell below 10%, enabling timely irrigation and improved crop health. Chew et al. (2020) tested irrigation across six zones of a greenhouse with different green bean seed densities. The zone with the highest seed density (60 g) recorded the highest irrigation volume (106 mL), demonstrating how moisture demand scales with plant population. Mat et al. (2016) compared scheduled</w:t>
      </w:r>
      <w:r>
        <w:rPr>
          <w:rFonts w:ascii="Arial" w:eastAsia="Arial" w:hAnsi="Arial" w:cs="Arial"/>
          <w:i/>
          <w:iCs/>
          <w:color w:val="000000"/>
        </w:rPr>
        <w:t xml:space="preserve"> vs.</w:t>
      </w:r>
      <w:r>
        <w:rPr>
          <w:rFonts w:ascii="Arial" w:eastAsia="Arial" w:hAnsi="Arial" w:cs="Arial"/>
          <w:color w:val="000000"/>
        </w:rPr>
        <w:t xml:space="preserve"> automated irrigation in chilli crops with automated system, maintaining 35% VWC using moisture sensors, saved approximately 1,500 mL of water per plant per day, emphasizing water-use efficiency. </w:t>
      </w:r>
      <w:r w:rsidR="00300BEE" w:rsidRPr="00554A08">
        <w:rPr>
          <w:rFonts w:ascii="Arial" w:eastAsia="Arial" w:hAnsi="Arial" w:cs="Arial"/>
          <w:color w:val="000000"/>
        </w:rPr>
        <w:t xml:space="preserve">Aarif </w:t>
      </w:r>
      <w:r>
        <w:rPr>
          <w:rFonts w:ascii="Arial" w:eastAsia="Arial" w:hAnsi="Arial" w:cs="Arial"/>
          <w:color w:val="000000"/>
        </w:rPr>
        <w:t>et al. (202</w:t>
      </w:r>
      <w:r w:rsidR="00300BEE">
        <w:rPr>
          <w:rFonts w:ascii="Arial" w:eastAsia="Arial" w:hAnsi="Arial" w:cs="Arial"/>
          <w:color w:val="000000"/>
        </w:rPr>
        <w:t>5</w:t>
      </w:r>
      <w:r>
        <w:rPr>
          <w:rFonts w:ascii="Arial" w:eastAsia="Arial" w:hAnsi="Arial" w:cs="Arial"/>
          <w:color w:val="000000"/>
        </w:rPr>
        <w:t>) integrated soil moisture and water level sensors with mobile alerts for farmers, resulting in better irrigation decisions, reduced labour, and healthier plants.</w:t>
      </w:r>
    </w:p>
    <w:p w14:paraId="0B9AE76A"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The implementation of IoT in irrigation yields several advantages, such as water conservation, reduce resources, preserves soil structure, improves financial efficiency, optimized performance, reduced energy requirements, and decreased crop losses (Garcia et al., 2020). While barriers include high power consumption of devices, non- availability of reliable internet connections, lack of IoT knowledge and weak communication signals (Obaideen et al., 2022).  </w:t>
      </w:r>
    </w:p>
    <w:p w14:paraId="50AC76DE"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Landslides are a significant hazard of global occurrence, especially in areas with steep slopes. For addressing this issue, real-time monitoring of landslides has become a crucial area of research. An IoT-based landslide forecasting system was designed by Sruthy et al. (2020), College of Engineering and Research Centre, Thrissur, Kerala by integrating soil moisture sensor with accelerometer for landslide forecasting and to provide early warnings, potentially preventing human casualties. </w:t>
      </w:r>
    </w:p>
    <w:p w14:paraId="035906AF" w14:textId="77777777" w:rsidR="00D47DD3" w:rsidRDefault="00926C9B">
      <w:pPr>
        <w:tabs>
          <w:tab w:val="left" w:pos="1080"/>
        </w:tabs>
        <w:jc w:val="both"/>
        <w:rPr>
          <w:rFonts w:ascii="Arial" w:eastAsia="Arial" w:hAnsi="Arial" w:cs="Arial"/>
          <w:b/>
          <w:bCs/>
          <w:color w:val="000000"/>
        </w:rPr>
      </w:pPr>
      <w:bookmarkStart w:id="8" w:name="_vp22sn5qyft7" w:colFirst="0" w:colLast="0"/>
      <w:bookmarkEnd w:id="8"/>
      <w:r>
        <w:rPr>
          <w:rFonts w:ascii="Arial" w:eastAsia="Arial" w:hAnsi="Arial" w:cs="Arial"/>
          <w:b/>
          <w:bCs/>
          <w:color w:val="000000"/>
        </w:rPr>
        <w:t xml:space="preserve">3.2 MONITORING SOIL CHEMICAL PARAMETERS USING IoT  </w:t>
      </w:r>
    </w:p>
    <w:p w14:paraId="0962077F"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Soil chemical parameters such as pH, electrical conductivity (EC), and nutrient concentrations are critical for maintaining soil fertility and ensuring optimal crop growth. Conventional analysis of these properties often involves sample collection followed by laboratory analysis, a process that is time-consuming, spatially limited, and resource-intensive. IoT-based systems offer an efficient alternative by enabling real-time, in situ monitoring of these variables.</w:t>
      </w:r>
    </w:p>
    <w:p w14:paraId="10C65527"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Aarthi et al. (2023) designed a real-time monitoring system for backyard spinach cultivation using Arduino-based sensors to track pH and EC. A comparison of sensor-based readings with laboratory results showed only minor deviations, confirming the accuracy and </w:t>
      </w:r>
      <w:r>
        <w:rPr>
          <w:rFonts w:ascii="Arial" w:eastAsia="Arial" w:hAnsi="Arial" w:cs="Arial"/>
          <w:color w:val="000000"/>
        </w:rPr>
        <w:lastRenderedPageBreak/>
        <w:t>reliability of the system for field-level soil chemical monitoring. Putri et al. (2023) developed a smart pH control system for Aloe vera cultivation. The setup included soil pH sensors connected to acid and base delivery pumps via HDPE piping. When the pH deviated from the target range of 5-6, the system autonomously adjusted it. Controlled plots showed significantly larger leaf area (~1.7 cm increase), demonstrating the positive impact of automated pH regulation on plant health. Bhatnagar and Chandra (2020) proposed a mobile-based recommendation system linked to real-time pH sensors. Based on the readings, the application calculated the lime or gypsum requirement to neutralize acidic or alkaline conditions, helping farmers adopt site-specific soil amendments. Othaman et al. (2021) built a soil EC sensing system to study fertilizer effects in Malaysian paddy fields using NAFAS 17.5:15.5:10. Results indicated that EC increased with surface nutrient concentration, while deeper layers exhibited reduced conductivity, affirming the role of depth-wise monitoring in nutrient leaching studies. Ramson et al. (2021) implemented an integrated system using Teros 12 sensors for EC and moisture measurement and found a strong positive correlation between soil EC and moisture content, highlighting their interdependence in real-time salinity tracking. Jain et al. (2023) tested an optical sensor-based nutrient detection system in coconut field soils in Lucknow and six samples were analyzed for N, P, and K using both sensor readings and laboratory tests. Coefficients of determination were high—N (R² = 0.953), P (R² = 0.969), and K (R² = 0.961) confirming strong alignment and suitability for field-scale nutrient analysis. Spandana and Pabboju (2020) used pH, temperature, and moisture sensors to assess soil conditions across different zones in Uttarakhand. The data were processed to recommend region-specific crops, integrating chemical monitoring with crop selection guidance. Electronic crop (e-Crop), an IoT device developed by Mithra (2019) at ICAR- Central Tuber Crops Research Institute (CTCRI) is an electronic crop simulator that simulates crop growth in real-time based on weather, soil moisture and nutrient status. A field demonstration was done in sweet potato and an accuracy of 94.25 percent was observed in predicting the tuber yield.</w:t>
      </w:r>
    </w:p>
    <w:p w14:paraId="23BD6D9F" w14:textId="77777777" w:rsidR="00D47DD3" w:rsidRDefault="00926C9B">
      <w:pPr>
        <w:tabs>
          <w:tab w:val="left" w:pos="1080"/>
        </w:tabs>
        <w:jc w:val="both"/>
        <w:rPr>
          <w:rFonts w:ascii="Arial" w:eastAsia="Arial" w:hAnsi="Arial" w:cs="Arial"/>
          <w:b/>
          <w:bCs/>
          <w:color w:val="000000"/>
        </w:rPr>
      </w:pPr>
      <w:r>
        <w:rPr>
          <w:rFonts w:ascii="Arial" w:eastAsia="Arial" w:hAnsi="Arial" w:cs="Arial"/>
          <w:b/>
          <w:bCs/>
          <w:color w:val="000000"/>
        </w:rPr>
        <w:t xml:space="preserve">3.3 MONITORING SOIL BIOLOGICAL PARAMETERS USING IoT  </w:t>
      </w:r>
    </w:p>
    <w:p w14:paraId="352325EF"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Soil biological health reflects the activity and diversity of microorganisms that regulate nutrient cycling, carbon sequestration, organic matter decomposition, and soil structure formation (Sahu et al. 2017).  Traditional methods of assessing biological indicators such as soil organic carbon (SOC), soil respiration (CO</w:t>
      </w:r>
      <w:r>
        <w:rPr>
          <w:rFonts w:ascii="Cambria Math" w:eastAsia="Cambria Math" w:hAnsi="Cambria Math" w:cs="Cambria Math"/>
          <w:color w:val="000000"/>
        </w:rPr>
        <w:t>₂</w:t>
      </w:r>
      <w:r>
        <w:rPr>
          <w:rFonts w:ascii="Arial" w:eastAsia="Arial" w:hAnsi="Arial" w:cs="Arial"/>
          <w:color w:val="000000"/>
        </w:rPr>
        <w:t xml:space="preserve"> evolution), and microbial activity are complex and laboratory-dependent. The integration of IoT with appropriate biosensors, gas sensors, and modeling tools enable real-time, dynamic monitoring of these parameters in the field.</w:t>
      </w:r>
    </w:p>
    <w:p w14:paraId="20730C01"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Wu et al. (2017) utilized IoT devices in combination with the Soil-C model developed by Huang et al. (2001) to study seasonal changes in soil organic carbon (SOC) during wheat cultivation in China. The model incorporated real-time sensor data on soil temperature, moisture, and pH to compute SOC dynamics. The SOC content was highest during the sowing period (due to residue incorporation), declined during active growth, and rose slightly again at harvest from leaf and root decomposition.  Ramson et al. (2021) studied soil CO</w:t>
      </w:r>
      <w:r>
        <w:rPr>
          <w:rFonts w:ascii="Cambria Math" w:eastAsia="Cambria Math" w:hAnsi="Cambria Math" w:cs="Cambria Math"/>
          <w:color w:val="000000"/>
        </w:rPr>
        <w:t>₂</w:t>
      </w:r>
      <w:r>
        <w:rPr>
          <w:rFonts w:ascii="Arial" w:eastAsia="Arial" w:hAnsi="Arial" w:cs="Arial"/>
          <w:color w:val="000000"/>
        </w:rPr>
        <w:t xml:space="preserve"> and temperature variation in clayey soils during the winter fallow period in Indiana, USA, using GMP251 CO</w:t>
      </w:r>
      <w:r>
        <w:rPr>
          <w:rFonts w:ascii="Cambria Math" w:eastAsia="Cambria Math" w:hAnsi="Cambria Math" w:cs="Cambria Math"/>
          <w:color w:val="000000"/>
        </w:rPr>
        <w:t>₂</w:t>
      </w:r>
      <w:r>
        <w:rPr>
          <w:rFonts w:ascii="Arial" w:eastAsia="Arial" w:hAnsi="Arial" w:cs="Arial"/>
          <w:color w:val="000000"/>
        </w:rPr>
        <w:t xml:space="preserve"> sensors and Teros 12 sensors. A positive correlation was observed between soil temperature and CO</w:t>
      </w:r>
      <w:r>
        <w:rPr>
          <w:rFonts w:ascii="Cambria Math" w:eastAsia="Cambria Math" w:hAnsi="Cambria Math" w:cs="Cambria Math"/>
          <w:color w:val="000000"/>
        </w:rPr>
        <w:t>₂</w:t>
      </w:r>
      <w:r>
        <w:rPr>
          <w:rFonts w:ascii="Arial" w:eastAsia="Arial" w:hAnsi="Arial" w:cs="Arial"/>
          <w:color w:val="000000"/>
        </w:rPr>
        <w:t xml:space="preserve"> emission, indicating increased microbial respiration with rising temperature even in the absence of crop cover. Agrawal et al. (2022) developed a comprehensive IoT system for soil biome management, integrating multiple sensors such as:MQ-2 (methane), MQ-7 (carbon content), MQ-135 (nitrogenous content), FC-28 (soil moisture), DHT-11 (temperature and humidity).</w:t>
      </w:r>
      <w:r>
        <w:rPr>
          <w:rFonts w:ascii="Arial" w:eastAsia="Arial" w:hAnsi="Arial" w:cs="Arial"/>
          <w:color w:val="000000"/>
        </w:rPr>
        <w:br/>
        <w:t>Data were transmitted via a Wi-Fi module to ThingSpeak cloud, and the system was encased in a waterproof, scarecrow-style design to protect components. Analysis confirmed that all soil health parameters were within safe thresholds, and no alerts were triggered.</w:t>
      </w:r>
    </w:p>
    <w:p w14:paraId="78A05575"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Biological indicators are especially sensitive to changes in soil management, moisture regimes, and temperature-making them excellent early warning markers for soil </w:t>
      </w:r>
      <w:r>
        <w:rPr>
          <w:rFonts w:ascii="Arial" w:eastAsia="Arial" w:hAnsi="Arial" w:cs="Arial"/>
          <w:color w:val="000000"/>
        </w:rPr>
        <w:lastRenderedPageBreak/>
        <w:t>degradation. By coupling sensor data with decision-support platforms, IoT enhances the capability of stakeholders to manage organic inputs, reduce greenhouse gas emissions, and promote biological sustainability.</w:t>
      </w:r>
    </w:p>
    <w:p w14:paraId="39FB5434" w14:textId="77777777" w:rsidR="00D47DD3" w:rsidRDefault="00D47DD3">
      <w:pPr>
        <w:tabs>
          <w:tab w:val="left" w:pos="1080"/>
        </w:tabs>
        <w:jc w:val="both"/>
        <w:rPr>
          <w:rFonts w:ascii="Arial" w:eastAsia="Arial" w:hAnsi="Arial" w:cs="Arial"/>
          <w:color w:val="000000"/>
        </w:rPr>
      </w:pPr>
    </w:p>
    <w:p w14:paraId="79DA1B8A" w14:textId="77777777" w:rsidR="00D47DD3" w:rsidRDefault="00926C9B">
      <w:pPr>
        <w:tabs>
          <w:tab w:val="left" w:pos="1080"/>
        </w:tabs>
        <w:jc w:val="both"/>
        <w:rPr>
          <w:rFonts w:ascii="Arial" w:eastAsia="Arial" w:hAnsi="Arial" w:cs="Arial"/>
          <w:b/>
          <w:bCs/>
          <w:color w:val="000000"/>
        </w:rPr>
      </w:pPr>
      <w:bookmarkStart w:id="9" w:name="_lgujilvzsx3k" w:colFirst="0" w:colLast="0"/>
      <w:bookmarkEnd w:id="9"/>
      <w:r>
        <w:rPr>
          <w:rFonts w:ascii="Arial" w:eastAsia="Arial" w:hAnsi="Arial" w:cs="Arial"/>
          <w:b/>
          <w:bCs/>
          <w:color w:val="000000"/>
        </w:rPr>
        <w:t>4. RECENT ADVANCEMENTS LINKED WITH IoT</w:t>
      </w:r>
    </w:p>
    <w:p w14:paraId="3F5F765E"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In present day world, unmanned aerial vehicles (UAVs) are increasingly being utilized in agriculture. These technologies play a key role in improving crop yields and overall production (Boursianis et al., 2020). Saha et al. (2021) developed an IoT linked monitoring system by integrating soil-based sensors with UAV mounted sensor for tracking soil conditions, crop health, and detecting intrusions. The system incorporated PIR, pH and soil moisture sensors while UAV captured high resolution crop images. The introduction of this integrated system resulted in 15-20 per cent increase in tomato yields across the selected districts. Furthermore, a reduction of approximately 70-80 per cent in labour requirements was observed, highlighting the economic and operational efficiency of the system. Bhoi et al. (2021) designed an IoT-assisted UAV model for the detection and classification of rice pests. High-resolution images captured by UAVs were transmitted to a cloud service provider (Imagga), where image processing techniques identified pests using predefined tags and confidence values. Upon detection, real-time alerts were sent to the farmers, enabling timely intervention. Kulkarni et al. (2019) developed a weed detection system utilizing image processing and convolutional neural networks (CNN) and the results demonstrated an accuracy of 85 per cent, with a false rejection ratio of 7 per cent and a false acceptance ratio of 2.6 per cent, indicating the system's effectiveness in weed management. </w:t>
      </w:r>
    </w:p>
    <w:p w14:paraId="4C4CC9F1"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 xml:space="preserve"> </w:t>
      </w:r>
    </w:p>
    <w:p w14:paraId="38EBFB91" w14:textId="77777777" w:rsidR="00D47DD3" w:rsidRDefault="00926C9B">
      <w:pPr>
        <w:tabs>
          <w:tab w:val="left" w:pos="1080"/>
        </w:tabs>
        <w:jc w:val="both"/>
        <w:rPr>
          <w:rFonts w:ascii="Arial" w:eastAsia="Arial" w:hAnsi="Arial" w:cs="Arial"/>
          <w:b/>
          <w:bCs/>
          <w:color w:val="000000"/>
        </w:rPr>
      </w:pPr>
      <w:bookmarkStart w:id="10" w:name="_jg38zrm7hfrg" w:colFirst="0" w:colLast="0"/>
      <w:bookmarkEnd w:id="10"/>
      <w:r>
        <w:rPr>
          <w:rFonts w:ascii="Arial" w:eastAsia="Arial" w:hAnsi="Arial" w:cs="Arial"/>
          <w:b/>
          <w:bCs/>
          <w:color w:val="000000"/>
        </w:rPr>
        <w:t xml:space="preserve">5. ADVANTAGES   </w:t>
      </w:r>
    </w:p>
    <w:p w14:paraId="501EBB6C"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IoT provides real time data and allows for more accurate and efficient management of agricultural practices (Yin et al., 2021). With the help of data gathered from numerous sensors, resources like water, fertilizers, and pesticides can be utilized more efficiently and further optimize the use of the resources (Morchid et al., 2023)  It will contribute to environmental protection (Srivastava and Das, 2021). Automating tasks utilizing IoT technology can significantly reduce labour requirements and also enable early prediction of potential issues or crop yields (Sinha and Dhanalakshmi, 2022). In addition, with proper monitoring, the productivity of the field can be increased which in return increases the profitability of the farmers (Srivastava and Das, 2021).  </w:t>
      </w:r>
    </w:p>
    <w:p w14:paraId="4608FE98" w14:textId="77777777" w:rsidR="00D47DD3" w:rsidRDefault="00926C9B">
      <w:pPr>
        <w:tabs>
          <w:tab w:val="left" w:pos="1080"/>
        </w:tabs>
        <w:jc w:val="both"/>
        <w:rPr>
          <w:rFonts w:ascii="Arial" w:eastAsia="Arial" w:hAnsi="Arial" w:cs="Arial"/>
          <w:b/>
          <w:bCs/>
          <w:color w:val="000000"/>
        </w:rPr>
      </w:pPr>
      <w:bookmarkStart w:id="11" w:name="_evvta5phl8sg" w:colFirst="0" w:colLast="0"/>
      <w:bookmarkEnd w:id="11"/>
      <w:r>
        <w:rPr>
          <w:rFonts w:ascii="Arial" w:eastAsia="Arial" w:hAnsi="Arial" w:cs="Arial"/>
          <w:b/>
          <w:bCs/>
          <w:color w:val="000000"/>
        </w:rPr>
        <w:t xml:space="preserve">6. CHALLENGES  </w:t>
      </w:r>
    </w:p>
    <w:p w14:paraId="621BD752" w14:textId="77777777" w:rsidR="00D47DD3" w:rsidRDefault="00926C9B">
      <w:pPr>
        <w:tabs>
          <w:tab w:val="left" w:pos="1080"/>
        </w:tabs>
        <w:jc w:val="both"/>
        <w:rPr>
          <w:rFonts w:ascii="Arial" w:eastAsia="Arial" w:hAnsi="Arial" w:cs="Arial"/>
          <w:color w:val="000000"/>
        </w:rPr>
      </w:pPr>
      <w:r>
        <w:rPr>
          <w:rFonts w:ascii="Arial" w:eastAsia="Arial" w:hAnsi="Arial" w:cs="Arial"/>
          <w:color w:val="000000"/>
        </w:rPr>
        <w:tab/>
        <w:t xml:space="preserve">The initial investment required for acquiring and setting up IoT devices, including sensors, cameras, and drones, is a very big concern (Paul et al., 2020). Reliable internet is crucial for the successful implementation and operation of IoT systems and is highly dependent on technology (Fuqaha et al., 2015). Also all the devices used for monitoring, communication, and storage purposes require energy, without which the concept of IoT vanishes (Srivastava and Das, 2021). The physical safety of the deployed IoT sensors and systems must be ensured in order to protect the costly equipment from severe weather conditions (Elijah et al., 2018). The availability of skilled manpower in the field remains a challenge, with a noticeable gap in the presence of educated and skilled workers in this sector (Paul et al., 2020)  </w:t>
      </w:r>
    </w:p>
    <w:p w14:paraId="61205747" w14:textId="77777777" w:rsidR="00D47DD3" w:rsidRDefault="00926C9B">
      <w:pPr>
        <w:keepNext/>
        <w:pBdr>
          <w:top w:val="nil"/>
          <w:left w:val="nil"/>
          <w:bottom w:val="nil"/>
          <w:right w:val="nil"/>
          <w:between w:val="nil"/>
        </w:pBdr>
        <w:jc w:val="both"/>
        <w:rPr>
          <w:rFonts w:ascii="Arial" w:eastAsia="Arial" w:hAnsi="Arial" w:cs="Arial"/>
          <w:b/>
          <w:bCs/>
          <w:smallCaps/>
          <w:color w:val="000000"/>
          <w:sz w:val="22"/>
          <w:szCs w:val="22"/>
        </w:rPr>
      </w:pPr>
      <w:bookmarkStart w:id="12" w:name="_o9uyf7mlc4vm" w:colFirst="0" w:colLast="0"/>
      <w:bookmarkEnd w:id="12"/>
      <w:r>
        <w:rPr>
          <w:rFonts w:ascii="Arial" w:eastAsia="Arial" w:hAnsi="Arial" w:cs="Arial"/>
          <w:b/>
          <w:bCs/>
          <w:smallCaps/>
          <w:color w:val="000000"/>
          <w:sz w:val="22"/>
          <w:szCs w:val="22"/>
        </w:rPr>
        <w:t>7. Conclusion</w:t>
      </w:r>
    </w:p>
    <w:p w14:paraId="30C12D9D" w14:textId="65BA853E" w:rsidR="00D47DD3" w:rsidRPr="00A258A9" w:rsidRDefault="00926C9B">
      <w:pPr>
        <w:tabs>
          <w:tab w:val="left" w:pos="1080"/>
        </w:tabs>
        <w:jc w:val="both"/>
        <w:rPr>
          <w:rFonts w:ascii="Arial" w:eastAsia="Arial" w:hAnsi="Arial" w:cs="Arial"/>
          <w:color w:val="000000"/>
        </w:rPr>
      </w:pPr>
      <w:r>
        <w:rPr>
          <w:rFonts w:ascii="Arial" w:eastAsia="Arial" w:hAnsi="Arial" w:cs="Arial"/>
          <w:color w:val="000000"/>
        </w:rPr>
        <w:tab/>
        <w:t>An integrated IoT-linked multimodal soil health monitoring approach provides real-time precise data which will facilitate rapid and efficient decision-making capabilities to various stakeholders of agriculture like farmers, researchers, planners and administrators. It has prospective potential for prudential and efficient management of natural resources aimed at promoting resilient agricultural practices and also facilitates enhancement of more sustainable, efficient, and productive farming practices, leading to improved yields. It serves to minimise the adverse effect on environment. The success depends on addressing the challenges through careful planning and comprehensive training</w:t>
      </w:r>
      <w:r w:rsidRPr="00A258A9">
        <w:rPr>
          <w:rFonts w:ascii="Arial" w:eastAsia="Arial" w:hAnsi="Arial" w:cs="Arial"/>
          <w:color w:val="000000"/>
        </w:rPr>
        <w:t xml:space="preserve">.  </w:t>
      </w:r>
      <w:r w:rsidR="00715140" w:rsidRPr="00A258A9">
        <w:rPr>
          <w:rFonts w:ascii="Arial" w:eastAsia="Arial" w:hAnsi="Arial" w:cs="Arial"/>
          <w:color w:val="000000"/>
        </w:rPr>
        <w:t xml:space="preserve">In addition, future research </w:t>
      </w:r>
      <w:r w:rsidR="00715140" w:rsidRPr="00A258A9">
        <w:rPr>
          <w:rFonts w:ascii="Arial" w:eastAsia="Arial" w:hAnsi="Arial" w:cs="Arial"/>
          <w:color w:val="000000"/>
        </w:rPr>
        <w:lastRenderedPageBreak/>
        <w:t>should explore the integration of artificial intelligence, machine learning–based soil prediction models, and energy-harvesting technologies to improve sensor autonomy and enhance the long-term efficiency of IoT-based soil health monitoring systems.</w:t>
      </w:r>
    </w:p>
    <w:p w14:paraId="7DFFAC4F" w14:textId="77777777" w:rsidR="00D47DD3" w:rsidRDefault="00D47DD3">
      <w:pPr>
        <w:pBdr>
          <w:top w:val="nil"/>
          <w:left w:val="nil"/>
          <w:bottom w:val="nil"/>
          <w:right w:val="nil"/>
          <w:between w:val="nil"/>
        </w:pBdr>
        <w:jc w:val="both"/>
        <w:rPr>
          <w:rFonts w:ascii="Arial" w:eastAsia="Arial" w:hAnsi="Arial" w:cs="Arial"/>
          <w:color w:val="000000"/>
        </w:rPr>
      </w:pPr>
    </w:p>
    <w:p w14:paraId="54824F74" w14:textId="77777777" w:rsidR="00D47DD3" w:rsidRDefault="00926C9B">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DISCLAIMER (ARTIFICIAL INTELLIGENCE)</w:t>
      </w:r>
    </w:p>
    <w:p w14:paraId="262EFF9E" w14:textId="77777777" w:rsidR="00D47DD3" w:rsidRDefault="00926C9B">
      <w:pPr>
        <w:pBdr>
          <w:top w:val="nil"/>
          <w:left w:val="nil"/>
          <w:bottom w:val="nil"/>
          <w:right w:val="nil"/>
          <w:between w:val="nil"/>
        </w:pBdr>
        <w:jc w:val="both"/>
      </w:pPr>
      <w:r>
        <w:rPr>
          <w:rFonts w:ascii="Arial" w:eastAsia="Arial" w:hAnsi="Arial" w:cs="Arial"/>
          <w:color w:val="000000"/>
        </w:rPr>
        <w:t xml:space="preserve">Author(s) hereby declare that NO generative AI technologies such as Large Language Models (ChatGPT, COPILOT, etc) and text-to-image generators have been used during writing or editing of this manuscript.  </w:t>
      </w:r>
    </w:p>
    <w:p w14:paraId="74110824" w14:textId="77777777" w:rsidR="00D47DD3" w:rsidRDefault="00D47DD3"/>
    <w:p w14:paraId="4C7252AD" w14:textId="77777777" w:rsidR="00D47DD3" w:rsidRDefault="00D47DD3">
      <w:pPr>
        <w:keepNext/>
        <w:pBdr>
          <w:top w:val="nil"/>
          <w:left w:val="nil"/>
          <w:bottom w:val="nil"/>
          <w:right w:val="nil"/>
          <w:between w:val="nil"/>
        </w:pBdr>
        <w:jc w:val="both"/>
        <w:rPr>
          <w:rFonts w:ascii="Arial" w:eastAsia="Arial" w:hAnsi="Arial" w:cs="Arial"/>
          <w:color w:val="000000"/>
          <w:u w:val="single"/>
        </w:rPr>
      </w:pPr>
    </w:p>
    <w:p w14:paraId="58DA8B97" w14:textId="77777777" w:rsidR="00D47DD3" w:rsidRDefault="00D47DD3">
      <w:pPr>
        <w:keepNext/>
        <w:pBdr>
          <w:top w:val="nil"/>
          <w:left w:val="nil"/>
          <w:bottom w:val="nil"/>
          <w:right w:val="nil"/>
          <w:between w:val="nil"/>
        </w:pBdr>
        <w:jc w:val="both"/>
        <w:rPr>
          <w:rFonts w:ascii="Arial" w:eastAsia="Arial" w:hAnsi="Arial" w:cs="Arial"/>
          <w:color w:val="000000"/>
        </w:rPr>
      </w:pPr>
    </w:p>
    <w:p w14:paraId="532A0A67" w14:textId="77777777" w:rsidR="00D47DD3" w:rsidRPr="00D13D27" w:rsidRDefault="00926C9B">
      <w:pPr>
        <w:keepNext/>
        <w:pBdr>
          <w:top w:val="nil"/>
          <w:left w:val="nil"/>
          <w:bottom w:val="nil"/>
          <w:right w:val="nil"/>
          <w:between w:val="nil"/>
        </w:pBdr>
        <w:jc w:val="both"/>
        <w:rPr>
          <w:rFonts w:ascii="Arial" w:eastAsia="Arial" w:hAnsi="Arial" w:cs="Arial"/>
          <w:b/>
          <w:bCs/>
          <w:smallCaps/>
          <w:color w:val="000000"/>
          <w:sz w:val="22"/>
          <w:szCs w:val="22"/>
          <w:lang w:val="es-US"/>
        </w:rPr>
      </w:pPr>
      <w:r w:rsidRPr="00D13D27">
        <w:rPr>
          <w:rFonts w:ascii="Arial" w:eastAsia="Arial" w:hAnsi="Arial" w:cs="Arial"/>
          <w:b/>
          <w:bCs/>
          <w:smallCaps/>
          <w:color w:val="000000"/>
          <w:sz w:val="22"/>
          <w:szCs w:val="22"/>
          <w:lang w:val="es-US"/>
        </w:rPr>
        <w:t>References</w:t>
      </w:r>
    </w:p>
    <w:p w14:paraId="0EDDF680" w14:textId="77777777" w:rsidR="00D47DD3" w:rsidRPr="00D13D27" w:rsidRDefault="00D47DD3">
      <w:pPr>
        <w:keepNext/>
        <w:pBdr>
          <w:top w:val="nil"/>
          <w:left w:val="nil"/>
          <w:bottom w:val="nil"/>
          <w:right w:val="nil"/>
          <w:between w:val="nil"/>
        </w:pBdr>
        <w:jc w:val="both"/>
        <w:rPr>
          <w:rFonts w:ascii="Arial" w:eastAsia="Arial" w:hAnsi="Arial" w:cs="Arial"/>
          <w:b/>
          <w:bCs/>
          <w:smallCaps/>
          <w:color w:val="000000"/>
          <w:sz w:val="22"/>
          <w:szCs w:val="22"/>
          <w:lang w:val="es-US"/>
        </w:rPr>
      </w:pPr>
    </w:p>
    <w:p w14:paraId="7446413F" w14:textId="77777777" w:rsidR="00D47DD3" w:rsidRDefault="00926C9B">
      <w:pPr>
        <w:pBdr>
          <w:top w:val="nil"/>
          <w:left w:val="nil"/>
          <w:bottom w:val="nil"/>
          <w:right w:val="nil"/>
          <w:between w:val="nil"/>
        </w:pBdr>
        <w:rPr>
          <w:rFonts w:ascii="Arial" w:eastAsia="Arial" w:hAnsi="Arial" w:cs="Arial"/>
          <w:color w:val="000000"/>
        </w:rPr>
      </w:pPr>
      <w:r w:rsidRPr="00D13D27">
        <w:rPr>
          <w:rFonts w:ascii="Arial" w:eastAsia="Arial" w:hAnsi="Arial" w:cs="Arial"/>
          <w:color w:val="000000"/>
          <w:lang w:val="es-US"/>
        </w:rPr>
        <w:t xml:space="preserve">1. Doran, J. W., Sarrantonio, M., &amp; Liebig, M. (1996). </w:t>
      </w:r>
      <w:r>
        <w:rPr>
          <w:rFonts w:ascii="Arial" w:eastAsia="Arial" w:hAnsi="Arial" w:cs="Arial"/>
          <w:color w:val="000000"/>
        </w:rPr>
        <w:t xml:space="preserve">Soil health and sustainability. In: Sparks, D. L. (Ed.), Advances in Agronomy. Academic Press, San Diego. </w:t>
      </w:r>
      <w:hyperlink r:id="rId12">
        <w:r>
          <w:rPr>
            <w:rFonts w:ascii="Arial" w:eastAsia="Arial" w:hAnsi="Arial" w:cs="Arial"/>
            <w:color w:val="0000FF"/>
            <w:u w:val="single"/>
          </w:rPr>
          <w:t>10.1016/S0065-2113(08)60178-9</w:t>
        </w:r>
      </w:hyperlink>
    </w:p>
    <w:p w14:paraId="4642094B" w14:textId="3915091D"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PRB [Population Reference Bureau]. 2023. </w:t>
      </w:r>
      <w:r w:rsidR="00BE30C2" w:rsidRPr="00BE30C2">
        <w:rPr>
          <w:rFonts w:ascii="Arial" w:eastAsia="Times New Roman" w:hAnsi="Arial" w:cs="Arial"/>
          <w:color w:val="000000"/>
        </w:rPr>
        <w:t>2023 World Population Data Sheet</w:t>
      </w:r>
      <w:r w:rsidRPr="00BE30C2">
        <w:rPr>
          <w:rFonts w:ascii="Arial" w:eastAsia="Arial" w:hAnsi="Arial" w:cs="Arial"/>
          <w:color w:val="000000"/>
        </w:rPr>
        <w:t xml:space="preserve">. </w:t>
      </w:r>
      <w:r>
        <w:rPr>
          <w:rFonts w:ascii="Arial" w:eastAsia="Arial" w:hAnsi="Arial" w:cs="Arial"/>
          <w:color w:val="000000"/>
        </w:rPr>
        <w:t xml:space="preserve">Available: </w:t>
      </w:r>
      <w:hyperlink r:id="rId13">
        <w:r>
          <w:rPr>
            <w:rFonts w:ascii="Arial" w:eastAsia="Arial" w:hAnsi="Arial" w:cs="Arial"/>
            <w:color w:val="0000FF"/>
            <w:u w:val="single"/>
          </w:rPr>
          <w:t>https://2023-wpds.prb.org/ [</w:t>
        </w:r>
      </w:hyperlink>
      <w:r>
        <w:rPr>
          <w:rFonts w:ascii="Arial" w:eastAsia="Arial" w:hAnsi="Arial" w:cs="Arial"/>
          <w:color w:val="000000"/>
        </w:rPr>
        <w:t xml:space="preserve">11 July 2024].   </w:t>
      </w:r>
      <w:hyperlink r:id="rId14">
        <w:r>
          <w:rPr>
            <w:rFonts w:ascii="Arial" w:eastAsia="Arial" w:hAnsi="Arial" w:cs="Arial"/>
            <w:color w:val="0000FF"/>
            <w:u w:val="single"/>
          </w:rPr>
          <w:t>https://2023-wpds.prb.org/</w:t>
        </w:r>
      </w:hyperlink>
      <w:r>
        <w:rPr>
          <w:rFonts w:ascii="Arial" w:eastAsia="Arial" w:hAnsi="Arial" w:cs="Arial"/>
          <w:color w:val="000000"/>
        </w:rPr>
        <w:t xml:space="preserve"> </w:t>
      </w:r>
    </w:p>
    <w:p w14:paraId="6E6B6260" w14:textId="77777777" w:rsidR="00D47DD3" w:rsidRDefault="00926C9B">
      <w:pPr>
        <w:pBdr>
          <w:top w:val="nil"/>
          <w:left w:val="nil"/>
          <w:bottom w:val="nil"/>
          <w:right w:val="nil"/>
          <w:between w:val="nil"/>
        </w:pBdr>
        <w:rPr>
          <w:rFonts w:ascii="Arial" w:eastAsia="Arial" w:hAnsi="Arial" w:cs="Arial"/>
          <w:color w:val="000000"/>
        </w:rPr>
      </w:pPr>
      <w:r>
        <w:rPr>
          <w:rFonts w:ascii="Arial" w:eastAsia="Arial" w:hAnsi="Arial" w:cs="Arial"/>
          <w:color w:val="000000"/>
        </w:rPr>
        <w:t>3. Paustian, K., Lehmann, J., Ogle, S., Reay, D., Robertson, G. P., &amp; Smith, P. (2016).  Climate-smart soils. Nature</w:t>
      </w:r>
      <w:r>
        <w:rPr>
          <w:rFonts w:ascii="Arial" w:eastAsia="Arial" w:hAnsi="Arial" w:cs="Arial"/>
          <w:i/>
          <w:iCs/>
          <w:color w:val="000000"/>
        </w:rPr>
        <w:t>,</w:t>
      </w:r>
      <w:r>
        <w:rPr>
          <w:rFonts w:ascii="Arial" w:eastAsia="Arial" w:hAnsi="Arial" w:cs="Arial"/>
          <w:color w:val="000000"/>
        </w:rPr>
        <w:t xml:space="preserve"> 532(7597), 49-57. </w:t>
      </w:r>
      <w:hyperlink r:id="rId15">
        <w:r>
          <w:rPr>
            <w:rFonts w:ascii="Arial" w:eastAsia="Arial" w:hAnsi="Arial" w:cs="Arial"/>
            <w:color w:val="0000FF"/>
            <w:u w:val="single"/>
          </w:rPr>
          <w:t>10.1038/nature17174</w:t>
        </w:r>
      </w:hyperlink>
    </w:p>
    <w:p w14:paraId="28A9FECD" w14:textId="77777777" w:rsidR="00D47DD3" w:rsidRDefault="00926C9B">
      <w:pPr>
        <w:pBdr>
          <w:top w:val="nil"/>
          <w:left w:val="nil"/>
          <w:bottom w:val="nil"/>
          <w:right w:val="nil"/>
          <w:between w:val="nil"/>
        </w:pBdr>
        <w:rPr>
          <w:rFonts w:ascii="Arial" w:eastAsia="Arial" w:hAnsi="Arial" w:cs="Arial"/>
          <w:color w:val="000000"/>
        </w:rPr>
      </w:pPr>
      <w:r>
        <w:rPr>
          <w:rFonts w:ascii="Arial" w:eastAsia="Arial" w:hAnsi="Arial" w:cs="Arial"/>
          <w:color w:val="000000"/>
        </w:rPr>
        <w:t>4. Bhattacharyya, R., Ghosh, B. N., Mishra, P. K., Mandal, B., Rao, C. S., Sarkar, D., Das, K., Anil, K. S., Lalitha, M., Hati, K. M., &amp; Franzluebbers, A. J. 2015. Soil degradation in India: Challenges and potential solutions. Sustainability</w:t>
      </w:r>
      <w:r>
        <w:rPr>
          <w:rFonts w:ascii="Arial" w:eastAsia="Arial" w:hAnsi="Arial" w:cs="Arial"/>
          <w:i/>
          <w:iCs/>
          <w:color w:val="000000"/>
        </w:rPr>
        <w:t>,</w:t>
      </w:r>
      <w:r>
        <w:rPr>
          <w:rFonts w:ascii="Arial" w:eastAsia="Arial" w:hAnsi="Arial" w:cs="Arial"/>
          <w:color w:val="000000"/>
        </w:rPr>
        <w:t xml:space="preserve"> 7(4), 35283570. </w:t>
      </w:r>
      <w:hyperlink r:id="rId16">
        <w:r>
          <w:rPr>
            <w:rFonts w:ascii="Arial" w:eastAsia="Arial" w:hAnsi="Arial" w:cs="Arial"/>
            <w:color w:val="0000FF"/>
            <w:u w:val="single"/>
          </w:rPr>
          <w:t>10.3390/su7043528</w:t>
        </w:r>
      </w:hyperlink>
    </w:p>
    <w:p w14:paraId="1CA0D6F7" w14:textId="25F3E76F" w:rsidR="00D47DD3" w:rsidRPr="007B3ABB" w:rsidRDefault="00926C9B" w:rsidP="007B3ABB">
      <w:pPr>
        <w:pStyle w:val="NormalWeb"/>
        <w:spacing w:before="75" w:beforeAutospacing="0" w:after="75" w:afterAutospacing="0"/>
        <w:rPr>
          <w:sz w:val="20"/>
          <w:szCs w:val="20"/>
        </w:rPr>
      </w:pPr>
      <w:r w:rsidRPr="007B3ABB">
        <w:rPr>
          <w:rFonts w:ascii="Arial" w:eastAsia="Arial" w:hAnsi="Arial" w:cs="Arial"/>
          <w:color w:val="000000"/>
          <w:sz w:val="20"/>
          <w:szCs w:val="20"/>
        </w:rPr>
        <w:t xml:space="preserve">5. UNCCD [United Nations Convention to Combat Desertification]. 2017. </w:t>
      </w:r>
      <w:r w:rsidR="00BD396D" w:rsidRPr="007B3ABB">
        <w:rPr>
          <w:rFonts w:ascii="Arial" w:hAnsi="Arial" w:cs="Arial"/>
          <w:color w:val="000000"/>
          <w:sz w:val="20"/>
          <w:szCs w:val="20"/>
        </w:rPr>
        <w:t>The Global Land Outlook, first edit</w:t>
      </w:r>
      <w:r w:rsidR="007B3ABB" w:rsidRPr="007B3ABB">
        <w:rPr>
          <w:rFonts w:ascii="Arial" w:hAnsi="Arial" w:cs="Arial"/>
          <w:color w:val="000000"/>
          <w:sz w:val="20"/>
          <w:szCs w:val="20"/>
        </w:rPr>
        <w:t>ion.</w:t>
      </w:r>
      <w:r w:rsidRPr="007B3ABB">
        <w:rPr>
          <w:rFonts w:ascii="Arial" w:eastAsia="Arial" w:hAnsi="Arial" w:cs="Arial"/>
          <w:color w:val="000000"/>
          <w:sz w:val="20"/>
          <w:szCs w:val="20"/>
        </w:rPr>
        <w:t xml:space="preserve"> Available:</w:t>
      </w:r>
      <w:r w:rsidRPr="007B3ABB">
        <w:rPr>
          <w:sz w:val="20"/>
          <w:szCs w:val="20"/>
        </w:rPr>
        <w:t xml:space="preserve"> </w:t>
      </w:r>
      <w:hyperlink r:id="rId17">
        <w:r w:rsidRPr="007B3ABB">
          <w:rPr>
            <w:rFonts w:ascii="Arial" w:eastAsia="Arial" w:hAnsi="Arial" w:cs="Arial"/>
            <w:color w:val="0000FF"/>
            <w:sz w:val="20"/>
            <w:szCs w:val="20"/>
            <w:u w:val="single"/>
          </w:rPr>
          <w:t>https://www.unccd.int/sites/default/files/documents/201709/GLO_Full_Report_low_res.pdf [</w:t>
        </w:r>
      </w:hyperlink>
      <w:r w:rsidRPr="007B3ABB">
        <w:rPr>
          <w:rFonts w:ascii="Arial" w:eastAsia="Arial" w:hAnsi="Arial" w:cs="Arial"/>
          <w:color w:val="000000"/>
          <w:sz w:val="20"/>
          <w:szCs w:val="20"/>
        </w:rPr>
        <w:t xml:space="preserve"> 15 July 2024]  </w:t>
      </w:r>
    </w:p>
    <w:p w14:paraId="6163890F" w14:textId="77777777" w:rsidR="00D47DD3" w:rsidRDefault="00926C9B">
      <w:pPr>
        <w:pBdr>
          <w:top w:val="nil"/>
          <w:left w:val="nil"/>
          <w:bottom w:val="nil"/>
          <w:right w:val="nil"/>
          <w:between w:val="nil"/>
        </w:pBdr>
        <w:jc w:val="both"/>
        <w:rPr>
          <w:rFonts w:ascii="Arial" w:eastAsia="Arial" w:hAnsi="Arial" w:cs="Arial"/>
          <w:color w:val="000000"/>
        </w:rPr>
      </w:pPr>
      <w:r w:rsidRPr="00D13D27">
        <w:rPr>
          <w:rFonts w:ascii="Arial" w:eastAsia="Arial" w:hAnsi="Arial" w:cs="Arial"/>
          <w:color w:val="000000"/>
          <w:lang w:val="es-US"/>
        </w:rPr>
        <w:t xml:space="preserve">6. Doran, J. W., &amp; Zeiss, M. R. (2000). </w:t>
      </w:r>
      <w:r>
        <w:rPr>
          <w:rFonts w:ascii="Arial" w:eastAsia="Arial" w:hAnsi="Arial" w:cs="Arial"/>
          <w:color w:val="000000"/>
        </w:rPr>
        <w:t>Soil health and sustainability: Managing the biotic component of soil quality.</w:t>
      </w:r>
      <w:r>
        <w:t xml:space="preserve"> </w:t>
      </w:r>
      <w:r>
        <w:rPr>
          <w:rFonts w:ascii="Arial" w:eastAsia="Arial" w:hAnsi="Arial" w:cs="Arial"/>
          <w:color w:val="000000"/>
        </w:rPr>
        <w:t>Applied Soil Ecology</w:t>
      </w:r>
      <w:r>
        <w:rPr>
          <w:rFonts w:ascii="Arial" w:eastAsia="Arial" w:hAnsi="Arial" w:cs="Arial"/>
          <w:i/>
          <w:iCs/>
          <w:color w:val="000000"/>
        </w:rPr>
        <w:t>,</w:t>
      </w:r>
      <w:r>
        <w:rPr>
          <w:rFonts w:ascii="Arial" w:eastAsia="Arial" w:hAnsi="Arial" w:cs="Arial"/>
          <w:color w:val="000000"/>
        </w:rPr>
        <w:t xml:space="preserve"> 15(1), 3-11.  </w:t>
      </w:r>
      <w:hyperlink r:id="rId18">
        <w:r>
          <w:rPr>
            <w:rFonts w:ascii="Arial" w:eastAsia="Arial" w:hAnsi="Arial" w:cs="Arial"/>
            <w:color w:val="0000FF"/>
            <w:u w:val="single"/>
          </w:rPr>
          <w:t>10.1016/S0929-1393(00)00067-6</w:t>
        </w:r>
      </w:hyperlink>
    </w:p>
    <w:p w14:paraId="428E01A8"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7. Ramson, S. J., Leon-Salas, W. D., Brecheisen, Z., Foster, E. J., Johnston, C. T., Schulze,  </w:t>
      </w:r>
    </w:p>
    <w:p w14:paraId="5CE25183" w14:textId="77777777" w:rsidR="00D47DD3" w:rsidRDefault="00926C9B">
      <w:pPr>
        <w:pBdr>
          <w:top w:val="nil"/>
          <w:left w:val="nil"/>
          <w:bottom w:val="nil"/>
          <w:right w:val="nil"/>
          <w:between w:val="nil"/>
        </w:pBdr>
        <w:rPr>
          <w:rFonts w:ascii="Arial" w:eastAsia="Arial" w:hAnsi="Arial" w:cs="Arial"/>
          <w:color w:val="000000"/>
        </w:rPr>
      </w:pPr>
      <w:r w:rsidRPr="00D13D27">
        <w:rPr>
          <w:rFonts w:ascii="Arial" w:eastAsia="Arial" w:hAnsi="Arial" w:cs="Arial"/>
          <w:color w:val="000000"/>
          <w:lang w:val="es-US"/>
        </w:rPr>
        <w:t xml:space="preserve">D. G., Filley, T., Rahimi, R., Soto, M. J. C. V., Bolivar, J. A. L., &amp; Malaga, M. P. (2021). </w:t>
      </w:r>
      <w:r>
        <w:rPr>
          <w:rFonts w:ascii="Arial" w:eastAsia="Arial" w:hAnsi="Arial" w:cs="Arial"/>
          <w:color w:val="000000"/>
        </w:rPr>
        <w:t xml:space="preserve">A self-powered, real-time, LoRaWAN IoT-based soil health monitoring system. IEEE Internet Things Journal, 8(11), 9278-9293. </w:t>
      </w:r>
      <w:hyperlink r:id="rId19">
        <w:r>
          <w:rPr>
            <w:rFonts w:ascii="Arial" w:eastAsia="Arial" w:hAnsi="Arial" w:cs="Arial"/>
            <w:color w:val="0000FF"/>
            <w:u w:val="single"/>
          </w:rPr>
          <w:t>10.1109/JIOT.2021.3056586</w:t>
        </w:r>
      </w:hyperlink>
    </w:p>
    <w:p w14:paraId="715DF35E" w14:textId="66E24244" w:rsidR="00D47DD3" w:rsidRPr="008A06E8" w:rsidRDefault="00926C9B" w:rsidP="00D34470">
      <w:pPr>
        <w:pStyle w:val="NormalWeb"/>
        <w:spacing w:before="75" w:beforeAutospacing="0" w:after="75" w:afterAutospacing="0"/>
        <w:rPr>
          <w:sz w:val="20"/>
          <w:szCs w:val="20"/>
        </w:rPr>
      </w:pPr>
      <w:r>
        <w:rPr>
          <w:rFonts w:ascii="Arial" w:eastAsia="Arial" w:hAnsi="Arial" w:cs="Arial"/>
          <w:color w:val="000000"/>
        </w:rPr>
        <w:t xml:space="preserve">8. </w:t>
      </w:r>
      <w:r w:rsidR="00C80744" w:rsidRPr="008A06E8">
        <w:rPr>
          <w:rFonts w:ascii="Arial" w:eastAsia="Times New Roman" w:hAnsi="Arial" w:cs="Arial"/>
          <w:color w:val="000000"/>
          <w:sz w:val="20"/>
          <w:szCs w:val="20"/>
        </w:rPr>
        <w:t>Nocita, M., Stevens, A., van Wesemael, B., Aitkenhead, M., Bachmann, M., Barthès, B., Ben Dor, E., Brown, D. J., Clairotte, M., Csorba, A., Dardenne, P., Demattê, J. A. M., Genot, V., Guerrero, C., Knadel, M., Montanarella, L., Noon,</w:t>
      </w:r>
      <w:r w:rsidR="00840437" w:rsidRPr="008A06E8">
        <w:rPr>
          <w:rFonts w:ascii="Arial" w:hAnsi="Arial" w:cs="Arial"/>
          <w:color w:val="000000"/>
          <w:sz w:val="20"/>
          <w:szCs w:val="20"/>
        </w:rPr>
        <w:t xml:space="preserve"> C., Ramirez-Lopez, L., Robertson, J., Sakai, H., Soriano-Disla, J. M., Shepherd, K. D., Stenberg, B., Towett, E. K., Vargas, R.,</w:t>
      </w:r>
      <w:r w:rsidR="008A06E8" w:rsidRPr="008A06E8">
        <w:rPr>
          <w:rFonts w:ascii="Arial" w:hAnsi="Arial" w:cs="Arial"/>
          <w:color w:val="000000"/>
          <w:sz w:val="20"/>
          <w:szCs w:val="20"/>
        </w:rPr>
        <w:t xml:space="preserve"> &amp;</w:t>
      </w:r>
      <w:r w:rsidR="00840437" w:rsidRPr="008A06E8">
        <w:rPr>
          <w:rFonts w:ascii="Arial" w:hAnsi="Arial" w:cs="Arial"/>
          <w:color w:val="000000"/>
          <w:sz w:val="20"/>
          <w:szCs w:val="20"/>
        </w:rPr>
        <w:t xml:space="preserve"> Wetterlind, J.</w:t>
      </w:r>
      <w:r w:rsidR="00D34470" w:rsidRPr="008A06E8">
        <w:rPr>
          <w:rFonts w:ascii="Arial" w:hAnsi="Arial" w:cs="Arial"/>
          <w:color w:val="000000"/>
          <w:sz w:val="20"/>
          <w:szCs w:val="20"/>
        </w:rPr>
        <w:t xml:space="preserve"> </w:t>
      </w:r>
      <w:r w:rsidRPr="008A06E8">
        <w:rPr>
          <w:rFonts w:ascii="Arial" w:eastAsia="Arial" w:hAnsi="Arial" w:cs="Arial"/>
          <w:color w:val="000000"/>
          <w:sz w:val="20"/>
          <w:szCs w:val="20"/>
        </w:rPr>
        <w:t>(2015). Soil spectroscopy: an alternative to wet chemistry for soil monitoring</w:t>
      </w:r>
      <w:r w:rsidRPr="008A06E8">
        <w:rPr>
          <w:rFonts w:ascii="Arial" w:eastAsia="Arial" w:hAnsi="Arial" w:cs="Arial"/>
          <w:i/>
          <w:iCs/>
          <w:color w:val="000000"/>
          <w:sz w:val="20"/>
          <w:szCs w:val="20"/>
        </w:rPr>
        <w:t xml:space="preserve">. </w:t>
      </w:r>
      <w:r w:rsidRPr="008A06E8">
        <w:rPr>
          <w:rFonts w:ascii="Arial" w:eastAsia="Arial" w:hAnsi="Arial" w:cs="Arial"/>
          <w:color w:val="000000"/>
          <w:sz w:val="20"/>
          <w:szCs w:val="20"/>
        </w:rPr>
        <w:t>Advances in Agronomy</w:t>
      </w:r>
      <w:r w:rsidRPr="008A06E8">
        <w:rPr>
          <w:rFonts w:ascii="Arial" w:eastAsia="Arial" w:hAnsi="Arial" w:cs="Arial"/>
          <w:i/>
          <w:iCs/>
          <w:color w:val="000000"/>
          <w:sz w:val="20"/>
          <w:szCs w:val="20"/>
        </w:rPr>
        <w:t xml:space="preserve">, </w:t>
      </w:r>
      <w:r w:rsidRPr="008A06E8">
        <w:rPr>
          <w:rFonts w:ascii="Arial" w:eastAsia="Arial" w:hAnsi="Arial" w:cs="Arial"/>
          <w:color w:val="000000"/>
          <w:sz w:val="20"/>
          <w:szCs w:val="20"/>
        </w:rPr>
        <w:t xml:space="preserve">132, 139-159. </w:t>
      </w:r>
      <w:hyperlink r:id="rId20">
        <w:r w:rsidRPr="008A06E8">
          <w:rPr>
            <w:rFonts w:ascii="Arial" w:eastAsia="Arial" w:hAnsi="Arial" w:cs="Arial"/>
            <w:color w:val="0000FF"/>
            <w:sz w:val="20"/>
            <w:szCs w:val="20"/>
            <w:u w:val="single"/>
          </w:rPr>
          <w:t>10.1016/bs.agron.2015.02.002</w:t>
        </w:r>
      </w:hyperlink>
    </w:p>
    <w:p w14:paraId="3C4E42C0" w14:textId="77777777" w:rsidR="00D47DD3" w:rsidRDefault="00926C9B">
      <w:pPr>
        <w:pBdr>
          <w:top w:val="nil"/>
          <w:left w:val="nil"/>
          <w:bottom w:val="nil"/>
          <w:right w:val="nil"/>
          <w:between w:val="nil"/>
        </w:pBdr>
        <w:rPr>
          <w:rFonts w:ascii="Arial" w:eastAsia="Arial" w:hAnsi="Arial" w:cs="Arial"/>
          <w:color w:val="000000"/>
        </w:rPr>
      </w:pPr>
      <w:r>
        <w:rPr>
          <w:rFonts w:ascii="Arial" w:eastAsia="Arial" w:hAnsi="Arial" w:cs="Arial"/>
          <w:color w:val="000000"/>
        </w:rPr>
        <w:t>9. Tiwary, A., Mahato, M., Chidar, A., Chandrol, M. K., Shrivastava, M., &amp; Tripathi, M. (2018). Internet of Things (IoT): Research, architectures and applications</w:t>
      </w:r>
      <w:r>
        <w:rPr>
          <w:rFonts w:ascii="Arial" w:eastAsia="Arial" w:hAnsi="Arial" w:cs="Arial"/>
          <w:i/>
          <w:iCs/>
          <w:color w:val="000000"/>
        </w:rPr>
        <w:t>.</w:t>
      </w:r>
      <w:r>
        <w:rPr>
          <w:rFonts w:ascii="Arial" w:eastAsia="Arial" w:hAnsi="Arial" w:cs="Arial"/>
          <w:color w:val="000000"/>
        </w:rPr>
        <w:t xml:space="preserve"> International Journal on Future Revolution in Computer Science &amp; Communication Engineering, 4(3), 23-27.</w:t>
      </w:r>
    </w:p>
    <w:p w14:paraId="2163A548" w14:textId="77777777" w:rsidR="00D47DD3" w:rsidRDefault="00926C9B">
      <w:pPr>
        <w:pBdr>
          <w:top w:val="nil"/>
          <w:left w:val="nil"/>
          <w:bottom w:val="nil"/>
          <w:right w:val="nil"/>
          <w:between w:val="nil"/>
        </w:pBdr>
        <w:jc w:val="both"/>
        <w:rPr>
          <w:rFonts w:ascii="Arial" w:eastAsia="Arial" w:hAnsi="Arial" w:cs="Arial"/>
          <w:color w:val="000000"/>
        </w:rPr>
      </w:pPr>
      <w:r w:rsidRPr="00D13D27">
        <w:rPr>
          <w:rFonts w:ascii="Arial" w:eastAsia="Arial" w:hAnsi="Arial" w:cs="Arial"/>
          <w:color w:val="000000"/>
          <w:lang w:val="es-US"/>
        </w:rPr>
        <w:t xml:space="preserve">10. Nasar, M., &amp; Kausar, M. A. (2019). </w:t>
      </w:r>
      <w:r>
        <w:rPr>
          <w:rFonts w:ascii="Arial" w:eastAsia="Arial" w:hAnsi="Arial" w:cs="Arial"/>
          <w:color w:val="000000"/>
        </w:rPr>
        <w:t xml:space="preserve">Suitability of influxdb database for IoT applications. International Journal of Innovative Technology and Exploring Engineering, 8(10), 1850–1857. </w:t>
      </w:r>
      <w:hyperlink r:id="rId21">
        <w:r>
          <w:rPr>
            <w:rFonts w:ascii="Arial" w:eastAsia="Arial" w:hAnsi="Arial" w:cs="Arial"/>
            <w:color w:val="0000FF"/>
            <w:u w:val="single"/>
          </w:rPr>
          <w:t>10.35940/ijitee.J9225.0881019</w:t>
        </w:r>
      </w:hyperlink>
    </w:p>
    <w:p w14:paraId="06C8735B" w14:textId="1337B689" w:rsidR="00D47DD3" w:rsidRPr="00D4726D" w:rsidRDefault="00926C9B" w:rsidP="00D4726D">
      <w:pPr>
        <w:pStyle w:val="NormalWeb"/>
        <w:spacing w:before="75" w:beforeAutospacing="0" w:after="75" w:afterAutospacing="0"/>
        <w:rPr>
          <w:sz w:val="20"/>
          <w:szCs w:val="20"/>
        </w:rPr>
      </w:pPr>
      <w:r w:rsidRPr="00D4726D">
        <w:rPr>
          <w:rFonts w:ascii="Arial" w:eastAsia="Arial" w:hAnsi="Arial" w:cs="Arial"/>
          <w:color w:val="000000"/>
          <w:sz w:val="20"/>
          <w:szCs w:val="20"/>
        </w:rPr>
        <w:t xml:space="preserve">11. Patel, K. K., Patel, S. M., &amp; Scholar, P. (2016). Internet of things - IoT: Definition, characteristics, architecture, enabling technologies, application and future challenges. </w:t>
      </w:r>
      <w:r w:rsidR="00794208" w:rsidRPr="00D4726D">
        <w:rPr>
          <w:rFonts w:ascii="Arial" w:hAnsi="Arial" w:cs="Arial"/>
          <w:color w:val="000000"/>
          <w:sz w:val="20"/>
          <w:szCs w:val="20"/>
        </w:rPr>
        <w:t>International Journal of Engineering Science and Computing</w:t>
      </w:r>
      <w:r w:rsidRPr="00D4726D">
        <w:rPr>
          <w:rFonts w:ascii="Arial" w:eastAsia="Arial" w:hAnsi="Arial" w:cs="Arial"/>
          <w:color w:val="000000"/>
          <w:sz w:val="20"/>
          <w:szCs w:val="20"/>
        </w:rPr>
        <w:t xml:space="preserve">, 6(5), 6122-6131. </w:t>
      </w:r>
      <w:hyperlink r:id="rId22">
        <w:r w:rsidRPr="00D4726D">
          <w:rPr>
            <w:rFonts w:ascii="Arial" w:eastAsia="Arial" w:hAnsi="Arial" w:cs="Arial"/>
            <w:color w:val="0000FF"/>
            <w:sz w:val="20"/>
            <w:szCs w:val="20"/>
            <w:u w:val="single"/>
          </w:rPr>
          <w:t>10.4010/2016.1482</w:t>
        </w:r>
      </w:hyperlink>
    </w:p>
    <w:p w14:paraId="52FE2660"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12. Paul, P., Sinha, R. R., Aithal, P. S., Saavedra, M. R., Aremu, P. S. B., &amp; Mewada, S. (2020). Internet of Things (IoT) and smart agriculture: With reference to applications and emerging concern. Asian Journal of Electrical Sciences,</w:t>
      </w:r>
      <w:r>
        <w:rPr>
          <w:rFonts w:ascii="Arial" w:eastAsia="Arial" w:hAnsi="Arial" w:cs="Arial"/>
          <w:i/>
          <w:iCs/>
          <w:color w:val="000000"/>
        </w:rPr>
        <w:t xml:space="preserve"> </w:t>
      </w:r>
      <w:r>
        <w:rPr>
          <w:rFonts w:ascii="Arial" w:eastAsia="Arial" w:hAnsi="Arial" w:cs="Arial"/>
          <w:color w:val="000000"/>
        </w:rPr>
        <w:t xml:space="preserve">9(1), 37-44.   </w:t>
      </w:r>
      <w:hyperlink r:id="rId23">
        <w:r>
          <w:rPr>
            <w:rFonts w:ascii="Arial" w:eastAsia="Arial" w:hAnsi="Arial" w:cs="Arial"/>
            <w:color w:val="0000FF"/>
            <w:u w:val="single"/>
          </w:rPr>
          <w:t>10.51983/ajes-2020.9.1.2370</w:t>
        </w:r>
      </w:hyperlink>
    </w:p>
    <w:p w14:paraId="7B13132D"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Gautam, R., Mishra, P., &amp; Kuntal, P. (2020). Soil health monitoring technologies. International Journal of Gender, Science and Technology</w:t>
      </w:r>
      <w:r>
        <w:rPr>
          <w:rFonts w:ascii="Arial" w:eastAsia="Arial" w:hAnsi="Arial" w:cs="Arial"/>
          <w:i/>
          <w:iCs/>
          <w:color w:val="000000"/>
        </w:rPr>
        <w:t>,</w:t>
      </w:r>
      <w:r>
        <w:rPr>
          <w:rFonts w:ascii="Arial" w:eastAsia="Arial" w:hAnsi="Arial" w:cs="Arial"/>
          <w:color w:val="000000"/>
        </w:rPr>
        <w:t xml:space="preserve"> 9(2), 1-13. </w:t>
      </w:r>
      <w:hyperlink r:id="rId24">
        <w:r>
          <w:rPr>
            <w:rFonts w:ascii="Arial" w:eastAsia="Arial" w:hAnsi="Arial" w:cs="Arial"/>
            <w:color w:val="0000FF"/>
            <w:u w:val="single"/>
          </w:rPr>
          <w:t>https://vertexaisearch.cloud.google.com/grounding-api-redirect/AUZIYQEss7oyZ8KnQq_MGYoWtTMy14rpvJTJc97WwjFCd2G4X_qNAMH6BHUPuzj5x4wxZiJgQ3Lpb0SiExr8r01HIBXX3CsNu-f8oNeRwi-ra-ut2DNV2xU6IbxxgvitzjiOLzv87sra8wxVhGAasH0gfOJ56GhmfDu9hsIjMKJBQBf08J-sEfBjUTvjlA==</w:t>
        </w:r>
      </w:hyperlink>
      <w:r>
        <w:rPr>
          <w:rFonts w:ascii="Arial" w:eastAsia="Arial" w:hAnsi="Arial" w:cs="Arial"/>
          <w:color w:val="000000"/>
        </w:rPr>
        <w:t xml:space="preserve"> </w:t>
      </w:r>
    </w:p>
    <w:p w14:paraId="25D3B18A" w14:textId="77777777" w:rsidR="00D47DD3" w:rsidRDefault="00926C9B">
      <w:pPr>
        <w:pBdr>
          <w:top w:val="nil"/>
          <w:left w:val="nil"/>
          <w:bottom w:val="nil"/>
          <w:right w:val="nil"/>
          <w:between w:val="nil"/>
        </w:pBdr>
        <w:jc w:val="both"/>
        <w:rPr>
          <w:rFonts w:ascii="Arial" w:eastAsia="Arial" w:hAnsi="Arial" w:cs="Arial"/>
          <w:color w:val="000000"/>
        </w:rPr>
      </w:pPr>
      <w:r w:rsidRPr="00D13D27">
        <w:rPr>
          <w:rFonts w:ascii="Arial" w:eastAsia="Arial" w:hAnsi="Arial" w:cs="Arial"/>
          <w:color w:val="000000"/>
          <w:lang w:val="es-US"/>
        </w:rPr>
        <w:t xml:space="preserve">14. Penailillo, F., Gutter, K., Vega, R., &amp; Silva, G. C. (2024). </w:t>
      </w:r>
      <w:r>
        <w:rPr>
          <w:rFonts w:ascii="Arial" w:eastAsia="Arial" w:hAnsi="Arial" w:cs="Arial"/>
          <w:color w:val="000000"/>
        </w:rPr>
        <w:t>Transformative technologies in digital agriculture: Leveraging Internet of Things, remote sensing, and artificial intelligence for smart crop management. Journal of Sensor and Actuator Networks</w:t>
      </w:r>
      <w:r>
        <w:rPr>
          <w:rFonts w:ascii="Arial" w:eastAsia="Arial" w:hAnsi="Arial" w:cs="Arial"/>
          <w:i/>
          <w:iCs/>
          <w:color w:val="000000"/>
        </w:rPr>
        <w:t>,</w:t>
      </w:r>
      <w:r>
        <w:rPr>
          <w:rFonts w:ascii="Arial" w:eastAsia="Arial" w:hAnsi="Arial" w:cs="Arial"/>
          <w:color w:val="000000"/>
        </w:rPr>
        <w:t xml:space="preserve"> 13(4), 1-26. </w:t>
      </w:r>
      <w:hyperlink r:id="rId25">
        <w:r>
          <w:rPr>
            <w:rFonts w:ascii="Arial" w:eastAsia="Arial" w:hAnsi="Arial" w:cs="Arial"/>
            <w:color w:val="0000FF"/>
            <w:u w:val="single"/>
          </w:rPr>
          <w:t>10.3390/jsan13040039</w:t>
        </w:r>
      </w:hyperlink>
    </w:p>
    <w:p w14:paraId="454ECF47"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15. Jamali, J. M. A., Bahrami, B., Heidari, A., Allahverdizadeh, P., &amp; Norouzi, F. 2020. IoT architecture. In: Towards the internet of things: Architectures, security, and applications, Springer International Publishing, Singapore. </w:t>
      </w:r>
      <w:hyperlink r:id="rId26">
        <w:r>
          <w:rPr>
            <w:rFonts w:ascii="Arial" w:eastAsia="Arial" w:hAnsi="Arial" w:cs="Arial"/>
            <w:color w:val="0000FF"/>
            <w:u w:val="single"/>
          </w:rPr>
          <w:t>10.1007/978-3-030-18468-1_2</w:t>
        </w:r>
      </w:hyperlink>
      <w:r>
        <w:rPr>
          <w:rFonts w:ascii="Arial" w:eastAsia="Arial" w:hAnsi="Arial" w:cs="Arial"/>
          <w:color w:val="000000"/>
        </w:rPr>
        <w:t xml:space="preserve"> </w:t>
      </w:r>
    </w:p>
    <w:p w14:paraId="7B72AFF4"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16. Farooq, M. S., Riaz, S., Abid, A., Abid, K., &amp; Naeem, M. A. (2019). A survey on the role of IoT in agriculture for the implementation of smart farming. IEEE Access, 7, 156237-156271. </w:t>
      </w:r>
      <w:hyperlink r:id="rId27">
        <w:r>
          <w:rPr>
            <w:rFonts w:ascii="Arial" w:eastAsia="Arial" w:hAnsi="Arial" w:cs="Arial"/>
            <w:color w:val="0000FF"/>
            <w:u w:val="single"/>
          </w:rPr>
          <w:t>10.1109/ACCESS.2019.2949703</w:t>
        </w:r>
      </w:hyperlink>
    </w:p>
    <w:p w14:paraId="79D529AF"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Patil, G. L., Gawande, P. S., &amp; Bag, R. V. (2017). Smart agriculture system based on IoT and its social impact. International Journal of Computer Applications</w:t>
      </w:r>
      <w:r>
        <w:rPr>
          <w:rFonts w:ascii="Arial" w:eastAsia="Arial" w:hAnsi="Arial" w:cs="Arial"/>
          <w:i/>
          <w:iCs/>
          <w:color w:val="000000"/>
        </w:rPr>
        <w:t>,</w:t>
      </w:r>
      <w:r>
        <w:rPr>
          <w:rFonts w:ascii="Arial" w:eastAsia="Arial" w:hAnsi="Arial" w:cs="Arial"/>
          <w:color w:val="000000"/>
        </w:rPr>
        <w:t xml:space="preserve"> 176(1), 1-4.   </w:t>
      </w:r>
      <w:hyperlink r:id="rId28">
        <w:r>
          <w:rPr>
            <w:rFonts w:ascii="Arial" w:eastAsia="Arial" w:hAnsi="Arial" w:cs="Arial"/>
            <w:color w:val="0000FF"/>
            <w:u w:val="single"/>
          </w:rPr>
          <w:t>10.5120/ijca2017915500</w:t>
        </w:r>
      </w:hyperlink>
      <w:r>
        <w:rPr>
          <w:rFonts w:ascii="Arial" w:eastAsia="Arial" w:hAnsi="Arial" w:cs="Arial"/>
          <w:color w:val="000000"/>
        </w:rPr>
        <w:t xml:space="preserve"> </w:t>
      </w:r>
    </w:p>
    <w:p w14:paraId="01AD1D22"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Mahbub, M. 2020. A smart farming concept based on smart embedded electronics, internet of things and wireless sensor network. Internet of Things</w:t>
      </w:r>
      <w:r>
        <w:rPr>
          <w:rFonts w:ascii="Arial" w:eastAsia="Arial" w:hAnsi="Arial" w:cs="Arial"/>
          <w:i/>
          <w:iCs/>
          <w:color w:val="000000"/>
        </w:rPr>
        <w:t>,</w:t>
      </w:r>
      <w:r>
        <w:rPr>
          <w:rFonts w:ascii="Arial" w:eastAsia="Arial" w:hAnsi="Arial" w:cs="Arial"/>
          <w:color w:val="000000"/>
        </w:rPr>
        <w:t xml:space="preserve"> 9, 100161. </w:t>
      </w:r>
      <w:hyperlink r:id="rId29">
        <w:r>
          <w:rPr>
            <w:rFonts w:ascii="Arial" w:eastAsia="Arial" w:hAnsi="Arial" w:cs="Arial"/>
            <w:color w:val="0000FF"/>
            <w:u w:val="single"/>
          </w:rPr>
          <w:t>10.1016/j.iot.2020.100161</w:t>
        </w:r>
      </w:hyperlink>
    </w:p>
    <w:p w14:paraId="69434CE2"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19. Francesca, V., Osvaldo, F., Stefano, P., &amp; Paola, R. P. (2010). Soil moisture measurements: Comparison of instrumentation performances. Journal of Irrigation and Drainage Engineering,</w:t>
      </w:r>
      <w:r>
        <w:rPr>
          <w:rFonts w:ascii="Arial" w:eastAsia="Arial" w:hAnsi="Arial" w:cs="Arial"/>
          <w:b/>
          <w:bCs/>
          <w:color w:val="000000"/>
        </w:rPr>
        <w:t xml:space="preserve"> </w:t>
      </w:r>
      <w:r>
        <w:rPr>
          <w:rFonts w:ascii="Arial" w:eastAsia="Arial" w:hAnsi="Arial" w:cs="Arial"/>
          <w:color w:val="000000"/>
        </w:rPr>
        <w:t xml:space="preserve">136(2), 81-89. </w:t>
      </w:r>
      <w:hyperlink r:id="rId30">
        <w:r>
          <w:rPr>
            <w:rFonts w:ascii="Arial" w:eastAsia="Arial" w:hAnsi="Arial" w:cs="Arial"/>
            <w:color w:val="0000FF"/>
            <w:u w:val="single"/>
          </w:rPr>
          <w:t>10.1061/(ASCE)0733-9437(2010)136:2(81)</w:t>
        </w:r>
      </w:hyperlink>
    </w:p>
    <w:p w14:paraId="55E96866" w14:textId="4B509663" w:rsidR="00D47DD3" w:rsidRPr="00192BE3" w:rsidRDefault="00926C9B">
      <w:pPr>
        <w:pBdr>
          <w:top w:val="nil"/>
          <w:left w:val="nil"/>
          <w:bottom w:val="nil"/>
          <w:right w:val="nil"/>
          <w:between w:val="nil"/>
        </w:pBdr>
        <w:jc w:val="both"/>
        <w:rPr>
          <w:rFonts w:ascii="Arial" w:eastAsia="Arial" w:hAnsi="Arial" w:cs="Arial"/>
          <w:i/>
          <w:iCs/>
          <w:color w:val="000000"/>
        </w:rPr>
      </w:pPr>
      <w:r>
        <w:rPr>
          <w:rFonts w:ascii="Arial" w:eastAsia="Arial" w:hAnsi="Arial" w:cs="Arial"/>
          <w:color w:val="000000"/>
        </w:rPr>
        <w:t xml:space="preserve">20. Zazueta, F. S., &amp; Xin, J. (1994). Soil moisture sensors. </w:t>
      </w:r>
      <w:r w:rsidR="00192BE3" w:rsidRPr="00192BE3">
        <w:rPr>
          <w:rFonts w:ascii="Arial" w:eastAsia="Arial" w:hAnsi="Arial" w:cs="Arial"/>
          <w:color w:val="000000"/>
        </w:rPr>
        <w:t>Florida Cooperative Extension Service, Bulletin 292</w:t>
      </w:r>
      <w:r w:rsidRPr="00192BE3">
        <w:rPr>
          <w:rFonts w:ascii="Arial" w:eastAsia="Arial" w:hAnsi="Arial" w:cs="Arial"/>
          <w:color w:val="000000"/>
        </w:rPr>
        <w:t xml:space="preserve">, </w:t>
      </w:r>
      <w:r w:rsidR="006E04DD">
        <w:rPr>
          <w:rFonts w:ascii="Arial" w:eastAsia="Arial" w:hAnsi="Arial" w:cs="Arial"/>
          <w:color w:val="000000"/>
        </w:rPr>
        <w:t>1-11.</w:t>
      </w:r>
      <w:r>
        <w:rPr>
          <w:rFonts w:ascii="Arial" w:eastAsia="Arial" w:hAnsi="Arial" w:cs="Arial"/>
          <w:color w:val="000000"/>
        </w:rPr>
        <w:t xml:space="preserve"> </w:t>
      </w:r>
      <w:hyperlink r:id="rId31">
        <w:r>
          <w:rPr>
            <w:rFonts w:ascii="Arial" w:eastAsia="Arial" w:hAnsi="Arial" w:cs="Arial"/>
            <w:color w:val="0000FF"/>
            <w:u w:val="single"/>
          </w:rPr>
          <w:t>http://www.p2pays.org/ref/08/07697.pdf</w:t>
        </w:r>
      </w:hyperlink>
      <w:r>
        <w:rPr>
          <w:rFonts w:ascii="Arial" w:eastAsia="Arial" w:hAnsi="Arial" w:cs="Arial"/>
          <w:color w:val="000000"/>
        </w:rPr>
        <w:t xml:space="preserve"> </w:t>
      </w:r>
    </w:p>
    <w:p w14:paraId="7656E9EB"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21. Kashyap, B. &amp; Kumar, R. (2021). Sensing methodologies in agriculture for soil moisture and nutrient monitoring. IEEE Access, 9, 14095-14121.  </w:t>
      </w:r>
      <w:hyperlink r:id="rId32">
        <w:r>
          <w:rPr>
            <w:rFonts w:ascii="Arial" w:eastAsia="Arial" w:hAnsi="Arial" w:cs="Arial"/>
            <w:color w:val="0000FF"/>
            <w:u w:val="single"/>
          </w:rPr>
          <w:t>10.1109/ACCESS.2021.3052478</w:t>
        </w:r>
      </w:hyperlink>
    </w:p>
    <w:p w14:paraId="7F58C68A" w14:textId="6855D638"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22. Futagawa, M., Iwasaki, T., Takao, H., Ishida, M., &amp; Sawada, K. (2009). Fabrication of a multimodal sensor with pH, EC and temperature sensing areas for agriculture application. Sensors, 9(1), 4244-5335.</w:t>
      </w:r>
      <w:r w:rsidR="00D13D27">
        <w:rPr>
          <w:rFonts w:ascii="Arial" w:eastAsia="Arial" w:hAnsi="Arial" w:cs="Arial"/>
          <w:color w:val="000000"/>
        </w:rPr>
        <w:t xml:space="preserve"> </w:t>
      </w:r>
      <w:hyperlink r:id="rId33" w:history="1">
        <w:r w:rsidR="00D13D27" w:rsidRPr="008C09CE">
          <w:rPr>
            <w:rStyle w:val="Hyperlink"/>
            <w:rFonts w:ascii="Arial" w:eastAsia="Arial" w:hAnsi="Arial" w:cs="Arial"/>
          </w:rPr>
          <w:t>https://warwick.ac.uk/fac/sci/eng/research/grouplist/sensorsanddevices/mbl/database/ieeesensors09/PDFs/Papers/462_5183.pdf</w:t>
        </w:r>
      </w:hyperlink>
      <w:r w:rsidR="00D13D27">
        <w:rPr>
          <w:rFonts w:ascii="Arial" w:eastAsia="Arial" w:hAnsi="Arial" w:cs="Arial"/>
          <w:color w:val="000000"/>
        </w:rPr>
        <w:t xml:space="preserve"> </w:t>
      </w:r>
      <w:r>
        <w:rPr>
          <w:rFonts w:ascii="Arial" w:eastAsia="Arial" w:hAnsi="Arial" w:cs="Arial"/>
          <w:color w:val="000000"/>
        </w:rPr>
        <w:t xml:space="preserve">  </w:t>
      </w:r>
    </w:p>
    <w:p w14:paraId="0BC5AB2D"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23. Patil, V. K., Jadhav, A., Gavhane, S., and Kapare, V. 2021. IoT based real time soil nutrients detection. In: 2021 IEEE International Conference on Emerging Smart Computing and Informatics (ESCI)</w:t>
      </w:r>
      <w:r>
        <w:rPr>
          <w:rFonts w:ascii="Arial" w:eastAsia="Arial" w:hAnsi="Arial" w:cs="Arial"/>
          <w:i/>
          <w:iCs/>
          <w:color w:val="000000"/>
        </w:rPr>
        <w:t xml:space="preserve">, </w:t>
      </w:r>
      <w:r>
        <w:rPr>
          <w:rFonts w:ascii="Arial" w:eastAsia="Arial" w:hAnsi="Arial" w:cs="Arial"/>
          <w:color w:val="000000"/>
        </w:rPr>
        <w:t xml:space="preserve">5-7 March 2021, Pune, India, pp. 737-742. </w:t>
      </w:r>
      <w:hyperlink r:id="rId34">
        <w:r>
          <w:rPr>
            <w:rFonts w:ascii="Arial" w:eastAsia="Arial" w:hAnsi="Arial" w:cs="Arial"/>
            <w:color w:val="0000FF"/>
            <w:u w:val="single"/>
          </w:rPr>
          <w:t>10.1109/ESCI50559.2021.9396860</w:t>
        </w:r>
      </w:hyperlink>
    </w:p>
    <w:p w14:paraId="39448762"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24. Murray, S. C. (2018). Optical sensors advancing precision in agricultural production. </w:t>
      </w:r>
    </w:p>
    <w:p w14:paraId="150A909F"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i/>
          <w:iCs/>
          <w:color w:val="000000"/>
        </w:rPr>
        <w:t>Photon Spectra,</w:t>
      </w:r>
      <w:r>
        <w:rPr>
          <w:rFonts w:ascii="Arial" w:eastAsia="Arial" w:hAnsi="Arial" w:cs="Arial"/>
          <w:color w:val="000000"/>
        </w:rPr>
        <w:t xml:space="preserve"> 51(6), 1-48.</w:t>
      </w:r>
      <w:r>
        <w:t xml:space="preserve"> </w:t>
      </w:r>
      <w:hyperlink r:id="rId35">
        <w:r>
          <w:rPr>
            <w:rFonts w:ascii="Arial" w:eastAsia="Arial" w:hAnsi="Arial" w:cs="Arial"/>
            <w:color w:val="0000FF"/>
            <w:u w:val="single"/>
          </w:rPr>
          <w:t>https://www.photonics.com/Articles/Optical_Sensors_Advancing_Precision_in/a61988</w:t>
        </w:r>
      </w:hyperlink>
      <w:r>
        <w:rPr>
          <w:rFonts w:ascii="Arial" w:eastAsia="Arial" w:hAnsi="Arial" w:cs="Arial"/>
          <w:color w:val="000000"/>
        </w:rPr>
        <w:t xml:space="preserve"> </w:t>
      </w:r>
    </w:p>
    <w:p w14:paraId="515AEB51"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 Othaman, N. N. C., Isa, M. M., Hussin, R., Ismail, R. C., Naziri, S. M., Murad, S. A. Z., Harun, A., &amp; Ahmad, M. I. (2021). Development of soil electrical conductivity (EC) sensing system in paddy field. Journal of Physics</w:t>
      </w:r>
      <w:r>
        <w:rPr>
          <w:rFonts w:ascii="Arial" w:eastAsia="Arial" w:hAnsi="Arial" w:cs="Arial"/>
          <w:i/>
          <w:iCs/>
          <w:color w:val="000000"/>
        </w:rPr>
        <w:t>,</w:t>
      </w:r>
      <w:r>
        <w:rPr>
          <w:rFonts w:ascii="Arial" w:eastAsia="Arial" w:hAnsi="Arial" w:cs="Arial"/>
          <w:color w:val="000000"/>
        </w:rPr>
        <w:t xml:space="preserve"> 1755(1), 1-10. </w:t>
      </w:r>
      <w:hyperlink r:id="rId36">
        <w:r>
          <w:rPr>
            <w:rFonts w:ascii="Arial" w:eastAsia="Arial" w:hAnsi="Arial" w:cs="Arial"/>
            <w:color w:val="0000FF"/>
            <w:u w:val="single"/>
          </w:rPr>
          <w:t>10.1088/1742-6596/1755/1/012005</w:t>
        </w:r>
      </w:hyperlink>
      <w:r>
        <w:rPr>
          <w:rFonts w:ascii="Arial" w:eastAsia="Arial" w:hAnsi="Arial" w:cs="Arial"/>
          <w:color w:val="000000"/>
        </w:rPr>
        <w:t xml:space="preserve"> </w:t>
      </w:r>
    </w:p>
    <w:p w14:paraId="28026E2D" w14:textId="71D10463" w:rsidR="00D47DD3" w:rsidRPr="00554A08" w:rsidRDefault="00926C9B">
      <w:pPr>
        <w:pBdr>
          <w:top w:val="nil"/>
          <w:left w:val="nil"/>
          <w:bottom w:val="nil"/>
          <w:right w:val="nil"/>
          <w:between w:val="nil"/>
        </w:pBdr>
        <w:jc w:val="both"/>
        <w:rPr>
          <w:rFonts w:ascii="Arial" w:eastAsia="Arial" w:hAnsi="Arial" w:cs="Arial"/>
          <w:color w:val="000000"/>
        </w:rPr>
      </w:pPr>
      <w:r w:rsidRPr="00554A08">
        <w:rPr>
          <w:rFonts w:ascii="Arial" w:eastAsia="Arial" w:hAnsi="Arial" w:cs="Arial"/>
          <w:color w:val="000000"/>
        </w:rPr>
        <w:t xml:space="preserve">26. </w:t>
      </w:r>
      <w:r w:rsidR="00554A08" w:rsidRPr="00554A08">
        <w:rPr>
          <w:rFonts w:ascii="Arial" w:eastAsia="Arial" w:hAnsi="Arial" w:cs="Arial"/>
          <w:color w:val="000000"/>
        </w:rPr>
        <w:t>Aarif KO, M., Alam, A., &amp; Hotak, Y. (2025). Smart sensor technologies shaping the future of precision agriculture: Recent advances and future outlooks. </w:t>
      </w:r>
      <w:r w:rsidR="00554A08" w:rsidRPr="00554A08">
        <w:rPr>
          <w:rFonts w:ascii="Arial" w:eastAsia="Arial" w:hAnsi="Arial" w:cs="Arial"/>
          <w:i/>
          <w:iCs/>
          <w:color w:val="000000"/>
        </w:rPr>
        <w:t>Journal of Sensors</w:t>
      </w:r>
      <w:r w:rsidR="00554A08" w:rsidRPr="00554A08">
        <w:rPr>
          <w:rFonts w:ascii="Arial" w:eastAsia="Arial" w:hAnsi="Arial" w:cs="Arial"/>
          <w:color w:val="000000"/>
        </w:rPr>
        <w:t>, </w:t>
      </w:r>
      <w:r w:rsidR="00554A08" w:rsidRPr="00554A08">
        <w:rPr>
          <w:rFonts w:ascii="Arial" w:eastAsia="Arial" w:hAnsi="Arial" w:cs="Arial"/>
          <w:i/>
          <w:iCs/>
          <w:color w:val="000000"/>
        </w:rPr>
        <w:t>2025</w:t>
      </w:r>
      <w:r w:rsidR="00554A08" w:rsidRPr="00554A08">
        <w:rPr>
          <w:rFonts w:ascii="Arial" w:eastAsia="Arial" w:hAnsi="Arial" w:cs="Arial"/>
          <w:color w:val="000000"/>
        </w:rPr>
        <w:t>(1), 2460098.</w:t>
      </w:r>
      <w:r w:rsidR="00554A08">
        <w:rPr>
          <w:rFonts w:ascii="Arial" w:eastAsia="Arial" w:hAnsi="Arial" w:cs="Arial"/>
          <w:color w:val="000000"/>
        </w:rPr>
        <w:t xml:space="preserve"> </w:t>
      </w:r>
      <w:hyperlink r:id="rId37" w:history="1">
        <w:r w:rsidR="00554A08" w:rsidRPr="00554A08">
          <w:rPr>
            <w:rStyle w:val="Hyperlink"/>
            <w:rFonts w:ascii="Arial" w:eastAsia="Arial" w:hAnsi="Arial" w:cs="Arial"/>
          </w:rPr>
          <w:t>https://doi.org/10.1155/js/2460098</w:t>
        </w:r>
      </w:hyperlink>
      <w:r w:rsidR="00554A08" w:rsidRPr="00554A08">
        <w:rPr>
          <w:rFonts w:ascii="Arial" w:eastAsia="Arial" w:hAnsi="Arial" w:cs="Arial"/>
          <w:color w:val="000000"/>
        </w:rPr>
        <w:t xml:space="preserve">  </w:t>
      </w:r>
    </w:p>
    <w:p w14:paraId="00496F78"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27. Bapat, V., Kale, P., Shinde, V., Deshpande, N., &amp; Shaligram, A. (2017). WSN application for crop protection to divert animal intrusions in the agricultural land. Computers and Electronics in Agriculture, 133, 88-96.  </w:t>
      </w:r>
      <w:hyperlink r:id="rId38">
        <w:r>
          <w:rPr>
            <w:rFonts w:ascii="Arial" w:eastAsia="Arial" w:hAnsi="Arial" w:cs="Arial"/>
            <w:color w:val="0000FF"/>
            <w:u w:val="single"/>
          </w:rPr>
          <w:t>10.1016/j.compag.2016.12.007</w:t>
        </w:r>
      </w:hyperlink>
    </w:p>
    <w:p w14:paraId="1C460E23" w14:textId="54231B9E"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28. Swathi, K., Sandeep, T. U., &amp; Ramani, A. R. (2018). Performance analysis of microcontrollers used in IoT technology. International Journal of Scientific Research in Science, Engineering and Technology, 4(4), 1268-1273.</w:t>
      </w:r>
      <w:r w:rsidR="00D13D27">
        <w:rPr>
          <w:rFonts w:ascii="Arial" w:eastAsia="Arial" w:hAnsi="Arial" w:cs="Arial"/>
          <w:color w:val="000000"/>
        </w:rPr>
        <w:t xml:space="preserve"> </w:t>
      </w:r>
      <w:hyperlink r:id="rId39" w:history="1">
        <w:r w:rsidR="00D13D27" w:rsidRPr="00491BB6">
          <w:rPr>
            <w:rStyle w:val="Hyperlink"/>
            <w:rFonts w:ascii="Arial" w:eastAsia="Arial" w:hAnsi="Arial" w:cs="Arial"/>
          </w:rPr>
          <w:t>https://d1wqtxts1xzle7.cloudfront.net/57034626/4357-libre.pdf?1532061312=&amp;response-content-disposition=inline%3B+filename%3DPerformance_Analysis_of_Microcontrollers.pdf&amp;Expires=1764584267&amp;Signature=PF-U~70SrTLINWW8-ML9~wVKL9BIEwyvlowzyInyJDMk37B3ixp8JYue4qmk3l7DlzIPmFT-1h-hFDf92aCOzBLPLsCIBd4dLCU2GIt-ReXflZlKeQ6sv0Y6nwD1zVn2feowpkwKM6eMNDihIFE-~oJ7diL02gHmczhleGoNquhGFRwaV2yHJHIGXI3TmMGpt4fnA~sHNc5xuX1mjRpF3VXdDmyJZGnI70J0l5U-iPN4VXiE72BiNX0Pm2cbLdpOFLVoC-F503DlD-cBf43hjeVqAWn6amYDdgD4Z1jZHEtYkFLsg8jVYdgtE-6hJawv1HAlQD1sytbFHyFVjZ2YyA__&amp;Key-Pair-Id=APKAJLOHF5GGSLRBV4ZA</w:t>
        </w:r>
      </w:hyperlink>
      <w:r w:rsidR="00D13D27">
        <w:rPr>
          <w:rFonts w:ascii="Arial" w:eastAsia="Arial" w:hAnsi="Arial" w:cs="Arial"/>
          <w:color w:val="000000"/>
        </w:rPr>
        <w:t xml:space="preserve"> </w:t>
      </w:r>
      <w:r>
        <w:rPr>
          <w:rFonts w:ascii="Arial" w:eastAsia="Arial" w:hAnsi="Arial" w:cs="Arial"/>
          <w:color w:val="000000"/>
        </w:rPr>
        <w:t xml:space="preserve">  </w:t>
      </w:r>
    </w:p>
    <w:p w14:paraId="46990964"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29. Nakhuva, B., &amp; Champaneria, T. (2015). Study of various internet of things platforms. International Journal of Computer Science and Engineering Survey, 6(6), 61-74.  </w:t>
      </w:r>
      <w:hyperlink r:id="rId40">
        <w:r>
          <w:rPr>
            <w:rFonts w:ascii="Arial" w:eastAsia="Arial" w:hAnsi="Arial" w:cs="Arial"/>
            <w:color w:val="0000FF"/>
            <w:u w:val="single"/>
          </w:rPr>
          <w:t>10.5121/ijcses.2015.6605</w:t>
        </w:r>
      </w:hyperlink>
    </w:p>
    <w:p w14:paraId="780A1DC9" w14:textId="6CCA5B2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30. Pasha, S. (2016). Thing Speak based sensing and monitoring system for IoT with Matlab Analysis.</w:t>
      </w:r>
      <w:r>
        <w:t xml:space="preserve"> </w:t>
      </w:r>
      <w:r>
        <w:rPr>
          <w:rFonts w:ascii="Arial" w:eastAsia="Arial" w:hAnsi="Arial" w:cs="Arial"/>
          <w:color w:val="000000"/>
        </w:rPr>
        <w:t>International Journal of New Technology and Research, 2(6), 19-23.</w:t>
      </w:r>
      <w:r w:rsidR="00D13D27">
        <w:rPr>
          <w:rFonts w:ascii="Arial" w:eastAsia="Arial" w:hAnsi="Arial" w:cs="Arial"/>
          <w:color w:val="000000"/>
        </w:rPr>
        <w:t xml:space="preserve"> </w:t>
      </w:r>
      <w:hyperlink r:id="rId41" w:history="1">
        <w:r w:rsidR="00D13D27" w:rsidRPr="00491BB6">
          <w:rPr>
            <w:rStyle w:val="Hyperlink"/>
            <w:rFonts w:ascii="Arial" w:eastAsia="Arial" w:hAnsi="Arial" w:cs="Arial"/>
          </w:rPr>
          <w:t>https://d1wqtxts1xzle7.cloudfront.net/51092507/IJNTR02060018-libre.pdf?1482938841=&amp;response-content-disposition=inline%3B+filename%3DThingspeak_Based_Sensing_and_Monitoring.pdf&amp;Expires=1764584299&amp;Signature=IRBuYs8d1KYFSeXMepUXSQT9tcEKVt27YpQVN3nbJgLmx~sFxc85mClatc3jeiSIYjHc-UWUDMSq5nguwnC0eDnsnczVps5o1lKh60L3zai~dilfAKsOdiAbtweBmlDh6NsQIvTb5723wsY~rE5kLPk-3D2PS-nf0LFQP-gtWyuGUueLdEUvZOHhXPDBkuZUyaPjUn7WzVUXVzAGQrlIvkL71LALvPpKHMrJDCs1GQgfNybgMnCayEXH7p0lw5PBXD3xteZ5eKSqmmPv6vc6y~GHBSRnHb4M4rEEvmGRWkJP~a~OpLwlTFmqIdckKNLdzeTKWLHtWDv2OSZoUdTR0Q__&amp;Key-Pair-Id=APKAJLOHF5GGSLRBV4ZA</w:t>
        </w:r>
      </w:hyperlink>
      <w:r w:rsidR="00D13D27">
        <w:rPr>
          <w:rFonts w:ascii="Arial" w:eastAsia="Arial" w:hAnsi="Arial" w:cs="Arial"/>
          <w:color w:val="000000"/>
        </w:rPr>
        <w:t xml:space="preserve"> </w:t>
      </w:r>
      <w:r>
        <w:rPr>
          <w:rFonts w:ascii="Arial" w:eastAsia="Arial" w:hAnsi="Arial" w:cs="Arial"/>
          <w:color w:val="000000"/>
        </w:rPr>
        <w:t xml:space="preserve">  </w:t>
      </w:r>
    </w:p>
    <w:p w14:paraId="3725ADC4"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31. Barapatre, P., &amp; Patel, J. N. (2019). Determination of soil moisture using various sensors for irrigation water management. International Journal of Innovative Technology and Exploring Engineering, 8(7), 576-582. </w:t>
      </w:r>
      <w:hyperlink r:id="rId42">
        <w:r>
          <w:rPr>
            <w:rFonts w:ascii="Arial" w:eastAsia="Arial" w:hAnsi="Arial" w:cs="Arial"/>
            <w:color w:val="0000FF"/>
            <w:u w:val="single"/>
          </w:rPr>
          <w:t>https://vertexaisearch.cloud.google.com/grounding-api-redirect/AUZIYQHMFdQaXZHmR4itGuIkCCIrsNeeoLwEqzdqF3bv14sj--xGk0YEQGDYufRpuvnCTBl72bdWIj3h0CQV80KcbPKTSCmunPgP6nrcpeqqnBmhGtM42rd-1lz0j9BffI-ACYzk5k3JcpD-bDH5Eoe61ur6M58p_ErVYgRwZD49XdtJbAdW</w:t>
        </w:r>
      </w:hyperlink>
      <w:r>
        <w:rPr>
          <w:rFonts w:ascii="Arial" w:eastAsia="Arial" w:hAnsi="Arial" w:cs="Arial"/>
          <w:color w:val="000000"/>
        </w:rPr>
        <w:t xml:space="preserve"> </w:t>
      </w:r>
    </w:p>
    <w:p w14:paraId="3B881AE2"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32. Saikia, D., &amp; Khatoon, R. (2022). Smart monitoring of soil parameters based on IoT. International Journal of Advanced Technology and Engineering Exploration, 9(88), 401-412.   </w:t>
      </w:r>
      <w:hyperlink r:id="rId43">
        <w:r>
          <w:rPr>
            <w:rFonts w:ascii="Arial" w:eastAsia="Arial" w:hAnsi="Arial" w:cs="Arial"/>
            <w:color w:val="0000FF"/>
            <w:u w:val="single"/>
          </w:rPr>
          <w:t>10.19101/IJATEE.2021.874650</w:t>
        </w:r>
      </w:hyperlink>
    </w:p>
    <w:p w14:paraId="6F7C3268"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33. Ezhilazhahi, A. M. and Bhuvaneswari, P. T. V. 2017. IoT enabled plant soil moisture monitoring using wireless sensor networks. In:</w:t>
      </w:r>
      <w:r>
        <w:rPr>
          <w:rFonts w:ascii="Arial" w:eastAsia="Arial" w:hAnsi="Arial" w:cs="Arial"/>
          <w:i/>
          <w:iCs/>
          <w:color w:val="000000"/>
        </w:rPr>
        <w:t xml:space="preserve"> </w:t>
      </w:r>
      <w:r>
        <w:rPr>
          <w:rFonts w:ascii="Arial" w:eastAsia="Arial" w:hAnsi="Arial" w:cs="Arial"/>
          <w:color w:val="000000"/>
        </w:rPr>
        <w:t>2017 IEEE Third International Conference on Sensing, Signal Processing and Security (ICSSS), 04-05 May 2017, Chennai, India</w:t>
      </w:r>
      <w:r>
        <w:rPr>
          <w:rFonts w:ascii="Arial" w:eastAsia="Arial" w:hAnsi="Arial" w:cs="Arial"/>
          <w:i/>
          <w:iCs/>
          <w:color w:val="000000"/>
        </w:rPr>
        <w:t>,</w:t>
      </w:r>
      <w:r>
        <w:rPr>
          <w:rFonts w:ascii="Arial" w:eastAsia="Arial" w:hAnsi="Arial" w:cs="Arial"/>
          <w:color w:val="000000"/>
        </w:rPr>
        <w:t xml:space="preserve"> pp. 345-349.    </w:t>
      </w:r>
      <w:hyperlink r:id="rId44">
        <w:r>
          <w:rPr>
            <w:rFonts w:ascii="Arial" w:eastAsia="Arial" w:hAnsi="Arial" w:cs="Arial"/>
            <w:color w:val="0000FF"/>
            <w:u w:val="single"/>
          </w:rPr>
          <w:t>10.1109/SSPS.2017.8071618</w:t>
        </w:r>
      </w:hyperlink>
    </w:p>
    <w:p w14:paraId="0AA6A59D"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 Wu, Y., Yang, Z., &amp; Liu, Y. (2023). Internet of things based multiple sensor monitoring system for soil information diagnosis using a smartphone. Micromachines</w:t>
      </w:r>
      <w:r>
        <w:rPr>
          <w:rFonts w:ascii="Arial" w:eastAsia="Arial" w:hAnsi="Arial" w:cs="Arial"/>
          <w:i/>
          <w:iCs/>
          <w:color w:val="000000"/>
        </w:rPr>
        <w:t>,</w:t>
      </w:r>
      <w:r>
        <w:rPr>
          <w:rFonts w:ascii="Arial" w:eastAsia="Arial" w:hAnsi="Arial" w:cs="Arial"/>
          <w:color w:val="000000"/>
        </w:rPr>
        <w:t xml:space="preserve"> 14(7), 1395.  </w:t>
      </w:r>
      <w:hyperlink r:id="rId45">
        <w:r>
          <w:rPr>
            <w:rFonts w:ascii="Arial" w:eastAsia="Arial" w:hAnsi="Arial" w:cs="Arial"/>
            <w:color w:val="0000FF"/>
            <w:u w:val="single"/>
          </w:rPr>
          <w:t>10.3390/mi14071395</w:t>
        </w:r>
      </w:hyperlink>
    </w:p>
    <w:p w14:paraId="362C25D1"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35. Deshpande, G., Goswami, M., Kolhe, J., Khandagale, V., Khope, D., Patel, G., Doijad, R., Mujumdar, M., Singh, B.B., &amp; Ganeshi, N. (2022). IoT-based low-cost soil moisture and soil temperature monitoring system.  arXiv, 2206.07488.  </w:t>
      </w:r>
      <w:hyperlink r:id="rId46">
        <w:r>
          <w:rPr>
            <w:rFonts w:ascii="Arial" w:eastAsia="Arial" w:hAnsi="Arial" w:cs="Arial"/>
            <w:color w:val="0000FF"/>
            <w:u w:val="single"/>
          </w:rPr>
          <w:t>https://arxiv.org/abs/2206.07488</w:t>
        </w:r>
      </w:hyperlink>
      <w:r>
        <w:rPr>
          <w:rFonts w:ascii="Arial" w:eastAsia="Arial" w:hAnsi="Arial" w:cs="Arial"/>
          <w:color w:val="000000"/>
        </w:rPr>
        <w:t xml:space="preserve"> </w:t>
      </w:r>
    </w:p>
    <w:p w14:paraId="56B39C17" w14:textId="77777777" w:rsidR="00D47DD3" w:rsidRDefault="00926C9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36. Aarthi, R., Sivakumar, D., &amp; Mariappan, V. (2023). Smart soil property analysis using IoT: A case study implementation in backyard gardening. Procedia Computer Science, 218, 2842-2851. </w:t>
      </w:r>
      <w:hyperlink r:id="rId47">
        <w:r>
          <w:rPr>
            <w:rFonts w:ascii="Arial" w:eastAsia="Arial" w:hAnsi="Arial" w:cs="Arial"/>
            <w:color w:val="0000FF"/>
            <w:u w:val="single"/>
          </w:rPr>
          <w:t>10.1016/j.procs.2023.01.255</w:t>
        </w:r>
      </w:hyperlink>
      <w:r>
        <w:rPr>
          <w:rFonts w:ascii="Arial" w:eastAsia="Arial" w:hAnsi="Arial" w:cs="Arial"/>
          <w:color w:val="000000"/>
        </w:rPr>
        <w:t xml:space="preserve"> </w:t>
      </w:r>
    </w:p>
    <w:p w14:paraId="4377FE0A" w14:textId="6D305166"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 Bhavani, T. S. T., &amp; Begum, S. 2017. Agriculture productivity enhancement system using IoT. International Journal of Theoretical and Applied Mechanics,</w:t>
      </w:r>
      <w:r>
        <w:rPr>
          <w:rFonts w:ascii="Arial" w:eastAsia="Arial" w:hAnsi="Arial" w:cs="Arial"/>
          <w:i/>
          <w:iCs/>
          <w:color w:val="000000"/>
        </w:rPr>
        <w:t xml:space="preserve"> </w:t>
      </w:r>
      <w:r>
        <w:rPr>
          <w:rFonts w:ascii="Arial" w:eastAsia="Arial" w:hAnsi="Arial" w:cs="Arial"/>
          <w:color w:val="000000"/>
        </w:rPr>
        <w:t>12(3), 543-554.</w:t>
      </w:r>
      <w:r w:rsidR="00D13D27">
        <w:rPr>
          <w:rFonts w:ascii="Arial" w:eastAsia="Arial" w:hAnsi="Arial" w:cs="Arial"/>
          <w:color w:val="000000"/>
        </w:rPr>
        <w:t xml:space="preserve"> </w:t>
      </w:r>
      <w:hyperlink r:id="rId48" w:history="1">
        <w:r w:rsidR="00D13D27" w:rsidRPr="00491BB6">
          <w:rPr>
            <w:rStyle w:val="Hyperlink"/>
            <w:rFonts w:ascii="Arial" w:eastAsia="Arial" w:hAnsi="Arial" w:cs="Arial"/>
          </w:rPr>
          <w:t>https://www.ripublication.com/ijtam17/ijtamv12n3_15.pdf</w:t>
        </w:r>
      </w:hyperlink>
      <w:r w:rsidR="00D13D27">
        <w:rPr>
          <w:rFonts w:ascii="Arial" w:eastAsia="Arial" w:hAnsi="Arial" w:cs="Arial"/>
          <w:color w:val="000000"/>
        </w:rPr>
        <w:t xml:space="preserve"> </w:t>
      </w:r>
      <w:r>
        <w:rPr>
          <w:rFonts w:ascii="Arial" w:eastAsia="Arial" w:hAnsi="Arial" w:cs="Arial"/>
          <w:color w:val="000000"/>
        </w:rPr>
        <w:t xml:space="preserve"> </w:t>
      </w:r>
    </w:p>
    <w:p w14:paraId="6D599DBF"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38.  Keswani, B., Mohapatra, A. G., Mohanty, A., Khanna, A., Rodrigues, J. J., Gupta, D., &amp; De Albuquerque, V. H. C. (2019). Adapting weather conditions based IoT enabled smart irrigation technique in precision agriculture mechanisms. Neural Computing and Applications, 31, 277-292. </w:t>
      </w:r>
      <w:hyperlink r:id="rId49">
        <w:r>
          <w:rPr>
            <w:rFonts w:ascii="Arial" w:eastAsia="Arial" w:hAnsi="Arial" w:cs="Arial"/>
            <w:color w:val="0000FF"/>
            <w:u w:val="single"/>
          </w:rPr>
          <w:t>10.1007/s00521-018-3737-1</w:t>
        </w:r>
      </w:hyperlink>
    </w:p>
    <w:p w14:paraId="2205999B"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39. Jha, R. K., Kumar, S., Joshi, K., and Pandey, R. 2017. Field monitoring using IoT in agriculture. In: 2017 IEEE International conference on intelligent computing, instrumentation and control technologies (ICICICT), 06-07 July 2017, Kerala, India, pp. 1417-1420. </w:t>
      </w:r>
      <w:hyperlink r:id="rId50">
        <w:r>
          <w:rPr>
            <w:rFonts w:ascii="Arial" w:eastAsia="Arial" w:hAnsi="Arial" w:cs="Arial"/>
            <w:color w:val="0000FF"/>
            <w:u w:val="single"/>
          </w:rPr>
          <w:t>10.1109/ICICICT1.2017.8342777</w:t>
        </w:r>
      </w:hyperlink>
    </w:p>
    <w:p w14:paraId="4BE29478"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40. Chew, K. M., Tan, S. C. W., Loh, G. C. W., Bundan, N., and Yiiong, S. P. 2020. IoT soil moisture monitoring and irrigation system development. In: ICSCA '20: Proceedings of the 2020 9th International Conference on Software and Computer Applications, 12 July 2024, New York.  Association for Computing Machinery, New York, pp. 247-252.   </w:t>
      </w:r>
      <w:hyperlink r:id="rId51">
        <w:r>
          <w:rPr>
            <w:rFonts w:ascii="Arial" w:eastAsia="Arial" w:hAnsi="Arial" w:cs="Arial"/>
            <w:color w:val="0000FF"/>
            <w:u w:val="single"/>
          </w:rPr>
          <w:t>10.1145/3384544.3384595</w:t>
        </w:r>
      </w:hyperlink>
    </w:p>
    <w:p w14:paraId="4E668C2B" w14:textId="77777777" w:rsidR="00D47DD3" w:rsidRPr="00D13D27" w:rsidRDefault="00926C9B">
      <w:pPr>
        <w:pBdr>
          <w:top w:val="nil"/>
          <w:left w:val="nil"/>
          <w:bottom w:val="nil"/>
          <w:right w:val="nil"/>
          <w:between w:val="nil"/>
        </w:pBdr>
        <w:jc w:val="both"/>
        <w:rPr>
          <w:rFonts w:ascii="Arial" w:eastAsia="Arial" w:hAnsi="Arial" w:cs="Arial"/>
          <w:color w:val="000000"/>
          <w:lang w:val="es-US"/>
        </w:rPr>
      </w:pPr>
      <w:r>
        <w:rPr>
          <w:rFonts w:ascii="Arial" w:eastAsia="Arial" w:hAnsi="Arial" w:cs="Arial"/>
          <w:color w:val="000000"/>
        </w:rPr>
        <w:t xml:space="preserve">41. Mat, I., Kassim, M. R. M., Harun, A. N., and Yusoff, I. M. 2016. IoT in precision agriculture applications using wireless moisture sensor network. In: 2016 IEEE Conference on Open Systems (ICOS), 10-12 October 2016, Langkawi, Malaysia, pp. 24-29.   </w:t>
      </w:r>
      <w:hyperlink r:id="rId52">
        <w:r w:rsidRPr="00D13D27">
          <w:rPr>
            <w:rFonts w:ascii="Arial" w:eastAsia="Arial" w:hAnsi="Arial" w:cs="Arial"/>
            <w:color w:val="0000FF"/>
            <w:u w:val="single"/>
            <w:lang w:val="es-US"/>
          </w:rPr>
          <w:t>10.1109/ICOS.2016.7881983</w:t>
        </w:r>
      </w:hyperlink>
    </w:p>
    <w:p w14:paraId="4F1C3FE3" w14:textId="77777777" w:rsidR="00D47DD3" w:rsidRDefault="00926C9B">
      <w:pPr>
        <w:pBdr>
          <w:top w:val="nil"/>
          <w:left w:val="nil"/>
          <w:bottom w:val="nil"/>
          <w:right w:val="nil"/>
          <w:between w:val="nil"/>
        </w:pBdr>
        <w:jc w:val="both"/>
        <w:rPr>
          <w:rFonts w:ascii="Arial" w:eastAsia="Arial" w:hAnsi="Arial" w:cs="Arial"/>
          <w:color w:val="000000"/>
        </w:rPr>
      </w:pPr>
      <w:r w:rsidRPr="00D13D27">
        <w:rPr>
          <w:rFonts w:ascii="Arial" w:eastAsia="Arial" w:hAnsi="Arial" w:cs="Arial"/>
          <w:color w:val="000000"/>
          <w:lang w:val="es-US"/>
        </w:rPr>
        <w:t xml:space="preserve">42. Garcia, L., Parra, L., Jimenez, J. M., Lloret, J., &amp; Lorenz, P. (2020). </w:t>
      </w:r>
      <w:r>
        <w:rPr>
          <w:rFonts w:ascii="Arial" w:eastAsia="Arial" w:hAnsi="Arial" w:cs="Arial"/>
          <w:color w:val="000000"/>
        </w:rPr>
        <w:t xml:space="preserve">IoT-based smart irrigation systems: An overview on the recent trends on sensors and IoT systems for irrigation in precision agriculture. Sensors, 20(4), 1042.  </w:t>
      </w:r>
      <w:hyperlink r:id="rId53">
        <w:r>
          <w:rPr>
            <w:rFonts w:ascii="Arial" w:eastAsia="Arial" w:hAnsi="Arial" w:cs="Arial"/>
            <w:color w:val="0000FF"/>
            <w:u w:val="single"/>
          </w:rPr>
          <w:t>10.3390/s20041042</w:t>
        </w:r>
      </w:hyperlink>
    </w:p>
    <w:p w14:paraId="09CBC162" w14:textId="77777777" w:rsidR="00D47DD3" w:rsidRPr="00D13D27" w:rsidRDefault="00926C9B">
      <w:pPr>
        <w:pBdr>
          <w:top w:val="nil"/>
          <w:left w:val="nil"/>
          <w:bottom w:val="nil"/>
          <w:right w:val="nil"/>
          <w:between w:val="nil"/>
        </w:pBdr>
        <w:jc w:val="both"/>
        <w:rPr>
          <w:rFonts w:ascii="Arial" w:eastAsia="Arial" w:hAnsi="Arial" w:cs="Arial"/>
          <w:color w:val="000000"/>
          <w:lang w:val="es-US"/>
        </w:rPr>
      </w:pPr>
      <w:r>
        <w:rPr>
          <w:rFonts w:ascii="Arial" w:eastAsia="Arial" w:hAnsi="Arial" w:cs="Arial"/>
          <w:color w:val="000000"/>
        </w:rPr>
        <w:t>43. Obaideen, K., Yousef, B. A., AlMallahi, M. N., Tan, Y. C., Mahmoud, M., Jaber, H., &amp; Ramadan, M. (2022). An overview of smart irrigation systems using IoT. Energy Nexus</w:t>
      </w:r>
      <w:r>
        <w:rPr>
          <w:rFonts w:ascii="Arial" w:eastAsia="Arial" w:hAnsi="Arial" w:cs="Arial"/>
          <w:i/>
          <w:iCs/>
          <w:color w:val="000000"/>
        </w:rPr>
        <w:t xml:space="preserve">, </w:t>
      </w:r>
      <w:r>
        <w:rPr>
          <w:rFonts w:ascii="Arial" w:eastAsia="Arial" w:hAnsi="Arial" w:cs="Arial"/>
          <w:color w:val="000000"/>
        </w:rPr>
        <w:t xml:space="preserve">7, 1-11. </w:t>
      </w:r>
      <w:hyperlink r:id="rId54">
        <w:r w:rsidRPr="00D13D27">
          <w:rPr>
            <w:rFonts w:ascii="Arial" w:eastAsia="Arial" w:hAnsi="Arial" w:cs="Arial"/>
            <w:color w:val="0000FF"/>
            <w:u w:val="single"/>
            <w:lang w:val="es-US"/>
          </w:rPr>
          <w:t>10.1016/j.nexus.2022.100124</w:t>
        </w:r>
      </w:hyperlink>
    </w:p>
    <w:p w14:paraId="68C67EE0" w14:textId="77777777" w:rsidR="00D47DD3" w:rsidRPr="00D13D27" w:rsidRDefault="00926C9B">
      <w:pPr>
        <w:pBdr>
          <w:top w:val="nil"/>
          <w:left w:val="nil"/>
          <w:bottom w:val="nil"/>
          <w:right w:val="nil"/>
          <w:between w:val="nil"/>
        </w:pBdr>
        <w:jc w:val="both"/>
        <w:rPr>
          <w:rFonts w:ascii="Arial" w:eastAsia="Arial" w:hAnsi="Arial" w:cs="Arial"/>
          <w:color w:val="000000"/>
          <w:lang w:val="es-US"/>
        </w:rPr>
      </w:pPr>
      <w:r w:rsidRPr="00D13D27">
        <w:rPr>
          <w:rFonts w:ascii="Arial" w:eastAsia="Arial" w:hAnsi="Arial" w:cs="Arial"/>
          <w:color w:val="000000"/>
          <w:lang w:val="es-US"/>
        </w:rPr>
        <w:t xml:space="preserve">44.  Sruthy, M. R., Anjana, R., Archana, R., Dhanya, V., &amp; Hridya, A. H. (2020). </w:t>
      </w:r>
      <w:r>
        <w:rPr>
          <w:rFonts w:ascii="Arial" w:eastAsia="Arial" w:hAnsi="Arial" w:cs="Arial"/>
          <w:color w:val="000000"/>
        </w:rPr>
        <w:t xml:space="preserve">IoT based landslide detection and monitoring system. International Journal of Research in Engineering, Science and Management, 3(4), 596-599. </w:t>
      </w:r>
      <w:hyperlink r:id="rId55">
        <w:r w:rsidRPr="00D13D27">
          <w:rPr>
            <w:rFonts w:ascii="Arial" w:eastAsia="Arial" w:hAnsi="Arial" w:cs="Arial"/>
            <w:color w:val="0000FF"/>
            <w:u w:val="single"/>
            <w:lang w:val="es-US"/>
          </w:rPr>
          <w:t>https://ijresm.com/volume-3-issue-4-april-2020/</w:t>
        </w:r>
      </w:hyperlink>
      <w:r w:rsidRPr="00D13D27">
        <w:rPr>
          <w:rFonts w:ascii="Arial" w:eastAsia="Arial" w:hAnsi="Arial" w:cs="Arial"/>
          <w:color w:val="000000"/>
          <w:lang w:val="es-US"/>
        </w:rPr>
        <w:t xml:space="preserve"> </w:t>
      </w:r>
    </w:p>
    <w:p w14:paraId="21FE5302" w14:textId="77777777" w:rsidR="00D47DD3" w:rsidRDefault="00926C9B">
      <w:pPr>
        <w:pBdr>
          <w:top w:val="nil"/>
          <w:left w:val="nil"/>
          <w:bottom w:val="nil"/>
          <w:right w:val="nil"/>
          <w:between w:val="nil"/>
        </w:pBdr>
        <w:jc w:val="both"/>
        <w:rPr>
          <w:rFonts w:ascii="Arial" w:eastAsia="Arial" w:hAnsi="Arial" w:cs="Arial"/>
          <w:color w:val="000000"/>
        </w:rPr>
      </w:pPr>
      <w:r w:rsidRPr="00D13D27">
        <w:rPr>
          <w:rFonts w:ascii="Arial" w:eastAsia="Arial" w:hAnsi="Arial" w:cs="Arial"/>
          <w:color w:val="000000"/>
          <w:lang w:val="es-US"/>
        </w:rPr>
        <w:t xml:space="preserve">45. Putri, R. E., Darmadi, W., Cherie, D., &amp; Puari, A. T. (2023). </w:t>
      </w:r>
      <w:r>
        <w:rPr>
          <w:rFonts w:ascii="Arial" w:eastAsia="Arial" w:hAnsi="Arial" w:cs="Arial"/>
          <w:color w:val="000000"/>
        </w:rPr>
        <w:t xml:space="preserve">The design of automatic soil pH control system on </w:t>
      </w:r>
      <w:r>
        <w:rPr>
          <w:rFonts w:ascii="Arial" w:eastAsia="Arial" w:hAnsi="Arial" w:cs="Arial"/>
          <w:i/>
          <w:iCs/>
          <w:color w:val="000000"/>
        </w:rPr>
        <w:t>Aloe vera</w:t>
      </w:r>
      <w:r>
        <w:rPr>
          <w:rFonts w:ascii="Arial" w:eastAsia="Arial" w:hAnsi="Arial" w:cs="Arial"/>
          <w:color w:val="000000"/>
        </w:rPr>
        <w:t xml:space="preserve"> cultivation with an integration of Internet of Things (IoT). Journal of Agricultural Engineering, 12(3), 597-609.   </w:t>
      </w:r>
      <w:hyperlink r:id="rId56">
        <w:r>
          <w:rPr>
            <w:rFonts w:ascii="Arial" w:eastAsia="Arial" w:hAnsi="Arial" w:cs="Arial"/>
            <w:color w:val="0000FF"/>
            <w:u w:val="single"/>
          </w:rPr>
          <w:t>10.23960/jtep-l.v12i3.597-609</w:t>
        </w:r>
      </w:hyperlink>
    </w:p>
    <w:p w14:paraId="34C34254"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46. Bhatnagar, V. and Chandra, R. 2020. IoT-based soil health monitoring and recommendation system. In: Pattnaik, P. K., Kumar, R., &amp; Pal, S. (Eds.), Internet of Things and Analytics for Agriculture, Volume 2. Springer International Publishing, Singapore.  </w:t>
      </w:r>
      <w:hyperlink r:id="rId57">
        <w:r>
          <w:rPr>
            <w:rFonts w:ascii="Arial" w:eastAsia="Arial" w:hAnsi="Arial" w:cs="Arial"/>
            <w:color w:val="0000FF"/>
            <w:u w:val="single"/>
          </w:rPr>
          <w:t>10.1007/978-981-15-0663-5_1</w:t>
        </w:r>
      </w:hyperlink>
    </w:p>
    <w:p w14:paraId="41D458BF"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47. Jain, N., Awasthi, Y., &amp; Jain, R. K. (2023). An IoT-based soil analysis system using optical sensors and multivariate regression. International Journal of Experimental Research and Review, 31, 23-32.   </w:t>
      </w:r>
      <w:hyperlink r:id="rId58">
        <w:r>
          <w:rPr>
            <w:rFonts w:ascii="Arial" w:eastAsia="Arial" w:hAnsi="Arial" w:cs="Arial"/>
            <w:color w:val="0000FF"/>
            <w:u w:val="single"/>
          </w:rPr>
          <w:t>10.52756/10.52756/ijerr.2023.v31spl.003</w:t>
        </w:r>
      </w:hyperlink>
      <w:r>
        <w:rPr>
          <w:rFonts w:ascii="Arial" w:eastAsia="Arial" w:hAnsi="Arial" w:cs="Arial"/>
          <w:color w:val="000000"/>
        </w:rPr>
        <w:t xml:space="preserve"> </w:t>
      </w:r>
    </w:p>
    <w:p w14:paraId="0A5D7520"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48. Spandana, K. and Pabboju, S. 2020. Applications of IoT for soil quality. In: Gunjan, V. K., Diaz, V. G., Cardona, M., Solanki, V. K., and Sunitha, K. V. N. (Eds.</w:t>
      </w:r>
      <w:r>
        <w:rPr>
          <w:rFonts w:ascii="Arial" w:eastAsia="Arial" w:hAnsi="Arial" w:cs="Arial"/>
          <w:i/>
          <w:iCs/>
          <w:color w:val="000000"/>
        </w:rPr>
        <w:t>),</w:t>
      </w:r>
      <w:r>
        <w:rPr>
          <w:rFonts w:ascii="Arial" w:eastAsia="Arial" w:hAnsi="Arial" w:cs="Arial"/>
          <w:color w:val="000000"/>
        </w:rPr>
        <w:t xml:space="preserve"> ICICCT 2019–system reliability, quality control, safety, maintenance and management: applications to electrical, electronics and computer science and engineering. Springer International Publishing, Singapore, pp. 277-286.  </w:t>
      </w:r>
      <w:hyperlink r:id="rId59">
        <w:r>
          <w:rPr>
            <w:rFonts w:ascii="Arial" w:eastAsia="Arial" w:hAnsi="Arial" w:cs="Arial"/>
            <w:color w:val="0000FF"/>
            <w:u w:val="single"/>
          </w:rPr>
          <w:t>10.1007/978-981-13-8461-5_31</w:t>
        </w:r>
      </w:hyperlink>
    </w:p>
    <w:p w14:paraId="3E630905"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49. Mithra, V. S. 2019. Electronic Crop (e-Crop): An Intelligent IoT Solution for Optimum Crop Production. In: Corrales, J., Angelov, P., &amp; Iglesias, J. (eds), </w:t>
      </w:r>
      <w:r>
        <w:rPr>
          <w:rFonts w:ascii="Arial" w:eastAsia="Arial" w:hAnsi="Arial" w:cs="Arial"/>
          <w:i/>
          <w:iCs/>
          <w:color w:val="000000"/>
        </w:rPr>
        <w:t xml:space="preserve">Advances in Information and Communication Technologies for Adapting Agriculture to Climate Change II: Proceedings of the 2nd International Conference of ICT for Adapting Agriculture to Climate Change (AACC'18), </w:t>
      </w:r>
      <w:r>
        <w:rPr>
          <w:rFonts w:ascii="Arial" w:eastAsia="Arial" w:hAnsi="Arial" w:cs="Arial"/>
          <w:color w:val="000000"/>
        </w:rPr>
        <w:t xml:space="preserve">21-23 November 2018, Cali, Colombia.  </w:t>
      </w:r>
      <w:hyperlink r:id="rId60">
        <w:r>
          <w:rPr>
            <w:rFonts w:ascii="Arial" w:eastAsia="Arial" w:hAnsi="Arial" w:cs="Arial"/>
            <w:color w:val="0000FF"/>
            <w:u w:val="single"/>
          </w:rPr>
          <w:t>10.1007/978-3-030-04447-3_12</w:t>
        </w:r>
      </w:hyperlink>
    </w:p>
    <w:p w14:paraId="785DC7B9"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50. Sahu, N., Vasu, D., Sahu, A., Lal, N., and Singh, S. K. 2017. Strength of Microbes in Nutrient Cycling: A Key to Soil Health. In: Meena, V., Mishra, P., Bisht, J., &amp; Pattanayak, A. (Eds.), Agriculturally Important Microbes for Sustainable Agriculture. Springer International Publishing, Singapore. </w:t>
      </w:r>
      <w:hyperlink r:id="rId61">
        <w:r>
          <w:rPr>
            <w:rFonts w:ascii="Arial" w:eastAsia="Arial" w:hAnsi="Arial" w:cs="Arial"/>
            <w:color w:val="0000FF"/>
            <w:u w:val="single"/>
          </w:rPr>
          <w:t>10.1007/978-981-10-5589-8_4</w:t>
        </w:r>
      </w:hyperlink>
    </w:p>
    <w:p w14:paraId="40C40C47"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51. Wu, Q., Liang, Y., Li, Y., Wang, X., Yang, L., &amp; Wang, X. (2017). Factors acquisition and content estimation of farmland soil organic carbon based upon Internet of Things. </w:t>
      </w:r>
      <w:r>
        <w:rPr>
          <w:rFonts w:ascii="Arial" w:eastAsia="Arial" w:hAnsi="Arial" w:cs="Arial"/>
          <w:i/>
          <w:iCs/>
          <w:color w:val="000000"/>
        </w:rPr>
        <w:t xml:space="preserve">Chinese Geographical Science, </w:t>
      </w:r>
      <w:r>
        <w:rPr>
          <w:rFonts w:ascii="Arial" w:eastAsia="Arial" w:hAnsi="Arial" w:cs="Arial"/>
          <w:color w:val="000000"/>
        </w:rPr>
        <w:t xml:space="preserve">27, 431-440.  </w:t>
      </w:r>
      <w:hyperlink r:id="rId62">
        <w:r>
          <w:rPr>
            <w:rFonts w:ascii="Arial" w:eastAsia="Arial" w:hAnsi="Arial" w:cs="Arial"/>
            <w:color w:val="0000FF"/>
            <w:u w:val="single"/>
          </w:rPr>
          <w:t>10.1007/s11769-017-0875-9</w:t>
        </w:r>
      </w:hyperlink>
    </w:p>
    <w:p w14:paraId="3C17D43D" w14:textId="4C9EE25A"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52. Huang, Y., Liu, S., Shen, Q. R., &amp; Zong, L. G. (2001). Model establishment for simulating soil organic carbon dynamics. Agricultural Sciences in China</w:t>
      </w:r>
      <w:r>
        <w:rPr>
          <w:rFonts w:ascii="Arial" w:eastAsia="Arial" w:hAnsi="Arial" w:cs="Arial"/>
          <w:i/>
          <w:iCs/>
          <w:color w:val="000000"/>
        </w:rPr>
        <w:t>,</w:t>
      </w:r>
      <w:r>
        <w:rPr>
          <w:rFonts w:ascii="Arial" w:eastAsia="Arial" w:hAnsi="Arial" w:cs="Arial"/>
          <w:color w:val="000000"/>
        </w:rPr>
        <w:t xml:space="preserve"> 1, 307-312.</w:t>
      </w:r>
      <w:r w:rsidR="00D13D27">
        <w:rPr>
          <w:rFonts w:ascii="Arial" w:eastAsia="Arial" w:hAnsi="Arial" w:cs="Arial"/>
          <w:color w:val="000000"/>
        </w:rPr>
        <w:t xml:space="preserve"> </w:t>
      </w:r>
      <w:hyperlink r:id="rId63" w:history="1">
        <w:r w:rsidR="00D13D27" w:rsidRPr="00491BB6">
          <w:rPr>
            <w:rStyle w:val="Hyperlink"/>
            <w:rFonts w:ascii="Arial" w:eastAsia="Arial" w:hAnsi="Arial" w:cs="Arial"/>
          </w:rPr>
          <w:t>https://www.researchgate.net/publication/293104397_Model_establishment_for_simulating_soil_organic_carbon_dynamics</w:t>
        </w:r>
      </w:hyperlink>
      <w:r w:rsidR="00D13D27">
        <w:rPr>
          <w:rFonts w:ascii="Arial" w:eastAsia="Arial" w:hAnsi="Arial" w:cs="Arial"/>
          <w:color w:val="000000"/>
        </w:rPr>
        <w:t xml:space="preserve"> </w:t>
      </w:r>
      <w:r>
        <w:rPr>
          <w:rFonts w:ascii="Arial" w:eastAsia="Arial" w:hAnsi="Arial" w:cs="Arial"/>
          <w:color w:val="000000"/>
        </w:rPr>
        <w:t xml:space="preserve">   </w:t>
      </w:r>
    </w:p>
    <w:p w14:paraId="7935F6D5"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53. Agrawal, S., Raghuwanshi, S., &amp; Agrawal, J. (2022). Soil monitoring system for efficient soil biome management and crop guidance. Annals of Agri Bio Research, 27(1), 23-30.  </w:t>
      </w:r>
      <w:hyperlink r:id="rId64">
        <w:r>
          <w:rPr>
            <w:rFonts w:ascii="Arial" w:eastAsia="Arial" w:hAnsi="Arial" w:cs="Arial"/>
            <w:color w:val="0000FF"/>
            <w:u w:val="single"/>
          </w:rPr>
          <w:t>https://vertexaisearch.cloud.google.com/grounding-api-redirect/AUZIYQGAUqCyvt89r61-d_Ma1unmtczGLmmCSUd_mH8m6zZRSoZL2FNdj3KdFH2gopwddmsv7OIUd9pKNce28OOZgO2DtpAtMsSg4lgj_UzLkIfcrRGpqVf40-VwPx_j53it3Nvzv1K6mOeKe9AwKIrriHml_nEiez3xNE0lNPto62cD</w:t>
        </w:r>
      </w:hyperlink>
      <w:r>
        <w:rPr>
          <w:rFonts w:ascii="Arial" w:eastAsia="Arial" w:hAnsi="Arial" w:cs="Arial"/>
          <w:color w:val="000000"/>
        </w:rPr>
        <w:t xml:space="preserve">  </w:t>
      </w:r>
    </w:p>
    <w:p w14:paraId="264B3EF1"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54. Boursianis, A. D., Papadopoulou, M. S., Diamantoulakis, P., Liopa-Tsakalidi, A., Barouchas, P., Salahas, G., Karagiannidis, G., Wan, S., and Goudos, S. K. 2020. Internet of things (IoT) and agricultural unmanned aerial vehicles (UAVs) in smart farming: A comprehensive review. Internet of Things,</w:t>
      </w:r>
      <w:r>
        <w:rPr>
          <w:rFonts w:ascii="Arial" w:eastAsia="Arial" w:hAnsi="Arial" w:cs="Arial"/>
          <w:i/>
          <w:iCs/>
          <w:color w:val="000000"/>
        </w:rPr>
        <w:t xml:space="preserve"> </w:t>
      </w:r>
      <w:r>
        <w:rPr>
          <w:rFonts w:ascii="Arial" w:eastAsia="Arial" w:hAnsi="Arial" w:cs="Arial"/>
          <w:color w:val="000000"/>
        </w:rPr>
        <w:t>18,</w:t>
      </w:r>
      <w:r>
        <w:rPr>
          <w:rFonts w:ascii="Arial" w:eastAsia="Arial" w:hAnsi="Arial" w:cs="Arial"/>
          <w:i/>
          <w:iCs/>
          <w:color w:val="000000"/>
        </w:rPr>
        <w:t xml:space="preserve"> </w:t>
      </w:r>
      <w:r>
        <w:rPr>
          <w:rFonts w:ascii="Arial" w:eastAsia="Arial" w:hAnsi="Arial" w:cs="Arial"/>
          <w:color w:val="000000"/>
        </w:rPr>
        <w:t xml:space="preserve">117. </w:t>
      </w:r>
      <w:hyperlink r:id="rId65">
        <w:r>
          <w:rPr>
            <w:rFonts w:ascii="Arial" w:eastAsia="Arial" w:hAnsi="Arial" w:cs="Arial"/>
            <w:color w:val="0000FF"/>
            <w:u w:val="single"/>
          </w:rPr>
          <w:t>10.1016/j.iot.2020.100187</w:t>
        </w:r>
      </w:hyperlink>
      <w:r>
        <w:rPr>
          <w:rFonts w:ascii="Arial" w:eastAsia="Arial" w:hAnsi="Arial" w:cs="Arial"/>
          <w:color w:val="000000"/>
        </w:rPr>
        <w:t xml:space="preserve"> </w:t>
      </w:r>
    </w:p>
    <w:p w14:paraId="2FBA7D3E" w14:textId="57DB171D"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55. Saha, H. N., Roy, R., Chakraborty, M., </w:t>
      </w:r>
      <w:r w:rsidR="004E5C17">
        <w:rPr>
          <w:rFonts w:ascii="Arial" w:eastAsia="Arial" w:hAnsi="Arial" w:cs="Arial"/>
          <w:color w:val="000000"/>
        </w:rPr>
        <w:t>&amp;</w:t>
      </w:r>
      <w:r>
        <w:rPr>
          <w:rFonts w:ascii="Arial" w:eastAsia="Arial" w:hAnsi="Arial" w:cs="Arial"/>
          <w:color w:val="000000"/>
        </w:rPr>
        <w:t xml:space="preserve"> Sarkar, C. 2021. Development of IoT</w:t>
      </w:r>
      <w:r>
        <w:rPr>
          <w:rFonts w:ascii="Cambria Math" w:eastAsia="Cambria Math" w:hAnsi="Cambria Math" w:cs="Cambria Math"/>
          <w:color w:val="000000"/>
        </w:rPr>
        <w:t>‐</w:t>
      </w:r>
      <w:r>
        <w:rPr>
          <w:rFonts w:ascii="Arial" w:eastAsia="Arial" w:hAnsi="Arial" w:cs="Arial"/>
          <w:color w:val="000000"/>
        </w:rPr>
        <w:t xml:space="preserve">based smart security and monitoring devices for agriculture. In: Choudhury, A., Biswas, A., Prateek, M. M., &amp; Chakrabarti, A. (Eds.), Agricultural informatics: Automation using the IoT and machine learning. Wiley Publishing, New Jersey.  </w:t>
      </w:r>
      <w:hyperlink r:id="rId66">
        <w:r>
          <w:rPr>
            <w:rFonts w:ascii="Arial" w:eastAsia="Arial" w:hAnsi="Arial" w:cs="Arial"/>
            <w:color w:val="0000FF"/>
            <w:u w:val="single"/>
          </w:rPr>
          <w:t>10.1002/9781119769217.ch8</w:t>
        </w:r>
      </w:hyperlink>
    </w:p>
    <w:p w14:paraId="20637743"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56. Bhoi, S. K., Jena, K. K., Panda, S. K., Long, H. V., Kumar, R., Subbulakshmi, P., &amp;   Jebreen, H. B. 2021. An Internet of Things assisted Unmanned Aerial Vehicle based artificial intelligence model for rice pest detection. Microprocessors and Microsystems, 80, 1-11.  </w:t>
      </w:r>
      <w:hyperlink r:id="rId67">
        <w:r>
          <w:rPr>
            <w:rFonts w:ascii="Arial" w:eastAsia="Arial" w:hAnsi="Arial" w:cs="Arial"/>
            <w:color w:val="0000FF"/>
            <w:u w:val="single"/>
          </w:rPr>
          <w:t>10.1016/j.micpro.2020.103607</w:t>
        </w:r>
      </w:hyperlink>
    </w:p>
    <w:p w14:paraId="22E3009C" w14:textId="6355FB92"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57. Kulkarni, S., </w:t>
      </w:r>
      <w:r w:rsidR="00A71630">
        <w:rPr>
          <w:rFonts w:ascii="Arial" w:eastAsia="Arial" w:hAnsi="Arial" w:cs="Arial"/>
          <w:color w:val="000000"/>
        </w:rPr>
        <w:t xml:space="preserve">&amp; </w:t>
      </w:r>
      <w:r>
        <w:rPr>
          <w:rFonts w:ascii="Arial" w:eastAsia="Arial" w:hAnsi="Arial" w:cs="Arial"/>
          <w:color w:val="000000"/>
        </w:rPr>
        <w:t xml:space="preserve">Angadi, S. A. </w:t>
      </w:r>
      <w:r w:rsidR="004E5C17">
        <w:rPr>
          <w:rFonts w:ascii="Arial" w:eastAsia="Arial" w:hAnsi="Arial" w:cs="Arial"/>
          <w:color w:val="000000"/>
        </w:rPr>
        <w:t>(</w:t>
      </w:r>
      <w:r>
        <w:rPr>
          <w:rFonts w:ascii="Arial" w:eastAsia="Arial" w:hAnsi="Arial" w:cs="Arial"/>
          <w:color w:val="000000"/>
        </w:rPr>
        <w:t>2019</w:t>
      </w:r>
      <w:r w:rsidR="004E5C17">
        <w:rPr>
          <w:rFonts w:ascii="Arial" w:eastAsia="Arial" w:hAnsi="Arial" w:cs="Arial"/>
          <w:color w:val="000000"/>
        </w:rPr>
        <w:t>)</w:t>
      </w:r>
      <w:r>
        <w:rPr>
          <w:rFonts w:ascii="Arial" w:eastAsia="Arial" w:hAnsi="Arial" w:cs="Arial"/>
          <w:color w:val="000000"/>
        </w:rPr>
        <w:t xml:space="preserve">. IoT based weed detection using image processing and CNN. International Journal of Engineering Applied Sciences and Technology, 4(3): 606-609.  </w:t>
      </w:r>
      <w:hyperlink r:id="rId68">
        <w:r>
          <w:rPr>
            <w:rFonts w:ascii="Arial" w:eastAsia="Arial" w:hAnsi="Arial" w:cs="Arial"/>
            <w:color w:val="0000FF"/>
            <w:u w:val="single"/>
          </w:rPr>
          <w:t>10.33564/ijeast.2019.v04i03.089</w:t>
        </w:r>
      </w:hyperlink>
    </w:p>
    <w:p w14:paraId="799B2E25"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58. Yin, H., Cao, Y., Marelli, B., Zeng, X., Mason, A. J., &amp; Cao, C. (2021). Soil sensors and plant wearables for smart and precision agriculture. Advanced Materials, 33(20), 2007764.  </w:t>
      </w:r>
      <w:hyperlink r:id="rId69">
        <w:r>
          <w:rPr>
            <w:rFonts w:ascii="Arial" w:eastAsia="Arial" w:hAnsi="Arial" w:cs="Arial"/>
            <w:color w:val="0000FF"/>
            <w:u w:val="single"/>
          </w:rPr>
          <w:t>10.1002/adma.202007764</w:t>
        </w:r>
      </w:hyperlink>
    </w:p>
    <w:p w14:paraId="51463A9A"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59. Morchid, A., El Alami, R., Raezah, A. A., &amp; Sabbar, Y. (2023). Applications of internet of things (IoT) and sensors technology to increase food security and agricultural Sustainability: Benefits and challenges.</w:t>
      </w:r>
      <w:r>
        <w:t xml:space="preserve"> </w:t>
      </w:r>
      <w:r>
        <w:rPr>
          <w:rFonts w:ascii="Arial" w:eastAsia="Arial" w:hAnsi="Arial" w:cs="Arial"/>
          <w:color w:val="000000"/>
        </w:rPr>
        <w:t xml:space="preserve">Ain Shams Engineering Journal, 15, 102509.  </w:t>
      </w:r>
      <w:hyperlink r:id="rId70">
        <w:r>
          <w:rPr>
            <w:rFonts w:ascii="Arial" w:eastAsia="Arial" w:hAnsi="Arial" w:cs="Arial"/>
            <w:color w:val="0000FF"/>
            <w:u w:val="single"/>
          </w:rPr>
          <w:t>10.1016/j.asej.2023.102509</w:t>
        </w:r>
      </w:hyperlink>
    </w:p>
    <w:p w14:paraId="0E42F4D9"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60. Srivastava, A., &amp; Das, D. K. (2021). A comprehensive review on the application of Internet of Things (IoT) in smart agriculture. </w:t>
      </w:r>
      <w:r>
        <w:rPr>
          <w:rFonts w:ascii="Arial" w:eastAsia="Arial" w:hAnsi="Arial" w:cs="Arial"/>
          <w:i/>
          <w:iCs/>
          <w:color w:val="000000"/>
        </w:rPr>
        <w:t>Wireless Personal Communications</w:t>
      </w:r>
      <w:r>
        <w:rPr>
          <w:rFonts w:ascii="Arial" w:eastAsia="Arial" w:hAnsi="Arial" w:cs="Arial"/>
          <w:color w:val="000000"/>
        </w:rPr>
        <w:t xml:space="preserve">, 122(2), 18071837. </w:t>
      </w:r>
      <w:hyperlink r:id="rId71">
        <w:r>
          <w:rPr>
            <w:rFonts w:ascii="Arial" w:eastAsia="Arial" w:hAnsi="Arial" w:cs="Arial"/>
            <w:color w:val="0000FF"/>
            <w:u w:val="single"/>
          </w:rPr>
          <w:t>10.1007/s11277-021-08970-7</w:t>
        </w:r>
      </w:hyperlink>
      <w:r>
        <w:rPr>
          <w:rFonts w:ascii="Arial" w:eastAsia="Arial" w:hAnsi="Arial" w:cs="Arial"/>
          <w:color w:val="000000"/>
        </w:rPr>
        <w:t xml:space="preserve"> </w:t>
      </w:r>
    </w:p>
    <w:p w14:paraId="39B7E693"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61. Sinha, B. B., &amp; Dhanalakshmi, R. (2022). Recent advancements and challenges of Internet of Things in smart agriculture: A survey. Future Generation Computer Systems, 126, 169-184.  </w:t>
      </w:r>
      <w:hyperlink r:id="rId72">
        <w:r>
          <w:rPr>
            <w:rFonts w:ascii="Arial" w:eastAsia="Arial" w:hAnsi="Arial" w:cs="Arial"/>
            <w:color w:val="0000FF"/>
            <w:u w:val="single"/>
          </w:rPr>
          <w:t>10.1016/j.future.2021.08.006</w:t>
        </w:r>
      </w:hyperlink>
    </w:p>
    <w:p w14:paraId="5F1562A7"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62. Fuqaha, A., Guizani, M., Mohammadi, M., Aledhari, M., &amp; Ayyash, M. (2015). Internet of things: A survey on enabling technologies, protocols, and applications. IEEE Communications Surveys and Tutorials, 17(4), 2347-2376.  </w:t>
      </w:r>
      <w:hyperlink r:id="rId73">
        <w:r>
          <w:rPr>
            <w:rFonts w:ascii="Arial" w:eastAsia="Arial" w:hAnsi="Arial" w:cs="Arial"/>
            <w:color w:val="0000FF"/>
            <w:u w:val="single"/>
          </w:rPr>
          <w:t>10.1109/COMST.2015.2444095</w:t>
        </w:r>
      </w:hyperlink>
    </w:p>
    <w:p w14:paraId="527684EC"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63. Elijah, O., Rahman, T. A., Orikumhi, I., Leow, C. Y., &amp; Hindia, M. N. (2018). An overview of Internet of Things (IoT) and data analytics in agriculture: Benefits and challenges. IEEE Internet Things Journal, 5(5), 3758-3773. </w:t>
      </w:r>
      <w:hyperlink r:id="rId74">
        <w:r>
          <w:rPr>
            <w:rFonts w:ascii="Arial" w:eastAsia="Arial" w:hAnsi="Arial" w:cs="Arial"/>
            <w:color w:val="0000FF"/>
            <w:u w:val="single"/>
          </w:rPr>
          <w:t>10.1109/JIOT.2018.2844296</w:t>
        </w:r>
      </w:hyperlink>
    </w:p>
    <w:p w14:paraId="27D62CED" w14:textId="77777777" w:rsidR="00D47DD3" w:rsidRDefault="00D47DD3">
      <w:pPr>
        <w:pBdr>
          <w:top w:val="nil"/>
          <w:left w:val="nil"/>
          <w:bottom w:val="nil"/>
          <w:right w:val="nil"/>
          <w:between w:val="nil"/>
        </w:pBdr>
        <w:jc w:val="both"/>
        <w:rPr>
          <w:rFonts w:ascii="Arial" w:eastAsia="Arial" w:hAnsi="Arial" w:cs="Arial"/>
          <w:color w:val="000000"/>
        </w:rPr>
      </w:pPr>
    </w:p>
    <w:p w14:paraId="5E8635BF" w14:textId="77777777" w:rsidR="00D47DD3" w:rsidRDefault="00D47DD3">
      <w:pPr>
        <w:pBdr>
          <w:top w:val="nil"/>
          <w:left w:val="nil"/>
          <w:bottom w:val="nil"/>
          <w:right w:val="nil"/>
          <w:between w:val="nil"/>
        </w:pBdr>
        <w:jc w:val="both"/>
        <w:rPr>
          <w:rFonts w:ascii="Arial" w:eastAsia="Arial" w:hAnsi="Arial" w:cs="Arial"/>
          <w:color w:val="000000"/>
        </w:rPr>
      </w:pPr>
      <w:bookmarkStart w:id="13" w:name="_p05a4ocl94ps" w:colFirst="0" w:colLast="0"/>
      <w:bookmarkEnd w:id="13"/>
    </w:p>
    <w:p w14:paraId="5DC8BC52" w14:textId="77777777" w:rsidR="00D47DD3" w:rsidRDefault="00D47DD3">
      <w:pPr>
        <w:pBdr>
          <w:top w:val="nil"/>
          <w:left w:val="nil"/>
          <w:bottom w:val="nil"/>
          <w:right w:val="nil"/>
          <w:between w:val="nil"/>
        </w:pBdr>
        <w:jc w:val="both"/>
        <w:rPr>
          <w:rFonts w:ascii="Arial" w:eastAsia="Arial" w:hAnsi="Arial" w:cs="Arial"/>
          <w:color w:val="000000"/>
        </w:rPr>
      </w:pPr>
    </w:p>
    <w:p w14:paraId="78ED911E" w14:textId="77777777" w:rsidR="00D47DD3" w:rsidRDefault="00D47DD3">
      <w:pPr>
        <w:pBdr>
          <w:top w:val="nil"/>
          <w:left w:val="nil"/>
          <w:bottom w:val="nil"/>
          <w:right w:val="nil"/>
          <w:between w:val="nil"/>
        </w:pBdr>
        <w:jc w:val="both"/>
        <w:rPr>
          <w:rFonts w:ascii="Arial" w:eastAsia="Arial" w:hAnsi="Arial" w:cs="Arial"/>
          <w:color w:val="000000"/>
        </w:rPr>
      </w:pPr>
    </w:p>
    <w:p w14:paraId="4CE52B5A" w14:textId="77777777" w:rsidR="00D47DD3" w:rsidRDefault="00D47DD3">
      <w:pPr>
        <w:pBdr>
          <w:top w:val="nil"/>
          <w:left w:val="nil"/>
          <w:bottom w:val="nil"/>
          <w:right w:val="nil"/>
          <w:between w:val="nil"/>
        </w:pBdr>
        <w:jc w:val="both"/>
        <w:rPr>
          <w:rFonts w:ascii="Arial" w:eastAsia="Arial" w:hAnsi="Arial" w:cs="Arial"/>
          <w:color w:val="000000"/>
        </w:rPr>
      </w:pPr>
    </w:p>
    <w:p w14:paraId="0EBCF47D" w14:textId="77777777" w:rsidR="00D47DD3" w:rsidRDefault="00D47DD3">
      <w:pPr>
        <w:pBdr>
          <w:top w:val="nil"/>
          <w:left w:val="nil"/>
          <w:bottom w:val="nil"/>
          <w:right w:val="nil"/>
          <w:between w:val="nil"/>
        </w:pBdr>
        <w:rPr>
          <w:rFonts w:ascii="Arial" w:eastAsia="Arial" w:hAnsi="Arial" w:cs="Arial"/>
          <w:color w:val="000000"/>
        </w:rPr>
      </w:pPr>
    </w:p>
    <w:p w14:paraId="01FC1C42" w14:textId="77777777" w:rsidR="00D47DD3" w:rsidRDefault="00D47DD3">
      <w:pPr>
        <w:pBdr>
          <w:top w:val="nil"/>
          <w:left w:val="nil"/>
          <w:bottom w:val="nil"/>
          <w:right w:val="nil"/>
          <w:between w:val="nil"/>
        </w:pBdr>
        <w:jc w:val="both"/>
        <w:rPr>
          <w:rFonts w:ascii="Arial" w:eastAsia="Arial" w:hAnsi="Arial" w:cs="Arial"/>
          <w:color w:val="000000"/>
        </w:rPr>
      </w:pPr>
    </w:p>
    <w:p w14:paraId="3FD4AFF9" w14:textId="77777777" w:rsidR="00D47DD3" w:rsidRDefault="00D47DD3">
      <w:pPr>
        <w:pBdr>
          <w:top w:val="nil"/>
          <w:left w:val="nil"/>
          <w:bottom w:val="nil"/>
          <w:right w:val="nil"/>
          <w:between w:val="nil"/>
        </w:pBdr>
        <w:jc w:val="both"/>
        <w:rPr>
          <w:rFonts w:ascii="Arial" w:eastAsia="Arial" w:hAnsi="Arial" w:cs="Arial"/>
          <w:color w:val="000000"/>
        </w:rPr>
      </w:pPr>
    </w:p>
    <w:p w14:paraId="5D6FAC70" w14:textId="77777777" w:rsidR="00D47DD3" w:rsidRDefault="00D47DD3">
      <w:pPr>
        <w:pBdr>
          <w:top w:val="nil"/>
          <w:left w:val="nil"/>
          <w:bottom w:val="nil"/>
          <w:right w:val="nil"/>
          <w:between w:val="nil"/>
        </w:pBdr>
        <w:jc w:val="both"/>
        <w:rPr>
          <w:rFonts w:ascii="Arial" w:eastAsia="Arial" w:hAnsi="Arial" w:cs="Arial"/>
          <w:color w:val="000000"/>
        </w:rPr>
      </w:pPr>
    </w:p>
    <w:p w14:paraId="20373263" w14:textId="77777777" w:rsidR="00D47DD3" w:rsidRDefault="00D47DD3">
      <w:pPr>
        <w:pBdr>
          <w:top w:val="nil"/>
          <w:left w:val="nil"/>
          <w:bottom w:val="nil"/>
          <w:right w:val="nil"/>
          <w:between w:val="nil"/>
        </w:pBdr>
        <w:jc w:val="both"/>
        <w:rPr>
          <w:rFonts w:ascii="Arial" w:eastAsia="Arial" w:hAnsi="Arial" w:cs="Arial"/>
          <w:color w:val="000000"/>
        </w:rPr>
      </w:pPr>
    </w:p>
    <w:p w14:paraId="0094B073"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341CCE5"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E5E51F8" w14:textId="77777777" w:rsidR="00D47DD3" w:rsidRDefault="00D47DD3">
      <w:pPr>
        <w:pBdr>
          <w:top w:val="nil"/>
          <w:left w:val="nil"/>
          <w:bottom w:val="nil"/>
          <w:right w:val="nil"/>
          <w:between w:val="nil"/>
        </w:pBdr>
        <w:jc w:val="both"/>
        <w:rPr>
          <w:rFonts w:ascii="Arial" w:eastAsia="Arial" w:hAnsi="Arial" w:cs="Arial"/>
          <w:color w:val="000000"/>
        </w:rPr>
      </w:pPr>
    </w:p>
    <w:p w14:paraId="337B8829" w14:textId="77777777" w:rsidR="00D47DD3" w:rsidRDefault="00D47DD3">
      <w:pPr>
        <w:pBdr>
          <w:top w:val="nil"/>
          <w:left w:val="nil"/>
          <w:bottom w:val="nil"/>
          <w:right w:val="nil"/>
          <w:between w:val="nil"/>
        </w:pBdr>
        <w:jc w:val="both"/>
        <w:rPr>
          <w:rFonts w:ascii="Arial" w:eastAsia="Arial" w:hAnsi="Arial" w:cs="Arial"/>
          <w:color w:val="000000"/>
        </w:rPr>
      </w:pPr>
    </w:p>
    <w:p w14:paraId="25236A7B" w14:textId="77777777" w:rsidR="00D47DD3" w:rsidRDefault="00D47DD3">
      <w:pPr>
        <w:pBdr>
          <w:top w:val="nil"/>
          <w:left w:val="nil"/>
          <w:bottom w:val="nil"/>
          <w:right w:val="nil"/>
          <w:between w:val="nil"/>
        </w:pBdr>
        <w:jc w:val="both"/>
        <w:rPr>
          <w:rFonts w:ascii="Arial" w:eastAsia="Arial" w:hAnsi="Arial" w:cs="Arial"/>
          <w:color w:val="000000"/>
        </w:rPr>
      </w:pPr>
    </w:p>
    <w:p w14:paraId="5AB8C580" w14:textId="77777777" w:rsidR="00D47DD3" w:rsidRDefault="00D47DD3">
      <w:pPr>
        <w:pBdr>
          <w:top w:val="nil"/>
          <w:left w:val="nil"/>
          <w:bottom w:val="nil"/>
          <w:right w:val="nil"/>
          <w:between w:val="nil"/>
        </w:pBdr>
        <w:jc w:val="both"/>
        <w:rPr>
          <w:rFonts w:ascii="Arial" w:eastAsia="Arial" w:hAnsi="Arial" w:cs="Arial"/>
          <w:color w:val="000000"/>
        </w:rPr>
      </w:pPr>
    </w:p>
    <w:p w14:paraId="7D7DB103" w14:textId="77777777" w:rsidR="00D47DD3" w:rsidRDefault="00D47DD3">
      <w:pPr>
        <w:pBdr>
          <w:top w:val="nil"/>
          <w:left w:val="nil"/>
          <w:bottom w:val="nil"/>
          <w:right w:val="nil"/>
          <w:between w:val="nil"/>
        </w:pBdr>
        <w:jc w:val="both"/>
        <w:rPr>
          <w:rFonts w:ascii="Arial" w:eastAsia="Arial" w:hAnsi="Arial" w:cs="Arial"/>
          <w:color w:val="000000"/>
        </w:rPr>
      </w:pPr>
    </w:p>
    <w:p w14:paraId="59FCC769" w14:textId="77777777" w:rsidR="00D47DD3" w:rsidRDefault="00926C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517AE2A2" w14:textId="77777777" w:rsidR="00D47DD3" w:rsidRDefault="00D47DD3">
      <w:pPr>
        <w:pBdr>
          <w:top w:val="nil"/>
          <w:left w:val="nil"/>
          <w:bottom w:val="nil"/>
          <w:right w:val="nil"/>
          <w:between w:val="nil"/>
        </w:pBdr>
        <w:jc w:val="both"/>
        <w:rPr>
          <w:rFonts w:ascii="Arial" w:eastAsia="Arial" w:hAnsi="Arial" w:cs="Arial"/>
          <w:color w:val="000000"/>
        </w:rPr>
      </w:pPr>
    </w:p>
    <w:p w14:paraId="7255325F" w14:textId="77777777" w:rsidR="00D47DD3" w:rsidRDefault="00D47DD3">
      <w:pPr>
        <w:pBdr>
          <w:top w:val="nil"/>
          <w:left w:val="nil"/>
          <w:bottom w:val="nil"/>
          <w:right w:val="nil"/>
          <w:between w:val="nil"/>
        </w:pBdr>
        <w:jc w:val="both"/>
        <w:rPr>
          <w:rFonts w:ascii="Arial" w:eastAsia="Arial" w:hAnsi="Arial" w:cs="Arial"/>
          <w:color w:val="000000"/>
        </w:rPr>
      </w:pPr>
    </w:p>
    <w:p w14:paraId="497A5854" w14:textId="77777777" w:rsidR="00D47DD3" w:rsidRDefault="00D47DD3">
      <w:pPr>
        <w:pBdr>
          <w:top w:val="nil"/>
          <w:left w:val="nil"/>
          <w:bottom w:val="nil"/>
          <w:right w:val="nil"/>
          <w:between w:val="nil"/>
        </w:pBdr>
        <w:jc w:val="both"/>
        <w:rPr>
          <w:rFonts w:ascii="Arial" w:eastAsia="Arial" w:hAnsi="Arial" w:cs="Arial"/>
          <w:color w:val="000000"/>
        </w:rPr>
      </w:pPr>
    </w:p>
    <w:p w14:paraId="759B650E" w14:textId="77777777" w:rsidR="00D47DD3" w:rsidRDefault="00926C9B">
      <w:pPr>
        <w:pBdr>
          <w:top w:val="nil"/>
          <w:left w:val="nil"/>
          <w:bottom w:val="nil"/>
          <w:right w:val="nil"/>
          <w:between w:val="nil"/>
        </w:pBdr>
        <w:jc w:val="both"/>
        <w:rPr>
          <w:rFonts w:ascii="Arial" w:eastAsia="Arial" w:hAnsi="Arial" w:cs="Arial"/>
          <w:color w:val="000000"/>
        </w:rPr>
        <w:sectPr w:rsidR="00D47DD3">
          <w:headerReference w:type="even" r:id="rId75"/>
          <w:headerReference w:type="default" r:id="rId76"/>
          <w:footerReference w:type="default" r:id="rId77"/>
          <w:headerReference w:type="first" r:id="rId78"/>
          <w:type w:val="continuous"/>
          <w:pgSz w:w="12240" w:h="15840"/>
          <w:pgMar w:top="1440" w:right="2016" w:bottom="2016" w:left="2016" w:header="720" w:footer="1123" w:gutter="0"/>
          <w:cols w:space="720"/>
        </w:sectPr>
      </w:pPr>
      <w:r>
        <w:rPr>
          <w:rFonts w:ascii="Arial" w:eastAsia="Arial" w:hAnsi="Arial" w:cs="Arial"/>
          <w:color w:val="000000"/>
        </w:rPr>
        <w:t xml:space="preserve">  </w:t>
      </w:r>
    </w:p>
    <w:p w14:paraId="6580C26B" w14:textId="77777777" w:rsidR="00D47DD3" w:rsidRDefault="00D47DD3">
      <w:pPr>
        <w:keepNext/>
        <w:pBdr>
          <w:top w:val="nil"/>
          <w:left w:val="nil"/>
          <w:bottom w:val="nil"/>
          <w:right w:val="nil"/>
          <w:between w:val="nil"/>
        </w:pBdr>
        <w:jc w:val="both"/>
        <w:rPr>
          <w:rFonts w:ascii="Arial" w:eastAsia="Arial" w:hAnsi="Arial" w:cs="Arial"/>
          <w:smallCaps/>
          <w:color w:val="000000"/>
          <w:sz w:val="22"/>
          <w:szCs w:val="22"/>
        </w:rPr>
      </w:pPr>
    </w:p>
    <w:sectPr w:rsidR="00D47DD3">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A7A98" w14:textId="77777777" w:rsidR="000048D6" w:rsidRDefault="000048D6">
      <w:r>
        <w:separator/>
      </w:r>
    </w:p>
  </w:endnote>
  <w:endnote w:type="continuationSeparator" w:id="0">
    <w:p w14:paraId="6C37236E" w14:textId="77777777" w:rsidR="000048D6" w:rsidRDefault="00004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9CD061D-F94A-4179-8438-A84AE2BE11BF}"/>
  </w:font>
  <w:font w:name="Cambria Math">
    <w:panose1 w:val="02040503050406030204"/>
    <w:charset w:val="00"/>
    <w:family w:val="roman"/>
    <w:pitch w:val="variable"/>
    <w:sig w:usb0="E00006FF" w:usb1="420024FF" w:usb2="02000000" w:usb3="00000000" w:csb0="0000019F" w:csb1="00000000"/>
    <w:embedRegular r:id="rId2" w:fontKey="{CF3E5957-690F-41D8-A82C-F692E6D6B6E8}"/>
  </w:font>
  <w:font w:name="Calibri">
    <w:panose1 w:val="020F0502020204030204"/>
    <w:charset w:val="00"/>
    <w:family w:val="swiss"/>
    <w:pitch w:val="variable"/>
    <w:sig w:usb0="E4002EFF" w:usb1="C200247B" w:usb2="00000009" w:usb3="00000000" w:csb0="000001FF" w:csb1="00000000"/>
    <w:embedRegular r:id="rId3" w:fontKey="{9CB9D855-72FC-4FCC-A310-84C16876025F}"/>
  </w:font>
  <w:font w:name="Cambria">
    <w:panose1 w:val="02040503050406030204"/>
    <w:charset w:val="00"/>
    <w:family w:val="roman"/>
    <w:pitch w:val="variable"/>
    <w:sig w:usb0="E00006FF" w:usb1="420024FF" w:usb2="02000000" w:usb3="00000000" w:csb0="0000019F" w:csb1="00000000"/>
    <w:embedRegular r:id="rId4" w:fontKey="{20188812-CFBF-45E7-AF09-D8B455130A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76B5" w14:textId="77777777" w:rsidR="00D47DD3" w:rsidRDefault="00D47DD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0BD5" w14:textId="77777777" w:rsidR="00D47DD3" w:rsidRDefault="00D47DD3">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DC495" w14:textId="77777777" w:rsidR="00D47DD3" w:rsidRDefault="00D47DD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42B2FEA" w14:textId="77777777" w:rsidR="00D47DD3" w:rsidRDefault="00926C9B">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7DA0F28" w14:textId="77777777" w:rsidR="00D47DD3" w:rsidRDefault="00D47DD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38441A2" w14:textId="77777777" w:rsidR="00D47DD3" w:rsidRDefault="00D47DD3">
    <w:pPr>
      <w:pBdr>
        <w:top w:val="nil"/>
        <w:left w:val="nil"/>
        <w:bottom w:val="nil"/>
        <w:right w:val="nil"/>
        <w:between w:val="nil"/>
      </w:pBdr>
      <w:tabs>
        <w:tab w:val="center" w:pos="4320"/>
        <w:tab w:val="right" w:pos="8640"/>
      </w:tabs>
      <w:rPr>
        <w:rFonts w:ascii="Arial" w:eastAsia="Arial" w:hAnsi="Arial" w:cs="Arial"/>
        <w:i/>
        <w:iCs/>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E063" w14:textId="77777777" w:rsidR="00D47DD3" w:rsidRDefault="00D47DD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A8E95" w14:textId="77777777" w:rsidR="000048D6" w:rsidRDefault="000048D6">
      <w:r>
        <w:separator/>
      </w:r>
    </w:p>
  </w:footnote>
  <w:footnote w:type="continuationSeparator" w:id="0">
    <w:p w14:paraId="1BB316FF" w14:textId="77777777" w:rsidR="000048D6" w:rsidRDefault="00004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09563" w14:textId="77777777" w:rsidR="00D47DD3" w:rsidRDefault="00000000">
    <w:pPr>
      <w:pBdr>
        <w:top w:val="nil"/>
        <w:left w:val="nil"/>
        <w:bottom w:val="nil"/>
        <w:right w:val="nil"/>
        <w:between w:val="nil"/>
      </w:pBdr>
      <w:tabs>
        <w:tab w:val="center" w:pos="4320"/>
        <w:tab w:val="right" w:pos="8640"/>
      </w:tabs>
      <w:rPr>
        <w:color w:val="000000"/>
      </w:rPr>
    </w:pPr>
    <w:r>
      <w:rPr>
        <w:noProof/>
      </w:rPr>
      <w:pict w14:anchorId="1B813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418.8pt;height:44.0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C633" w14:textId="77777777" w:rsidR="00D47DD3" w:rsidRDefault="00000000">
    <w:pPr>
      <w:pBdr>
        <w:top w:val="nil"/>
        <w:left w:val="nil"/>
        <w:bottom w:val="nil"/>
        <w:right w:val="nil"/>
        <w:between w:val="nil"/>
      </w:pBdr>
      <w:tabs>
        <w:tab w:val="center" w:pos="4320"/>
        <w:tab w:val="right" w:pos="8640"/>
      </w:tabs>
      <w:rPr>
        <w:color w:val="000000"/>
      </w:rPr>
    </w:pPr>
    <w:r>
      <w:rPr>
        <w:noProof/>
      </w:rPr>
      <w:pict w14:anchorId="68F39C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418.8pt;height:44.0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27B1" w14:textId="77777777" w:rsidR="00D47DD3" w:rsidRDefault="00000000">
    <w:pPr>
      <w:ind w:left="2160"/>
      <w:jc w:val="center"/>
      <w:rPr>
        <w:rFonts w:ascii="Times New Roman" w:eastAsia="Times New Roman" w:hAnsi="Times New Roman" w:cs="Times New Roman"/>
        <w:i/>
        <w:iCs/>
        <w:sz w:val="18"/>
        <w:szCs w:val="18"/>
      </w:rPr>
    </w:pPr>
    <w:r>
      <w:rPr>
        <w:noProof/>
      </w:rPr>
      <w:pict w14:anchorId="36EA9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418.8pt;height:44.05pt;rotation:315;z-index:-25165516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6FE166DF" w14:textId="77777777" w:rsidR="00D47DD3" w:rsidRDefault="00926C9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5347458" w14:textId="77777777" w:rsidR="00D47DD3" w:rsidRDefault="00926C9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38602D0F" w14:textId="77777777" w:rsidR="00D47DD3" w:rsidRDefault="00926C9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CAD712A" w14:textId="77777777" w:rsidR="00D47DD3" w:rsidRDefault="00926C9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4DB3480" w14:textId="77777777" w:rsidR="00D47DD3" w:rsidRDefault="00926C9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879B69D" w14:textId="77777777" w:rsidR="00D47DD3" w:rsidRDefault="00926C9B">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817AD" w14:textId="77777777" w:rsidR="00D47DD3" w:rsidRDefault="00000000">
    <w:pPr>
      <w:pBdr>
        <w:top w:val="nil"/>
        <w:left w:val="nil"/>
        <w:bottom w:val="nil"/>
        <w:right w:val="nil"/>
        <w:between w:val="nil"/>
      </w:pBdr>
      <w:tabs>
        <w:tab w:val="center" w:pos="4680"/>
        <w:tab w:val="right" w:pos="9360"/>
      </w:tabs>
      <w:rPr>
        <w:color w:val="000000"/>
      </w:rPr>
    </w:pPr>
    <w:r>
      <w:rPr>
        <w:noProof/>
        <w:color w:val="000000"/>
      </w:rPr>
      <w:pict w14:anchorId="73697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18.8pt;height:44.05pt;rotation:315;z-index:-25165414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B249" w14:textId="77777777" w:rsidR="00D47DD3" w:rsidRDefault="00000000">
    <w:pPr>
      <w:pBdr>
        <w:top w:val="nil"/>
        <w:left w:val="nil"/>
        <w:bottom w:val="nil"/>
        <w:right w:val="nil"/>
        <w:between w:val="nil"/>
      </w:pBdr>
      <w:tabs>
        <w:tab w:val="center" w:pos="4680"/>
        <w:tab w:val="right" w:pos="9360"/>
      </w:tabs>
      <w:rPr>
        <w:color w:val="000000"/>
      </w:rPr>
    </w:pPr>
    <w:r>
      <w:rPr>
        <w:noProof/>
        <w:color w:val="000000"/>
      </w:rPr>
      <w:pict w14:anchorId="636D9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18.8pt;height:44.05pt;rotation:315;z-index:-25165312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5B8C" w14:textId="77777777" w:rsidR="00D47DD3" w:rsidRDefault="00000000">
    <w:pPr>
      <w:pBdr>
        <w:top w:val="nil"/>
        <w:left w:val="nil"/>
        <w:bottom w:val="nil"/>
        <w:right w:val="nil"/>
        <w:between w:val="nil"/>
      </w:pBdr>
      <w:tabs>
        <w:tab w:val="center" w:pos="4680"/>
        <w:tab w:val="right" w:pos="9360"/>
      </w:tabs>
      <w:rPr>
        <w:color w:val="000000"/>
      </w:rPr>
    </w:pPr>
    <w:r>
      <w:rPr>
        <w:noProof/>
        <w:color w:val="000000"/>
      </w:rPr>
      <w:pict w14:anchorId="5BA1C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418.8pt;height:44.05pt;rotation:315;z-index:-25165209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wNTE0MTUwMjEwMDNV0lEKTi0uzszPAykwrAUAQjvB0iwAAAA="/>
  </w:docVars>
  <w:rsids>
    <w:rsidRoot w:val="00D47DD3"/>
    <w:rsid w:val="000048D6"/>
    <w:rsid w:val="00130DDE"/>
    <w:rsid w:val="00192BE3"/>
    <w:rsid w:val="00263CE9"/>
    <w:rsid w:val="00300BEE"/>
    <w:rsid w:val="004247E1"/>
    <w:rsid w:val="00436773"/>
    <w:rsid w:val="004E5C17"/>
    <w:rsid w:val="00554A08"/>
    <w:rsid w:val="006E04DD"/>
    <w:rsid w:val="00715140"/>
    <w:rsid w:val="00742194"/>
    <w:rsid w:val="00794208"/>
    <w:rsid w:val="007B3ABB"/>
    <w:rsid w:val="00840437"/>
    <w:rsid w:val="008A06E8"/>
    <w:rsid w:val="00926C9B"/>
    <w:rsid w:val="009E6A94"/>
    <w:rsid w:val="00A258A9"/>
    <w:rsid w:val="00A71630"/>
    <w:rsid w:val="00BD396D"/>
    <w:rsid w:val="00BE30C2"/>
    <w:rsid w:val="00C80744"/>
    <w:rsid w:val="00C9267A"/>
    <w:rsid w:val="00D13D27"/>
    <w:rsid w:val="00D34470"/>
    <w:rsid w:val="00D4726D"/>
    <w:rsid w:val="00D47DD3"/>
    <w:rsid w:val="00D71A7B"/>
    <w:rsid w:val="00F228E3"/>
    <w:rsid w:val="00FD1A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344896D0"/>
  <w15:docId w15:val="{DD412F85-8144-F044-90B1-3A9191C9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3" w:type="dxa"/>
        <w:bottom w:w="0" w:type="dxa"/>
        <w:right w:w="115" w:type="dxa"/>
      </w:tblCellMar>
    </w:tblPr>
  </w:style>
  <w:style w:type="paragraph" w:styleId="NormalWeb">
    <w:name w:val="Normal (Web)"/>
    <w:basedOn w:val="Normal"/>
    <w:uiPriority w:val="99"/>
    <w:unhideWhenUsed/>
    <w:rsid w:val="00BD396D"/>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13D27"/>
    <w:rPr>
      <w:color w:val="0000FF" w:themeColor="hyperlink"/>
      <w:u w:val="single"/>
    </w:rPr>
  </w:style>
  <w:style w:type="character" w:styleId="UnresolvedMention">
    <w:name w:val="Unresolved Mention"/>
    <w:basedOn w:val="DefaultParagraphFont"/>
    <w:uiPriority w:val="99"/>
    <w:semiHidden/>
    <w:unhideWhenUsed/>
    <w:rsid w:val="00D13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2023-wpds.prb.org/" TargetMode="External"/><Relationship Id="rId18" Type="http://schemas.openxmlformats.org/officeDocument/2006/relationships/hyperlink" Target="https://doi.org/10.1016/S0929-1393(00)00067-6" TargetMode="External"/><Relationship Id="rId26" Type="http://schemas.openxmlformats.org/officeDocument/2006/relationships/hyperlink" Target="https://doi.org/10.1007/978-3-030-18468-1_2" TargetMode="External"/><Relationship Id="rId39" Type="http://schemas.openxmlformats.org/officeDocument/2006/relationships/hyperlink" Target="https://d1wqtxts1xzle7.cloudfront.net/57034626/4357-libre.pdf?1532061312=&amp;response-content-disposition=inline%3B+filename%3DPerformance_Analysis_of_Microcontrollers.pdf&amp;Expires=1764584267&amp;Signature=PF-U~70SrTLINWW8-ML9~wVKL9BIEwyvlowzyInyJDMk37B3ixp8JYue4qmk3l7DlzIPmFT-1h-hFDf92aCOzBLPLsCIBd4dLCU2GIt-ReXflZlKeQ6sv0Y6nwD1zVn2feowpkwKM6eMNDihIFE-~oJ7diL02gHmczhleGoNquhGFRwaV2yHJHIGXI3TmMGpt4fnA~sHNc5xuX1mjRpF3VXdDmyJZGnI70J0l5U-iPN4VXiE72BiNX0Pm2cbLdpOFLVoC-F503DlD-cBf43hjeVqAWn6amYDdgD4Z1jZHEtYkFLsg8jVYdgtE-6hJawv1HAlQD1sytbFHyFVjZ2YyA__&amp;Key-Pair-Id=APKAJLOHF5GGSLRBV4ZA" TargetMode="External"/><Relationship Id="rId21" Type="http://schemas.openxmlformats.org/officeDocument/2006/relationships/hyperlink" Target="https://doi.org/10.35940/ijitee.J9225.0881019" TargetMode="External"/><Relationship Id="rId34" Type="http://schemas.openxmlformats.org/officeDocument/2006/relationships/hyperlink" Target="https://doi.org/10.1109/ESCI50559.2021.9396860" TargetMode="External"/><Relationship Id="rId42" Type="http://schemas.openxmlformats.org/officeDocument/2006/relationships/hyperlink" Target="https://vertexaisearch.cloud.google.com/grounding-api-redirect/AUZIYQHMFdQaXZHmR4itGuIkCCIrsNeeoLwEqzdqF3bv14sj--xGk0YEQGDYufRpuvnCTBl72bdWIj3h0CQV80KcbPKTSCmunPgP6nrcpeqqnBmhGtM42rd-1lz0j9BffI-ACYzk5k3JcpD-bDH5Eoe61ur6M58p_ErVYgRwZD49XdtJbAdW" TargetMode="External"/><Relationship Id="rId47" Type="http://schemas.openxmlformats.org/officeDocument/2006/relationships/hyperlink" Target="https://doi.org/10.1016/j.procs.2023.01.255" TargetMode="External"/><Relationship Id="rId50" Type="http://schemas.openxmlformats.org/officeDocument/2006/relationships/hyperlink" Target="https://doi.org/10.1109/ICICICT1.2017.8342777" TargetMode="External"/><Relationship Id="rId55" Type="http://schemas.openxmlformats.org/officeDocument/2006/relationships/hyperlink" Target="https://ijresm.com/volume-3-issue-4-april-2020/" TargetMode="External"/><Relationship Id="rId63" Type="http://schemas.openxmlformats.org/officeDocument/2006/relationships/hyperlink" Target="https://www.researchgate.net/publication/293104397_Model_establishment_for_simulating_soil_organic_carbon_dynamics" TargetMode="External"/><Relationship Id="rId68" Type="http://schemas.openxmlformats.org/officeDocument/2006/relationships/hyperlink" Target="https://doi.org/10.33564/ijeast.2019.v04i03.089" TargetMode="External"/><Relationship Id="rId76" Type="http://schemas.openxmlformats.org/officeDocument/2006/relationships/header" Target="header5.xml"/><Relationship Id="rId7" Type="http://schemas.openxmlformats.org/officeDocument/2006/relationships/header" Target="header2.xml"/><Relationship Id="rId71" Type="http://schemas.openxmlformats.org/officeDocument/2006/relationships/hyperlink" Target="https://doi.org/10.1007/s11277-021-08970-7" TargetMode="External"/><Relationship Id="rId2" Type="http://schemas.openxmlformats.org/officeDocument/2006/relationships/settings" Target="settings.xml"/><Relationship Id="rId16" Type="http://schemas.openxmlformats.org/officeDocument/2006/relationships/hyperlink" Target="https://doi.org/10.3390/su7043528" TargetMode="External"/><Relationship Id="rId29" Type="http://schemas.openxmlformats.org/officeDocument/2006/relationships/hyperlink" Target="https://doi.org/10.1016/j.iot.2020.100161" TargetMode="External"/><Relationship Id="rId11" Type="http://schemas.openxmlformats.org/officeDocument/2006/relationships/footer" Target="footer3.xml"/><Relationship Id="rId24" Type="http://schemas.openxmlformats.org/officeDocument/2006/relationships/hyperlink" Target="https://vertexaisearch.cloud.google.com/grounding-api-redirect/AUZIYQEss7oyZ8KnQq_MGYoWtTMy14rpvJTJc97WwjFCd2G4X_qNAMH6BHUPuzj5x4wxZiJgQ3Lpb0SiExr8r01HIBXX3CsNu-f8oNeRwi-ra-ut2DNV2xU6IbxxgvitzjiOLzv87sra8wxVhGAasH0gfOJ56GhmfDu9hsIjMKJBQBf08J-sEfBjUTvjlA==" TargetMode="External"/><Relationship Id="rId32" Type="http://schemas.openxmlformats.org/officeDocument/2006/relationships/hyperlink" Target="https://doi.org/10.1109/ACCESS.2021.3052478" TargetMode="External"/><Relationship Id="rId37" Type="http://schemas.openxmlformats.org/officeDocument/2006/relationships/hyperlink" Target="https://doi.org/10.1155/js/2460098" TargetMode="External"/><Relationship Id="rId40" Type="http://schemas.openxmlformats.org/officeDocument/2006/relationships/hyperlink" Target="https://doi.org/10.5121/ijcses.2015.6605" TargetMode="External"/><Relationship Id="rId45" Type="http://schemas.openxmlformats.org/officeDocument/2006/relationships/hyperlink" Target="https://doi.org/10.3390/mi14071395" TargetMode="External"/><Relationship Id="rId53" Type="http://schemas.openxmlformats.org/officeDocument/2006/relationships/hyperlink" Target="https://doi.org/10.3390/s20041042" TargetMode="External"/><Relationship Id="rId58" Type="http://schemas.openxmlformats.org/officeDocument/2006/relationships/hyperlink" Target="https://doi.org/10.52756/10.52756/ijerr.2023.v31spl.003" TargetMode="External"/><Relationship Id="rId66" Type="http://schemas.openxmlformats.org/officeDocument/2006/relationships/hyperlink" Target="https://doi.org/10.1002/9781119769217.ch8" TargetMode="External"/><Relationship Id="rId74" Type="http://schemas.openxmlformats.org/officeDocument/2006/relationships/hyperlink" Target="https://doi.org/10.1109/JIOT.2018.2844296" TargetMode="Externa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doi.org/10.1007/978-981-10-5589-8_4" TargetMode="External"/><Relationship Id="rId10" Type="http://schemas.openxmlformats.org/officeDocument/2006/relationships/header" Target="header3.xml"/><Relationship Id="rId19" Type="http://schemas.openxmlformats.org/officeDocument/2006/relationships/hyperlink" Target="https://doi.org/10.1109/JIOT.2021.3056586" TargetMode="External"/><Relationship Id="rId31" Type="http://schemas.openxmlformats.org/officeDocument/2006/relationships/hyperlink" Target="http://www.p2pays.org/ref/08/07697.pdf" TargetMode="External"/><Relationship Id="rId44" Type="http://schemas.openxmlformats.org/officeDocument/2006/relationships/hyperlink" Target="https://doi.org/10.1109/SSPS.2017.8071618" TargetMode="External"/><Relationship Id="rId52" Type="http://schemas.openxmlformats.org/officeDocument/2006/relationships/hyperlink" Target="https://doi.org/10.1109/ICOS.2016.7881983" TargetMode="External"/><Relationship Id="rId60" Type="http://schemas.openxmlformats.org/officeDocument/2006/relationships/hyperlink" Target="https://doi.org/10.1007/978-3-030-04447-3_12" TargetMode="External"/><Relationship Id="rId65" Type="http://schemas.openxmlformats.org/officeDocument/2006/relationships/hyperlink" Target="https://doi.org/10.1016/j.iot.2020.100187" TargetMode="External"/><Relationship Id="rId73" Type="http://schemas.openxmlformats.org/officeDocument/2006/relationships/hyperlink" Target="https://doi.org/10.1109/COMST.2015.2444095" TargetMode="External"/><Relationship Id="rId78"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2023-wpds.prb.org/" TargetMode="External"/><Relationship Id="rId22" Type="http://schemas.openxmlformats.org/officeDocument/2006/relationships/hyperlink" Target="https://doi.org/10.4010/2016.1482" TargetMode="External"/><Relationship Id="rId27" Type="http://schemas.openxmlformats.org/officeDocument/2006/relationships/hyperlink" Target="https://doi.org/10.1109/ACCESS.2019.2949703" TargetMode="External"/><Relationship Id="rId30" Type="http://schemas.openxmlformats.org/officeDocument/2006/relationships/hyperlink" Target="https://doi.org/10.1061/(ASCE)0733-9437(2010)136:2(81)" TargetMode="External"/><Relationship Id="rId35" Type="http://schemas.openxmlformats.org/officeDocument/2006/relationships/hyperlink" Target="https://www.photonics.com/Articles/Optical_Sensors_Advancing_Precision_in/a61988" TargetMode="External"/><Relationship Id="rId43" Type="http://schemas.openxmlformats.org/officeDocument/2006/relationships/hyperlink" Target="https://doi.org/10.19101/IJATEE.2021.874650" TargetMode="External"/><Relationship Id="rId48" Type="http://schemas.openxmlformats.org/officeDocument/2006/relationships/hyperlink" Target="https://www.ripublication.com/ijtam17/ijtamv12n3_15.pdf" TargetMode="External"/><Relationship Id="rId56" Type="http://schemas.openxmlformats.org/officeDocument/2006/relationships/hyperlink" Target="https://doi.org/10.23960/jtep-l.v12i3.597-609" TargetMode="External"/><Relationship Id="rId64" Type="http://schemas.openxmlformats.org/officeDocument/2006/relationships/hyperlink" Target="https://vertexaisearch.cloud.google.com/grounding-api-redirect/AUZIYQGAUqCyvt89r61-d_Ma1unmtczGLmmCSUd_mH8m6zZRSoZL2FNdj3KdFH2gopwddmsv7OIUd9pKNce28OOZgO2DtpAtMsSg4lgj_UzLkIfcrRGpqVf40-VwPx_j53it3Nvzv1K6mOeKe9AwKIrriHml_nEiez3xNE0lNPto62cD" TargetMode="External"/><Relationship Id="rId69" Type="http://schemas.openxmlformats.org/officeDocument/2006/relationships/hyperlink" Target="https://doi.org/10.1002/adma.202007764" TargetMode="External"/><Relationship Id="rId77" Type="http://schemas.openxmlformats.org/officeDocument/2006/relationships/footer" Target="footer4.xml"/><Relationship Id="rId8" Type="http://schemas.openxmlformats.org/officeDocument/2006/relationships/footer" Target="footer1.xml"/><Relationship Id="rId51" Type="http://schemas.openxmlformats.org/officeDocument/2006/relationships/hyperlink" Target="https://doi.org/10.1145/3384544.3384595" TargetMode="External"/><Relationship Id="rId72" Type="http://schemas.openxmlformats.org/officeDocument/2006/relationships/hyperlink" Target="https://doi.org/10.1016/j.future.2021.08.006"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doi.org/10.1016/S0065-2113(08)60178-9" TargetMode="External"/><Relationship Id="rId17" Type="http://schemas.openxmlformats.org/officeDocument/2006/relationships/hyperlink" Target="https://www.unccd.int/sites/default/files/documents/201709/GLO_Full_Report_low_res.pdf" TargetMode="External"/><Relationship Id="rId25" Type="http://schemas.openxmlformats.org/officeDocument/2006/relationships/hyperlink" Target="https://doi.org/10.3390/jsan13040039" TargetMode="External"/><Relationship Id="rId33" Type="http://schemas.openxmlformats.org/officeDocument/2006/relationships/hyperlink" Target="https://warwick.ac.uk/fac/sci/eng/research/grouplist/sensorsanddevices/mbl/database/ieeesensors09/PDFs/Papers/462_5183.pdf" TargetMode="External"/><Relationship Id="rId38" Type="http://schemas.openxmlformats.org/officeDocument/2006/relationships/hyperlink" Target="https://doi.org/10.1016/j.compag.2016.12.007" TargetMode="External"/><Relationship Id="rId46" Type="http://schemas.openxmlformats.org/officeDocument/2006/relationships/hyperlink" Target="https://arxiv.org/abs/2206.07488" TargetMode="External"/><Relationship Id="rId59" Type="http://schemas.openxmlformats.org/officeDocument/2006/relationships/hyperlink" Target="https://doi.org/10.1007/978-981-13-8461-5_31" TargetMode="External"/><Relationship Id="rId67" Type="http://schemas.openxmlformats.org/officeDocument/2006/relationships/hyperlink" Target="https://doi.org/10.1016/j.micpro.2020.103607" TargetMode="External"/><Relationship Id="rId20" Type="http://schemas.openxmlformats.org/officeDocument/2006/relationships/hyperlink" Target="https://doi.org/10.1016/bs.agron.2015.02.002" TargetMode="External"/><Relationship Id="rId41" Type="http://schemas.openxmlformats.org/officeDocument/2006/relationships/hyperlink" Target="https://d1wqtxts1xzle7.cloudfront.net/51092507/IJNTR02060018-libre.pdf?1482938841=&amp;response-content-disposition=inline%3B+filename%3DThingspeak_Based_Sensing_and_Monitoring.pdf&amp;Expires=1764584299&amp;Signature=IRBuYs8d1KYFSeXMepUXSQT9tcEKVt27YpQVN3nbJgLmx~sFxc85mClatc3jeiSIYjHc-UWUDMSq5nguwnC0eDnsnczVps5o1lKh60L3zai~dilfAKsOdiAbtweBmlDh6NsQIvTb5723wsY~rE5kLPk-3D2PS-nf0LFQP-gtWyuGUueLdEUvZOHhXPDBkuZUyaPjUn7WzVUXVzAGQrlIvkL71LALvPpKHMrJDCs1GQgfNybgMnCayEXH7p0lw5PBXD3xteZ5eKSqmmPv6vc6y~GHBSRnHb4M4rEEvmGRWkJP~a~OpLwlTFmqIdckKNLdzeTKWLHtWDv2OSZoUdTR0Q__&amp;Key-Pair-Id=APKAJLOHF5GGSLRBV4ZA" TargetMode="External"/><Relationship Id="rId54" Type="http://schemas.openxmlformats.org/officeDocument/2006/relationships/hyperlink" Target="https://doi.org/10.1016/j.nexus.2022.100124" TargetMode="External"/><Relationship Id="rId62" Type="http://schemas.openxmlformats.org/officeDocument/2006/relationships/hyperlink" Target="https://doi.org/10.1007/s11769-017-0875-9" TargetMode="External"/><Relationship Id="rId70" Type="http://schemas.openxmlformats.org/officeDocument/2006/relationships/hyperlink" Target="https://doi.org/10.1016/j.asej.2023.102509" TargetMode="External"/><Relationship Id="rId75" Type="http://schemas.openxmlformats.org/officeDocument/2006/relationships/header" Target="header4.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doi.org/10.1038/nature17174" TargetMode="External"/><Relationship Id="rId23" Type="http://schemas.openxmlformats.org/officeDocument/2006/relationships/hyperlink" Target="https://doi.org/10.51983/ajes-2020.9.1.2370" TargetMode="External"/><Relationship Id="rId28" Type="http://schemas.openxmlformats.org/officeDocument/2006/relationships/hyperlink" Target="https://doi.org/10.5120/ijca2017915500" TargetMode="External"/><Relationship Id="rId36" Type="http://schemas.openxmlformats.org/officeDocument/2006/relationships/hyperlink" Target="https://doi.org/10.1088/1742-6596/1755/1/012005" TargetMode="External"/><Relationship Id="rId49" Type="http://schemas.openxmlformats.org/officeDocument/2006/relationships/hyperlink" Target="https://doi.org/10.1007/s00521-018-3737-1" TargetMode="External"/><Relationship Id="rId57" Type="http://schemas.openxmlformats.org/officeDocument/2006/relationships/hyperlink" Target="https://doi.org/10.1007/978-981-15-0663-5_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Pages>
  <Words>7572</Words>
  <Characters>43165</Characters>
  <Application>Microsoft Office Word</Application>
  <DocSecurity>0</DocSecurity>
  <Lines>359</Lines>
  <Paragraphs>101</Paragraphs>
  <ScaleCrop>false</ScaleCrop>
  <Company/>
  <LinksUpToDate>false</LinksUpToDate>
  <CharactersWithSpaces>50636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Editor-17</cp:lastModifiedBy>
  <cp:revision>6</cp:revision>
  <dcterms:created xsi:type="dcterms:W3CDTF">2025-11-28T15:46:00Z</dcterms:created>
  <dcterms:modified xsi:type="dcterms:W3CDTF">2025-12-01T09:35:00Z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6f0fc9a2-1d16-4206-abee-ed4deead5693</vt:lpwstr>
  </property>
</Properties>
</file>