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5962F" w14:textId="77777777" w:rsidR="000E2DC9" w:rsidRDefault="000E2DC9" w:rsidP="0031013D">
      <w:pPr>
        <w:spacing w:line="360" w:lineRule="auto"/>
        <w:jc w:val="center"/>
        <w:rPr>
          <w:rFonts w:asciiTheme="majorBidi" w:hAnsiTheme="majorBidi" w:cstheme="majorBidi"/>
          <w:b/>
          <w:bCs/>
          <w:color w:val="000000" w:themeColor="text1"/>
          <w:lang w:val="en-US"/>
        </w:rPr>
      </w:pPr>
      <w:r w:rsidRPr="000E2DC9">
        <w:rPr>
          <w:rFonts w:asciiTheme="majorBidi" w:hAnsiTheme="majorBidi" w:cstheme="majorBidi"/>
          <w:b/>
          <w:bCs/>
          <w:color w:val="000000" w:themeColor="text1"/>
          <w:lang w:val="en-US"/>
        </w:rPr>
        <w:t xml:space="preserve">Original Research Article </w:t>
      </w:r>
    </w:p>
    <w:p w14:paraId="6A11A321" w14:textId="77777777" w:rsidR="000E2DC9" w:rsidRDefault="000E2DC9" w:rsidP="0031013D">
      <w:pPr>
        <w:spacing w:line="360" w:lineRule="auto"/>
        <w:jc w:val="center"/>
        <w:rPr>
          <w:rFonts w:asciiTheme="majorBidi" w:hAnsiTheme="majorBidi" w:cstheme="majorBidi"/>
          <w:b/>
          <w:bCs/>
          <w:color w:val="000000" w:themeColor="text1"/>
          <w:lang w:val="en-US"/>
        </w:rPr>
      </w:pPr>
    </w:p>
    <w:p w14:paraId="59F271E6" w14:textId="7FE7A7A2" w:rsidR="0031013D" w:rsidRDefault="00A8547B" w:rsidP="0031013D">
      <w:pPr>
        <w:spacing w:line="360" w:lineRule="auto"/>
        <w:jc w:val="center"/>
        <w:rPr>
          <w:rFonts w:asciiTheme="majorBidi" w:hAnsiTheme="majorBidi" w:cstheme="majorBidi"/>
          <w:b/>
          <w:bCs/>
          <w:color w:val="000000" w:themeColor="text1"/>
          <w:lang w:val="en-GB"/>
        </w:rPr>
      </w:pPr>
      <w:r w:rsidRPr="008B40D1">
        <w:rPr>
          <w:rFonts w:asciiTheme="majorBidi" w:hAnsiTheme="majorBidi" w:cstheme="majorBidi"/>
          <w:b/>
          <w:bCs/>
          <w:color w:val="000000" w:themeColor="text1"/>
          <w:highlight w:val="yellow"/>
          <w:lang w:val="en-GB"/>
        </w:rPr>
        <w:t>Groundwater</w:t>
      </w:r>
      <w:r w:rsidR="005C2F0B">
        <w:rPr>
          <w:rFonts w:asciiTheme="majorBidi" w:hAnsiTheme="majorBidi" w:cstheme="majorBidi"/>
          <w:b/>
          <w:bCs/>
          <w:color w:val="000000" w:themeColor="text1"/>
          <w:highlight w:val="yellow"/>
          <w:lang w:val="en-GB"/>
        </w:rPr>
        <w:t xml:space="preserve"> Quality</w:t>
      </w:r>
      <w:r w:rsidRPr="008B40D1">
        <w:rPr>
          <w:rFonts w:asciiTheme="majorBidi" w:hAnsiTheme="majorBidi" w:cstheme="majorBidi"/>
          <w:b/>
          <w:bCs/>
          <w:color w:val="000000" w:themeColor="text1"/>
          <w:highlight w:val="yellow"/>
          <w:lang w:val="en-GB"/>
        </w:rPr>
        <w:t xml:space="preserve"> and health risk assessment related </w:t>
      </w:r>
      <w:bookmarkStart w:id="0" w:name="_Hlk215498540"/>
      <w:r w:rsidR="008B40D1" w:rsidRPr="008B40D1">
        <w:rPr>
          <w:rFonts w:asciiTheme="majorBidi" w:hAnsiTheme="majorBidi" w:cstheme="majorBidi"/>
          <w:b/>
          <w:bCs/>
          <w:color w:val="000000" w:themeColor="text1"/>
          <w:highlight w:val="yellow"/>
          <w:lang w:val="en-GB"/>
        </w:rPr>
        <w:t xml:space="preserve">to </w:t>
      </w:r>
      <w:r w:rsidR="00BE6C96" w:rsidRPr="008B40D1">
        <w:rPr>
          <w:rFonts w:asciiTheme="majorBidi" w:hAnsiTheme="majorBidi" w:cstheme="majorBidi"/>
          <w:b/>
          <w:bCs/>
          <w:color w:val="000000" w:themeColor="text1"/>
          <w:highlight w:val="yellow"/>
          <w:lang w:val="en-GB"/>
        </w:rPr>
        <w:t>Waste Electrical and Electronic Equipment</w:t>
      </w:r>
      <w:bookmarkEnd w:id="0"/>
      <w:r w:rsidR="008B40D1">
        <w:rPr>
          <w:rFonts w:asciiTheme="majorBidi" w:hAnsiTheme="majorBidi" w:cstheme="majorBidi"/>
          <w:b/>
          <w:bCs/>
          <w:color w:val="000000" w:themeColor="text1"/>
          <w:highlight w:val="yellow"/>
          <w:lang w:val="en-GB"/>
        </w:rPr>
        <w:t xml:space="preserve"> </w:t>
      </w:r>
      <w:r w:rsidR="005C2F0B">
        <w:rPr>
          <w:rFonts w:asciiTheme="majorBidi" w:hAnsiTheme="majorBidi" w:cstheme="majorBidi"/>
          <w:b/>
          <w:bCs/>
          <w:color w:val="000000" w:themeColor="text1"/>
          <w:highlight w:val="yellow"/>
          <w:lang w:val="en-GB"/>
        </w:rPr>
        <w:t>Dumpsites</w:t>
      </w:r>
      <w:r w:rsidR="00BE6C96" w:rsidRPr="008B40D1">
        <w:rPr>
          <w:rFonts w:asciiTheme="majorBidi" w:hAnsiTheme="majorBidi" w:cstheme="majorBidi"/>
          <w:b/>
          <w:bCs/>
          <w:color w:val="000000" w:themeColor="text1"/>
          <w:highlight w:val="yellow"/>
          <w:lang w:val="en-GB"/>
        </w:rPr>
        <w:t xml:space="preserve"> in Benin</w:t>
      </w:r>
      <w:r w:rsidR="00BE6C96" w:rsidRPr="00BE6C96">
        <w:rPr>
          <w:rFonts w:asciiTheme="majorBidi" w:hAnsiTheme="majorBidi" w:cstheme="majorBidi"/>
          <w:b/>
          <w:bCs/>
          <w:color w:val="000000" w:themeColor="text1"/>
          <w:lang w:val="en-GB"/>
        </w:rPr>
        <w:t xml:space="preserve"> </w:t>
      </w:r>
    </w:p>
    <w:p w14:paraId="632E688D" w14:textId="77777777" w:rsidR="00153206" w:rsidRPr="003D14F6" w:rsidRDefault="00153206" w:rsidP="0031013D">
      <w:pPr>
        <w:spacing w:line="360" w:lineRule="auto"/>
        <w:jc w:val="center"/>
        <w:rPr>
          <w:rFonts w:asciiTheme="majorBidi" w:hAnsiTheme="majorBidi" w:cstheme="majorBidi"/>
          <w:b/>
          <w:bCs/>
          <w:color w:val="000000" w:themeColor="text1"/>
          <w:lang w:val="en-US"/>
        </w:rPr>
      </w:pPr>
    </w:p>
    <w:p w14:paraId="2651BC9D" w14:textId="77777777" w:rsidR="00153206" w:rsidRPr="008B40D1" w:rsidRDefault="00153206" w:rsidP="00BE6C96">
      <w:pPr>
        <w:spacing w:line="360" w:lineRule="auto"/>
        <w:jc w:val="center"/>
        <w:rPr>
          <w:rStyle w:val="s2"/>
          <w:rFonts w:asciiTheme="majorBidi" w:hAnsiTheme="majorBidi" w:cstheme="majorBidi"/>
          <w:color w:val="000000" w:themeColor="text1"/>
          <w:lang w:val="en-US"/>
        </w:rPr>
      </w:pPr>
    </w:p>
    <w:p w14:paraId="6DCF01AF" w14:textId="77777777" w:rsidR="005E7DEE" w:rsidRPr="00BE6C96" w:rsidRDefault="005E7DEE" w:rsidP="00BE6C96">
      <w:pPr>
        <w:spacing w:line="360" w:lineRule="auto"/>
        <w:jc w:val="center"/>
        <w:rPr>
          <w:rFonts w:asciiTheme="majorBidi" w:hAnsiTheme="majorBidi" w:cstheme="majorBidi"/>
          <w:color w:val="000000" w:themeColor="text1"/>
          <w:lang w:val="en-GB"/>
        </w:rPr>
      </w:pPr>
    </w:p>
    <w:p w14:paraId="353F3325" w14:textId="67219EAC" w:rsidR="00FC207F" w:rsidRDefault="00BE6C96" w:rsidP="00BE6C96">
      <w:pPr>
        <w:spacing w:line="360" w:lineRule="auto"/>
        <w:jc w:val="both"/>
        <w:rPr>
          <w:rFonts w:asciiTheme="majorBidi" w:hAnsiTheme="majorBidi" w:cstheme="majorBidi"/>
          <w:b/>
          <w:bCs/>
          <w:color w:val="000000" w:themeColor="text1"/>
          <w:lang w:val="en-GB"/>
        </w:rPr>
      </w:pPr>
      <w:r w:rsidRPr="00BE6C96">
        <w:rPr>
          <w:rFonts w:asciiTheme="majorBidi" w:hAnsiTheme="majorBidi" w:cstheme="majorBidi"/>
          <w:b/>
          <w:bCs/>
          <w:color w:val="000000" w:themeColor="text1"/>
          <w:lang w:val="en-GB"/>
        </w:rPr>
        <w:t>Abstract</w:t>
      </w:r>
    </w:p>
    <w:p w14:paraId="5513C9F3" w14:textId="43E2EA0A" w:rsidR="00BE6C96" w:rsidRPr="00F247E7" w:rsidRDefault="00FC207F" w:rsidP="00BE6C96">
      <w:pPr>
        <w:spacing w:line="360" w:lineRule="auto"/>
        <w:jc w:val="both"/>
        <w:rPr>
          <w:rFonts w:asciiTheme="majorBidi" w:hAnsiTheme="majorBidi" w:cstheme="majorBidi"/>
          <w:bCs/>
          <w:color w:val="000000" w:themeColor="text1"/>
          <w:lang w:val="en-US"/>
        </w:rPr>
      </w:pPr>
      <w:r>
        <w:rPr>
          <w:rFonts w:asciiTheme="majorBidi" w:hAnsiTheme="majorBidi" w:cstheme="majorBidi"/>
          <w:b/>
          <w:bCs/>
          <w:color w:val="000000" w:themeColor="text1"/>
          <w:lang w:val="en-GB"/>
        </w:rPr>
        <w:t>Introduction</w:t>
      </w:r>
      <w:r w:rsidRPr="005460FD">
        <w:rPr>
          <w:rFonts w:asciiTheme="majorBidi" w:hAnsiTheme="majorBidi" w:cstheme="majorBidi"/>
          <w:bCs/>
          <w:color w:val="000000" w:themeColor="text1"/>
          <w:lang w:val="en-GB"/>
        </w:rPr>
        <w:t>:</w:t>
      </w:r>
      <w:r w:rsidRPr="005460FD">
        <w:rPr>
          <w:lang w:val="en-US"/>
        </w:rPr>
        <w:t xml:space="preserve"> </w:t>
      </w:r>
      <w:r w:rsidRPr="005460FD">
        <w:rPr>
          <w:rFonts w:asciiTheme="majorBidi" w:hAnsiTheme="majorBidi" w:cstheme="majorBidi"/>
          <w:bCs/>
          <w:color w:val="000000" w:themeColor="text1"/>
          <w:lang w:val="en-US"/>
        </w:rPr>
        <w:t>Groundwater represents the main source of drinking water. However, this natural resource is sometimes exposed to anthropogenic pollution</w:t>
      </w:r>
      <w:r w:rsidR="008B40D1">
        <w:rPr>
          <w:rFonts w:asciiTheme="majorBidi" w:hAnsiTheme="majorBidi" w:cstheme="majorBidi"/>
          <w:bCs/>
          <w:color w:val="000000" w:themeColor="text1"/>
          <w:lang w:val="en-US"/>
        </w:rPr>
        <w:t xml:space="preserve"> </w:t>
      </w:r>
      <w:r w:rsidR="008B40D1" w:rsidRPr="008B40D1">
        <w:rPr>
          <w:rFonts w:asciiTheme="majorBidi" w:hAnsiTheme="majorBidi" w:cstheme="majorBidi"/>
          <w:bCs/>
          <w:color w:val="000000" w:themeColor="text1"/>
          <w:highlight w:val="yellow"/>
          <w:lang w:val="en-US"/>
        </w:rPr>
        <w:t>which can affect the wellbeing and human health.</w:t>
      </w:r>
      <w:r w:rsidR="00F247E7">
        <w:rPr>
          <w:rFonts w:asciiTheme="majorBidi" w:hAnsiTheme="majorBidi" w:cstheme="majorBidi"/>
          <w:bCs/>
          <w:color w:val="000000" w:themeColor="text1"/>
          <w:lang w:val="en-US"/>
        </w:rPr>
        <w:t xml:space="preserve"> </w:t>
      </w:r>
      <w:r>
        <w:rPr>
          <w:rFonts w:asciiTheme="majorBidi" w:hAnsiTheme="majorBidi" w:cstheme="majorBidi"/>
          <w:b/>
          <w:bCs/>
          <w:color w:val="000000" w:themeColor="text1"/>
          <w:lang w:val="en-GB"/>
        </w:rPr>
        <w:t xml:space="preserve">Aims: </w:t>
      </w:r>
      <w:r w:rsidR="00BE6C96" w:rsidRPr="00BE6C96">
        <w:rPr>
          <w:rFonts w:asciiTheme="majorBidi" w:hAnsiTheme="majorBidi" w:cstheme="majorBidi"/>
          <w:color w:val="000000" w:themeColor="text1"/>
          <w:lang w:val="en-GB"/>
        </w:rPr>
        <w:t xml:space="preserve">This study aims to assess </w:t>
      </w:r>
      <w:r w:rsidR="0031013D">
        <w:rPr>
          <w:rFonts w:asciiTheme="majorBidi" w:hAnsiTheme="majorBidi" w:cstheme="majorBidi"/>
          <w:color w:val="000000" w:themeColor="text1"/>
          <w:lang w:val="en-GB"/>
        </w:rPr>
        <w:t>the metal</w:t>
      </w:r>
      <w:r w:rsidR="00BE6C96" w:rsidRPr="00BE6C96">
        <w:rPr>
          <w:rFonts w:asciiTheme="majorBidi" w:hAnsiTheme="majorBidi" w:cstheme="majorBidi"/>
          <w:color w:val="000000" w:themeColor="text1"/>
          <w:lang w:val="en-GB"/>
        </w:rPr>
        <w:t xml:space="preserve"> contamination of wells located near Waste Electrical and Electronic Equipment</w:t>
      </w:r>
      <w:r w:rsidR="00A8547B">
        <w:rPr>
          <w:rFonts w:asciiTheme="majorBidi" w:hAnsiTheme="majorBidi" w:cstheme="majorBidi"/>
          <w:color w:val="000000" w:themeColor="text1"/>
          <w:lang w:val="en-GB"/>
        </w:rPr>
        <w:t xml:space="preserve"> </w:t>
      </w:r>
      <w:r w:rsidR="00BE6C96" w:rsidRPr="00BE6C96">
        <w:rPr>
          <w:rFonts w:asciiTheme="majorBidi" w:hAnsiTheme="majorBidi" w:cstheme="majorBidi"/>
          <w:color w:val="000000" w:themeColor="text1"/>
          <w:lang w:val="en-GB"/>
        </w:rPr>
        <w:t>dumps in three cities in Benin (Cotonou, Abomey-</w:t>
      </w:r>
      <w:proofErr w:type="spellStart"/>
      <w:r w:rsidR="00BE6C96" w:rsidRPr="00BE6C96">
        <w:rPr>
          <w:rFonts w:asciiTheme="majorBidi" w:hAnsiTheme="majorBidi" w:cstheme="majorBidi"/>
          <w:color w:val="000000" w:themeColor="text1"/>
          <w:lang w:val="en-GB"/>
        </w:rPr>
        <w:t>Calavi</w:t>
      </w:r>
      <w:proofErr w:type="spellEnd"/>
      <w:r w:rsidR="00BE6C96" w:rsidRPr="00BE6C96">
        <w:rPr>
          <w:rFonts w:asciiTheme="majorBidi" w:hAnsiTheme="majorBidi" w:cstheme="majorBidi"/>
          <w:color w:val="000000" w:themeColor="text1"/>
          <w:lang w:val="en-GB"/>
        </w:rPr>
        <w:t xml:space="preserve">, and </w:t>
      </w:r>
      <w:proofErr w:type="spellStart"/>
      <w:r w:rsidR="00BE6C96" w:rsidRPr="00BE6C96">
        <w:rPr>
          <w:rFonts w:asciiTheme="majorBidi" w:hAnsiTheme="majorBidi" w:cstheme="majorBidi"/>
          <w:color w:val="000000" w:themeColor="text1"/>
          <w:lang w:val="en-GB"/>
        </w:rPr>
        <w:t>Natitingou</w:t>
      </w:r>
      <w:proofErr w:type="spellEnd"/>
      <w:r w:rsidR="00BE6C96" w:rsidRPr="00BE6C96">
        <w:rPr>
          <w:rFonts w:asciiTheme="majorBidi" w:hAnsiTheme="majorBidi" w:cstheme="majorBidi"/>
          <w:color w:val="000000" w:themeColor="text1"/>
          <w:lang w:val="en-GB"/>
        </w:rPr>
        <w:t>), and to evaluate the health risks to local populations.</w:t>
      </w:r>
      <w:r w:rsidR="00F247E7">
        <w:rPr>
          <w:rFonts w:asciiTheme="majorBidi" w:hAnsiTheme="majorBidi" w:cstheme="majorBidi"/>
          <w:bCs/>
          <w:color w:val="000000" w:themeColor="text1"/>
          <w:lang w:val="en-US"/>
        </w:rPr>
        <w:t xml:space="preserve"> </w:t>
      </w:r>
      <w:r w:rsidRPr="00FC207F">
        <w:rPr>
          <w:rFonts w:asciiTheme="majorBidi" w:hAnsiTheme="majorBidi" w:cstheme="majorBidi"/>
          <w:b/>
          <w:color w:val="000000" w:themeColor="text1"/>
          <w:lang w:val="en-GB"/>
        </w:rPr>
        <w:t>Method</w:t>
      </w:r>
      <w:r>
        <w:rPr>
          <w:rFonts w:asciiTheme="majorBidi" w:hAnsiTheme="majorBidi" w:cstheme="majorBidi"/>
          <w:b/>
          <w:color w:val="000000" w:themeColor="text1"/>
          <w:lang w:val="en-GB"/>
        </w:rPr>
        <w:t>ology</w:t>
      </w:r>
      <w:r>
        <w:rPr>
          <w:rFonts w:asciiTheme="majorBidi" w:hAnsiTheme="majorBidi" w:cstheme="majorBidi"/>
          <w:color w:val="000000" w:themeColor="text1"/>
          <w:lang w:val="en-GB"/>
        </w:rPr>
        <w:t xml:space="preserve">: </w:t>
      </w:r>
      <w:r w:rsidR="00BE6C96" w:rsidRPr="00BE6C96">
        <w:rPr>
          <w:rFonts w:asciiTheme="majorBidi" w:hAnsiTheme="majorBidi" w:cstheme="majorBidi"/>
          <w:color w:val="000000" w:themeColor="text1"/>
          <w:lang w:val="en-GB"/>
        </w:rPr>
        <w:t xml:space="preserve"> Water samples were collected at distances of 0, 50, and 100 metres from the sites and analysed. Eight heavy metals</w:t>
      </w:r>
      <w:r w:rsidR="0031013D">
        <w:rPr>
          <w:rFonts w:asciiTheme="majorBidi" w:hAnsiTheme="majorBidi" w:cstheme="majorBidi"/>
          <w:color w:val="000000" w:themeColor="text1"/>
          <w:lang w:val="en-GB"/>
        </w:rPr>
        <w:t xml:space="preserve"> including </w:t>
      </w:r>
      <w:r w:rsidR="00BE6C96" w:rsidRPr="00BE6C96">
        <w:rPr>
          <w:rFonts w:asciiTheme="majorBidi" w:hAnsiTheme="majorBidi" w:cstheme="majorBidi"/>
          <w:color w:val="000000" w:themeColor="text1"/>
          <w:lang w:val="en-GB"/>
        </w:rPr>
        <w:t>arsenic (As), cadmium (Cd), chromium (Cr), copper (Cu), iron (Fe), nickel (Ni), lead (Pb), and zinc (Zn)</w:t>
      </w:r>
      <w:r w:rsidR="0031013D">
        <w:rPr>
          <w:rFonts w:asciiTheme="majorBidi" w:hAnsiTheme="majorBidi" w:cstheme="majorBidi"/>
          <w:color w:val="000000" w:themeColor="text1"/>
          <w:lang w:val="en-GB"/>
        </w:rPr>
        <w:t xml:space="preserve"> </w:t>
      </w:r>
      <w:r w:rsidR="00BE6C96" w:rsidRPr="00BE6C96">
        <w:rPr>
          <w:rFonts w:asciiTheme="majorBidi" w:hAnsiTheme="majorBidi" w:cstheme="majorBidi"/>
          <w:color w:val="000000" w:themeColor="text1"/>
          <w:lang w:val="en-GB"/>
        </w:rPr>
        <w:t xml:space="preserve">were quantified using Microwave Plasma-Atomic Emission Spectrometry. Water quality was evaluated using the Metal Index and Heavy Metal Pollution </w:t>
      </w:r>
      <w:proofErr w:type="gramStart"/>
      <w:r w:rsidR="00BE6C96" w:rsidRPr="00BE6C96">
        <w:rPr>
          <w:rFonts w:asciiTheme="majorBidi" w:hAnsiTheme="majorBidi" w:cstheme="majorBidi"/>
          <w:color w:val="000000" w:themeColor="text1"/>
          <w:lang w:val="en-GB"/>
        </w:rPr>
        <w:t>Index ,</w:t>
      </w:r>
      <w:proofErr w:type="gramEnd"/>
      <w:r w:rsidR="00BE6C96" w:rsidRPr="00BE6C96">
        <w:rPr>
          <w:rFonts w:asciiTheme="majorBidi" w:hAnsiTheme="majorBidi" w:cstheme="majorBidi"/>
          <w:color w:val="000000" w:themeColor="text1"/>
          <w:lang w:val="en-GB"/>
        </w:rPr>
        <w:t xml:space="preserve"> while non-carcinogenic and carcinogenic risks were estimated via Health Risk Assessment methodologies.</w:t>
      </w:r>
      <w:r w:rsidR="00F247E7">
        <w:rPr>
          <w:rFonts w:asciiTheme="majorBidi" w:hAnsiTheme="majorBidi" w:cstheme="majorBidi"/>
          <w:bCs/>
          <w:color w:val="000000" w:themeColor="text1"/>
          <w:lang w:val="en-US"/>
        </w:rPr>
        <w:t xml:space="preserve"> </w:t>
      </w:r>
      <w:r w:rsidRPr="00FC207F">
        <w:rPr>
          <w:rFonts w:asciiTheme="majorBidi" w:hAnsiTheme="majorBidi" w:cstheme="majorBidi"/>
          <w:b/>
          <w:color w:val="000000" w:themeColor="text1"/>
          <w:lang w:val="en-GB"/>
        </w:rPr>
        <w:t>Results</w:t>
      </w:r>
      <w:r>
        <w:rPr>
          <w:rFonts w:asciiTheme="majorBidi" w:hAnsiTheme="majorBidi" w:cstheme="majorBidi"/>
          <w:color w:val="000000" w:themeColor="text1"/>
          <w:lang w:val="en-GB"/>
        </w:rPr>
        <w:t xml:space="preserve">: </w:t>
      </w:r>
      <w:r w:rsidR="00BE6C96" w:rsidRPr="00BE6C96">
        <w:rPr>
          <w:rFonts w:asciiTheme="majorBidi" w:hAnsiTheme="majorBidi" w:cstheme="majorBidi"/>
          <w:color w:val="000000" w:themeColor="text1"/>
          <w:lang w:val="en-GB"/>
        </w:rPr>
        <w:t xml:space="preserve"> The results indicated several </w:t>
      </w:r>
      <w:r w:rsidR="0000032E">
        <w:rPr>
          <w:rFonts w:asciiTheme="majorBidi" w:hAnsiTheme="majorBidi" w:cstheme="majorBidi"/>
          <w:color w:val="000000" w:themeColor="text1"/>
          <w:lang w:val="en-GB"/>
        </w:rPr>
        <w:t xml:space="preserve">heavy </w:t>
      </w:r>
      <w:r w:rsidR="00BE6C96" w:rsidRPr="00BE6C96">
        <w:rPr>
          <w:rFonts w:asciiTheme="majorBidi" w:hAnsiTheme="majorBidi" w:cstheme="majorBidi"/>
          <w:color w:val="000000" w:themeColor="text1"/>
          <w:lang w:val="en-GB"/>
        </w:rPr>
        <w:t xml:space="preserve">metals present at concentrations far exceeding WHO guideline values; for instance, cadmium reached 0.48 mg/L in Cotonou, approximately 160 times the recommended 0.003 mg/L. Lead concentrations peaked at 0.76 mg/L in </w:t>
      </w:r>
      <w:proofErr w:type="spellStart"/>
      <w:r w:rsidR="00BE6C96" w:rsidRPr="00BE6C96">
        <w:rPr>
          <w:rFonts w:asciiTheme="majorBidi" w:hAnsiTheme="majorBidi" w:cstheme="majorBidi"/>
          <w:color w:val="000000" w:themeColor="text1"/>
          <w:lang w:val="en-GB"/>
        </w:rPr>
        <w:t>Natitingou</w:t>
      </w:r>
      <w:proofErr w:type="spellEnd"/>
      <w:r w:rsidR="00BE6C96" w:rsidRPr="00BE6C96">
        <w:rPr>
          <w:rFonts w:asciiTheme="majorBidi" w:hAnsiTheme="majorBidi" w:cstheme="majorBidi"/>
          <w:color w:val="000000" w:themeColor="text1"/>
          <w:lang w:val="en-GB"/>
        </w:rPr>
        <w:t xml:space="preserve">, significantly surpassing the 0.01 mg/L threshold. Iron levels were recorded at 8.76 mg/L versus a guideline of 0.3 mg/L. </w:t>
      </w:r>
      <w:r w:rsidR="00A8547B" w:rsidRPr="00BE6C96">
        <w:rPr>
          <w:rFonts w:asciiTheme="majorBidi" w:hAnsiTheme="majorBidi" w:cstheme="majorBidi"/>
          <w:color w:val="000000" w:themeColor="text1"/>
          <w:lang w:val="en-GB"/>
        </w:rPr>
        <w:t xml:space="preserve">Metal Index and Heavy Metal Pollution </w:t>
      </w:r>
      <w:proofErr w:type="gramStart"/>
      <w:r w:rsidR="00A8547B" w:rsidRPr="00BE6C96">
        <w:rPr>
          <w:rFonts w:asciiTheme="majorBidi" w:hAnsiTheme="majorBidi" w:cstheme="majorBidi"/>
          <w:color w:val="000000" w:themeColor="text1"/>
          <w:lang w:val="en-GB"/>
        </w:rPr>
        <w:t xml:space="preserve">Index </w:t>
      </w:r>
      <w:r w:rsidR="00BE6C96" w:rsidRPr="00BE6C96">
        <w:rPr>
          <w:rFonts w:asciiTheme="majorBidi" w:hAnsiTheme="majorBidi" w:cstheme="majorBidi"/>
          <w:color w:val="000000" w:themeColor="text1"/>
          <w:lang w:val="en-GB"/>
        </w:rPr>
        <w:t xml:space="preserve"> confirmed</w:t>
      </w:r>
      <w:proofErr w:type="gramEnd"/>
      <w:r w:rsidR="00BE6C96" w:rsidRPr="00BE6C96">
        <w:rPr>
          <w:rFonts w:asciiTheme="majorBidi" w:hAnsiTheme="majorBidi" w:cstheme="majorBidi"/>
          <w:color w:val="000000" w:themeColor="text1"/>
          <w:lang w:val="en-GB"/>
        </w:rPr>
        <w:t xml:space="preserve"> marked metal pollution, with </w:t>
      </w:r>
      <w:r w:rsidR="00A8547B" w:rsidRPr="00BE6C96">
        <w:rPr>
          <w:rFonts w:asciiTheme="majorBidi" w:hAnsiTheme="majorBidi" w:cstheme="majorBidi"/>
          <w:color w:val="000000" w:themeColor="text1"/>
          <w:lang w:val="en-GB"/>
        </w:rPr>
        <w:t xml:space="preserve">Heavy Metal Pollution Index </w:t>
      </w:r>
      <w:r w:rsidR="00BE6C96" w:rsidRPr="00BE6C96">
        <w:rPr>
          <w:rFonts w:asciiTheme="majorBidi" w:hAnsiTheme="majorBidi" w:cstheme="majorBidi"/>
          <w:color w:val="000000" w:themeColor="text1"/>
          <w:lang w:val="en-GB"/>
        </w:rPr>
        <w:t xml:space="preserve"> values reaching 8,698 in Cotonou. Health risk assessment revealed Hazard Indices well above 1 for both adults and children, alongside Cancer </w:t>
      </w:r>
      <w:proofErr w:type="gramStart"/>
      <w:r w:rsidR="00BE6C96" w:rsidRPr="00BE6C96">
        <w:rPr>
          <w:rFonts w:asciiTheme="majorBidi" w:hAnsiTheme="majorBidi" w:cstheme="majorBidi"/>
          <w:color w:val="000000" w:themeColor="text1"/>
          <w:lang w:val="en-GB"/>
        </w:rPr>
        <w:t>Risks  exceeding</w:t>
      </w:r>
      <w:proofErr w:type="gramEnd"/>
      <w:r w:rsidR="00BE6C96" w:rsidRPr="00BE6C96">
        <w:rPr>
          <w:rFonts w:asciiTheme="majorBidi" w:hAnsiTheme="majorBidi" w:cstheme="majorBidi"/>
          <w:color w:val="000000" w:themeColor="text1"/>
          <w:lang w:val="en-GB"/>
        </w:rPr>
        <w:t xml:space="preserve"> 10⁻⁴, with children in </w:t>
      </w:r>
      <w:proofErr w:type="spellStart"/>
      <w:r w:rsidR="00BE6C96" w:rsidRPr="00BE6C96">
        <w:rPr>
          <w:rFonts w:asciiTheme="majorBidi" w:hAnsiTheme="majorBidi" w:cstheme="majorBidi"/>
          <w:color w:val="000000" w:themeColor="text1"/>
          <w:lang w:val="en-GB"/>
        </w:rPr>
        <w:t>Natitingou</w:t>
      </w:r>
      <w:proofErr w:type="spellEnd"/>
      <w:r w:rsidR="00BE6C96" w:rsidRPr="00BE6C96">
        <w:rPr>
          <w:rFonts w:asciiTheme="majorBidi" w:hAnsiTheme="majorBidi" w:cstheme="majorBidi"/>
          <w:color w:val="000000" w:themeColor="text1"/>
          <w:lang w:val="en-GB"/>
        </w:rPr>
        <w:t xml:space="preserve"> exhibiting a CR of 2.29 × 10⁻³ (USEPA, 2011). </w:t>
      </w:r>
      <w:r w:rsidR="00F247E7">
        <w:rPr>
          <w:rFonts w:asciiTheme="majorBidi" w:hAnsiTheme="majorBidi" w:cstheme="majorBidi"/>
          <w:bCs/>
          <w:color w:val="000000" w:themeColor="text1"/>
          <w:lang w:val="en-US"/>
        </w:rPr>
        <w:t xml:space="preserve"> </w:t>
      </w:r>
      <w:r w:rsidRPr="00FC207F">
        <w:rPr>
          <w:rFonts w:asciiTheme="majorBidi" w:hAnsiTheme="majorBidi" w:cstheme="majorBidi"/>
          <w:b/>
          <w:color w:val="000000" w:themeColor="text1"/>
          <w:lang w:val="en-GB"/>
        </w:rPr>
        <w:t>Conclusion</w:t>
      </w:r>
      <w:r w:rsidRPr="00FC207F">
        <w:rPr>
          <w:rFonts w:asciiTheme="majorBidi" w:hAnsiTheme="majorBidi" w:cstheme="majorBidi"/>
          <w:color w:val="000000" w:themeColor="text1"/>
          <w:lang w:val="en-GB"/>
        </w:rPr>
        <w:t>:</w:t>
      </w:r>
      <w:r>
        <w:rPr>
          <w:rFonts w:asciiTheme="majorBidi" w:hAnsiTheme="majorBidi" w:cstheme="majorBidi"/>
          <w:color w:val="000000" w:themeColor="text1"/>
          <w:lang w:val="en-GB"/>
        </w:rPr>
        <w:t xml:space="preserve"> </w:t>
      </w:r>
      <w:r w:rsidR="00BE6C96" w:rsidRPr="00BE6C96">
        <w:rPr>
          <w:rFonts w:asciiTheme="majorBidi" w:hAnsiTheme="majorBidi" w:cstheme="majorBidi"/>
          <w:color w:val="000000" w:themeColor="text1"/>
          <w:lang w:val="en-GB"/>
        </w:rPr>
        <w:t xml:space="preserve">The quality of the studied well waters is a significant public health concern, underlining the urgent need to strengthen ecological management of </w:t>
      </w:r>
      <w:r w:rsidR="00A8547B" w:rsidRPr="00A8547B">
        <w:rPr>
          <w:rFonts w:asciiTheme="majorBidi" w:hAnsiTheme="majorBidi" w:cstheme="majorBidi"/>
          <w:bCs/>
          <w:color w:val="000000" w:themeColor="text1"/>
          <w:lang w:val="en-GB"/>
        </w:rPr>
        <w:t>Waste Electrical and Electronic Equipment</w:t>
      </w:r>
      <w:r w:rsidR="00BE6C96" w:rsidRPr="00BE6C96">
        <w:rPr>
          <w:rFonts w:asciiTheme="majorBidi" w:hAnsiTheme="majorBidi" w:cstheme="majorBidi"/>
          <w:color w:val="000000" w:themeColor="text1"/>
          <w:lang w:val="en-GB"/>
        </w:rPr>
        <w:t xml:space="preserve"> and groundwater monitoring.</w:t>
      </w:r>
    </w:p>
    <w:p w14:paraId="73375E3E" w14:textId="25E627FB" w:rsidR="00BE6C96" w:rsidRDefault="00BE6C96" w:rsidP="00BE6C96">
      <w:pPr>
        <w:spacing w:line="360" w:lineRule="auto"/>
        <w:jc w:val="both"/>
        <w:rPr>
          <w:rFonts w:asciiTheme="majorBidi" w:hAnsiTheme="majorBidi" w:cstheme="majorBidi"/>
          <w:color w:val="000000" w:themeColor="text1"/>
          <w:lang w:val="en-GB"/>
        </w:rPr>
      </w:pPr>
      <w:r w:rsidRPr="00BE6C96">
        <w:rPr>
          <w:rFonts w:asciiTheme="majorBidi" w:hAnsiTheme="majorBidi" w:cstheme="majorBidi"/>
          <w:b/>
          <w:bCs/>
          <w:color w:val="000000" w:themeColor="text1"/>
          <w:lang w:val="en-GB"/>
        </w:rPr>
        <w:t>Keywords</w:t>
      </w:r>
      <w:r w:rsidRPr="00BE6C96">
        <w:rPr>
          <w:rFonts w:asciiTheme="majorBidi" w:hAnsiTheme="majorBidi" w:cstheme="majorBidi"/>
          <w:color w:val="000000" w:themeColor="text1"/>
          <w:lang w:val="en-GB"/>
        </w:rPr>
        <w:t>: Groundwater, heavy metals, pollution indices, health risks, WEEE, Benin</w:t>
      </w:r>
    </w:p>
    <w:p w14:paraId="099885B4" w14:textId="3B4E02BD" w:rsidR="005460FD" w:rsidRDefault="005460FD" w:rsidP="00BE6C96">
      <w:pPr>
        <w:spacing w:line="360" w:lineRule="auto"/>
        <w:jc w:val="both"/>
        <w:rPr>
          <w:rFonts w:asciiTheme="majorBidi" w:hAnsiTheme="majorBidi" w:cstheme="majorBidi"/>
          <w:color w:val="000000" w:themeColor="text1"/>
          <w:lang w:val="en-GB"/>
        </w:rPr>
      </w:pPr>
    </w:p>
    <w:p w14:paraId="3ACBD6EA" w14:textId="77777777" w:rsidR="005460FD" w:rsidRDefault="005460FD" w:rsidP="00BE6C96">
      <w:pPr>
        <w:spacing w:line="360" w:lineRule="auto"/>
        <w:jc w:val="both"/>
        <w:rPr>
          <w:rFonts w:asciiTheme="majorBidi" w:hAnsiTheme="majorBidi" w:cstheme="majorBidi"/>
          <w:color w:val="000000" w:themeColor="text1"/>
          <w:lang w:val="en-GB"/>
        </w:rPr>
      </w:pPr>
    </w:p>
    <w:p w14:paraId="18DF6676" w14:textId="77777777" w:rsidR="00BE6C96" w:rsidRPr="00BE6C96" w:rsidRDefault="00BE6C96" w:rsidP="00BE6C96">
      <w:pPr>
        <w:spacing w:line="360" w:lineRule="auto"/>
        <w:jc w:val="both"/>
        <w:rPr>
          <w:rFonts w:asciiTheme="majorBidi" w:hAnsiTheme="majorBidi" w:cstheme="majorBidi"/>
          <w:color w:val="000000" w:themeColor="text1"/>
          <w:lang w:val="en-GB"/>
        </w:rPr>
      </w:pPr>
    </w:p>
    <w:p w14:paraId="2E27711A" w14:textId="7564A1CC" w:rsidR="00BE6C96" w:rsidRPr="00BE6C96" w:rsidRDefault="00BE6C96" w:rsidP="00BE6C96">
      <w:pPr>
        <w:spacing w:line="360" w:lineRule="auto"/>
        <w:rPr>
          <w:rFonts w:asciiTheme="majorBidi" w:hAnsiTheme="majorBidi" w:cstheme="majorBidi"/>
          <w:color w:val="000000" w:themeColor="text1"/>
          <w:lang w:val="en-GB"/>
        </w:rPr>
      </w:pPr>
      <w:r w:rsidRPr="00BE6C96">
        <w:rPr>
          <w:rFonts w:asciiTheme="majorBidi" w:hAnsiTheme="majorBidi" w:cstheme="majorBidi"/>
          <w:b/>
          <w:bCs/>
          <w:color w:val="000000" w:themeColor="text1"/>
          <w:lang w:val="en-GB"/>
        </w:rPr>
        <w:lastRenderedPageBreak/>
        <w:t>1. Introduction</w:t>
      </w:r>
      <w:r w:rsidRPr="00BE6C96">
        <w:rPr>
          <w:rFonts w:asciiTheme="majorBidi" w:hAnsiTheme="majorBidi" w:cstheme="majorBidi"/>
          <w:b/>
          <w:bCs/>
          <w:color w:val="000000" w:themeColor="text1"/>
          <w:lang w:val="en-GB"/>
        </w:rPr>
        <w:br/>
      </w:r>
      <w:r w:rsidRPr="00BE6C96">
        <w:rPr>
          <w:rFonts w:asciiTheme="majorBidi" w:hAnsiTheme="majorBidi" w:cstheme="majorBidi"/>
          <w:color w:val="000000" w:themeColor="text1"/>
          <w:lang w:val="en-GB"/>
        </w:rPr>
        <w:t xml:space="preserve">Groundwater is among the most essential resources for human survival. However, this vital resource is increasingly threatened by both anthropogenic and natural contamination. Among the most concerning pollutants are heavy metals, noted for their persistence, toxicity, and </w:t>
      </w:r>
      <w:proofErr w:type="spellStart"/>
      <w:r w:rsidRPr="00BE6C96">
        <w:rPr>
          <w:rFonts w:asciiTheme="majorBidi" w:hAnsiTheme="majorBidi" w:cstheme="majorBidi"/>
          <w:color w:val="000000" w:themeColor="text1"/>
          <w:lang w:val="en-GB"/>
        </w:rPr>
        <w:t>bioaccumulative</w:t>
      </w:r>
      <w:proofErr w:type="spellEnd"/>
      <w:r w:rsidRPr="00BE6C96">
        <w:rPr>
          <w:rFonts w:asciiTheme="majorBidi" w:hAnsiTheme="majorBidi" w:cstheme="majorBidi"/>
          <w:color w:val="000000" w:themeColor="text1"/>
          <w:lang w:val="en-GB"/>
        </w:rPr>
        <w:t xml:space="preserve"> potential </w:t>
      </w:r>
      <w:r w:rsidRPr="0027065D">
        <w:rPr>
          <w:rFonts w:asciiTheme="majorBidi" w:hAnsiTheme="majorBidi" w:cstheme="majorBidi"/>
          <w:color w:val="000000" w:themeColor="text1"/>
          <w:lang w:val="en-GB"/>
        </w:rPr>
        <w:t>(</w:t>
      </w:r>
      <w:proofErr w:type="spellStart"/>
      <w:r w:rsidR="0027065D" w:rsidRPr="0027065D">
        <w:rPr>
          <w:lang w:val="en-GB"/>
        </w:rPr>
        <w:t>Tirkey</w:t>
      </w:r>
      <w:proofErr w:type="spellEnd"/>
      <w:r w:rsidR="0027065D" w:rsidRPr="0027065D">
        <w:rPr>
          <w:rFonts w:asciiTheme="majorBidi" w:hAnsiTheme="majorBidi" w:cstheme="majorBidi"/>
          <w:color w:val="000000" w:themeColor="text1"/>
          <w:lang w:val="en-GB"/>
        </w:rPr>
        <w:t xml:space="preserve"> et al., 2017; </w:t>
      </w:r>
      <w:proofErr w:type="spellStart"/>
      <w:r w:rsidRPr="0027065D">
        <w:rPr>
          <w:rFonts w:asciiTheme="majorBidi" w:hAnsiTheme="majorBidi" w:cstheme="majorBidi"/>
          <w:color w:val="000000" w:themeColor="text1"/>
          <w:lang w:val="en-GB"/>
        </w:rPr>
        <w:t>Sbai</w:t>
      </w:r>
      <w:proofErr w:type="spellEnd"/>
      <w:r w:rsidRPr="0027065D">
        <w:rPr>
          <w:rFonts w:asciiTheme="majorBidi" w:hAnsiTheme="majorBidi" w:cstheme="majorBidi"/>
          <w:color w:val="000000" w:themeColor="text1"/>
          <w:lang w:val="en-GB"/>
        </w:rPr>
        <w:t xml:space="preserve"> et al., 2024). </w:t>
      </w:r>
      <w:r w:rsidRPr="00BE6C96">
        <w:rPr>
          <w:rFonts w:asciiTheme="majorBidi" w:hAnsiTheme="majorBidi" w:cstheme="majorBidi"/>
          <w:color w:val="000000" w:themeColor="text1"/>
          <w:lang w:val="en-GB"/>
        </w:rPr>
        <w:t>Heavy metals may originate from natural geological processes, such as rock weathering or mineral dissolution, but excessive concentrations in groundwater predominantly arise from human activities.</w:t>
      </w:r>
    </w:p>
    <w:p w14:paraId="3A2AC099" w14:textId="75223169" w:rsidR="00BE6C96" w:rsidRPr="00BE6C96" w:rsidRDefault="00BE6C96" w:rsidP="00BE6C96">
      <w:pPr>
        <w:spacing w:line="360" w:lineRule="auto"/>
        <w:jc w:val="both"/>
        <w:rPr>
          <w:rFonts w:asciiTheme="majorBidi" w:hAnsiTheme="majorBidi" w:cstheme="majorBidi"/>
          <w:color w:val="000000" w:themeColor="text1"/>
          <w:lang w:val="en-GB"/>
        </w:rPr>
      </w:pPr>
      <w:r w:rsidRPr="00BE6C96">
        <w:rPr>
          <w:rFonts w:asciiTheme="majorBidi" w:hAnsiTheme="majorBidi" w:cstheme="majorBidi"/>
          <w:color w:val="000000" w:themeColor="text1"/>
          <w:lang w:val="en-GB"/>
        </w:rPr>
        <w:t xml:space="preserve">In numerous developing countries, heavy metal concentrations frequently exceed recommended quality thresholds, rendering these elements primary contaminants of aquifers (Adeyemi &amp; </w:t>
      </w:r>
      <w:proofErr w:type="spellStart"/>
      <w:r w:rsidRPr="00BE6C96">
        <w:rPr>
          <w:rFonts w:asciiTheme="majorBidi" w:hAnsiTheme="majorBidi" w:cstheme="majorBidi"/>
          <w:color w:val="000000" w:themeColor="text1"/>
          <w:lang w:val="en-GB"/>
        </w:rPr>
        <w:t>Ojekunle</w:t>
      </w:r>
      <w:proofErr w:type="spellEnd"/>
      <w:r w:rsidRPr="00BE6C96">
        <w:rPr>
          <w:rFonts w:asciiTheme="majorBidi" w:hAnsiTheme="majorBidi" w:cstheme="majorBidi"/>
          <w:color w:val="000000" w:themeColor="text1"/>
          <w:lang w:val="en-GB"/>
        </w:rPr>
        <w:t>, 2021). Their presence is attributed to both natural phenomena and increasing anthropogenic pressures (Mthembu et al., 2022). While some play essential biological roles, metals such as copper (Cu), iron (Fe), lead (Pb), chromium (Cr), cadmium (Cd), nickel (Ni), arsenic (As), and zinc (Zn) are regularly detected in groundwater worldwide, including in Limpopo Province, South Africa (</w:t>
      </w:r>
      <w:proofErr w:type="spellStart"/>
      <w:r w:rsidRPr="00BE6C96">
        <w:rPr>
          <w:rFonts w:asciiTheme="majorBidi" w:hAnsiTheme="majorBidi" w:cstheme="majorBidi"/>
          <w:color w:val="000000" w:themeColor="text1"/>
          <w:lang w:val="en-GB"/>
        </w:rPr>
        <w:t>Durowoju</w:t>
      </w:r>
      <w:proofErr w:type="spellEnd"/>
      <w:r w:rsidRPr="00BE6C96">
        <w:rPr>
          <w:rFonts w:asciiTheme="majorBidi" w:hAnsiTheme="majorBidi" w:cstheme="majorBidi"/>
          <w:color w:val="000000" w:themeColor="text1"/>
          <w:lang w:val="en-GB"/>
        </w:rPr>
        <w:t xml:space="preserve"> et al., 2020) and Za-</w:t>
      </w:r>
      <w:proofErr w:type="spellStart"/>
      <w:r w:rsidRPr="00BE6C96">
        <w:rPr>
          <w:rFonts w:asciiTheme="majorBidi" w:hAnsiTheme="majorBidi" w:cstheme="majorBidi"/>
          <w:color w:val="000000" w:themeColor="text1"/>
          <w:lang w:val="en-GB"/>
        </w:rPr>
        <w:t>Kpota</w:t>
      </w:r>
      <w:proofErr w:type="spellEnd"/>
      <w:r w:rsidRPr="00BE6C96">
        <w:rPr>
          <w:rFonts w:asciiTheme="majorBidi" w:hAnsiTheme="majorBidi" w:cstheme="majorBidi"/>
          <w:color w:val="000000" w:themeColor="text1"/>
          <w:lang w:val="en-GB"/>
        </w:rPr>
        <w:t>, Benin (</w:t>
      </w:r>
      <w:proofErr w:type="spellStart"/>
      <w:r w:rsidRPr="00BE6C96">
        <w:rPr>
          <w:rFonts w:asciiTheme="majorBidi" w:hAnsiTheme="majorBidi" w:cstheme="majorBidi"/>
          <w:color w:val="000000" w:themeColor="text1"/>
          <w:lang w:val="en-GB"/>
        </w:rPr>
        <w:t>Ahlonsou</w:t>
      </w:r>
      <w:proofErr w:type="spellEnd"/>
      <w:r w:rsidRPr="00BE6C96">
        <w:rPr>
          <w:rFonts w:asciiTheme="majorBidi" w:hAnsiTheme="majorBidi" w:cstheme="majorBidi"/>
          <w:color w:val="000000" w:themeColor="text1"/>
          <w:lang w:val="en-GB"/>
        </w:rPr>
        <w:t xml:space="preserve"> et al., 2024). Their persistence, non-biodegradability, and tendency to bioaccumulate pose serious concerns (</w:t>
      </w:r>
      <w:proofErr w:type="spellStart"/>
      <w:r w:rsidRPr="00BE6C96">
        <w:rPr>
          <w:rFonts w:asciiTheme="majorBidi" w:hAnsiTheme="majorBidi" w:cstheme="majorBidi"/>
          <w:color w:val="000000" w:themeColor="text1"/>
          <w:lang w:val="en-GB"/>
        </w:rPr>
        <w:t>Tchounwou</w:t>
      </w:r>
      <w:proofErr w:type="spellEnd"/>
      <w:r w:rsidRPr="00BE6C96">
        <w:rPr>
          <w:rFonts w:asciiTheme="majorBidi" w:hAnsiTheme="majorBidi" w:cstheme="majorBidi"/>
          <w:color w:val="000000" w:themeColor="text1"/>
          <w:lang w:val="en-GB"/>
        </w:rPr>
        <w:t xml:space="preserve"> et al., 2012</w:t>
      </w:r>
      <w:r w:rsidR="0027065D">
        <w:rPr>
          <w:rFonts w:asciiTheme="majorBidi" w:hAnsiTheme="majorBidi" w:cstheme="majorBidi"/>
          <w:color w:val="000000" w:themeColor="text1"/>
          <w:lang w:val="en-GB"/>
        </w:rPr>
        <w:t xml:space="preserve">; </w:t>
      </w:r>
      <w:r w:rsidR="0027065D" w:rsidRPr="0027065D">
        <w:rPr>
          <w:lang w:val="en-US"/>
        </w:rPr>
        <w:t>Zhang et al.,2020</w:t>
      </w:r>
      <w:r w:rsidRPr="0027065D">
        <w:rPr>
          <w:rFonts w:asciiTheme="majorBidi" w:hAnsiTheme="majorBidi" w:cstheme="majorBidi"/>
          <w:color w:val="000000" w:themeColor="text1"/>
          <w:lang w:val="en-GB"/>
        </w:rPr>
        <w:t>).</w:t>
      </w:r>
      <w:r w:rsidRPr="00BE6C96">
        <w:rPr>
          <w:rFonts w:asciiTheme="majorBidi" w:hAnsiTheme="majorBidi" w:cstheme="majorBidi"/>
          <w:color w:val="000000" w:themeColor="text1"/>
          <w:lang w:val="en-GB"/>
        </w:rPr>
        <w:t xml:space="preserve"> Chronic exposure, even at low doses, may result in carcinogenic, mutagenic or teratogenic effects (</w:t>
      </w:r>
      <w:proofErr w:type="spellStart"/>
      <w:r w:rsidRPr="00BE6C96">
        <w:rPr>
          <w:rFonts w:asciiTheme="majorBidi" w:hAnsiTheme="majorBidi" w:cstheme="majorBidi"/>
          <w:color w:val="000000" w:themeColor="text1"/>
          <w:lang w:val="en-GB"/>
        </w:rPr>
        <w:t>Jaishankar</w:t>
      </w:r>
      <w:proofErr w:type="spellEnd"/>
      <w:r w:rsidRPr="00BE6C96">
        <w:rPr>
          <w:rFonts w:asciiTheme="majorBidi" w:hAnsiTheme="majorBidi" w:cstheme="majorBidi"/>
          <w:color w:val="000000" w:themeColor="text1"/>
          <w:lang w:val="en-GB"/>
        </w:rPr>
        <w:t xml:space="preserve"> et al., 2014). Prolonged cadmium intake has been linked to bone lesions, renal dysfunction, and increased cancer risk (</w:t>
      </w:r>
      <w:proofErr w:type="spellStart"/>
      <w:r w:rsidRPr="00BE6C96">
        <w:rPr>
          <w:rFonts w:asciiTheme="majorBidi" w:hAnsiTheme="majorBidi" w:cstheme="majorBidi"/>
          <w:color w:val="000000" w:themeColor="text1"/>
          <w:lang w:val="en-GB"/>
        </w:rPr>
        <w:t>Belabed</w:t>
      </w:r>
      <w:proofErr w:type="spellEnd"/>
      <w:r w:rsidRPr="00BE6C96">
        <w:rPr>
          <w:rFonts w:asciiTheme="majorBidi" w:hAnsiTheme="majorBidi" w:cstheme="majorBidi"/>
          <w:color w:val="000000" w:themeColor="text1"/>
          <w:lang w:val="en-GB"/>
        </w:rPr>
        <w:t xml:space="preserve"> et al., 2018), whereas groundwater with excessive iron has been associated with fatigue and joint inflammation (Ahmed et al., 2019).</w:t>
      </w:r>
    </w:p>
    <w:p w14:paraId="152B725F" w14:textId="77777777" w:rsidR="00BE6C96" w:rsidRPr="00BE6C96" w:rsidRDefault="00BE6C96" w:rsidP="00BE6C96">
      <w:pPr>
        <w:spacing w:line="360" w:lineRule="auto"/>
        <w:jc w:val="both"/>
        <w:rPr>
          <w:rFonts w:asciiTheme="majorBidi" w:hAnsiTheme="majorBidi" w:cstheme="majorBidi"/>
          <w:color w:val="000000" w:themeColor="text1"/>
          <w:lang w:val="en-GB"/>
        </w:rPr>
      </w:pPr>
      <w:r w:rsidRPr="00BE6C96">
        <w:rPr>
          <w:rFonts w:asciiTheme="majorBidi" w:hAnsiTheme="majorBidi" w:cstheme="majorBidi"/>
          <w:color w:val="000000" w:themeColor="text1"/>
          <w:lang w:val="en-GB"/>
        </w:rPr>
        <w:t>Additional pollution sources include industrial effluents, mining activities, fertiliser and pesticide use, and improper solid waste management. Open-air dumps, especially those containing electronic waste, pose particular risks, as metals like lead, cadmium, copper, and zinc gradually leach into aquifers (Liu et al., 2025). The health effects of heavy metal contamination in drinking water are well documented: lead affects neurological development, particularly in children, while cadmium can damage kidneys and bones (WHO, 2021). Hexavalent chromium is a confirmed carcinogen; nickel and copper, although biologically necessary in trace amounts, become toxic at elevated levels (WHO, 2021). Mercury, in both organic and inorganic forms, presents serious threats to renal, neurological, and cognitive development (Emmanuel et al., 2022). Beyond human health, groundwater heavy metal contamination harms soil quality, agricultural productivity, and causes bioaccumulation through aquatic and terrestrial food chains, indirectly increasing human exposure via food and drinking water (</w:t>
      </w:r>
      <w:proofErr w:type="spellStart"/>
      <w:r w:rsidRPr="00BE6C96">
        <w:rPr>
          <w:rFonts w:asciiTheme="majorBidi" w:hAnsiTheme="majorBidi" w:cstheme="majorBidi"/>
          <w:color w:val="000000" w:themeColor="text1"/>
          <w:lang w:val="en-GB"/>
        </w:rPr>
        <w:t>Sbai</w:t>
      </w:r>
      <w:proofErr w:type="spellEnd"/>
      <w:r w:rsidRPr="00BE6C96">
        <w:rPr>
          <w:rFonts w:asciiTheme="majorBidi" w:hAnsiTheme="majorBidi" w:cstheme="majorBidi"/>
          <w:color w:val="000000" w:themeColor="text1"/>
          <w:lang w:val="en-GB"/>
        </w:rPr>
        <w:t xml:space="preserve"> et al., 2024).</w:t>
      </w:r>
    </w:p>
    <w:p w14:paraId="3ECF503F" w14:textId="77777777" w:rsidR="00BE6C96" w:rsidRPr="00BE6C96" w:rsidRDefault="00BE6C96" w:rsidP="00BE6C96">
      <w:pPr>
        <w:spacing w:line="360" w:lineRule="auto"/>
        <w:jc w:val="both"/>
        <w:rPr>
          <w:rFonts w:asciiTheme="majorBidi" w:hAnsiTheme="majorBidi" w:cstheme="majorBidi"/>
          <w:color w:val="000000" w:themeColor="text1"/>
          <w:lang w:val="en-GB"/>
        </w:rPr>
      </w:pPr>
      <w:r w:rsidRPr="00BE6C96">
        <w:rPr>
          <w:rFonts w:asciiTheme="majorBidi" w:hAnsiTheme="majorBidi" w:cstheme="majorBidi"/>
          <w:color w:val="000000" w:themeColor="text1"/>
          <w:lang w:val="en-GB"/>
        </w:rPr>
        <w:lastRenderedPageBreak/>
        <w:t xml:space="preserve">Several assessment tools exist to evaluate pollution extent. The Heavy Metal Pollution Index (HPI) is widely used to consolidate complex water quality data into a single value, facilitating interpretation (Sanad et al., 2024; </w:t>
      </w:r>
      <w:proofErr w:type="spellStart"/>
      <w:r w:rsidRPr="00BE6C96">
        <w:rPr>
          <w:rFonts w:asciiTheme="majorBidi" w:hAnsiTheme="majorBidi" w:cstheme="majorBidi"/>
          <w:color w:val="000000" w:themeColor="text1"/>
          <w:lang w:val="en-GB"/>
        </w:rPr>
        <w:t>Anitha</w:t>
      </w:r>
      <w:proofErr w:type="spellEnd"/>
      <w:r w:rsidRPr="00BE6C96">
        <w:rPr>
          <w:rFonts w:asciiTheme="majorBidi" w:hAnsiTheme="majorBidi" w:cstheme="majorBidi"/>
          <w:color w:val="000000" w:themeColor="text1"/>
          <w:lang w:val="en-GB"/>
        </w:rPr>
        <w:t xml:space="preserve"> et al., 2021). It aids in conveying scientific results to non-specialists (Shankar et al., 2019) and involves standardised steps such as metal selection, concentration normalisation, weighting, and sub-index aggregation (</w:t>
      </w:r>
      <w:proofErr w:type="spellStart"/>
      <w:r w:rsidRPr="00BE6C96">
        <w:rPr>
          <w:rFonts w:asciiTheme="majorBidi" w:hAnsiTheme="majorBidi" w:cstheme="majorBidi"/>
          <w:color w:val="000000" w:themeColor="text1"/>
          <w:lang w:val="en-GB"/>
        </w:rPr>
        <w:t>Badeenezhad</w:t>
      </w:r>
      <w:proofErr w:type="spellEnd"/>
      <w:r w:rsidRPr="00BE6C96">
        <w:rPr>
          <w:rFonts w:asciiTheme="majorBidi" w:hAnsiTheme="majorBidi" w:cstheme="majorBidi"/>
          <w:color w:val="000000" w:themeColor="text1"/>
          <w:lang w:val="en-GB"/>
        </w:rPr>
        <w:t xml:space="preserve"> et al., 2023). Numerous studies have demonstrated HPI’s effectiveness for assessing groundwater quality in diverse contexts (</w:t>
      </w:r>
      <w:proofErr w:type="spellStart"/>
      <w:r w:rsidRPr="00BE6C96">
        <w:rPr>
          <w:rFonts w:asciiTheme="majorBidi" w:hAnsiTheme="majorBidi" w:cstheme="majorBidi"/>
          <w:color w:val="000000" w:themeColor="text1"/>
          <w:lang w:val="en-GB"/>
        </w:rPr>
        <w:t>Hartiningsih</w:t>
      </w:r>
      <w:proofErr w:type="spellEnd"/>
      <w:r w:rsidRPr="00BE6C96">
        <w:rPr>
          <w:rFonts w:asciiTheme="majorBidi" w:hAnsiTheme="majorBidi" w:cstheme="majorBidi"/>
          <w:color w:val="000000" w:themeColor="text1"/>
          <w:lang w:val="en-GB"/>
        </w:rPr>
        <w:t xml:space="preserve"> et al., 2024; </w:t>
      </w:r>
      <w:proofErr w:type="spellStart"/>
      <w:r w:rsidRPr="00BE6C96">
        <w:rPr>
          <w:rFonts w:asciiTheme="majorBidi" w:hAnsiTheme="majorBidi" w:cstheme="majorBidi"/>
          <w:color w:val="000000" w:themeColor="text1"/>
          <w:lang w:val="en-GB"/>
        </w:rPr>
        <w:t>Eldaw</w:t>
      </w:r>
      <w:proofErr w:type="spellEnd"/>
      <w:r w:rsidRPr="00BE6C96">
        <w:rPr>
          <w:rFonts w:asciiTheme="majorBidi" w:hAnsiTheme="majorBidi" w:cstheme="majorBidi"/>
          <w:color w:val="000000" w:themeColor="text1"/>
          <w:lang w:val="en-GB"/>
        </w:rPr>
        <w:t xml:space="preserve"> et al., 2020; Majumdar et al., 2024). Indices like the Metal Index (MI) and HPI provide integrated views of water quality relative to studied metals and highlight zones with critical standard exceedances (</w:t>
      </w:r>
      <w:proofErr w:type="spellStart"/>
      <w:r w:rsidRPr="00BE6C96">
        <w:rPr>
          <w:rFonts w:asciiTheme="majorBidi" w:hAnsiTheme="majorBidi" w:cstheme="majorBidi"/>
          <w:color w:val="000000" w:themeColor="text1"/>
          <w:lang w:val="en-GB"/>
        </w:rPr>
        <w:t>Sbai</w:t>
      </w:r>
      <w:proofErr w:type="spellEnd"/>
      <w:r w:rsidRPr="00BE6C96">
        <w:rPr>
          <w:rFonts w:asciiTheme="majorBidi" w:hAnsiTheme="majorBidi" w:cstheme="majorBidi"/>
          <w:color w:val="000000" w:themeColor="text1"/>
          <w:lang w:val="en-GB"/>
        </w:rPr>
        <w:t xml:space="preserve"> et al., 2024). Complementarily, Health Risk Assessment (HRA) frameworks calculate Chronic Daily Intake (CDI), Hazard Quotient (HQ), Hazard Index (HI), and Cancer Risk (CR) to quantify population threats. These methods typically show children face higher risks than adults due to lower body mass and higher relative water consumption (Emmanuel et al., 2022). Frequently, HQ and HI values exceed safety limits prescribed by international agencies, while CR values reveal notable carcinogenic risks, particularly from cadmium and lead. Recent investigations in arid regions such as Xining, China, have revealed the spatial and temporal variability of contamination complicates sustainable water resource management.</w:t>
      </w:r>
    </w:p>
    <w:p w14:paraId="32466165" w14:textId="39808984" w:rsidR="00BE6C96" w:rsidRDefault="00BE6C96" w:rsidP="00BE6C96">
      <w:pPr>
        <w:spacing w:line="360" w:lineRule="auto"/>
        <w:jc w:val="both"/>
        <w:rPr>
          <w:rFonts w:asciiTheme="majorBidi" w:hAnsiTheme="majorBidi" w:cstheme="majorBidi"/>
          <w:color w:val="000000" w:themeColor="text1"/>
          <w:lang w:val="en-GB"/>
        </w:rPr>
      </w:pPr>
      <w:r w:rsidRPr="00BE6C96">
        <w:rPr>
          <w:rFonts w:asciiTheme="majorBidi" w:hAnsiTheme="majorBidi" w:cstheme="majorBidi"/>
          <w:color w:val="000000" w:themeColor="text1"/>
          <w:lang w:val="en-GB"/>
        </w:rPr>
        <w:t>In Benin, groundwater is extensively used for domestic purposes in urban and rural settings, as well as for agriculture and livestock (</w:t>
      </w:r>
      <w:proofErr w:type="spellStart"/>
      <w:r w:rsidRPr="00BE6C96">
        <w:rPr>
          <w:rFonts w:asciiTheme="majorBidi" w:hAnsiTheme="majorBidi" w:cstheme="majorBidi"/>
          <w:color w:val="000000" w:themeColor="text1"/>
          <w:lang w:val="en-GB"/>
        </w:rPr>
        <w:t>Boukari</w:t>
      </w:r>
      <w:proofErr w:type="spellEnd"/>
      <w:r w:rsidRPr="00BE6C96">
        <w:rPr>
          <w:rFonts w:asciiTheme="majorBidi" w:hAnsiTheme="majorBidi" w:cstheme="majorBidi"/>
          <w:color w:val="000000" w:themeColor="text1"/>
          <w:lang w:val="en-GB"/>
        </w:rPr>
        <w:t xml:space="preserve"> et al., 2018). Central regions exhibit a minimum recharge estimate of approximately 1.09 × 10⁹ m³/year, insufficient in densely populated areas (</w:t>
      </w:r>
      <w:proofErr w:type="spellStart"/>
      <w:r w:rsidRPr="00BE6C96">
        <w:rPr>
          <w:rFonts w:asciiTheme="majorBidi" w:hAnsiTheme="majorBidi" w:cstheme="majorBidi"/>
          <w:color w:val="000000" w:themeColor="text1"/>
          <w:lang w:val="en-GB"/>
        </w:rPr>
        <w:t>Kpegli</w:t>
      </w:r>
      <w:proofErr w:type="spellEnd"/>
      <w:r w:rsidRPr="00BE6C96">
        <w:rPr>
          <w:rFonts w:asciiTheme="majorBidi" w:hAnsiTheme="majorBidi" w:cstheme="majorBidi"/>
          <w:color w:val="000000" w:themeColor="text1"/>
          <w:lang w:val="en-GB"/>
        </w:rPr>
        <w:t xml:space="preserve"> et al., 2024). Urban expansion and farming practices in Za-</w:t>
      </w:r>
      <w:proofErr w:type="spellStart"/>
      <w:r w:rsidRPr="00BE6C96">
        <w:rPr>
          <w:rFonts w:asciiTheme="majorBidi" w:hAnsiTheme="majorBidi" w:cstheme="majorBidi"/>
          <w:color w:val="000000" w:themeColor="text1"/>
          <w:lang w:val="en-GB"/>
        </w:rPr>
        <w:t>Kpota</w:t>
      </w:r>
      <w:proofErr w:type="spellEnd"/>
      <w:r w:rsidRPr="00BE6C96">
        <w:rPr>
          <w:rFonts w:asciiTheme="majorBidi" w:hAnsiTheme="majorBidi" w:cstheme="majorBidi"/>
          <w:color w:val="000000" w:themeColor="text1"/>
          <w:lang w:val="en-GB"/>
        </w:rPr>
        <w:t xml:space="preserve"> (southern Benin) contribute to deterioration of well and borehole water quality (</w:t>
      </w:r>
      <w:proofErr w:type="spellStart"/>
      <w:r w:rsidRPr="00BE6C96">
        <w:rPr>
          <w:rFonts w:asciiTheme="majorBidi" w:hAnsiTheme="majorBidi" w:cstheme="majorBidi"/>
          <w:color w:val="000000" w:themeColor="text1"/>
          <w:lang w:val="en-GB"/>
        </w:rPr>
        <w:t>Ahlonsou</w:t>
      </w:r>
      <w:proofErr w:type="spellEnd"/>
      <w:r w:rsidRPr="00BE6C96">
        <w:rPr>
          <w:rFonts w:asciiTheme="majorBidi" w:hAnsiTheme="majorBidi" w:cstheme="majorBidi"/>
          <w:color w:val="000000" w:themeColor="text1"/>
          <w:lang w:val="en-GB"/>
        </w:rPr>
        <w:t xml:space="preserve"> et al., 2024). Simultaneously, WEEE management is rapidly developing in West Africa, with Benin marked by limited regulation and significant waste generation (UNEP, 2011). Surveys reveal repairers, households, and waste reclaimers are at environmental and health risk (</w:t>
      </w:r>
      <w:proofErr w:type="spellStart"/>
      <w:r w:rsidRPr="00BE6C96">
        <w:rPr>
          <w:rFonts w:asciiTheme="majorBidi" w:hAnsiTheme="majorBidi" w:cstheme="majorBidi"/>
          <w:color w:val="000000" w:themeColor="text1"/>
          <w:lang w:val="en-GB"/>
        </w:rPr>
        <w:t>Topanou</w:t>
      </w:r>
      <w:proofErr w:type="spellEnd"/>
      <w:r w:rsidRPr="00BE6C96">
        <w:rPr>
          <w:rFonts w:asciiTheme="majorBidi" w:hAnsiTheme="majorBidi" w:cstheme="majorBidi"/>
          <w:color w:val="000000" w:themeColor="text1"/>
          <w:lang w:val="en-GB"/>
        </w:rPr>
        <w:t xml:space="preserve"> et al., 2025). WEEE disposal sites frequently lie adjacent to densely populated districts, exposing residents using nearby wells to potential metal contamination. Previous studies have documented cadmium, lead, copper, and zinc contamination in wells and boreholes consumed by local populations in urban Benin (</w:t>
      </w:r>
      <w:proofErr w:type="spellStart"/>
      <w:r w:rsidRPr="00BE6C96">
        <w:rPr>
          <w:rFonts w:asciiTheme="majorBidi" w:hAnsiTheme="majorBidi" w:cstheme="majorBidi"/>
          <w:color w:val="000000" w:themeColor="text1"/>
          <w:lang w:val="en-GB"/>
        </w:rPr>
        <w:t>Dovonou</w:t>
      </w:r>
      <w:proofErr w:type="spellEnd"/>
      <w:r w:rsidRPr="00BE6C96">
        <w:rPr>
          <w:rFonts w:asciiTheme="majorBidi" w:hAnsiTheme="majorBidi" w:cstheme="majorBidi"/>
          <w:color w:val="000000" w:themeColor="text1"/>
          <w:lang w:val="en-GB"/>
        </w:rPr>
        <w:t xml:space="preserve"> et al., 2014; </w:t>
      </w:r>
      <w:proofErr w:type="spellStart"/>
      <w:r w:rsidRPr="00BE6C96">
        <w:rPr>
          <w:rFonts w:asciiTheme="majorBidi" w:hAnsiTheme="majorBidi" w:cstheme="majorBidi"/>
          <w:color w:val="000000" w:themeColor="text1"/>
          <w:lang w:val="en-GB"/>
        </w:rPr>
        <w:t>Azokpota</w:t>
      </w:r>
      <w:proofErr w:type="spellEnd"/>
      <w:r w:rsidRPr="00BE6C96">
        <w:rPr>
          <w:rFonts w:asciiTheme="majorBidi" w:hAnsiTheme="majorBidi" w:cstheme="majorBidi"/>
          <w:color w:val="000000" w:themeColor="text1"/>
          <w:lang w:val="en-GB"/>
        </w:rPr>
        <w:t xml:space="preserve"> et al., 2022). These investigations highlight links between anthropogenic pollution, domestic and agricultural activities, and groundwater deterioration. Yet, no comprehensive study integrating pollution indices (MI, HPI) with health risk assessment (HRA) has been conducted in these areas. Existing work mainly quantifies metal levels in selected municipalities (e.g. </w:t>
      </w:r>
      <w:proofErr w:type="spellStart"/>
      <w:r w:rsidRPr="00BE6C96">
        <w:rPr>
          <w:rFonts w:asciiTheme="majorBidi" w:hAnsiTheme="majorBidi" w:cstheme="majorBidi"/>
          <w:color w:val="000000" w:themeColor="text1"/>
          <w:lang w:val="en-GB"/>
        </w:rPr>
        <w:t>Godomey</w:t>
      </w:r>
      <w:proofErr w:type="spellEnd"/>
      <w:r w:rsidRPr="00BE6C96">
        <w:rPr>
          <w:rFonts w:asciiTheme="majorBidi" w:hAnsiTheme="majorBidi" w:cstheme="majorBidi"/>
          <w:color w:val="000000" w:themeColor="text1"/>
          <w:lang w:val="en-GB"/>
        </w:rPr>
        <w:t>, Za-</w:t>
      </w:r>
      <w:proofErr w:type="spellStart"/>
      <w:r w:rsidRPr="00BE6C96">
        <w:rPr>
          <w:rFonts w:asciiTheme="majorBidi" w:hAnsiTheme="majorBidi" w:cstheme="majorBidi"/>
          <w:color w:val="000000" w:themeColor="text1"/>
          <w:lang w:val="en-GB"/>
        </w:rPr>
        <w:t>Kpota</w:t>
      </w:r>
      <w:proofErr w:type="spellEnd"/>
      <w:r w:rsidRPr="00BE6C96">
        <w:rPr>
          <w:rFonts w:asciiTheme="majorBidi" w:hAnsiTheme="majorBidi" w:cstheme="majorBidi"/>
          <w:color w:val="000000" w:themeColor="text1"/>
          <w:lang w:val="en-GB"/>
        </w:rPr>
        <w:t>) (</w:t>
      </w:r>
      <w:proofErr w:type="spellStart"/>
      <w:r w:rsidRPr="00BE6C96">
        <w:rPr>
          <w:rFonts w:asciiTheme="majorBidi" w:hAnsiTheme="majorBidi" w:cstheme="majorBidi"/>
          <w:color w:val="000000" w:themeColor="text1"/>
          <w:lang w:val="en-GB"/>
        </w:rPr>
        <w:t>Dovonou</w:t>
      </w:r>
      <w:proofErr w:type="spellEnd"/>
      <w:r w:rsidRPr="00BE6C96">
        <w:rPr>
          <w:rFonts w:asciiTheme="majorBidi" w:hAnsiTheme="majorBidi" w:cstheme="majorBidi"/>
          <w:color w:val="000000" w:themeColor="text1"/>
          <w:lang w:val="en-GB"/>
        </w:rPr>
        <w:t xml:space="preserve"> et al., 2014; </w:t>
      </w:r>
      <w:proofErr w:type="spellStart"/>
      <w:r w:rsidRPr="00BE6C96">
        <w:rPr>
          <w:rFonts w:asciiTheme="majorBidi" w:hAnsiTheme="majorBidi" w:cstheme="majorBidi"/>
          <w:color w:val="000000" w:themeColor="text1"/>
          <w:lang w:val="en-GB"/>
        </w:rPr>
        <w:t>Azokpota</w:t>
      </w:r>
      <w:proofErr w:type="spellEnd"/>
      <w:r w:rsidRPr="00BE6C96">
        <w:rPr>
          <w:rFonts w:asciiTheme="majorBidi" w:hAnsiTheme="majorBidi" w:cstheme="majorBidi"/>
          <w:color w:val="000000" w:themeColor="text1"/>
          <w:lang w:val="en-GB"/>
        </w:rPr>
        <w:t xml:space="preserve"> et al., 2022). Assessing well water quality and identifying the health </w:t>
      </w:r>
      <w:r w:rsidRPr="00BE6C96">
        <w:rPr>
          <w:rFonts w:asciiTheme="majorBidi" w:hAnsiTheme="majorBidi" w:cstheme="majorBidi"/>
          <w:color w:val="000000" w:themeColor="text1"/>
          <w:lang w:val="en-GB"/>
        </w:rPr>
        <w:lastRenderedPageBreak/>
        <w:t>risks posed by heavy metals constitute a critical step for guiding public policies on ecological WEEE management, water resource protection, and public health.</w:t>
      </w:r>
    </w:p>
    <w:p w14:paraId="13285902" w14:textId="77777777" w:rsidR="005E7DEE" w:rsidRPr="00BE6C96" w:rsidRDefault="005E7DEE" w:rsidP="00BE6C96">
      <w:pPr>
        <w:spacing w:line="360" w:lineRule="auto"/>
        <w:jc w:val="both"/>
        <w:rPr>
          <w:rFonts w:asciiTheme="majorBidi" w:hAnsiTheme="majorBidi" w:cstheme="majorBidi"/>
          <w:color w:val="000000" w:themeColor="text1"/>
          <w:lang w:val="en-GB"/>
        </w:rPr>
      </w:pPr>
    </w:p>
    <w:p w14:paraId="511337BB" w14:textId="77777777" w:rsidR="00BE6C96" w:rsidRPr="00BE6C96" w:rsidRDefault="00BE6C96" w:rsidP="00BE6C96">
      <w:pPr>
        <w:spacing w:line="360" w:lineRule="auto"/>
        <w:rPr>
          <w:rFonts w:asciiTheme="majorBidi" w:hAnsiTheme="majorBidi" w:cstheme="majorBidi"/>
          <w:b/>
          <w:bCs/>
          <w:color w:val="000000" w:themeColor="text1"/>
          <w:lang w:val="en-GB"/>
        </w:rPr>
      </w:pPr>
      <w:r w:rsidRPr="00BE6C96">
        <w:rPr>
          <w:rFonts w:asciiTheme="majorBidi" w:hAnsiTheme="majorBidi" w:cstheme="majorBidi"/>
          <w:b/>
          <w:bCs/>
          <w:color w:val="000000" w:themeColor="text1"/>
          <w:lang w:val="en-GB"/>
        </w:rPr>
        <w:t>2. Materials and Methods</w:t>
      </w:r>
    </w:p>
    <w:p w14:paraId="0FBC06C6" w14:textId="77777777" w:rsidR="0000032E" w:rsidRDefault="00BE6C96" w:rsidP="00BE6C96">
      <w:pPr>
        <w:spacing w:line="360" w:lineRule="auto"/>
        <w:jc w:val="both"/>
        <w:rPr>
          <w:rFonts w:asciiTheme="majorBidi" w:hAnsiTheme="majorBidi" w:cstheme="majorBidi"/>
          <w:b/>
          <w:bCs/>
          <w:color w:val="000000" w:themeColor="text1"/>
          <w:lang w:val="en-GB"/>
        </w:rPr>
      </w:pPr>
      <w:r w:rsidRPr="00BE6C96">
        <w:rPr>
          <w:rFonts w:asciiTheme="majorBidi" w:hAnsiTheme="majorBidi" w:cstheme="majorBidi"/>
          <w:b/>
          <w:bCs/>
          <w:color w:val="000000" w:themeColor="text1"/>
          <w:lang w:val="en-GB"/>
        </w:rPr>
        <w:t>2.1 Study Area</w:t>
      </w:r>
    </w:p>
    <w:p w14:paraId="694DEB2E" w14:textId="67065D62" w:rsidR="00BE6C96" w:rsidRPr="00BE6C96" w:rsidRDefault="00BE6C96" w:rsidP="00BE6C96">
      <w:pPr>
        <w:spacing w:line="360" w:lineRule="auto"/>
        <w:jc w:val="both"/>
        <w:rPr>
          <w:rFonts w:asciiTheme="majorBidi" w:hAnsiTheme="majorBidi" w:cstheme="majorBidi"/>
          <w:color w:val="000000" w:themeColor="text1"/>
          <w:lang w:val="en-GB"/>
        </w:rPr>
      </w:pPr>
      <w:r w:rsidRPr="00BE6C96">
        <w:rPr>
          <w:rFonts w:asciiTheme="majorBidi" w:hAnsiTheme="majorBidi" w:cstheme="majorBidi"/>
          <w:color w:val="000000" w:themeColor="text1"/>
          <w:lang w:val="en-GB"/>
        </w:rPr>
        <w:t xml:space="preserve">The </w:t>
      </w:r>
      <w:r w:rsidR="0000032E">
        <w:rPr>
          <w:rFonts w:asciiTheme="majorBidi" w:hAnsiTheme="majorBidi" w:cstheme="majorBidi"/>
          <w:color w:val="000000" w:themeColor="text1"/>
          <w:lang w:val="en-GB"/>
        </w:rPr>
        <w:t>study</w:t>
      </w:r>
      <w:r w:rsidRPr="00BE6C96">
        <w:rPr>
          <w:rFonts w:asciiTheme="majorBidi" w:hAnsiTheme="majorBidi" w:cstheme="majorBidi"/>
          <w:color w:val="000000" w:themeColor="text1"/>
          <w:lang w:val="en-GB"/>
        </w:rPr>
        <w:t xml:space="preserve"> was conducted in three Benin cities</w:t>
      </w:r>
      <w:r w:rsidR="0000032E">
        <w:rPr>
          <w:rFonts w:asciiTheme="majorBidi" w:hAnsiTheme="majorBidi" w:cstheme="majorBidi"/>
          <w:color w:val="000000" w:themeColor="text1"/>
          <w:lang w:val="en-GB"/>
        </w:rPr>
        <w:t xml:space="preserve"> such as </w:t>
      </w:r>
      <w:r w:rsidRPr="00BE6C96">
        <w:rPr>
          <w:rFonts w:asciiTheme="majorBidi" w:hAnsiTheme="majorBidi" w:cstheme="majorBidi"/>
          <w:color w:val="000000" w:themeColor="text1"/>
          <w:lang w:val="en-GB"/>
        </w:rPr>
        <w:t>Cotonou, Abomey-</w:t>
      </w:r>
      <w:proofErr w:type="spellStart"/>
      <w:r w:rsidRPr="00BE6C96">
        <w:rPr>
          <w:rFonts w:asciiTheme="majorBidi" w:hAnsiTheme="majorBidi" w:cstheme="majorBidi"/>
          <w:color w:val="000000" w:themeColor="text1"/>
          <w:lang w:val="en-GB"/>
        </w:rPr>
        <w:t>Calavi</w:t>
      </w:r>
      <w:proofErr w:type="spellEnd"/>
      <w:r w:rsidRPr="00BE6C96">
        <w:rPr>
          <w:rFonts w:asciiTheme="majorBidi" w:hAnsiTheme="majorBidi" w:cstheme="majorBidi"/>
          <w:color w:val="000000" w:themeColor="text1"/>
          <w:lang w:val="en-GB"/>
        </w:rPr>
        <w:t xml:space="preserve">, and </w:t>
      </w:r>
      <w:proofErr w:type="spellStart"/>
      <w:r w:rsidRPr="00BE6C96">
        <w:rPr>
          <w:rFonts w:asciiTheme="majorBidi" w:hAnsiTheme="majorBidi" w:cstheme="majorBidi"/>
          <w:color w:val="000000" w:themeColor="text1"/>
          <w:lang w:val="en-GB"/>
        </w:rPr>
        <w:t>Natitingou</w:t>
      </w:r>
      <w:proofErr w:type="spellEnd"/>
      <w:r w:rsidRPr="00BE6C96">
        <w:rPr>
          <w:rFonts w:asciiTheme="majorBidi" w:hAnsiTheme="majorBidi" w:cstheme="majorBidi"/>
          <w:color w:val="000000" w:themeColor="text1"/>
          <w:lang w:val="en-GB"/>
        </w:rPr>
        <w:t xml:space="preserve"> (Figure 1)</w:t>
      </w:r>
      <w:r w:rsidR="0000032E">
        <w:rPr>
          <w:rFonts w:asciiTheme="majorBidi" w:hAnsiTheme="majorBidi" w:cstheme="majorBidi"/>
          <w:color w:val="000000" w:themeColor="text1"/>
          <w:lang w:val="en-GB"/>
        </w:rPr>
        <w:t xml:space="preserve"> </w:t>
      </w:r>
      <w:r w:rsidRPr="00BE6C96">
        <w:rPr>
          <w:rFonts w:asciiTheme="majorBidi" w:hAnsiTheme="majorBidi" w:cstheme="majorBidi"/>
          <w:color w:val="000000" w:themeColor="text1"/>
          <w:lang w:val="en-GB"/>
        </w:rPr>
        <w:t>where WEEE dumps are located. These zones were selected due to the proximity of residential areas to dumpsites, facilitating potential heavy metal transfer into groundwater.</w:t>
      </w:r>
    </w:p>
    <w:p w14:paraId="5C4BD488" w14:textId="77777777" w:rsidR="00BE6C96" w:rsidRDefault="00BE6C96" w:rsidP="00BE6C96">
      <w:pPr>
        <w:spacing w:line="360" w:lineRule="auto"/>
        <w:jc w:val="both"/>
        <w:rPr>
          <w:rFonts w:asciiTheme="majorBidi" w:hAnsiTheme="majorBidi" w:cstheme="majorBidi"/>
          <w:color w:val="000000" w:themeColor="text1"/>
        </w:rPr>
      </w:pPr>
      <w:r>
        <w:rPr>
          <w:rFonts w:asciiTheme="majorBidi" w:hAnsiTheme="majorBidi" w:cstheme="majorBidi"/>
          <w:noProof/>
          <w:color w:val="000000" w:themeColor="text1"/>
          <w14:ligatures w14:val="standardContextual"/>
        </w:rPr>
        <w:drawing>
          <wp:inline distT="0" distB="0" distL="0" distR="0" wp14:anchorId="7B7AF663" wp14:editId="374B34B1">
            <wp:extent cx="5731510" cy="4055110"/>
            <wp:effectExtent l="0" t="0" r="0" b="0"/>
            <wp:docPr id="154246628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466288" name="Image 1542466288"/>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4055110"/>
                    </a:xfrm>
                    <a:prstGeom prst="rect">
                      <a:avLst/>
                    </a:prstGeom>
                  </pic:spPr>
                </pic:pic>
              </a:graphicData>
            </a:graphic>
          </wp:inline>
        </w:drawing>
      </w:r>
    </w:p>
    <w:p w14:paraId="7DE74AB3" w14:textId="0DEB6338" w:rsidR="00BE6C96" w:rsidRDefault="00BE6C96" w:rsidP="00BE6C96">
      <w:pPr>
        <w:spacing w:line="360" w:lineRule="auto"/>
        <w:jc w:val="both"/>
        <w:rPr>
          <w:rFonts w:asciiTheme="majorBidi" w:hAnsiTheme="majorBidi" w:cstheme="majorBidi"/>
          <w:color w:val="000000" w:themeColor="text1"/>
          <w:lang w:val="en-GB"/>
        </w:rPr>
      </w:pPr>
      <w:r w:rsidRPr="00BE6C96">
        <w:rPr>
          <w:rFonts w:asciiTheme="majorBidi" w:hAnsiTheme="majorBidi" w:cstheme="majorBidi"/>
          <w:b/>
          <w:bCs/>
          <w:color w:val="000000" w:themeColor="text1"/>
          <w:lang w:val="en-GB"/>
        </w:rPr>
        <w:t xml:space="preserve">Figure 1: </w:t>
      </w:r>
      <w:r w:rsidRPr="00BE6C96">
        <w:rPr>
          <w:rFonts w:asciiTheme="majorBidi" w:hAnsiTheme="majorBidi" w:cstheme="majorBidi"/>
          <w:color w:val="000000" w:themeColor="text1"/>
          <w:lang w:val="en-GB"/>
        </w:rPr>
        <w:t>Location of Sampling Sites</w:t>
      </w:r>
    </w:p>
    <w:p w14:paraId="1A4A0562" w14:textId="77777777" w:rsidR="005E7DEE" w:rsidRPr="00BE6C96" w:rsidRDefault="005E7DEE" w:rsidP="00BE6C96">
      <w:pPr>
        <w:spacing w:line="360" w:lineRule="auto"/>
        <w:jc w:val="both"/>
        <w:rPr>
          <w:rFonts w:asciiTheme="majorBidi" w:hAnsiTheme="majorBidi" w:cstheme="majorBidi"/>
          <w:b/>
          <w:bCs/>
          <w:color w:val="000000" w:themeColor="text1"/>
          <w:lang w:val="en-GB"/>
        </w:rPr>
      </w:pPr>
    </w:p>
    <w:p w14:paraId="0125E390" w14:textId="77777777" w:rsidR="00CB5EF5" w:rsidRDefault="00BE6C96" w:rsidP="00CB5EF5">
      <w:pPr>
        <w:spacing w:line="360" w:lineRule="auto"/>
        <w:jc w:val="both"/>
        <w:rPr>
          <w:rFonts w:asciiTheme="majorBidi" w:hAnsiTheme="majorBidi" w:cstheme="majorBidi"/>
          <w:b/>
          <w:bCs/>
          <w:color w:val="000000" w:themeColor="text1"/>
          <w:lang w:val="en-GB"/>
        </w:rPr>
      </w:pPr>
      <w:r w:rsidRPr="00BE6C96">
        <w:rPr>
          <w:rFonts w:asciiTheme="majorBidi" w:hAnsiTheme="majorBidi" w:cstheme="majorBidi"/>
          <w:b/>
          <w:bCs/>
          <w:color w:val="000000" w:themeColor="text1"/>
          <w:lang w:val="en-GB"/>
        </w:rPr>
        <w:t>2.2 Sampling</w:t>
      </w:r>
    </w:p>
    <w:p w14:paraId="2D29A99E" w14:textId="6505E158" w:rsidR="00BE6C96" w:rsidRDefault="00BE6C96" w:rsidP="00CB5EF5">
      <w:pPr>
        <w:spacing w:line="360" w:lineRule="auto"/>
        <w:jc w:val="both"/>
        <w:rPr>
          <w:rFonts w:asciiTheme="majorBidi" w:hAnsiTheme="majorBidi" w:cstheme="majorBidi"/>
          <w:color w:val="000000" w:themeColor="text1"/>
          <w:lang w:val="en-GB"/>
        </w:rPr>
      </w:pPr>
      <w:r w:rsidRPr="00BE6C96">
        <w:rPr>
          <w:rFonts w:asciiTheme="majorBidi" w:hAnsiTheme="majorBidi" w:cstheme="majorBidi"/>
          <w:color w:val="000000" w:themeColor="text1"/>
          <w:lang w:val="en-GB"/>
        </w:rPr>
        <w:t>Well water samples were collected in March 2025 at distances of 0 m (immediately adjacent to the site), 50 m, and 100 m from the dumpsites. In total, 33 samples were collected. Samples were taken in clean polyethylene bottles previously rinsed with</w:t>
      </w:r>
      <w:r w:rsidR="00320602">
        <w:rPr>
          <w:rFonts w:asciiTheme="majorBidi" w:hAnsiTheme="majorBidi" w:cstheme="majorBidi"/>
          <w:color w:val="000000" w:themeColor="text1"/>
          <w:lang w:val="en-GB"/>
        </w:rPr>
        <w:t xml:space="preserve"> </w:t>
      </w:r>
      <w:r w:rsidR="00320602" w:rsidRPr="00320602">
        <w:rPr>
          <w:rFonts w:asciiTheme="majorBidi" w:hAnsiTheme="majorBidi" w:cstheme="majorBidi"/>
          <w:color w:val="000000" w:themeColor="text1"/>
          <w:lang w:val="en-GB"/>
        </w:rPr>
        <w:t xml:space="preserve">distilled </w:t>
      </w:r>
      <w:r w:rsidRPr="00320602">
        <w:rPr>
          <w:rFonts w:asciiTheme="majorBidi" w:hAnsiTheme="majorBidi" w:cstheme="majorBidi"/>
          <w:color w:val="000000" w:themeColor="text1"/>
          <w:lang w:val="en-GB"/>
        </w:rPr>
        <w:t>water.</w:t>
      </w:r>
      <w:r w:rsidRPr="00BE6C96">
        <w:rPr>
          <w:rFonts w:asciiTheme="majorBidi" w:hAnsiTheme="majorBidi" w:cstheme="majorBidi"/>
          <w:color w:val="000000" w:themeColor="text1"/>
          <w:lang w:val="en-GB"/>
        </w:rPr>
        <w:t xml:space="preserve"> Physicochemical parameters, specifically pH and conductivity, were measured in situ using calibrated portable devices. The samples were subsequently transported to the laboratory at 4 °C in a cooler to prevent any alteration prior to analysis.</w:t>
      </w:r>
    </w:p>
    <w:p w14:paraId="2DA2CE27" w14:textId="77777777" w:rsidR="005E7DEE" w:rsidRPr="00BE6C96" w:rsidRDefault="005E7DEE" w:rsidP="00CB5EF5">
      <w:pPr>
        <w:spacing w:line="360" w:lineRule="auto"/>
        <w:jc w:val="both"/>
        <w:rPr>
          <w:rFonts w:asciiTheme="majorBidi" w:hAnsiTheme="majorBidi" w:cstheme="majorBidi"/>
          <w:color w:val="000000" w:themeColor="text1"/>
          <w:lang w:val="en-GB"/>
        </w:rPr>
      </w:pPr>
    </w:p>
    <w:p w14:paraId="325CDE27" w14:textId="77777777" w:rsidR="00BE6C96" w:rsidRPr="00BE6C96" w:rsidRDefault="00BE6C96" w:rsidP="00BE6C96">
      <w:pPr>
        <w:spacing w:line="360" w:lineRule="auto"/>
        <w:jc w:val="both"/>
        <w:rPr>
          <w:rFonts w:asciiTheme="majorBidi" w:hAnsiTheme="majorBidi" w:cstheme="majorBidi"/>
          <w:b/>
          <w:bCs/>
          <w:color w:val="000000" w:themeColor="text1"/>
          <w:lang w:val="en-GB"/>
        </w:rPr>
      </w:pPr>
      <w:r w:rsidRPr="00BE6C96">
        <w:rPr>
          <w:rFonts w:asciiTheme="majorBidi" w:hAnsiTheme="majorBidi" w:cstheme="majorBidi"/>
          <w:b/>
          <w:bCs/>
          <w:color w:val="000000" w:themeColor="text1"/>
          <w:lang w:val="en-GB"/>
        </w:rPr>
        <w:t>2.3 Chemical Analysis</w:t>
      </w:r>
    </w:p>
    <w:p w14:paraId="3DC6104B" w14:textId="77777777" w:rsidR="00CB5EF5" w:rsidRDefault="00BE6C96" w:rsidP="00BE6C96">
      <w:pPr>
        <w:spacing w:line="360" w:lineRule="auto"/>
        <w:jc w:val="both"/>
        <w:rPr>
          <w:rFonts w:asciiTheme="majorBidi" w:hAnsiTheme="majorBidi" w:cstheme="majorBidi"/>
          <w:b/>
          <w:bCs/>
          <w:color w:val="000000" w:themeColor="text1"/>
          <w:lang w:val="en-GB"/>
        </w:rPr>
      </w:pPr>
      <w:r w:rsidRPr="00BE6C96">
        <w:rPr>
          <w:rFonts w:asciiTheme="majorBidi" w:hAnsiTheme="majorBidi" w:cstheme="majorBidi"/>
          <w:b/>
          <w:bCs/>
          <w:color w:val="000000" w:themeColor="text1"/>
          <w:lang w:val="en-GB"/>
        </w:rPr>
        <w:t>2.3.1 Quantification of Heavy Metals</w:t>
      </w:r>
    </w:p>
    <w:p w14:paraId="2FC34A26" w14:textId="7228B4BA" w:rsidR="00BE6C96" w:rsidRDefault="00BE6C96" w:rsidP="00BE6C96">
      <w:pPr>
        <w:spacing w:line="360" w:lineRule="auto"/>
        <w:jc w:val="both"/>
        <w:rPr>
          <w:rFonts w:asciiTheme="majorBidi" w:hAnsiTheme="majorBidi" w:cstheme="majorBidi"/>
          <w:color w:val="000000" w:themeColor="text1"/>
          <w:lang w:val="en-GB"/>
        </w:rPr>
      </w:pPr>
      <w:r w:rsidRPr="00BE6C96">
        <w:rPr>
          <w:rFonts w:asciiTheme="majorBidi" w:hAnsiTheme="majorBidi" w:cstheme="majorBidi"/>
          <w:color w:val="000000" w:themeColor="text1"/>
          <w:lang w:val="en-GB"/>
        </w:rPr>
        <w:t>The heavy metals analysed (arsenic, cadmium, chromium, copper, iron, nickel, lead, and zinc) were quantified using Microwave Plasma-Atomic Emission Spectrometry (MP-AES). This technique relies on the excitation of atoms within a plasma and the measurement of photons emitted at characteristic wavelengths. Calibration was performed using standard solutions covering the expected concentration ranges. Quality control procedures included blank samples. Detection limits were on the order of a few micrograms per litre for the metals analysed.</w:t>
      </w:r>
    </w:p>
    <w:p w14:paraId="1EAA4593" w14:textId="77777777" w:rsidR="005E7CCC" w:rsidRPr="00BE6C96" w:rsidRDefault="005E7CCC" w:rsidP="00BE6C96">
      <w:pPr>
        <w:spacing w:line="360" w:lineRule="auto"/>
        <w:jc w:val="both"/>
        <w:rPr>
          <w:rFonts w:asciiTheme="majorBidi" w:hAnsiTheme="majorBidi" w:cstheme="majorBidi"/>
          <w:color w:val="000000" w:themeColor="text1"/>
          <w:lang w:val="en-GB"/>
        </w:rPr>
      </w:pPr>
    </w:p>
    <w:p w14:paraId="72004E52" w14:textId="77777777" w:rsidR="00BE6C96" w:rsidRPr="00BE6C96" w:rsidRDefault="00BE6C96" w:rsidP="00BE6C96">
      <w:pPr>
        <w:spacing w:line="360" w:lineRule="auto"/>
        <w:jc w:val="both"/>
        <w:rPr>
          <w:rFonts w:asciiTheme="majorBidi" w:hAnsiTheme="majorBidi" w:cstheme="majorBidi"/>
          <w:b/>
          <w:bCs/>
          <w:color w:val="000000" w:themeColor="text1"/>
          <w:lang w:val="en-GB"/>
        </w:rPr>
      </w:pPr>
      <w:r w:rsidRPr="00BE6C96">
        <w:rPr>
          <w:rFonts w:asciiTheme="majorBidi" w:hAnsiTheme="majorBidi" w:cstheme="majorBidi"/>
          <w:b/>
          <w:bCs/>
          <w:color w:val="000000" w:themeColor="text1"/>
          <w:lang w:val="en-GB"/>
        </w:rPr>
        <w:t>2.4 Statistical Analysis</w:t>
      </w:r>
    </w:p>
    <w:p w14:paraId="1BB987EF" w14:textId="77777777" w:rsidR="00CB5EF5" w:rsidRDefault="00BE6C96" w:rsidP="00BE6C96">
      <w:pPr>
        <w:spacing w:line="360" w:lineRule="auto"/>
        <w:jc w:val="both"/>
        <w:rPr>
          <w:rFonts w:asciiTheme="majorBidi" w:hAnsiTheme="majorBidi" w:cstheme="majorBidi"/>
          <w:b/>
          <w:bCs/>
          <w:color w:val="000000" w:themeColor="text1"/>
          <w:lang w:val="en-GB"/>
        </w:rPr>
      </w:pPr>
      <w:r w:rsidRPr="003A133E">
        <w:rPr>
          <w:rFonts w:asciiTheme="majorBidi" w:hAnsiTheme="majorBidi" w:cstheme="majorBidi"/>
          <w:b/>
          <w:bCs/>
          <w:color w:val="000000" w:themeColor="text1"/>
          <w:lang w:val="en-GB"/>
        </w:rPr>
        <w:t>2.4.1 Statistical Treatment of Concentrations</w:t>
      </w:r>
    </w:p>
    <w:p w14:paraId="10C99AAD" w14:textId="053BD194" w:rsidR="00BE6C96" w:rsidRDefault="00BE6C96" w:rsidP="00BE6C96">
      <w:pPr>
        <w:spacing w:line="360" w:lineRule="auto"/>
        <w:jc w:val="both"/>
        <w:rPr>
          <w:rFonts w:asciiTheme="majorBidi" w:hAnsiTheme="majorBidi" w:cstheme="majorBidi"/>
          <w:color w:val="000000" w:themeColor="text1"/>
          <w:lang w:val="en-GB"/>
        </w:rPr>
      </w:pPr>
      <w:r w:rsidRPr="00BE6C96">
        <w:rPr>
          <w:rFonts w:asciiTheme="majorBidi" w:hAnsiTheme="majorBidi" w:cstheme="majorBidi"/>
          <w:color w:val="000000" w:themeColor="text1"/>
          <w:lang w:val="en-GB"/>
        </w:rPr>
        <w:t>Data were processed using R version 4.3. Descriptive statistics (mean, median, minimum, maximum, standard deviation) characterised the distribution of metals. Comparisons between cities and distances were conducted using the Kruskal-Wallis test followed by Dunn’s post hoc tests. Correlations between metals were examined via Spearman’s method and visualised through a correlation matrix. Principal Component Analysis (PCA) was undertaken to identify associations between metals and potential pollution sources.</w:t>
      </w:r>
    </w:p>
    <w:p w14:paraId="62E3BE94" w14:textId="77777777" w:rsidR="005E7CCC" w:rsidRPr="00BE6C96" w:rsidRDefault="005E7CCC" w:rsidP="00BE6C96">
      <w:pPr>
        <w:spacing w:line="360" w:lineRule="auto"/>
        <w:jc w:val="both"/>
        <w:rPr>
          <w:rFonts w:asciiTheme="majorBidi" w:hAnsiTheme="majorBidi" w:cstheme="majorBidi"/>
          <w:color w:val="000000" w:themeColor="text1"/>
          <w:lang w:val="en-GB"/>
        </w:rPr>
      </w:pPr>
    </w:p>
    <w:p w14:paraId="213F8E21" w14:textId="19AA6474" w:rsidR="00BE6C96" w:rsidRPr="00BE6C96" w:rsidRDefault="00BE6C96" w:rsidP="00BE6C96">
      <w:pPr>
        <w:spacing w:line="360" w:lineRule="auto"/>
        <w:jc w:val="both"/>
        <w:rPr>
          <w:rFonts w:asciiTheme="majorBidi" w:hAnsiTheme="majorBidi" w:cstheme="majorBidi"/>
          <w:b/>
          <w:bCs/>
          <w:color w:val="000000" w:themeColor="text1"/>
          <w:lang w:val="en-GB"/>
        </w:rPr>
      </w:pPr>
      <w:r w:rsidRPr="00BE6C96">
        <w:rPr>
          <w:rFonts w:asciiTheme="majorBidi" w:hAnsiTheme="majorBidi" w:cstheme="majorBidi"/>
          <w:b/>
          <w:bCs/>
          <w:color w:val="000000" w:themeColor="text1"/>
          <w:lang w:val="en-GB"/>
        </w:rPr>
        <w:t>2.4.2 Pollution Indices</w:t>
      </w:r>
    </w:p>
    <w:p w14:paraId="5A464C32" w14:textId="77777777" w:rsidR="00CB5EF5" w:rsidRDefault="00BE6C96" w:rsidP="00BE6C96">
      <w:pPr>
        <w:spacing w:line="360" w:lineRule="auto"/>
        <w:jc w:val="both"/>
        <w:rPr>
          <w:rFonts w:asciiTheme="majorBidi" w:hAnsiTheme="majorBidi" w:cstheme="majorBidi"/>
          <w:b/>
          <w:bCs/>
          <w:color w:val="000000" w:themeColor="text1"/>
          <w:lang w:val="en-GB"/>
        </w:rPr>
      </w:pPr>
      <w:r w:rsidRPr="00BE6C96">
        <w:rPr>
          <w:rFonts w:asciiTheme="majorBidi" w:hAnsiTheme="majorBidi" w:cstheme="majorBidi"/>
          <w:b/>
          <w:bCs/>
          <w:color w:val="000000" w:themeColor="text1"/>
          <w:lang w:val="en-GB"/>
        </w:rPr>
        <w:t>2.4.2.1 Metal Index (MI)</w:t>
      </w:r>
    </w:p>
    <w:p w14:paraId="1E3C5312" w14:textId="279D5804" w:rsidR="00BE6C96" w:rsidRPr="00BE6C96" w:rsidRDefault="00BE6C96" w:rsidP="00BE6C96">
      <w:pPr>
        <w:spacing w:line="360" w:lineRule="auto"/>
        <w:jc w:val="both"/>
        <w:rPr>
          <w:rFonts w:asciiTheme="majorBidi" w:hAnsiTheme="majorBidi" w:cstheme="majorBidi"/>
          <w:color w:val="000000" w:themeColor="text1"/>
          <w:lang w:val="en-GB"/>
        </w:rPr>
      </w:pPr>
      <w:r w:rsidRPr="00BE6C96">
        <w:rPr>
          <w:rFonts w:asciiTheme="majorBidi" w:hAnsiTheme="majorBidi" w:cstheme="majorBidi"/>
          <w:color w:val="000000" w:themeColor="text1"/>
          <w:lang w:val="en-GB"/>
        </w:rPr>
        <w:t>The Metal Index (MI) is an aggregate indicator used to assess the degree of contamination of water by multiple metals simultaneously. It is based on a comparison between measured concentrations and WHO guideline values (2017). A higher MI indicates poorer water quality. An MI exceeding 1 is generally interpreted as evidence of pollution (Rajkumar et al., 2020).</w:t>
      </w:r>
    </w:p>
    <w:p w14:paraId="0B4B8D2B" w14:textId="556E8BFC" w:rsidR="00BE6C96" w:rsidRPr="00BE6C96" w:rsidRDefault="00CB5EF5" w:rsidP="00CB5EF5">
      <w:pPr>
        <w:spacing w:line="360" w:lineRule="auto"/>
        <w:rPr>
          <w:rFonts w:asciiTheme="majorBidi" w:hAnsiTheme="majorBidi" w:cstheme="majorBidi"/>
          <w:color w:val="000000" w:themeColor="text1"/>
          <w:lang w:val="en-GB"/>
        </w:rPr>
      </w:pPr>
      <m:oMathPara>
        <m:oMath>
          <m:r>
            <w:rPr>
              <w:rFonts w:ascii="Cambria Math" w:hAnsi="Cambria Math" w:cstheme="majorBidi"/>
              <w:color w:val="000000" w:themeColor="text1"/>
              <w:lang w:val="en-GB"/>
            </w:rPr>
            <m:t>MI=∑</m:t>
          </m:r>
          <m:f>
            <m:fPr>
              <m:ctrlPr>
                <w:rPr>
                  <w:rFonts w:ascii="Cambria Math" w:hAnsi="Cambria Math" w:cstheme="majorBidi"/>
                  <w:color w:val="000000" w:themeColor="text1"/>
                  <w:lang w:val="en-GB"/>
                </w:rPr>
              </m:ctrlPr>
            </m:fPr>
            <m:num>
              <m:sSub>
                <m:sSubPr>
                  <m:ctrlPr>
                    <w:rPr>
                      <w:rFonts w:ascii="Cambria Math" w:hAnsi="Cambria Math" w:cstheme="majorBidi"/>
                      <w:color w:val="000000" w:themeColor="text1"/>
                      <w:lang w:val="en-GB"/>
                    </w:rPr>
                  </m:ctrlPr>
                </m:sSubPr>
                <m:e>
                  <m:r>
                    <w:rPr>
                      <w:rFonts w:ascii="Cambria Math" w:hAnsi="Cambria Math" w:cstheme="majorBidi"/>
                      <w:color w:val="000000" w:themeColor="text1"/>
                      <w:lang w:val="en-GB"/>
                    </w:rPr>
                    <m:t>C</m:t>
                  </m:r>
                </m:e>
                <m:sub>
                  <m:r>
                    <w:rPr>
                      <w:rFonts w:ascii="Cambria Math" w:hAnsi="Cambria Math" w:cstheme="majorBidi"/>
                      <w:color w:val="000000" w:themeColor="text1"/>
                      <w:lang w:val="en-GB"/>
                    </w:rPr>
                    <m:t>i</m:t>
                  </m:r>
                </m:sub>
              </m:sSub>
            </m:num>
            <m:den>
              <m:sSub>
                <m:sSubPr>
                  <m:ctrlPr>
                    <w:rPr>
                      <w:rFonts w:ascii="Cambria Math" w:hAnsi="Cambria Math" w:cstheme="majorBidi"/>
                      <w:color w:val="000000" w:themeColor="text1"/>
                      <w:lang w:val="en-GB"/>
                    </w:rPr>
                  </m:ctrlPr>
                </m:sSubPr>
                <m:e>
                  <m:r>
                    <w:rPr>
                      <w:rFonts w:ascii="Cambria Math" w:hAnsi="Cambria Math" w:cstheme="majorBidi"/>
                      <w:color w:val="000000" w:themeColor="text1"/>
                      <w:lang w:val="en-GB"/>
                    </w:rPr>
                    <m:t>S</m:t>
                  </m:r>
                </m:e>
                <m:sub>
                  <m:r>
                    <w:rPr>
                      <w:rFonts w:ascii="Cambria Math" w:hAnsi="Cambria Math" w:cstheme="majorBidi"/>
                      <w:color w:val="000000" w:themeColor="text1"/>
                      <w:lang w:val="en-GB"/>
                    </w:rPr>
                    <m:t>i</m:t>
                  </m:r>
                </m:sub>
              </m:sSub>
            </m:den>
          </m:f>
          <m:r>
            <w:rPr>
              <w:rFonts w:ascii="Cambria Math" w:hAnsi="Cambria Math" w:cstheme="majorBidi"/>
              <w:color w:val="000000" w:themeColor="text1"/>
              <w:lang w:val="en-GB"/>
            </w:rPr>
            <m:t xml:space="preserve">             (1)</m:t>
          </m:r>
          <m:r>
            <m:rPr>
              <m:sty m:val="p"/>
            </m:rPr>
            <w:rPr>
              <w:rFonts w:asciiTheme="majorBidi" w:hAnsiTheme="majorBidi" w:cstheme="majorBidi"/>
              <w:color w:val="000000" w:themeColor="text1"/>
              <w:lang w:val="en-GB"/>
            </w:rPr>
            <w:br/>
          </m:r>
        </m:oMath>
      </m:oMathPara>
    </w:p>
    <w:p w14:paraId="6C7363DD" w14:textId="6323E08F" w:rsidR="00BE6C96" w:rsidRDefault="00BE6C96" w:rsidP="005460FD">
      <w:pPr>
        <w:spacing w:line="276" w:lineRule="auto"/>
        <w:rPr>
          <w:color w:val="000000" w:themeColor="text1"/>
          <w:sz w:val="22"/>
          <w:szCs w:val="22"/>
          <w:lang w:val="en-GB"/>
        </w:rPr>
      </w:pPr>
      <w:r w:rsidRPr="00BE6C96">
        <w:rPr>
          <w:rFonts w:asciiTheme="majorBidi" w:hAnsiTheme="majorBidi" w:cstheme="majorBidi"/>
          <w:color w:val="000000" w:themeColor="text1"/>
          <w:lang w:val="en-GB"/>
        </w:rPr>
        <w:t>Where:</w:t>
      </w:r>
      <w:r w:rsidRPr="00BE6C96">
        <w:rPr>
          <w:rFonts w:asciiTheme="majorBidi" w:hAnsiTheme="majorBidi" w:cstheme="majorBidi"/>
          <w:color w:val="000000" w:themeColor="text1"/>
          <w:lang w:val="en-GB"/>
        </w:rPr>
        <w:br/>
      </w:r>
      <m:oMath>
        <m:sSub>
          <m:sSubPr>
            <m:ctrlPr>
              <w:rPr>
                <w:rFonts w:ascii="Cambria Math" w:hAnsi="Cambria Math"/>
                <w:color w:val="000000" w:themeColor="text1"/>
                <w:sz w:val="22"/>
                <w:szCs w:val="22"/>
                <w:lang w:val="en-GB"/>
              </w:rPr>
            </m:ctrlPr>
          </m:sSubPr>
          <m:e>
            <m:r>
              <w:rPr>
                <w:rFonts w:ascii="Cambria Math" w:hAnsi="Cambria Math"/>
                <w:color w:val="000000" w:themeColor="text1"/>
                <w:sz w:val="22"/>
                <w:szCs w:val="22"/>
                <w:lang w:val="en-GB"/>
              </w:rPr>
              <m:t>C</m:t>
            </m:r>
          </m:e>
          <m:sub>
            <m:r>
              <w:rPr>
                <w:rFonts w:ascii="Cambria Math" w:hAnsi="Cambria Math"/>
                <w:color w:val="000000" w:themeColor="text1"/>
                <w:sz w:val="22"/>
                <w:szCs w:val="22"/>
                <w:lang w:val="en-GB"/>
              </w:rPr>
              <m:t>i</m:t>
            </m:r>
          </m:sub>
        </m:sSub>
      </m:oMath>
      <w:r w:rsidRPr="005460FD">
        <w:rPr>
          <w:color w:val="000000" w:themeColor="text1"/>
          <w:sz w:val="22"/>
          <w:szCs w:val="22"/>
          <w:lang w:val="en-GB"/>
        </w:rPr>
        <w:t xml:space="preserve">= Measured concentration of metal </w:t>
      </w:r>
      <m:oMath>
        <m:r>
          <w:rPr>
            <w:rFonts w:ascii="Cambria Math" w:hAnsi="Cambria Math"/>
            <w:color w:val="000000" w:themeColor="text1"/>
            <w:sz w:val="22"/>
            <w:szCs w:val="22"/>
            <w:lang w:val="en-GB"/>
          </w:rPr>
          <m:t>i</m:t>
        </m:r>
      </m:oMath>
      <w:r w:rsidRPr="005460FD">
        <w:rPr>
          <w:color w:val="000000" w:themeColor="text1"/>
          <w:sz w:val="22"/>
          <w:szCs w:val="22"/>
          <w:lang w:val="en-GB"/>
        </w:rPr>
        <w:t>(mg/L)</w:t>
      </w:r>
      <w:r w:rsidRPr="005460FD">
        <w:rPr>
          <w:color w:val="000000" w:themeColor="text1"/>
          <w:sz w:val="22"/>
          <w:szCs w:val="22"/>
          <w:lang w:val="en-GB"/>
        </w:rPr>
        <w:br/>
      </w:r>
      <m:oMath>
        <m:sSub>
          <m:sSubPr>
            <m:ctrlPr>
              <w:rPr>
                <w:rFonts w:ascii="Cambria Math" w:hAnsi="Cambria Math"/>
                <w:color w:val="000000" w:themeColor="text1"/>
                <w:sz w:val="22"/>
                <w:szCs w:val="22"/>
                <w:lang w:val="en-GB"/>
              </w:rPr>
            </m:ctrlPr>
          </m:sSubPr>
          <m:e>
            <m:r>
              <w:rPr>
                <w:rFonts w:ascii="Cambria Math" w:hAnsi="Cambria Math"/>
                <w:color w:val="000000" w:themeColor="text1"/>
                <w:sz w:val="22"/>
                <w:szCs w:val="22"/>
                <w:lang w:val="en-GB"/>
              </w:rPr>
              <m:t>S</m:t>
            </m:r>
          </m:e>
          <m:sub>
            <m:r>
              <w:rPr>
                <w:rFonts w:ascii="Cambria Math" w:hAnsi="Cambria Math"/>
                <w:color w:val="000000" w:themeColor="text1"/>
                <w:sz w:val="22"/>
                <w:szCs w:val="22"/>
                <w:lang w:val="en-GB"/>
              </w:rPr>
              <m:t>i</m:t>
            </m:r>
          </m:sub>
        </m:sSub>
      </m:oMath>
      <w:r w:rsidRPr="005460FD">
        <w:rPr>
          <w:color w:val="000000" w:themeColor="text1"/>
          <w:sz w:val="22"/>
          <w:szCs w:val="22"/>
          <w:lang w:val="en-GB"/>
        </w:rPr>
        <w:t xml:space="preserve">= WHO guideline value for metal </w:t>
      </w:r>
      <m:oMath>
        <m:r>
          <w:rPr>
            <w:rFonts w:ascii="Cambria Math" w:hAnsi="Cambria Math"/>
            <w:color w:val="000000" w:themeColor="text1"/>
            <w:sz w:val="22"/>
            <w:szCs w:val="22"/>
            <w:lang w:val="en-GB"/>
          </w:rPr>
          <m:t>i</m:t>
        </m:r>
      </m:oMath>
      <w:r w:rsidRPr="005460FD">
        <w:rPr>
          <w:color w:val="000000" w:themeColor="text1"/>
          <w:sz w:val="22"/>
          <w:szCs w:val="22"/>
          <w:lang w:val="en-GB"/>
        </w:rPr>
        <w:t>(mg/L)</w:t>
      </w:r>
    </w:p>
    <w:p w14:paraId="726AB652" w14:textId="77777777" w:rsidR="005460FD" w:rsidRPr="00BE6C96" w:rsidRDefault="005460FD" w:rsidP="005460FD">
      <w:pPr>
        <w:spacing w:line="276" w:lineRule="auto"/>
        <w:rPr>
          <w:rFonts w:asciiTheme="majorBidi" w:hAnsiTheme="majorBidi" w:cstheme="majorBidi"/>
          <w:color w:val="000000" w:themeColor="text1"/>
          <w:lang w:val="en-GB"/>
        </w:rPr>
      </w:pPr>
    </w:p>
    <w:p w14:paraId="78340603" w14:textId="77777777" w:rsidR="00CB5EF5" w:rsidRPr="00CB5EF5" w:rsidRDefault="00BE6C96" w:rsidP="00CB5EF5">
      <w:pPr>
        <w:spacing w:line="360" w:lineRule="auto"/>
        <w:jc w:val="both"/>
        <w:rPr>
          <w:rFonts w:asciiTheme="majorBidi" w:hAnsiTheme="majorBidi" w:cstheme="majorBidi"/>
          <w:b/>
          <w:bCs/>
          <w:color w:val="000000" w:themeColor="text1"/>
          <w:lang w:val="en-GB"/>
        </w:rPr>
      </w:pPr>
      <w:r w:rsidRPr="00BE6C96">
        <w:rPr>
          <w:rFonts w:asciiTheme="majorBidi" w:hAnsiTheme="majorBidi" w:cstheme="majorBidi"/>
          <w:b/>
          <w:bCs/>
          <w:color w:val="000000" w:themeColor="text1"/>
          <w:lang w:val="en-GB"/>
        </w:rPr>
        <w:t>2.4.2.2 Heavy Metal Pollution Index (HPI)</w:t>
      </w:r>
    </w:p>
    <w:p w14:paraId="21CB0CCC" w14:textId="053FB5F4" w:rsidR="00BE6C96" w:rsidRPr="00BE6C96" w:rsidRDefault="00BE6C96" w:rsidP="00CB5EF5">
      <w:pPr>
        <w:spacing w:line="360" w:lineRule="auto"/>
        <w:jc w:val="both"/>
        <w:rPr>
          <w:rFonts w:asciiTheme="majorBidi" w:hAnsiTheme="majorBidi" w:cstheme="majorBidi"/>
          <w:color w:val="000000" w:themeColor="text1"/>
          <w:lang w:val="en-GB"/>
        </w:rPr>
      </w:pPr>
      <w:r w:rsidRPr="00BE6C96">
        <w:rPr>
          <w:rFonts w:asciiTheme="majorBidi" w:hAnsiTheme="majorBidi" w:cstheme="majorBidi"/>
          <w:color w:val="000000" w:themeColor="text1"/>
          <w:lang w:val="en-GB"/>
        </w:rPr>
        <w:lastRenderedPageBreak/>
        <w:t>The Heavy Metal Pollution Index (HPI) is a more sensitive synthetic indicator than the MI, integrating both measured values and relative weights assigned to each metal based on its guideline limit. An HPI below 100 indicates good water quality, while an HPI exceeding 100 signals concerning contamination (</w:t>
      </w:r>
      <w:proofErr w:type="spellStart"/>
      <w:r w:rsidRPr="00BE6C96">
        <w:rPr>
          <w:rFonts w:asciiTheme="majorBidi" w:hAnsiTheme="majorBidi" w:cstheme="majorBidi"/>
          <w:color w:val="000000" w:themeColor="text1"/>
          <w:lang w:val="en-GB"/>
        </w:rPr>
        <w:t>Herojeet</w:t>
      </w:r>
      <w:proofErr w:type="spellEnd"/>
      <w:r w:rsidRPr="00BE6C96">
        <w:rPr>
          <w:rFonts w:asciiTheme="majorBidi" w:hAnsiTheme="majorBidi" w:cstheme="majorBidi"/>
          <w:color w:val="000000" w:themeColor="text1"/>
          <w:lang w:val="en-GB"/>
        </w:rPr>
        <w:t xml:space="preserve"> et al., 2020; Latif et al., 2025).</w:t>
      </w:r>
    </w:p>
    <w:p w14:paraId="684F0432" w14:textId="6702BEF1" w:rsidR="003B4130" w:rsidRPr="003B4130" w:rsidRDefault="00CB5EF5" w:rsidP="00CB5EF5">
      <w:pPr>
        <w:spacing w:line="360" w:lineRule="auto"/>
        <w:jc w:val="both"/>
        <w:rPr>
          <w:rFonts w:ascii="Cambria Math" w:hAnsi="Cambria Math" w:cstheme="majorBidi"/>
          <w:i/>
          <w:color w:val="000000" w:themeColor="text1"/>
          <w:lang w:val="en-GB"/>
        </w:rPr>
      </w:pPr>
      <m:oMathPara>
        <m:oMath>
          <m:r>
            <w:rPr>
              <w:rFonts w:ascii="Cambria Math" w:hAnsi="Cambria Math" w:cstheme="majorBidi"/>
              <w:color w:val="000000" w:themeColor="text1"/>
              <w:lang w:val="en-GB"/>
            </w:rPr>
            <m:t>MI=∑</m:t>
          </m:r>
          <m:f>
            <m:fPr>
              <m:ctrlPr>
                <w:rPr>
                  <w:rFonts w:ascii="Cambria Math" w:hAnsi="Cambria Math" w:cstheme="majorBidi"/>
                  <w:i/>
                  <w:color w:val="000000" w:themeColor="text1"/>
                  <w:lang w:val="en-GB"/>
                </w:rPr>
              </m:ctrlPr>
            </m:fPr>
            <m:num>
              <m:sSub>
                <m:sSubPr>
                  <m:ctrlPr>
                    <w:rPr>
                      <w:rFonts w:ascii="Cambria Math" w:hAnsi="Cambria Math" w:cstheme="majorBidi"/>
                      <w:i/>
                      <w:color w:val="000000" w:themeColor="text1"/>
                      <w:lang w:val="en-GB"/>
                    </w:rPr>
                  </m:ctrlPr>
                </m:sSubPr>
                <m:e>
                  <m:r>
                    <w:rPr>
                      <w:rFonts w:ascii="Cambria Math" w:hAnsi="Cambria Math" w:cstheme="majorBidi"/>
                      <w:color w:val="000000" w:themeColor="text1"/>
                      <w:lang w:val="en-GB"/>
                    </w:rPr>
                    <m:t>C</m:t>
                  </m:r>
                </m:e>
                <m:sub>
                  <m:r>
                    <w:rPr>
                      <w:rFonts w:ascii="Cambria Math" w:hAnsi="Cambria Math" w:cstheme="majorBidi"/>
                      <w:color w:val="000000" w:themeColor="text1"/>
                      <w:lang w:val="en-GB"/>
                    </w:rPr>
                    <m:t>i</m:t>
                  </m:r>
                </m:sub>
              </m:sSub>
              <m:r>
                <w:rPr>
                  <w:rFonts w:ascii="Cambria Math" w:hAnsi="Cambria Math" w:cstheme="majorBidi"/>
                  <w:color w:val="000000" w:themeColor="text1"/>
                  <w:lang w:val="en-GB"/>
                </w:rPr>
                <m:t>-</m:t>
              </m:r>
              <m:sSub>
                <m:sSubPr>
                  <m:ctrlPr>
                    <w:rPr>
                      <w:rFonts w:ascii="Cambria Math" w:hAnsi="Cambria Math" w:cstheme="majorBidi"/>
                      <w:i/>
                      <w:color w:val="000000" w:themeColor="text1"/>
                      <w:lang w:val="en-GB"/>
                    </w:rPr>
                  </m:ctrlPr>
                </m:sSubPr>
                <m:e>
                  <m:r>
                    <w:rPr>
                      <w:rFonts w:ascii="Cambria Math" w:hAnsi="Cambria Math" w:cstheme="majorBidi"/>
                      <w:color w:val="000000" w:themeColor="text1"/>
                      <w:lang w:val="en-GB"/>
                    </w:rPr>
                    <m:t>I</m:t>
                  </m:r>
                </m:e>
                <m:sub>
                  <m:r>
                    <w:rPr>
                      <w:rFonts w:ascii="Cambria Math" w:hAnsi="Cambria Math" w:cstheme="majorBidi"/>
                      <w:color w:val="000000" w:themeColor="text1"/>
                      <w:lang w:val="en-GB"/>
                    </w:rPr>
                    <m:t>i</m:t>
                  </m:r>
                </m:sub>
              </m:sSub>
            </m:num>
            <m:den>
              <m:sSub>
                <m:sSubPr>
                  <m:ctrlPr>
                    <w:rPr>
                      <w:rFonts w:ascii="Cambria Math" w:hAnsi="Cambria Math" w:cstheme="majorBidi"/>
                      <w:i/>
                      <w:color w:val="000000" w:themeColor="text1"/>
                      <w:lang w:val="en-GB"/>
                    </w:rPr>
                  </m:ctrlPr>
                </m:sSubPr>
                <m:e>
                  <m:r>
                    <w:rPr>
                      <w:rFonts w:ascii="Cambria Math" w:hAnsi="Cambria Math" w:cstheme="majorBidi"/>
                      <w:color w:val="000000" w:themeColor="text1"/>
                      <w:lang w:val="en-GB"/>
                    </w:rPr>
                    <m:t>S</m:t>
                  </m:r>
                </m:e>
                <m:sub>
                  <m:r>
                    <w:rPr>
                      <w:rFonts w:ascii="Cambria Math" w:hAnsi="Cambria Math" w:cstheme="majorBidi"/>
                      <w:color w:val="000000" w:themeColor="text1"/>
                      <w:lang w:val="en-GB"/>
                    </w:rPr>
                    <m:t>i</m:t>
                  </m:r>
                </m:sub>
              </m:sSub>
              <m:r>
                <w:rPr>
                  <w:rFonts w:ascii="Cambria Math" w:hAnsi="Cambria Math" w:cstheme="majorBidi"/>
                  <w:color w:val="000000" w:themeColor="text1"/>
                  <w:lang w:val="en-GB"/>
                </w:rPr>
                <m:t>-</m:t>
              </m:r>
              <m:sSub>
                <m:sSubPr>
                  <m:ctrlPr>
                    <w:rPr>
                      <w:rFonts w:ascii="Cambria Math" w:hAnsi="Cambria Math" w:cstheme="majorBidi"/>
                      <w:i/>
                      <w:color w:val="000000" w:themeColor="text1"/>
                      <w:lang w:val="en-GB"/>
                    </w:rPr>
                  </m:ctrlPr>
                </m:sSubPr>
                <m:e>
                  <m:r>
                    <w:rPr>
                      <w:rFonts w:ascii="Cambria Math" w:hAnsi="Cambria Math" w:cstheme="majorBidi"/>
                      <w:color w:val="000000" w:themeColor="text1"/>
                      <w:lang w:val="en-GB"/>
                    </w:rPr>
                    <m:t>I</m:t>
                  </m:r>
                </m:e>
                <m:sub>
                  <m:r>
                    <w:rPr>
                      <w:rFonts w:ascii="Cambria Math" w:hAnsi="Cambria Math" w:cstheme="majorBidi"/>
                      <w:color w:val="000000" w:themeColor="text1"/>
                      <w:lang w:val="en-GB"/>
                    </w:rPr>
                    <m:t>i</m:t>
                  </m:r>
                </m:sub>
              </m:sSub>
            </m:den>
          </m:f>
          <m:r>
            <w:rPr>
              <w:rFonts w:ascii="Cambria Math" w:hAnsi="Cambria Math" w:cstheme="majorBidi"/>
              <w:color w:val="000000" w:themeColor="text1"/>
              <w:lang w:val="en-GB"/>
            </w:rPr>
            <m:t>×</m:t>
          </m:r>
          <m:sSub>
            <m:sSubPr>
              <m:ctrlPr>
                <w:rPr>
                  <w:rFonts w:ascii="Cambria Math" w:hAnsi="Cambria Math" w:cstheme="majorBidi"/>
                  <w:i/>
                  <w:color w:val="000000" w:themeColor="text1"/>
                  <w:lang w:val="en-GB"/>
                </w:rPr>
              </m:ctrlPr>
            </m:sSubPr>
            <m:e>
              <m:r>
                <w:rPr>
                  <w:rFonts w:ascii="Cambria Math" w:hAnsi="Cambria Math" w:cstheme="majorBidi"/>
                  <w:color w:val="000000" w:themeColor="text1"/>
                  <w:lang w:val="en-GB"/>
                </w:rPr>
                <m:t>W</m:t>
              </m:r>
            </m:e>
            <m:sub>
              <m:r>
                <w:rPr>
                  <w:rFonts w:ascii="Cambria Math" w:hAnsi="Cambria Math" w:cstheme="majorBidi"/>
                  <w:color w:val="000000" w:themeColor="text1"/>
                  <w:lang w:val="en-GB"/>
                </w:rPr>
                <m:t>i</m:t>
              </m:r>
            </m:sub>
          </m:sSub>
          <m:r>
            <w:rPr>
              <w:rFonts w:ascii="Cambria Math" w:hAnsi="Cambria Math" w:cstheme="majorBidi"/>
              <w:color w:val="000000" w:themeColor="text1"/>
              <w:lang w:val="en-GB"/>
            </w:rPr>
            <m:t xml:space="preserve">             (2)</m:t>
          </m:r>
        </m:oMath>
      </m:oMathPara>
    </w:p>
    <w:p w14:paraId="05D14A72" w14:textId="5CF85B5B" w:rsidR="00CB5EF5" w:rsidRPr="00CB5EF5" w:rsidRDefault="00CB5EF5" w:rsidP="00CB5EF5">
      <w:pPr>
        <w:spacing w:line="360" w:lineRule="auto"/>
        <w:jc w:val="both"/>
        <w:rPr>
          <w:rFonts w:ascii="Cambria Math" w:hAnsi="Cambria Math" w:cstheme="majorBidi"/>
          <w:i/>
          <w:color w:val="000000" w:themeColor="text1"/>
          <w:lang w:val="en-GB"/>
        </w:rPr>
      </w:pPr>
      <w:r w:rsidRPr="00CB5EF5">
        <w:rPr>
          <w:rFonts w:ascii="Cambria Math" w:hAnsi="Cambria Math" w:cstheme="majorBidi"/>
          <w:i/>
          <w:color w:val="000000" w:themeColor="text1"/>
          <w:lang w:val="en-GB"/>
        </w:rPr>
        <w:br/>
      </w:r>
      <m:oMathPara>
        <m:oMath>
          <m:r>
            <w:rPr>
              <w:rFonts w:ascii="Cambria Math" w:hAnsi="Cambria Math" w:cstheme="majorBidi"/>
              <w:color w:val="000000" w:themeColor="text1"/>
              <w:lang w:val="en-GB"/>
            </w:rPr>
            <m:t>HPI=</m:t>
          </m:r>
          <m:f>
            <m:fPr>
              <m:ctrlPr>
                <w:rPr>
                  <w:rFonts w:ascii="Cambria Math" w:hAnsi="Cambria Math" w:cstheme="majorBidi"/>
                  <w:i/>
                  <w:color w:val="000000" w:themeColor="text1"/>
                  <w:lang w:val="en-GB"/>
                </w:rPr>
              </m:ctrlPr>
            </m:fPr>
            <m:num>
              <m:r>
                <w:rPr>
                  <w:rFonts w:ascii="Cambria Math" w:hAnsi="Cambria Math" w:cstheme="majorBidi"/>
                  <w:color w:val="000000" w:themeColor="text1"/>
                  <w:lang w:val="en-GB"/>
                </w:rPr>
                <m:t>∑</m:t>
              </m:r>
              <m:sSub>
                <m:sSubPr>
                  <m:ctrlPr>
                    <w:rPr>
                      <w:rFonts w:ascii="Cambria Math" w:hAnsi="Cambria Math" w:cstheme="majorBidi"/>
                      <w:i/>
                      <w:color w:val="000000" w:themeColor="text1"/>
                      <w:lang w:val="en-GB"/>
                    </w:rPr>
                  </m:ctrlPr>
                </m:sSubPr>
                <m:e>
                  <m:r>
                    <w:rPr>
                      <w:rFonts w:ascii="Cambria Math" w:hAnsi="Cambria Math" w:cstheme="majorBidi"/>
                      <w:color w:val="000000" w:themeColor="text1"/>
                      <w:lang w:val="en-GB"/>
                    </w:rPr>
                    <m:t>Q</m:t>
                  </m:r>
                </m:e>
                <m:sub>
                  <m:r>
                    <w:rPr>
                      <w:rFonts w:ascii="Cambria Math" w:hAnsi="Cambria Math" w:cstheme="majorBidi"/>
                      <w:color w:val="000000" w:themeColor="text1"/>
                      <w:lang w:val="en-GB"/>
                    </w:rPr>
                    <m:t>i</m:t>
                  </m:r>
                </m:sub>
              </m:sSub>
              <m:sSub>
                <m:sSubPr>
                  <m:ctrlPr>
                    <w:rPr>
                      <w:rFonts w:ascii="Cambria Math" w:hAnsi="Cambria Math" w:cstheme="majorBidi"/>
                      <w:i/>
                      <w:color w:val="000000" w:themeColor="text1"/>
                      <w:lang w:val="en-GB"/>
                    </w:rPr>
                  </m:ctrlPr>
                </m:sSubPr>
                <m:e>
                  <m:r>
                    <w:rPr>
                      <w:rFonts w:ascii="Cambria Math" w:hAnsi="Cambria Math" w:cstheme="majorBidi"/>
                      <w:color w:val="000000" w:themeColor="text1"/>
                      <w:lang w:val="en-GB"/>
                    </w:rPr>
                    <m:t>W</m:t>
                  </m:r>
                </m:e>
                <m:sub>
                  <m:r>
                    <w:rPr>
                      <w:rFonts w:ascii="Cambria Math" w:hAnsi="Cambria Math" w:cstheme="majorBidi"/>
                      <w:color w:val="000000" w:themeColor="text1"/>
                      <w:lang w:val="en-GB"/>
                    </w:rPr>
                    <m:t>i</m:t>
                  </m:r>
                </m:sub>
              </m:sSub>
            </m:num>
            <m:den>
              <m:r>
                <w:rPr>
                  <w:rFonts w:ascii="Cambria Math" w:hAnsi="Cambria Math" w:cstheme="majorBidi"/>
                  <w:color w:val="000000" w:themeColor="text1"/>
                  <w:lang w:val="en-GB"/>
                </w:rPr>
                <m:t>∑</m:t>
              </m:r>
              <m:sSub>
                <m:sSubPr>
                  <m:ctrlPr>
                    <w:rPr>
                      <w:rFonts w:ascii="Cambria Math" w:hAnsi="Cambria Math" w:cstheme="majorBidi"/>
                      <w:i/>
                      <w:color w:val="000000" w:themeColor="text1"/>
                      <w:lang w:val="en-GB"/>
                    </w:rPr>
                  </m:ctrlPr>
                </m:sSubPr>
                <m:e>
                  <m:r>
                    <w:rPr>
                      <w:rFonts w:ascii="Cambria Math" w:hAnsi="Cambria Math" w:cstheme="majorBidi"/>
                      <w:color w:val="000000" w:themeColor="text1"/>
                      <w:lang w:val="en-GB"/>
                    </w:rPr>
                    <m:t>W</m:t>
                  </m:r>
                </m:e>
                <m:sub>
                  <m:r>
                    <w:rPr>
                      <w:rFonts w:ascii="Cambria Math" w:hAnsi="Cambria Math" w:cstheme="majorBidi"/>
                      <w:color w:val="000000" w:themeColor="text1"/>
                      <w:lang w:val="en-GB"/>
                    </w:rPr>
                    <m:t>i</m:t>
                  </m:r>
                </m:sub>
              </m:sSub>
            </m:den>
          </m:f>
          <m:r>
            <w:rPr>
              <w:rFonts w:ascii="Cambria Math" w:hAnsi="Cambria Math" w:cstheme="majorBidi"/>
              <w:color w:val="000000" w:themeColor="text1"/>
              <w:lang w:val="en-GB"/>
            </w:rPr>
            <m:t xml:space="preserve">         (3)</m:t>
          </m:r>
          <m:r>
            <m:rPr>
              <m:sty m:val="p"/>
            </m:rPr>
            <w:rPr>
              <w:rFonts w:ascii="Cambria Math" w:hAnsi="Cambria Math" w:cstheme="majorBidi"/>
              <w:color w:val="000000" w:themeColor="text1"/>
              <w:lang w:val="en-GB"/>
            </w:rPr>
            <w:br/>
          </m:r>
        </m:oMath>
      </m:oMathPara>
    </w:p>
    <w:p w14:paraId="4921B83A" w14:textId="4586EA42" w:rsidR="00CB5EF5" w:rsidRDefault="00CB5EF5" w:rsidP="005460FD">
      <w:pPr>
        <w:spacing w:line="276" w:lineRule="auto"/>
        <w:rPr>
          <w:rFonts w:ascii="Cambria Math" w:hAnsi="Cambria Math" w:cstheme="majorBidi"/>
          <w:color w:val="000000" w:themeColor="text1"/>
          <w:sz w:val="22"/>
          <w:szCs w:val="22"/>
          <w:lang w:val="en-GB"/>
        </w:rPr>
      </w:pPr>
      <w:r w:rsidRPr="00CB5EF5">
        <w:rPr>
          <w:rFonts w:ascii="Cambria Math" w:hAnsi="Cambria Math" w:cstheme="majorBidi"/>
          <w:i/>
          <w:color w:val="000000" w:themeColor="text1"/>
          <w:lang w:val="en-GB"/>
        </w:rPr>
        <w:t>Where:</w:t>
      </w:r>
      <w:r w:rsidRPr="00CB5EF5">
        <w:rPr>
          <w:rFonts w:ascii="Cambria Math" w:hAnsi="Cambria Math" w:cstheme="majorBidi"/>
          <w:i/>
          <w:color w:val="000000" w:themeColor="text1"/>
          <w:lang w:val="en-GB"/>
        </w:rPr>
        <w:br/>
      </w:r>
      <m:oMath>
        <m:sSub>
          <m:sSubPr>
            <m:ctrlPr>
              <w:rPr>
                <w:rFonts w:ascii="Cambria Math" w:hAnsi="Cambria Math" w:cstheme="majorBidi"/>
                <w:color w:val="000000" w:themeColor="text1"/>
                <w:sz w:val="22"/>
                <w:szCs w:val="22"/>
                <w:lang w:val="en-GB"/>
              </w:rPr>
            </m:ctrlPr>
          </m:sSubPr>
          <m:e>
            <m:r>
              <m:rPr>
                <m:sty m:val="p"/>
              </m:rPr>
              <w:rPr>
                <w:rFonts w:ascii="Cambria Math" w:hAnsi="Cambria Math" w:cstheme="majorBidi"/>
                <w:color w:val="000000" w:themeColor="text1"/>
                <w:sz w:val="22"/>
                <w:szCs w:val="22"/>
                <w:lang w:val="en-GB"/>
              </w:rPr>
              <m:t>C</m:t>
            </m:r>
          </m:e>
          <m:sub>
            <m:r>
              <m:rPr>
                <m:sty m:val="p"/>
              </m:rPr>
              <w:rPr>
                <w:rFonts w:ascii="Cambria Math" w:hAnsi="Cambria Math" w:cstheme="majorBidi"/>
                <w:color w:val="000000" w:themeColor="text1"/>
                <w:sz w:val="22"/>
                <w:szCs w:val="22"/>
                <w:lang w:val="en-GB"/>
              </w:rPr>
              <m:t>i</m:t>
            </m:r>
          </m:sub>
        </m:sSub>
      </m:oMath>
      <w:r w:rsidRPr="005460FD">
        <w:rPr>
          <w:rFonts w:ascii="Cambria Math" w:hAnsi="Cambria Math" w:cstheme="majorBidi"/>
          <w:color w:val="000000" w:themeColor="text1"/>
          <w:sz w:val="22"/>
          <w:szCs w:val="22"/>
          <w:lang w:val="en-GB"/>
        </w:rPr>
        <w:t xml:space="preserve">= Measured concentration of metal </w:t>
      </w:r>
      <m:oMath>
        <m:r>
          <m:rPr>
            <m:sty m:val="p"/>
          </m:rPr>
          <w:rPr>
            <w:rFonts w:ascii="Cambria Math" w:hAnsi="Cambria Math" w:cstheme="majorBidi"/>
            <w:color w:val="000000" w:themeColor="text1"/>
            <w:sz w:val="22"/>
            <w:szCs w:val="22"/>
            <w:lang w:val="en-GB"/>
          </w:rPr>
          <m:t>i</m:t>
        </m:r>
      </m:oMath>
      <w:r w:rsidRPr="005460FD">
        <w:rPr>
          <w:rFonts w:ascii="Cambria Math" w:hAnsi="Cambria Math" w:cstheme="majorBidi"/>
          <w:color w:val="000000" w:themeColor="text1"/>
          <w:sz w:val="22"/>
          <w:szCs w:val="22"/>
          <w:lang w:val="en-GB"/>
        </w:rPr>
        <w:t>(mg/L)</w:t>
      </w:r>
      <w:r w:rsidRPr="005460FD">
        <w:rPr>
          <w:rFonts w:ascii="Cambria Math" w:hAnsi="Cambria Math" w:cstheme="majorBidi"/>
          <w:color w:val="000000" w:themeColor="text1"/>
          <w:sz w:val="22"/>
          <w:szCs w:val="22"/>
          <w:lang w:val="en-GB"/>
        </w:rPr>
        <w:br/>
      </w:r>
      <m:oMath>
        <m:sSub>
          <m:sSubPr>
            <m:ctrlPr>
              <w:rPr>
                <w:rFonts w:ascii="Cambria Math" w:hAnsi="Cambria Math" w:cstheme="majorBidi"/>
                <w:color w:val="000000" w:themeColor="text1"/>
                <w:sz w:val="22"/>
                <w:szCs w:val="22"/>
                <w:lang w:val="en-GB"/>
              </w:rPr>
            </m:ctrlPr>
          </m:sSubPr>
          <m:e>
            <m:r>
              <m:rPr>
                <m:sty m:val="p"/>
              </m:rPr>
              <w:rPr>
                <w:rFonts w:ascii="Cambria Math" w:hAnsi="Cambria Math" w:cstheme="majorBidi"/>
                <w:color w:val="000000" w:themeColor="text1"/>
                <w:sz w:val="22"/>
                <w:szCs w:val="22"/>
                <w:lang w:val="en-GB"/>
              </w:rPr>
              <m:t>S</m:t>
            </m:r>
          </m:e>
          <m:sub>
            <m:r>
              <m:rPr>
                <m:sty m:val="p"/>
              </m:rPr>
              <w:rPr>
                <w:rFonts w:ascii="Cambria Math" w:hAnsi="Cambria Math" w:cstheme="majorBidi"/>
                <w:color w:val="000000" w:themeColor="text1"/>
                <w:sz w:val="22"/>
                <w:szCs w:val="22"/>
                <w:lang w:val="en-GB"/>
              </w:rPr>
              <m:t>i</m:t>
            </m:r>
          </m:sub>
        </m:sSub>
      </m:oMath>
      <w:r w:rsidRPr="005460FD">
        <w:rPr>
          <w:rFonts w:ascii="Cambria Math" w:hAnsi="Cambria Math" w:cstheme="majorBidi"/>
          <w:color w:val="000000" w:themeColor="text1"/>
          <w:sz w:val="22"/>
          <w:szCs w:val="22"/>
          <w:lang w:val="en-GB"/>
        </w:rPr>
        <w:t xml:space="preserve">= WHO guideline value for metal </w:t>
      </w:r>
      <m:oMath>
        <m:r>
          <m:rPr>
            <m:sty m:val="p"/>
          </m:rPr>
          <w:rPr>
            <w:rFonts w:ascii="Cambria Math" w:hAnsi="Cambria Math" w:cstheme="majorBidi"/>
            <w:color w:val="000000" w:themeColor="text1"/>
            <w:sz w:val="22"/>
            <w:szCs w:val="22"/>
            <w:lang w:val="en-GB"/>
          </w:rPr>
          <m:t>i</m:t>
        </m:r>
      </m:oMath>
      <w:r w:rsidRPr="005460FD">
        <w:rPr>
          <w:rFonts w:ascii="Cambria Math" w:hAnsi="Cambria Math" w:cstheme="majorBidi"/>
          <w:color w:val="000000" w:themeColor="text1"/>
          <w:sz w:val="22"/>
          <w:szCs w:val="22"/>
          <w:lang w:val="en-GB"/>
        </w:rPr>
        <w:t>(mg/L)</w:t>
      </w:r>
      <w:r w:rsidRPr="005460FD">
        <w:rPr>
          <w:rFonts w:ascii="Cambria Math" w:hAnsi="Cambria Math" w:cstheme="majorBidi"/>
          <w:color w:val="000000" w:themeColor="text1"/>
          <w:sz w:val="22"/>
          <w:szCs w:val="22"/>
          <w:lang w:val="en-GB"/>
        </w:rPr>
        <w:br/>
      </w:r>
      <m:oMath>
        <m:sSub>
          <m:sSubPr>
            <m:ctrlPr>
              <w:rPr>
                <w:rFonts w:ascii="Cambria Math" w:hAnsi="Cambria Math" w:cstheme="majorBidi"/>
                <w:color w:val="000000" w:themeColor="text1"/>
                <w:sz w:val="22"/>
                <w:szCs w:val="22"/>
                <w:lang w:val="en-GB"/>
              </w:rPr>
            </m:ctrlPr>
          </m:sSubPr>
          <m:e>
            <m:r>
              <m:rPr>
                <m:sty m:val="p"/>
              </m:rPr>
              <w:rPr>
                <w:rFonts w:ascii="Cambria Math" w:hAnsi="Cambria Math" w:cstheme="majorBidi"/>
                <w:color w:val="000000" w:themeColor="text1"/>
                <w:sz w:val="22"/>
                <w:szCs w:val="22"/>
                <w:lang w:val="en-GB"/>
              </w:rPr>
              <m:t>I</m:t>
            </m:r>
          </m:e>
          <m:sub>
            <m:r>
              <m:rPr>
                <m:sty m:val="p"/>
              </m:rPr>
              <w:rPr>
                <w:rFonts w:ascii="Cambria Math" w:hAnsi="Cambria Math" w:cstheme="majorBidi"/>
                <w:color w:val="000000" w:themeColor="text1"/>
                <w:sz w:val="22"/>
                <w:szCs w:val="22"/>
                <w:lang w:val="en-GB"/>
              </w:rPr>
              <m:t>i</m:t>
            </m:r>
          </m:sub>
        </m:sSub>
      </m:oMath>
      <w:r w:rsidRPr="005460FD">
        <w:rPr>
          <w:rFonts w:ascii="Cambria Math" w:hAnsi="Cambria Math" w:cstheme="majorBidi"/>
          <w:color w:val="000000" w:themeColor="text1"/>
          <w:sz w:val="22"/>
          <w:szCs w:val="22"/>
          <w:lang w:val="en-GB"/>
        </w:rPr>
        <w:t>= Ideal value (here 0 for all metals)</w:t>
      </w:r>
      <w:r w:rsidRPr="005460FD">
        <w:rPr>
          <w:rFonts w:ascii="Cambria Math" w:hAnsi="Cambria Math" w:cstheme="majorBidi"/>
          <w:color w:val="000000" w:themeColor="text1"/>
          <w:sz w:val="22"/>
          <w:szCs w:val="22"/>
          <w:lang w:val="en-GB"/>
        </w:rPr>
        <w:br/>
      </w:r>
      <m:oMath>
        <m:sSub>
          <m:sSubPr>
            <m:ctrlPr>
              <w:rPr>
                <w:rFonts w:ascii="Cambria Math" w:hAnsi="Cambria Math" w:cstheme="majorBidi"/>
                <w:color w:val="000000" w:themeColor="text1"/>
                <w:sz w:val="22"/>
                <w:szCs w:val="22"/>
                <w:lang w:val="en-GB"/>
              </w:rPr>
            </m:ctrlPr>
          </m:sSubPr>
          <m:e>
            <m:r>
              <m:rPr>
                <m:sty m:val="p"/>
              </m:rPr>
              <w:rPr>
                <w:rFonts w:ascii="Cambria Math" w:hAnsi="Cambria Math" w:cstheme="majorBidi"/>
                <w:color w:val="000000" w:themeColor="text1"/>
                <w:sz w:val="22"/>
                <w:szCs w:val="22"/>
                <w:lang w:val="en-GB"/>
              </w:rPr>
              <m:t>W</m:t>
            </m:r>
          </m:e>
          <m:sub>
            <m:r>
              <m:rPr>
                <m:sty m:val="p"/>
              </m:rPr>
              <w:rPr>
                <w:rFonts w:ascii="Cambria Math" w:hAnsi="Cambria Math" w:cstheme="majorBidi"/>
                <w:color w:val="000000" w:themeColor="text1"/>
                <w:sz w:val="22"/>
                <w:szCs w:val="22"/>
                <w:lang w:val="en-GB"/>
              </w:rPr>
              <m:t>i</m:t>
            </m:r>
          </m:sub>
        </m:sSub>
      </m:oMath>
      <w:r w:rsidRPr="005460FD">
        <w:rPr>
          <w:rFonts w:ascii="Cambria Math" w:hAnsi="Cambria Math" w:cstheme="majorBidi"/>
          <w:color w:val="000000" w:themeColor="text1"/>
          <w:sz w:val="22"/>
          <w:szCs w:val="22"/>
          <w:lang w:val="en-GB"/>
        </w:rPr>
        <w:t xml:space="preserve">= Weight assigned to metal </w:t>
      </w:r>
      <m:oMath>
        <m:r>
          <m:rPr>
            <m:sty m:val="p"/>
          </m:rPr>
          <w:rPr>
            <w:rFonts w:ascii="Cambria Math" w:hAnsi="Cambria Math" w:cstheme="majorBidi"/>
            <w:color w:val="000000" w:themeColor="text1"/>
            <w:sz w:val="22"/>
            <w:szCs w:val="22"/>
            <w:lang w:val="en-GB"/>
          </w:rPr>
          <m:t>i</m:t>
        </m:r>
      </m:oMath>
      <w:r w:rsidRPr="005460FD">
        <w:rPr>
          <w:rFonts w:ascii="Cambria Math" w:hAnsi="Cambria Math" w:cstheme="majorBidi"/>
          <w:color w:val="000000" w:themeColor="text1"/>
          <w:sz w:val="22"/>
          <w:szCs w:val="22"/>
          <w:lang w:val="en-GB"/>
        </w:rPr>
        <w:t>, the inverse of the WHO guideline</w:t>
      </w:r>
    </w:p>
    <w:p w14:paraId="1C84AB44" w14:textId="77777777" w:rsidR="005460FD" w:rsidRPr="00CB5EF5" w:rsidRDefault="005460FD" w:rsidP="005460FD">
      <w:pPr>
        <w:spacing w:line="276" w:lineRule="auto"/>
        <w:rPr>
          <w:rFonts w:ascii="Cambria Math" w:hAnsi="Cambria Math" w:cstheme="majorBidi"/>
          <w:i/>
          <w:color w:val="000000" w:themeColor="text1"/>
          <w:lang w:val="en-GB"/>
        </w:rPr>
      </w:pPr>
    </w:p>
    <w:p w14:paraId="01DCF6C8" w14:textId="77777777" w:rsidR="003B4130" w:rsidRPr="003B4130" w:rsidRDefault="00CB5EF5" w:rsidP="00CB5EF5">
      <w:pPr>
        <w:spacing w:line="360" w:lineRule="auto"/>
        <w:jc w:val="both"/>
        <w:rPr>
          <w:rFonts w:ascii="Cambria Math" w:hAnsi="Cambria Math" w:cstheme="majorBidi"/>
          <w:iCs/>
          <w:color w:val="000000" w:themeColor="text1"/>
          <w:lang w:val="en-GB"/>
        </w:rPr>
      </w:pPr>
      <w:r w:rsidRPr="00CB5EF5">
        <w:rPr>
          <w:rFonts w:ascii="Cambria Math" w:hAnsi="Cambria Math" w:cstheme="majorBidi"/>
          <w:b/>
          <w:bCs/>
          <w:iCs/>
          <w:color w:val="000000" w:themeColor="text1"/>
          <w:lang w:val="en-GB"/>
        </w:rPr>
        <w:t>2.4.3 Health Risk Assessment (HRA)</w:t>
      </w:r>
    </w:p>
    <w:p w14:paraId="2DA5677B" w14:textId="596B9D63" w:rsidR="00CB5EF5" w:rsidRDefault="00CB5EF5" w:rsidP="00CB5EF5">
      <w:pPr>
        <w:spacing w:line="360" w:lineRule="auto"/>
        <w:jc w:val="both"/>
        <w:rPr>
          <w:rFonts w:ascii="Cambria Math" w:hAnsi="Cambria Math" w:cstheme="majorBidi"/>
          <w:iCs/>
          <w:color w:val="000000" w:themeColor="text1"/>
          <w:lang w:val="en-GB"/>
        </w:rPr>
      </w:pPr>
      <w:r w:rsidRPr="00CB5EF5">
        <w:rPr>
          <w:rFonts w:ascii="Cambria Math" w:hAnsi="Cambria Math" w:cstheme="majorBidi"/>
          <w:iCs/>
          <w:color w:val="000000" w:themeColor="text1"/>
          <w:lang w:val="en-GB"/>
        </w:rPr>
        <w:t>The human health risk assessment was conducted following the methodology of the US Environmental Protection Agency (USEPA, 1989, 2011) and adapted in recent studies on metal contamination of water (Shehu et al., 2022). It includes estimation of Chronic Daily Intake (CDI), calculation of non-carcinogenic risks (Hazard Quotient [HQ] and Hazard Index [HI]), and carcinogenic risk (Cancer Risk [CR]). HQ and HI are defined by USEPA as indicators of non-carcinogenic risk (USEPA, 1989). CR is calculated using cancer slope factors provided by the Integrated Risk Information System (IRIS) (USEPA, 2011).</w:t>
      </w:r>
    </w:p>
    <w:p w14:paraId="1081C612" w14:textId="77777777" w:rsidR="00DE0A68" w:rsidRPr="00CB5EF5" w:rsidRDefault="00DE0A68" w:rsidP="00CB5EF5">
      <w:pPr>
        <w:spacing w:line="360" w:lineRule="auto"/>
        <w:jc w:val="both"/>
        <w:rPr>
          <w:rFonts w:ascii="Cambria Math" w:hAnsi="Cambria Math" w:cstheme="majorBidi"/>
          <w:i/>
          <w:color w:val="000000" w:themeColor="text1"/>
          <w:lang w:val="en-GB"/>
        </w:rPr>
      </w:pPr>
    </w:p>
    <w:p w14:paraId="3D7FAE6E" w14:textId="77777777" w:rsidR="00CB5EF5" w:rsidRPr="00CB5EF5" w:rsidRDefault="00CB5EF5" w:rsidP="003B4130">
      <w:pPr>
        <w:spacing w:line="360" w:lineRule="auto"/>
        <w:rPr>
          <w:rFonts w:ascii="Cambria Math" w:hAnsi="Cambria Math" w:cstheme="majorBidi"/>
          <w:iCs/>
          <w:color w:val="000000" w:themeColor="text1"/>
          <w:lang w:val="en-GB"/>
        </w:rPr>
      </w:pPr>
      <w:r w:rsidRPr="00CB5EF5">
        <w:rPr>
          <w:rFonts w:ascii="Cambria Math" w:hAnsi="Cambria Math" w:cstheme="majorBidi"/>
          <w:b/>
          <w:bCs/>
          <w:iCs/>
          <w:color w:val="000000" w:themeColor="text1"/>
          <w:lang w:val="en-GB"/>
        </w:rPr>
        <w:t>2.4.3.1 Chronic Daily Intake (CDI)</w:t>
      </w:r>
      <w:r w:rsidRPr="00CB5EF5">
        <w:rPr>
          <w:rFonts w:ascii="Cambria Math" w:hAnsi="Cambria Math" w:cstheme="majorBidi"/>
          <w:i/>
          <w:color w:val="000000" w:themeColor="text1"/>
          <w:lang w:val="en-GB"/>
        </w:rPr>
        <w:br/>
      </w:r>
      <w:r w:rsidRPr="00CB5EF5">
        <w:rPr>
          <w:rFonts w:ascii="Cambria Math" w:hAnsi="Cambria Math" w:cstheme="majorBidi"/>
          <w:iCs/>
          <w:color w:val="000000" w:themeColor="text1"/>
          <w:lang w:val="en-GB"/>
        </w:rPr>
        <w:t>CDI expresses the chronic daily dose ingested by an individual based on metal concentration in water and consumption habits:</w:t>
      </w:r>
    </w:p>
    <w:p w14:paraId="66537625" w14:textId="23A0CE7E" w:rsidR="00CB5EF5" w:rsidRPr="00CB5EF5" w:rsidRDefault="003B4130" w:rsidP="003B4130">
      <w:pPr>
        <w:spacing w:line="360" w:lineRule="auto"/>
        <w:rPr>
          <w:rFonts w:ascii="Cambria Math" w:hAnsi="Cambria Math" w:cstheme="majorBidi"/>
          <w:iCs/>
          <w:color w:val="000000" w:themeColor="text1"/>
          <w:lang w:val="en-GB"/>
        </w:rPr>
      </w:pPr>
      <m:oMathPara>
        <m:oMath>
          <m:r>
            <m:rPr>
              <m:sty m:val="p"/>
            </m:rPr>
            <w:rPr>
              <w:rFonts w:ascii="Cambria Math" w:hAnsi="Cambria Math" w:cstheme="majorBidi"/>
              <w:color w:val="000000" w:themeColor="text1"/>
              <w:lang w:val="en-GB"/>
            </w:rPr>
            <m:t>CDI=</m:t>
          </m:r>
          <m:f>
            <m:fPr>
              <m:ctrlPr>
                <w:rPr>
                  <w:rFonts w:ascii="Cambria Math" w:hAnsi="Cambria Math" w:cstheme="majorBidi"/>
                  <w:iCs/>
                  <w:color w:val="000000" w:themeColor="text1"/>
                  <w:lang w:val="en-GB"/>
                </w:rPr>
              </m:ctrlPr>
            </m:fPr>
            <m:num>
              <m:r>
                <m:rPr>
                  <m:sty m:val="p"/>
                </m:rPr>
                <w:rPr>
                  <w:rFonts w:ascii="Cambria Math" w:hAnsi="Cambria Math" w:cstheme="majorBidi"/>
                  <w:color w:val="000000" w:themeColor="text1"/>
                  <w:lang w:val="en-GB"/>
                </w:rPr>
                <m:t>C×IR×EF×ED</m:t>
              </m:r>
            </m:num>
            <m:den>
              <m:r>
                <m:rPr>
                  <m:sty m:val="p"/>
                </m:rPr>
                <w:rPr>
                  <w:rFonts w:ascii="Cambria Math" w:hAnsi="Cambria Math" w:cstheme="majorBidi"/>
                  <w:color w:val="000000" w:themeColor="text1"/>
                  <w:lang w:val="en-GB"/>
                </w:rPr>
                <m:t>BW×AT</m:t>
              </m:r>
            </m:den>
          </m:f>
          <m:r>
            <m:rPr>
              <m:sty m:val="p"/>
            </m:rPr>
            <w:rPr>
              <w:rFonts w:ascii="Cambria Math" w:hAnsi="Cambria Math" w:cstheme="majorBidi"/>
              <w:color w:val="000000" w:themeColor="text1"/>
              <w:lang w:val="en-GB"/>
            </w:rPr>
            <m:t xml:space="preserve">              (4)</m:t>
          </m:r>
          <m:r>
            <m:rPr>
              <m:sty m:val="p"/>
            </m:rPr>
            <w:rPr>
              <w:rFonts w:ascii="Cambria Math" w:hAnsi="Cambria Math" w:cstheme="majorBidi"/>
              <w:color w:val="000000" w:themeColor="text1"/>
              <w:lang w:val="en-GB"/>
            </w:rPr>
            <w:br/>
          </m:r>
        </m:oMath>
      </m:oMathPara>
    </w:p>
    <w:p w14:paraId="2AE84E85" w14:textId="3AD94D54" w:rsidR="00CB5EF5" w:rsidRDefault="00CB5EF5" w:rsidP="005460FD">
      <w:pPr>
        <w:spacing w:line="360" w:lineRule="auto"/>
        <w:rPr>
          <w:iCs/>
          <w:color w:val="000000" w:themeColor="text1"/>
          <w:sz w:val="22"/>
          <w:szCs w:val="22"/>
          <w:lang w:val="en-GB"/>
        </w:rPr>
      </w:pPr>
      <w:r w:rsidRPr="00CB5EF5">
        <w:rPr>
          <w:rFonts w:ascii="Cambria Math" w:hAnsi="Cambria Math" w:cstheme="majorBidi"/>
          <w:iCs/>
          <w:color w:val="000000" w:themeColor="text1"/>
          <w:lang w:val="en-GB"/>
        </w:rPr>
        <w:t>Where:</w:t>
      </w:r>
      <w:r w:rsidRPr="00CB5EF5">
        <w:rPr>
          <w:rFonts w:ascii="Cambria Math" w:hAnsi="Cambria Math" w:cstheme="majorBidi"/>
          <w:iCs/>
          <w:color w:val="000000" w:themeColor="text1"/>
          <w:lang w:val="en-GB"/>
        </w:rPr>
        <w:br/>
      </w:r>
      <m:oMath>
        <m:r>
          <m:rPr>
            <m:sty m:val="p"/>
          </m:rPr>
          <w:rPr>
            <w:rFonts w:ascii="Cambria Math" w:hAnsi="Cambria Math"/>
            <w:color w:val="000000" w:themeColor="text1"/>
            <w:sz w:val="22"/>
            <w:szCs w:val="22"/>
            <w:lang w:val="en-GB"/>
          </w:rPr>
          <m:t>C</m:t>
        </m:r>
      </m:oMath>
      <w:r w:rsidRPr="005460FD">
        <w:rPr>
          <w:iCs/>
          <w:color w:val="000000" w:themeColor="text1"/>
          <w:sz w:val="22"/>
          <w:szCs w:val="22"/>
          <w:lang w:val="en-GB"/>
        </w:rPr>
        <w:t>= Concentration of metal (mg/L)</w:t>
      </w:r>
      <w:r w:rsidRPr="005460FD">
        <w:rPr>
          <w:iCs/>
          <w:color w:val="000000" w:themeColor="text1"/>
          <w:sz w:val="22"/>
          <w:szCs w:val="22"/>
          <w:lang w:val="en-GB"/>
        </w:rPr>
        <w:br/>
      </w:r>
      <m:oMath>
        <m:r>
          <m:rPr>
            <m:sty m:val="p"/>
          </m:rPr>
          <w:rPr>
            <w:rFonts w:ascii="Cambria Math" w:hAnsi="Cambria Math"/>
            <w:color w:val="000000" w:themeColor="text1"/>
            <w:sz w:val="22"/>
            <w:szCs w:val="22"/>
            <w:lang w:val="en-GB"/>
          </w:rPr>
          <m:t>IR</m:t>
        </m:r>
      </m:oMath>
      <w:r w:rsidRPr="005460FD">
        <w:rPr>
          <w:iCs/>
          <w:color w:val="000000" w:themeColor="text1"/>
          <w:sz w:val="22"/>
          <w:szCs w:val="22"/>
          <w:lang w:val="en-GB"/>
        </w:rPr>
        <w:t>= Daily water ingestion rate (2.5 L/day for adults; 0.78 L/day for children)</w:t>
      </w:r>
      <w:r w:rsidRPr="005460FD">
        <w:rPr>
          <w:iCs/>
          <w:color w:val="000000" w:themeColor="text1"/>
          <w:sz w:val="22"/>
          <w:szCs w:val="22"/>
          <w:lang w:val="en-GB"/>
        </w:rPr>
        <w:br/>
      </w:r>
      <m:oMath>
        <m:r>
          <m:rPr>
            <m:sty m:val="p"/>
          </m:rPr>
          <w:rPr>
            <w:rFonts w:ascii="Cambria Math" w:hAnsi="Cambria Math"/>
            <w:color w:val="000000" w:themeColor="text1"/>
            <w:sz w:val="22"/>
            <w:szCs w:val="22"/>
            <w:lang w:val="en-GB"/>
          </w:rPr>
          <m:t>EF</m:t>
        </m:r>
      </m:oMath>
      <w:r w:rsidRPr="005460FD">
        <w:rPr>
          <w:iCs/>
          <w:color w:val="000000" w:themeColor="text1"/>
          <w:sz w:val="22"/>
          <w:szCs w:val="22"/>
          <w:lang w:val="en-GB"/>
        </w:rPr>
        <w:t>= Exposure frequency (365 days/year)</w:t>
      </w:r>
      <w:r w:rsidRPr="005460FD">
        <w:rPr>
          <w:iCs/>
          <w:color w:val="000000" w:themeColor="text1"/>
          <w:sz w:val="22"/>
          <w:szCs w:val="22"/>
          <w:lang w:val="en-GB"/>
        </w:rPr>
        <w:br/>
      </w:r>
      <m:oMath>
        <m:r>
          <m:rPr>
            <m:sty m:val="p"/>
          </m:rPr>
          <w:rPr>
            <w:rFonts w:ascii="Cambria Math" w:hAnsi="Cambria Math"/>
            <w:color w:val="000000" w:themeColor="text1"/>
            <w:sz w:val="22"/>
            <w:szCs w:val="22"/>
            <w:lang w:val="en-GB"/>
          </w:rPr>
          <m:t>ED</m:t>
        </m:r>
      </m:oMath>
      <w:r w:rsidRPr="005460FD">
        <w:rPr>
          <w:iCs/>
          <w:color w:val="000000" w:themeColor="text1"/>
          <w:sz w:val="22"/>
          <w:szCs w:val="22"/>
          <w:lang w:val="en-GB"/>
        </w:rPr>
        <w:t>= Exposure duration (70 years for adults; 6 years for children)</w:t>
      </w:r>
      <w:r w:rsidRPr="005460FD">
        <w:rPr>
          <w:iCs/>
          <w:color w:val="000000" w:themeColor="text1"/>
          <w:sz w:val="22"/>
          <w:szCs w:val="22"/>
          <w:lang w:val="en-GB"/>
        </w:rPr>
        <w:br/>
      </w:r>
      <m:oMath>
        <m:r>
          <m:rPr>
            <m:sty m:val="p"/>
          </m:rPr>
          <w:rPr>
            <w:rFonts w:ascii="Cambria Math" w:hAnsi="Cambria Math"/>
            <w:color w:val="000000" w:themeColor="text1"/>
            <w:sz w:val="22"/>
            <w:szCs w:val="22"/>
            <w:lang w:val="en-GB"/>
          </w:rPr>
          <w:lastRenderedPageBreak/>
          <m:t>BW</m:t>
        </m:r>
      </m:oMath>
      <w:r w:rsidRPr="005460FD">
        <w:rPr>
          <w:iCs/>
          <w:color w:val="000000" w:themeColor="text1"/>
          <w:sz w:val="22"/>
          <w:szCs w:val="22"/>
          <w:lang w:val="en-GB"/>
        </w:rPr>
        <w:t>= Body weight (70 kg for adults; 15 kg for children)</w:t>
      </w:r>
      <w:r w:rsidRPr="005460FD">
        <w:rPr>
          <w:iCs/>
          <w:color w:val="000000" w:themeColor="text1"/>
          <w:sz w:val="22"/>
          <w:szCs w:val="22"/>
          <w:lang w:val="en-GB"/>
        </w:rPr>
        <w:br/>
      </w:r>
      <m:oMath>
        <m:r>
          <m:rPr>
            <m:sty m:val="p"/>
          </m:rPr>
          <w:rPr>
            <w:rFonts w:ascii="Cambria Math" w:hAnsi="Cambria Math"/>
            <w:color w:val="000000" w:themeColor="text1"/>
            <w:sz w:val="22"/>
            <w:szCs w:val="22"/>
            <w:lang w:val="en-GB"/>
          </w:rPr>
          <m:t>AT</m:t>
        </m:r>
      </m:oMath>
      <w:r w:rsidRPr="005460FD">
        <w:rPr>
          <w:iCs/>
          <w:color w:val="000000" w:themeColor="text1"/>
          <w:sz w:val="22"/>
          <w:szCs w:val="22"/>
          <w:lang w:val="en-GB"/>
        </w:rPr>
        <w:t>= Averaging time (ED × 365 days for non-carcinogenic effects; lifetime for carcinogenic effects)</w:t>
      </w:r>
    </w:p>
    <w:p w14:paraId="3D787199" w14:textId="77777777" w:rsidR="005460FD" w:rsidRPr="00CB5EF5" w:rsidRDefault="005460FD" w:rsidP="005460FD">
      <w:pPr>
        <w:spacing w:line="360" w:lineRule="auto"/>
        <w:rPr>
          <w:rFonts w:ascii="Cambria Math" w:hAnsi="Cambria Math" w:cstheme="majorBidi"/>
          <w:iCs/>
          <w:color w:val="000000" w:themeColor="text1"/>
          <w:lang w:val="en-GB"/>
        </w:rPr>
      </w:pPr>
    </w:p>
    <w:p w14:paraId="5A9C9573" w14:textId="77777777" w:rsidR="003B4130" w:rsidRPr="003B4130" w:rsidRDefault="00CB5EF5" w:rsidP="00CB5EF5">
      <w:pPr>
        <w:spacing w:line="360" w:lineRule="auto"/>
        <w:jc w:val="both"/>
        <w:rPr>
          <w:rFonts w:ascii="Cambria Math" w:hAnsi="Cambria Math" w:cstheme="majorBidi"/>
          <w:b/>
          <w:bCs/>
          <w:iCs/>
          <w:color w:val="000000" w:themeColor="text1"/>
          <w:lang w:val="en-GB"/>
        </w:rPr>
      </w:pPr>
      <w:r w:rsidRPr="00CB5EF5">
        <w:rPr>
          <w:rFonts w:ascii="Cambria Math" w:hAnsi="Cambria Math" w:cstheme="majorBidi"/>
          <w:b/>
          <w:bCs/>
          <w:iCs/>
          <w:color w:val="000000" w:themeColor="text1"/>
          <w:lang w:val="en-GB"/>
        </w:rPr>
        <w:t>2.4.3.2 Hazard Quotient (HQ)</w:t>
      </w:r>
    </w:p>
    <w:p w14:paraId="2D191F6E" w14:textId="12B59187" w:rsidR="00CB5EF5" w:rsidRDefault="00CB5EF5" w:rsidP="00CB5EF5">
      <w:pPr>
        <w:spacing w:line="360" w:lineRule="auto"/>
        <w:jc w:val="both"/>
        <w:rPr>
          <w:rFonts w:ascii="Cambria Math" w:hAnsi="Cambria Math" w:cstheme="majorBidi"/>
          <w:iCs/>
          <w:color w:val="000000" w:themeColor="text1"/>
          <w:lang w:val="en-GB"/>
        </w:rPr>
      </w:pPr>
      <w:r w:rsidRPr="00CB5EF5">
        <w:rPr>
          <w:rFonts w:ascii="Cambria Math" w:hAnsi="Cambria Math" w:cstheme="majorBidi"/>
          <w:iCs/>
          <w:color w:val="000000" w:themeColor="text1"/>
          <w:lang w:val="en-GB"/>
        </w:rPr>
        <w:t>HQ assesses the non-carcinogenic risk of an individual metal:</w:t>
      </w:r>
    </w:p>
    <w:p w14:paraId="32E5E157" w14:textId="77777777" w:rsidR="003B4130" w:rsidRPr="00CB5EF5" w:rsidRDefault="003B4130" w:rsidP="00CB5EF5">
      <w:pPr>
        <w:spacing w:line="360" w:lineRule="auto"/>
        <w:jc w:val="both"/>
        <w:rPr>
          <w:rFonts w:ascii="Cambria Math" w:hAnsi="Cambria Math" w:cstheme="majorBidi"/>
          <w:iCs/>
          <w:color w:val="000000" w:themeColor="text1"/>
          <w:lang w:val="en-GB"/>
        </w:rPr>
      </w:pPr>
    </w:p>
    <w:p w14:paraId="37D79401" w14:textId="0C88FF72" w:rsidR="00CB5EF5" w:rsidRPr="005460FD" w:rsidRDefault="003B4130" w:rsidP="00CB5EF5">
      <w:pPr>
        <w:spacing w:line="360" w:lineRule="auto"/>
        <w:jc w:val="both"/>
        <w:rPr>
          <w:rFonts w:ascii="Cambria Math" w:hAnsi="Cambria Math" w:cstheme="majorBidi"/>
          <w:iCs/>
          <w:color w:val="000000" w:themeColor="text1"/>
          <w:lang w:val="en-GB"/>
        </w:rPr>
      </w:pPr>
      <m:oMathPara>
        <m:oMath>
          <m:r>
            <m:rPr>
              <m:sty m:val="p"/>
            </m:rPr>
            <w:rPr>
              <w:rFonts w:ascii="Cambria Math" w:hAnsi="Cambria Math" w:cstheme="majorBidi"/>
              <w:color w:val="000000" w:themeColor="text1"/>
              <w:lang w:val="en-GB"/>
            </w:rPr>
            <m:t>HQ=</m:t>
          </m:r>
          <m:f>
            <m:fPr>
              <m:ctrlPr>
                <w:rPr>
                  <w:rFonts w:ascii="Cambria Math" w:hAnsi="Cambria Math" w:cstheme="majorBidi"/>
                  <w:iCs/>
                  <w:color w:val="000000" w:themeColor="text1"/>
                  <w:lang w:val="en-GB"/>
                </w:rPr>
              </m:ctrlPr>
            </m:fPr>
            <m:num>
              <m:r>
                <m:rPr>
                  <m:sty m:val="p"/>
                </m:rPr>
                <w:rPr>
                  <w:rFonts w:ascii="Cambria Math" w:hAnsi="Cambria Math" w:cstheme="majorBidi"/>
                  <w:color w:val="000000" w:themeColor="text1"/>
                  <w:lang w:val="en-GB"/>
                </w:rPr>
                <m:t>CDI</m:t>
              </m:r>
            </m:num>
            <m:den>
              <m:r>
                <m:rPr>
                  <m:sty m:val="p"/>
                </m:rPr>
                <w:rPr>
                  <w:rFonts w:ascii="Cambria Math" w:hAnsi="Cambria Math" w:cstheme="majorBidi"/>
                  <w:color w:val="000000" w:themeColor="text1"/>
                  <w:lang w:val="en-GB"/>
                </w:rPr>
                <m:t>RfD</m:t>
              </m:r>
            </m:den>
          </m:f>
          <m:r>
            <m:rPr>
              <m:sty m:val="p"/>
            </m:rPr>
            <w:rPr>
              <w:rFonts w:ascii="Cambria Math" w:hAnsi="Cambria Math" w:cstheme="majorBidi"/>
              <w:color w:val="000000" w:themeColor="text1"/>
              <w:lang w:val="en-GB"/>
            </w:rPr>
            <m:t xml:space="preserve">          (5)</m:t>
          </m:r>
          <m:r>
            <m:rPr>
              <m:sty m:val="p"/>
            </m:rPr>
            <w:rPr>
              <w:rFonts w:ascii="Cambria Math" w:hAnsi="Cambria Math" w:cstheme="majorBidi"/>
              <w:color w:val="000000" w:themeColor="text1"/>
              <w:lang w:val="en-GB"/>
            </w:rPr>
            <w:br/>
          </m:r>
        </m:oMath>
      </m:oMathPara>
    </w:p>
    <w:p w14:paraId="6455CA6B" w14:textId="05FF11F7" w:rsidR="00CB5EF5" w:rsidRDefault="00CB5EF5" w:rsidP="005460FD">
      <w:pPr>
        <w:spacing w:line="276" w:lineRule="auto"/>
        <w:jc w:val="both"/>
        <w:rPr>
          <w:color w:val="000000" w:themeColor="text1"/>
          <w:sz w:val="22"/>
          <w:szCs w:val="22"/>
          <w:lang w:val="en-GB"/>
        </w:rPr>
      </w:pPr>
      <w:r w:rsidRPr="005460FD">
        <w:rPr>
          <w:rFonts w:ascii="Cambria Math" w:hAnsi="Cambria Math" w:cstheme="majorBidi"/>
          <w:color w:val="000000" w:themeColor="text1"/>
          <w:lang w:val="en-GB"/>
        </w:rPr>
        <w:t>Where:</w:t>
      </w:r>
      <w:r w:rsidRPr="005460FD">
        <w:rPr>
          <w:rFonts w:ascii="Cambria Math" w:hAnsi="Cambria Math" w:cstheme="majorBidi"/>
          <w:color w:val="000000" w:themeColor="text1"/>
          <w:lang w:val="en-GB"/>
        </w:rPr>
        <w:br/>
      </w:r>
      <m:oMath>
        <m:r>
          <w:rPr>
            <w:rFonts w:ascii="Cambria Math" w:hAnsi="Cambria Math"/>
            <w:color w:val="000000" w:themeColor="text1"/>
            <w:sz w:val="22"/>
            <w:szCs w:val="22"/>
            <w:lang w:val="en-GB"/>
          </w:rPr>
          <m:t>RfD</m:t>
        </m:r>
      </m:oMath>
      <w:r w:rsidRPr="005460FD">
        <w:rPr>
          <w:color w:val="000000" w:themeColor="text1"/>
          <w:sz w:val="22"/>
          <w:szCs w:val="22"/>
          <w:lang w:val="en-GB"/>
        </w:rPr>
        <w:t>= Reference dose (mg/kg/day) for each metal (values from USEPA, 2011)</w:t>
      </w:r>
      <w:r w:rsidRPr="005460FD">
        <w:rPr>
          <w:color w:val="000000" w:themeColor="text1"/>
          <w:sz w:val="22"/>
          <w:szCs w:val="22"/>
          <w:lang w:val="en-GB"/>
        </w:rPr>
        <w:br/>
        <w:t>A value of HQ &gt; 1 indicates potential non-carcinogenic risk.</w:t>
      </w:r>
    </w:p>
    <w:p w14:paraId="2560D320" w14:textId="77777777" w:rsidR="005460FD" w:rsidRPr="005460FD" w:rsidRDefault="005460FD" w:rsidP="005460FD">
      <w:pPr>
        <w:spacing w:line="276" w:lineRule="auto"/>
        <w:jc w:val="both"/>
        <w:rPr>
          <w:rFonts w:ascii="Cambria Math" w:hAnsi="Cambria Math" w:cstheme="majorBidi"/>
          <w:color w:val="000000" w:themeColor="text1"/>
          <w:lang w:val="en-GB"/>
        </w:rPr>
      </w:pPr>
    </w:p>
    <w:p w14:paraId="23285422" w14:textId="77777777" w:rsidR="003B4130" w:rsidRPr="003B4130" w:rsidRDefault="00CB5EF5" w:rsidP="00CB5EF5">
      <w:pPr>
        <w:spacing w:line="360" w:lineRule="auto"/>
        <w:jc w:val="both"/>
        <w:rPr>
          <w:rFonts w:ascii="Cambria Math" w:hAnsi="Cambria Math" w:cstheme="majorBidi"/>
          <w:iCs/>
          <w:color w:val="000000" w:themeColor="text1"/>
          <w:lang w:val="en-GB"/>
        </w:rPr>
      </w:pPr>
      <w:r w:rsidRPr="00CB5EF5">
        <w:rPr>
          <w:rFonts w:ascii="Cambria Math" w:hAnsi="Cambria Math" w:cstheme="majorBidi"/>
          <w:b/>
          <w:bCs/>
          <w:iCs/>
          <w:color w:val="000000" w:themeColor="text1"/>
          <w:lang w:val="en-GB"/>
        </w:rPr>
        <w:t>2.4.3.3 Hazard Index (HI)</w:t>
      </w:r>
    </w:p>
    <w:p w14:paraId="4A4365D4" w14:textId="77CA338B" w:rsidR="00CB5EF5" w:rsidRPr="00CB5EF5" w:rsidRDefault="00CB5EF5" w:rsidP="00CB5EF5">
      <w:pPr>
        <w:spacing w:line="360" w:lineRule="auto"/>
        <w:jc w:val="both"/>
        <w:rPr>
          <w:rFonts w:ascii="Cambria Math" w:hAnsi="Cambria Math" w:cstheme="majorBidi"/>
          <w:i/>
          <w:color w:val="000000" w:themeColor="text1"/>
          <w:lang w:val="en-GB"/>
        </w:rPr>
      </w:pPr>
      <w:r w:rsidRPr="00CB5EF5">
        <w:rPr>
          <w:rFonts w:ascii="Cambria Math" w:hAnsi="Cambria Math" w:cstheme="majorBidi"/>
          <w:iCs/>
          <w:color w:val="000000" w:themeColor="text1"/>
          <w:lang w:val="en-GB"/>
        </w:rPr>
        <w:t>HI is the sum of HQs for all metals, indicating combined risk:</w:t>
      </w:r>
    </w:p>
    <w:p w14:paraId="16A652A1" w14:textId="1FA04330" w:rsidR="00CB5EF5" w:rsidRPr="00CB5EF5" w:rsidRDefault="00CB5EF5" w:rsidP="00CB5EF5">
      <w:pPr>
        <w:spacing w:line="360" w:lineRule="auto"/>
        <w:jc w:val="both"/>
        <w:rPr>
          <w:rFonts w:ascii="Cambria Math" w:hAnsi="Cambria Math" w:cstheme="majorBidi"/>
          <w:i/>
          <w:color w:val="000000" w:themeColor="text1"/>
          <w:lang w:val="en-GB"/>
        </w:rPr>
      </w:pPr>
      <m:oMathPara>
        <m:oMath>
          <m:r>
            <w:rPr>
              <w:rFonts w:ascii="Cambria Math" w:hAnsi="Cambria Math" w:cstheme="majorBidi"/>
              <w:color w:val="000000" w:themeColor="text1"/>
              <w:lang w:val="en-GB"/>
            </w:rPr>
            <m:t>HI=∑H</m:t>
          </m:r>
          <m:sSub>
            <m:sSubPr>
              <m:ctrlPr>
                <w:rPr>
                  <w:rFonts w:ascii="Cambria Math" w:hAnsi="Cambria Math" w:cstheme="majorBidi"/>
                  <w:i/>
                  <w:color w:val="000000" w:themeColor="text1"/>
                  <w:lang w:val="en-GB"/>
                </w:rPr>
              </m:ctrlPr>
            </m:sSubPr>
            <m:e>
              <m:r>
                <w:rPr>
                  <w:rFonts w:ascii="Cambria Math" w:hAnsi="Cambria Math" w:cstheme="majorBidi"/>
                  <w:color w:val="000000" w:themeColor="text1"/>
                  <w:lang w:val="en-GB"/>
                </w:rPr>
                <m:t>Q</m:t>
              </m:r>
            </m:e>
            <m:sub>
              <m:r>
                <w:rPr>
                  <w:rFonts w:ascii="Cambria Math" w:hAnsi="Cambria Math" w:cstheme="majorBidi"/>
                  <w:color w:val="000000" w:themeColor="text1"/>
                  <w:lang w:val="en-GB"/>
                </w:rPr>
                <m:t>i</m:t>
              </m:r>
            </m:sub>
          </m:sSub>
          <m:r>
            <w:rPr>
              <w:rFonts w:ascii="Cambria Math" w:hAnsi="Cambria Math" w:cstheme="majorBidi"/>
              <w:color w:val="000000" w:themeColor="text1"/>
              <w:lang w:val="en-GB"/>
            </w:rPr>
            <m:t xml:space="preserve">       (6)</m:t>
          </m:r>
          <m:r>
            <m:rPr>
              <m:sty m:val="p"/>
            </m:rPr>
            <w:rPr>
              <w:rFonts w:ascii="Cambria Math" w:hAnsi="Cambria Math" w:cstheme="majorBidi"/>
              <w:color w:val="000000" w:themeColor="text1"/>
              <w:lang w:val="en-GB"/>
            </w:rPr>
            <w:br/>
          </m:r>
        </m:oMath>
      </m:oMathPara>
    </w:p>
    <w:p w14:paraId="05BCB173" w14:textId="56132D39" w:rsidR="00CB5EF5" w:rsidRDefault="00CB5EF5" w:rsidP="00CB5EF5">
      <w:pPr>
        <w:spacing w:line="360" w:lineRule="auto"/>
        <w:jc w:val="both"/>
        <w:rPr>
          <w:rFonts w:ascii="Cambria Math" w:hAnsi="Cambria Math" w:cstheme="majorBidi"/>
          <w:i/>
          <w:color w:val="000000" w:themeColor="text1"/>
          <w:lang w:val="en-GB"/>
        </w:rPr>
      </w:pPr>
      <w:r w:rsidRPr="00CB5EF5">
        <w:rPr>
          <w:rFonts w:ascii="Cambria Math" w:hAnsi="Cambria Math" w:cstheme="majorBidi"/>
          <w:i/>
          <w:color w:val="000000" w:themeColor="text1"/>
          <w:lang w:val="en-GB"/>
        </w:rPr>
        <w:t>HI &gt; 1 denotes a concerning combined risk.</w:t>
      </w:r>
    </w:p>
    <w:p w14:paraId="38BACE68" w14:textId="77777777" w:rsidR="005E7CCC" w:rsidRPr="00CB5EF5" w:rsidRDefault="005E7CCC" w:rsidP="00CB5EF5">
      <w:pPr>
        <w:spacing w:line="360" w:lineRule="auto"/>
        <w:jc w:val="both"/>
        <w:rPr>
          <w:rFonts w:ascii="Cambria Math" w:hAnsi="Cambria Math" w:cstheme="majorBidi"/>
          <w:i/>
          <w:color w:val="000000" w:themeColor="text1"/>
          <w:lang w:val="en-GB"/>
        </w:rPr>
      </w:pPr>
    </w:p>
    <w:p w14:paraId="493A2E3C" w14:textId="77777777" w:rsidR="003B4130" w:rsidRPr="005E7DEE" w:rsidRDefault="00CB5EF5" w:rsidP="00CB5EF5">
      <w:pPr>
        <w:spacing w:line="360" w:lineRule="auto"/>
        <w:jc w:val="both"/>
        <w:rPr>
          <w:rFonts w:ascii="Cambria Math" w:hAnsi="Cambria Math" w:cstheme="majorBidi"/>
          <w:color w:val="000000" w:themeColor="text1"/>
          <w:lang w:val="en-GB"/>
        </w:rPr>
      </w:pPr>
      <w:r w:rsidRPr="005E7DEE">
        <w:rPr>
          <w:rFonts w:ascii="Cambria Math" w:hAnsi="Cambria Math" w:cstheme="majorBidi"/>
          <w:b/>
          <w:bCs/>
          <w:color w:val="000000" w:themeColor="text1"/>
          <w:lang w:val="en-GB"/>
        </w:rPr>
        <w:t>2.4.3.4 Cancer Risk (CR)</w:t>
      </w:r>
    </w:p>
    <w:p w14:paraId="32F03CC7" w14:textId="50E701BA" w:rsidR="00CB5EF5" w:rsidRPr="00CB5EF5" w:rsidRDefault="00CB5EF5" w:rsidP="00CB5EF5">
      <w:pPr>
        <w:spacing w:line="360" w:lineRule="auto"/>
        <w:jc w:val="both"/>
        <w:rPr>
          <w:rFonts w:ascii="Cambria Math" w:hAnsi="Cambria Math" w:cstheme="majorBidi"/>
          <w:iCs/>
          <w:color w:val="000000" w:themeColor="text1"/>
          <w:lang w:val="en-GB"/>
        </w:rPr>
      </w:pPr>
      <w:r w:rsidRPr="00CB5EF5">
        <w:rPr>
          <w:rFonts w:ascii="Cambria Math" w:hAnsi="Cambria Math" w:cstheme="majorBidi"/>
          <w:iCs/>
          <w:color w:val="000000" w:themeColor="text1"/>
          <w:lang w:val="en-GB"/>
        </w:rPr>
        <w:t>CR estimates the probability of developing cancer due to chronic exposure to a metal and is calculated as:</w:t>
      </w:r>
    </w:p>
    <w:p w14:paraId="45587A61" w14:textId="0D221CEB" w:rsidR="00CB5EF5" w:rsidRPr="00CB5EF5" w:rsidRDefault="00CB5EF5" w:rsidP="00CB5EF5">
      <w:pPr>
        <w:spacing w:line="360" w:lineRule="auto"/>
        <w:jc w:val="both"/>
        <w:rPr>
          <w:rFonts w:ascii="Cambria Math" w:hAnsi="Cambria Math" w:cstheme="majorBidi"/>
          <w:i/>
          <w:color w:val="000000" w:themeColor="text1"/>
          <w:lang w:val="en-GB"/>
        </w:rPr>
      </w:pPr>
      <m:oMathPara>
        <m:oMath>
          <m:r>
            <w:rPr>
              <w:rFonts w:ascii="Cambria Math" w:hAnsi="Cambria Math" w:cstheme="majorBidi"/>
              <w:color w:val="000000" w:themeColor="text1"/>
              <w:lang w:val="en-GB"/>
            </w:rPr>
            <m:t>CR=CDI×SF      (7)</m:t>
          </m:r>
          <m:r>
            <m:rPr>
              <m:sty m:val="p"/>
            </m:rPr>
            <w:rPr>
              <w:rFonts w:ascii="Cambria Math" w:hAnsi="Cambria Math" w:cstheme="majorBidi"/>
              <w:color w:val="000000" w:themeColor="text1"/>
              <w:lang w:val="en-GB"/>
            </w:rPr>
            <w:br/>
          </m:r>
        </m:oMath>
      </m:oMathPara>
    </w:p>
    <w:p w14:paraId="509A624A" w14:textId="019F6BEC" w:rsidR="00CB5EF5" w:rsidRPr="00CB5EF5" w:rsidRDefault="00CB5EF5" w:rsidP="00CB5EF5">
      <w:pPr>
        <w:spacing w:line="360" w:lineRule="auto"/>
        <w:jc w:val="both"/>
        <w:rPr>
          <w:rFonts w:ascii="Cambria Math" w:hAnsi="Cambria Math" w:cstheme="majorBidi"/>
          <w:iCs/>
          <w:color w:val="000000" w:themeColor="text1"/>
          <w:lang w:val="en-GB"/>
        </w:rPr>
      </w:pPr>
      <w:r w:rsidRPr="00CB5EF5">
        <w:rPr>
          <w:rFonts w:ascii="Cambria Math" w:hAnsi="Cambria Math" w:cstheme="majorBidi"/>
          <w:iCs/>
          <w:color w:val="000000" w:themeColor="text1"/>
          <w:lang w:val="en-GB"/>
        </w:rPr>
        <w:t xml:space="preserve">Where </w:t>
      </w:r>
      <m:oMath>
        <m:r>
          <m:rPr>
            <m:sty m:val="p"/>
          </m:rPr>
          <w:rPr>
            <w:rFonts w:ascii="Cambria Math" w:hAnsi="Cambria Math" w:cstheme="majorBidi"/>
            <w:color w:val="000000" w:themeColor="text1"/>
            <w:lang w:val="en-GB"/>
          </w:rPr>
          <m:t>SF</m:t>
        </m:r>
      </m:oMath>
      <w:r w:rsidRPr="00CB5EF5">
        <w:rPr>
          <w:rFonts w:ascii="Cambria Math" w:hAnsi="Cambria Math" w:cstheme="majorBidi"/>
          <w:iCs/>
          <w:color w:val="000000" w:themeColor="text1"/>
          <w:lang w:val="en-GB"/>
        </w:rPr>
        <w:t xml:space="preserve">is the cancer slope </w:t>
      </w:r>
      <w:proofErr w:type="gramStart"/>
      <w:r w:rsidRPr="00CB5EF5">
        <w:rPr>
          <w:rFonts w:ascii="Cambria Math" w:hAnsi="Cambria Math" w:cstheme="majorBidi"/>
          <w:iCs/>
          <w:color w:val="000000" w:themeColor="text1"/>
          <w:lang w:val="en-GB"/>
        </w:rPr>
        <w:t>factor.</w:t>
      </w:r>
      <w:proofErr w:type="gramEnd"/>
      <w:r w:rsidRPr="00CB5EF5">
        <w:rPr>
          <w:rFonts w:ascii="Cambria Math" w:hAnsi="Cambria Math" w:cstheme="majorBidi"/>
          <w:iCs/>
          <w:color w:val="000000" w:themeColor="text1"/>
          <w:lang w:val="en-GB"/>
        </w:rPr>
        <w:t xml:space="preserve"> Acceptable CR values are </w:t>
      </w:r>
      <m:oMath>
        <m:r>
          <m:rPr>
            <m:sty m:val="p"/>
          </m:rPr>
          <w:rPr>
            <w:rFonts w:ascii="Cambria Math" w:hAnsi="Cambria Math" w:cstheme="majorBidi"/>
            <w:color w:val="000000" w:themeColor="text1"/>
            <w:lang w:val="en-GB"/>
          </w:rPr>
          <m:t>&lt;</m:t>
        </m:r>
        <m:sSup>
          <m:sSupPr>
            <m:ctrlPr>
              <w:rPr>
                <w:rFonts w:ascii="Cambria Math" w:hAnsi="Cambria Math" w:cstheme="majorBidi"/>
                <w:iCs/>
                <w:color w:val="000000" w:themeColor="text1"/>
                <w:lang w:val="en-GB"/>
              </w:rPr>
            </m:ctrlPr>
          </m:sSupPr>
          <m:e>
            <m:r>
              <m:rPr>
                <m:sty m:val="p"/>
              </m:rPr>
              <w:rPr>
                <w:rFonts w:ascii="Cambria Math" w:hAnsi="Cambria Math" w:cstheme="majorBidi"/>
                <w:color w:val="000000" w:themeColor="text1"/>
                <w:lang w:val="en-GB"/>
              </w:rPr>
              <m:t>10</m:t>
            </m:r>
          </m:e>
          <m:sup>
            <m:r>
              <m:rPr>
                <m:sty m:val="p"/>
              </m:rPr>
              <w:rPr>
                <w:rFonts w:ascii="Cambria Math" w:hAnsi="Cambria Math" w:cstheme="majorBidi"/>
                <w:color w:val="000000" w:themeColor="text1"/>
                <w:lang w:val="en-GB"/>
              </w:rPr>
              <m:t>-6</m:t>
            </m:r>
          </m:sup>
        </m:sSup>
      </m:oMath>
      <w:r w:rsidRPr="00CB5EF5">
        <w:rPr>
          <w:rFonts w:ascii="Cambria Math" w:hAnsi="Cambria Math" w:cstheme="majorBidi"/>
          <w:iCs/>
          <w:color w:val="000000" w:themeColor="text1"/>
          <w:lang w:val="en-GB"/>
        </w:rPr>
        <w:t xml:space="preserve">; values between </w:t>
      </w:r>
      <m:oMath>
        <m:sSup>
          <m:sSupPr>
            <m:ctrlPr>
              <w:rPr>
                <w:rFonts w:ascii="Cambria Math" w:hAnsi="Cambria Math" w:cstheme="majorBidi"/>
                <w:iCs/>
                <w:color w:val="000000" w:themeColor="text1"/>
                <w:lang w:val="en-GB"/>
              </w:rPr>
            </m:ctrlPr>
          </m:sSupPr>
          <m:e>
            <m:r>
              <m:rPr>
                <m:sty m:val="p"/>
              </m:rPr>
              <w:rPr>
                <w:rFonts w:ascii="Cambria Math" w:hAnsi="Cambria Math" w:cstheme="majorBidi"/>
                <w:color w:val="000000" w:themeColor="text1"/>
                <w:lang w:val="en-GB"/>
              </w:rPr>
              <m:t>10</m:t>
            </m:r>
          </m:e>
          <m:sup>
            <m:r>
              <m:rPr>
                <m:sty m:val="p"/>
              </m:rPr>
              <w:rPr>
                <w:rFonts w:ascii="Cambria Math" w:hAnsi="Cambria Math" w:cstheme="majorBidi"/>
                <w:color w:val="000000" w:themeColor="text1"/>
                <w:lang w:val="en-GB"/>
              </w:rPr>
              <m:t>-6</m:t>
            </m:r>
          </m:sup>
        </m:sSup>
      </m:oMath>
      <w:r w:rsidRPr="00CB5EF5">
        <w:rPr>
          <w:rFonts w:ascii="Cambria Math" w:hAnsi="Cambria Math" w:cstheme="majorBidi"/>
          <w:iCs/>
          <w:color w:val="000000" w:themeColor="text1"/>
          <w:lang w:val="en-GB"/>
        </w:rPr>
        <w:t xml:space="preserve">and </w:t>
      </w:r>
      <m:oMath>
        <m:sSup>
          <m:sSupPr>
            <m:ctrlPr>
              <w:rPr>
                <w:rFonts w:ascii="Cambria Math" w:hAnsi="Cambria Math" w:cstheme="majorBidi"/>
                <w:iCs/>
                <w:color w:val="000000" w:themeColor="text1"/>
                <w:lang w:val="en-GB"/>
              </w:rPr>
            </m:ctrlPr>
          </m:sSupPr>
          <m:e>
            <m:r>
              <m:rPr>
                <m:sty m:val="p"/>
              </m:rPr>
              <w:rPr>
                <w:rFonts w:ascii="Cambria Math" w:hAnsi="Cambria Math" w:cstheme="majorBidi"/>
                <w:color w:val="000000" w:themeColor="text1"/>
                <w:lang w:val="en-GB"/>
              </w:rPr>
              <m:t>10</m:t>
            </m:r>
          </m:e>
          <m:sup>
            <m:r>
              <m:rPr>
                <m:sty m:val="p"/>
              </m:rPr>
              <w:rPr>
                <w:rFonts w:ascii="Cambria Math" w:hAnsi="Cambria Math" w:cstheme="majorBidi"/>
                <w:color w:val="000000" w:themeColor="text1"/>
                <w:lang w:val="en-GB"/>
              </w:rPr>
              <m:t>-4</m:t>
            </m:r>
          </m:sup>
        </m:sSup>
      </m:oMath>
      <w:r w:rsidRPr="00CB5EF5">
        <w:rPr>
          <w:rFonts w:ascii="Cambria Math" w:hAnsi="Cambria Math" w:cstheme="majorBidi"/>
          <w:iCs/>
          <w:color w:val="000000" w:themeColor="text1"/>
          <w:lang w:val="en-GB"/>
        </w:rPr>
        <w:t xml:space="preserve">are considered acceptable; CR values </w:t>
      </w:r>
      <m:oMath>
        <m:r>
          <m:rPr>
            <m:sty m:val="p"/>
          </m:rPr>
          <w:rPr>
            <w:rFonts w:ascii="Cambria Math" w:hAnsi="Cambria Math" w:cstheme="majorBidi"/>
            <w:color w:val="000000" w:themeColor="text1"/>
            <w:lang w:val="en-GB"/>
          </w:rPr>
          <m:t>&gt;</m:t>
        </m:r>
        <m:sSup>
          <m:sSupPr>
            <m:ctrlPr>
              <w:rPr>
                <w:rFonts w:ascii="Cambria Math" w:hAnsi="Cambria Math" w:cstheme="majorBidi"/>
                <w:iCs/>
                <w:color w:val="000000" w:themeColor="text1"/>
                <w:lang w:val="en-GB"/>
              </w:rPr>
            </m:ctrlPr>
          </m:sSupPr>
          <m:e>
            <m:r>
              <m:rPr>
                <m:sty m:val="p"/>
              </m:rPr>
              <w:rPr>
                <w:rFonts w:ascii="Cambria Math" w:hAnsi="Cambria Math" w:cstheme="majorBidi"/>
                <w:color w:val="000000" w:themeColor="text1"/>
                <w:lang w:val="en-GB"/>
              </w:rPr>
              <m:t>10</m:t>
            </m:r>
          </m:e>
          <m:sup>
            <m:r>
              <m:rPr>
                <m:sty m:val="p"/>
              </m:rPr>
              <w:rPr>
                <w:rFonts w:ascii="Cambria Math" w:hAnsi="Cambria Math" w:cstheme="majorBidi"/>
                <w:color w:val="000000" w:themeColor="text1"/>
                <w:lang w:val="en-GB"/>
              </w:rPr>
              <m:t>-4</m:t>
            </m:r>
          </m:sup>
        </m:sSup>
      </m:oMath>
      <w:r w:rsidRPr="00CB5EF5">
        <w:rPr>
          <w:rFonts w:ascii="Cambria Math" w:hAnsi="Cambria Math" w:cstheme="majorBidi"/>
          <w:iCs/>
          <w:color w:val="000000" w:themeColor="text1"/>
          <w:lang w:val="en-GB"/>
        </w:rPr>
        <w:t>indicate elevated risk. Notably, cancer slope factors are unavailable for all metals; thus, CR was not calculated where absent. For chromium, only the hexavalent (Cr VI) form, a recognised carcinogen, was considered (USEPA, 2011).</w:t>
      </w:r>
    </w:p>
    <w:p w14:paraId="5E3D2DFA" w14:textId="77777777" w:rsidR="00FA664D" w:rsidRDefault="00FA664D" w:rsidP="00CB5EF5">
      <w:pPr>
        <w:spacing w:line="360" w:lineRule="auto"/>
        <w:jc w:val="both"/>
        <w:rPr>
          <w:rFonts w:ascii="Cambria Math" w:hAnsi="Cambria Math" w:cstheme="majorBidi"/>
          <w:b/>
          <w:bCs/>
          <w:i/>
          <w:color w:val="000000" w:themeColor="text1"/>
          <w:lang w:val="en-GB"/>
        </w:rPr>
      </w:pPr>
    </w:p>
    <w:p w14:paraId="324BFD6E" w14:textId="7ECBD28C" w:rsidR="005460FD" w:rsidRDefault="005460FD" w:rsidP="00CB5EF5">
      <w:pPr>
        <w:spacing w:line="360" w:lineRule="auto"/>
        <w:jc w:val="both"/>
        <w:rPr>
          <w:rFonts w:ascii="Cambria Math" w:hAnsi="Cambria Math" w:cstheme="majorBidi"/>
          <w:b/>
          <w:bCs/>
          <w:color w:val="000000" w:themeColor="text1"/>
          <w:lang w:val="en-GB"/>
        </w:rPr>
      </w:pPr>
      <w:r>
        <w:rPr>
          <w:rFonts w:ascii="Cambria Math" w:hAnsi="Cambria Math" w:cstheme="majorBidi"/>
          <w:b/>
          <w:bCs/>
          <w:color w:val="000000" w:themeColor="text1"/>
          <w:lang w:val="en-GB"/>
        </w:rPr>
        <w:t xml:space="preserve">3. </w:t>
      </w:r>
      <w:r w:rsidRPr="005460FD">
        <w:rPr>
          <w:rFonts w:ascii="Cambria Math" w:hAnsi="Cambria Math" w:cstheme="majorBidi"/>
          <w:b/>
          <w:bCs/>
          <w:color w:val="000000" w:themeColor="text1"/>
          <w:lang w:val="en-GB"/>
        </w:rPr>
        <w:t>Result and Discussion</w:t>
      </w:r>
    </w:p>
    <w:p w14:paraId="6C593028" w14:textId="0970A745" w:rsidR="005460FD" w:rsidRPr="005460FD" w:rsidRDefault="005460FD" w:rsidP="00CB5EF5">
      <w:pPr>
        <w:spacing w:line="360" w:lineRule="auto"/>
        <w:jc w:val="both"/>
        <w:rPr>
          <w:rFonts w:ascii="Cambria Math" w:hAnsi="Cambria Math" w:cstheme="majorBidi"/>
          <w:b/>
          <w:bCs/>
          <w:color w:val="000000" w:themeColor="text1"/>
          <w:lang w:val="en-GB"/>
        </w:rPr>
      </w:pPr>
      <w:r>
        <w:rPr>
          <w:rFonts w:ascii="Cambria Math" w:hAnsi="Cambria Math" w:cstheme="majorBidi"/>
          <w:b/>
          <w:bCs/>
          <w:color w:val="000000" w:themeColor="text1"/>
          <w:lang w:val="en-GB"/>
        </w:rPr>
        <w:t>3.1. Results</w:t>
      </w:r>
    </w:p>
    <w:p w14:paraId="4DB98A6C" w14:textId="00C21FD6" w:rsidR="00CB5EF5" w:rsidRPr="00CB5EF5" w:rsidRDefault="00CB5EF5" w:rsidP="00CB5EF5">
      <w:pPr>
        <w:spacing w:line="360" w:lineRule="auto"/>
        <w:jc w:val="both"/>
        <w:rPr>
          <w:rFonts w:ascii="Cambria Math" w:hAnsi="Cambria Math" w:cstheme="majorBidi"/>
          <w:i/>
          <w:color w:val="000000" w:themeColor="text1"/>
          <w:lang w:val="en-GB"/>
        </w:rPr>
      </w:pPr>
      <w:r w:rsidRPr="00CB5EF5">
        <w:rPr>
          <w:rFonts w:ascii="Cambria Math" w:hAnsi="Cambria Math" w:cstheme="majorBidi"/>
          <w:iCs/>
          <w:color w:val="000000" w:themeColor="text1"/>
          <w:lang w:val="en-GB"/>
        </w:rPr>
        <w:t>The analysis of heavy metals in water samples from Cotonou, Abomey-</w:t>
      </w:r>
      <w:proofErr w:type="spellStart"/>
      <w:r w:rsidRPr="00CB5EF5">
        <w:rPr>
          <w:rFonts w:ascii="Cambria Math" w:hAnsi="Cambria Math" w:cstheme="majorBidi"/>
          <w:iCs/>
          <w:color w:val="000000" w:themeColor="text1"/>
          <w:lang w:val="en-GB"/>
        </w:rPr>
        <w:t>Calavi</w:t>
      </w:r>
      <w:proofErr w:type="spellEnd"/>
      <w:r w:rsidRPr="00CB5EF5">
        <w:rPr>
          <w:rFonts w:ascii="Cambria Math" w:hAnsi="Cambria Math" w:cstheme="majorBidi"/>
          <w:iCs/>
          <w:color w:val="000000" w:themeColor="text1"/>
          <w:lang w:val="en-GB"/>
        </w:rPr>
        <w:t xml:space="preserve">, and </w:t>
      </w:r>
      <w:proofErr w:type="spellStart"/>
      <w:r w:rsidRPr="00CB5EF5">
        <w:rPr>
          <w:rFonts w:ascii="Cambria Math" w:hAnsi="Cambria Math" w:cstheme="majorBidi"/>
          <w:iCs/>
          <w:color w:val="000000" w:themeColor="text1"/>
          <w:lang w:val="en-GB"/>
        </w:rPr>
        <w:t>Natitingou</w:t>
      </w:r>
      <w:proofErr w:type="spellEnd"/>
      <w:r w:rsidRPr="00CB5EF5">
        <w:rPr>
          <w:rFonts w:ascii="Cambria Math" w:hAnsi="Cambria Math" w:cstheme="majorBidi"/>
          <w:iCs/>
          <w:color w:val="000000" w:themeColor="text1"/>
          <w:lang w:val="en-GB"/>
        </w:rPr>
        <w:t xml:space="preserve"> revealed significant variations in concentrations depending on site and metal. </w:t>
      </w:r>
      <w:r w:rsidRPr="00CB5EF5">
        <w:rPr>
          <w:rFonts w:ascii="Cambria Math" w:hAnsi="Cambria Math" w:cstheme="majorBidi"/>
          <w:iCs/>
          <w:color w:val="000000" w:themeColor="text1"/>
          <w:lang w:val="en-GB"/>
        </w:rPr>
        <w:lastRenderedPageBreak/>
        <w:t>Table 1 summarises average concentrations by city. Complete descriptive statistics are provided in Table A1 (Appendix).</w:t>
      </w:r>
    </w:p>
    <w:p w14:paraId="51F9C876" w14:textId="27F62D8A" w:rsidR="00CB5EF5" w:rsidRPr="00CB5EF5" w:rsidRDefault="00CB5EF5" w:rsidP="003B4130">
      <w:pPr>
        <w:spacing w:line="360" w:lineRule="auto"/>
        <w:jc w:val="both"/>
        <w:rPr>
          <w:rFonts w:ascii="Cambria Math" w:hAnsi="Cambria Math" w:cstheme="majorBidi"/>
          <w:i/>
          <w:color w:val="000000" w:themeColor="text1"/>
          <w:lang w:val="en-GB"/>
        </w:rPr>
      </w:pPr>
      <w:r w:rsidRPr="00CB5EF5">
        <w:rPr>
          <w:rFonts w:ascii="Cambria Math" w:hAnsi="Cambria Math" w:cstheme="majorBidi"/>
          <w:b/>
          <w:bCs/>
          <w:i/>
          <w:color w:val="000000" w:themeColor="text1"/>
          <w:lang w:val="en-GB"/>
        </w:rPr>
        <w:t xml:space="preserve">Table 1: </w:t>
      </w:r>
      <w:r w:rsidR="008B40D1" w:rsidRPr="008B40D1">
        <w:rPr>
          <w:rFonts w:ascii="Cambria Math" w:hAnsi="Cambria Math" w:cstheme="majorBidi"/>
          <w:bCs/>
          <w:color w:val="000000" w:themeColor="text1"/>
          <w:lang w:val="en-GB"/>
        </w:rPr>
        <w:t>Metal Concentrations by City</w:t>
      </w:r>
    </w:p>
    <w:tbl>
      <w:tblPr>
        <w:tblStyle w:val="PlainTable2"/>
        <w:tblW w:w="0" w:type="auto"/>
        <w:tblLook w:val="04A0" w:firstRow="1" w:lastRow="0" w:firstColumn="1" w:lastColumn="0" w:noHBand="0" w:noVBand="1"/>
      </w:tblPr>
      <w:tblGrid>
        <w:gridCol w:w="1288"/>
        <w:gridCol w:w="1550"/>
        <w:gridCol w:w="950"/>
        <w:gridCol w:w="1128"/>
        <w:gridCol w:w="1581"/>
      </w:tblGrid>
      <w:tr w:rsidR="00BE6C96" w:rsidRPr="00955D3D" w14:paraId="48008E5E" w14:textId="77777777" w:rsidTr="003101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2C9C5E" w14:textId="7563239F" w:rsidR="00BE6C96" w:rsidRPr="00FA664D" w:rsidRDefault="003B4130" w:rsidP="0031013D">
            <w:pPr>
              <w:spacing w:line="360" w:lineRule="auto"/>
              <w:jc w:val="both"/>
              <w:rPr>
                <w:rFonts w:asciiTheme="majorBidi" w:hAnsiTheme="majorBidi" w:cstheme="majorBidi"/>
                <w:color w:val="000000" w:themeColor="text1"/>
                <w:sz w:val="20"/>
                <w:szCs w:val="20"/>
              </w:rPr>
            </w:pPr>
            <w:proofErr w:type="spellStart"/>
            <w:r w:rsidRPr="00FA664D">
              <w:rPr>
                <w:rFonts w:asciiTheme="majorBidi" w:hAnsiTheme="majorBidi" w:cstheme="majorBidi"/>
                <w:color w:val="000000" w:themeColor="text1"/>
                <w:sz w:val="20"/>
                <w:szCs w:val="20"/>
              </w:rPr>
              <w:t>Haevy</w:t>
            </w:r>
            <w:proofErr w:type="spellEnd"/>
            <w:r w:rsidRPr="00FA664D">
              <w:rPr>
                <w:rFonts w:asciiTheme="majorBidi" w:hAnsiTheme="majorBidi" w:cstheme="majorBidi"/>
                <w:color w:val="000000" w:themeColor="text1"/>
                <w:sz w:val="20"/>
                <w:szCs w:val="20"/>
              </w:rPr>
              <w:t xml:space="preserve"> </w:t>
            </w:r>
            <w:proofErr w:type="spellStart"/>
            <w:r w:rsidRPr="00FA664D">
              <w:rPr>
                <w:rFonts w:asciiTheme="majorBidi" w:hAnsiTheme="majorBidi" w:cstheme="majorBidi"/>
                <w:color w:val="000000" w:themeColor="text1"/>
                <w:sz w:val="20"/>
                <w:szCs w:val="20"/>
              </w:rPr>
              <w:t>metal</w:t>
            </w:r>
            <w:proofErr w:type="spellEnd"/>
          </w:p>
        </w:tc>
        <w:tc>
          <w:tcPr>
            <w:tcW w:w="0" w:type="auto"/>
            <w:hideMark/>
          </w:tcPr>
          <w:p w14:paraId="2C77A548" w14:textId="77777777" w:rsidR="00BE6C96" w:rsidRPr="00FA664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sz w:val="20"/>
                <w:szCs w:val="20"/>
              </w:rPr>
            </w:pPr>
            <w:r w:rsidRPr="00FA664D">
              <w:rPr>
                <w:rFonts w:asciiTheme="majorBidi" w:hAnsiTheme="majorBidi" w:cstheme="majorBidi"/>
                <w:color w:val="000000" w:themeColor="text1"/>
                <w:sz w:val="20"/>
                <w:szCs w:val="20"/>
              </w:rPr>
              <w:t xml:space="preserve">Abomey-Calavi </w:t>
            </w:r>
          </w:p>
          <w:p w14:paraId="050C7A8D" w14:textId="5E3A7ACD" w:rsidR="00BE6C96" w:rsidRPr="00FA664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w:t>
            </w:r>
            <w:proofErr w:type="spellStart"/>
            <w:r w:rsidR="00CB5EF5" w:rsidRPr="00FA664D">
              <w:rPr>
                <w:rFonts w:asciiTheme="majorBidi" w:hAnsiTheme="majorBidi" w:cstheme="majorBidi"/>
                <w:color w:val="000000" w:themeColor="text1"/>
                <w:sz w:val="20"/>
                <w:szCs w:val="20"/>
              </w:rPr>
              <w:t>Mean</w:t>
            </w:r>
            <w:proofErr w:type="spellEnd"/>
            <w:r w:rsidRPr="00FA664D">
              <w:rPr>
                <w:rFonts w:asciiTheme="majorBidi" w:hAnsiTheme="majorBidi" w:cstheme="majorBidi"/>
                <w:color w:val="000000" w:themeColor="text1"/>
                <w:sz w:val="20"/>
                <w:szCs w:val="20"/>
              </w:rPr>
              <w:t>)</w:t>
            </w:r>
          </w:p>
        </w:tc>
        <w:tc>
          <w:tcPr>
            <w:tcW w:w="0" w:type="auto"/>
            <w:hideMark/>
          </w:tcPr>
          <w:p w14:paraId="4AC619F6" w14:textId="77777777" w:rsidR="00BE6C96" w:rsidRPr="00FA664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sz w:val="20"/>
                <w:szCs w:val="20"/>
              </w:rPr>
            </w:pPr>
            <w:r w:rsidRPr="00FA664D">
              <w:rPr>
                <w:rFonts w:asciiTheme="majorBidi" w:hAnsiTheme="majorBidi" w:cstheme="majorBidi"/>
                <w:color w:val="000000" w:themeColor="text1"/>
                <w:sz w:val="20"/>
                <w:szCs w:val="20"/>
              </w:rPr>
              <w:t xml:space="preserve">Cotonou </w:t>
            </w:r>
          </w:p>
          <w:p w14:paraId="2CDEC8B0" w14:textId="49B8ED6D" w:rsidR="00BE6C96" w:rsidRPr="00FA664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w:t>
            </w:r>
            <w:proofErr w:type="spellStart"/>
            <w:r w:rsidR="00FA664D">
              <w:rPr>
                <w:rFonts w:asciiTheme="majorBidi" w:hAnsiTheme="majorBidi" w:cstheme="majorBidi"/>
                <w:color w:val="000000" w:themeColor="text1"/>
                <w:sz w:val="20"/>
                <w:szCs w:val="20"/>
              </w:rPr>
              <w:t>M</w:t>
            </w:r>
            <w:r w:rsidR="00CB5EF5" w:rsidRPr="00FA664D">
              <w:rPr>
                <w:rFonts w:asciiTheme="majorBidi" w:hAnsiTheme="majorBidi" w:cstheme="majorBidi"/>
                <w:color w:val="000000" w:themeColor="text1"/>
                <w:sz w:val="20"/>
                <w:szCs w:val="20"/>
              </w:rPr>
              <w:t>ean</w:t>
            </w:r>
            <w:proofErr w:type="spellEnd"/>
            <w:r w:rsidRPr="00FA664D">
              <w:rPr>
                <w:rFonts w:asciiTheme="majorBidi" w:hAnsiTheme="majorBidi" w:cstheme="majorBidi"/>
                <w:color w:val="000000" w:themeColor="text1"/>
                <w:sz w:val="20"/>
                <w:szCs w:val="20"/>
              </w:rPr>
              <w:t>)</w:t>
            </w:r>
          </w:p>
        </w:tc>
        <w:tc>
          <w:tcPr>
            <w:tcW w:w="0" w:type="auto"/>
            <w:hideMark/>
          </w:tcPr>
          <w:p w14:paraId="79C5C500" w14:textId="77777777" w:rsidR="00BE6C96" w:rsidRPr="00FA664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sz w:val="20"/>
                <w:szCs w:val="20"/>
              </w:rPr>
            </w:pPr>
            <w:r w:rsidRPr="00FA664D">
              <w:rPr>
                <w:rFonts w:asciiTheme="majorBidi" w:hAnsiTheme="majorBidi" w:cstheme="majorBidi"/>
                <w:color w:val="000000" w:themeColor="text1"/>
                <w:sz w:val="20"/>
                <w:szCs w:val="20"/>
              </w:rPr>
              <w:t xml:space="preserve">Natitingou </w:t>
            </w:r>
          </w:p>
          <w:p w14:paraId="332392A1" w14:textId="06FF154D" w:rsidR="00BE6C96" w:rsidRPr="00FA664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w:t>
            </w:r>
            <w:proofErr w:type="spellStart"/>
            <w:r w:rsidR="00FA664D">
              <w:rPr>
                <w:rFonts w:asciiTheme="majorBidi" w:hAnsiTheme="majorBidi" w:cstheme="majorBidi"/>
                <w:color w:val="000000" w:themeColor="text1"/>
                <w:sz w:val="20"/>
                <w:szCs w:val="20"/>
              </w:rPr>
              <w:t>M</w:t>
            </w:r>
            <w:r w:rsidR="003B4130" w:rsidRPr="00FA664D">
              <w:rPr>
                <w:rFonts w:asciiTheme="majorBidi" w:hAnsiTheme="majorBidi" w:cstheme="majorBidi"/>
                <w:color w:val="000000" w:themeColor="text1"/>
                <w:sz w:val="20"/>
                <w:szCs w:val="20"/>
              </w:rPr>
              <w:t>ean</w:t>
            </w:r>
            <w:proofErr w:type="spellEnd"/>
            <w:r w:rsidRPr="00FA664D">
              <w:rPr>
                <w:rFonts w:asciiTheme="majorBidi" w:hAnsiTheme="majorBidi" w:cstheme="majorBidi"/>
                <w:color w:val="000000" w:themeColor="text1"/>
                <w:sz w:val="20"/>
                <w:szCs w:val="20"/>
              </w:rPr>
              <w:t>)</w:t>
            </w:r>
          </w:p>
        </w:tc>
        <w:tc>
          <w:tcPr>
            <w:tcW w:w="1581" w:type="dxa"/>
            <w:hideMark/>
          </w:tcPr>
          <w:p w14:paraId="76BCE741" w14:textId="1D273285" w:rsidR="00BE6C96" w:rsidRPr="00FA664D" w:rsidRDefault="003B4130"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 xml:space="preserve">WHO </w:t>
            </w:r>
            <w:proofErr w:type="spellStart"/>
            <w:r w:rsidRPr="00FA664D">
              <w:rPr>
                <w:rFonts w:asciiTheme="majorBidi" w:hAnsiTheme="majorBidi" w:cstheme="majorBidi"/>
                <w:color w:val="000000" w:themeColor="text1"/>
                <w:sz w:val="20"/>
                <w:szCs w:val="20"/>
              </w:rPr>
              <w:t>Standart</w:t>
            </w:r>
            <w:proofErr w:type="spellEnd"/>
            <w:r w:rsidR="00BE6C96" w:rsidRPr="00FA664D">
              <w:rPr>
                <w:rFonts w:asciiTheme="majorBidi" w:hAnsiTheme="majorBidi" w:cstheme="majorBidi"/>
                <w:color w:val="000000" w:themeColor="text1"/>
                <w:sz w:val="20"/>
                <w:szCs w:val="20"/>
              </w:rPr>
              <w:t xml:space="preserve"> (2017)</w:t>
            </w:r>
          </w:p>
        </w:tc>
      </w:tr>
      <w:tr w:rsidR="00BE6C96" w:rsidRPr="00955D3D" w14:paraId="56D1FAF2" w14:textId="77777777" w:rsidTr="00FA6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627966" w14:textId="77777777" w:rsidR="00BE6C96" w:rsidRPr="00FA664D" w:rsidRDefault="00BE6C96" w:rsidP="0031013D">
            <w:pPr>
              <w:spacing w:line="360" w:lineRule="auto"/>
              <w:jc w:val="both"/>
              <w:rPr>
                <w:rFonts w:asciiTheme="majorBidi" w:hAnsiTheme="majorBidi" w:cstheme="majorBidi"/>
                <w:b w:val="0"/>
                <w:bCs w:val="0"/>
                <w:color w:val="000000" w:themeColor="text1"/>
                <w:sz w:val="20"/>
                <w:szCs w:val="20"/>
              </w:rPr>
            </w:pPr>
            <w:r w:rsidRPr="00FA664D">
              <w:rPr>
                <w:rFonts w:asciiTheme="majorBidi" w:hAnsiTheme="majorBidi" w:cstheme="majorBidi"/>
                <w:color w:val="000000" w:themeColor="text1"/>
                <w:sz w:val="20"/>
                <w:szCs w:val="20"/>
              </w:rPr>
              <w:t>As</w:t>
            </w:r>
          </w:p>
        </w:tc>
        <w:tc>
          <w:tcPr>
            <w:tcW w:w="0" w:type="auto"/>
            <w:hideMark/>
          </w:tcPr>
          <w:p w14:paraId="54D8224F" w14:textId="77777777" w:rsidR="00BE6C96" w:rsidRPr="00FA664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0.0000</w:t>
            </w:r>
          </w:p>
        </w:tc>
        <w:tc>
          <w:tcPr>
            <w:tcW w:w="0" w:type="auto"/>
            <w:hideMark/>
          </w:tcPr>
          <w:p w14:paraId="02A90BE4" w14:textId="77777777" w:rsidR="00BE6C96" w:rsidRPr="00FA664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0.0007</w:t>
            </w:r>
          </w:p>
        </w:tc>
        <w:tc>
          <w:tcPr>
            <w:tcW w:w="0" w:type="auto"/>
            <w:hideMark/>
          </w:tcPr>
          <w:p w14:paraId="2A39DF7A" w14:textId="77777777" w:rsidR="00BE6C96" w:rsidRPr="00FA664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0.0017</w:t>
            </w:r>
          </w:p>
        </w:tc>
        <w:tc>
          <w:tcPr>
            <w:tcW w:w="1581" w:type="dxa"/>
            <w:hideMark/>
          </w:tcPr>
          <w:p w14:paraId="093F2743" w14:textId="77777777" w:rsidR="00BE6C96" w:rsidRPr="00FA664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0.01</w:t>
            </w:r>
          </w:p>
        </w:tc>
      </w:tr>
      <w:tr w:rsidR="00BE6C96" w:rsidRPr="00955D3D" w14:paraId="0F670640" w14:textId="77777777" w:rsidTr="00FA664D">
        <w:tc>
          <w:tcPr>
            <w:cnfStyle w:val="001000000000" w:firstRow="0" w:lastRow="0" w:firstColumn="1" w:lastColumn="0" w:oddVBand="0" w:evenVBand="0" w:oddHBand="0" w:evenHBand="0" w:firstRowFirstColumn="0" w:firstRowLastColumn="0" w:lastRowFirstColumn="0" w:lastRowLastColumn="0"/>
            <w:tcW w:w="0" w:type="auto"/>
            <w:hideMark/>
          </w:tcPr>
          <w:p w14:paraId="50950C4D" w14:textId="77777777" w:rsidR="00BE6C96" w:rsidRPr="00FA664D" w:rsidRDefault="00BE6C96" w:rsidP="0031013D">
            <w:pPr>
              <w:spacing w:line="360" w:lineRule="auto"/>
              <w:jc w:val="both"/>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Cd</w:t>
            </w:r>
          </w:p>
        </w:tc>
        <w:tc>
          <w:tcPr>
            <w:tcW w:w="0" w:type="auto"/>
            <w:hideMark/>
          </w:tcPr>
          <w:p w14:paraId="0105BF84" w14:textId="77777777" w:rsidR="00BE6C96" w:rsidRPr="00FA664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0"/>
                <w:szCs w:val="20"/>
              </w:rPr>
            </w:pPr>
            <w:r w:rsidRPr="00FA664D">
              <w:rPr>
                <w:rFonts w:asciiTheme="majorBidi" w:hAnsiTheme="majorBidi" w:cstheme="majorBidi"/>
                <w:b/>
                <w:bCs/>
                <w:color w:val="000000" w:themeColor="text1"/>
                <w:sz w:val="20"/>
                <w:szCs w:val="20"/>
              </w:rPr>
              <w:t>0.123</w:t>
            </w:r>
          </w:p>
        </w:tc>
        <w:tc>
          <w:tcPr>
            <w:tcW w:w="0" w:type="auto"/>
            <w:hideMark/>
          </w:tcPr>
          <w:p w14:paraId="5490E0C0" w14:textId="77777777" w:rsidR="00BE6C96" w:rsidRPr="00FA664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0"/>
                <w:szCs w:val="20"/>
              </w:rPr>
            </w:pPr>
            <w:r w:rsidRPr="00FA664D">
              <w:rPr>
                <w:rFonts w:asciiTheme="majorBidi" w:hAnsiTheme="majorBidi" w:cstheme="majorBidi"/>
                <w:b/>
                <w:bCs/>
                <w:color w:val="000000" w:themeColor="text1"/>
                <w:sz w:val="20"/>
                <w:szCs w:val="20"/>
              </w:rPr>
              <w:t>0.481</w:t>
            </w:r>
          </w:p>
        </w:tc>
        <w:tc>
          <w:tcPr>
            <w:tcW w:w="0" w:type="auto"/>
            <w:hideMark/>
          </w:tcPr>
          <w:p w14:paraId="550B0FA0" w14:textId="77777777" w:rsidR="00BE6C96" w:rsidRPr="00FA664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0"/>
                <w:szCs w:val="20"/>
              </w:rPr>
            </w:pPr>
            <w:r w:rsidRPr="00FA664D">
              <w:rPr>
                <w:rFonts w:asciiTheme="majorBidi" w:hAnsiTheme="majorBidi" w:cstheme="majorBidi"/>
                <w:b/>
                <w:bCs/>
                <w:color w:val="000000" w:themeColor="text1"/>
                <w:sz w:val="20"/>
                <w:szCs w:val="20"/>
              </w:rPr>
              <w:t>0.204</w:t>
            </w:r>
          </w:p>
        </w:tc>
        <w:tc>
          <w:tcPr>
            <w:tcW w:w="1581" w:type="dxa"/>
            <w:hideMark/>
          </w:tcPr>
          <w:p w14:paraId="24634551" w14:textId="77777777" w:rsidR="00BE6C96" w:rsidRPr="00FA664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0.003</w:t>
            </w:r>
          </w:p>
        </w:tc>
      </w:tr>
      <w:tr w:rsidR="00BE6C96" w:rsidRPr="00955D3D" w14:paraId="16BAFCC5" w14:textId="77777777" w:rsidTr="00FA6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678636" w14:textId="77777777" w:rsidR="00BE6C96" w:rsidRPr="00FA664D" w:rsidRDefault="00BE6C96" w:rsidP="0031013D">
            <w:pPr>
              <w:spacing w:line="360" w:lineRule="auto"/>
              <w:jc w:val="both"/>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Cu</w:t>
            </w:r>
          </w:p>
        </w:tc>
        <w:tc>
          <w:tcPr>
            <w:tcW w:w="0" w:type="auto"/>
            <w:hideMark/>
          </w:tcPr>
          <w:p w14:paraId="6494B1F6" w14:textId="77777777" w:rsidR="00BE6C96" w:rsidRPr="00FA664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0.053</w:t>
            </w:r>
          </w:p>
        </w:tc>
        <w:tc>
          <w:tcPr>
            <w:tcW w:w="0" w:type="auto"/>
            <w:hideMark/>
          </w:tcPr>
          <w:p w14:paraId="377C1D62" w14:textId="77777777" w:rsidR="00BE6C96" w:rsidRPr="00FA664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0.751</w:t>
            </w:r>
          </w:p>
        </w:tc>
        <w:tc>
          <w:tcPr>
            <w:tcW w:w="0" w:type="auto"/>
            <w:hideMark/>
          </w:tcPr>
          <w:p w14:paraId="2F800B79" w14:textId="77777777" w:rsidR="00BE6C96" w:rsidRPr="00FA664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0"/>
                <w:szCs w:val="20"/>
              </w:rPr>
            </w:pPr>
            <w:r w:rsidRPr="00FA664D">
              <w:rPr>
                <w:rFonts w:asciiTheme="majorBidi" w:hAnsiTheme="majorBidi" w:cstheme="majorBidi"/>
                <w:b/>
                <w:bCs/>
                <w:color w:val="000000" w:themeColor="text1"/>
                <w:sz w:val="20"/>
                <w:szCs w:val="20"/>
              </w:rPr>
              <w:t>6.391</w:t>
            </w:r>
          </w:p>
        </w:tc>
        <w:tc>
          <w:tcPr>
            <w:tcW w:w="1581" w:type="dxa"/>
            <w:hideMark/>
          </w:tcPr>
          <w:p w14:paraId="5E44F6C0" w14:textId="77777777" w:rsidR="00BE6C96" w:rsidRPr="00FA664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2.0</w:t>
            </w:r>
          </w:p>
        </w:tc>
      </w:tr>
      <w:tr w:rsidR="00BE6C96" w:rsidRPr="00955D3D" w14:paraId="1BAF3A4C" w14:textId="77777777" w:rsidTr="00FA664D">
        <w:tc>
          <w:tcPr>
            <w:cnfStyle w:val="001000000000" w:firstRow="0" w:lastRow="0" w:firstColumn="1" w:lastColumn="0" w:oddVBand="0" w:evenVBand="0" w:oddHBand="0" w:evenHBand="0" w:firstRowFirstColumn="0" w:firstRowLastColumn="0" w:lastRowFirstColumn="0" w:lastRowLastColumn="0"/>
            <w:tcW w:w="0" w:type="auto"/>
            <w:hideMark/>
          </w:tcPr>
          <w:p w14:paraId="1E7FBCF4" w14:textId="77777777" w:rsidR="00BE6C96" w:rsidRPr="00FA664D" w:rsidRDefault="00BE6C96" w:rsidP="0031013D">
            <w:pPr>
              <w:spacing w:line="360" w:lineRule="auto"/>
              <w:jc w:val="both"/>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Fe</w:t>
            </w:r>
          </w:p>
        </w:tc>
        <w:tc>
          <w:tcPr>
            <w:tcW w:w="0" w:type="auto"/>
            <w:hideMark/>
          </w:tcPr>
          <w:p w14:paraId="258096A3" w14:textId="77777777" w:rsidR="00BE6C96" w:rsidRPr="00FA664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0"/>
                <w:szCs w:val="20"/>
              </w:rPr>
            </w:pPr>
            <w:r w:rsidRPr="00FA664D">
              <w:rPr>
                <w:rFonts w:asciiTheme="majorBidi" w:hAnsiTheme="majorBidi" w:cstheme="majorBidi"/>
                <w:b/>
                <w:bCs/>
                <w:color w:val="000000" w:themeColor="text1"/>
                <w:sz w:val="20"/>
                <w:szCs w:val="20"/>
              </w:rPr>
              <w:t>0.609</w:t>
            </w:r>
          </w:p>
        </w:tc>
        <w:tc>
          <w:tcPr>
            <w:tcW w:w="0" w:type="auto"/>
            <w:hideMark/>
          </w:tcPr>
          <w:p w14:paraId="511FB551" w14:textId="77777777" w:rsidR="00BE6C96" w:rsidRPr="00FA664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0"/>
                <w:szCs w:val="20"/>
              </w:rPr>
            </w:pPr>
            <w:r w:rsidRPr="00FA664D">
              <w:rPr>
                <w:rFonts w:asciiTheme="majorBidi" w:hAnsiTheme="majorBidi" w:cstheme="majorBidi"/>
                <w:b/>
                <w:bCs/>
                <w:color w:val="000000" w:themeColor="text1"/>
                <w:sz w:val="20"/>
                <w:szCs w:val="20"/>
              </w:rPr>
              <w:t>2.133</w:t>
            </w:r>
          </w:p>
        </w:tc>
        <w:tc>
          <w:tcPr>
            <w:tcW w:w="0" w:type="auto"/>
            <w:hideMark/>
          </w:tcPr>
          <w:p w14:paraId="487BD6EB" w14:textId="77777777" w:rsidR="00BE6C96" w:rsidRPr="00FA664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0"/>
                <w:szCs w:val="20"/>
              </w:rPr>
            </w:pPr>
            <w:r w:rsidRPr="00FA664D">
              <w:rPr>
                <w:rFonts w:asciiTheme="majorBidi" w:hAnsiTheme="majorBidi" w:cstheme="majorBidi"/>
                <w:b/>
                <w:bCs/>
                <w:color w:val="000000" w:themeColor="text1"/>
                <w:sz w:val="20"/>
                <w:szCs w:val="20"/>
              </w:rPr>
              <w:t>8.763</w:t>
            </w:r>
          </w:p>
        </w:tc>
        <w:tc>
          <w:tcPr>
            <w:tcW w:w="1581" w:type="dxa"/>
            <w:hideMark/>
          </w:tcPr>
          <w:p w14:paraId="51F0BDD3" w14:textId="77777777" w:rsidR="00BE6C96" w:rsidRPr="00FA664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0.3</w:t>
            </w:r>
          </w:p>
        </w:tc>
      </w:tr>
      <w:tr w:rsidR="00BE6C96" w:rsidRPr="00955D3D" w14:paraId="1D73E06C" w14:textId="77777777" w:rsidTr="00FA6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5C25A4" w14:textId="77777777" w:rsidR="00BE6C96" w:rsidRPr="00FA664D" w:rsidRDefault="00BE6C96" w:rsidP="0031013D">
            <w:pPr>
              <w:spacing w:line="360" w:lineRule="auto"/>
              <w:jc w:val="both"/>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Pb</w:t>
            </w:r>
          </w:p>
        </w:tc>
        <w:tc>
          <w:tcPr>
            <w:tcW w:w="0" w:type="auto"/>
            <w:hideMark/>
          </w:tcPr>
          <w:p w14:paraId="661CC89C" w14:textId="77777777" w:rsidR="00BE6C96" w:rsidRPr="00FA664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0"/>
                <w:szCs w:val="20"/>
              </w:rPr>
            </w:pPr>
            <w:r w:rsidRPr="00FA664D">
              <w:rPr>
                <w:rFonts w:asciiTheme="majorBidi" w:hAnsiTheme="majorBidi" w:cstheme="majorBidi"/>
                <w:b/>
                <w:bCs/>
                <w:color w:val="000000" w:themeColor="text1"/>
                <w:sz w:val="20"/>
                <w:szCs w:val="20"/>
              </w:rPr>
              <w:t>0.108</w:t>
            </w:r>
          </w:p>
        </w:tc>
        <w:tc>
          <w:tcPr>
            <w:tcW w:w="0" w:type="auto"/>
            <w:hideMark/>
          </w:tcPr>
          <w:p w14:paraId="7949062C" w14:textId="77777777" w:rsidR="00BE6C96" w:rsidRPr="00FA664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0"/>
                <w:szCs w:val="20"/>
              </w:rPr>
            </w:pPr>
            <w:r w:rsidRPr="00FA664D">
              <w:rPr>
                <w:rFonts w:asciiTheme="majorBidi" w:hAnsiTheme="majorBidi" w:cstheme="majorBidi"/>
                <w:b/>
                <w:bCs/>
                <w:color w:val="000000" w:themeColor="text1"/>
                <w:sz w:val="20"/>
                <w:szCs w:val="20"/>
              </w:rPr>
              <w:t>0.230</w:t>
            </w:r>
          </w:p>
        </w:tc>
        <w:tc>
          <w:tcPr>
            <w:tcW w:w="0" w:type="auto"/>
            <w:hideMark/>
          </w:tcPr>
          <w:p w14:paraId="017ECFB5" w14:textId="77777777" w:rsidR="00BE6C96" w:rsidRPr="00FA664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0"/>
                <w:szCs w:val="20"/>
              </w:rPr>
            </w:pPr>
            <w:r w:rsidRPr="00FA664D">
              <w:rPr>
                <w:rFonts w:asciiTheme="majorBidi" w:hAnsiTheme="majorBidi" w:cstheme="majorBidi"/>
                <w:b/>
                <w:bCs/>
                <w:color w:val="000000" w:themeColor="text1"/>
                <w:sz w:val="20"/>
                <w:szCs w:val="20"/>
              </w:rPr>
              <w:t>0.761</w:t>
            </w:r>
          </w:p>
        </w:tc>
        <w:tc>
          <w:tcPr>
            <w:tcW w:w="1581" w:type="dxa"/>
            <w:hideMark/>
          </w:tcPr>
          <w:p w14:paraId="78F300D5" w14:textId="77777777" w:rsidR="00BE6C96" w:rsidRPr="00FA664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0.01</w:t>
            </w:r>
          </w:p>
        </w:tc>
      </w:tr>
      <w:tr w:rsidR="00BE6C96" w:rsidRPr="00955D3D" w14:paraId="65A00097" w14:textId="77777777" w:rsidTr="00FA664D">
        <w:tc>
          <w:tcPr>
            <w:cnfStyle w:val="001000000000" w:firstRow="0" w:lastRow="0" w:firstColumn="1" w:lastColumn="0" w:oddVBand="0" w:evenVBand="0" w:oddHBand="0" w:evenHBand="0" w:firstRowFirstColumn="0" w:firstRowLastColumn="0" w:lastRowFirstColumn="0" w:lastRowLastColumn="0"/>
            <w:tcW w:w="0" w:type="auto"/>
            <w:hideMark/>
          </w:tcPr>
          <w:p w14:paraId="0175439D" w14:textId="77777777" w:rsidR="00BE6C96" w:rsidRPr="00FA664D" w:rsidRDefault="00BE6C96" w:rsidP="0031013D">
            <w:pPr>
              <w:spacing w:line="360" w:lineRule="auto"/>
              <w:jc w:val="both"/>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Zn</w:t>
            </w:r>
          </w:p>
        </w:tc>
        <w:tc>
          <w:tcPr>
            <w:tcW w:w="0" w:type="auto"/>
            <w:hideMark/>
          </w:tcPr>
          <w:p w14:paraId="0AAF903E" w14:textId="77777777" w:rsidR="00BE6C96" w:rsidRPr="00FA664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0.348</w:t>
            </w:r>
          </w:p>
        </w:tc>
        <w:tc>
          <w:tcPr>
            <w:tcW w:w="0" w:type="auto"/>
            <w:hideMark/>
          </w:tcPr>
          <w:p w14:paraId="0C3D4277" w14:textId="77777777" w:rsidR="00BE6C96" w:rsidRPr="00FA664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1.080</w:t>
            </w:r>
          </w:p>
        </w:tc>
        <w:tc>
          <w:tcPr>
            <w:tcW w:w="0" w:type="auto"/>
            <w:hideMark/>
          </w:tcPr>
          <w:p w14:paraId="252B8717" w14:textId="77777777" w:rsidR="00BE6C96" w:rsidRPr="00FA664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0"/>
                <w:szCs w:val="20"/>
              </w:rPr>
            </w:pPr>
            <w:r w:rsidRPr="00FA664D">
              <w:rPr>
                <w:rFonts w:asciiTheme="majorBidi" w:hAnsiTheme="majorBidi" w:cstheme="majorBidi"/>
                <w:b/>
                <w:bCs/>
                <w:color w:val="000000" w:themeColor="text1"/>
                <w:sz w:val="20"/>
                <w:szCs w:val="20"/>
              </w:rPr>
              <w:t>4.263</w:t>
            </w:r>
          </w:p>
        </w:tc>
        <w:tc>
          <w:tcPr>
            <w:tcW w:w="1581" w:type="dxa"/>
            <w:hideMark/>
          </w:tcPr>
          <w:p w14:paraId="11EA53DD" w14:textId="77777777" w:rsidR="00BE6C96" w:rsidRPr="00FA664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0"/>
                <w:szCs w:val="20"/>
              </w:rPr>
            </w:pPr>
            <w:r w:rsidRPr="00FA664D">
              <w:rPr>
                <w:rFonts w:asciiTheme="majorBidi" w:hAnsiTheme="majorBidi" w:cstheme="majorBidi"/>
                <w:color w:val="000000" w:themeColor="text1"/>
                <w:sz w:val="20"/>
                <w:szCs w:val="20"/>
              </w:rPr>
              <w:t>3.0</w:t>
            </w:r>
          </w:p>
        </w:tc>
      </w:tr>
      <w:tr w:rsidR="00BE6C96" w:rsidRPr="00955D3D" w14:paraId="75289F1C" w14:textId="77777777" w:rsidTr="00FA6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4384FF"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Ni</w:t>
            </w:r>
          </w:p>
        </w:tc>
        <w:tc>
          <w:tcPr>
            <w:tcW w:w="0" w:type="auto"/>
            <w:hideMark/>
          </w:tcPr>
          <w:p w14:paraId="27520E98" w14:textId="77777777" w:rsidR="00BE6C96" w:rsidRPr="00FA664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FA664D">
              <w:rPr>
                <w:rFonts w:asciiTheme="majorBidi" w:hAnsiTheme="majorBidi" w:cstheme="majorBidi"/>
                <w:color w:val="000000" w:themeColor="text1"/>
              </w:rPr>
              <w:t>0.0013</w:t>
            </w:r>
          </w:p>
        </w:tc>
        <w:tc>
          <w:tcPr>
            <w:tcW w:w="0" w:type="auto"/>
            <w:hideMark/>
          </w:tcPr>
          <w:p w14:paraId="12069C89" w14:textId="77777777" w:rsidR="00BE6C96" w:rsidRPr="00FA664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FA664D">
              <w:rPr>
                <w:rFonts w:asciiTheme="majorBidi" w:hAnsiTheme="majorBidi" w:cstheme="majorBidi"/>
                <w:color w:val="000000" w:themeColor="text1"/>
              </w:rPr>
              <w:t>0.0175</w:t>
            </w:r>
          </w:p>
        </w:tc>
        <w:tc>
          <w:tcPr>
            <w:tcW w:w="0" w:type="auto"/>
            <w:hideMark/>
          </w:tcPr>
          <w:p w14:paraId="22AFF9E8" w14:textId="77777777" w:rsidR="00BE6C96" w:rsidRPr="00FA664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rPr>
            </w:pPr>
            <w:r w:rsidRPr="00FA664D">
              <w:rPr>
                <w:rFonts w:asciiTheme="majorBidi" w:hAnsiTheme="majorBidi" w:cstheme="majorBidi"/>
                <w:b/>
                <w:bCs/>
                <w:color w:val="000000" w:themeColor="text1"/>
              </w:rPr>
              <w:t>1.050</w:t>
            </w:r>
          </w:p>
        </w:tc>
        <w:tc>
          <w:tcPr>
            <w:tcW w:w="1581" w:type="dxa"/>
            <w:hideMark/>
          </w:tcPr>
          <w:p w14:paraId="5412ED5B" w14:textId="77777777" w:rsidR="00BE6C96" w:rsidRPr="00FA664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FA664D">
              <w:rPr>
                <w:rFonts w:asciiTheme="majorBidi" w:hAnsiTheme="majorBidi" w:cstheme="majorBidi"/>
                <w:color w:val="000000" w:themeColor="text1"/>
              </w:rPr>
              <w:t>0.07</w:t>
            </w:r>
          </w:p>
        </w:tc>
      </w:tr>
      <w:tr w:rsidR="00BE6C96" w:rsidRPr="00955D3D" w14:paraId="68ABB639" w14:textId="77777777" w:rsidTr="00FA664D">
        <w:tc>
          <w:tcPr>
            <w:cnfStyle w:val="001000000000" w:firstRow="0" w:lastRow="0" w:firstColumn="1" w:lastColumn="0" w:oddVBand="0" w:evenVBand="0" w:oddHBand="0" w:evenHBand="0" w:firstRowFirstColumn="0" w:firstRowLastColumn="0" w:lastRowFirstColumn="0" w:lastRowLastColumn="0"/>
            <w:tcW w:w="0" w:type="auto"/>
            <w:hideMark/>
          </w:tcPr>
          <w:p w14:paraId="326CFA52"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Cr</w:t>
            </w:r>
          </w:p>
        </w:tc>
        <w:tc>
          <w:tcPr>
            <w:tcW w:w="0" w:type="auto"/>
            <w:hideMark/>
          </w:tcPr>
          <w:p w14:paraId="19CBED17" w14:textId="77777777" w:rsidR="00BE6C96" w:rsidRPr="00FA664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rPr>
            </w:pPr>
            <w:r w:rsidRPr="00FA664D">
              <w:rPr>
                <w:rFonts w:asciiTheme="majorBidi" w:hAnsiTheme="majorBidi" w:cstheme="majorBidi"/>
                <w:b/>
                <w:bCs/>
                <w:color w:val="000000" w:themeColor="text1"/>
              </w:rPr>
              <w:t>0.055</w:t>
            </w:r>
          </w:p>
        </w:tc>
        <w:tc>
          <w:tcPr>
            <w:tcW w:w="0" w:type="auto"/>
            <w:hideMark/>
          </w:tcPr>
          <w:p w14:paraId="3F5341E7" w14:textId="77777777" w:rsidR="00BE6C96" w:rsidRPr="00FA664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FA664D">
              <w:rPr>
                <w:rFonts w:asciiTheme="majorBidi" w:hAnsiTheme="majorBidi" w:cstheme="majorBidi"/>
                <w:color w:val="000000" w:themeColor="text1"/>
              </w:rPr>
              <w:t>0.0376</w:t>
            </w:r>
          </w:p>
        </w:tc>
        <w:tc>
          <w:tcPr>
            <w:tcW w:w="0" w:type="auto"/>
            <w:hideMark/>
          </w:tcPr>
          <w:p w14:paraId="78141DBF" w14:textId="77777777" w:rsidR="00BE6C96" w:rsidRPr="00FA664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FA664D">
              <w:rPr>
                <w:rFonts w:asciiTheme="majorBidi" w:hAnsiTheme="majorBidi" w:cstheme="majorBidi"/>
                <w:color w:val="000000" w:themeColor="text1"/>
              </w:rPr>
              <w:t>0.0097</w:t>
            </w:r>
          </w:p>
        </w:tc>
        <w:tc>
          <w:tcPr>
            <w:tcW w:w="1581" w:type="dxa"/>
            <w:hideMark/>
          </w:tcPr>
          <w:p w14:paraId="36C618A1" w14:textId="77777777" w:rsidR="00BE6C96" w:rsidRPr="00FA664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FA664D">
              <w:rPr>
                <w:rFonts w:asciiTheme="majorBidi" w:hAnsiTheme="majorBidi" w:cstheme="majorBidi"/>
                <w:color w:val="000000" w:themeColor="text1"/>
              </w:rPr>
              <w:t>0.05</w:t>
            </w:r>
          </w:p>
        </w:tc>
      </w:tr>
    </w:tbl>
    <w:p w14:paraId="7E56846E" w14:textId="77777777" w:rsidR="00F35333" w:rsidRPr="00F35333" w:rsidRDefault="00F35333" w:rsidP="00F35333">
      <w:pPr>
        <w:spacing w:line="360" w:lineRule="auto"/>
        <w:jc w:val="both"/>
        <w:rPr>
          <w:rFonts w:asciiTheme="majorBidi" w:hAnsiTheme="majorBidi" w:cstheme="majorBidi"/>
          <w:color w:val="000000" w:themeColor="text1"/>
          <w:lang w:val="en-GB"/>
        </w:rPr>
      </w:pPr>
      <w:r w:rsidRPr="00F35333">
        <w:rPr>
          <w:rFonts w:asciiTheme="majorBidi" w:hAnsiTheme="majorBidi" w:cstheme="majorBidi"/>
          <w:color w:val="000000" w:themeColor="text1"/>
          <w:lang w:val="en-GB"/>
        </w:rPr>
        <w:t xml:space="preserve">The analysis reveals widespread metal contamination, with concentrations exceeding World Health Organization (WHO) guideline values. Arsenic (As) remains low and well below the WHO limit of 0.01 mg/L, indicating no significant contamination. In contrast, cadmium (Cd) exceeds the permissible limit of 0.003 mg/L across all cities, reaching a mean maximum of 0.48 mg/L in Cotonou. Lead (Pb) also surpasses the guideline value of 0.01 mg/L, with levels up to 0.76 mg/L in </w:t>
      </w:r>
      <w:proofErr w:type="spellStart"/>
      <w:r w:rsidRPr="00F35333">
        <w:rPr>
          <w:rFonts w:asciiTheme="majorBidi" w:hAnsiTheme="majorBidi" w:cstheme="majorBidi"/>
          <w:color w:val="000000" w:themeColor="text1"/>
          <w:lang w:val="en-GB"/>
        </w:rPr>
        <w:t>Natitingou</w:t>
      </w:r>
      <w:proofErr w:type="spellEnd"/>
      <w:r w:rsidRPr="00F35333">
        <w:rPr>
          <w:rFonts w:asciiTheme="majorBidi" w:hAnsiTheme="majorBidi" w:cstheme="majorBidi"/>
          <w:color w:val="000000" w:themeColor="text1"/>
          <w:lang w:val="en-GB"/>
        </w:rPr>
        <w:t xml:space="preserve"> and 0.23 mg/L in Cotonou, posing a considerable public health risk. Iron (Fe) displays very high concentrations in all locations, particularly in </w:t>
      </w:r>
      <w:proofErr w:type="spellStart"/>
      <w:r w:rsidRPr="00F35333">
        <w:rPr>
          <w:rFonts w:asciiTheme="majorBidi" w:hAnsiTheme="majorBidi" w:cstheme="majorBidi"/>
          <w:color w:val="000000" w:themeColor="text1"/>
          <w:lang w:val="en-GB"/>
        </w:rPr>
        <w:t>Natitingou</w:t>
      </w:r>
      <w:proofErr w:type="spellEnd"/>
      <w:r w:rsidRPr="00F35333">
        <w:rPr>
          <w:rFonts w:asciiTheme="majorBidi" w:hAnsiTheme="majorBidi" w:cstheme="majorBidi"/>
          <w:color w:val="000000" w:themeColor="text1"/>
          <w:lang w:val="en-GB"/>
        </w:rPr>
        <w:t>, where it reaches 8.76 mg/L compared with the 0.3 mg/L standard.</w:t>
      </w:r>
    </w:p>
    <w:p w14:paraId="58236F0A" w14:textId="3E287F10" w:rsidR="00F35333" w:rsidRPr="00F35333" w:rsidRDefault="00F35333" w:rsidP="00F35333">
      <w:pPr>
        <w:spacing w:line="360" w:lineRule="auto"/>
        <w:jc w:val="both"/>
        <w:rPr>
          <w:rFonts w:asciiTheme="majorBidi" w:hAnsiTheme="majorBidi" w:cstheme="majorBidi"/>
          <w:color w:val="000000" w:themeColor="text1"/>
          <w:lang w:val="en-GB"/>
        </w:rPr>
      </w:pPr>
      <w:r w:rsidRPr="00F35333">
        <w:rPr>
          <w:rFonts w:asciiTheme="majorBidi" w:hAnsiTheme="majorBidi" w:cstheme="majorBidi"/>
          <w:color w:val="000000" w:themeColor="text1"/>
          <w:lang w:val="en-GB"/>
        </w:rPr>
        <w:t xml:space="preserve">In </w:t>
      </w:r>
      <w:proofErr w:type="spellStart"/>
      <w:r w:rsidRPr="00F35333">
        <w:rPr>
          <w:rFonts w:asciiTheme="majorBidi" w:hAnsiTheme="majorBidi" w:cstheme="majorBidi"/>
          <w:color w:val="000000" w:themeColor="text1"/>
          <w:lang w:val="en-GB"/>
        </w:rPr>
        <w:t>Natitingou</w:t>
      </w:r>
      <w:proofErr w:type="spellEnd"/>
      <w:r w:rsidRPr="00F35333">
        <w:rPr>
          <w:rFonts w:asciiTheme="majorBidi" w:hAnsiTheme="majorBidi" w:cstheme="majorBidi"/>
          <w:color w:val="000000" w:themeColor="text1"/>
          <w:lang w:val="en-GB"/>
        </w:rPr>
        <w:t>, the situation is particularly alarming: in addition to elevated levels of iron, cadmium, and lead, there is substantial copper (Cu) contamination, averaging 6.39 mg/L, with 67% of samples exceeding the threshold of 2 mg/L. Nickel (Ni) is detected in 100% of samples, with a mean concentration of 1.05 mg/L</w:t>
      </w:r>
      <w:r w:rsidR="00FA664D">
        <w:rPr>
          <w:rFonts w:asciiTheme="majorBidi" w:hAnsiTheme="majorBidi" w:cstheme="majorBidi"/>
          <w:color w:val="000000" w:themeColor="text1"/>
          <w:lang w:val="en-GB"/>
        </w:rPr>
        <w:t xml:space="preserve"> </w:t>
      </w:r>
      <w:r w:rsidRPr="00F35333">
        <w:rPr>
          <w:rFonts w:asciiTheme="majorBidi" w:hAnsiTheme="majorBidi" w:cstheme="majorBidi"/>
          <w:color w:val="000000" w:themeColor="text1"/>
          <w:lang w:val="en-GB"/>
        </w:rPr>
        <w:t>far above the 0.07 mg/L guideline</w:t>
      </w:r>
      <w:r w:rsidR="00FA664D">
        <w:rPr>
          <w:rFonts w:asciiTheme="majorBidi" w:hAnsiTheme="majorBidi" w:cstheme="majorBidi"/>
          <w:color w:val="000000" w:themeColor="text1"/>
          <w:lang w:val="en-GB"/>
        </w:rPr>
        <w:t xml:space="preserve"> </w:t>
      </w:r>
      <w:r w:rsidRPr="00F35333">
        <w:rPr>
          <w:rFonts w:asciiTheme="majorBidi" w:hAnsiTheme="majorBidi" w:cstheme="majorBidi"/>
          <w:color w:val="000000" w:themeColor="text1"/>
          <w:lang w:val="en-GB"/>
        </w:rPr>
        <w:t>and is recognised as carcinogenic. Zinc (Zn) also reaches 4.26 mg/L, exceeding the recommended limit of 3 mg/L.</w:t>
      </w:r>
    </w:p>
    <w:p w14:paraId="6267AEDE" w14:textId="77777777" w:rsidR="00F35333" w:rsidRPr="00F35333" w:rsidRDefault="00F35333" w:rsidP="00F35333">
      <w:pPr>
        <w:spacing w:line="360" w:lineRule="auto"/>
        <w:jc w:val="both"/>
        <w:rPr>
          <w:rFonts w:asciiTheme="majorBidi" w:hAnsiTheme="majorBidi" w:cstheme="majorBidi"/>
          <w:color w:val="000000" w:themeColor="text1"/>
          <w:lang w:val="en-GB"/>
        </w:rPr>
      </w:pPr>
      <w:r w:rsidRPr="00F35333">
        <w:rPr>
          <w:rFonts w:asciiTheme="majorBidi" w:hAnsiTheme="majorBidi" w:cstheme="majorBidi"/>
          <w:color w:val="000000" w:themeColor="text1"/>
          <w:lang w:val="en-GB"/>
        </w:rPr>
        <w:t>In Abomey-</w:t>
      </w:r>
      <w:proofErr w:type="spellStart"/>
      <w:r w:rsidRPr="00F35333">
        <w:rPr>
          <w:rFonts w:asciiTheme="majorBidi" w:hAnsiTheme="majorBidi" w:cstheme="majorBidi"/>
          <w:color w:val="000000" w:themeColor="text1"/>
          <w:lang w:val="en-GB"/>
        </w:rPr>
        <w:t>Calavi</w:t>
      </w:r>
      <w:proofErr w:type="spellEnd"/>
      <w:r w:rsidRPr="00F35333">
        <w:rPr>
          <w:rFonts w:asciiTheme="majorBidi" w:hAnsiTheme="majorBidi" w:cstheme="majorBidi"/>
          <w:color w:val="000000" w:themeColor="text1"/>
          <w:lang w:val="en-GB"/>
        </w:rPr>
        <w:t xml:space="preserve">, the main concerns relate to chromium (Cr), with 87% of samples surpassing the WHO limit of 0.05 mg/L and a mean concentration of 0.055 mg/L, alongside high levels of iron (80% of samples), as well as cadmium and lead. In Cotonou, exceedances primarily involve cadmium, lead, and iron, with isolated cases of elevated copper and chromium. Arsenic and zinc generally remain below regulatory thresholds, except for a few critical cases observed in </w:t>
      </w:r>
      <w:proofErr w:type="spellStart"/>
      <w:r w:rsidRPr="00F35333">
        <w:rPr>
          <w:rFonts w:asciiTheme="majorBidi" w:hAnsiTheme="majorBidi" w:cstheme="majorBidi"/>
          <w:color w:val="000000" w:themeColor="text1"/>
          <w:lang w:val="en-GB"/>
        </w:rPr>
        <w:t>Natitingou</w:t>
      </w:r>
      <w:proofErr w:type="spellEnd"/>
      <w:r w:rsidRPr="00F35333">
        <w:rPr>
          <w:rFonts w:asciiTheme="majorBidi" w:hAnsiTheme="majorBidi" w:cstheme="majorBidi"/>
          <w:color w:val="000000" w:themeColor="text1"/>
          <w:lang w:val="en-GB"/>
        </w:rPr>
        <w:t>.</w:t>
      </w:r>
    </w:p>
    <w:p w14:paraId="3EAC6B7E" w14:textId="70152974" w:rsidR="00F35333" w:rsidRPr="00F35333" w:rsidRDefault="00D55CE6" w:rsidP="00F35333">
      <w:pPr>
        <w:spacing w:line="360" w:lineRule="auto"/>
        <w:jc w:val="both"/>
        <w:rPr>
          <w:rFonts w:asciiTheme="majorBidi" w:hAnsiTheme="majorBidi" w:cstheme="majorBidi"/>
          <w:color w:val="000000" w:themeColor="text1"/>
          <w:lang w:val="en-GB"/>
        </w:rPr>
      </w:pPr>
      <w:r w:rsidRPr="00F35333">
        <w:rPr>
          <w:rFonts w:asciiTheme="majorBidi" w:hAnsiTheme="majorBidi" w:cstheme="majorBidi"/>
          <w:color w:val="000000" w:themeColor="text1"/>
          <w:lang w:val="en-GB"/>
        </w:rPr>
        <w:lastRenderedPageBreak/>
        <w:t>Kruskal</w:t>
      </w:r>
      <w:r>
        <w:rPr>
          <w:rFonts w:asciiTheme="majorBidi" w:hAnsiTheme="majorBidi" w:cstheme="majorBidi"/>
          <w:color w:val="000000" w:themeColor="text1"/>
          <w:lang w:val="en-GB"/>
        </w:rPr>
        <w:t>-</w:t>
      </w:r>
      <w:r w:rsidRPr="00F35333">
        <w:rPr>
          <w:rFonts w:asciiTheme="majorBidi" w:hAnsiTheme="majorBidi" w:cstheme="majorBidi"/>
          <w:color w:val="000000" w:themeColor="text1"/>
          <w:lang w:val="en-GB"/>
        </w:rPr>
        <w:t>Wallis Test</w:t>
      </w:r>
      <w:r>
        <w:rPr>
          <w:rFonts w:asciiTheme="majorBidi" w:hAnsiTheme="majorBidi" w:cstheme="majorBidi"/>
          <w:color w:val="000000" w:themeColor="text1"/>
          <w:lang w:val="en-GB"/>
        </w:rPr>
        <w:t xml:space="preserve"> </w:t>
      </w:r>
      <w:r w:rsidR="00F35333" w:rsidRPr="00F35333">
        <w:rPr>
          <w:rFonts w:asciiTheme="majorBidi" w:hAnsiTheme="majorBidi" w:cstheme="majorBidi"/>
          <w:color w:val="000000" w:themeColor="text1"/>
          <w:lang w:val="en-GB"/>
        </w:rPr>
        <w:t>confirm that heavy metal concentrations vary significantly across the studied cities (</w:t>
      </w:r>
      <w:proofErr w:type="spellStart"/>
      <w:r w:rsidR="00F35333" w:rsidRPr="00F35333">
        <w:rPr>
          <w:rFonts w:asciiTheme="majorBidi" w:hAnsiTheme="majorBidi" w:cstheme="majorBidi"/>
          <w:color w:val="000000" w:themeColor="text1"/>
          <w:lang w:val="en-GB"/>
        </w:rPr>
        <w:t>p.adj</w:t>
      </w:r>
      <w:proofErr w:type="spellEnd"/>
      <w:r w:rsidR="00F35333" w:rsidRPr="00F35333">
        <w:rPr>
          <w:rFonts w:asciiTheme="majorBidi" w:hAnsiTheme="majorBidi" w:cstheme="majorBidi"/>
          <w:color w:val="000000" w:themeColor="text1"/>
          <w:lang w:val="en-GB"/>
        </w:rPr>
        <w:t xml:space="preserve"> &lt; 0.05), with large effect sizes (ε² ≥ 0.234), indicating substantial spatial differences (Table 2).</w:t>
      </w:r>
    </w:p>
    <w:p w14:paraId="5E451724" w14:textId="49FAB40F" w:rsidR="00BE6C96" w:rsidRPr="00F35333" w:rsidRDefault="00F35333" w:rsidP="00BE6C96">
      <w:pPr>
        <w:spacing w:line="360" w:lineRule="auto"/>
        <w:jc w:val="both"/>
        <w:rPr>
          <w:rFonts w:asciiTheme="majorBidi" w:hAnsiTheme="majorBidi" w:cstheme="majorBidi"/>
          <w:b/>
          <w:bCs/>
          <w:color w:val="000000" w:themeColor="text1"/>
          <w:lang w:val="en-GB"/>
        </w:rPr>
      </w:pPr>
      <w:r w:rsidRPr="00F35333">
        <w:rPr>
          <w:rFonts w:asciiTheme="majorBidi" w:hAnsiTheme="majorBidi" w:cstheme="majorBidi"/>
          <w:b/>
          <w:bCs/>
          <w:color w:val="000000" w:themeColor="text1"/>
          <w:u w:val="single"/>
          <w:lang w:val="en-GB"/>
        </w:rPr>
        <w:t>Table 2</w:t>
      </w:r>
      <w:r w:rsidRPr="00F35333">
        <w:rPr>
          <w:rFonts w:asciiTheme="majorBidi" w:hAnsiTheme="majorBidi" w:cstheme="majorBidi"/>
          <w:color w:val="000000" w:themeColor="text1"/>
          <w:lang w:val="en-GB"/>
        </w:rPr>
        <w:t>: Results of the Kruskal</w:t>
      </w:r>
      <w:r w:rsidR="00D55CE6">
        <w:rPr>
          <w:rFonts w:asciiTheme="majorBidi" w:hAnsiTheme="majorBidi" w:cstheme="majorBidi"/>
          <w:color w:val="000000" w:themeColor="text1"/>
          <w:lang w:val="en-GB"/>
        </w:rPr>
        <w:t>-</w:t>
      </w:r>
      <w:r w:rsidRPr="00F35333">
        <w:rPr>
          <w:rFonts w:asciiTheme="majorBidi" w:hAnsiTheme="majorBidi" w:cstheme="majorBidi"/>
          <w:color w:val="000000" w:themeColor="text1"/>
          <w:lang w:val="en-GB"/>
        </w:rPr>
        <w:t xml:space="preserve">Wallis Test </w:t>
      </w:r>
    </w:p>
    <w:tbl>
      <w:tblPr>
        <w:tblStyle w:val="PlainTable2"/>
        <w:tblW w:w="0" w:type="auto"/>
        <w:tblLook w:val="04A0" w:firstRow="1" w:lastRow="0" w:firstColumn="1" w:lastColumn="0" w:noHBand="0" w:noVBand="1"/>
      </w:tblPr>
      <w:tblGrid>
        <w:gridCol w:w="816"/>
        <w:gridCol w:w="1486"/>
        <w:gridCol w:w="550"/>
        <w:gridCol w:w="1607"/>
        <w:gridCol w:w="1630"/>
        <w:gridCol w:w="1600"/>
        <w:gridCol w:w="1337"/>
      </w:tblGrid>
      <w:tr w:rsidR="00BE6C96" w:rsidRPr="00955D3D" w14:paraId="29A33F9C" w14:textId="77777777" w:rsidTr="003101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95A1CA"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Métal</w:t>
            </w:r>
          </w:p>
        </w:tc>
        <w:tc>
          <w:tcPr>
            <w:tcW w:w="0" w:type="auto"/>
            <w:hideMark/>
          </w:tcPr>
          <w:p w14:paraId="566C7076" w14:textId="77777777"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Statistique χ²</w:t>
            </w:r>
          </w:p>
        </w:tc>
        <w:tc>
          <w:tcPr>
            <w:tcW w:w="0" w:type="auto"/>
            <w:hideMark/>
          </w:tcPr>
          <w:p w14:paraId="192353E8" w14:textId="77777777"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roofErr w:type="gramStart"/>
            <w:r w:rsidRPr="00955D3D">
              <w:rPr>
                <w:rFonts w:asciiTheme="majorBidi" w:hAnsiTheme="majorBidi" w:cstheme="majorBidi"/>
                <w:color w:val="000000" w:themeColor="text1"/>
              </w:rPr>
              <w:t>ddl</w:t>
            </w:r>
            <w:proofErr w:type="gramEnd"/>
          </w:p>
        </w:tc>
        <w:tc>
          <w:tcPr>
            <w:tcW w:w="0" w:type="auto"/>
            <w:hideMark/>
          </w:tcPr>
          <w:p w14:paraId="7B56BA7A" w14:textId="77777777"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roofErr w:type="gramStart"/>
            <w:r w:rsidRPr="00955D3D">
              <w:rPr>
                <w:rFonts w:asciiTheme="majorBidi" w:hAnsiTheme="majorBidi" w:cstheme="majorBidi"/>
                <w:color w:val="000000" w:themeColor="text1"/>
              </w:rPr>
              <w:t>p</w:t>
            </w:r>
            <w:proofErr w:type="gramEnd"/>
            <w:r w:rsidRPr="00955D3D">
              <w:rPr>
                <w:rFonts w:asciiTheme="majorBidi" w:hAnsiTheme="majorBidi" w:cstheme="majorBidi"/>
                <w:color w:val="000000" w:themeColor="text1"/>
              </w:rPr>
              <w:t>-valeur ajustée</w:t>
            </w:r>
          </w:p>
        </w:tc>
        <w:tc>
          <w:tcPr>
            <w:tcW w:w="0" w:type="auto"/>
            <w:hideMark/>
          </w:tcPr>
          <w:p w14:paraId="493CDA4C" w14:textId="77777777"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Significativité</w:t>
            </w:r>
          </w:p>
        </w:tc>
        <w:tc>
          <w:tcPr>
            <w:tcW w:w="0" w:type="auto"/>
            <w:hideMark/>
          </w:tcPr>
          <w:p w14:paraId="3E8F78BD" w14:textId="77777777"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roofErr w:type="gramStart"/>
            <w:r w:rsidRPr="00955D3D">
              <w:rPr>
                <w:rFonts w:asciiTheme="majorBidi" w:hAnsiTheme="majorBidi" w:cstheme="majorBidi"/>
                <w:color w:val="000000" w:themeColor="text1"/>
              </w:rPr>
              <w:t>ε</w:t>
            </w:r>
            <w:proofErr w:type="gramEnd"/>
            <w:r w:rsidRPr="00955D3D">
              <w:rPr>
                <w:rFonts w:asciiTheme="majorBidi" w:hAnsiTheme="majorBidi" w:cstheme="majorBidi"/>
                <w:color w:val="000000" w:themeColor="text1"/>
              </w:rPr>
              <w:t>² (taille d’effet)</w:t>
            </w:r>
          </w:p>
        </w:tc>
        <w:tc>
          <w:tcPr>
            <w:tcW w:w="0" w:type="auto"/>
            <w:hideMark/>
          </w:tcPr>
          <w:p w14:paraId="2117D06A" w14:textId="77777777"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Magnitude</w:t>
            </w:r>
          </w:p>
        </w:tc>
      </w:tr>
      <w:tr w:rsidR="00BE6C96" w:rsidRPr="00955D3D" w14:paraId="4115F390"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CC19FC" w14:textId="77777777" w:rsidR="00BE6C96" w:rsidRPr="00955D3D" w:rsidRDefault="00BE6C96" w:rsidP="0031013D">
            <w:pPr>
              <w:spacing w:line="360" w:lineRule="auto"/>
              <w:jc w:val="both"/>
              <w:rPr>
                <w:rFonts w:asciiTheme="majorBidi" w:hAnsiTheme="majorBidi" w:cstheme="majorBidi"/>
                <w:b w:val="0"/>
                <w:bCs w:val="0"/>
                <w:color w:val="000000" w:themeColor="text1"/>
              </w:rPr>
            </w:pPr>
            <w:r w:rsidRPr="00955D3D">
              <w:rPr>
                <w:rStyle w:val="Strong"/>
                <w:rFonts w:asciiTheme="majorBidi" w:eastAsiaTheme="majorEastAsia" w:hAnsiTheme="majorBidi"/>
                <w:color w:val="000000" w:themeColor="text1"/>
              </w:rPr>
              <w:t>As</w:t>
            </w:r>
          </w:p>
        </w:tc>
        <w:tc>
          <w:tcPr>
            <w:tcW w:w="0" w:type="auto"/>
            <w:hideMark/>
          </w:tcPr>
          <w:p w14:paraId="0F0DE258"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9.012</w:t>
            </w:r>
          </w:p>
        </w:tc>
        <w:tc>
          <w:tcPr>
            <w:tcW w:w="0" w:type="auto"/>
            <w:hideMark/>
          </w:tcPr>
          <w:p w14:paraId="22B0FEF2"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w:t>
            </w:r>
          </w:p>
        </w:tc>
        <w:tc>
          <w:tcPr>
            <w:tcW w:w="0" w:type="auto"/>
            <w:hideMark/>
          </w:tcPr>
          <w:p w14:paraId="7B314D7F"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0.011</w:t>
            </w:r>
          </w:p>
        </w:tc>
        <w:tc>
          <w:tcPr>
            <w:tcW w:w="0" w:type="auto"/>
            <w:hideMark/>
          </w:tcPr>
          <w:p w14:paraId="2D76FB32"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c>
          <w:tcPr>
            <w:tcW w:w="0" w:type="auto"/>
            <w:hideMark/>
          </w:tcPr>
          <w:p w14:paraId="488F82F5"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0.234</w:t>
            </w:r>
          </w:p>
        </w:tc>
        <w:tc>
          <w:tcPr>
            <w:tcW w:w="0" w:type="auto"/>
            <w:hideMark/>
          </w:tcPr>
          <w:p w14:paraId="449FCA05"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Large</w:t>
            </w:r>
          </w:p>
        </w:tc>
      </w:tr>
      <w:tr w:rsidR="00BE6C96" w:rsidRPr="00955D3D" w14:paraId="6A4D1D32"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022DBBAD"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Cd</w:t>
            </w:r>
          </w:p>
        </w:tc>
        <w:tc>
          <w:tcPr>
            <w:tcW w:w="0" w:type="auto"/>
            <w:hideMark/>
          </w:tcPr>
          <w:p w14:paraId="2F857F97"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17.924</w:t>
            </w:r>
          </w:p>
        </w:tc>
        <w:tc>
          <w:tcPr>
            <w:tcW w:w="0" w:type="auto"/>
            <w:hideMark/>
          </w:tcPr>
          <w:p w14:paraId="2F7C8FFC"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w:t>
            </w:r>
          </w:p>
        </w:tc>
        <w:tc>
          <w:tcPr>
            <w:tcW w:w="0" w:type="auto"/>
            <w:hideMark/>
          </w:tcPr>
          <w:p w14:paraId="58AC9601"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1.46e-04</w:t>
            </w:r>
          </w:p>
        </w:tc>
        <w:tc>
          <w:tcPr>
            <w:tcW w:w="0" w:type="auto"/>
            <w:hideMark/>
          </w:tcPr>
          <w:p w14:paraId="70038DEF"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c>
          <w:tcPr>
            <w:tcW w:w="0" w:type="auto"/>
            <w:hideMark/>
          </w:tcPr>
          <w:p w14:paraId="53690767"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0.531</w:t>
            </w:r>
          </w:p>
        </w:tc>
        <w:tc>
          <w:tcPr>
            <w:tcW w:w="0" w:type="auto"/>
            <w:hideMark/>
          </w:tcPr>
          <w:p w14:paraId="7F4DE4BD"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Large</w:t>
            </w:r>
          </w:p>
        </w:tc>
      </w:tr>
      <w:tr w:rsidR="00BE6C96" w:rsidRPr="00955D3D" w14:paraId="6F1B2A5C"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65EECB"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Cr</w:t>
            </w:r>
          </w:p>
        </w:tc>
        <w:tc>
          <w:tcPr>
            <w:tcW w:w="0" w:type="auto"/>
            <w:hideMark/>
          </w:tcPr>
          <w:p w14:paraId="00869D3E"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21.382</w:t>
            </w:r>
          </w:p>
        </w:tc>
        <w:tc>
          <w:tcPr>
            <w:tcW w:w="0" w:type="auto"/>
            <w:hideMark/>
          </w:tcPr>
          <w:p w14:paraId="474B0F8A"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w:t>
            </w:r>
          </w:p>
        </w:tc>
        <w:tc>
          <w:tcPr>
            <w:tcW w:w="0" w:type="auto"/>
            <w:hideMark/>
          </w:tcPr>
          <w:p w14:paraId="25A00DEF"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3.04e-05</w:t>
            </w:r>
          </w:p>
        </w:tc>
        <w:tc>
          <w:tcPr>
            <w:tcW w:w="0" w:type="auto"/>
            <w:hideMark/>
          </w:tcPr>
          <w:p w14:paraId="08433EE1"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c>
          <w:tcPr>
            <w:tcW w:w="0" w:type="auto"/>
            <w:hideMark/>
          </w:tcPr>
          <w:p w14:paraId="16CFE1EE"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0.646</w:t>
            </w:r>
          </w:p>
        </w:tc>
        <w:tc>
          <w:tcPr>
            <w:tcW w:w="0" w:type="auto"/>
            <w:hideMark/>
          </w:tcPr>
          <w:p w14:paraId="401B3709"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Large</w:t>
            </w:r>
          </w:p>
        </w:tc>
      </w:tr>
      <w:tr w:rsidR="00BE6C96" w:rsidRPr="00955D3D" w14:paraId="0D325B89"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00350050"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Cu</w:t>
            </w:r>
          </w:p>
        </w:tc>
        <w:tc>
          <w:tcPr>
            <w:tcW w:w="0" w:type="auto"/>
            <w:hideMark/>
          </w:tcPr>
          <w:p w14:paraId="0C59BE54"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21.710</w:t>
            </w:r>
          </w:p>
        </w:tc>
        <w:tc>
          <w:tcPr>
            <w:tcW w:w="0" w:type="auto"/>
            <w:hideMark/>
          </w:tcPr>
          <w:p w14:paraId="69E7580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w:t>
            </w:r>
          </w:p>
        </w:tc>
        <w:tc>
          <w:tcPr>
            <w:tcW w:w="0" w:type="auto"/>
            <w:hideMark/>
          </w:tcPr>
          <w:p w14:paraId="6B28357B"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3.04e-05</w:t>
            </w:r>
          </w:p>
        </w:tc>
        <w:tc>
          <w:tcPr>
            <w:tcW w:w="0" w:type="auto"/>
            <w:hideMark/>
          </w:tcPr>
          <w:p w14:paraId="0098AEC4"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c>
          <w:tcPr>
            <w:tcW w:w="0" w:type="auto"/>
            <w:hideMark/>
          </w:tcPr>
          <w:p w14:paraId="7C754B13"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0.657</w:t>
            </w:r>
          </w:p>
        </w:tc>
        <w:tc>
          <w:tcPr>
            <w:tcW w:w="0" w:type="auto"/>
            <w:hideMark/>
          </w:tcPr>
          <w:p w14:paraId="3ACE08BF"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Large</w:t>
            </w:r>
          </w:p>
        </w:tc>
      </w:tr>
      <w:tr w:rsidR="00BE6C96" w:rsidRPr="00955D3D" w14:paraId="5458A144"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EE4992"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Fe</w:t>
            </w:r>
          </w:p>
        </w:tc>
        <w:tc>
          <w:tcPr>
            <w:tcW w:w="0" w:type="auto"/>
            <w:hideMark/>
          </w:tcPr>
          <w:p w14:paraId="538945B9"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21.468</w:t>
            </w:r>
          </w:p>
        </w:tc>
        <w:tc>
          <w:tcPr>
            <w:tcW w:w="0" w:type="auto"/>
            <w:hideMark/>
          </w:tcPr>
          <w:p w14:paraId="5444A252"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w:t>
            </w:r>
          </w:p>
        </w:tc>
        <w:tc>
          <w:tcPr>
            <w:tcW w:w="0" w:type="auto"/>
            <w:hideMark/>
          </w:tcPr>
          <w:p w14:paraId="68141501"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3.04e-05</w:t>
            </w:r>
          </w:p>
        </w:tc>
        <w:tc>
          <w:tcPr>
            <w:tcW w:w="0" w:type="auto"/>
            <w:hideMark/>
          </w:tcPr>
          <w:p w14:paraId="6576B2CF"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c>
          <w:tcPr>
            <w:tcW w:w="0" w:type="auto"/>
            <w:hideMark/>
          </w:tcPr>
          <w:p w14:paraId="15B69B2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0.649</w:t>
            </w:r>
          </w:p>
        </w:tc>
        <w:tc>
          <w:tcPr>
            <w:tcW w:w="0" w:type="auto"/>
            <w:hideMark/>
          </w:tcPr>
          <w:p w14:paraId="196BB703"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Large</w:t>
            </w:r>
          </w:p>
        </w:tc>
      </w:tr>
      <w:tr w:rsidR="00BE6C96" w:rsidRPr="00955D3D" w14:paraId="1B10216D"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672F89DD"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Ni</w:t>
            </w:r>
          </w:p>
        </w:tc>
        <w:tc>
          <w:tcPr>
            <w:tcW w:w="0" w:type="auto"/>
            <w:hideMark/>
          </w:tcPr>
          <w:p w14:paraId="25C8CD29"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21.891</w:t>
            </w:r>
          </w:p>
        </w:tc>
        <w:tc>
          <w:tcPr>
            <w:tcW w:w="0" w:type="auto"/>
            <w:hideMark/>
          </w:tcPr>
          <w:p w14:paraId="23736AA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w:t>
            </w:r>
          </w:p>
        </w:tc>
        <w:tc>
          <w:tcPr>
            <w:tcW w:w="0" w:type="auto"/>
            <w:hideMark/>
          </w:tcPr>
          <w:p w14:paraId="1DCE2F9A"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3.04e-05</w:t>
            </w:r>
          </w:p>
        </w:tc>
        <w:tc>
          <w:tcPr>
            <w:tcW w:w="0" w:type="auto"/>
            <w:hideMark/>
          </w:tcPr>
          <w:p w14:paraId="0A04F89F"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c>
          <w:tcPr>
            <w:tcW w:w="0" w:type="auto"/>
            <w:hideMark/>
          </w:tcPr>
          <w:p w14:paraId="7BC29EC9"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0.663</w:t>
            </w:r>
          </w:p>
        </w:tc>
        <w:tc>
          <w:tcPr>
            <w:tcW w:w="0" w:type="auto"/>
            <w:hideMark/>
          </w:tcPr>
          <w:p w14:paraId="7452799B"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Large</w:t>
            </w:r>
          </w:p>
        </w:tc>
      </w:tr>
      <w:tr w:rsidR="00BE6C96" w:rsidRPr="00955D3D" w14:paraId="63B118D1"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DF1EA6"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Pb</w:t>
            </w:r>
          </w:p>
        </w:tc>
        <w:tc>
          <w:tcPr>
            <w:tcW w:w="0" w:type="auto"/>
            <w:hideMark/>
          </w:tcPr>
          <w:p w14:paraId="0EA7AE29"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21.468</w:t>
            </w:r>
          </w:p>
        </w:tc>
        <w:tc>
          <w:tcPr>
            <w:tcW w:w="0" w:type="auto"/>
            <w:hideMark/>
          </w:tcPr>
          <w:p w14:paraId="51D104EE"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w:t>
            </w:r>
          </w:p>
        </w:tc>
        <w:tc>
          <w:tcPr>
            <w:tcW w:w="0" w:type="auto"/>
            <w:hideMark/>
          </w:tcPr>
          <w:p w14:paraId="5AB6F47A"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3.04e-05</w:t>
            </w:r>
          </w:p>
        </w:tc>
        <w:tc>
          <w:tcPr>
            <w:tcW w:w="0" w:type="auto"/>
            <w:hideMark/>
          </w:tcPr>
          <w:p w14:paraId="37CDDA3E"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c>
          <w:tcPr>
            <w:tcW w:w="0" w:type="auto"/>
            <w:hideMark/>
          </w:tcPr>
          <w:p w14:paraId="6F3A41E8"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0.649</w:t>
            </w:r>
          </w:p>
        </w:tc>
        <w:tc>
          <w:tcPr>
            <w:tcW w:w="0" w:type="auto"/>
            <w:hideMark/>
          </w:tcPr>
          <w:p w14:paraId="28FF42C4"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Large</w:t>
            </w:r>
          </w:p>
        </w:tc>
      </w:tr>
      <w:tr w:rsidR="00BE6C96" w:rsidRPr="00955D3D" w14:paraId="759FA7D6"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1C11EBEF"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Zn</w:t>
            </w:r>
          </w:p>
        </w:tc>
        <w:tc>
          <w:tcPr>
            <w:tcW w:w="0" w:type="auto"/>
            <w:hideMark/>
          </w:tcPr>
          <w:p w14:paraId="7694F9C7"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21.468</w:t>
            </w:r>
          </w:p>
        </w:tc>
        <w:tc>
          <w:tcPr>
            <w:tcW w:w="0" w:type="auto"/>
            <w:hideMark/>
          </w:tcPr>
          <w:p w14:paraId="4C3F2BD9"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w:t>
            </w:r>
          </w:p>
        </w:tc>
        <w:tc>
          <w:tcPr>
            <w:tcW w:w="0" w:type="auto"/>
            <w:hideMark/>
          </w:tcPr>
          <w:p w14:paraId="2E81F4AE"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3.04e-05</w:t>
            </w:r>
          </w:p>
        </w:tc>
        <w:tc>
          <w:tcPr>
            <w:tcW w:w="0" w:type="auto"/>
            <w:hideMark/>
          </w:tcPr>
          <w:p w14:paraId="4A9490AD"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c>
          <w:tcPr>
            <w:tcW w:w="0" w:type="auto"/>
            <w:hideMark/>
          </w:tcPr>
          <w:p w14:paraId="407F120B"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0.649</w:t>
            </w:r>
          </w:p>
        </w:tc>
        <w:tc>
          <w:tcPr>
            <w:tcW w:w="0" w:type="auto"/>
            <w:hideMark/>
          </w:tcPr>
          <w:p w14:paraId="65E3F7A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Large</w:t>
            </w:r>
          </w:p>
        </w:tc>
      </w:tr>
    </w:tbl>
    <w:p w14:paraId="2CDA0094" w14:textId="77777777" w:rsidR="00D55CE6" w:rsidRDefault="00D55CE6" w:rsidP="00BE6C96">
      <w:pPr>
        <w:spacing w:line="360" w:lineRule="auto"/>
        <w:jc w:val="both"/>
        <w:rPr>
          <w:rFonts w:asciiTheme="majorBidi" w:hAnsiTheme="majorBidi" w:cstheme="majorBidi"/>
          <w:color w:val="000000" w:themeColor="text1"/>
          <w:lang w:val="en-GB"/>
        </w:rPr>
      </w:pPr>
    </w:p>
    <w:p w14:paraId="60761BF9" w14:textId="76E43BE0" w:rsidR="006D5AED" w:rsidRDefault="006D5AED" w:rsidP="00BE6C96">
      <w:pPr>
        <w:spacing w:line="360" w:lineRule="auto"/>
        <w:jc w:val="both"/>
        <w:rPr>
          <w:rFonts w:asciiTheme="majorBidi" w:hAnsiTheme="majorBidi" w:cstheme="majorBidi"/>
          <w:color w:val="000000" w:themeColor="text1"/>
          <w:lang w:val="en-GB"/>
        </w:rPr>
      </w:pPr>
      <w:r w:rsidRPr="006D5AED">
        <w:rPr>
          <w:rFonts w:asciiTheme="majorBidi" w:hAnsiTheme="majorBidi" w:cstheme="majorBidi"/>
          <w:color w:val="000000" w:themeColor="text1"/>
          <w:lang w:val="en-GB"/>
        </w:rPr>
        <w:t xml:space="preserve">The Kruskal–Wallis test (Table 2) indicates highly significant differences (p &lt; 0.001) for cadmium (Cd), chromium (Cr), copper (Cu), iron (Fe), nickel (Ni), lead (Pb), and zinc (Zn), all of which exhibit large effect sizes. Arsenic (As) shows moderately significant variation across cities. The Dunn post hoc tests reveal that, for most metals, concentrations in Cotonou and </w:t>
      </w:r>
      <w:proofErr w:type="spellStart"/>
      <w:r w:rsidRPr="006D5AED">
        <w:rPr>
          <w:rFonts w:asciiTheme="majorBidi" w:hAnsiTheme="majorBidi" w:cstheme="majorBidi"/>
          <w:color w:val="000000" w:themeColor="text1"/>
          <w:lang w:val="en-GB"/>
        </w:rPr>
        <w:t>Natitingou</w:t>
      </w:r>
      <w:proofErr w:type="spellEnd"/>
      <w:r w:rsidRPr="006D5AED">
        <w:rPr>
          <w:rFonts w:asciiTheme="majorBidi" w:hAnsiTheme="majorBidi" w:cstheme="majorBidi"/>
          <w:color w:val="000000" w:themeColor="text1"/>
          <w:lang w:val="en-GB"/>
        </w:rPr>
        <w:t xml:space="preserve"> are significantly higher than those recorded in Abomey-</w:t>
      </w:r>
      <w:proofErr w:type="spellStart"/>
      <w:r w:rsidRPr="006D5AED">
        <w:rPr>
          <w:rFonts w:asciiTheme="majorBidi" w:hAnsiTheme="majorBidi" w:cstheme="majorBidi"/>
          <w:color w:val="000000" w:themeColor="text1"/>
          <w:lang w:val="en-GB"/>
        </w:rPr>
        <w:t>Calavi</w:t>
      </w:r>
      <w:proofErr w:type="spellEnd"/>
      <w:r w:rsidRPr="006D5AED">
        <w:rPr>
          <w:rFonts w:asciiTheme="majorBidi" w:hAnsiTheme="majorBidi" w:cstheme="majorBidi"/>
          <w:color w:val="000000" w:themeColor="text1"/>
          <w:lang w:val="en-GB"/>
        </w:rPr>
        <w:t xml:space="preserve">, whereas no significant differences are observed between Cotonou and </w:t>
      </w:r>
      <w:proofErr w:type="spellStart"/>
      <w:r w:rsidRPr="006D5AED">
        <w:rPr>
          <w:rFonts w:asciiTheme="majorBidi" w:hAnsiTheme="majorBidi" w:cstheme="majorBidi"/>
          <w:color w:val="000000" w:themeColor="text1"/>
          <w:lang w:val="en-GB"/>
        </w:rPr>
        <w:t>Natitingou</w:t>
      </w:r>
      <w:proofErr w:type="spellEnd"/>
      <w:r w:rsidRPr="006D5AED">
        <w:rPr>
          <w:rFonts w:asciiTheme="majorBidi" w:hAnsiTheme="majorBidi" w:cstheme="majorBidi"/>
          <w:color w:val="000000" w:themeColor="text1"/>
          <w:lang w:val="en-GB"/>
        </w:rPr>
        <w:t>. This suggests comparable pollution levels in these two cities. Conversely, Abomey-</w:t>
      </w:r>
      <w:proofErr w:type="spellStart"/>
      <w:r w:rsidRPr="006D5AED">
        <w:rPr>
          <w:rFonts w:asciiTheme="majorBidi" w:hAnsiTheme="majorBidi" w:cstheme="majorBidi"/>
          <w:color w:val="000000" w:themeColor="text1"/>
          <w:lang w:val="en-GB"/>
        </w:rPr>
        <w:t>Calavi</w:t>
      </w:r>
      <w:proofErr w:type="spellEnd"/>
      <w:r w:rsidRPr="006D5AED">
        <w:rPr>
          <w:rFonts w:asciiTheme="majorBidi" w:hAnsiTheme="majorBidi" w:cstheme="majorBidi"/>
          <w:color w:val="000000" w:themeColor="text1"/>
          <w:lang w:val="en-GB"/>
        </w:rPr>
        <w:t xml:space="preserve"> appears to be the least contaminated location, although some exceedances (notably for Cd, Pb, and Fe) are still evident.</w:t>
      </w:r>
    </w:p>
    <w:p w14:paraId="7D427BA7" w14:textId="148733B5" w:rsidR="00BE6C96" w:rsidRPr="003D14F6" w:rsidRDefault="00BE6C96" w:rsidP="00BE6C96">
      <w:pPr>
        <w:spacing w:line="360" w:lineRule="auto"/>
        <w:jc w:val="both"/>
        <w:rPr>
          <w:rFonts w:asciiTheme="majorBidi" w:hAnsiTheme="majorBidi" w:cstheme="majorBidi"/>
          <w:color w:val="000000" w:themeColor="text1"/>
          <w:lang w:val="en-US"/>
        </w:rPr>
      </w:pPr>
      <w:r w:rsidRPr="00D55CE6">
        <w:rPr>
          <w:rFonts w:asciiTheme="majorBidi" w:hAnsiTheme="majorBidi" w:cstheme="majorBidi"/>
          <w:b/>
          <w:bCs/>
          <w:color w:val="000000" w:themeColor="text1"/>
          <w:u w:val="single"/>
          <w:lang w:val="en-US"/>
        </w:rPr>
        <w:t>Table</w:t>
      </w:r>
      <w:r w:rsidR="00D55CE6">
        <w:rPr>
          <w:rFonts w:asciiTheme="majorBidi" w:hAnsiTheme="majorBidi" w:cstheme="majorBidi"/>
          <w:b/>
          <w:bCs/>
          <w:color w:val="000000" w:themeColor="text1"/>
          <w:u w:val="single"/>
          <w:lang w:val="en-US"/>
        </w:rPr>
        <w:t xml:space="preserve"> </w:t>
      </w:r>
      <w:proofErr w:type="gramStart"/>
      <w:r w:rsidRPr="00D55CE6">
        <w:rPr>
          <w:rFonts w:asciiTheme="majorBidi" w:hAnsiTheme="majorBidi" w:cstheme="majorBidi"/>
          <w:b/>
          <w:bCs/>
          <w:color w:val="000000" w:themeColor="text1"/>
          <w:u w:val="single"/>
          <w:lang w:val="en-US"/>
        </w:rPr>
        <w:t>3</w:t>
      </w:r>
      <w:r w:rsidRPr="00D55CE6">
        <w:rPr>
          <w:rFonts w:asciiTheme="majorBidi" w:hAnsiTheme="majorBidi" w:cstheme="majorBidi"/>
          <w:b/>
          <w:bCs/>
          <w:color w:val="000000" w:themeColor="text1"/>
          <w:lang w:val="en-US"/>
        </w:rPr>
        <w:t> :</w:t>
      </w:r>
      <w:proofErr w:type="gramEnd"/>
      <w:r w:rsidRPr="00D55CE6">
        <w:rPr>
          <w:rFonts w:asciiTheme="majorBidi" w:hAnsiTheme="majorBidi" w:cstheme="majorBidi"/>
          <w:b/>
          <w:bCs/>
          <w:color w:val="000000" w:themeColor="text1"/>
          <w:lang w:val="en-US"/>
        </w:rPr>
        <w:t xml:space="preserve"> </w:t>
      </w:r>
      <w:r w:rsidR="00347FB3">
        <w:rPr>
          <w:rFonts w:asciiTheme="majorBidi" w:hAnsiTheme="majorBidi" w:cstheme="majorBidi"/>
          <w:color w:val="000000" w:themeColor="text1"/>
          <w:lang w:val="en-US"/>
        </w:rPr>
        <w:t>Variation of Heavy metal concentration among the studied cities</w:t>
      </w:r>
      <w:r w:rsidR="00D55CE6" w:rsidRPr="003D14F6">
        <w:rPr>
          <w:rFonts w:asciiTheme="majorBidi" w:hAnsiTheme="majorBidi" w:cstheme="majorBidi"/>
          <w:color w:val="000000" w:themeColor="text1"/>
          <w:lang w:val="en-US"/>
        </w:rPr>
        <w:t xml:space="preserve"> </w:t>
      </w:r>
    </w:p>
    <w:tbl>
      <w:tblPr>
        <w:tblStyle w:val="PlainTable2"/>
        <w:tblW w:w="0" w:type="auto"/>
        <w:tblLook w:val="04A0" w:firstRow="1" w:lastRow="0" w:firstColumn="1" w:lastColumn="0" w:noHBand="0" w:noVBand="1"/>
      </w:tblPr>
      <w:tblGrid>
        <w:gridCol w:w="816"/>
        <w:gridCol w:w="3109"/>
        <w:gridCol w:w="1263"/>
        <w:gridCol w:w="1177"/>
        <w:gridCol w:w="1456"/>
      </w:tblGrid>
      <w:tr w:rsidR="00BE6C96" w:rsidRPr="00955D3D" w14:paraId="441499F8" w14:textId="77777777" w:rsidTr="003101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8EC17B" w14:textId="6949C1FD" w:rsidR="00BE6C96" w:rsidRPr="00955D3D" w:rsidRDefault="00BE6C96" w:rsidP="0031013D">
            <w:pPr>
              <w:spacing w:line="360" w:lineRule="auto"/>
              <w:jc w:val="both"/>
              <w:rPr>
                <w:rFonts w:asciiTheme="majorBidi" w:hAnsiTheme="majorBidi" w:cstheme="majorBidi"/>
                <w:color w:val="000000" w:themeColor="text1"/>
              </w:rPr>
            </w:pPr>
            <w:proofErr w:type="spellStart"/>
            <w:r w:rsidRPr="00955D3D">
              <w:rPr>
                <w:rFonts w:asciiTheme="majorBidi" w:hAnsiTheme="majorBidi" w:cstheme="majorBidi"/>
                <w:color w:val="000000" w:themeColor="text1"/>
              </w:rPr>
              <w:t>M</w:t>
            </w:r>
            <w:r w:rsidR="00D55CE6">
              <w:rPr>
                <w:rFonts w:asciiTheme="majorBidi" w:hAnsiTheme="majorBidi" w:cstheme="majorBidi"/>
                <w:color w:val="000000" w:themeColor="text1"/>
              </w:rPr>
              <w:t>e</w:t>
            </w:r>
            <w:r w:rsidRPr="00955D3D">
              <w:rPr>
                <w:rFonts w:asciiTheme="majorBidi" w:hAnsiTheme="majorBidi" w:cstheme="majorBidi"/>
                <w:color w:val="000000" w:themeColor="text1"/>
              </w:rPr>
              <w:t>tal</w:t>
            </w:r>
            <w:proofErr w:type="spellEnd"/>
          </w:p>
        </w:tc>
        <w:tc>
          <w:tcPr>
            <w:tcW w:w="0" w:type="auto"/>
            <w:hideMark/>
          </w:tcPr>
          <w:p w14:paraId="51A189CA" w14:textId="77777777"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Comparaison</w:t>
            </w:r>
          </w:p>
        </w:tc>
        <w:tc>
          <w:tcPr>
            <w:tcW w:w="0" w:type="auto"/>
            <w:hideMark/>
          </w:tcPr>
          <w:p w14:paraId="3D2FD8D5" w14:textId="0A60DDC0"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roofErr w:type="spellStart"/>
            <w:r w:rsidRPr="00955D3D">
              <w:rPr>
                <w:rFonts w:asciiTheme="majorBidi" w:hAnsiTheme="majorBidi" w:cstheme="majorBidi"/>
                <w:color w:val="000000" w:themeColor="text1"/>
              </w:rPr>
              <w:t>Statisti</w:t>
            </w:r>
            <w:r w:rsidR="00D55CE6">
              <w:rPr>
                <w:rFonts w:asciiTheme="majorBidi" w:hAnsiTheme="majorBidi" w:cstheme="majorBidi"/>
                <w:color w:val="000000" w:themeColor="text1"/>
              </w:rPr>
              <w:t>c</w:t>
            </w:r>
            <w:proofErr w:type="spellEnd"/>
            <w:r w:rsidRPr="00955D3D">
              <w:rPr>
                <w:rFonts w:asciiTheme="majorBidi" w:hAnsiTheme="majorBidi" w:cstheme="majorBidi"/>
                <w:color w:val="000000" w:themeColor="text1"/>
              </w:rPr>
              <w:t xml:space="preserve"> Z</w:t>
            </w:r>
          </w:p>
        </w:tc>
        <w:tc>
          <w:tcPr>
            <w:tcW w:w="0" w:type="auto"/>
            <w:hideMark/>
          </w:tcPr>
          <w:p w14:paraId="6F9E4409" w14:textId="4DF225B4"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roofErr w:type="gramStart"/>
            <w:r w:rsidRPr="00955D3D">
              <w:rPr>
                <w:rFonts w:asciiTheme="majorBidi" w:hAnsiTheme="majorBidi" w:cstheme="majorBidi"/>
                <w:color w:val="000000" w:themeColor="text1"/>
              </w:rPr>
              <w:t>p</w:t>
            </w:r>
            <w:proofErr w:type="gramEnd"/>
            <w:r w:rsidRPr="00955D3D">
              <w:rPr>
                <w:rFonts w:asciiTheme="majorBidi" w:hAnsiTheme="majorBidi" w:cstheme="majorBidi"/>
                <w:color w:val="000000" w:themeColor="text1"/>
              </w:rPr>
              <w:t>-</w:t>
            </w:r>
            <w:proofErr w:type="spellStart"/>
            <w:r w:rsidRPr="00955D3D">
              <w:rPr>
                <w:rFonts w:asciiTheme="majorBidi" w:hAnsiTheme="majorBidi" w:cstheme="majorBidi"/>
                <w:color w:val="000000" w:themeColor="text1"/>
              </w:rPr>
              <w:t>ajust</w:t>
            </w:r>
            <w:r w:rsidR="00D55CE6">
              <w:rPr>
                <w:rFonts w:asciiTheme="majorBidi" w:hAnsiTheme="majorBidi" w:cstheme="majorBidi"/>
                <w:color w:val="000000" w:themeColor="text1"/>
              </w:rPr>
              <w:t>ed</w:t>
            </w:r>
            <w:proofErr w:type="spellEnd"/>
          </w:p>
        </w:tc>
        <w:tc>
          <w:tcPr>
            <w:tcW w:w="0" w:type="auto"/>
            <w:hideMark/>
          </w:tcPr>
          <w:p w14:paraId="25A4F340" w14:textId="355285DC"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roofErr w:type="spellStart"/>
            <w:r w:rsidRPr="00955D3D">
              <w:rPr>
                <w:rFonts w:asciiTheme="majorBidi" w:hAnsiTheme="majorBidi" w:cstheme="majorBidi"/>
                <w:color w:val="000000" w:themeColor="text1"/>
              </w:rPr>
              <w:t>Significa</w:t>
            </w:r>
            <w:r w:rsidR="00D55CE6">
              <w:rPr>
                <w:rFonts w:asciiTheme="majorBidi" w:hAnsiTheme="majorBidi" w:cstheme="majorBidi"/>
                <w:color w:val="000000" w:themeColor="text1"/>
              </w:rPr>
              <w:t>nce</w:t>
            </w:r>
            <w:proofErr w:type="spellEnd"/>
          </w:p>
        </w:tc>
      </w:tr>
      <w:tr w:rsidR="00BE6C96" w:rsidRPr="00955D3D" w14:paraId="58CBD445"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639004" w14:textId="77777777" w:rsidR="00BE6C96" w:rsidRPr="00955D3D" w:rsidRDefault="00BE6C96" w:rsidP="0031013D">
            <w:pPr>
              <w:spacing w:line="360" w:lineRule="auto"/>
              <w:jc w:val="both"/>
              <w:rPr>
                <w:rFonts w:asciiTheme="majorBidi" w:hAnsiTheme="majorBidi" w:cstheme="majorBidi"/>
                <w:b w:val="0"/>
                <w:bCs w:val="0"/>
                <w:color w:val="000000" w:themeColor="text1"/>
              </w:rPr>
            </w:pPr>
            <w:r w:rsidRPr="00955D3D">
              <w:rPr>
                <w:rStyle w:val="Strong"/>
                <w:rFonts w:asciiTheme="majorBidi" w:eastAsiaTheme="majorEastAsia" w:hAnsiTheme="majorBidi"/>
                <w:color w:val="000000" w:themeColor="text1"/>
              </w:rPr>
              <w:t>As</w:t>
            </w:r>
          </w:p>
        </w:tc>
        <w:tc>
          <w:tcPr>
            <w:tcW w:w="0" w:type="auto"/>
            <w:hideMark/>
          </w:tcPr>
          <w:p w14:paraId="3798C9E3"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Abomey-Calavi vs Cotonou</w:t>
            </w:r>
          </w:p>
        </w:tc>
        <w:tc>
          <w:tcPr>
            <w:tcW w:w="0" w:type="auto"/>
            <w:hideMark/>
          </w:tcPr>
          <w:p w14:paraId="7B85DA89"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2.141</w:t>
            </w:r>
          </w:p>
        </w:tc>
        <w:tc>
          <w:tcPr>
            <w:tcW w:w="0" w:type="auto"/>
            <w:hideMark/>
          </w:tcPr>
          <w:p w14:paraId="591DA823"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0.048</w:t>
            </w:r>
          </w:p>
        </w:tc>
        <w:tc>
          <w:tcPr>
            <w:tcW w:w="0" w:type="auto"/>
            <w:hideMark/>
          </w:tcPr>
          <w:p w14:paraId="61C835FB"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r>
      <w:tr w:rsidR="00BE6C96" w:rsidRPr="00955D3D" w14:paraId="01E9DB24"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1E9B3F19" w14:textId="77777777" w:rsidR="00BE6C96" w:rsidRPr="00955D3D" w:rsidRDefault="00BE6C96" w:rsidP="0031013D">
            <w:pPr>
              <w:spacing w:line="360" w:lineRule="auto"/>
              <w:jc w:val="both"/>
              <w:rPr>
                <w:rFonts w:asciiTheme="majorBidi" w:hAnsiTheme="majorBidi" w:cstheme="majorBidi"/>
                <w:color w:val="000000" w:themeColor="text1"/>
              </w:rPr>
            </w:pPr>
          </w:p>
        </w:tc>
        <w:tc>
          <w:tcPr>
            <w:tcW w:w="0" w:type="auto"/>
            <w:hideMark/>
          </w:tcPr>
          <w:p w14:paraId="44D0685D"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Abomey-Calavi vs Natitingou</w:t>
            </w:r>
          </w:p>
        </w:tc>
        <w:tc>
          <w:tcPr>
            <w:tcW w:w="0" w:type="auto"/>
            <w:hideMark/>
          </w:tcPr>
          <w:p w14:paraId="0A40A02A"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2.633</w:t>
            </w:r>
          </w:p>
        </w:tc>
        <w:tc>
          <w:tcPr>
            <w:tcW w:w="0" w:type="auto"/>
            <w:hideMark/>
          </w:tcPr>
          <w:p w14:paraId="6C4D1FB5"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0.025</w:t>
            </w:r>
          </w:p>
        </w:tc>
        <w:tc>
          <w:tcPr>
            <w:tcW w:w="0" w:type="auto"/>
            <w:hideMark/>
          </w:tcPr>
          <w:p w14:paraId="65C64249"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r>
      <w:tr w:rsidR="00BE6C96" w:rsidRPr="00955D3D" w14:paraId="798595AE"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88A7C8" w14:textId="77777777" w:rsidR="00BE6C96" w:rsidRPr="00955D3D" w:rsidRDefault="00BE6C96" w:rsidP="0031013D">
            <w:pPr>
              <w:spacing w:line="360" w:lineRule="auto"/>
              <w:jc w:val="both"/>
              <w:rPr>
                <w:rFonts w:asciiTheme="majorBidi" w:hAnsiTheme="majorBidi" w:cstheme="majorBidi"/>
                <w:color w:val="000000" w:themeColor="text1"/>
              </w:rPr>
            </w:pPr>
          </w:p>
        </w:tc>
        <w:tc>
          <w:tcPr>
            <w:tcW w:w="0" w:type="auto"/>
            <w:hideMark/>
          </w:tcPr>
          <w:p w14:paraId="2C9963E0"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Cotonou vs Natitingou</w:t>
            </w:r>
          </w:p>
        </w:tc>
        <w:tc>
          <w:tcPr>
            <w:tcW w:w="0" w:type="auto"/>
            <w:hideMark/>
          </w:tcPr>
          <w:p w14:paraId="13994609"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1.396</w:t>
            </w:r>
          </w:p>
        </w:tc>
        <w:tc>
          <w:tcPr>
            <w:tcW w:w="0" w:type="auto"/>
            <w:hideMark/>
          </w:tcPr>
          <w:p w14:paraId="7A207E4D"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0.163</w:t>
            </w:r>
          </w:p>
        </w:tc>
        <w:tc>
          <w:tcPr>
            <w:tcW w:w="0" w:type="auto"/>
            <w:hideMark/>
          </w:tcPr>
          <w:p w14:paraId="4B9A4CEA"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roofErr w:type="gramStart"/>
            <w:r w:rsidRPr="00955D3D">
              <w:rPr>
                <w:rFonts w:asciiTheme="majorBidi" w:hAnsiTheme="majorBidi" w:cstheme="majorBidi"/>
                <w:color w:val="000000" w:themeColor="text1"/>
              </w:rPr>
              <w:t>ns</w:t>
            </w:r>
            <w:proofErr w:type="gramEnd"/>
          </w:p>
        </w:tc>
      </w:tr>
      <w:tr w:rsidR="00BE6C96" w:rsidRPr="00955D3D" w14:paraId="10C3F5CE"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14CC2AE6"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Cd</w:t>
            </w:r>
          </w:p>
        </w:tc>
        <w:tc>
          <w:tcPr>
            <w:tcW w:w="0" w:type="auto"/>
            <w:hideMark/>
          </w:tcPr>
          <w:p w14:paraId="7796889A"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Abomey-Calavi vs Cotonou</w:t>
            </w:r>
          </w:p>
        </w:tc>
        <w:tc>
          <w:tcPr>
            <w:tcW w:w="0" w:type="auto"/>
            <w:hideMark/>
          </w:tcPr>
          <w:p w14:paraId="65036DFC"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4.211</w:t>
            </w:r>
          </w:p>
        </w:tc>
        <w:tc>
          <w:tcPr>
            <w:tcW w:w="0" w:type="auto"/>
            <w:hideMark/>
          </w:tcPr>
          <w:p w14:paraId="4F9F4811"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&lt;0.001</w:t>
            </w:r>
          </w:p>
        </w:tc>
        <w:tc>
          <w:tcPr>
            <w:tcW w:w="0" w:type="auto"/>
            <w:hideMark/>
          </w:tcPr>
          <w:p w14:paraId="2C9CA71E"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r>
      <w:tr w:rsidR="00BE6C96" w:rsidRPr="00955D3D" w14:paraId="321E58FA"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B99363" w14:textId="77777777" w:rsidR="00BE6C96" w:rsidRPr="00955D3D" w:rsidRDefault="00BE6C96" w:rsidP="0031013D">
            <w:pPr>
              <w:spacing w:line="360" w:lineRule="auto"/>
              <w:jc w:val="both"/>
              <w:rPr>
                <w:rFonts w:asciiTheme="majorBidi" w:hAnsiTheme="majorBidi" w:cstheme="majorBidi"/>
                <w:color w:val="000000" w:themeColor="text1"/>
              </w:rPr>
            </w:pPr>
          </w:p>
        </w:tc>
        <w:tc>
          <w:tcPr>
            <w:tcW w:w="0" w:type="auto"/>
            <w:hideMark/>
          </w:tcPr>
          <w:p w14:paraId="1258159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Abomey-Calavi vs Natitingou</w:t>
            </w:r>
          </w:p>
        </w:tc>
        <w:tc>
          <w:tcPr>
            <w:tcW w:w="0" w:type="auto"/>
            <w:hideMark/>
          </w:tcPr>
          <w:p w14:paraId="5841B093"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0.796</w:t>
            </w:r>
          </w:p>
        </w:tc>
        <w:tc>
          <w:tcPr>
            <w:tcW w:w="0" w:type="auto"/>
            <w:hideMark/>
          </w:tcPr>
          <w:p w14:paraId="6B1FEC5D"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0.426</w:t>
            </w:r>
          </w:p>
        </w:tc>
        <w:tc>
          <w:tcPr>
            <w:tcW w:w="0" w:type="auto"/>
            <w:hideMark/>
          </w:tcPr>
          <w:p w14:paraId="42BB9A61"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roofErr w:type="gramStart"/>
            <w:r w:rsidRPr="00955D3D">
              <w:rPr>
                <w:rFonts w:asciiTheme="majorBidi" w:hAnsiTheme="majorBidi" w:cstheme="majorBidi"/>
                <w:color w:val="000000" w:themeColor="text1"/>
              </w:rPr>
              <w:t>ns</w:t>
            </w:r>
            <w:proofErr w:type="gramEnd"/>
          </w:p>
        </w:tc>
      </w:tr>
      <w:tr w:rsidR="00BE6C96" w:rsidRPr="00955D3D" w14:paraId="59849F3B"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51482B36" w14:textId="77777777" w:rsidR="00BE6C96" w:rsidRPr="00955D3D" w:rsidRDefault="00BE6C96" w:rsidP="0031013D">
            <w:pPr>
              <w:spacing w:line="360" w:lineRule="auto"/>
              <w:jc w:val="both"/>
              <w:rPr>
                <w:rFonts w:asciiTheme="majorBidi" w:hAnsiTheme="majorBidi" w:cstheme="majorBidi"/>
                <w:color w:val="000000" w:themeColor="text1"/>
              </w:rPr>
            </w:pPr>
          </w:p>
        </w:tc>
        <w:tc>
          <w:tcPr>
            <w:tcW w:w="0" w:type="auto"/>
            <w:hideMark/>
          </w:tcPr>
          <w:p w14:paraId="58AE9FE4"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Cotonou vs Natitingou</w:t>
            </w:r>
          </w:p>
        </w:tc>
        <w:tc>
          <w:tcPr>
            <w:tcW w:w="0" w:type="auto"/>
            <w:hideMark/>
          </w:tcPr>
          <w:p w14:paraId="3E38CF89"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-1.635</w:t>
            </w:r>
          </w:p>
        </w:tc>
        <w:tc>
          <w:tcPr>
            <w:tcW w:w="0" w:type="auto"/>
            <w:hideMark/>
          </w:tcPr>
          <w:p w14:paraId="247E8F37"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0.153</w:t>
            </w:r>
          </w:p>
        </w:tc>
        <w:tc>
          <w:tcPr>
            <w:tcW w:w="0" w:type="auto"/>
            <w:hideMark/>
          </w:tcPr>
          <w:p w14:paraId="2648FFA8"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roofErr w:type="gramStart"/>
            <w:r w:rsidRPr="00955D3D">
              <w:rPr>
                <w:rFonts w:asciiTheme="majorBidi" w:hAnsiTheme="majorBidi" w:cstheme="majorBidi"/>
                <w:color w:val="000000" w:themeColor="text1"/>
              </w:rPr>
              <w:t>ns</w:t>
            </w:r>
            <w:proofErr w:type="gramEnd"/>
          </w:p>
        </w:tc>
      </w:tr>
      <w:tr w:rsidR="00BE6C96" w:rsidRPr="00955D3D" w14:paraId="3FB20D06"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DD740C"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Cr</w:t>
            </w:r>
          </w:p>
        </w:tc>
        <w:tc>
          <w:tcPr>
            <w:tcW w:w="0" w:type="auto"/>
            <w:hideMark/>
          </w:tcPr>
          <w:p w14:paraId="7DB9D37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Abomey-Calavi vs Cotonou</w:t>
            </w:r>
          </w:p>
        </w:tc>
        <w:tc>
          <w:tcPr>
            <w:tcW w:w="0" w:type="auto"/>
            <w:hideMark/>
          </w:tcPr>
          <w:p w14:paraId="5CF34829"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-3.801</w:t>
            </w:r>
          </w:p>
        </w:tc>
        <w:tc>
          <w:tcPr>
            <w:tcW w:w="0" w:type="auto"/>
            <w:hideMark/>
          </w:tcPr>
          <w:p w14:paraId="7C244081"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&lt;0.001</w:t>
            </w:r>
          </w:p>
        </w:tc>
        <w:tc>
          <w:tcPr>
            <w:tcW w:w="0" w:type="auto"/>
            <w:hideMark/>
          </w:tcPr>
          <w:p w14:paraId="15CB9F7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r>
      <w:tr w:rsidR="00BE6C96" w:rsidRPr="00955D3D" w14:paraId="6FD00B6B"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2CAA62C4" w14:textId="77777777" w:rsidR="00BE6C96" w:rsidRPr="00955D3D" w:rsidRDefault="00BE6C96" w:rsidP="0031013D">
            <w:pPr>
              <w:spacing w:line="360" w:lineRule="auto"/>
              <w:jc w:val="both"/>
              <w:rPr>
                <w:rFonts w:asciiTheme="majorBidi" w:hAnsiTheme="majorBidi" w:cstheme="majorBidi"/>
                <w:color w:val="000000" w:themeColor="text1"/>
              </w:rPr>
            </w:pPr>
          </w:p>
        </w:tc>
        <w:tc>
          <w:tcPr>
            <w:tcW w:w="0" w:type="auto"/>
            <w:hideMark/>
          </w:tcPr>
          <w:p w14:paraId="1F9BCCE6"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Abomey-Calavi vs Natitingou</w:t>
            </w:r>
          </w:p>
        </w:tc>
        <w:tc>
          <w:tcPr>
            <w:tcW w:w="0" w:type="auto"/>
            <w:hideMark/>
          </w:tcPr>
          <w:p w14:paraId="37106946"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-3.619</w:t>
            </w:r>
          </w:p>
        </w:tc>
        <w:tc>
          <w:tcPr>
            <w:tcW w:w="0" w:type="auto"/>
            <w:hideMark/>
          </w:tcPr>
          <w:p w14:paraId="0BA3747B"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&lt;0.001</w:t>
            </w:r>
          </w:p>
        </w:tc>
        <w:tc>
          <w:tcPr>
            <w:tcW w:w="0" w:type="auto"/>
            <w:hideMark/>
          </w:tcPr>
          <w:p w14:paraId="18B84231"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r>
      <w:tr w:rsidR="00BE6C96" w:rsidRPr="00955D3D" w14:paraId="59F5C8D8"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52FBDD" w14:textId="77777777" w:rsidR="00BE6C96" w:rsidRPr="00955D3D" w:rsidRDefault="00BE6C96" w:rsidP="0031013D">
            <w:pPr>
              <w:spacing w:line="360" w:lineRule="auto"/>
              <w:jc w:val="both"/>
              <w:rPr>
                <w:rFonts w:asciiTheme="majorBidi" w:hAnsiTheme="majorBidi" w:cstheme="majorBidi"/>
                <w:color w:val="000000" w:themeColor="text1"/>
              </w:rPr>
            </w:pPr>
          </w:p>
        </w:tc>
        <w:tc>
          <w:tcPr>
            <w:tcW w:w="0" w:type="auto"/>
            <w:hideMark/>
          </w:tcPr>
          <w:p w14:paraId="599507A7"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Cotonou vs Natitingou</w:t>
            </w:r>
          </w:p>
        </w:tc>
        <w:tc>
          <w:tcPr>
            <w:tcW w:w="0" w:type="auto"/>
            <w:hideMark/>
          </w:tcPr>
          <w:p w14:paraId="45537E9D"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-1.425</w:t>
            </w:r>
          </w:p>
        </w:tc>
        <w:tc>
          <w:tcPr>
            <w:tcW w:w="0" w:type="auto"/>
            <w:hideMark/>
          </w:tcPr>
          <w:p w14:paraId="2F2D2AE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0.154</w:t>
            </w:r>
          </w:p>
        </w:tc>
        <w:tc>
          <w:tcPr>
            <w:tcW w:w="0" w:type="auto"/>
            <w:hideMark/>
          </w:tcPr>
          <w:p w14:paraId="72D46A0F"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roofErr w:type="gramStart"/>
            <w:r w:rsidRPr="00955D3D">
              <w:rPr>
                <w:rFonts w:asciiTheme="majorBidi" w:hAnsiTheme="majorBidi" w:cstheme="majorBidi"/>
                <w:color w:val="000000" w:themeColor="text1"/>
              </w:rPr>
              <w:t>ns</w:t>
            </w:r>
            <w:proofErr w:type="gramEnd"/>
          </w:p>
        </w:tc>
      </w:tr>
      <w:tr w:rsidR="00BE6C96" w:rsidRPr="00955D3D" w14:paraId="43D52F70"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4526E900"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Cu</w:t>
            </w:r>
          </w:p>
        </w:tc>
        <w:tc>
          <w:tcPr>
            <w:tcW w:w="0" w:type="auto"/>
            <w:hideMark/>
          </w:tcPr>
          <w:p w14:paraId="00C5796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Abomey-Calavi vs Cotonou</w:t>
            </w:r>
          </w:p>
        </w:tc>
        <w:tc>
          <w:tcPr>
            <w:tcW w:w="0" w:type="auto"/>
            <w:hideMark/>
          </w:tcPr>
          <w:p w14:paraId="32CDF938"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3.754</w:t>
            </w:r>
          </w:p>
        </w:tc>
        <w:tc>
          <w:tcPr>
            <w:tcW w:w="0" w:type="auto"/>
            <w:hideMark/>
          </w:tcPr>
          <w:p w14:paraId="22DEACAB"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&lt;0.001</w:t>
            </w:r>
          </w:p>
        </w:tc>
        <w:tc>
          <w:tcPr>
            <w:tcW w:w="0" w:type="auto"/>
            <w:hideMark/>
          </w:tcPr>
          <w:p w14:paraId="5392DA7F"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r>
      <w:tr w:rsidR="00BE6C96" w:rsidRPr="00955D3D" w14:paraId="15C112D1"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89B00E" w14:textId="77777777" w:rsidR="00BE6C96" w:rsidRPr="00955D3D" w:rsidRDefault="00BE6C96" w:rsidP="0031013D">
            <w:pPr>
              <w:spacing w:line="360" w:lineRule="auto"/>
              <w:jc w:val="both"/>
              <w:rPr>
                <w:rFonts w:asciiTheme="majorBidi" w:hAnsiTheme="majorBidi" w:cstheme="majorBidi"/>
                <w:color w:val="000000" w:themeColor="text1"/>
              </w:rPr>
            </w:pPr>
          </w:p>
        </w:tc>
        <w:tc>
          <w:tcPr>
            <w:tcW w:w="0" w:type="auto"/>
            <w:hideMark/>
          </w:tcPr>
          <w:p w14:paraId="1133F729"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Abomey-Calavi vs Natitingou</w:t>
            </w:r>
          </w:p>
        </w:tc>
        <w:tc>
          <w:tcPr>
            <w:tcW w:w="0" w:type="auto"/>
            <w:hideMark/>
          </w:tcPr>
          <w:p w14:paraId="119D8CDB"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3.726</w:t>
            </w:r>
          </w:p>
        </w:tc>
        <w:tc>
          <w:tcPr>
            <w:tcW w:w="0" w:type="auto"/>
            <w:hideMark/>
          </w:tcPr>
          <w:p w14:paraId="6431606F"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&lt;0.001</w:t>
            </w:r>
          </w:p>
        </w:tc>
        <w:tc>
          <w:tcPr>
            <w:tcW w:w="0" w:type="auto"/>
            <w:hideMark/>
          </w:tcPr>
          <w:p w14:paraId="554D68FA"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r>
      <w:tr w:rsidR="00BE6C96" w:rsidRPr="00955D3D" w14:paraId="2B3234B4"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2AFBA728" w14:textId="77777777" w:rsidR="00BE6C96" w:rsidRPr="00955D3D" w:rsidRDefault="00BE6C96" w:rsidP="0031013D">
            <w:pPr>
              <w:spacing w:line="360" w:lineRule="auto"/>
              <w:jc w:val="both"/>
              <w:rPr>
                <w:rFonts w:asciiTheme="majorBidi" w:hAnsiTheme="majorBidi" w:cstheme="majorBidi"/>
                <w:color w:val="000000" w:themeColor="text1"/>
              </w:rPr>
            </w:pPr>
          </w:p>
        </w:tc>
        <w:tc>
          <w:tcPr>
            <w:tcW w:w="0" w:type="auto"/>
            <w:hideMark/>
          </w:tcPr>
          <w:p w14:paraId="13486B19"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Cotonou vs Natitingou</w:t>
            </w:r>
          </w:p>
        </w:tc>
        <w:tc>
          <w:tcPr>
            <w:tcW w:w="0" w:type="auto"/>
            <w:hideMark/>
          </w:tcPr>
          <w:p w14:paraId="5C414F15"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1.559</w:t>
            </w:r>
          </w:p>
        </w:tc>
        <w:tc>
          <w:tcPr>
            <w:tcW w:w="0" w:type="auto"/>
            <w:hideMark/>
          </w:tcPr>
          <w:p w14:paraId="5083D0E3"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0.119</w:t>
            </w:r>
          </w:p>
        </w:tc>
        <w:tc>
          <w:tcPr>
            <w:tcW w:w="0" w:type="auto"/>
            <w:hideMark/>
          </w:tcPr>
          <w:p w14:paraId="6BF182C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roofErr w:type="gramStart"/>
            <w:r w:rsidRPr="00955D3D">
              <w:rPr>
                <w:rFonts w:asciiTheme="majorBidi" w:hAnsiTheme="majorBidi" w:cstheme="majorBidi"/>
                <w:color w:val="000000" w:themeColor="text1"/>
              </w:rPr>
              <w:t>ns</w:t>
            </w:r>
            <w:proofErr w:type="gramEnd"/>
          </w:p>
        </w:tc>
      </w:tr>
      <w:tr w:rsidR="00BE6C96" w:rsidRPr="00955D3D" w14:paraId="2EE5F6B8"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1CAA58"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Fe</w:t>
            </w:r>
          </w:p>
        </w:tc>
        <w:tc>
          <w:tcPr>
            <w:tcW w:w="0" w:type="auto"/>
            <w:hideMark/>
          </w:tcPr>
          <w:p w14:paraId="26BFBA5A"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Abomey-Calavi vs Cotonou</w:t>
            </w:r>
          </w:p>
        </w:tc>
        <w:tc>
          <w:tcPr>
            <w:tcW w:w="0" w:type="auto"/>
            <w:hideMark/>
          </w:tcPr>
          <w:p w14:paraId="245CD402"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3.814</w:t>
            </w:r>
          </w:p>
        </w:tc>
        <w:tc>
          <w:tcPr>
            <w:tcW w:w="0" w:type="auto"/>
            <w:hideMark/>
          </w:tcPr>
          <w:p w14:paraId="183E04E1"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&lt;0.001</w:t>
            </w:r>
          </w:p>
        </w:tc>
        <w:tc>
          <w:tcPr>
            <w:tcW w:w="0" w:type="auto"/>
            <w:hideMark/>
          </w:tcPr>
          <w:p w14:paraId="1E4DEF67"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r>
      <w:tr w:rsidR="00BE6C96" w:rsidRPr="00955D3D" w14:paraId="1DF51D0D"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4736C271" w14:textId="77777777" w:rsidR="00BE6C96" w:rsidRPr="00955D3D" w:rsidRDefault="00BE6C96" w:rsidP="0031013D">
            <w:pPr>
              <w:spacing w:line="360" w:lineRule="auto"/>
              <w:jc w:val="both"/>
              <w:rPr>
                <w:rFonts w:asciiTheme="majorBidi" w:hAnsiTheme="majorBidi" w:cstheme="majorBidi"/>
                <w:color w:val="000000" w:themeColor="text1"/>
              </w:rPr>
            </w:pPr>
          </w:p>
        </w:tc>
        <w:tc>
          <w:tcPr>
            <w:tcW w:w="0" w:type="auto"/>
            <w:hideMark/>
          </w:tcPr>
          <w:p w14:paraId="1ACE3B79"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Abomey-Calavi vs Natitingou</w:t>
            </w:r>
          </w:p>
        </w:tc>
        <w:tc>
          <w:tcPr>
            <w:tcW w:w="0" w:type="auto"/>
            <w:hideMark/>
          </w:tcPr>
          <w:p w14:paraId="74CC634D"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3.619</w:t>
            </w:r>
          </w:p>
        </w:tc>
        <w:tc>
          <w:tcPr>
            <w:tcW w:w="0" w:type="auto"/>
            <w:hideMark/>
          </w:tcPr>
          <w:p w14:paraId="600A72B6"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&lt;0.001</w:t>
            </w:r>
          </w:p>
        </w:tc>
        <w:tc>
          <w:tcPr>
            <w:tcW w:w="0" w:type="auto"/>
            <w:hideMark/>
          </w:tcPr>
          <w:p w14:paraId="0BDFA62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r>
      <w:tr w:rsidR="00BE6C96" w:rsidRPr="00955D3D" w14:paraId="455F1497"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684620" w14:textId="77777777" w:rsidR="00BE6C96" w:rsidRPr="00955D3D" w:rsidRDefault="00BE6C96" w:rsidP="0031013D">
            <w:pPr>
              <w:spacing w:line="360" w:lineRule="auto"/>
              <w:jc w:val="both"/>
              <w:rPr>
                <w:rFonts w:asciiTheme="majorBidi" w:hAnsiTheme="majorBidi" w:cstheme="majorBidi"/>
                <w:color w:val="000000" w:themeColor="text1"/>
              </w:rPr>
            </w:pPr>
          </w:p>
        </w:tc>
        <w:tc>
          <w:tcPr>
            <w:tcW w:w="0" w:type="auto"/>
            <w:hideMark/>
          </w:tcPr>
          <w:p w14:paraId="3E5721A0"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Cotonou vs Natitingou</w:t>
            </w:r>
          </w:p>
        </w:tc>
        <w:tc>
          <w:tcPr>
            <w:tcW w:w="0" w:type="auto"/>
            <w:hideMark/>
          </w:tcPr>
          <w:p w14:paraId="2FB1D576"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1.417</w:t>
            </w:r>
          </w:p>
        </w:tc>
        <w:tc>
          <w:tcPr>
            <w:tcW w:w="0" w:type="auto"/>
            <w:hideMark/>
          </w:tcPr>
          <w:p w14:paraId="5456DDA4"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0.156</w:t>
            </w:r>
          </w:p>
        </w:tc>
        <w:tc>
          <w:tcPr>
            <w:tcW w:w="0" w:type="auto"/>
            <w:hideMark/>
          </w:tcPr>
          <w:p w14:paraId="2381CB40"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roofErr w:type="gramStart"/>
            <w:r w:rsidRPr="00955D3D">
              <w:rPr>
                <w:rFonts w:asciiTheme="majorBidi" w:hAnsiTheme="majorBidi" w:cstheme="majorBidi"/>
                <w:color w:val="000000" w:themeColor="text1"/>
              </w:rPr>
              <w:t>ns</w:t>
            </w:r>
            <w:proofErr w:type="gramEnd"/>
          </w:p>
        </w:tc>
      </w:tr>
      <w:tr w:rsidR="00BE6C96" w:rsidRPr="00955D3D" w14:paraId="2CFD9237"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6BA5C37D"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Ni</w:t>
            </w:r>
          </w:p>
        </w:tc>
        <w:tc>
          <w:tcPr>
            <w:tcW w:w="0" w:type="auto"/>
            <w:hideMark/>
          </w:tcPr>
          <w:p w14:paraId="51497C0F"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Abomey-Calavi vs Cotonou</w:t>
            </w:r>
          </w:p>
        </w:tc>
        <w:tc>
          <w:tcPr>
            <w:tcW w:w="0" w:type="auto"/>
            <w:hideMark/>
          </w:tcPr>
          <w:p w14:paraId="0B2929CA"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3.664</w:t>
            </w:r>
          </w:p>
        </w:tc>
        <w:tc>
          <w:tcPr>
            <w:tcW w:w="0" w:type="auto"/>
            <w:hideMark/>
          </w:tcPr>
          <w:p w14:paraId="4534D1CC"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&lt;0.001</w:t>
            </w:r>
          </w:p>
        </w:tc>
        <w:tc>
          <w:tcPr>
            <w:tcW w:w="0" w:type="auto"/>
            <w:hideMark/>
          </w:tcPr>
          <w:p w14:paraId="1661476B"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r>
      <w:tr w:rsidR="00BE6C96" w:rsidRPr="00955D3D" w14:paraId="028B6656"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DF0041" w14:textId="77777777" w:rsidR="00BE6C96" w:rsidRPr="00955D3D" w:rsidRDefault="00BE6C96" w:rsidP="0031013D">
            <w:pPr>
              <w:spacing w:line="360" w:lineRule="auto"/>
              <w:jc w:val="both"/>
              <w:rPr>
                <w:rFonts w:asciiTheme="majorBidi" w:hAnsiTheme="majorBidi" w:cstheme="majorBidi"/>
                <w:color w:val="000000" w:themeColor="text1"/>
              </w:rPr>
            </w:pPr>
          </w:p>
        </w:tc>
        <w:tc>
          <w:tcPr>
            <w:tcW w:w="0" w:type="auto"/>
            <w:hideMark/>
          </w:tcPr>
          <w:p w14:paraId="041980E7"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Abomey-Calavi vs Natitingou</w:t>
            </w:r>
          </w:p>
        </w:tc>
        <w:tc>
          <w:tcPr>
            <w:tcW w:w="0" w:type="auto"/>
            <w:hideMark/>
          </w:tcPr>
          <w:p w14:paraId="6172D5BD"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3.843</w:t>
            </w:r>
          </w:p>
        </w:tc>
        <w:tc>
          <w:tcPr>
            <w:tcW w:w="0" w:type="auto"/>
            <w:hideMark/>
          </w:tcPr>
          <w:p w14:paraId="0D7E99DE"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&lt;0.001</w:t>
            </w:r>
          </w:p>
        </w:tc>
        <w:tc>
          <w:tcPr>
            <w:tcW w:w="0" w:type="auto"/>
            <w:hideMark/>
          </w:tcPr>
          <w:p w14:paraId="4CE183D5"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r>
      <w:tr w:rsidR="00BE6C96" w:rsidRPr="00955D3D" w14:paraId="0BEA0CD2"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38E1B08F" w14:textId="77777777" w:rsidR="00BE6C96" w:rsidRPr="00955D3D" w:rsidRDefault="00BE6C96" w:rsidP="0031013D">
            <w:pPr>
              <w:spacing w:line="360" w:lineRule="auto"/>
              <w:jc w:val="both"/>
              <w:rPr>
                <w:rFonts w:asciiTheme="majorBidi" w:hAnsiTheme="majorBidi" w:cstheme="majorBidi"/>
                <w:color w:val="000000" w:themeColor="text1"/>
              </w:rPr>
            </w:pPr>
          </w:p>
        </w:tc>
        <w:tc>
          <w:tcPr>
            <w:tcW w:w="0" w:type="auto"/>
            <w:hideMark/>
          </w:tcPr>
          <w:p w14:paraId="453F2416"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Cotonou vs Natitingou</w:t>
            </w:r>
          </w:p>
        </w:tc>
        <w:tc>
          <w:tcPr>
            <w:tcW w:w="0" w:type="auto"/>
            <w:hideMark/>
          </w:tcPr>
          <w:p w14:paraId="22582B13"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1.727</w:t>
            </w:r>
          </w:p>
        </w:tc>
        <w:tc>
          <w:tcPr>
            <w:tcW w:w="0" w:type="auto"/>
            <w:hideMark/>
          </w:tcPr>
          <w:p w14:paraId="2B792B88"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0.084</w:t>
            </w:r>
          </w:p>
        </w:tc>
        <w:tc>
          <w:tcPr>
            <w:tcW w:w="0" w:type="auto"/>
            <w:hideMark/>
          </w:tcPr>
          <w:p w14:paraId="6287B9A6"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roofErr w:type="gramStart"/>
            <w:r w:rsidRPr="00955D3D">
              <w:rPr>
                <w:rFonts w:asciiTheme="majorBidi" w:hAnsiTheme="majorBidi" w:cstheme="majorBidi"/>
                <w:color w:val="000000" w:themeColor="text1"/>
              </w:rPr>
              <w:t>ns</w:t>
            </w:r>
            <w:proofErr w:type="gramEnd"/>
          </w:p>
        </w:tc>
      </w:tr>
      <w:tr w:rsidR="00BE6C96" w:rsidRPr="00955D3D" w14:paraId="064BB007"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FA7CE7"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Pb</w:t>
            </w:r>
          </w:p>
        </w:tc>
        <w:tc>
          <w:tcPr>
            <w:tcW w:w="0" w:type="auto"/>
            <w:hideMark/>
          </w:tcPr>
          <w:p w14:paraId="20966EA1"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Abomey-Calavi vs Cotonou</w:t>
            </w:r>
          </w:p>
        </w:tc>
        <w:tc>
          <w:tcPr>
            <w:tcW w:w="0" w:type="auto"/>
            <w:hideMark/>
          </w:tcPr>
          <w:p w14:paraId="461EDF9E"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3.814</w:t>
            </w:r>
          </w:p>
        </w:tc>
        <w:tc>
          <w:tcPr>
            <w:tcW w:w="0" w:type="auto"/>
            <w:hideMark/>
          </w:tcPr>
          <w:p w14:paraId="29759507"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&lt;0.001</w:t>
            </w:r>
          </w:p>
        </w:tc>
        <w:tc>
          <w:tcPr>
            <w:tcW w:w="0" w:type="auto"/>
            <w:hideMark/>
          </w:tcPr>
          <w:p w14:paraId="1EE30536"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r>
      <w:tr w:rsidR="00BE6C96" w:rsidRPr="00955D3D" w14:paraId="54106FAD"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20ACB3FE" w14:textId="77777777" w:rsidR="00BE6C96" w:rsidRPr="00955D3D" w:rsidRDefault="00BE6C96" w:rsidP="0031013D">
            <w:pPr>
              <w:spacing w:line="360" w:lineRule="auto"/>
              <w:jc w:val="both"/>
              <w:rPr>
                <w:rFonts w:asciiTheme="majorBidi" w:hAnsiTheme="majorBidi" w:cstheme="majorBidi"/>
                <w:color w:val="000000" w:themeColor="text1"/>
              </w:rPr>
            </w:pPr>
          </w:p>
        </w:tc>
        <w:tc>
          <w:tcPr>
            <w:tcW w:w="0" w:type="auto"/>
            <w:hideMark/>
          </w:tcPr>
          <w:p w14:paraId="1C81DAA3"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Abomey-Calavi vs Natitingou</w:t>
            </w:r>
          </w:p>
        </w:tc>
        <w:tc>
          <w:tcPr>
            <w:tcW w:w="0" w:type="auto"/>
            <w:hideMark/>
          </w:tcPr>
          <w:p w14:paraId="3CAD5E01"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3.619</w:t>
            </w:r>
          </w:p>
        </w:tc>
        <w:tc>
          <w:tcPr>
            <w:tcW w:w="0" w:type="auto"/>
            <w:hideMark/>
          </w:tcPr>
          <w:p w14:paraId="61FC2E71"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&lt;0.001</w:t>
            </w:r>
          </w:p>
        </w:tc>
        <w:tc>
          <w:tcPr>
            <w:tcW w:w="0" w:type="auto"/>
            <w:hideMark/>
          </w:tcPr>
          <w:p w14:paraId="228E9C57"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r>
      <w:tr w:rsidR="00BE6C96" w:rsidRPr="00955D3D" w14:paraId="59D968E3"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9910EC" w14:textId="77777777" w:rsidR="00BE6C96" w:rsidRPr="00955D3D" w:rsidRDefault="00BE6C96" w:rsidP="0031013D">
            <w:pPr>
              <w:spacing w:line="360" w:lineRule="auto"/>
              <w:jc w:val="both"/>
              <w:rPr>
                <w:rFonts w:asciiTheme="majorBidi" w:hAnsiTheme="majorBidi" w:cstheme="majorBidi"/>
                <w:color w:val="000000" w:themeColor="text1"/>
              </w:rPr>
            </w:pPr>
          </w:p>
        </w:tc>
        <w:tc>
          <w:tcPr>
            <w:tcW w:w="0" w:type="auto"/>
            <w:hideMark/>
          </w:tcPr>
          <w:p w14:paraId="2C2AF5BE"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Cotonou vs Natitingou</w:t>
            </w:r>
          </w:p>
        </w:tc>
        <w:tc>
          <w:tcPr>
            <w:tcW w:w="0" w:type="auto"/>
            <w:hideMark/>
          </w:tcPr>
          <w:p w14:paraId="072242D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1.417</w:t>
            </w:r>
          </w:p>
        </w:tc>
        <w:tc>
          <w:tcPr>
            <w:tcW w:w="0" w:type="auto"/>
            <w:hideMark/>
          </w:tcPr>
          <w:p w14:paraId="486B9450"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0.156</w:t>
            </w:r>
          </w:p>
        </w:tc>
        <w:tc>
          <w:tcPr>
            <w:tcW w:w="0" w:type="auto"/>
            <w:hideMark/>
          </w:tcPr>
          <w:p w14:paraId="6225A936"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roofErr w:type="gramStart"/>
            <w:r w:rsidRPr="00955D3D">
              <w:rPr>
                <w:rFonts w:asciiTheme="majorBidi" w:hAnsiTheme="majorBidi" w:cstheme="majorBidi"/>
                <w:color w:val="000000" w:themeColor="text1"/>
              </w:rPr>
              <w:t>ns</w:t>
            </w:r>
            <w:proofErr w:type="gramEnd"/>
          </w:p>
        </w:tc>
      </w:tr>
      <w:tr w:rsidR="00BE6C96" w:rsidRPr="00955D3D" w14:paraId="75052FAA"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0499B85E"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Zn</w:t>
            </w:r>
          </w:p>
        </w:tc>
        <w:tc>
          <w:tcPr>
            <w:tcW w:w="0" w:type="auto"/>
            <w:hideMark/>
          </w:tcPr>
          <w:p w14:paraId="184290D8"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Abomey-Calavi vs Cotonou</w:t>
            </w:r>
          </w:p>
        </w:tc>
        <w:tc>
          <w:tcPr>
            <w:tcW w:w="0" w:type="auto"/>
            <w:hideMark/>
          </w:tcPr>
          <w:p w14:paraId="4CBB65C4"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3.814</w:t>
            </w:r>
          </w:p>
        </w:tc>
        <w:tc>
          <w:tcPr>
            <w:tcW w:w="0" w:type="auto"/>
            <w:hideMark/>
          </w:tcPr>
          <w:p w14:paraId="4C3BEBFD"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&lt;0.001</w:t>
            </w:r>
          </w:p>
        </w:tc>
        <w:tc>
          <w:tcPr>
            <w:tcW w:w="0" w:type="auto"/>
            <w:hideMark/>
          </w:tcPr>
          <w:p w14:paraId="31D9364F"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r>
      <w:tr w:rsidR="00BE6C96" w:rsidRPr="00955D3D" w14:paraId="0343169C"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028B16" w14:textId="77777777" w:rsidR="00BE6C96" w:rsidRPr="00955D3D" w:rsidRDefault="00BE6C96" w:rsidP="0031013D">
            <w:pPr>
              <w:spacing w:line="360" w:lineRule="auto"/>
              <w:jc w:val="both"/>
              <w:rPr>
                <w:rFonts w:asciiTheme="majorBidi" w:hAnsiTheme="majorBidi" w:cstheme="majorBidi"/>
                <w:color w:val="000000" w:themeColor="text1"/>
              </w:rPr>
            </w:pPr>
          </w:p>
        </w:tc>
        <w:tc>
          <w:tcPr>
            <w:tcW w:w="0" w:type="auto"/>
            <w:hideMark/>
          </w:tcPr>
          <w:p w14:paraId="739EAE6B"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Abomey-Calavi vs Natitingou</w:t>
            </w:r>
          </w:p>
        </w:tc>
        <w:tc>
          <w:tcPr>
            <w:tcW w:w="0" w:type="auto"/>
            <w:hideMark/>
          </w:tcPr>
          <w:p w14:paraId="29964080"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3.619</w:t>
            </w:r>
          </w:p>
        </w:tc>
        <w:tc>
          <w:tcPr>
            <w:tcW w:w="0" w:type="auto"/>
            <w:hideMark/>
          </w:tcPr>
          <w:p w14:paraId="04352B45"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&lt;0.001</w:t>
            </w:r>
          </w:p>
        </w:tc>
        <w:tc>
          <w:tcPr>
            <w:tcW w:w="0" w:type="auto"/>
            <w:hideMark/>
          </w:tcPr>
          <w:p w14:paraId="06C9B576"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r>
      <w:tr w:rsidR="00BE6C96" w:rsidRPr="00955D3D" w14:paraId="3F8D8FD5"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3FC70EA0" w14:textId="77777777" w:rsidR="00BE6C96" w:rsidRPr="00955D3D" w:rsidRDefault="00BE6C96" w:rsidP="0031013D">
            <w:pPr>
              <w:spacing w:line="360" w:lineRule="auto"/>
              <w:jc w:val="both"/>
              <w:rPr>
                <w:rFonts w:asciiTheme="majorBidi" w:hAnsiTheme="majorBidi" w:cstheme="majorBidi"/>
                <w:color w:val="000000" w:themeColor="text1"/>
              </w:rPr>
            </w:pPr>
          </w:p>
        </w:tc>
        <w:tc>
          <w:tcPr>
            <w:tcW w:w="0" w:type="auto"/>
            <w:hideMark/>
          </w:tcPr>
          <w:p w14:paraId="5288F38E"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Cotonou vs Natitingou</w:t>
            </w:r>
          </w:p>
        </w:tc>
        <w:tc>
          <w:tcPr>
            <w:tcW w:w="0" w:type="auto"/>
            <w:hideMark/>
          </w:tcPr>
          <w:p w14:paraId="6AF480D9"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1.417</w:t>
            </w:r>
          </w:p>
        </w:tc>
        <w:tc>
          <w:tcPr>
            <w:tcW w:w="0" w:type="auto"/>
            <w:hideMark/>
          </w:tcPr>
          <w:p w14:paraId="4100051C"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0.156</w:t>
            </w:r>
          </w:p>
        </w:tc>
        <w:tc>
          <w:tcPr>
            <w:tcW w:w="0" w:type="auto"/>
            <w:hideMark/>
          </w:tcPr>
          <w:p w14:paraId="38D0DBD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roofErr w:type="gramStart"/>
            <w:r w:rsidRPr="00955D3D">
              <w:rPr>
                <w:rFonts w:asciiTheme="majorBidi" w:hAnsiTheme="majorBidi" w:cstheme="majorBidi"/>
                <w:color w:val="000000" w:themeColor="text1"/>
              </w:rPr>
              <w:t>ns</w:t>
            </w:r>
            <w:proofErr w:type="gramEnd"/>
          </w:p>
        </w:tc>
      </w:tr>
    </w:tbl>
    <w:p w14:paraId="4ABC9C70" w14:textId="39D459F4" w:rsidR="00D55CE6" w:rsidRDefault="00D55CE6" w:rsidP="00BE6C96">
      <w:pPr>
        <w:pStyle w:val="Heading2"/>
        <w:spacing w:line="360" w:lineRule="auto"/>
        <w:jc w:val="both"/>
        <w:rPr>
          <w:rFonts w:asciiTheme="majorBidi" w:eastAsia="Times New Roman" w:hAnsiTheme="majorBidi"/>
          <w:color w:val="000000" w:themeColor="text1"/>
          <w:sz w:val="24"/>
          <w:szCs w:val="24"/>
          <w:lang w:val="en-GB"/>
        </w:rPr>
      </w:pPr>
      <w:r>
        <w:rPr>
          <w:rFonts w:asciiTheme="majorBidi" w:eastAsia="Times New Roman" w:hAnsiTheme="majorBidi"/>
          <w:color w:val="000000" w:themeColor="text1"/>
          <w:sz w:val="24"/>
          <w:szCs w:val="24"/>
          <w:lang w:val="en-GB"/>
        </w:rPr>
        <w:t>*</w:t>
      </w:r>
      <w:r w:rsidRPr="00D55CE6">
        <w:rPr>
          <w:rFonts w:asciiTheme="majorBidi" w:eastAsia="Times New Roman" w:hAnsiTheme="majorBidi"/>
          <w:i/>
          <w:color w:val="000000" w:themeColor="text1"/>
          <w:sz w:val="22"/>
          <w:szCs w:val="22"/>
          <w:lang w:val="en-GB"/>
        </w:rPr>
        <w:t xml:space="preserve">ns: </w:t>
      </w:r>
      <w:proofErr w:type="gramStart"/>
      <w:r w:rsidRPr="00D55CE6">
        <w:rPr>
          <w:rFonts w:asciiTheme="majorBidi" w:eastAsia="Times New Roman" w:hAnsiTheme="majorBidi"/>
          <w:i/>
          <w:color w:val="000000" w:themeColor="text1"/>
          <w:sz w:val="22"/>
          <w:szCs w:val="22"/>
          <w:lang w:val="en-GB"/>
        </w:rPr>
        <w:t>Non significant</w:t>
      </w:r>
      <w:proofErr w:type="gramEnd"/>
    </w:p>
    <w:p w14:paraId="54B40CED" w14:textId="4D75EB5C" w:rsidR="006D5AED" w:rsidRDefault="00D55CE6" w:rsidP="00BE6C96">
      <w:pPr>
        <w:pStyle w:val="Heading2"/>
        <w:spacing w:line="360" w:lineRule="auto"/>
        <w:jc w:val="both"/>
        <w:rPr>
          <w:rFonts w:asciiTheme="majorBidi" w:eastAsia="Times New Roman" w:hAnsiTheme="majorBidi"/>
          <w:color w:val="000000" w:themeColor="text1"/>
          <w:sz w:val="24"/>
          <w:szCs w:val="24"/>
          <w:lang w:val="en-GB"/>
        </w:rPr>
      </w:pPr>
      <w:r>
        <w:rPr>
          <w:rFonts w:asciiTheme="majorBidi" w:eastAsia="Times New Roman" w:hAnsiTheme="majorBidi"/>
          <w:color w:val="000000" w:themeColor="text1"/>
          <w:sz w:val="24"/>
          <w:szCs w:val="24"/>
          <w:lang w:val="en-GB"/>
        </w:rPr>
        <w:t xml:space="preserve">Table 3 presents the </w:t>
      </w:r>
      <w:r w:rsidR="006D5AED" w:rsidRPr="006D5AED">
        <w:rPr>
          <w:rFonts w:asciiTheme="majorBidi" w:eastAsia="Times New Roman" w:hAnsiTheme="majorBidi"/>
          <w:color w:val="000000" w:themeColor="text1"/>
          <w:sz w:val="24"/>
          <w:szCs w:val="24"/>
          <w:lang w:val="en-GB"/>
        </w:rPr>
        <w:t xml:space="preserve">results of the Dunn post hoc comparisons by city. </w:t>
      </w:r>
      <w:r>
        <w:rPr>
          <w:rFonts w:asciiTheme="majorBidi" w:eastAsia="Times New Roman" w:hAnsiTheme="majorBidi"/>
          <w:color w:val="000000" w:themeColor="text1"/>
          <w:sz w:val="24"/>
          <w:szCs w:val="24"/>
          <w:lang w:val="en-GB"/>
        </w:rPr>
        <w:t>The analysis of this table reveals that</w:t>
      </w:r>
      <w:r w:rsidR="006D5AED" w:rsidRPr="006D5AED">
        <w:rPr>
          <w:rFonts w:asciiTheme="majorBidi" w:eastAsia="Times New Roman" w:hAnsiTheme="majorBidi"/>
          <w:color w:val="000000" w:themeColor="text1"/>
          <w:sz w:val="24"/>
          <w:szCs w:val="24"/>
          <w:lang w:val="en-GB"/>
        </w:rPr>
        <w:t xml:space="preserve"> As, concentrations are significantly higher in both Cotonou and </w:t>
      </w:r>
      <w:proofErr w:type="spellStart"/>
      <w:r w:rsidR="006D5AED" w:rsidRPr="006D5AED">
        <w:rPr>
          <w:rFonts w:asciiTheme="majorBidi" w:eastAsia="Times New Roman" w:hAnsiTheme="majorBidi"/>
          <w:color w:val="000000" w:themeColor="text1"/>
          <w:sz w:val="24"/>
          <w:szCs w:val="24"/>
          <w:lang w:val="en-GB"/>
        </w:rPr>
        <w:t>Natitingou</w:t>
      </w:r>
      <w:proofErr w:type="spellEnd"/>
      <w:r w:rsidR="006D5AED" w:rsidRPr="006D5AED">
        <w:rPr>
          <w:rFonts w:asciiTheme="majorBidi" w:eastAsia="Times New Roman" w:hAnsiTheme="majorBidi"/>
          <w:color w:val="000000" w:themeColor="text1"/>
          <w:sz w:val="24"/>
          <w:szCs w:val="24"/>
          <w:lang w:val="en-GB"/>
        </w:rPr>
        <w:t xml:space="preserve"> compared with Abomey-</w:t>
      </w:r>
      <w:proofErr w:type="spellStart"/>
      <w:r w:rsidR="006D5AED" w:rsidRPr="006D5AED">
        <w:rPr>
          <w:rFonts w:asciiTheme="majorBidi" w:eastAsia="Times New Roman" w:hAnsiTheme="majorBidi"/>
          <w:color w:val="000000" w:themeColor="text1"/>
          <w:sz w:val="24"/>
          <w:szCs w:val="24"/>
          <w:lang w:val="en-GB"/>
        </w:rPr>
        <w:t>Calavi</w:t>
      </w:r>
      <w:proofErr w:type="spellEnd"/>
      <w:r w:rsidR="006D5AED" w:rsidRPr="006D5AED">
        <w:rPr>
          <w:rFonts w:asciiTheme="majorBidi" w:eastAsia="Times New Roman" w:hAnsiTheme="majorBidi"/>
          <w:color w:val="000000" w:themeColor="text1"/>
          <w:sz w:val="24"/>
          <w:szCs w:val="24"/>
          <w:lang w:val="en-GB"/>
        </w:rPr>
        <w:t xml:space="preserve">, while no significant difference is detected between Cotonou and </w:t>
      </w:r>
      <w:proofErr w:type="spellStart"/>
      <w:r w:rsidR="006D5AED" w:rsidRPr="006D5AED">
        <w:rPr>
          <w:rFonts w:asciiTheme="majorBidi" w:eastAsia="Times New Roman" w:hAnsiTheme="majorBidi"/>
          <w:color w:val="000000" w:themeColor="text1"/>
          <w:sz w:val="24"/>
          <w:szCs w:val="24"/>
          <w:lang w:val="en-GB"/>
        </w:rPr>
        <w:t>Natitingou</w:t>
      </w:r>
      <w:proofErr w:type="spellEnd"/>
      <w:r w:rsidR="006D5AED" w:rsidRPr="006D5AED">
        <w:rPr>
          <w:rFonts w:asciiTheme="majorBidi" w:eastAsia="Times New Roman" w:hAnsiTheme="majorBidi"/>
          <w:color w:val="000000" w:themeColor="text1"/>
          <w:sz w:val="24"/>
          <w:szCs w:val="24"/>
          <w:lang w:val="en-GB"/>
        </w:rPr>
        <w:t>. C</w:t>
      </w:r>
      <w:r>
        <w:rPr>
          <w:rFonts w:asciiTheme="majorBidi" w:eastAsia="Times New Roman" w:hAnsiTheme="majorBidi"/>
          <w:color w:val="000000" w:themeColor="text1"/>
          <w:sz w:val="24"/>
          <w:szCs w:val="24"/>
          <w:lang w:val="en-GB"/>
        </w:rPr>
        <w:t>admium C</w:t>
      </w:r>
      <w:r w:rsidR="006D5AED" w:rsidRPr="006D5AED">
        <w:rPr>
          <w:rFonts w:asciiTheme="majorBidi" w:eastAsia="Times New Roman" w:hAnsiTheme="majorBidi"/>
          <w:color w:val="000000" w:themeColor="text1"/>
          <w:sz w:val="24"/>
          <w:szCs w:val="24"/>
          <w:lang w:val="en-GB"/>
        </w:rPr>
        <w:t>d, only the contrast between Abomey-</w:t>
      </w:r>
      <w:proofErr w:type="spellStart"/>
      <w:r w:rsidR="006D5AED" w:rsidRPr="006D5AED">
        <w:rPr>
          <w:rFonts w:asciiTheme="majorBidi" w:eastAsia="Times New Roman" w:hAnsiTheme="majorBidi"/>
          <w:color w:val="000000" w:themeColor="text1"/>
          <w:sz w:val="24"/>
          <w:szCs w:val="24"/>
          <w:lang w:val="en-GB"/>
        </w:rPr>
        <w:t>Calavi</w:t>
      </w:r>
      <w:proofErr w:type="spellEnd"/>
      <w:r w:rsidR="006D5AED" w:rsidRPr="006D5AED">
        <w:rPr>
          <w:rFonts w:asciiTheme="majorBidi" w:eastAsia="Times New Roman" w:hAnsiTheme="majorBidi"/>
          <w:color w:val="000000" w:themeColor="text1"/>
          <w:sz w:val="24"/>
          <w:szCs w:val="24"/>
          <w:lang w:val="en-GB"/>
        </w:rPr>
        <w:t xml:space="preserve"> and Cotonou is significant. In contrast, Cr, Cu, Fe, Ni, Pb, and Zn show strong and consistent differences between Abomey-</w:t>
      </w:r>
      <w:proofErr w:type="spellStart"/>
      <w:r w:rsidR="006D5AED" w:rsidRPr="006D5AED">
        <w:rPr>
          <w:rFonts w:asciiTheme="majorBidi" w:eastAsia="Times New Roman" w:hAnsiTheme="majorBidi"/>
          <w:color w:val="000000" w:themeColor="text1"/>
          <w:sz w:val="24"/>
          <w:szCs w:val="24"/>
          <w:lang w:val="en-GB"/>
        </w:rPr>
        <w:t>Calavi</w:t>
      </w:r>
      <w:proofErr w:type="spellEnd"/>
      <w:r w:rsidR="006D5AED" w:rsidRPr="006D5AED">
        <w:rPr>
          <w:rFonts w:asciiTheme="majorBidi" w:eastAsia="Times New Roman" w:hAnsiTheme="majorBidi"/>
          <w:color w:val="000000" w:themeColor="text1"/>
          <w:sz w:val="24"/>
          <w:szCs w:val="24"/>
          <w:lang w:val="en-GB"/>
        </w:rPr>
        <w:t xml:space="preserve"> and the two other cities, with no significant differences between Cotonou and </w:t>
      </w:r>
      <w:proofErr w:type="spellStart"/>
      <w:r w:rsidR="006D5AED" w:rsidRPr="006D5AED">
        <w:rPr>
          <w:rFonts w:asciiTheme="majorBidi" w:eastAsia="Times New Roman" w:hAnsiTheme="majorBidi"/>
          <w:color w:val="000000" w:themeColor="text1"/>
          <w:sz w:val="24"/>
          <w:szCs w:val="24"/>
          <w:lang w:val="en-GB"/>
        </w:rPr>
        <w:t>Natitingou</w:t>
      </w:r>
      <w:proofErr w:type="spellEnd"/>
      <w:r w:rsidR="006D5AED" w:rsidRPr="006D5AED">
        <w:rPr>
          <w:rFonts w:asciiTheme="majorBidi" w:eastAsia="Times New Roman" w:hAnsiTheme="majorBidi"/>
          <w:color w:val="000000" w:themeColor="text1"/>
          <w:sz w:val="24"/>
          <w:szCs w:val="24"/>
          <w:lang w:val="en-GB"/>
        </w:rPr>
        <w:t>. These patterns reinforce the conclusion that Abomey-</w:t>
      </w:r>
      <w:proofErr w:type="spellStart"/>
      <w:r w:rsidR="006D5AED" w:rsidRPr="006D5AED">
        <w:rPr>
          <w:rFonts w:asciiTheme="majorBidi" w:eastAsia="Times New Roman" w:hAnsiTheme="majorBidi"/>
          <w:color w:val="000000" w:themeColor="text1"/>
          <w:sz w:val="24"/>
          <w:szCs w:val="24"/>
          <w:lang w:val="en-GB"/>
        </w:rPr>
        <w:t>Calavi</w:t>
      </w:r>
      <w:proofErr w:type="spellEnd"/>
      <w:r w:rsidR="006D5AED" w:rsidRPr="006D5AED">
        <w:rPr>
          <w:rFonts w:asciiTheme="majorBidi" w:eastAsia="Times New Roman" w:hAnsiTheme="majorBidi"/>
          <w:color w:val="000000" w:themeColor="text1"/>
          <w:sz w:val="24"/>
          <w:szCs w:val="24"/>
          <w:lang w:val="en-GB"/>
        </w:rPr>
        <w:t xml:space="preserve"> is relatively less affected by heavy-metal contamination.</w:t>
      </w:r>
    </w:p>
    <w:p w14:paraId="0E288E0A" w14:textId="730D466D" w:rsidR="006D5AED" w:rsidRPr="006D5AED" w:rsidRDefault="006D5AED" w:rsidP="00D55CE6">
      <w:pPr>
        <w:spacing w:line="360" w:lineRule="auto"/>
        <w:jc w:val="both"/>
        <w:rPr>
          <w:lang w:val="en-GB"/>
        </w:rPr>
      </w:pPr>
      <w:r w:rsidRPr="006D5AED">
        <w:rPr>
          <w:lang w:val="en-GB"/>
        </w:rPr>
        <w:t xml:space="preserve">The comparisons across distances from the waste disposal sites (0 m, 50 m, and 100 m), shown in </w:t>
      </w:r>
      <w:r w:rsidR="00D55CE6">
        <w:rPr>
          <w:lang w:val="en-GB"/>
        </w:rPr>
        <w:t>t</w:t>
      </w:r>
      <w:r w:rsidRPr="006D5AED">
        <w:rPr>
          <w:lang w:val="en-GB"/>
        </w:rPr>
        <w:t xml:space="preserve">able 4, indicate that none of the metals display significant variation with increasing distance (p &gt; 0.05). This suggests either a relatively homogeneous dispersion of contaminants within the groundwater or a limitation linked to the small number of samples, especially in </w:t>
      </w:r>
      <w:proofErr w:type="spellStart"/>
      <w:r w:rsidRPr="006D5AED">
        <w:rPr>
          <w:lang w:val="en-GB"/>
        </w:rPr>
        <w:t>Natitingou</w:t>
      </w:r>
      <w:proofErr w:type="spellEnd"/>
      <w:r w:rsidRPr="006D5AED">
        <w:rPr>
          <w:lang w:val="en-GB"/>
        </w:rPr>
        <w:t>.</w:t>
      </w:r>
    </w:p>
    <w:p w14:paraId="167AD7DE" w14:textId="2BC24041" w:rsidR="00D55CE6" w:rsidRPr="003D14F6" w:rsidRDefault="00D55CE6" w:rsidP="00D55CE6">
      <w:pPr>
        <w:spacing w:line="360" w:lineRule="auto"/>
        <w:jc w:val="both"/>
        <w:rPr>
          <w:rFonts w:asciiTheme="majorBidi" w:eastAsiaTheme="majorEastAsia" w:hAnsiTheme="majorBidi" w:cstheme="majorBidi"/>
          <w:bCs/>
          <w:color w:val="000000" w:themeColor="text1"/>
          <w:lang w:val="en-US"/>
        </w:rPr>
      </w:pPr>
      <w:r w:rsidRPr="003D14F6">
        <w:rPr>
          <w:rFonts w:asciiTheme="majorBidi" w:eastAsiaTheme="majorEastAsia" w:hAnsiTheme="majorBidi" w:cstheme="majorBidi"/>
          <w:b/>
          <w:bCs/>
          <w:color w:val="000000" w:themeColor="text1"/>
          <w:lang w:val="en-US"/>
        </w:rPr>
        <w:t>Table 4:</w:t>
      </w:r>
      <w:r w:rsidRPr="003D14F6">
        <w:rPr>
          <w:rFonts w:asciiTheme="majorBidi" w:eastAsiaTheme="majorEastAsia" w:hAnsiTheme="majorBidi" w:cstheme="majorBidi"/>
          <w:bCs/>
          <w:color w:val="000000" w:themeColor="text1"/>
          <w:lang w:val="en-US"/>
        </w:rPr>
        <w:t xml:space="preserve"> </w:t>
      </w:r>
      <w:r w:rsidR="00347FB3">
        <w:rPr>
          <w:rFonts w:asciiTheme="majorBidi" w:hAnsiTheme="majorBidi" w:cstheme="majorBidi"/>
          <w:color w:val="000000" w:themeColor="text1"/>
          <w:lang w:val="en-US"/>
        </w:rPr>
        <w:t>Variation of Heavy metal concentration in function of the distance from the waste disposal sites</w:t>
      </w:r>
    </w:p>
    <w:tbl>
      <w:tblPr>
        <w:tblStyle w:val="PlainTable2"/>
        <w:tblW w:w="0" w:type="auto"/>
        <w:tblLook w:val="04A0" w:firstRow="1" w:lastRow="0" w:firstColumn="1" w:lastColumn="0" w:noHBand="0" w:noVBand="1"/>
      </w:tblPr>
      <w:tblGrid>
        <w:gridCol w:w="816"/>
        <w:gridCol w:w="3770"/>
        <w:gridCol w:w="1177"/>
        <w:gridCol w:w="1456"/>
      </w:tblGrid>
      <w:tr w:rsidR="00BE6C96" w:rsidRPr="00955D3D" w14:paraId="1DF83F89" w14:textId="77777777" w:rsidTr="003101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AC9647" w14:textId="2DE59DFE" w:rsidR="00BE6C96" w:rsidRPr="00955D3D" w:rsidRDefault="00BE6C96" w:rsidP="0031013D">
            <w:pPr>
              <w:spacing w:line="360" w:lineRule="auto"/>
              <w:jc w:val="both"/>
              <w:rPr>
                <w:rFonts w:asciiTheme="majorBidi" w:hAnsiTheme="majorBidi" w:cstheme="majorBidi"/>
                <w:color w:val="000000" w:themeColor="text1"/>
              </w:rPr>
            </w:pPr>
            <w:proofErr w:type="spellStart"/>
            <w:r w:rsidRPr="00955D3D">
              <w:rPr>
                <w:rFonts w:asciiTheme="majorBidi" w:hAnsiTheme="majorBidi" w:cstheme="majorBidi"/>
                <w:color w:val="000000" w:themeColor="text1"/>
              </w:rPr>
              <w:lastRenderedPageBreak/>
              <w:t>M</w:t>
            </w:r>
            <w:r w:rsidR="00D55CE6">
              <w:rPr>
                <w:rFonts w:asciiTheme="majorBidi" w:hAnsiTheme="majorBidi" w:cstheme="majorBidi"/>
                <w:color w:val="000000" w:themeColor="text1"/>
              </w:rPr>
              <w:t>e</w:t>
            </w:r>
            <w:r w:rsidRPr="00955D3D">
              <w:rPr>
                <w:rFonts w:asciiTheme="majorBidi" w:hAnsiTheme="majorBidi" w:cstheme="majorBidi"/>
                <w:color w:val="000000" w:themeColor="text1"/>
              </w:rPr>
              <w:t>tal</w:t>
            </w:r>
            <w:proofErr w:type="spellEnd"/>
          </w:p>
        </w:tc>
        <w:tc>
          <w:tcPr>
            <w:tcW w:w="0" w:type="auto"/>
            <w:hideMark/>
          </w:tcPr>
          <w:p w14:paraId="710E0B11" w14:textId="77777777"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Comparaisons (0–50–100 m)</w:t>
            </w:r>
          </w:p>
        </w:tc>
        <w:tc>
          <w:tcPr>
            <w:tcW w:w="0" w:type="auto"/>
            <w:hideMark/>
          </w:tcPr>
          <w:p w14:paraId="42CB6CE2" w14:textId="4D5230F0"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roofErr w:type="gramStart"/>
            <w:r w:rsidRPr="00955D3D">
              <w:rPr>
                <w:rFonts w:asciiTheme="majorBidi" w:hAnsiTheme="majorBidi" w:cstheme="majorBidi"/>
                <w:color w:val="000000" w:themeColor="text1"/>
              </w:rPr>
              <w:t>p</w:t>
            </w:r>
            <w:proofErr w:type="gramEnd"/>
            <w:r w:rsidRPr="00955D3D">
              <w:rPr>
                <w:rFonts w:asciiTheme="majorBidi" w:hAnsiTheme="majorBidi" w:cstheme="majorBidi"/>
                <w:color w:val="000000" w:themeColor="text1"/>
              </w:rPr>
              <w:t>-</w:t>
            </w:r>
            <w:proofErr w:type="spellStart"/>
            <w:r w:rsidRPr="00955D3D">
              <w:rPr>
                <w:rFonts w:asciiTheme="majorBidi" w:hAnsiTheme="majorBidi" w:cstheme="majorBidi"/>
                <w:color w:val="000000" w:themeColor="text1"/>
              </w:rPr>
              <w:t>ajust</w:t>
            </w:r>
            <w:r w:rsidR="00D55CE6">
              <w:rPr>
                <w:rFonts w:asciiTheme="majorBidi" w:hAnsiTheme="majorBidi" w:cstheme="majorBidi"/>
                <w:color w:val="000000" w:themeColor="text1"/>
              </w:rPr>
              <w:t>ed</w:t>
            </w:r>
            <w:proofErr w:type="spellEnd"/>
          </w:p>
        </w:tc>
        <w:tc>
          <w:tcPr>
            <w:tcW w:w="0" w:type="auto"/>
            <w:hideMark/>
          </w:tcPr>
          <w:p w14:paraId="111CEE8D" w14:textId="5725D5AD"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roofErr w:type="spellStart"/>
            <w:r w:rsidRPr="00955D3D">
              <w:rPr>
                <w:rFonts w:asciiTheme="majorBidi" w:hAnsiTheme="majorBidi" w:cstheme="majorBidi"/>
                <w:color w:val="000000" w:themeColor="text1"/>
              </w:rPr>
              <w:t>Significa</w:t>
            </w:r>
            <w:r w:rsidR="00D55CE6">
              <w:rPr>
                <w:rFonts w:asciiTheme="majorBidi" w:hAnsiTheme="majorBidi" w:cstheme="majorBidi"/>
                <w:color w:val="000000" w:themeColor="text1"/>
              </w:rPr>
              <w:t>nce</w:t>
            </w:r>
            <w:proofErr w:type="spellEnd"/>
          </w:p>
        </w:tc>
      </w:tr>
      <w:tr w:rsidR="00BE6C96" w:rsidRPr="00955D3D" w14:paraId="08399FD0"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AA39F8" w14:textId="77777777" w:rsidR="00BE6C96" w:rsidRPr="00955D3D" w:rsidRDefault="00BE6C96" w:rsidP="0031013D">
            <w:pPr>
              <w:spacing w:line="360" w:lineRule="auto"/>
              <w:jc w:val="both"/>
              <w:rPr>
                <w:rFonts w:asciiTheme="majorBidi" w:hAnsiTheme="majorBidi" w:cstheme="majorBidi"/>
                <w:b w:val="0"/>
                <w:bCs w:val="0"/>
                <w:color w:val="000000" w:themeColor="text1"/>
              </w:rPr>
            </w:pPr>
            <w:r w:rsidRPr="00955D3D">
              <w:rPr>
                <w:rStyle w:val="Strong"/>
                <w:rFonts w:asciiTheme="majorBidi" w:eastAsiaTheme="majorEastAsia" w:hAnsiTheme="majorBidi"/>
                <w:color w:val="000000" w:themeColor="text1"/>
              </w:rPr>
              <w:t>As</w:t>
            </w:r>
          </w:p>
        </w:tc>
        <w:tc>
          <w:tcPr>
            <w:tcW w:w="0" w:type="auto"/>
            <w:hideMark/>
          </w:tcPr>
          <w:p w14:paraId="387EB8B5"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 vs 50 m ; 0 vs 100 m ; 50 vs 100 m</w:t>
            </w:r>
          </w:p>
        </w:tc>
        <w:tc>
          <w:tcPr>
            <w:tcW w:w="0" w:type="auto"/>
            <w:hideMark/>
          </w:tcPr>
          <w:p w14:paraId="7080DAE2"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&gt; 0.39</w:t>
            </w:r>
          </w:p>
        </w:tc>
        <w:tc>
          <w:tcPr>
            <w:tcW w:w="0" w:type="auto"/>
            <w:hideMark/>
          </w:tcPr>
          <w:p w14:paraId="1A59F5DB"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roofErr w:type="gramStart"/>
            <w:r w:rsidRPr="00955D3D">
              <w:rPr>
                <w:rFonts w:asciiTheme="majorBidi" w:hAnsiTheme="majorBidi" w:cstheme="majorBidi"/>
                <w:color w:val="000000" w:themeColor="text1"/>
              </w:rPr>
              <w:t>ns</w:t>
            </w:r>
            <w:proofErr w:type="gramEnd"/>
          </w:p>
        </w:tc>
      </w:tr>
      <w:tr w:rsidR="00BE6C96" w:rsidRPr="00955D3D" w14:paraId="65938F26"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25B4AC75"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Cd</w:t>
            </w:r>
          </w:p>
        </w:tc>
        <w:tc>
          <w:tcPr>
            <w:tcW w:w="0" w:type="auto"/>
            <w:hideMark/>
          </w:tcPr>
          <w:p w14:paraId="1F48B955"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 vs 50 m ; 0 vs 100 m ; 50 vs 100 m</w:t>
            </w:r>
          </w:p>
        </w:tc>
        <w:tc>
          <w:tcPr>
            <w:tcW w:w="0" w:type="auto"/>
            <w:hideMark/>
          </w:tcPr>
          <w:p w14:paraId="43FAA787"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&gt; 0.39</w:t>
            </w:r>
          </w:p>
        </w:tc>
        <w:tc>
          <w:tcPr>
            <w:tcW w:w="0" w:type="auto"/>
            <w:hideMark/>
          </w:tcPr>
          <w:p w14:paraId="01F9C1FC"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roofErr w:type="gramStart"/>
            <w:r w:rsidRPr="00955D3D">
              <w:rPr>
                <w:rFonts w:asciiTheme="majorBidi" w:hAnsiTheme="majorBidi" w:cstheme="majorBidi"/>
                <w:color w:val="000000" w:themeColor="text1"/>
              </w:rPr>
              <w:t>ns</w:t>
            </w:r>
            <w:proofErr w:type="gramEnd"/>
          </w:p>
        </w:tc>
      </w:tr>
      <w:tr w:rsidR="00BE6C96" w:rsidRPr="00955D3D" w14:paraId="7C5197E3"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E7A442"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Cr</w:t>
            </w:r>
          </w:p>
        </w:tc>
        <w:tc>
          <w:tcPr>
            <w:tcW w:w="0" w:type="auto"/>
            <w:hideMark/>
          </w:tcPr>
          <w:p w14:paraId="199567B3"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 vs 50 m ; 0 vs 100 m ; 50 vs 100 m</w:t>
            </w:r>
          </w:p>
        </w:tc>
        <w:tc>
          <w:tcPr>
            <w:tcW w:w="0" w:type="auto"/>
            <w:hideMark/>
          </w:tcPr>
          <w:p w14:paraId="13B7EAD6"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&gt; 0.54</w:t>
            </w:r>
          </w:p>
        </w:tc>
        <w:tc>
          <w:tcPr>
            <w:tcW w:w="0" w:type="auto"/>
            <w:hideMark/>
          </w:tcPr>
          <w:p w14:paraId="11B8DF0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roofErr w:type="gramStart"/>
            <w:r w:rsidRPr="00955D3D">
              <w:rPr>
                <w:rFonts w:asciiTheme="majorBidi" w:hAnsiTheme="majorBidi" w:cstheme="majorBidi"/>
                <w:color w:val="000000" w:themeColor="text1"/>
              </w:rPr>
              <w:t>ns</w:t>
            </w:r>
            <w:proofErr w:type="gramEnd"/>
          </w:p>
        </w:tc>
      </w:tr>
      <w:tr w:rsidR="00BE6C96" w:rsidRPr="00955D3D" w14:paraId="0FECBDDB"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613CD912"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Cu</w:t>
            </w:r>
          </w:p>
        </w:tc>
        <w:tc>
          <w:tcPr>
            <w:tcW w:w="0" w:type="auto"/>
            <w:hideMark/>
          </w:tcPr>
          <w:p w14:paraId="7660803F"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 vs 50 m ; 0 vs 100 m ; 50 vs 100 m</w:t>
            </w:r>
          </w:p>
        </w:tc>
        <w:tc>
          <w:tcPr>
            <w:tcW w:w="0" w:type="auto"/>
            <w:hideMark/>
          </w:tcPr>
          <w:p w14:paraId="6F24E2A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&gt; 0.70</w:t>
            </w:r>
          </w:p>
        </w:tc>
        <w:tc>
          <w:tcPr>
            <w:tcW w:w="0" w:type="auto"/>
            <w:hideMark/>
          </w:tcPr>
          <w:p w14:paraId="75170A2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roofErr w:type="gramStart"/>
            <w:r w:rsidRPr="00955D3D">
              <w:rPr>
                <w:rFonts w:asciiTheme="majorBidi" w:hAnsiTheme="majorBidi" w:cstheme="majorBidi"/>
                <w:color w:val="000000" w:themeColor="text1"/>
              </w:rPr>
              <w:t>ns</w:t>
            </w:r>
            <w:proofErr w:type="gramEnd"/>
          </w:p>
        </w:tc>
      </w:tr>
      <w:tr w:rsidR="00BE6C96" w:rsidRPr="00955D3D" w14:paraId="473D49B8"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3C25A5"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Fe</w:t>
            </w:r>
          </w:p>
        </w:tc>
        <w:tc>
          <w:tcPr>
            <w:tcW w:w="0" w:type="auto"/>
            <w:hideMark/>
          </w:tcPr>
          <w:p w14:paraId="067CEF6E"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 vs 50 m ; 0 vs 100 m ; 50 vs 100 m</w:t>
            </w:r>
          </w:p>
        </w:tc>
        <w:tc>
          <w:tcPr>
            <w:tcW w:w="0" w:type="auto"/>
            <w:hideMark/>
          </w:tcPr>
          <w:p w14:paraId="01FA0331"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&gt; 0.53</w:t>
            </w:r>
          </w:p>
        </w:tc>
        <w:tc>
          <w:tcPr>
            <w:tcW w:w="0" w:type="auto"/>
            <w:hideMark/>
          </w:tcPr>
          <w:p w14:paraId="6F591310"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roofErr w:type="gramStart"/>
            <w:r w:rsidRPr="00955D3D">
              <w:rPr>
                <w:rFonts w:asciiTheme="majorBidi" w:hAnsiTheme="majorBidi" w:cstheme="majorBidi"/>
                <w:color w:val="000000" w:themeColor="text1"/>
              </w:rPr>
              <w:t>ns</w:t>
            </w:r>
            <w:proofErr w:type="gramEnd"/>
          </w:p>
        </w:tc>
      </w:tr>
      <w:tr w:rsidR="00BE6C96" w:rsidRPr="00955D3D" w14:paraId="33B1F842"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154200D2"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Ni</w:t>
            </w:r>
          </w:p>
        </w:tc>
        <w:tc>
          <w:tcPr>
            <w:tcW w:w="0" w:type="auto"/>
            <w:hideMark/>
          </w:tcPr>
          <w:p w14:paraId="20263E2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 vs 50 m ; 0 vs 100 m ; 50 vs 100 m</w:t>
            </w:r>
          </w:p>
        </w:tc>
        <w:tc>
          <w:tcPr>
            <w:tcW w:w="0" w:type="auto"/>
            <w:hideMark/>
          </w:tcPr>
          <w:p w14:paraId="762A103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&gt; 0.75</w:t>
            </w:r>
          </w:p>
        </w:tc>
        <w:tc>
          <w:tcPr>
            <w:tcW w:w="0" w:type="auto"/>
            <w:hideMark/>
          </w:tcPr>
          <w:p w14:paraId="46BBF4FA"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roofErr w:type="gramStart"/>
            <w:r w:rsidRPr="00955D3D">
              <w:rPr>
                <w:rFonts w:asciiTheme="majorBidi" w:hAnsiTheme="majorBidi" w:cstheme="majorBidi"/>
                <w:color w:val="000000" w:themeColor="text1"/>
              </w:rPr>
              <w:t>ns</w:t>
            </w:r>
            <w:proofErr w:type="gramEnd"/>
          </w:p>
        </w:tc>
      </w:tr>
      <w:tr w:rsidR="00BE6C96" w:rsidRPr="00955D3D" w14:paraId="2FD21CF9"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8DC2DC"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Style w:val="Strong"/>
                <w:rFonts w:asciiTheme="majorBidi" w:eastAsiaTheme="majorEastAsia" w:hAnsiTheme="majorBidi"/>
                <w:color w:val="000000" w:themeColor="text1"/>
              </w:rPr>
              <w:t>Pb</w:t>
            </w:r>
          </w:p>
        </w:tc>
        <w:tc>
          <w:tcPr>
            <w:tcW w:w="0" w:type="auto"/>
            <w:hideMark/>
          </w:tcPr>
          <w:p w14:paraId="52794551"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 vs 50 m ; 0 vs 100 m ; 50 vs 100 m</w:t>
            </w:r>
          </w:p>
        </w:tc>
        <w:tc>
          <w:tcPr>
            <w:tcW w:w="0" w:type="auto"/>
            <w:hideMark/>
          </w:tcPr>
          <w:p w14:paraId="116514A3"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&gt; 0.53</w:t>
            </w:r>
          </w:p>
        </w:tc>
        <w:tc>
          <w:tcPr>
            <w:tcW w:w="0" w:type="auto"/>
            <w:hideMark/>
          </w:tcPr>
          <w:p w14:paraId="6DD56D61"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proofErr w:type="gramStart"/>
            <w:r w:rsidRPr="00955D3D">
              <w:rPr>
                <w:rFonts w:asciiTheme="majorBidi" w:hAnsiTheme="majorBidi" w:cstheme="majorBidi"/>
                <w:color w:val="000000" w:themeColor="text1"/>
              </w:rPr>
              <w:t>ns</w:t>
            </w:r>
            <w:proofErr w:type="gramEnd"/>
          </w:p>
        </w:tc>
      </w:tr>
      <w:tr w:rsidR="00BE6C96" w:rsidRPr="00955D3D" w14:paraId="761A4E0E" w14:textId="77777777" w:rsidTr="0031013D">
        <w:tc>
          <w:tcPr>
            <w:cnfStyle w:val="001000000000" w:firstRow="0" w:lastRow="0" w:firstColumn="1" w:lastColumn="0" w:oddVBand="0" w:evenVBand="0" w:oddHBand="0" w:evenHBand="0" w:firstRowFirstColumn="0" w:firstRowLastColumn="0" w:lastRowFirstColumn="0" w:lastRowLastColumn="0"/>
            <w:tcW w:w="0" w:type="auto"/>
          </w:tcPr>
          <w:p w14:paraId="2AAE4451" w14:textId="77777777" w:rsidR="00BE6C96" w:rsidRPr="00955D3D" w:rsidRDefault="00BE6C96" w:rsidP="0031013D">
            <w:pPr>
              <w:spacing w:line="360" w:lineRule="auto"/>
              <w:jc w:val="both"/>
              <w:rPr>
                <w:rStyle w:val="Strong"/>
                <w:rFonts w:asciiTheme="majorBidi" w:eastAsiaTheme="majorEastAsia" w:hAnsiTheme="majorBidi"/>
                <w:color w:val="000000" w:themeColor="text1"/>
              </w:rPr>
            </w:pPr>
            <w:r w:rsidRPr="00955D3D">
              <w:rPr>
                <w:rStyle w:val="Strong"/>
                <w:rFonts w:asciiTheme="majorBidi" w:eastAsiaTheme="majorEastAsia" w:hAnsiTheme="majorBidi"/>
                <w:color w:val="000000" w:themeColor="text1"/>
              </w:rPr>
              <w:t>Zn</w:t>
            </w:r>
          </w:p>
        </w:tc>
        <w:tc>
          <w:tcPr>
            <w:tcW w:w="0" w:type="auto"/>
          </w:tcPr>
          <w:p w14:paraId="7A7F9251"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 vs 50 m ; 0 vs 100 m ; 50 vs 100 m</w:t>
            </w:r>
          </w:p>
        </w:tc>
        <w:tc>
          <w:tcPr>
            <w:tcW w:w="0" w:type="auto"/>
          </w:tcPr>
          <w:p w14:paraId="0B1D24CA"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&gt; 0.53</w:t>
            </w:r>
          </w:p>
        </w:tc>
        <w:tc>
          <w:tcPr>
            <w:tcW w:w="0" w:type="auto"/>
          </w:tcPr>
          <w:p w14:paraId="78191A7E"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roofErr w:type="gramStart"/>
            <w:r w:rsidRPr="00955D3D">
              <w:rPr>
                <w:rFonts w:asciiTheme="majorBidi" w:hAnsiTheme="majorBidi" w:cstheme="majorBidi"/>
                <w:color w:val="000000" w:themeColor="text1"/>
              </w:rPr>
              <w:t>ns</w:t>
            </w:r>
            <w:proofErr w:type="gramEnd"/>
          </w:p>
        </w:tc>
      </w:tr>
    </w:tbl>
    <w:p w14:paraId="7E491EA2" w14:textId="6B229390" w:rsidR="006D5AED" w:rsidRPr="00D55CE6" w:rsidRDefault="00D55CE6" w:rsidP="00D55CE6">
      <w:pPr>
        <w:pStyle w:val="Heading2"/>
        <w:spacing w:line="360" w:lineRule="auto"/>
        <w:jc w:val="both"/>
        <w:rPr>
          <w:rFonts w:asciiTheme="majorBidi" w:eastAsia="Times New Roman" w:hAnsiTheme="majorBidi"/>
          <w:color w:val="000000" w:themeColor="text1"/>
          <w:sz w:val="24"/>
          <w:szCs w:val="24"/>
          <w:lang w:val="en-GB"/>
        </w:rPr>
      </w:pPr>
      <w:r>
        <w:rPr>
          <w:rFonts w:asciiTheme="majorBidi" w:eastAsia="Times New Roman" w:hAnsiTheme="majorBidi"/>
          <w:color w:val="000000" w:themeColor="text1"/>
          <w:sz w:val="24"/>
          <w:szCs w:val="24"/>
          <w:lang w:val="en-GB"/>
        </w:rPr>
        <w:t>*</w:t>
      </w:r>
      <w:r w:rsidRPr="00D55CE6">
        <w:rPr>
          <w:rFonts w:asciiTheme="majorBidi" w:eastAsia="Times New Roman" w:hAnsiTheme="majorBidi"/>
          <w:i/>
          <w:color w:val="000000" w:themeColor="text1"/>
          <w:sz w:val="22"/>
          <w:szCs w:val="22"/>
          <w:lang w:val="en-GB"/>
        </w:rPr>
        <w:t xml:space="preserve">ns: </w:t>
      </w:r>
      <w:proofErr w:type="gramStart"/>
      <w:r w:rsidRPr="00D55CE6">
        <w:rPr>
          <w:rFonts w:asciiTheme="majorBidi" w:eastAsia="Times New Roman" w:hAnsiTheme="majorBidi"/>
          <w:i/>
          <w:color w:val="000000" w:themeColor="text1"/>
          <w:sz w:val="22"/>
          <w:szCs w:val="22"/>
          <w:lang w:val="en-GB"/>
        </w:rPr>
        <w:t>Non significant</w:t>
      </w:r>
      <w:proofErr w:type="gramEnd"/>
    </w:p>
    <w:p w14:paraId="024B60E1" w14:textId="7550A28B" w:rsidR="00BE6C96" w:rsidRPr="006D5AED" w:rsidRDefault="006D5AED" w:rsidP="00BE6C96">
      <w:pPr>
        <w:spacing w:line="360" w:lineRule="auto"/>
        <w:jc w:val="both"/>
        <w:rPr>
          <w:rFonts w:asciiTheme="majorBidi" w:hAnsiTheme="majorBidi" w:cstheme="majorBidi"/>
          <w:b/>
          <w:bCs/>
          <w:color w:val="000000" w:themeColor="text1"/>
          <w:lang w:val="en-GB"/>
        </w:rPr>
      </w:pPr>
      <w:r w:rsidRPr="006D5AED">
        <w:rPr>
          <w:rFonts w:asciiTheme="majorBidi" w:hAnsiTheme="majorBidi" w:cstheme="majorBidi"/>
          <w:color w:val="000000" w:themeColor="text1"/>
          <w:lang w:val="en-GB"/>
        </w:rPr>
        <w:t xml:space="preserve">The principal component analysis (PCA) plot </w:t>
      </w:r>
      <w:r w:rsidR="00772868">
        <w:rPr>
          <w:rFonts w:asciiTheme="majorBidi" w:hAnsiTheme="majorBidi" w:cstheme="majorBidi"/>
          <w:color w:val="000000" w:themeColor="text1"/>
          <w:lang w:val="en-GB"/>
        </w:rPr>
        <w:t xml:space="preserve">presented in Figure 2 </w:t>
      </w:r>
      <w:r w:rsidRPr="006D5AED">
        <w:rPr>
          <w:rFonts w:asciiTheme="majorBidi" w:hAnsiTheme="majorBidi" w:cstheme="majorBidi"/>
          <w:color w:val="000000" w:themeColor="text1"/>
          <w:lang w:val="en-GB"/>
        </w:rPr>
        <w:t xml:space="preserve">further highlights the distinct metallic composition of well water across the three cities. </w:t>
      </w:r>
    </w:p>
    <w:p w14:paraId="20D04F56" w14:textId="77777777" w:rsidR="00BE6C96" w:rsidRPr="00955D3D" w:rsidRDefault="00BE6C96" w:rsidP="00BE6C96">
      <w:pPr>
        <w:spacing w:line="360" w:lineRule="auto"/>
        <w:jc w:val="both"/>
        <w:rPr>
          <w:rFonts w:asciiTheme="majorBidi" w:hAnsiTheme="majorBidi" w:cstheme="majorBidi"/>
          <w:color w:val="000000" w:themeColor="text1"/>
        </w:rPr>
      </w:pPr>
      <w:r w:rsidRPr="00955D3D">
        <w:rPr>
          <w:rFonts w:asciiTheme="majorBidi" w:hAnsiTheme="majorBidi" w:cstheme="majorBidi"/>
          <w:noProof/>
          <w:color w:val="000000" w:themeColor="text1"/>
          <w14:ligatures w14:val="standardContextual"/>
        </w:rPr>
        <w:drawing>
          <wp:inline distT="0" distB="0" distL="0" distR="0" wp14:anchorId="5B314689" wp14:editId="0C6BE69D">
            <wp:extent cx="5731510" cy="3462655"/>
            <wp:effectExtent l="0" t="0" r="0" b="4445"/>
            <wp:docPr id="85594628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946289" name="Image 855946289"/>
                    <pic:cNvPicPr/>
                  </pic:nvPicPr>
                  <pic:blipFill>
                    <a:blip r:embed="rId8">
                      <a:extLst>
                        <a:ext uri="{28A0092B-C50C-407E-A947-70E740481C1C}">
                          <a14:useLocalDpi xmlns:a14="http://schemas.microsoft.com/office/drawing/2010/main" val="0"/>
                        </a:ext>
                      </a:extLst>
                    </a:blip>
                    <a:stretch>
                      <a:fillRect/>
                    </a:stretch>
                  </pic:blipFill>
                  <pic:spPr>
                    <a:xfrm>
                      <a:off x="0" y="0"/>
                      <a:ext cx="5731510" cy="3462655"/>
                    </a:xfrm>
                    <a:prstGeom prst="rect">
                      <a:avLst/>
                    </a:prstGeom>
                  </pic:spPr>
                </pic:pic>
              </a:graphicData>
            </a:graphic>
          </wp:inline>
        </w:drawing>
      </w:r>
    </w:p>
    <w:p w14:paraId="54C40E6D" w14:textId="77777777" w:rsidR="006D5AED" w:rsidRPr="006D5AED" w:rsidRDefault="006D5AED" w:rsidP="006D5AED">
      <w:pPr>
        <w:spacing w:line="360" w:lineRule="auto"/>
        <w:jc w:val="both"/>
        <w:rPr>
          <w:rFonts w:asciiTheme="majorBidi" w:hAnsiTheme="majorBidi" w:cstheme="majorBidi"/>
          <w:color w:val="000000" w:themeColor="text1"/>
          <w:lang w:val="en-GB"/>
        </w:rPr>
      </w:pPr>
      <w:r w:rsidRPr="006D5AED">
        <w:rPr>
          <w:rFonts w:asciiTheme="majorBidi" w:hAnsiTheme="majorBidi" w:cstheme="majorBidi"/>
          <w:b/>
          <w:bCs/>
          <w:color w:val="000000" w:themeColor="text1"/>
          <w:lang w:val="en-GB"/>
        </w:rPr>
        <w:t>Figure 2</w:t>
      </w:r>
      <w:r w:rsidRPr="006D5AED">
        <w:rPr>
          <w:rFonts w:asciiTheme="majorBidi" w:hAnsiTheme="majorBidi" w:cstheme="majorBidi"/>
          <w:color w:val="000000" w:themeColor="text1"/>
          <w:lang w:val="en-GB"/>
        </w:rPr>
        <w:t>: PCA Plot of Sampling Sites</w:t>
      </w:r>
    </w:p>
    <w:p w14:paraId="006A3B8D" w14:textId="121C4300" w:rsidR="006D5AED" w:rsidRPr="006D5AED" w:rsidRDefault="00772868" w:rsidP="006D5AED">
      <w:pPr>
        <w:spacing w:line="360" w:lineRule="auto"/>
        <w:jc w:val="both"/>
        <w:rPr>
          <w:rFonts w:asciiTheme="majorBidi" w:hAnsiTheme="majorBidi" w:cstheme="majorBidi"/>
          <w:color w:val="000000" w:themeColor="text1"/>
          <w:lang w:val="en-GB"/>
        </w:rPr>
      </w:pPr>
      <w:r>
        <w:rPr>
          <w:rFonts w:asciiTheme="majorBidi" w:hAnsiTheme="majorBidi" w:cstheme="majorBidi"/>
          <w:color w:val="000000" w:themeColor="text1"/>
          <w:lang w:val="en-GB"/>
        </w:rPr>
        <w:t>The</w:t>
      </w:r>
      <w:r w:rsidR="006D5AED" w:rsidRPr="006D5AED">
        <w:rPr>
          <w:rFonts w:asciiTheme="majorBidi" w:hAnsiTheme="majorBidi" w:cstheme="majorBidi"/>
          <w:color w:val="000000" w:themeColor="text1"/>
          <w:lang w:val="en-GB"/>
        </w:rPr>
        <w:t xml:space="preserve"> analysis </w:t>
      </w:r>
      <w:r>
        <w:rPr>
          <w:rFonts w:asciiTheme="majorBidi" w:hAnsiTheme="majorBidi" w:cstheme="majorBidi"/>
          <w:color w:val="000000" w:themeColor="text1"/>
          <w:lang w:val="en-GB"/>
        </w:rPr>
        <w:t xml:space="preserve">of the </w:t>
      </w:r>
      <w:r w:rsidR="006D5AED" w:rsidRPr="006D5AED">
        <w:rPr>
          <w:rFonts w:asciiTheme="majorBidi" w:hAnsiTheme="majorBidi" w:cstheme="majorBidi"/>
          <w:color w:val="000000" w:themeColor="text1"/>
          <w:lang w:val="en-GB"/>
        </w:rPr>
        <w:t xml:space="preserve">PCA </w:t>
      </w:r>
      <w:r>
        <w:rPr>
          <w:rFonts w:asciiTheme="majorBidi" w:hAnsiTheme="majorBidi" w:cstheme="majorBidi"/>
          <w:color w:val="000000" w:themeColor="text1"/>
          <w:lang w:val="en-GB"/>
        </w:rPr>
        <w:t>reveals</w:t>
      </w:r>
      <w:r w:rsidR="006D5AED" w:rsidRPr="006D5AED">
        <w:rPr>
          <w:rFonts w:asciiTheme="majorBidi" w:hAnsiTheme="majorBidi" w:cstheme="majorBidi"/>
          <w:color w:val="000000" w:themeColor="text1"/>
          <w:lang w:val="en-GB"/>
        </w:rPr>
        <w:t xml:space="preserve"> differences in well-water metal composition among the three cities. The first dimension (Dim1), which accounts for 7</w:t>
      </w:r>
      <w:r>
        <w:rPr>
          <w:rFonts w:asciiTheme="majorBidi" w:hAnsiTheme="majorBidi" w:cstheme="majorBidi"/>
          <w:color w:val="000000" w:themeColor="text1"/>
          <w:lang w:val="en-GB"/>
        </w:rPr>
        <w:t>3.9</w:t>
      </w:r>
      <w:r w:rsidR="006D5AED" w:rsidRPr="006D5AED">
        <w:rPr>
          <w:rFonts w:asciiTheme="majorBidi" w:hAnsiTheme="majorBidi" w:cstheme="majorBidi"/>
          <w:color w:val="000000" w:themeColor="text1"/>
          <w:lang w:val="en-GB"/>
        </w:rPr>
        <w:t>% of the total variance, is primarily associated with metals that are strongly correlated (Fe, Cu, Ni, Pb, Cd, and Zn). Samples positioned at higher values along Dim1 correspond to areas where these metals are present at elevated concentrations. Abomey-</w:t>
      </w:r>
      <w:proofErr w:type="spellStart"/>
      <w:r w:rsidR="006D5AED" w:rsidRPr="006D5AED">
        <w:rPr>
          <w:rFonts w:asciiTheme="majorBidi" w:hAnsiTheme="majorBidi" w:cstheme="majorBidi"/>
          <w:color w:val="000000" w:themeColor="text1"/>
          <w:lang w:val="en-GB"/>
        </w:rPr>
        <w:t>Calavi</w:t>
      </w:r>
      <w:proofErr w:type="spellEnd"/>
      <w:r w:rsidR="006D5AED" w:rsidRPr="006D5AED">
        <w:rPr>
          <w:rFonts w:asciiTheme="majorBidi" w:hAnsiTheme="majorBidi" w:cstheme="majorBidi"/>
          <w:color w:val="000000" w:themeColor="text1"/>
          <w:lang w:val="en-GB"/>
        </w:rPr>
        <w:t xml:space="preserve"> samples cluster around lower Dim1 values, indicating generally low levels of contamination. Cotonou samples occupy intermediate Dim1 values, </w:t>
      </w:r>
      <w:r w:rsidR="006D5AED" w:rsidRPr="006D5AED">
        <w:rPr>
          <w:rFonts w:asciiTheme="majorBidi" w:hAnsiTheme="majorBidi" w:cstheme="majorBidi"/>
          <w:color w:val="000000" w:themeColor="text1"/>
          <w:lang w:val="en-GB"/>
        </w:rPr>
        <w:lastRenderedPageBreak/>
        <w:t xml:space="preserve">reflecting moderate concentrations of correlated metals, whereas </w:t>
      </w:r>
      <w:proofErr w:type="spellStart"/>
      <w:r w:rsidR="006D5AED" w:rsidRPr="006D5AED">
        <w:rPr>
          <w:rFonts w:asciiTheme="majorBidi" w:hAnsiTheme="majorBidi" w:cstheme="majorBidi"/>
          <w:color w:val="000000" w:themeColor="text1"/>
          <w:lang w:val="en-GB"/>
        </w:rPr>
        <w:t>Natitingou</w:t>
      </w:r>
      <w:proofErr w:type="spellEnd"/>
      <w:r w:rsidR="006D5AED" w:rsidRPr="006D5AED">
        <w:rPr>
          <w:rFonts w:asciiTheme="majorBidi" w:hAnsiTheme="majorBidi" w:cstheme="majorBidi"/>
          <w:color w:val="000000" w:themeColor="text1"/>
          <w:lang w:val="en-GB"/>
        </w:rPr>
        <w:t xml:space="preserve"> samples display the highest Dim1 values, signifying greater concentrations of these metals. </w:t>
      </w:r>
      <w:r>
        <w:rPr>
          <w:rFonts w:asciiTheme="majorBidi" w:hAnsiTheme="majorBidi" w:cstheme="majorBidi"/>
          <w:color w:val="000000" w:themeColor="text1"/>
          <w:lang w:val="en-GB"/>
        </w:rPr>
        <w:t>The</w:t>
      </w:r>
      <w:r w:rsidR="006D5AED" w:rsidRPr="006D5AED">
        <w:rPr>
          <w:rFonts w:asciiTheme="majorBidi" w:hAnsiTheme="majorBidi" w:cstheme="majorBidi"/>
          <w:color w:val="000000" w:themeColor="text1"/>
          <w:lang w:val="en-GB"/>
        </w:rPr>
        <w:t xml:space="preserve"> PCA confirms that the correlated metals strongly influence the data structure, positioning Abomey-</w:t>
      </w:r>
      <w:proofErr w:type="spellStart"/>
      <w:r w:rsidR="006D5AED" w:rsidRPr="006D5AED">
        <w:rPr>
          <w:rFonts w:asciiTheme="majorBidi" w:hAnsiTheme="majorBidi" w:cstheme="majorBidi"/>
          <w:color w:val="000000" w:themeColor="text1"/>
          <w:lang w:val="en-GB"/>
        </w:rPr>
        <w:t>Calavi</w:t>
      </w:r>
      <w:proofErr w:type="spellEnd"/>
      <w:r w:rsidR="006D5AED" w:rsidRPr="006D5AED">
        <w:rPr>
          <w:rFonts w:asciiTheme="majorBidi" w:hAnsiTheme="majorBidi" w:cstheme="majorBidi"/>
          <w:color w:val="000000" w:themeColor="text1"/>
          <w:lang w:val="en-GB"/>
        </w:rPr>
        <w:t xml:space="preserve"> as the least affected area, Cotonou as intermediate, and </w:t>
      </w:r>
      <w:proofErr w:type="spellStart"/>
      <w:r w:rsidR="006D5AED" w:rsidRPr="006D5AED">
        <w:rPr>
          <w:rFonts w:asciiTheme="majorBidi" w:hAnsiTheme="majorBidi" w:cstheme="majorBidi"/>
          <w:color w:val="000000" w:themeColor="text1"/>
          <w:lang w:val="en-GB"/>
        </w:rPr>
        <w:t>Natitingou</w:t>
      </w:r>
      <w:proofErr w:type="spellEnd"/>
      <w:r w:rsidR="006D5AED" w:rsidRPr="006D5AED">
        <w:rPr>
          <w:rFonts w:asciiTheme="majorBidi" w:hAnsiTheme="majorBidi" w:cstheme="majorBidi"/>
          <w:color w:val="000000" w:themeColor="text1"/>
          <w:lang w:val="en-GB"/>
        </w:rPr>
        <w:t xml:space="preserve"> as the most contaminated.</w:t>
      </w:r>
    </w:p>
    <w:p w14:paraId="067B3C6F" w14:textId="77777777" w:rsidR="006D5AED" w:rsidRPr="006D5AED" w:rsidRDefault="006D5AED" w:rsidP="006D5AED">
      <w:pPr>
        <w:spacing w:line="360" w:lineRule="auto"/>
        <w:jc w:val="both"/>
        <w:rPr>
          <w:rFonts w:asciiTheme="majorBidi" w:hAnsiTheme="majorBidi" w:cstheme="majorBidi"/>
          <w:color w:val="000000" w:themeColor="text1"/>
          <w:lang w:val="en-GB"/>
        </w:rPr>
      </w:pPr>
      <w:r w:rsidRPr="006D5AED">
        <w:rPr>
          <w:rFonts w:asciiTheme="majorBidi" w:hAnsiTheme="majorBidi" w:cstheme="majorBidi"/>
          <w:b/>
          <w:bCs/>
          <w:color w:val="000000" w:themeColor="text1"/>
          <w:lang w:val="en-GB"/>
        </w:rPr>
        <w:t>Table 5</w:t>
      </w:r>
      <w:r w:rsidRPr="006D5AED">
        <w:rPr>
          <w:rFonts w:asciiTheme="majorBidi" w:hAnsiTheme="majorBidi" w:cstheme="majorBidi"/>
          <w:color w:val="000000" w:themeColor="text1"/>
          <w:lang w:val="en-GB"/>
        </w:rPr>
        <w:t>: Metal Index (MI) by City</w:t>
      </w:r>
    </w:p>
    <w:tbl>
      <w:tblPr>
        <w:tblStyle w:val="PlainTable2"/>
        <w:tblW w:w="0" w:type="auto"/>
        <w:tblLook w:val="04A0" w:firstRow="1" w:lastRow="0" w:firstColumn="1" w:lastColumn="0" w:noHBand="0" w:noVBand="1"/>
      </w:tblPr>
      <w:tblGrid>
        <w:gridCol w:w="1683"/>
        <w:gridCol w:w="1310"/>
        <w:gridCol w:w="913"/>
        <w:gridCol w:w="730"/>
        <w:gridCol w:w="601"/>
        <w:gridCol w:w="620"/>
        <w:gridCol w:w="2947"/>
      </w:tblGrid>
      <w:tr w:rsidR="0070221F" w:rsidRPr="00955D3D" w14:paraId="28A176CB" w14:textId="77777777" w:rsidTr="003101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93C3C0" w14:textId="77777777" w:rsidR="006D5AED" w:rsidRPr="00772868" w:rsidRDefault="006D5AED" w:rsidP="0031013D">
            <w:pPr>
              <w:spacing w:line="360" w:lineRule="auto"/>
              <w:jc w:val="both"/>
              <w:rPr>
                <w:rFonts w:asciiTheme="majorBidi" w:hAnsiTheme="majorBidi" w:cstheme="majorBidi"/>
                <w:b w:val="0"/>
                <w:bCs w:val="0"/>
                <w:color w:val="000000" w:themeColor="text1"/>
                <w:sz w:val="22"/>
                <w:szCs w:val="22"/>
                <w:lang w:val="en-GB"/>
              </w:rPr>
            </w:pPr>
          </w:p>
          <w:p w14:paraId="3C92F2EB" w14:textId="28E3FA64" w:rsidR="00BE6C96" w:rsidRPr="00772868" w:rsidRDefault="0070221F" w:rsidP="0031013D">
            <w:pPr>
              <w:spacing w:line="360" w:lineRule="auto"/>
              <w:jc w:val="both"/>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City</w:t>
            </w:r>
          </w:p>
        </w:tc>
        <w:tc>
          <w:tcPr>
            <w:tcW w:w="0" w:type="auto"/>
            <w:hideMark/>
          </w:tcPr>
          <w:p w14:paraId="6C7DFDF6" w14:textId="0EF5DA68" w:rsidR="00BE6C96" w:rsidRPr="00772868" w:rsidRDefault="0070221F"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proofErr w:type="spellStart"/>
            <w:r w:rsidRPr="00772868">
              <w:rPr>
                <w:rFonts w:asciiTheme="majorBidi" w:hAnsiTheme="majorBidi" w:cstheme="majorBidi"/>
                <w:color w:val="000000" w:themeColor="text1"/>
                <w:sz w:val="22"/>
                <w:szCs w:val="22"/>
              </w:rPr>
              <w:t>Sample</w:t>
            </w:r>
            <w:proofErr w:type="spellEnd"/>
            <w:r w:rsidRPr="00772868">
              <w:rPr>
                <w:rFonts w:asciiTheme="majorBidi" w:hAnsiTheme="majorBidi" w:cstheme="majorBidi"/>
                <w:color w:val="000000" w:themeColor="text1"/>
                <w:sz w:val="22"/>
                <w:szCs w:val="22"/>
              </w:rPr>
              <w:t xml:space="preserve"> size</w:t>
            </w:r>
          </w:p>
        </w:tc>
        <w:tc>
          <w:tcPr>
            <w:tcW w:w="0" w:type="auto"/>
            <w:hideMark/>
          </w:tcPr>
          <w:p w14:paraId="3884BB8E" w14:textId="61431E2E" w:rsidR="00BE6C96" w:rsidRPr="00772868" w:rsidRDefault="0070221F"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proofErr w:type="spellStart"/>
            <w:proofErr w:type="gramStart"/>
            <w:r w:rsidRPr="00772868">
              <w:rPr>
                <w:rFonts w:asciiTheme="majorBidi" w:hAnsiTheme="majorBidi" w:cstheme="majorBidi"/>
                <w:color w:val="000000" w:themeColor="text1"/>
                <w:sz w:val="22"/>
                <w:szCs w:val="22"/>
              </w:rPr>
              <w:t>median</w:t>
            </w:r>
            <w:proofErr w:type="spellEnd"/>
            <w:proofErr w:type="gramEnd"/>
          </w:p>
        </w:tc>
        <w:tc>
          <w:tcPr>
            <w:tcW w:w="0" w:type="auto"/>
            <w:hideMark/>
          </w:tcPr>
          <w:p w14:paraId="571C13B9" w14:textId="66E9B9FA" w:rsidR="00BE6C96" w:rsidRPr="00772868"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proofErr w:type="spellStart"/>
            <w:proofErr w:type="gramStart"/>
            <w:r w:rsidRPr="00772868">
              <w:rPr>
                <w:rFonts w:asciiTheme="majorBidi" w:hAnsiTheme="majorBidi" w:cstheme="majorBidi"/>
                <w:color w:val="000000" w:themeColor="text1"/>
                <w:sz w:val="22"/>
                <w:szCs w:val="22"/>
              </w:rPr>
              <w:t>m</w:t>
            </w:r>
            <w:r w:rsidR="0070221F" w:rsidRPr="00772868">
              <w:rPr>
                <w:rFonts w:asciiTheme="majorBidi" w:hAnsiTheme="majorBidi" w:cstheme="majorBidi"/>
                <w:color w:val="000000" w:themeColor="text1"/>
                <w:sz w:val="22"/>
                <w:szCs w:val="22"/>
              </w:rPr>
              <w:t>ean</w:t>
            </w:r>
            <w:proofErr w:type="spellEnd"/>
            <w:proofErr w:type="gramEnd"/>
          </w:p>
        </w:tc>
        <w:tc>
          <w:tcPr>
            <w:tcW w:w="0" w:type="auto"/>
            <w:hideMark/>
          </w:tcPr>
          <w:p w14:paraId="6B2D7194" w14:textId="2F90A1E9" w:rsidR="00BE6C96" w:rsidRPr="00772868"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proofErr w:type="gramStart"/>
            <w:r w:rsidRPr="00772868">
              <w:rPr>
                <w:rFonts w:asciiTheme="majorBidi" w:hAnsiTheme="majorBidi" w:cstheme="majorBidi"/>
                <w:color w:val="000000" w:themeColor="text1"/>
                <w:sz w:val="22"/>
                <w:szCs w:val="22"/>
              </w:rPr>
              <w:t>min</w:t>
            </w:r>
            <w:proofErr w:type="gramEnd"/>
          </w:p>
        </w:tc>
        <w:tc>
          <w:tcPr>
            <w:tcW w:w="0" w:type="auto"/>
            <w:hideMark/>
          </w:tcPr>
          <w:p w14:paraId="496B1EA5" w14:textId="5AA0254F" w:rsidR="00BE6C96" w:rsidRPr="00772868"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proofErr w:type="gramStart"/>
            <w:r w:rsidRPr="00772868">
              <w:rPr>
                <w:rFonts w:asciiTheme="majorBidi" w:hAnsiTheme="majorBidi" w:cstheme="majorBidi"/>
                <w:color w:val="000000" w:themeColor="text1"/>
                <w:sz w:val="22"/>
                <w:szCs w:val="22"/>
              </w:rPr>
              <w:t>max</w:t>
            </w:r>
            <w:proofErr w:type="gramEnd"/>
          </w:p>
        </w:tc>
        <w:tc>
          <w:tcPr>
            <w:tcW w:w="0" w:type="auto"/>
            <w:hideMark/>
          </w:tcPr>
          <w:p w14:paraId="2D837EBA" w14:textId="19A7664C" w:rsidR="00BE6C96" w:rsidRPr="00772868" w:rsidRDefault="0070221F"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 xml:space="preserve">% </w:t>
            </w:r>
            <w:proofErr w:type="spellStart"/>
            <w:r w:rsidRPr="00772868">
              <w:rPr>
                <w:rFonts w:asciiTheme="majorBidi" w:hAnsiTheme="majorBidi" w:cstheme="majorBidi"/>
                <w:color w:val="000000" w:themeColor="text1"/>
                <w:sz w:val="22"/>
                <w:szCs w:val="22"/>
              </w:rPr>
              <w:t>Polluted</w:t>
            </w:r>
            <w:proofErr w:type="spellEnd"/>
            <w:r w:rsidRPr="00772868">
              <w:rPr>
                <w:rFonts w:asciiTheme="majorBidi" w:hAnsiTheme="majorBidi" w:cstheme="majorBidi"/>
                <w:color w:val="000000" w:themeColor="text1"/>
                <w:sz w:val="22"/>
                <w:szCs w:val="22"/>
              </w:rPr>
              <w:t xml:space="preserve"> </w:t>
            </w:r>
            <w:proofErr w:type="spellStart"/>
            <w:r w:rsidRPr="00772868">
              <w:rPr>
                <w:rFonts w:asciiTheme="majorBidi" w:hAnsiTheme="majorBidi" w:cstheme="majorBidi"/>
                <w:color w:val="000000" w:themeColor="text1"/>
                <w:sz w:val="22"/>
                <w:szCs w:val="22"/>
              </w:rPr>
              <w:t>Samples</w:t>
            </w:r>
            <w:proofErr w:type="spellEnd"/>
            <w:r w:rsidRPr="00772868">
              <w:rPr>
                <w:rFonts w:asciiTheme="majorBidi" w:hAnsiTheme="majorBidi" w:cstheme="majorBidi"/>
                <w:color w:val="000000" w:themeColor="text1"/>
                <w:sz w:val="22"/>
                <w:szCs w:val="22"/>
              </w:rPr>
              <w:t xml:space="preserve"> (MI ≥ 1)</w:t>
            </w:r>
          </w:p>
        </w:tc>
      </w:tr>
      <w:tr w:rsidR="0070221F" w:rsidRPr="00955D3D" w14:paraId="4FE242C9"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571FB0" w14:textId="77777777" w:rsidR="00BE6C96" w:rsidRPr="00772868" w:rsidRDefault="00BE6C96" w:rsidP="0031013D">
            <w:pPr>
              <w:spacing w:line="360" w:lineRule="auto"/>
              <w:jc w:val="both"/>
              <w:rPr>
                <w:rFonts w:asciiTheme="majorBidi" w:hAnsiTheme="majorBidi" w:cstheme="majorBidi"/>
                <w:b w:val="0"/>
                <w:bCs w:val="0"/>
                <w:color w:val="000000" w:themeColor="text1"/>
                <w:sz w:val="22"/>
                <w:szCs w:val="22"/>
              </w:rPr>
            </w:pPr>
            <w:r w:rsidRPr="00772868">
              <w:rPr>
                <w:rFonts w:asciiTheme="majorBidi" w:hAnsiTheme="majorBidi" w:cstheme="majorBidi"/>
                <w:color w:val="000000" w:themeColor="text1"/>
                <w:sz w:val="22"/>
                <w:szCs w:val="22"/>
              </w:rPr>
              <w:t>Abomey-Calavi</w:t>
            </w:r>
          </w:p>
        </w:tc>
        <w:tc>
          <w:tcPr>
            <w:tcW w:w="0" w:type="auto"/>
            <w:hideMark/>
          </w:tcPr>
          <w:p w14:paraId="0A6789E4"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15</w:t>
            </w:r>
          </w:p>
        </w:tc>
        <w:tc>
          <w:tcPr>
            <w:tcW w:w="0" w:type="auto"/>
            <w:hideMark/>
          </w:tcPr>
          <w:p w14:paraId="4121B955"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39,8</w:t>
            </w:r>
          </w:p>
        </w:tc>
        <w:tc>
          <w:tcPr>
            <w:tcW w:w="0" w:type="auto"/>
            <w:hideMark/>
          </w:tcPr>
          <w:p w14:paraId="45CFD2FC"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55,1</w:t>
            </w:r>
          </w:p>
        </w:tc>
        <w:tc>
          <w:tcPr>
            <w:tcW w:w="0" w:type="auto"/>
            <w:hideMark/>
          </w:tcPr>
          <w:p w14:paraId="50DDF6F8"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18,1</w:t>
            </w:r>
          </w:p>
        </w:tc>
        <w:tc>
          <w:tcPr>
            <w:tcW w:w="0" w:type="auto"/>
            <w:hideMark/>
          </w:tcPr>
          <w:p w14:paraId="6E5877BC"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132</w:t>
            </w:r>
          </w:p>
        </w:tc>
        <w:tc>
          <w:tcPr>
            <w:tcW w:w="0" w:type="auto"/>
            <w:hideMark/>
          </w:tcPr>
          <w:p w14:paraId="52F659DD"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100 %</w:t>
            </w:r>
          </w:p>
        </w:tc>
      </w:tr>
      <w:tr w:rsidR="0070221F" w:rsidRPr="00955D3D" w14:paraId="2DC8B5A7"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3628E825" w14:textId="77777777" w:rsidR="00BE6C96" w:rsidRPr="00772868" w:rsidRDefault="00BE6C96" w:rsidP="0031013D">
            <w:pPr>
              <w:spacing w:line="360" w:lineRule="auto"/>
              <w:jc w:val="both"/>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Cotonou</w:t>
            </w:r>
          </w:p>
        </w:tc>
        <w:tc>
          <w:tcPr>
            <w:tcW w:w="0" w:type="auto"/>
            <w:hideMark/>
          </w:tcPr>
          <w:p w14:paraId="5A5EA616" w14:textId="77777777" w:rsidR="00BE6C96" w:rsidRPr="00772868"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15</w:t>
            </w:r>
          </w:p>
        </w:tc>
        <w:tc>
          <w:tcPr>
            <w:tcW w:w="0" w:type="auto"/>
            <w:hideMark/>
          </w:tcPr>
          <w:p w14:paraId="7C16813D" w14:textId="77777777" w:rsidR="00BE6C96" w:rsidRPr="00772868"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172</w:t>
            </w:r>
          </w:p>
        </w:tc>
        <w:tc>
          <w:tcPr>
            <w:tcW w:w="0" w:type="auto"/>
            <w:hideMark/>
          </w:tcPr>
          <w:p w14:paraId="06690CE8" w14:textId="77777777" w:rsidR="00BE6C96" w:rsidRPr="00772868"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192</w:t>
            </w:r>
          </w:p>
        </w:tc>
        <w:tc>
          <w:tcPr>
            <w:tcW w:w="0" w:type="auto"/>
            <w:hideMark/>
          </w:tcPr>
          <w:p w14:paraId="0720CA9F" w14:textId="77777777" w:rsidR="00BE6C96" w:rsidRPr="00772868"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69,2</w:t>
            </w:r>
          </w:p>
        </w:tc>
        <w:tc>
          <w:tcPr>
            <w:tcW w:w="0" w:type="auto"/>
            <w:hideMark/>
          </w:tcPr>
          <w:p w14:paraId="1009DAEE" w14:textId="77777777" w:rsidR="00BE6C96" w:rsidRPr="00772868"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468</w:t>
            </w:r>
          </w:p>
        </w:tc>
        <w:tc>
          <w:tcPr>
            <w:tcW w:w="0" w:type="auto"/>
            <w:hideMark/>
          </w:tcPr>
          <w:p w14:paraId="65209388" w14:textId="77777777" w:rsidR="00BE6C96" w:rsidRPr="00772868"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100 %</w:t>
            </w:r>
          </w:p>
        </w:tc>
      </w:tr>
      <w:tr w:rsidR="0070221F" w:rsidRPr="00955D3D" w14:paraId="379A1417"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ED9B11" w14:textId="77777777" w:rsidR="00BE6C96" w:rsidRPr="00772868" w:rsidRDefault="00BE6C96" w:rsidP="0031013D">
            <w:pPr>
              <w:spacing w:line="360" w:lineRule="auto"/>
              <w:jc w:val="both"/>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Natitingou</w:t>
            </w:r>
          </w:p>
        </w:tc>
        <w:tc>
          <w:tcPr>
            <w:tcW w:w="0" w:type="auto"/>
            <w:hideMark/>
          </w:tcPr>
          <w:p w14:paraId="41629505"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3</w:t>
            </w:r>
          </w:p>
        </w:tc>
        <w:tc>
          <w:tcPr>
            <w:tcW w:w="0" w:type="auto"/>
            <w:hideMark/>
          </w:tcPr>
          <w:p w14:paraId="7DFBC358"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120</w:t>
            </w:r>
          </w:p>
        </w:tc>
        <w:tc>
          <w:tcPr>
            <w:tcW w:w="0" w:type="auto"/>
            <w:hideMark/>
          </w:tcPr>
          <w:p w14:paraId="3E8201B4"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193</w:t>
            </w:r>
          </w:p>
        </w:tc>
        <w:tc>
          <w:tcPr>
            <w:tcW w:w="0" w:type="auto"/>
            <w:hideMark/>
          </w:tcPr>
          <w:p w14:paraId="1C881E40"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66,7</w:t>
            </w:r>
          </w:p>
        </w:tc>
        <w:tc>
          <w:tcPr>
            <w:tcW w:w="0" w:type="auto"/>
            <w:hideMark/>
          </w:tcPr>
          <w:p w14:paraId="2CFD3825"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393</w:t>
            </w:r>
          </w:p>
        </w:tc>
        <w:tc>
          <w:tcPr>
            <w:tcW w:w="0" w:type="auto"/>
            <w:hideMark/>
          </w:tcPr>
          <w:p w14:paraId="095FB471"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100 %</w:t>
            </w:r>
          </w:p>
        </w:tc>
      </w:tr>
    </w:tbl>
    <w:p w14:paraId="14890A8C" w14:textId="77777777" w:rsidR="0070221F" w:rsidRPr="0070221F" w:rsidRDefault="0070221F" w:rsidP="0070221F">
      <w:pPr>
        <w:pStyle w:val="NormalWeb"/>
        <w:spacing w:line="360" w:lineRule="auto"/>
        <w:jc w:val="both"/>
        <w:rPr>
          <w:rFonts w:asciiTheme="majorBidi" w:eastAsiaTheme="majorEastAsia" w:hAnsiTheme="majorBidi"/>
          <w:color w:val="000000" w:themeColor="text1"/>
          <w:lang w:val="en-GB"/>
        </w:rPr>
      </w:pPr>
      <w:r w:rsidRPr="0070221F">
        <w:rPr>
          <w:rFonts w:asciiTheme="majorBidi" w:eastAsiaTheme="majorEastAsia" w:hAnsiTheme="majorBidi"/>
          <w:i/>
          <w:iCs/>
          <w:color w:val="000000" w:themeColor="text1"/>
          <w:lang w:val="en-GB"/>
        </w:rPr>
        <w:t>MI &lt; 1: water considered acceptable with respect to metals; MI ≥ 1: water considered polluted by metals.</w:t>
      </w:r>
    </w:p>
    <w:p w14:paraId="686657AD" w14:textId="77777777" w:rsidR="0070221F" w:rsidRPr="0070221F" w:rsidRDefault="0070221F" w:rsidP="0070221F">
      <w:pPr>
        <w:pStyle w:val="NormalWeb"/>
        <w:spacing w:line="360" w:lineRule="auto"/>
        <w:jc w:val="both"/>
        <w:rPr>
          <w:rFonts w:asciiTheme="majorBidi" w:eastAsiaTheme="majorEastAsia" w:hAnsiTheme="majorBidi"/>
          <w:color w:val="000000" w:themeColor="text1"/>
          <w:lang w:val="en-GB"/>
        </w:rPr>
      </w:pPr>
      <w:r w:rsidRPr="0070221F">
        <w:rPr>
          <w:rFonts w:asciiTheme="majorBidi" w:eastAsiaTheme="majorEastAsia" w:hAnsiTheme="majorBidi"/>
          <w:color w:val="000000" w:themeColor="text1"/>
          <w:lang w:val="en-GB"/>
        </w:rPr>
        <w:t xml:space="preserve">The Metal Index (MI), calculated according to WHO standards, indicates widespread metal contamination, as all samples exceeded the threshold of 1. Summarised by city, Cotonou is the most impacted locality, with a median MI of 172 and extreme values up to 468. </w:t>
      </w:r>
      <w:proofErr w:type="spellStart"/>
      <w:r w:rsidRPr="0070221F">
        <w:rPr>
          <w:rFonts w:asciiTheme="majorBidi" w:eastAsiaTheme="majorEastAsia" w:hAnsiTheme="majorBidi"/>
          <w:color w:val="000000" w:themeColor="text1"/>
          <w:lang w:val="en-GB"/>
        </w:rPr>
        <w:t>Natitingou</w:t>
      </w:r>
      <w:proofErr w:type="spellEnd"/>
      <w:r w:rsidRPr="0070221F">
        <w:rPr>
          <w:rFonts w:asciiTheme="majorBidi" w:eastAsiaTheme="majorEastAsia" w:hAnsiTheme="majorBidi"/>
          <w:color w:val="000000" w:themeColor="text1"/>
          <w:lang w:val="en-GB"/>
        </w:rPr>
        <w:t xml:space="preserve"> also exhibits high levels (median 120; maximum 393), while Abomey-</w:t>
      </w:r>
      <w:proofErr w:type="spellStart"/>
      <w:r w:rsidRPr="0070221F">
        <w:rPr>
          <w:rFonts w:asciiTheme="majorBidi" w:eastAsiaTheme="majorEastAsia" w:hAnsiTheme="majorBidi"/>
          <w:color w:val="000000" w:themeColor="text1"/>
          <w:lang w:val="en-GB"/>
        </w:rPr>
        <w:t>Calavi</w:t>
      </w:r>
      <w:proofErr w:type="spellEnd"/>
      <w:r w:rsidRPr="0070221F">
        <w:rPr>
          <w:rFonts w:asciiTheme="majorBidi" w:eastAsiaTheme="majorEastAsia" w:hAnsiTheme="majorBidi"/>
          <w:color w:val="000000" w:themeColor="text1"/>
          <w:lang w:val="en-GB"/>
        </w:rPr>
        <w:t xml:space="preserve"> presents lower indices, though still substantially above the potability threshold (median 39.8; maximum 132). Overall, 100% of the wells studied are classified as polluted according to this indicator. A more detailed distance-based analysis from the waste disposal sites (Table A2, Appendix) shows no clear spatial gradient. In Abomey-</w:t>
      </w:r>
      <w:proofErr w:type="spellStart"/>
      <w:r w:rsidRPr="0070221F">
        <w:rPr>
          <w:rFonts w:asciiTheme="majorBidi" w:eastAsiaTheme="majorEastAsia" w:hAnsiTheme="majorBidi"/>
          <w:color w:val="000000" w:themeColor="text1"/>
          <w:lang w:val="en-GB"/>
        </w:rPr>
        <w:t>Calavi</w:t>
      </w:r>
      <w:proofErr w:type="spellEnd"/>
      <w:r w:rsidRPr="0070221F">
        <w:rPr>
          <w:rFonts w:asciiTheme="majorBidi" w:eastAsiaTheme="majorEastAsia" w:hAnsiTheme="majorBidi"/>
          <w:color w:val="000000" w:themeColor="text1"/>
          <w:lang w:val="en-GB"/>
        </w:rPr>
        <w:t xml:space="preserve">, a moderate decrease in MI is observed from 0 m (68.8) to 100 m (27.5), suggesting a slight attenuation effect. In Cotonou, values remain very high across all distances, indicating diffuse contamination of the groundwater. In </w:t>
      </w:r>
      <w:proofErr w:type="spellStart"/>
      <w:r w:rsidRPr="0070221F">
        <w:rPr>
          <w:rFonts w:asciiTheme="majorBidi" w:eastAsiaTheme="majorEastAsia" w:hAnsiTheme="majorBidi"/>
          <w:color w:val="000000" w:themeColor="text1"/>
          <w:lang w:val="en-GB"/>
        </w:rPr>
        <w:t>Natitingou</w:t>
      </w:r>
      <w:proofErr w:type="spellEnd"/>
      <w:r w:rsidRPr="0070221F">
        <w:rPr>
          <w:rFonts w:asciiTheme="majorBidi" w:eastAsiaTheme="majorEastAsia" w:hAnsiTheme="majorBidi"/>
          <w:color w:val="000000" w:themeColor="text1"/>
          <w:lang w:val="en-GB"/>
        </w:rPr>
        <w:t xml:space="preserve">, although sample numbers are limited, indices remain elevated at all distances, peaking at 50 m (MI = 393), reflecting widespread contamination. These results demonstrate that groundwater quality is compromised across all study sites, with the greatest severity observed in Cotonou and </w:t>
      </w:r>
      <w:proofErr w:type="spellStart"/>
      <w:r w:rsidRPr="0070221F">
        <w:rPr>
          <w:rFonts w:asciiTheme="majorBidi" w:eastAsiaTheme="majorEastAsia" w:hAnsiTheme="majorBidi"/>
          <w:color w:val="000000" w:themeColor="text1"/>
          <w:lang w:val="en-GB"/>
        </w:rPr>
        <w:t>Natitingou</w:t>
      </w:r>
      <w:proofErr w:type="spellEnd"/>
      <w:r w:rsidRPr="0070221F">
        <w:rPr>
          <w:rFonts w:asciiTheme="majorBidi" w:eastAsiaTheme="majorEastAsia" w:hAnsiTheme="majorBidi"/>
          <w:color w:val="000000" w:themeColor="text1"/>
          <w:lang w:val="en-GB"/>
        </w:rPr>
        <w:t xml:space="preserve"> and to a lesser extent in Abomey-</w:t>
      </w:r>
      <w:proofErr w:type="spellStart"/>
      <w:r w:rsidRPr="0070221F">
        <w:rPr>
          <w:rFonts w:asciiTheme="majorBidi" w:eastAsiaTheme="majorEastAsia" w:hAnsiTheme="majorBidi"/>
          <w:color w:val="000000" w:themeColor="text1"/>
          <w:lang w:val="en-GB"/>
        </w:rPr>
        <w:t>Calavi</w:t>
      </w:r>
      <w:proofErr w:type="spellEnd"/>
      <w:r w:rsidRPr="0070221F">
        <w:rPr>
          <w:rFonts w:asciiTheme="majorBidi" w:eastAsiaTheme="majorEastAsia" w:hAnsiTheme="majorBidi"/>
          <w:color w:val="000000" w:themeColor="text1"/>
          <w:lang w:val="en-GB"/>
        </w:rPr>
        <w:t>.</w:t>
      </w:r>
    </w:p>
    <w:p w14:paraId="393E783E" w14:textId="77777777" w:rsidR="0070221F" w:rsidRPr="0070221F" w:rsidRDefault="0070221F" w:rsidP="0070221F">
      <w:pPr>
        <w:pStyle w:val="NormalWeb"/>
        <w:spacing w:line="360" w:lineRule="auto"/>
        <w:jc w:val="both"/>
        <w:rPr>
          <w:rFonts w:asciiTheme="majorBidi" w:eastAsiaTheme="majorEastAsia" w:hAnsiTheme="majorBidi"/>
          <w:color w:val="000000" w:themeColor="text1"/>
          <w:lang w:val="en-GB"/>
        </w:rPr>
      </w:pPr>
      <w:r w:rsidRPr="0070221F">
        <w:rPr>
          <w:rFonts w:asciiTheme="majorBidi" w:eastAsiaTheme="majorEastAsia" w:hAnsiTheme="majorBidi"/>
          <w:b/>
          <w:bCs/>
          <w:color w:val="000000" w:themeColor="text1"/>
          <w:lang w:val="en-GB"/>
        </w:rPr>
        <w:t>Table 6:</w:t>
      </w:r>
      <w:r w:rsidRPr="0070221F">
        <w:rPr>
          <w:rFonts w:asciiTheme="majorBidi" w:eastAsiaTheme="majorEastAsia" w:hAnsiTheme="majorBidi"/>
          <w:color w:val="000000" w:themeColor="text1"/>
          <w:lang w:val="en-GB"/>
        </w:rPr>
        <w:t xml:space="preserve"> Heavy Metal Pollution Index (HPI) by City (WHO, 2017)</w:t>
      </w:r>
    </w:p>
    <w:tbl>
      <w:tblPr>
        <w:tblStyle w:val="PlainTable2"/>
        <w:tblW w:w="0" w:type="auto"/>
        <w:tblLook w:val="04A0" w:firstRow="1" w:lastRow="0" w:firstColumn="1" w:lastColumn="0" w:noHBand="0" w:noVBand="1"/>
      </w:tblPr>
      <w:tblGrid>
        <w:gridCol w:w="1683"/>
        <w:gridCol w:w="1310"/>
        <w:gridCol w:w="938"/>
        <w:gridCol w:w="864"/>
        <w:gridCol w:w="656"/>
        <w:gridCol w:w="818"/>
        <w:gridCol w:w="1870"/>
      </w:tblGrid>
      <w:tr w:rsidR="0070221F" w:rsidRPr="00955D3D" w14:paraId="4F4B9E15" w14:textId="77777777" w:rsidTr="007022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CE720D" w14:textId="43F8960E" w:rsidR="00BE6C96" w:rsidRPr="00772868" w:rsidRDefault="0070221F" w:rsidP="0031013D">
            <w:pPr>
              <w:spacing w:line="360" w:lineRule="auto"/>
              <w:jc w:val="both"/>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City</w:t>
            </w:r>
          </w:p>
        </w:tc>
        <w:tc>
          <w:tcPr>
            <w:tcW w:w="0" w:type="auto"/>
            <w:hideMark/>
          </w:tcPr>
          <w:p w14:paraId="3CFA3763" w14:textId="7B417AE0" w:rsidR="00BE6C96" w:rsidRPr="00772868" w:rsidRDefault="0070221F"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proofErr w:type="spellStart"/>
            <w:r w:rsidRPr="00772868">
              <w:rPr>
                <w:rFonts w:asciiTheme="majorBidi" w:hAnsiTheme="majorBidi" w:cstheme="majorBidi"/>
                <w:color w:val="000000" w:themeColor="text1"/>
                <w:sz w:val="22"/>
                <w:szCs w:val="22"/>
              </w:rPr>
              <w:t>Sample</w:t>
            </w:r>
            <w:proofErr w:type="spellEnd"/>
            <w:r w:rsidRPr="00772868">
              <w:rPr>
                <w:rFonts w:asciiTheme="majorBidi" w:hAnsiTheme="majorBidi" w:cstheme="majorBidi"/>
                <w:color w:val="000000" w:themeColor="text1"/>
                <w:sz w:val="22"/>
                <w:szCs w:val="22"/>
              </w:rPr>
              <w:t xml:space="preserve"> size</w:t>
            </w:r>
          </w:p>
        </w:tc>
        <w:tc>
          <w:tcPr>
            <w:tcW w:w="0" w:type="auto"/>
            <w:hideMark/>
          </w:tcPr>
          <w:p w14:paraId="662BA28F" w14:textId="23BF0F6D" w:rsidR="00BE6C96" w:rsidRPr="00772868" w:rsidRDefault="00772868"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proofErr w:type="spellStart"/>
            <w:r w:rsidRPr="00772868">
              <w:rPr>
                <w:rFonts w:asciiTheme="majorBidi" w:hAnsiTheme="majorBidi" w:cstheme="majorBidi"/>
                <w:color w:val="000000" w:themeColor="text1"/>
                <w:sz w:val="22"/>
                <w:szCs w:val="22"/>
              </w:rPr>
              <w:t>M</w:t>
            </w:r>
            <w:r w:rsidR="0070221F" w:rsidRPr="00772868">
              <w:rPr>
                <w:rFonts w:asciiTheme="majorBidi" w:hAnsiTheme="majorBidi" w:cstheme="majorBidi"/>
                <w:color w:val="000000" w:themeColor="text1"/>
                <w:sz w:val="22"/>
                <w:szCs w:val="22"/>
              </w:rPr>
              <w:t>e</w:t>
            </w:r>
            <w:r w:rsidR="00BE6C96" w:rsidRPr="00772868">
              <w:rPr>
                <w:rFonts w:asciiTheme="majorBidi" w:hAnsiTheme="majorBidi" w:cstheme="majorBidi"/>
                <w:color w:val="000000" w:themeColor="text1"/>
                <w:sz w:val="22"/>
                <w:szCs w:val="22"/>
              </w:rPr>
              <w:t>dian</w:t>
            </w:r>
            <w:proofErr w:type="spellEnd"/>
          </w:p>
        </w:tc>
        <w:tc>
          <w:tcPr>
            <w:tcW w:w="0" w:type="auto"/>
            <w:hideMark/>
          </w:tcPr>
          <w:p w14:paraId="330840BC" w14:textId="18BC2064" w:rsidR="00BE6C96" w:rsidRPr="00772868" w:rsidRDefault="00772868"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M</w:t>
            </w:r>
            <w:r w:rsidR="00BE6C96" w:rsidRPr="00772868">
              <w:rPr>
                <w:rFonts w:asciiTheme="majorBidi" w:hAnsiTheme="majorBidi" w:cstheme="majorBidi"/>
                <w:color w:val="000000" w:themeColor="text1"/>
                <w:sz w:val="22"/>
                <w:szCs w:val="22"/>
              </w:rPr>
              <w:t>oyen</w:t>
            </w:r>
          </w:p>
        </w:tc>
        <w:tc>
          <w:tcPr>
            <w:tcW w:w="0" w:type="auto"/>
            <w:hideMark/>
          </w:tcPr>
          <w:p w14:paraId="5EA83EA4" w14:textId="3F6CA4CD" w:rsidR="00BE6C96" w:rsidRPr="00772868" w:rsidRDefault="00772868"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M</w:t>
            </w:r>
            <w:r w:rsidR="00BE6C96" w:rsidRPr="00772868">
              <w:rPr>
                <w:rFonts w:asciiTheme="majorBidi" w:hAnsiTheme="majorBidi" w:cstheme="majorBidi"/>
                <w:color w:val="000000" w:themeColor="text1"/>
                <w:sz w:val="22"/>
                <w:szCs w:val="22"/>
              </w:rPr>
              <w:t>in</w:t>
            </w:r>
          </w:p>
        </w:tc>
        <w:tc>
          <w:tcPr>
            <w:tcW w:w="818" w:type="dxa"/>
            <w:hideMark/>
          </w:tcPr>
          <w:p w14:paraId="77780B51" w14:textId="4F559898" w:rsidR="00BE6C96" w:rsidRPr="00772868" w:rsidRDefault="00772868"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M</w:t>
            </w:r>
            <w:r w:rsidR="00BE6C96" w:rsidRPr="00772868">
              <w:rPr>
                <w:rFonts w:asciiTheme="majorBidi" w:hAnsiTheme="majorBidi" w:cstheme="majorBidi"/>
                <w:color w:val="000000" w:themeColor="text1"/>
                <w:sz w:val="22"/>
                <w:szCs w:val="22"/>
              </w:rPr>
              <w:t>ax</w:t>
            </w:r>
          </w:p>
        </w:tc>
        <w:tc>
          <w:tcPr>
            <w:tcW w:w="1870" w:type="dxa"/>
            <w:hideMark/>
          </w:tcPr>
          <w:p w14:paraId="5357184A" w14:textId="10ADD374" w:rsidR="00BE6C96" w:rsidRPr="00772868" w:rsidRDefault="0070221F"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w:t>
            </w:r>
            <w:proofErr w:type="spellStart"/>
            <w:r w:rsidRPr="00772868">
              <w:rPr>
                <w:rFonts w:asciiTheme="majorBidi" w:hAnsiTheme="majorBidi" w:cstheme="majorBidi"/>
                <w:color w:val="000000" w:themeColor="text1"/>
                <w:sz w:val="22"/>
                <w:szCs w:val="22"/>
              </w:rPr>
              <w:t>Samples</w:t>
            </w:r>
            <w:proofErr w:type="spellEnd"/>
            <w:r w:rsidRPr="00772868">
              <w:rPr>
                <w:rFonts w:asciiTheme="majorBidi" w:hAnsiTheme="majorBidi" w:cstheme="majorBidi"/>
                <w:color w:val="000000" w:themeColor="text1"/>
                <w:sz w:val="22"/>
                <w:szCs w:val="22"/>
              </w:rPr>
              <w:t xml:space="preserve"> </w:t>
            </w:r>
            <w:r w:rsidR="00BE6C96" w:rsidRPr="00772868">
              <w:rPr>
                <w:rFonts w:asciiTheme="majorBidi" w:hAnsiTheme="majorBidi" w:cstheme="majorBidi"/>
                <w:color w:val="000000" w:themeColor="text1"/>
                <w:sz w:val="22"/>
                <w:szCs w:val="22"/>
              </w:rPr>
              <w:t>≥100</w:t>
            </w:r>
          </w:p>
        </w:tc>
      </w:tr>
      <w:tr w:rsidR="0070221F" w:rsidRPr="00955D3D" w14:paraId="2EC5817B" w14:textId="77777777" w:rsidTr="00702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FC653F" w14:textId="77777777" w:rsidR="00BE6C96" w:rsidRPr="00772868" w:rsidRDefault="00BE6C96" w:rsidP="0031013D">
            <w:pPr>
              <w:spacing w:line="360" w:lineRule="auto"/>
              <w:jc w:val="both"/>
              <w:rPr>
                <w:rFonts w:asciiTheme="majorBidi" w:hAnsiTheme="majorBidi" w:cstheme="majorBidi"/>
                <w:b w:val="0"/>
                <w:bCs w:val="0"/>
                <w:color w:val="000000" w:themeColor="text1"/>
                <w:sz w:val="22"/>
                <w:szCs w:val="22"/>
              </w:rPr>
            </w:pPr>
            <w:r w:rsidRPr="00772868">
              <w:rPr>
                <w:rFonts w:asciiTheme="majorBidi" w:hAnsiTheme="majorBidi" w:cstheme="majorBidi"/>
                <w:color w:val="000000" w:themeColor="text1"/>
                <w:sz w:val="22"/>
                <w:szCs w:val="22"/>
              </w:rPr>
              <w:t>Cotonou</w:t>
            </w:r>
          </w:p>
        </w:tc>
        <w:tc>
          <w:tcPr>
            <w:tcW w:w="0" w:type="auto"/>
            <w:hideMark/>
          </w:tcPr>
          <w:p w14:paraId="47C4DEA7"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15</w:t>
            </w:r>
          </w:p>
        </w:tc>
        <w:tc>
          <w:tcPr>
            <w:tcW w:w="0" w:type="auto"/>
            <w:hideMark/>
          </w:tcPr>
          <w:p w14:paraId="669E926B"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8698</w:t>
            </w:r>
          </w:p>
        </w:tc>
        <w:tc>
          <w:tcPr>
            <w:tcW w:w="0" w:type="auto"/>
            <w:hideMark/>
          </w:tcPr>
          <w:p w14:paraId="6C640655"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9751</w:t>
            </w:r>
          </w:p>
        </w:tc>
        <w:tc>
          <w:tcPr>
            <w:tcW w:w="0" w:type="auto"/>
            <w:hideMark/>
          </w:tcPr>
          <w:p w14:paraId="5453E78F"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3326</w:t>
            </w:r>
          </w:p>
        </w:tc>
        <w:tc>
          <w:tcPr>
            <w:tcW w:w="818" w:type="dxa"/>
            <w:hideMark/>
          </w:tcPr>
          <w:p w14:paraId="31E73C61"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24222</w:t>
            </w:r>
          </w:p>
        </w:tc>
        <w:tc>
          <w:tcPr>
            <w:tcW w:w="1870" w:type="dxa"/>
            <w:hideMark/>
          </w:tcPr>
          <w:p w14:paraId="0F043081"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100 %</w:t>
            </w:r>
          </w:p>
        </w:tc>
      </w:tr>
      <w:tr w:rsidR="0070221F" w:rsidRPr="00955D3D" w14:paraId="71495E79" w14:textId="77777777" w:rsidTr="0070221F">
        <w:tc>
          <w:tcPr>
            <w:cnfStyle w:val="001000000000" w:firstRow="0" w:lastRow="0" w:firstColumn="1" w:lastColumn="0" w:oddVBand="0" w:evenVBand="0" w:oddHBand="0" w:evenHBand="0" w:firstRowFirstColumn="0" w:firstRowLastColumn="0" w:lastRowFirstColumn="0" w:lastRowLastColumn="0"/>
            <w:tcW w:w="0" w:type="auto"/>
            <w:hideMark/>
          </w:tcPr>
          <w:p w14:paraId="6A05237F" w14:textId="77777777" w:rsidR="00BE6C96" w:rsidRPr="00772868" w:rsidRDefault="00BE6C96" w:rsidP="0031013D">
            <w:pPr>
              <w:spacing w:line="360" w:lineRule="auto"/>
              <w:jc w:val="both"/>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Natitingou</w:t>
            </w:r>
          </w:p>
        </w:tc>
        <w:tc>
          <w:tcPr>
            <w:tcW w:w="0" w:type="auto"/>
            <w:hideMark/>
          </w:tcPr>
          <w:p w14:paraId="622FBAD7" w14:textId="77777777" w:rsidR="00BE6C96" w:rsidRPr="00772868"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3</w:t>
            </w:r>
          </w:p>
        </w:tc>
        <w:tc>
          <w:tcPr>
            <w:tcW w:w="0" w:type="auto"/>
            <w:hideMark/>
          </w:tcPr>
          <w:p w14:paraId="5C1FC609" w14:textId="77777777" w:rsidR="00BE6C96" w:rsidRPr="00772868"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3322</w:t>
            </w:r>
          </w:p>
        </w:tc>
        <w:tc>
          <w:tcPr>
            <w:tcW w:w="0" w:type="auto"/>
            <w:hideMark/>
          </w:tcPr>
          <w:p w14:paraId="49FD31BE" w14:textId="77777777" w:rsidR="00BE6C96" w:rsidRPr="00772868"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5353</w:t>
            </w:r>
          </w:p>
        </w:tc>
        <w:tc>
          <w:tcPr>
            <w:tcW w:w="0" w:type="auto"/>
            <w:hideMark/>
          </w:tcPr>
          <w:p w14:paraId="116A2423" w14:textId="77777777" w:rsidR="00BE6C96" w:rsidRPr="00772868"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1812</w:t>
            </w:r>
          </w:p>
        </w:tc>
        <w:tc>
          <w:tcPr>
            <w:tcW w:w="818" w:type="dxa"/>
            <w:hideMark/>
          </w:tcPr>
          <w:p w14:paraId="2FF90B96" w14:textId="77777777" w:rsidR="00BE6C96" w:rsidRPr="00772868"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10925</w:t>
            </w:r>
          </w:p>
        </w:tc>
        <w:tc>
          <w:tcPr>
            <w:tcW w:w="1870" w:type="dxa"/>
            <w:hideMark/>
          </w:tcPr>
          <w:p w14:paraId="003E4E2A" w14:textId="77777777" w:rsidR="00BE6C96" w:rsidRPr="00772868"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100 %</w:t>
            </w:r>
          </w:p>
        </w:tc>
      </w:tr>
      <w:tr w:rsidR="0070221F" w:rsidRPr="00955D3D" w14:paraId="74C07E07" w14:textId="77777777" w:rsidTr="00702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BA3129" w14:textId="77777777" w:rsidR="00BE6C96" w:rsidRPr="00772868" w:rsidRDefault="00BE6C96" w:rsidP="0031013D">
            <w:pPr>
              <w:spacing w:line="360" w:lineRule="auto"/>
              <w:jc w:val="both"/>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Abomey-Calavi</w:t>
            </w:r>
          </w:p>
        </w:tc>
        <w:tc>
          <w:tcPr>
            <w:tcW w:w="0" w:type="auto"/>
            <w:hideMark/>
          </w:tcPr>
          <w:p w14:paraId="4FFCB4A8"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15</w:t>
            </w:r>
          </w:p>
        </w:tc>
        <w:tc>
          <w:tcPr>
            <w:tcW w:w="0" w:type="auto"/>
            <w:hideMark/>
          </w:tcPr>
          <w:p w14:paraId="2CAB64CD"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1782</w:t>
            </w:r>
          </w:p>
        </w:tc>
        <w:tc>
          <w:tcPr>
            <w:tcW w:w="0" w:type="auto"/>
            <w:hideMark/>
          </w:tcPr>
          <w:p w14:paraId="4646E929"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2583</w:t>
            </w:r>
          </w:p>
        </w:tc>
        <w:tc>
          <w:tcPr>
            <w:tcW w:w="0" w:type="auto"/>
            <w:hideMark/>
          </w:tcPr>
          <w:p w14:paraId="296B97D2"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641</w:t>
            </w:r>
          </w:p>
        </w:tc>
        <w:tc>
          <w:tcPr>
            <w:tcW w:w="818" w:type="dxa"/>
            <w:hideMark/>
          </w:tcPr>
          <w:p w14:paraId="1FAC2989"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6612</w:t>
            </w:r>
          </w:p>
        </w:tc>
        <w:tc>
          <w:tcPr>
            <w:tcW w:w="1870" w:type="dxa"/>
            <w:hideMark/>
          </w:tcPr>
          <w:p w14:paraId="2AC222DF" w14:textId="77777777" w:rsidR="00BE6C96" w:rsidRPr="00772868"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772868">
              <w:rPr>
                <w:rFonts w:asciiTheme="majorBidi" w:hAnsiTheme="majorBidi" w:cstheme="majorBidi"/>
                <w:color w:val="000000" w:themeColor="text1"/>
                <w:sz w:val="22"/>
                <w:szCs w:val="22"/>
              </w:rPr>
              <w:t>100 %</w:t>
            </w:r>
          </w:p>
        </w:tc>
      </w:tr>
    </w:tbl>
    <w:p w14:paraId="73113324" w14:textId="77777777" w:rsidR="00A27251" w:rsidRDefault="00A27251" w:rsidP="0070221F">
      <w:pPr>
        <w:spacing w:line="360" w:lineRule="auto"/>
        <w:jc w:val="both"/>
        <w:rPr>
          <w:rFonts w:asciiTheme="majorBidi" w:hAnsiTheme="majorBidi" w:cstheme="majorBidi"/>
          <w:color w:val="000000" w:themeColor="text1"/>
          <w:lang w:val="en-GB"/>
        </w:rPr>
      </w:pPr>
    </w:p>
    <w:p w14:paraId="15D37B99" w14:textId="4926DDA1" w:rsidR="0070221F" w:rsidRPr="0070221F" w:rsidRDefault="0070221F" w:rsidP="0070221F">
      <w:pPr>
        <w:spacing w:line="360" w:lineRule="auto"/>
        <w:jc w:val="both"/>
        <w:rPr>
          <w:rFonts w:asciiTheme="majorBidi" w:hAnsiTheme="majorBidi" w:cstheme="majorBidi"/>
          <w:color w:val="000000" w:themeColor="text1"/>
          <w:lang w:val="en-GB"/>
        </w:rPr>
      </w:pPr>
      <w:r w:rsidRPr="0070221F">
        <w:rPr>
          <w:rFonts w:asciiTheme="majorBidi" w:hAnsiTheme="majorBidi" w:cstheme="majorBidi"/>
          <w:color w:val="000000" w:themeColor="text1"/>
          <w:lang w:val="en-GB"/>
        </w:rPr>
        <w:t xml:space="preserve">The Heavy Metal Pollution Index (HPI), based on WHO guideline values, reveals critical pollution levels across all samples (HPI ≥ 100). Median HPI values are highest in Cotonou, followed by </w:t>
      </w:r>
      <w:proofErr w:type="spellStart"/>
      <w:r w:rsidRPr="0070221F">
        <w:rPr>
          <w:rFonts w:asciiTheme="majorBidi" w:hAnsiTheme="majorBidi" w:cstheme="majorBidi"/>
          <w:color w:val="000000" w:themeColor="text1"/>
          <w:lang w:val="en-GB"/>
        </w:rPr>
        <w:t>Natitingou</w:t>
      </w:r>
      <w:proofErr w:type="spellEnd"/>
      <w:r w:rsidRPr="0070221F">
        <w:rPr>
          <w:rFonts w:asciiTheme="majorBidi" w:hAnsiTheme="majorBidi" w:cstheme="majorBidi"/>
          <w:color w:val="000000" w:themeColor="text1"/>
          <w:lang w:val="en-GB"/>
        </w:rPr>
        <w:t xml:space="preserve"> and then Abomey-</w:t>
      </w:r>
      <w:proofErr w:type="spellStart"/>
      <w:r w:rsidRPr="0070221F">
        <w:rPr>
          <w:rFonts w:asciiTheme="majorBidi" w:hAnsiTheme="majorBidi" w:cstheme="majorBidi"/>
          <w:color w:val="000000" w:themeColor="text1"/>
          <w:lang w:val="en-GB"/>
        </w:rPr>
        <w:t>Calavi</w:t>
      </w:r>
      <w:proofErr w:type="spellEnd"/>
      <w:r w:rsidRPr="0070221F">
        <w:rPr>
          <w:rFonts w:asciiTheme="majorBidi" w:hAnsiTheme="majorBidi" w:cstheme="majorBidi"/>
          <w:color w:val="000000" w:themeColor="text1"/>
          <w:lang w:val="en-GB"/>
        </w:rPr>
        <w:t>. Distance-based analysis (0</w:t>
      </w:r>
      <w:r w:rsidR="00A27251">
        <w:rPr>
          <w:rFonts w:asciiTheme="majorBidi" w:hAnsiTheme="majorBidi" w:cstheme="majorBidi"/>
          <w:color w:val="000000" w:themeColor="text1"/>
          <w:lang w:val="en-GB"/>
        </w:rPr>
        <w:t>-</w:t>
      </w:r>
      <w:r w:rsidRPr="0070221F">
        <w:rPr>
          <w:rFonts w:asciiTheme="majorBidi" w:hAnsiTheme="majorBidi" w:cstheme="majorBidi"/>
          <w:color w:val="000000" w:themeColor="text1"/>
          <w:lang w:val="en-GB"/>
        </w:rPr>
        <w:t>50</w:t>
      </w:r>
      <w:r w:rsidR="00A27251">
        <w:rPr>
          <w:rFonts w:asciiTheme="majorBidi" w:hAnsiTheme="majorBidi" w:cstheme="majorBidi"/>
          <w:color w:val="000000" w:themeColor="text1"/>
          <w:lang w:val="en-GB"/>
        </w:rPr>
        <w:t>-</w:t>
      </w:r>
      <w:r w:rsidRPr="0070221F">
        <w:rPr>
          <w:rFonts w:asciiTheme="majorBidi" w:hAnsiTheme="majorBidi" w:cstheme="majorBidi"/>
          <w:color w:val="000000" w:themeColor="text1"/>
          <w:lang w:val="en-GB"/>
        </w:rPr>
        <w:t xml:space="preserve">100 m) shows no clear gradient. The HPI indicates extreme contamination in all wells studied: in Cotonou, the median HPI reaches 8698 with a maximum of 24,222, confirming widespread metal pollution; </w:t>
      </w:r>
      <w:proofErr w:type="spellStart"/>
      <w:r w:rsidRPr="0070221F">
        <w:rPr>
          <w:rFonts w:asciiTheme="majorBidi" w:hAnsiTheme="majorBidi" w:cstheme="majorBidi"/>
          <w:color w:val="000000" w:themeColor="text1"/>
          <w:lang w:val="en-GB"/>
        </w:rPr>
        <w:t>Natitingou</w:t>
      </w:r>
      <w:proofErr w:type="spellEnd"/>
      <w:r w:rsidRPr="0070221F">
        <w:rPr>
          <w:rFonts w:asciiTheme="majorBidi" w:hAnsiTheme="majorBidi" w:cstheme="majorBidi"/>
          <w:color w:val="000000" w:themeColor="text1"/>
          <w:lang w:val="en-GB"/>
        </w:rPr>
        <w:t xml:space="preserve"> also displays very high values (median 3322; maximum 10,925). Abomey-</w:t>
      </w:r>
      <w:proofErr w:type="spellStart"/>
      <w:r w:rsidRPr="0070221F">
        <w:rPr>
          <w:rFonts w:asciiTheme="majorBidi" w:hAnsiTheme="majorBidi" w:cstheme="majorBidi"/>
          <w:color w:val="000000" w:themeColor="text1"/>
          <w:lang w:val="en-GB"/>
        </w:rPr>
        <w:t>Calavi</w:t>
      </w:r>
      <w:proofErr w:type="spellEnd"/>
      <w:r w:rsidRPr="0070221F">
        <w:rPr>
          <w:rFonts w:asciiTheme="majorBidi" w:hAnsiTheme="majorBidi" w:cstheme="majorBidi"/>
          <w:color w:val="000000" w:themeColor="text1"/>
          <w:lang w:val="en-GB"/>
        </w:rPr>
        <w:t>, though less affected, remains substantially above the acceptable threshold (median 1782; maximum 6612). Even at 100 m from the disposal sites, HPI values exceed 100 at all locations. A slight decrease with distance is observed in Abomey-</w:t>
      </w:r>
      <w:proofErr w:type="spellStart"/>
      <w:r w:rsidRPr="0070221F">
        <w:rPr>
          <w:rFonts w:asciiTheme="majorBidi" w:hAnsiTheme="majorBidi" w:cstheme="majorBidi"/>
          <w:color w:val="000000" w:themeColor="text1"/>
          <w:lang w:val="en-GB"/>
        </w:rPr>
        <w:t>Calavi</w:t>
      </w:r>
      <w:proofErr w:type="spellEnd"/>
      <w:r w:rsidRPr="0070221F">
        <w:rPr>
          <w:rFonts w:asciiTheme="majorBidi" w:hAnsiTheme="majorBidi" w:cstheme="majorBidi"/>
          <w:color w:val="000000" w:themeColor="text1"/>
          <w:lang w:val="en-GB"/>
        </w:rPr>
        <w:t xml:space="preserve">, but values remain critical, whereas Cotonou and </w:t>
      </w:r>
      <w:proofErr w:type="spellStart"/>
      <w:r w:rsidRPr="0070221F">
        <w:rPr>
          <w:rFonts w:asciiTheme="majorBidi" w:hAnsiTheme="majorBidi" w:cstheme="majorBidi"/>
          <w:color w:val="000000" w:themeColor="text1"/>
          <w:lang w:val="en-GB"/>
        </w:rPr>
        <w:t>Natitingou</w:t>
      </w:r>
      <w:proofErr w:type="spellEnd"/>
      <w:r w:rsidRPr="0070221F">
        <w:rPr>
          <w:rFonts w:asciiTheme="majorBidi" w:hAnsiTheme="majorBidi" w:cstheme="majorBidi"/>
          <w:color w:val="000000" w:themeColor="text1"/>
          <w:lang w:val="en-GB"/>
        </w:rPr>
        <w:t xml:space="preserve"> show persistently extreme values, confirming diffuse and persistent contamination of the groundwater.</w:t>
      </w:r>
    </w:p>
    <w:p w14:paraId="6D3951A1" w14:textId="77777777" w:rsidR="0070221F" w:rsidRPr="0070221F" w:rsidRDefault="0070221F" w:rsidP="0070221F">
      <w:pPr>
        <w:spacing w:line="360" w:lineRule="auto"/>
        <w:jc w:val="both"/>
        <w:rPr>
          <w:rFonts w:asciiTheme="majorBidi" w:hAnsiTheme="majorBidi" w:cstheme="majorBidi"/>
          <w:color w:val="000000" w:themeColor="text1"/>
          <w:lang w:val="en-GB"/>
        </w:rPr>
      </w:pPr>
      <w:r w:rsidRPr="0070221F">
        <w:rPr>
          <w:rFonts w:asciiTheme="majorBidi" w:hAnsiTheme="majorBidi" w:cstheme="majorBidi"/>
          <w:b/>
          <w:bCs/>
          <w:color w:val="000000" w:themeColor="text1"/>
          <w:lang w:val="en-GB"/>
        </w:rPr>
        <w:t>Table 7</w:t>
      </w:r>
      <w:r w:rsidRPr="0070221F">
        <w:rPr>
          <w:rFonts w:asciiTheme="majorBidi" w:hAnsiTheme="majorBidi" w:cstheme="majorBidi"/>
          <w:color w:val="000000" w:themeColor="text1"/>
          <w:lang w:val="en-GB"/>
        </w:rPr>
        <w:t>: Health Risk Assessment (HRA) by City</w:t>
      </w:r>
    </w:p>
    <w:tbl>
      <w:tblPr>
        <w:tblStyle w:val="PlainTable2"/>
        <w:tblW w:w="0" w:type="auto"/>
        <w:tblLook w:val="04A0" w:firstRow="1" w:lastRow="0" w:firstColumn="1" w:lastColumn="0" w:noHBand="0" w:noVBand="1"/>
      </w:tblPr>
      <w:tblGrid>
        <w:gridCol w:w="1669"/>
        <w:gridCol w:w="1815"/>
        <w:gridCol w:w="1804"/>
        <w:gridCol w:w="1875"/>
        <w:gridCol w:w="1863"/>
      </w:tblGrid>
      <w:tr w:rsidR="00A83D67" w:rsidRPr="00955D3D" w14:paraId="520F7013" w14:textId="77777777" w:rsidTr="003101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276D0D" w14:textId="0093DB71" w:rsidR="00BE6C96" w:rsidRPr="00A27251" w:rsidRDefault="0070221F" w:rsidP="0031013D">
            <w:pPr>
              <w:spacing w:line="360" w:lineRule="auto"/>
              <w:jc w:val="both"/>
              <w:rPr>
                <w:rFonts w:asciiTheme="majorBidi" w:hAnsiTheme="majorBidi" w:cstheme="majorBidi"/>
                <w:color w:val="000000" w:themeColor="text1"/>
                <w:sz w:val="22"/>
                <w:szCs w:val="22"/>
              </w:rPr>
            </w:pPr>
            <w:r w:rsidRPr="00A27251">
              <w:rPr>
                <w:rFonts w:asciiTheme="majorBidi" w:hAnsiTheme="majorBidi" w:cstheme="majorBidi"/>
                <w:color w:val="000000" w:themeColor="text1"/>
                <w:sz w:val="22"/>
                <w:szCs w:val="22"/>
              </w:rPr>
              <w:t>City</w:t>
            </w:r>
          </w:p>
        </w:tc>
        <w:tc>
          <w:tcPr>
            <w:tcW w:w="0" w:type="auto"/>
            <w:hideMark/>
          </w:tcPr>
          <w:p w14:paraId="528F390E" w14:textId="75E3DB1E" w:rsidR="00BE6C96" w:rsidRPr="00A27251" w:rsidRDefault="00A83D67" w:rsidP="00A83D67">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proofErr w:type="spellStart"/>
            <w:r w:rsidRPr="00A27251">
              <w:rPr>
                <w:rFonts w:asciiTheme="majorBidi" w:hAnsiTheme="majorBidi" w:cstheme="majorBidi"/>
                <w:color w:val="000000" w:themeColor="text1"/>
                <w:sz w:val="22"/>
                <w:szCs w:val="22"/>
              </w:rPr>
              <w:t>Median</w:t>
            </w:r>
            <w:proofErr w:type="spellEnd"/>
            <w:r w:rsidRPr="00A27251">
              <w:rPr>
                <w:rFonts w:asciiTheme="majorBidi" w:hAnsiTheme="majorBidi" w:cstheme="majorBidi"/>
                <w:color w:val="000000" w:themeColor="text1"/>
                <w:sz w:val="22"/>
                <w:szCs w:val="22"/>
              </w:rPr>
              <w:t xml:space="preserve"> </w:t>
            </w:r>
            <w:proofErr w:type="spellStart"/>
            <w:r w:rsidRPr="00A27251">
              <w:rPr>
                <w:rFonts w:asciiTheme="majorBidi" w:hAnsiTheme="majorBidi" w:cstheme="majorBidi"/>
                <w:color w:val="000000" w:themeColor="text1"/>
                <w:sz w:val="22"/>
                <w:szCs w:val="22"/>
              </w:rPr>
              <w:t>Adult</w:t>
            </w:r>
            <w:proofErr w:type="spellEnd"/>
            <w:r w:rsidRPr="00A27251">
              <w:rPr>
                <w:rFonts w:asciiTheme="majorBidi" w:hAnsiTheme="majorBidi" w:cstheme="majorBidi"/>
                <w:color w:val="000000" w:themeColor="text1"/>
                <w:sz w:val="22"/>
                <w:szCs w:val="22"/>
              </w:rPr>
              <w:t xml:space="preserve"> HI</w:t>
            </w:r>
          </w:p>
        </w:tc>
        <w:tc>
          <w:tcPr>
            <w:tcW w:w="0" w:type="auto"/>
            <w:hideMark/>
          </w:tcPr>
          <w:p w14:paraId="5B8CA3CD" w14:textId="3CB0226A" w:rsidR="00BE6C96" w:rsidRPr="00A27251" w:rsidRDefault="00A83D67" w:rsidP="00A83D67">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proofErr w:type="spellStart"/>
            <w:r w:rsidRPr="00A27251">
              <w:rPr>
                <w:rFonts w:asciiTheme="majorBidi" w:hAnsiTheme="majorBidi" w:cstheme="majorBidi"/>
                <w:color w:val="000000" w:themeColor="text1"/>
                <w:sz w:val="22"/>
                <w:szCs w:val="22"/>
              </w:rPr>
              <w:t>Median</w:t>
            </w:r>
            <w:proofErr w:type="spellEnd"/>
            <w:r w:rsidRPr="00A27251">
              <w:rPr>
                <w:rFonts w:asciiTheme="majorBidi" w:hAnsiTheme="majorBidi" w:cstheme="majorBidi"/>
                <w:color w:val="000000" w:themeColor="text1"/>
                <w:sz w:val="22"/>
                <w:szCs w:val="22"/>
              </w:rPr>
              <w:t xml:space="preserve"> Child HI</w:t>
            </w:r>
          </w:p>
        </w:tc>
        <w:tc>
          <w:tcPr>
            <w:tcW w:w="0" w:type="auto"/>
            <w:hideMark/>
          </w:tcPr>
          <w:p w14:paraId="3D74E7E2" w14:textId="7A080A4D" w:rsidR="00BE6C96" w:rsidRPr="00A27251" w:rsidRDefault="00A83D67" w:rsidP="00A83D67">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proofErr w:type="spellStart"/>
            <w:r w:rsidRPr="00A27251">
              <w:rPr>
                <w:rFonts w:asciiTheme="majorBidi" w:hAnsiTheme="majorBidi" w:cstheme="majorBidi"/>
                <w:color w:val="000000" w:themeColor="text1"/>
                <w:sz w:val="22"/>
                <w:szCs w:val="22"/>
              </w:rPr>
              <w:t>Median</w:t>
            </w:r>
            <w:proofErr w:type="spellEnd"/>
            <w:r w:rsidRPr="00A27251">
              <w:rPr>
                <w:rFonts w:asciiTheme="majorBidi" w:hAnsiTheme="majorBidi" w:cstheme="majorBidi"/>
                <w:color w:val="000000" w:themeColor="text1"/>
                <w:sz w:val="22"/>
                <w:szCs w:val="22"/>
              </w:rPr>
              <w:t xml:space="preserve"> </w:t>
            </w:r>
            <w:proofErr w:type="spellStart"/>
            <w:r w:rsidRPr="00A27251">
              <w:rPr>
                <w:rFonts w:asciiTheme="majorBidi" w:hAnsiTheme="majorBidi" w:cstheme="majorBidi"/>
                <w:color w:val="000000" w:themeColor="text1"/>
                <w:sz w:val="22"/>
                <w:szCs w:val="22"/>
              </w:rPr>
              <w:t>Adult</w:t>
            </w:r>
            <w:proofErr w:type="spellEnd"/>
            <w:r w:rsidRPr="00A27251">
              <w:rPr>
                <w:rFonts w:asciiTheme="majorBidi" w:hAnsiTheme="majorBidi" w:cstheme="majorBidi"/>
                <w:color w:val="000000" w:themeColor="text1"/>
                <w:sz w:val="22"/>
                <w:szCs w:val="22"/>
              </w:rPr>
              <w:t xml:space="preserve"> CR</w:t>
            </w:r>
          </w:p>
        </w:tc>
        <w:tc>
          <w:tcPr>
            <w:tcW w:w="0" w:type="auto"/>
            <w:hideMark/>
          </w:tcPr>
          <w:p w14:paraId="48F09EF8" w14:textId="11690C5B" w:rsidR="00BE6C96" w:rsidRPr="00A27251" w:rsidRDefault="00A83D67" w:rsidP="00A83D67">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proofErr w:type="spellStart"/>
            <w:r w:rsidRPr="00A27251">
              <w:rPr>
                <w:rFonts w:asciiTheme="majorBidi" w:hAnsiTheme="majorBidi" w:cstheme="majorBidi"/>
                <w:color w:val="000000" w:themeColor="text1"/>
                <w:sz w:val="22"/>
                <w:szCs w:val="22"/>
              </w:rPr>
              <w:t>Median</w:t>
            </w:r>
            <w:proofErr w:type="spellEnd"/>
            <w:r w:rsidRPr="00A27251">
              <w:rPr>
                <w:rFonts w:asciiTheme="majorBidi" w:hAnsiTheme="majorBidi" w:cstheme="majorBidi"/>
                <w:color w:val="000000" w:themeColor="text1"/>
                <w:sz w:val="22"/>
                <w:szCs w:val="22"/>
              </w:rPr>
              <w:t xml:space="preserve"> Child CR</w:t>
            </w:r>
          </w:p>
        </w:tc>
      </w:tr>
      <w:tr w:rsidR="00A83D67" w:rsidRPr="00955D3D" w14:paraId="1F371D41"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4B7CE4" w14:textId="77777777" w:rsidR="00BE6C96" w:rsidRPr="00A27251" w:rsidRDefault="00BE6C96" w:rsidP="0031013D">
            <w:pPr>
              <w:spacing w:line="360" w:lineRule="auto"/>
              <w:jc w:val="both"/>
              <w:rPr>
                <w:rFonts w:asciiTheme="majorBidi" w:hAnsiTheme="majorBidi" w:cstheme="majorBidi"/>
                <w:b w:val="0"/>
                <w:bCs w:val="0"/>
                <w:color w:val="000000" w:themeColor="text1"/>
                <w:sz w:val="22"/>
                <w:szCs w:val="22"/>
              </w:rPr>
            </w:pPr>
            <w:r w:rsidRPr="00A27251">
              <w:rPr>
                <w:rFonts w:asciiTheme="majorBidi" w:hAnsiTheme="majorBidi" w:cstheme="majorBidi"/>
                <w:color w:val="000000" w:themeColor="text1"/>
                <w:sz w:val="22"/>
                <w:szCs w:val="22"/>
              </w:rPr>
              <w:t>Cotonou</w:t>
            </w:r>
          </w:p>
        </w:tc>
        <w:tc>
          <w:tcPr>
            <w:tcW w:w="0" w:type="auto"/>
            <w:hideMark/>
          </w:tcPr>
          <w:p w14:paraId="2C031790" w14:textId="77777777" w:rsidR="00BE6C96" w:rsidRPr="00A27251"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A27251">
              <w:rPr>
                <w:rFonts w:asciiTheme="majorBidi" w:hAnsiTheme="majorBidi" w:cstheme="majorBidi"/>
                <w:color w:val="000000" w:themeColor="text1"/>
                <w:sz w:val="22"/>
                <w:szCs w:val="22"/>
              </w:rPr>
              <w:t>33,2</w:t>
            </w:r>
          </w:p>
        </w:tc>
        <w:tc>
          <w:tcPr>
            <w:tcW w:w="0" w:type="auto"/>
            <w:hideMark/>
          </w:tcPr>
          <w:p w14:paraId="0DABB5E6" w14:textId="77777777" w:rsidR="00BE6C96" w:rsidRPr="00A27251"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A27251">
              <w:rPr>
                <w:rFonts w:asciiTheme="majorBidi" w:hAnsiTheme="majorBidi" w:cstheme="majorBidi"/>
                <w:color w:val="000000" w:themeColor="text1"/>
                <w:sz w:val="22"/>
                <w:szCs w:val="22"/>
              </w:rPr>
              <w:t>48,3</w:t>
            </w:r>
          </w:p>
        </w:tc>
        <w:tc>
          <w:tcPr>
            <w:tcW w:w="0" w:type="auto"/>
            <w:hideMark/>
          </w:tcPr>
          <w:p w14:paraId="0F6DF014" w14:textId="77777777" w:rsidR="00BE6C96" w:rsidRPr="00A27251"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A27251">
              <w:rPr>
                <w:rFonts w:asciiTheme="majorBidi" w:hAnsiTheme="majorBidi" w:cstheme="majorBidi"/>
                <w:color w:val="000000" w:themeColor="text1"/>
                <w:sz w:val="22"/>
                <w:szCs w:val="22"/>
              </w:rPr>
              <w:t>2,74 × 10⁻⁴</w:t>
            </w:r>
          </w:p>
        </w:tc>
        <w:tc>
          <w:tcPr>
            <w:tcW w:w="0" w:type="auto"/>
            <w:hideMark/>
          </w:tcPr>
          <w:p w14:paraId="079FF999" w14:textId="77777777" w:rsidR="00BE6C96" w:rsidRPr="00A27251"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A27251">
              <w:rPr>
                <w:rFonts w:asciiTheme="majorBidi" w:hAnsiTheme="majorBidi" w:cstheme="majorBidi"/>
                <w:color w:val="000000" w:themeColor="text1"/>
                <w:sz w:val="22"/>
                <w:szCs w:val="22"/>
              </w:rPr>
              <w:t>2,57 × 10⁻⁴</w:t>
            </w:r>
          </w:p>
        </w:tc>
      </w:tr>
      <w:tr w:rsidR="00A83D67" w:rsidRPr="00955D3D" w14:paraId="0BB36EB1"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206A02B5" w14:textId="77777777" w:rsidR="00BE6C96" w:rsidRPr="00A27251" w:rsidRDefault="00BE6C96" w:rsidP="0031013D">
            <w:pPr>
              <w:spacing w:line="360" w:lineRule="auto"/>
              <w:jc w:val="both"/>
              <w:rPr>
                <w:rFonts w:asciiTheme="majorBidi" w:hAnsiTheme="majorBidi" w:cstheme="majorBidi"/>
                <w:color w:val="000000" w:themeColor="text1"/>
                <w:sz w:val="22"/>
                <w:szCs w:val="22"/>
              </w:rPr>
            </w:pPr>
            <w:r w:rsidRPr="00A27251">
              <w:rPr>
                <w:rFonts w:asciiTheme="majorBidi" w:hAnsiTheme="majorBidi" w:cstheme="majorBidi"/>
                <w:color w:val="000000" w:themeColor="text1"/>
                <w:sz w:val="22"/>
                <w:szCs w:val="22"/>
              </w:rPr>
              <w:t>Natitingou</w:t>
            </w:r>
          </w:p>
        </w:tc>
        <w:tc>
          <w:tcPr>
            <w:tcW w:w="0" w:type="auto"/>
            <w:hideMark/>
          </w:tcPr>
          <w:p w14:paraId="1DF6A728" w14:textId="77777777" w:rsidR="00BE6C96" w:rsidRPr="00A27251"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A27251">
              <w:rPr>
                <w:rFonts w:asciiTheme="majorBidi" w:hAnsiTheme="majorBidi" w:cstheme="majorBidi"/>
                <w:color w:val="000000" w:themeColor="text1"/>
                <w:sz w:val="22"/>
                <w:szCs w:val="22"/>
              </w:rPr>
              <w:t>13,6</w:t>
            </w:r>
          </w:p>
        </w:tc>
        <w:tc>
          <w:tcPr>
            <w:tcW w:w="0" w:type="auto"/>
            <w:hideMark/>
          </w:tcPr>
          <w:p w14:paraId="1A77755C" w14:textId="77777777" w:rsidR="00BE6C96" w:rsidRPr="00A27251"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A27251">
              <w:rPr>
                <w:rFonts w:asciiTheme="majorBidi" w:hAnsiTheme="majorBidi" w:cstheme="majorBidi"/>
                <w:color w:val="000000" w:themeColor="text1"/>
                <w:sz w:val="22"/>
                <w:szCs w:val="22"/>
              </w:rPr>
              <w:t>19,9</w:t>
            </w:r>
          </w:p>
        </w:tc>
        <w:tc>
          <w:tcPr>
            <w:tcW w:w="0" w:type="auto"/>
            <w:hideMark/>
          </w:tcPr>
          <w:p w14:paraId="73DE1D5D" w14:textId="77777777" w:rsidR="00BE6C96" w:rsidRPr="00A27251"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A27251">
              <w:rPr>
                <w:rFonts w:asciiTheme="majorBidi" w:hAnsiTheme="majorBidi" w:cstheme="majorBidi"/>
                <w:color w:val="000000" w:themeColor="text1"/>
                <w:sz w:val="22"/>
                <w:szCs w:val="22"/>
              </w:rPr>
              <w:t>2,29 × 10⁻³</w:t>
            </w:r>
          </w:p>
        </w:tc>
        <w:tc>
          <w:tcPr>
            <w:tcW w:w="0" w:type="auto"/>
            <w:hideMark/>
          </w:tcPr>
          <w:p w14:paraId="2B197BE9" w14:textId="77777777" w:rsidR="00BE6C96" w:rsidRPr="00A27251"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rPr>
            </w:pPr>
            <w:r w:rsidRPr="00A27251">
              <w:rPr>
                <w:rFonts w:asciiTheme="majorBidi" w:hAnsiTheme="majorBidi" w:cstheme="majorBidi"/>
                <w:color w:val="000000" w:themeColor="text1"/>
                <w:sz w:val="22"/>
                <w:szCs w:val="22"/>
              </w:rPr>
              <w:t>2,29 × 10⁻³</w:t>
            </w:r>
          </w:p>
        </w:tc>
      </w:tr>
      <w:tr w:rsidR="00A83D67" w:rsidRPr="00955D3D" w14:paraId="2BB655AD"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AA35FE" w14:textId="77777777" w:rsidR="00BE6C96" w:rsidRPr="00A27251" w:rsidRDefault="00BE6C96" w:rsidP="0031013D">
            <w:pPr>
              <w:spacing w:line="360" w:lineRule="auto"/>
              <w:jc w:val="both"/>
              <w:rPr>
                <w:rFonts w:asciiTheme="majorBidi" w:hAnsiTheme="majorBidi" w:cstheme="majorBidi"/>
                <w:color w:val="000000" w:themeColor="text1"/>
                <w:sz w:val="22"/>
                <w:szCs w:val="22"/>
              </w:rPr>
            </w:pPr>
            <w:r w:rsidRPr="00A27251">
              <w:rPr>
                <w:rFonts w:asciiTheme="majorBidi" w:hAnsiTheme="majorBidi" w:cstheme="majorBidi"/>
                <w:color w:val="000000" w:themeColor="text1"/>
                <w:sz w:val="22"/>
                <w:szCs w:val="22"/>
              </w:rPr>
              <w:t>Abomey-Calavi</w:t>
            </w:r>
          </w:p>
        </w:tc>
        <w:tc>
          <w:tcPr>
            <w:tcW w:w="0" w:type="auto"/>
            <w:hideMark/>
          </w:tcPr>
          <w:p w14:paraId="05E64C3C" w14:textId="77777777" w:rsidR="00BE6C96" w:rsidRPr="00A27251"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A27251">
              <w:rPr>
                <w:rFonts w:asciiTheme="majorBidi" w:hAnsiTheme="majorBidi" w:cstheme="majorBidi"/>
                <w:color w:val="000000" w:themeColor="text1"/>
                <w:sz w:val="22"/>
                <w:szCs w:val="22"/>
              </w:rPr>
              <w:t>6,65</w:t>
            </w:r>
          </w:p>
        </w:tc>
        <w:tc>
          <w:tcPr>
            <w:tcW w:w="0" w:type="auto"/>
            <w:hideMark/>
          </w:tcPr>
          <w:p w14:paraId="6F07501E" w14:textId="77777777" w:rsidR="00BE6C96" w:rsidRPr="00A27251"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A27251">
              <w:rPr>
                <w:rFonts w:asciiTheme="majorBidi" w:hAnsiTheme="majorBidi" w:cstheme="majorBidi"/>
                <w:color w:val="000000" w:themeColor="text1"/>
                <w:sz w:val="22"/>
                <w:szCs w:val="22"/>
              </w:rPr>
              <w:t>9,68</w:t>
            </w:r>
          </w:p>
        </w:tc>
        <w:tc>
          <w:tcPr>
            <w:tcW w:w="0" w:type="auto"/>
            <w:hideMark/>
          </w:tcPr>
          <w:p w14:paraId="06998331" w14:textId="77777777" w:rsidR="00BE6C96" w:rsidRPr="00A27251"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A27251">
              <w:rPr>
                <w:rFonts w:asciiTheme="majorBidi" w:hAnsiTheme="majorBidi" w:cstheme="majorBidi"/>
                <w:color w:val="000000" w:themeColor="text1"/>
                <w:sz w:val="22"/>
                <w:szCs w:val="22"/>
              </w:rPr>
              <w:t>3,31 × 10⁻⁴</w:t>
            </w:r>
          </w:p>
        </w:tc>
        <w:tc>
          <w:tcPr>
            <w:tcW w:w="0" w:type="auto"/>
            <w:hideMark/>
          </w:tcPr>
          <w:p w14:paraId="4A4A9EAE" w14:textId="77777777" w:rsidR="00BE6C96" w:rsidRPr="00A27251"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2"/>
                <w:szCs w:val="22"/>
              </w:rPr>
            </w:pPr>
            <w:r w:rsidRPr="00A27251">
              <w:rPr>
                <w:rFonts w:asciiTheme="majorBidi" w:hAnsiTheme="majorBidi" w:cstheme="majorBidi"/>
                <w:color w:val="000000" w:themeColor="text1"/>
                <w:sz w:val="22"/>
                <w:szCs w:val="22"/>
              </w:rPr>
              <w:t>3,37 × 10⁻⁴</w:t>
            </w:r>
          </w:p>
        </w:tc>
      </w:tr>
    </w:tbl>
    <w:p w14:paraId="6B9B4F4D" w14:textId="77777777" w:rsidR="00A83D67" w:rsidRPr="00A83D67" w:rsidRDefault="00A83D67" w:rsidP="00A83D67">
      <w:pPr>
        <w:pStyle w:val="NormalWeb"/>
        <w:spacing w:before="0" w:beforeAutospacing="0" w:after="0" w:afterAutospacing="0" w:line="360" w:lineRule="auto"/>
        <w:jc w:val="both"/>
        <w:rPr>
          <w:rFonts w:asciiTheme="majorBidi" w:hAnsiTheme="majorBidi" w:cstheme="majorBidi"/>
          <w:color w:val="000000" w:themeColor="text1"/>
          <w:lang w:val="en-GB"/>
        </w:rPr>
      </w:pPr>
      <w:r w:rsidRPr="00A83D67">
        <w:rPr>
          <w:rFonts w:asciiTheme="majorBidi" w:hAnsiTheme="majorBidi" w:cstheme="majorBidi"/>
          <w:color w:val="000000" w:themeColor="text1"/>
          <w:lang w:val="en-GB"/>
        </w:rPr>
        <w:t xml:space="preserve">The non-carcinogenic risk assessment indicates that the Hazard Index (HI) substantially exceeds the critical threshold of 1 in all cities studied. Among adults, median HI values reach 33.2 in Cotonou, 13.6 in </w:t>
      </w:r>
      <w:proofErr w:type="spellStart"/>
      <w:r w:rsidRPr="00A83D67">
        <w:rPr>
          <w:rFonts w:asciiTheme="majorBidi" w:hAnsiTheme="majorBidi" w:cstheme="majorBidi"/>
          <w:color w:val="000000" w:themeColor="text1"/>
          <w:lang w:val="en-GB"/>
        </w:rPr>
        <w:t>Natitingou</w:t>
      </w:r>
      <w:proofErr w:type="spellEnd"/>
      <w:r w:rsidRPr="00A83D67">
        <w:rPr>
          <w:rFonts w:asciiTheme="majorBidi" w:hAnsiTheme="majorBidi" w:cstheme="majorBidi"/>
          <w:color w:val="000000" w:themeColor="text1"/>
          <w:lang w:val="en-GB"/>
        </w:rPr>
        <w:t>, and 6.65 in Abomey-</w:t>
      </w:r>
      <w:proofErr w:type="spellStart"/>
      <w:r w:rsidRPr="00A83D67">
        <w:rPr>
          <w:rFonts w:asciiTheme="majorBidi" w:hAnsiTheme="majorBidi" w:cstheme="majorBidi"/>
          <w:color w:val="000000" w:themeColor="text1"/>
          <w:lang w:val="en-GB"/>
        </w:rPr>
        <w:t>Calavi</w:t>
      </w:r>
      <w:proofErr w:type="spellEnd"/>
      <w:r w:rsidRPr="00A83D67">
        <w:rPr>
          <w:rFonts w:asciiTheme="majorBidi" w:hAnsiTheme="majorBidi" w:cstheme="majorBidi"/>
          <w:color w:val="000000" w:themeColor="text1"/>
          <w:lang w:val="en-GB"/>
        </w:rPr>
        <w:t>. Children consistently exhibit higher indices, with median values of 48.3, 19.9, and 9.68, respectively. These results demonstrate that exposure to heavy metals via well-water consumption poses a significant health risk, particularly for children.</w:t>
      </w:r>
    </w:p>
    <w:p w14:paraId="403E2A5E" w14:textId="77777777" w:rsidR="00A83D67" w:rsidRPr="00A83D67" w:rsidRDefault="00A83D67" w:rsidP="00A83D67">
      <w:pPr>
        <w:pStyle w:val="NormalWeb"/>
        <w:spacing w:before="0" w:beforeAutospacing="0" w:after="0" w:afterAutospacing="0" w:line="360" w:lineRule="auto"/>
        <w:jc w:val="both"/>
        <w:rPr>
          <w:rFonts w:asciiTheme="majorBidi" w:hAnsiTheme="majorBidi" w:cstheme="majorBidi"/>
          <w:color w:val="000000" w:themeColor="text1"/>
          <w:lang w:val="en-GB"/>
        </w:rPr>
      </w:pPr>
      <w:r w:rsidRPr="00A83D67">
        <w:rPr>
          <w:rFonts w:asciiTheme="majorBidi" w:hAnsiTheme="majorBidi" w:cstheme="majorBidi"/>
          <w:color w:val="000000" w:themeColor="text1"/>
          <w:lang w:val="en-GB"/>
        </w:rPr>
        <w:t xml:space="preserve">With regard to carcinogenic risk, median Cancer Risk (CR) values range from 2.74 × 10⁻⁴ in Cotonou, 2.29 × 10⁻³ in </w:t>
      </w:r>
      <w:proofErr w:type="spellStart"/>
      <w:r w:rsidRPr="00A83D67">
        <w:rPr>
          <w:rFonts w:asciiTheme="majorBidi" w:hAnsiTheme="majorBidi" w:cstheme="majorBidi"/>
          <w:color w:val="000000" w:themeColor="text1"/>
          <w:lang w:val="en-GB"/>
        </w:rPr>
        <w:t>Natitingou</w:t>
      </w:r>
      <w:proofErr w:type="spellEnd"/>
      <w:r w:rsidRPr="00A83D67">
        <w:rPr>
          <w:rFonts w:asciiTheme="majorBidi" w:hAnsiTheme="majorBidi" w:cstheme="majorBidi"/>
          <w:color w:val="000000" w:themeColor="text1"/>
          <w:lang w:val="en-GB"/>
        </w:rPr>
        <w:t>, and 3.31 × 10⁻⁴ in Abomey-</w:t>
      </w:r>
      <w:proofErr w:type="spellStart"/>
      <w:r w:rsidRPr="00A83D67">
        <w:rPr>
          <w:rFonts w:asciiTheme="majorBidi" w:hAnsiTheme="majorBidi" w:cstheme="majorBidi"/>
          <w:color w:val="000000" w:themeColor="text1"/>
          <w:lang w:val="en-GB"/>
        </w:rPr>
        <w:t>Calavi</w:t>
      </w:r>
      <w:proofErr w:type="spellEnd"/>
      <w:r w:rsidRPr="00A83D67">
        <w:rPr>
          <w:rFonts w:asciiTheme="majorBidi" w:hAnsiTheme="majorBidi" w:cstheme="majorBidi"/>
          <w:color w:val="000000" w:themeColor="text1"/>
          <w:lang w:val="en-GB"/>
        </w:rPr>
        <w:t xml:space="preserve"> for adults. In children, comparable magnitudes are observed, with, for instance, a CR of 2.57 × 10⁻³ in </w:t>
      </w:r>
      <w:proofErr w:type="spellStart"/>
      <w:r w:rsidRPr="00A83D67">
        <w:rPr>
          <w:rFonts w:asciiTheme="majorBidi" w:hAnsiTheme="majorBidi" w:cstheme="majorBidi"/>
          <w:color w:val="000000" w:themeColor="text1"/>
          <w:lang w:val="en-GB"/>
        </w:rPr>
        <w:t>Natitingou</w:t>
      </w:r>
      <w:proofErr w:type="spellEnd"/>
      <w:r w:rsidRPr="00A83D67">
        <w:rPr>
          <w:rFonts w:asciiTheme="majorBidi" w:hAnsiTheme="majorBidi" w:cstheme="majorBidi"/>
          <w:color w:val="000000" w:themeColor="text1"/>
          <w:lang w:val="en-GB"/>
        </w:rPr>
        <w:t>. All values exceed the tolerable risk threshold of 1 × 10⁻⁴ established by the EPA, indicating a high carcinogenic risk primarily associated with arsenic and hexavalent chromium.</w:t>
      </w:r>
    </w:p>
    <w:p w14:paraId="2BEC397B" w14:textId="77777777" w:rsidR="00A83D67" w:rsidRPr="00A83D67" w:rsidRDefault="00A83D67" w:rsidP="00A83D67">
      <w:pPr>
        <w:pStyle w:val="NormalWeb"/>
        <w:spacing w:before="0" w:beforeAutospacing="0" w:after="0" w:afterAutospacing="0" w:line="360" w:lineRule="auto"/>
        <w:jc w:val="both"/>
        <w:rPr>
          <w:rFonts w:asciiTheme="majorBidi" w:hAnsiTheme="majorBidi" w:cstheme="majorBidi"/>
          <w:color w:val="000000" w:themeColor="text1"/>
          <w:lang w:val="en-GB"/>
        </w:rPr>
      </w:pPr>
      <w:r w:rsidRPr="00A83D67">
        <w:rPr>
          <w:rFonts w:asciiTheme="majorBidi" w:hAnsiTheme="majorBidi" w:cstheme="majorBidi"/>
          <w:color w:val="000000" w:themeColor="text1"/>
          <w:lang w:val="en-GB"/>
        </w:rPr>
        <w:t>Distance-based analysis relative to waste disposal sites does not reveal a consistent trend. In Abomey-</w:t>
      </w:r>
      <w:proofErr w:type="spellStart"/>
      <w:r w:rsidRPr="00A83D67">
        <w:rPr>
          <w:rFonts w:asciiTheme="majorBidi" w:hAnsiTheme="majorBidi" w:cstheme="majorBidi"/>
          <w:color w:val="000000" w:themeColor="text1"/>
          <w:lang w:val="en-GB"/>
        </w:rPr>
        <w:t>Calavi</w:t>
      </w:r>
      <w:proofErr w:type="spellEnd"/>
      <w:r w:rsidRPr="00A83D67">
        <w:rPr>
          <w:rFonts w:asciiTheme="majorBidi" w:hAnsiTheme="majorBidi" w:cstheme="majorBidi"/>
          <w:color w:val="000000" w:themeColor="text1"/>
          <w:lang w:val="en-GB"/>
        </w:rPr>
        <w:t xml:space="preserve">, adult HI decreases from 12.1 to 4.37 between 0 m and 100 m, suggesting a localized attenuation effect. In Cotonou, values remain elevated and relatively stable regardless of distance. In </w:t>
      </w:r>
      <w:proofErr w:type="spellStart"/>
      <w:r w:rsidRPr="00A83D67">
        <w:rPr>
          <w:rFonts w:asciiTheme="majorBidi" w:hAnsiTheme="majorBidi" w:cstheme="majorBidi"/>
          <w:color w:val="000000" w:themeColor="text1"/>
          <w:lang w:val="en-GB"/>
        </w:rPr>
        <w:t>Natitingou</w:t>
      </w:r>
      <w:proofErr w:type="spellEnd"/>
      <w:r w:rsidRPr="00A83D67">
        <w:rPr>
          <w:rFonts w:asciiTheme="majorBidi" w:hAnsiTheme="majorBidi" w:cstheme="majorBidi"/>
          <w:color w:val="000000" w:themeColor="text1"/>
          <w:lang w:val="en-GB"/>
        </w:rPr>
        <w:t xml:space="preserve">, a pronounced peak is observed at 50 m, where the adult HI reaches </w:t>
      </w:r>
      <w:r w:rsidRPr="00A83D67">
        <w:rPr>
          <w:rFonts w:asciiTheme="majorBidi" w:hAnsiTheme="majorBidi" w:cstheme="majorBidi"/>
          <w:color w:val="000000" w:themeColor="text1"/>
          <w:lang w:val="en-GB"/>
        </w:rPr>
        <w:lastRenderedPageBreak/>
        <w:t>48.7 and the child CR exceeds 2 × 10⁻³, reflecting particularly intense groundwater contamination.</w:t>
      </w:r>
    </w:p>
    <w:p w14:paraId="2065FBA7" w14:textId="43920239" w:rsidR="00A83D67" w:rsidRPr="00A83D67" w:rsidRDefault="00A27251" w:rsidP="00A83D67">
      <w:pPr>
        <w:pStyle w:val="NormalWeb"/>
        <w:spacing w:before="0" w:beforeAutospacing="0" w:after="0" w:afterAutospacing="0" w:line="360" w:lineRule="auto"/>
        <w:jc w:val="both"/>
        <w:rPr>
          <w:rFonts w:asciiTheme="majorBidi" w:hAnsiTheme="majorBidi" w:cstheme="majorBidi"/>
          <w:color w:val="000000" w:themeColor="text1"/>
          <w:lang w:val="en-GB"/>
        </w:rPr>
      </w:pPr>
      <w:r>
        <w:rPr>
          <w:rFonts w:asciiTheme="majorBidi" w:hAnsiTheme="majorBidi" w:cstheme="majorBidi"/>
          <w:color w:val="000000" w:themeColor="text1"/>
          <w:lang w:val="en-GB"/>
        </w:rPr>
        <w:t>These</w:t>
      </w:r>
      <w:r w:rsidR="00A83D67" w:rsidRPr="00A83D67">
        <w:rPr>
          <w:rFonts w:asciiTheme="majorBidi" w:hAnsiTheme="majorBidi" w:cstheme="majorBidi"/>
          <w:color w:val="000000" w:themeColor="text1"/>
          <w:lang w:val="en-GB"/>
        </w:rPr>
        <w:t xml:space="preserve"> findings indicate that well-water consumption in the three cities poses both non-carcinogenic and carcinogenic health risks, with heightened vulnerability among children and particularly severe exposure in Cotonou and </w:t>
      </w:r>
      <w:proofErr w:type="spellStart"/>
      <w:r w:rsidR="00A83D67" w:rsidRPr="00A83D67">
        <w:rPr>
          <w:rFonts w:asciiTheme="majorBidi" w:hAnsiTheme="majorBidi" w:cstheme="majorBidi"/>
          <w:color w:val="000000" w:themeColor="text1"/>
          <w:lang w:val="en-GB"/>
        </w:rPr>
        <w:t>Natitingou</w:t>
      </w:r>
      <w:proofErr w:type="spellEnd"/>
      <w:r w:rsidR="00A83D67" w:rsidRPr="00A83D67">
        <w:rPr>
          <w:rFonts w:asciiTheme="majorBidi" w:hAnsiTheme="majorBidi" w:cstheme="majorBidi"/>
          <w:color w:val="000000" w:themeColor="text1"/>
          <w:lang w:val="en-GB"/>
        </w:rPr>
        <w:t>.</w:t>
      </w:r>
    </w:p>
    <w:p w14:paraId="0E9FD542" w14:textId="77777777" w:rsidR="00BE6C96" w:rsidRPr="00955D3D" w:rsidRDefault="00BE6C96" w:rsidP="00BE6C96">
      <w:pPr>
        <w:pStyle w:val="NormalWeb"/>
        <w:spacing w:line="360" w:lineRule="auto"/>
        <w:jc w:val="both"/>
        <w:rPr>
          <w:rFonts w:asciiTheme="majorBidi" w:hAnsiTheme="majorBidi" w:cstheme="majorBidi"/>
          <w:color w:val="000000" w:themeColor="text1"/>
        </w:rPr>
      </w:pPr>
      <w:r w:rsidRPr="00955D3D">
        <w:rPr>
          <w:rFonts w:asciiTheme="majorBidi" w:hAnsiTheme="majorBidi" w:cstheme="majorBidi"/>
          <w:noProof/>
          <w:color w:val="000000" w:themeColor="text1"/>
          <w14:ligatures w14:val="standardContextual"/>
        </w:rPr>
        <w:drawing>
          <wp:inline distT="0" distB="0" distL="0" distR="0" wp14:anchorId="227ADDA5" wp14:editId="1CC5A834">
            <wp:extent cx="5731510" cy="3202305"/>
            <wp:effectExtent l="0" t="0" r="2540" b="0"/>
            <wp:docPr id="99163288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632883" name="Image 991632883"/>
                    <pic:cNvPicPr/>
                  </pic:nvPicPr>
                  <pic:blipFill rotWithShape="1">
                    <a:blip r:embed="rId9">
                      <a:extLst>
                        <a:ext uri="{28A0092B-C50C-407E-A947-70E740481C1C}">
                          <a14:useLocalDpi xmlns:a14="http://schemas.microsoft.com/office/drawing/2010/main" val="0"/>
                        </a:ext>
                      </a:extLst>
                    </a:blip>
                    <a:srcRect t="7519"/>
                    <a:stretch/>
                  </pic:blipFill>
                  <pic:spPr bwMode="auto">
                    <a:xfrm>
                      <a:off x="0" y="0"/>
                      <a:ext cx="5731510" cy="3202305"/>
                    </a:xfrm>
                    <a:prstGeom prst="rect">
                      <a:avLst/>
                    </a:prstGeom>
                    <a:ln>
                      <a:noFill/>
                    </a:ln>
                    <a:extLst>
                      <a:ext uri="{53640926-AAD7-44D8-BBD7-CCE9431645EC}">
                        <a14:shadowObscured xmlns:a14="http://schemas.microsoft.com/office/drawing/2010/main"/>
                      </a:ext>
                    </a:extLst>
                  </pic:spPr>
                </pic:pic>
              </a:graphicData>
            </a:graphic>
          </wp:inline>
        </w:drawing>
      </w:r>
    </w:p>
    <w:p w14:paraId="464E9C81" w14:textId="77777777" w:rsidR="00A83D67" w:rsidRPr="00A83D67" w:rsidRDefault="00A83D67" w:rsidP="00A83D67">
      <w:pPr>
        <w:spacing w:line="360" w:lineRule="auto"/>
        <w:jc w:val="both"/>
        <w:rPr>
          <w:rFonts w:asciiTheme="majorBidi" w:hAnsiTheme="majorBidi" w:cstheme="majorBidi"/>
          <w:color w:val="000000" w:themeColor="text1"/>
          <w:lang w:val="en-GB"/>
        </w:rPr>
      </w:pPr>
      <w:r w:rsidRPr="00A83D67">
        <w:rPr>
          <w:rFonts w:asciiTheme="majorBidi" w:hAnsiTheme="majorBidi" w:cstheme="majorBidi"/>
          <w:b/>
          <w:bCs/>
          <w:color w:val="000000" w:themeColor="text1"/>
          <w:lang w:val="en-GB"/>
        </w:rPr>
        <w:t>Figure 3</w:t>
      </w:r>
      <w:r w:rsidRPr="00A83D67">
        <w:rPr>
          <w:rFonts w:asciiTheme="majorBidi" w:hAnsiTheme="majorBidi" w:cstheme="majorBidi"/>
          <w:color w:val="000000" w:themeColor="text1"/>
          <w:lang w:val="en-GB"/>
        </w:rPr>
        <w:t>: Carcinogenic Risk by City and Distance</w:t>
      </w:r>
    </w:p>
    <w:p w14:paraId="50D6E258" w14:textId="77777777" w:rsidR="00A83D67" w:rsidRPr="00A83D67" w:rsidRDefault="00A83D67" w:rsidP="00A83D67">
      <w:pPr>
        <w:spacing w:line="360" w:lineRule="auto"/>
        <w:jc w:val="both"/>
        <w:rPr>
          <w:rFonts w:asciiTheme="majorBidi" w:hAnsiTheme="majorBidi" w:cstheme="majorBidi"/>
          <w:color w:val="000000" w:themeColor="text1"/>
          <w:lang w:val="en-GB"/>
        </w:rPr>
      </w:pPr>
      <w:r w:rsidRPr="00A83D67">
        <w:rPr>
          <w:rFonts w:asciiTheme="majorBidi" w:hAnsiTheme="majorBidi" w:cstheme="majorBidi"/>
          <w:color w:val="000000" w:themeColor="text1"/>
          <w:lang w:val="en-GB"/>
        </w:rPr>
        <w:t>Figure 3 illustrates that, across the three cities studied, populations are exposed to carcinogenic risks that substantially exceed the thresholds considered acceptable for drinking water. In Abomey-</w:t>
      </w:r>
      <w:proofErr w:type="spellStart"/>
      <w:r w:rsidRPr="00A83D67">
        <w:rPr>
          <w:rFonts w:asciiTheme="majorBidi" w:hAnsiTheme="majorBidi" w:cstheme="majorBidi"/>
          <w:color w:val="000000" w:themeColor="text1"/>
          <w:lang w:val="en-GB"/>
        </w:rPr>
        <w:t>Calavi</w:t>
      </w:r>
      <w:proofErr w:type="spellEnd"/>
      <w:r w:rsidRPr="00A83D67">
        <w:rPr>
          <w:rFonts w:asciiTheme="majorBidi" w:hAnsiTheme="majorBidi" w:cstheme="majorBidi"/>
          <w:color w:val="000000" w:themeColor="text1"/>
          <w:lang w:val="en-GB"/>
        </w:rPr>
        <w:t>, calculated values for adults are approximately 3 × 10⁻⁴, indicating that daily exposure to this water may increase the lifetime probability of developing cancer. For children, the values are slightly lower but still remain above the recommended limit. Even at these relatively moderate levels, the heightened vulnerability of children renders the situation concerning.</w:t>
      </w:r>
    </w:p>
    <w:p w14:paraId="5EB62FDF" w14:textId="77777777" w:rsidR="00A83D67" w:rsidRPr="00A83D67" w:rsidRDefault="00A83D67" w:rsidP="00A83D67">
      <w:pPr>
        <w:spacing w:line="360" w:lineRule="auto"/>
        <w:jc w:val="both"/>
        <w:rPr>
          <w:rFonts w:asciiTheme="majorBidi" w:hAnsiTheme="majorBidi" w:cstheme="majorBidi"/>
          <w:color w:val="000000" w:themeColor="text1"/>
          <w:lang w:val="en-GB"/>
        </w:rPr>
      </w:pPr>
      <w:r w:rsidRPr="00A83D67">
        <w:rPr>
          <w:rFonts w:asciiTheme="majorBidi" w:hAnsiTheme="majorBidi" w:cstheme="majorBidi"/>
          <w:color w:val="000000" w:themeColor="text1"/>
          <w:lang w:val="en-GB"/>
        </w:rPr>
        <w:t>In Cotonou, observed levels are comparable. Adult risks remain close to those in Abomey-</w:t>
      </w:r>
      <w:proofErr w:type="spellStart"/>
      <w:r w:rsidRPr="00A83D67">
        <w:rPr>
          <w:rFonts w:asciiTheme="majorBidi" w:hAnsiTheme="majorBidi" w:cstheme="majorBidi"/>
          <w:color w:val="000000" w:themeColor="text1"/>
          <w:lang w:val="en-GB"/>
        </w:rPr>
        <w:t>Calavi</w:t>
      </w:r>
      <w:proofErr w:type="spellEnd"/>
      <w:r w:rsidRPr="00A83D67">
        <w:rPr>
          <w:rFonts w:asciiTheme="majorBidi" w:hAnsiTheme="majorBidi" w:cstheme="majorBidi"/>
          <w:color w:val="000000" w:themeColor="text1"/>
          <w:lang w:val="en-GB"/>
        </w:rPr>
        <w:t>, while children’s risks vary between 10⁻⁵ and 10⁻⁴. Notably, contamination extends beyond the immediate vicinity of the waste disposal sites, affecting populations who rely on this water on a daily basis.</w:t>
      </w:r>
    </w:p>
    <w:p w14:paraId="0E57590E" w14:textId="77777777" w:rsidR="00A83D67" w:rsidRPr="00A83D67" w:rsidRDefault="00A83D67" w:rsidP="00A83D67">
      <w:pPr>
        <w:spacing w:line="360" w:lineRule="auto"/>
        <w:jc w:val="both"/>
        <w:rPr>
          <w:rFonts w:asciiTheme="majorBidi" w:hAnsiTheme="majorBidi" w:cstheme="majorBidi"/>
          <w:color w:val="000000" w:themeColor="text1"/>
          <w:lang w:val="en-GB"/>
        </w:rPr>
      </w:pPr>
      <w:proofErr w:type="spellStart"/>
      <w:r w:rsidRPr="00A83D67">
        <w:rPr>
          <w:rFonts w:asciiTheme="majorBidi" w:hAnsiTheme="majorBidi" w:cstheme="majorBidi"/>
          <w:color w:val="000000" w:themeColor="text1"/>
          <w:lang w:val="en-GB"/>
        </w:rPr>
        <w:t>Natitingou</w:t>
      </w:r>
      <w:proofErr w:type="spellEnd"/>
      <w:r w:rsidRPr="00A83D67">
        <w:rPr>
          <w:rFonts w:asciiTheme="majorBidi" w:hAnsiTheme="majorBidi" w:cstheme="majorBidi"/>
          <w:color w:val="000000" w:themeColor="text1"/>
          <w:lang w:val="en-GB"/>
        </w:rPr>
        <w:t xml:space="preserve"> presents a particularly alarming scenario. Adult values exceed 3 × 10⁻³, and children are exposed to especially high risks. Even at increasing distances from the disposal sites, risk levels remain above internationally recognised acceptable thresholds. Such concentrations </w:t>
      </w:r>
      <w:r w:rsidRPr="00A83D67">
        <w:rPr>
          <w:rFonts w:asciiTheme="majorBidi" w:hAnsiTheme="majorBidi" w:cstheme="majorBidi"/>
          <w:color w:val="000000" w:themeColor="text1"/>
          <w:lang w:val="en-GB"/>
        </w:rPr>
        <w:lastRenderedPageBreak/>
        <w:t>indicate chronic exposure, which may significantly elevate the long-term probability of developing certain cancers.</w:t>
      </w:r>
    </w:p>
    <w:p w14:paraId="5FF589C3" w14:textId="77777777" w:rsidR="00BE6C96" w:rsidRPr="00955D3D" w:rsidRDefault="00BE6C96" w:rsidP="00BE6C96">
      <w:pPr>
        <w:spacing w:line="360" w:lineRule="auto"/>
        <w:jc w:val="both"/>
        <w:rPr>
          <w:rFonts w:asciiTheme="majorBidi" w:hAnsiTheme="majorBidi" w:cstheme="majorBidi"/>
          <w:color w:val="000000" w:themeColor="text1"/>
        </w:rPr>
      </w:pPr>
      <w:r w:rsidRPr="00955D3D">
        <w:rPr>
          <w:rFonts w:asciiTheme="majorBidi" w:hAnsiTheme="majorBidi" w:cstheme="majorBidi"/>
          <w:noProof/>
          <w:color w:val="000000" w:themeColor="text1"/>
          <w14:ligatures w14:val="standardContextual"/>
        </w:rPr>
        <w:drawing>
          <wp:inline distT="0" distB="0" distL="0" distR="0" wp14:anchorId="309257E6" wp14:editId="7942D756">
            <wp:extent cx="5731510" cy="3462655"/>
            <wp:effectExtent l="0" t="0" r="0" b="4445"/>
            <wp:docPr id="205618199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181996" name="Image 2056181996"/>
                    <pic:cNvPicPr/>
                  </pic:nvPicPr>
                  <pic:blipFill>
                    <a:blip r:embed="rId10">
                      <a:extLst>
                        <a:ext uri="{28A0092B-C50C-407E-A947-70E740481C1C}">
                          <a14:useLocalDpi xmlns:a14="http://schemas.microsoft.com/office/drawing/2010/main" val="0"/>
                        </a:ext>
                      </a:extLst>
                    </a:blip>
                    <a:stretch>
                      <a:fillRect/>
                    </a:stretch>
                  </pic:blipFill>
                  <pic:spPr>
                    <a:xfrm>
                      <a:off x="0" y="0"/>
                      <a:ext cx="5731510" cy="3462655"/>
                    </a:xfrm>
                    <a:prstGeom prst="rect">
                      <a:avLst/>
                    </a:prstGeom>
                  </pic:spPr>
                </pic:pic>
              </a:graphicData>
            </a:graphic>
          </wp:inline>
        </w:drawing>
      </w:r>
    </w:p>
    <w:p w14:paraId="765D2E92" w14:textId="77777777" w:rsidR="00086463" w:rsidRPr="00086463" w:rsidRDefault="00086463" w:rsidP="00086463">
      <w:pPr>
        <w:spacing w:line="360" w:lineRule="auto"/>
        <w:jc w:val="both"/>
        <w:rPr>
          <w:rFonts w:asciiTheme="majorBidi" w:hAnsiTheme="majorBidi" w:cstheme="majorBidi"/>
          <w:color w:val="000000" w:themeColor="text1"/>
          <w:lang w:val="en-GB"/>
        </w:rPr>
      </w:pPr>
      <w:r w:rsidRPr="00086463">
        <w:rPr>
          <w:rFonts w:asciiTheme="majorBidi" w:hAnsiTheme="majorBidi" w:cstheme="majorBidi"/>
          <w:b/>
          <w:bCs/>
          <w:color w:val="000000" w:themeColor="text1"/>
          <w:lang w:val="en-GB"/>
        </w:rPr>
        <w:t>Figure 4</w:t>
      </w:r>
      <w:r w:rsidRPr="00086463">
        <w:rPr>
          <w:rFonts w:asciiTheme="majorBidi" w:hAnsiTheme="majorBidi" w:cstheme="majorBidi"/>
          <w:color w:val="000000" w:themeColor="text1"/>
          <w:lang w:val="en-GB"/>
        </w:rPr>
        <w:t>: Hazard Index by City and Distance</w:t>
      </w:r>
    </w:p>
    <w:p w14:paraId="6FD09A89" w14:textId="77777777" w:rsidR="00086463" w:rsidRPr="00086463" w:rsidRDefault="00086463" w:rsidP="00086463">
      <w:pPr>
        <w:spacing w:line="360" w:lineRule="auto"/>
        <w:jc w:val="both"/>
        <w:rPr>
          <w:rFonts w:asciiTheme="majorBidi" w:hAnsiTheme="majorBidi" w:cstheme="majorBidi"/>
          <w:color w:val="000000" w:themeColor="text1"/>
          <w:lang w:val="en-GB"/>
        </w:rPr>
      </w:pPr>
      <w:r w:rsidRPr="00086463">
        <w:rPr>
          <w:rFonts w:asciiTheme="majorBidi" w:hAnsiTheme="majorBidi" w:cstheme="majorBidi"/>
          <w:color w:val="000000" w:themeColor="text1"/>
          <w:lang w:val="en-GB"/>
        </w:rPr>
        <w:t>The assessment of the Hazard Index (HI; Figure 4) demonstrates that all well-water samples examined exhibit values substantially exceeding the safety threshold of 1. In Abomey-</w:t>
      </w:r>
      <w:proofErr w:type="spellStart"/>
      <w:r w:rsidRPr="00086463">
        <w:rPr>
          <w:rFonts w:asciiTheme="majorBidi" w:hAnsiTheme="majorBidi" w:cstheme="majorBidi"/>
          <w:color w:val="000000" w:themeColor="text1"/>
          <w:lang w:val="en-GB"/>
        </w:rPr>
        <w:t>Calavi</w:t>
      </w:r>
      <w:proofErr w:type="spellEnd"/>
      <w:r w:rsidRPr="00086463">
        <w:rPr>
          <w:rFonts w:asciiTheme="majorBidi" w:hAnsiTheme="majorBidi" w:cstheme="majorBidi"/>
          <w:color w:val="000000" w:themeColor="text1"/>
          <w:lang w:val="en-GB"/>
        </w:rPr>
        <w:t xml:space="preserve">, the highest HI values are observed in wells located in close proximity to the waste disposal sites, reaching approximately 12 for adults and 18 for children. These values decline progressively with distance, reaching around 4 for adults and 6 for children at 100 m, suggesting a partial attenuation of contamination. In Cotonou, HI values remain elevated regardless of distance, with median values ranging from 30 to 35 for adults and 40 to 50 for children, indicating diffuse contamination of the aquifer that is not solely dependent on proximity to the waste sites. </w:t>
      </w:r>
      <w:proofErr w:type="spellStart"/>
      <w:r w:rsidRPr="00086463">
        <w:rPr>
          <w:rFonts w:asciiTheme="majorBidi" w:hAnsiTheme="majorBidi" w:cstheme="majorBidi"/>
          <w:color w:val="000000" w:themeColor="text1"/>
          <w:lang w:val="en-GB"/>
        </w:rPr>
        <w:t>Natitingou</w:t>
      </w:r>
      <w:proofErr w:type="spellEnd"/>
      <w:r w:rsidRPr="00086463">
        <w:rPr>
          <w:rFonts w:asciiTheme="majorBidi" w:hAnsiTheme="majorBidi" w:cstheme="majorBidi"/>
          <w:color w:val="000000" w:themeColor="text1"/>
          <w:lang w:val="en-GB"/>
        </w:rPr>
        <w:t xml:space="preserve"> presents a distinctive pattern, with relatively moderate values at 0 m (approximately 9 for adults and 13 for children), a pronounced peak at 50 m (around 35 for adults and 70 for children), followed by a decline at 100 m. This distribution may reflect local variations in pollution dynamics or groundwater flow. Overall, these findings indicate a substantial non-carcinogenic risk to populations, with children consistently exhibiting higher exposure than adults.</w:t>
      </w:r>
    </w:p>
    <w:p w14:paraId="30C57195" w14:textId="4BE8B7F8" w:rsidR="00086463" w:rsidRPr="00086463" w:rsidRDefault="005460FD" w:rsidP="00086463">
      <w:pPr>
        <w:spacing w:line="360" w:lineRule="auto"/>
        <w:jc w:val="both"/>
        <w:rPr>
          <w:rFonts w:asciiTheme="majorBidi" w:hAnsiTheme="majorBidi" w:cstheme="majorBidi"/>
          <w:b/>
          <w:bCs/>
          <w:color w:val="000000" w:themeColor="text1"/>
          <w:lang w:val="en-GB"/>
        </w:rPr>
      </w:pPr>
      <w:r>
        <w:rPr>
          <w:rFonts w:asciiTheme="majorBidi" w:hAnsiTheme="majorBidi" w:cstheme="majorBidi"/>
          <w:b/>
          <w:bCs/>
          <w:color w:val="000000" w:themeColor="text1"/>
          <w:lang w:val="en-GB"/>
        </w:rPr>
        <w:t xml:space="preserve">3.2. </w:t>
      </w:r>
      <w:r w:rsidR="00086463" w:rsidRPr="00086463">
        <w:rPr>
          <w:rFonts w:asciiTheme="majorBidi" w:hAnsiTheme="majorBidi" w:cstheme="majorBidi"/>
          <w:b/>
          <w:bCs/>
          <w:color w:val="000000" w:themeColor="text1"/>
          <w:lang w:val="en-GB"/>
        </w:rPr>
        <w:t>Discussion</w:t>
      </w:r>
    </w:p>
    <w:p w14:paraId="21A325B1" w14:textId="77777777" w:rsidR="00086463" w:rsidRPr="00086463" w:rsidRDefault="00086463" w:rsidP="00086463">
      <w:pPr>
        <w:spacing w:line="360" w:lineRule="auto"/>
        <w:jc w:val="both"/>
        <w:rPr>
          <w:rFonts w:asciiTheme="majorBidi" w:hAnsiTheme="majorBidi" w:cstheme="majorBidi"/>
          <w:color w:val="000000" w:themeColor="text1"/>
          <w:lang w:val="en-GB"/>
        </w:rPr>
      </w:pPr>
      <w:r w:rsidRPr="00086463">
        <w:rPr>
          <w:rFonts w:asciiTheme="majorBidi" w:hAnsiTheme="majorBidi" w:cstheme="majorBidi"/>
          <w:color w:val="000000" w:themeColor="text1"/>
          <w:lang w:val="en-GB"/>
        </w:rPr>
        <w:t>The results of this study reveal significant contamination of trace metals in well water located near waste disposal sites in three cities in Benin: Cotonou, Abomey-</w:t>
      </w:r>
      <w:proofErr w:type="spellStart"/>
      <w:r w:rsidRPr="00086463">
        <w:rPr>
          <w:rFonts w:asciiTheme="majorBidi" w:hAnsiTheme="majorBidi" w:cstheme="majorBidi"/>
          <w:color w:val="000000" w:themeColor="text1"/>
          <w:lang w:val="en-GB"/>
        </w:rPr>
        <w:t>Calavi</w:t>
      </w:r>
      <w:proofErr w:type="spellEnd"/>
      <w:r w:rsidRPr="00086463">
        <w:rPr>
          <w:rFonts w:asciiTheme="majorBidi" w:hAnsiTheme="majorBidi" w:cstheme="majorBidi"/>
          <w:color w:val="000000" w:themeColor="text1"/>
          <w:lang w:val="en-GB"/>
        </w:rPr>
        <w:t xml:space="preserve">, and </w:t>
      </w:r>
      <w:proofErr w:type="spellStart"/>
      <w:r w:rsidRPr="00086463">
        <w:rPr>
          <w:rFonts w:asciiTheme="majorBidi" w:hAnsiTheme="majorBidi" w:cstheme="majorBidi"/>
          <w:color w:val="000000" w:themeColor="text1"/>
          <w:lang w:val="en-GB"/>
        </w:rPr>
        <w:t>Natitingou</w:t>
      </w:r>
      <w:proofErr w:type="spellEnd"/>
      <w:r w:rsidRPr="00086463">
        <w:rPr>
          <w:rFonts w:asciiTheme="majorBidi" w:hAnsiTheme="majorBidi" w:cstheme="majorBidi"/>
          <w:color w:val="000000" w:themeColor="text1"/>
          <w:lang w:val="en-GB"/>
        </w:rPr>
        <w:t xml:space="preserve">. </w:t>
      </w:r>
      <w:r w:rsidRPr="00086463">
        <w:rPr>
          <w:rFonts w:asciiTheme="majorBidi" w:hAnsiTheme="majorBidi" w:cstheme="majorBidi"/>
          <w:color w:val="000000" w:themeColor="text1"/>
          <w:lang w:val="en-GB"/>
        </w:rPr>
        <w:lastRenderedPageBreak/>
        <w:t>Concentrations of several heavy metals markedly exceed the guideline values established by the World Health Organization (WHO, 2017), confirming a high risk to local populations. For reference, the WHO recommends maximum values of 0.01 mg/L for arsenic and lead, 0.003 mg/L for cadmium, 0.05 mg/L for chromium, 2 mg/L for copper, and 0.07 mg/L for nickel. Our results show frequent, and in some cases extreme, exceedances for cadmium, lead, copper, iron, and nickel. These findings align with recent WHO (2021) concerns regarding health risks associated with exposure to waste from electrical and electronic equipment (WEEE), particularly for children, who are more vulnerable.</w:t>
      </w:r>
    </w:p>
    <w:p w14:paraId="0AE9B27F" w14:textId="77777777" w:rsidR="00086463" w:rsidRPr="00086463" w:rsidRDefault="00086463" w:rsidP="00086463">
      <w:pPr>
        <w:spacing w:line="360" w:lineRule="auto"/>
        <w:jc w:val="both"/>
        <w:rPr>
          <w:rFonts w:asciiTheme="majorBidi" w:hAnsiTheme="majorBidi" w:cstheme="majorBidi"/>
          <w:color w:val="000000" w:themeColor="text1"/>
          <w:lang w:val="en-GB"/>
        </w:rPr>
      </w:pPr>
      <w:r w:rsidRPr="00086463">
        <w:rPr>
          <w:rFonts w:asciiTheme="majorBidi" w:hAnsiTheme="majorBidi" w:cstheme="majorBidi"/>
          <w:color w:val="000000" w:themeColor="text1"/>
          <w:lang w:val="en-GB"/>
        </w:rPr>
        <w:t>Arsenic concentrations in our samples are generally low and close to the limit of 0.01 mg/L; however, its presence remains concerning due to its carcinogenic properties. The WHO (2017) classifies arsenic as a confirmed human carcinogen, responsible for skin, lung, and bladder cancers. In India, Rajkumar et al. (2020) reported concentrations up to 0.03 mg/L in aquifers near industrial zones. Compared to these values, the concentrations observed in our study are lower but still significant given the carcinogenic risk associated with chronic low-level exposure.</w:t>
      </w:r>
    </w:p>
    <w:p w14:paraId="427178A5" w14:textId="7BAC2E2C" w:rsidR="00086463" w:rsidRPr="00086463" w:rsidRDefault="00086463" w:rsidP="00086463">
      <w:pPr>
        <w:spacing w:line="360" w:lineRule="auto"/>
        <w:jc w:val="both"/>
        <w:rPr>
          <w:rFonts w:asciiTheme="majorBidi" w:hAnsiTheme="majorBidi" w:cstheme="majorBidi"/>
          <w:color w:val="000000" w:themeColor="text1"/>
          <w:lang w:val="en-GB"/>
        </w:rPr>
      </w:pPr>
      <w:r w:rsidRPr="00086463">
        <w:rPr>
          <w:rFonts w:asciiTheme="majorBidi" w:hAnsiTheme="majorBidi" w:cstheme="majorBidi"/>
          <w:color w:val="000000" w:themeColor="text1"/>
          <w:lang w:val="en-GB"/>
        </w:rPr>
        <w:t>Cadmium emerges as one of the most concerning metals, with a mean concentration of 0.47 mg/L in Cotonou, vastly exceeding the guideline value of 0.003 mg/L. This level is considerably higher than those reported in the literature, such as 0.01</w:t>
      </w:r>
      <w:r w:rsidR="00641D36">
        <w:rPr>
          <w:rFonts w:asciiTheme="majorBidi" w:hAnsiTheme="majorBidi" w:cstheme="majorBidi"/>
          <w:color w:val="000000" w:themeColor="text1"/>
          <w:lang w:val="en-GB"/>
        </w:rPr>
        <w:t>-</w:t>
      </w:r>
      <w:r w:rsidRPr="00086463">
        <w:rPr>
          <w:rFonts w:asciiTheme="majorBidi" w:hAnsiTheme="majorBidi" w:cstheme="majorBidi"/>
          <w:color w:val="000000" w:themeColor="text1"/>
          <w:lang w:val="en-GB"/>
        </w:rPr>
        <w:t xml:space="preserve">0.08 mg/L in India (Rajkumar et al., 2020) and 0.005 mg/L in bottled water in Albania (Shehu et al., 2022). Cadmium is nephrotoxic and </w:t>
      </w:r>
      <w:proofErr w:type="spellStart"/>
      <w:r w:rsidRPr="00086463">
        <w:rPr>
          <w:rFonts w:asciiTheme="majorBidi" w:hAnsiTheme="majorBidi" w:cstheme="majorBidi"/>
          <w:color w:val="000000" w:themeColor="text1"/>
          <w:lang w:val="en-GB"/>
        </w:rPr>
        <w:t>bioaccumulative</w:t>
      </w:r>
      <w:proofErr w:type="spellEnd"/>
      <w:r w:rsidRPr="00086463">
        <w:rPr>
          <w:rFonts w:asciiTheme="majorBidi" w:hAnsiTheme="majorBidi" w:cstheme="majorBidi"/>
          <w:color w:val="000000" w:themeColor="text1"/>
          <w:lang w:val="en-GB"/>
        </w:rPr>
        <w:t>, with chronic exposure causing renal damage and bone fragility (WHO, 2021).</w:t>
      </w:r>
    </w:p>
    <w:p w14:paraId="162E28DC" w14:textId="3BD0551F" w:rsidR="00086463" w:rsidRPr="00086463" w:rsidRDefault="00086463" w:rsidP="00086463">
      <w:pPr>
        <w:spacing w:line="360" w:lineRule="auto"/>
        <w:jc w:val="both"/>
        <w:rPr>
          <w:rFonts w:asciiTheme="majorBidi" w:hAnsiTheme="majorBidi" w:cstheme="majorBidi"/>
          <w:color w:val="000000" w:themeColor="text1"/>
          <w:lang w:val="en-GB"/>
        </w:rPr>
      </w:pPr>
      <w:r w:rsidRPr="00086463">
        <w:rPr>
          <w:rFonts w:asciiTheme="majorBidi" w:hAnsiTheme="majorBidi" w:cstheme="majorBidi"/>
          <w:color w:val="000000" w:themeColor="text1"/>
          <w:lang w:val="en-GB"/>
        </w:rPr>
        <w:t xml:space="preserve">Lead also represents a major contaminant, with maximum concentrations of 0.33 mg/L in Cotonou, thirty-three times above the WHO limit. Comparable concentrations have been reported in Pakistan (up to 0.27 mg/L; Latif et al., 2025) but are higher than those observed in the </w:t>
      </w:r>
      <w:proofErr w:type="spellStart"/>
      <w:r w:rsidRPr="00086463">
        <w:rPr>
          <w:rFonts w:asciiTheme="majorBidi" w:hAnsiTheme="majorBidi" w:cstheme="majorBidi"/>
          <w:color w:val="000000" w:themeColor="text1"/>
          <w:lang w:val="en-GB"/>
        </w:rPr>
        <w:t>Mandakini</w:t>
      </w:r>
      <w:proofErr w:type="spellEnd"/>
      <w:r w:rsidRPr="00086463">
        <w:rPr>
          <w:rFonts w:asciiTheme="majorBidi" w:hAnsiTheme="majorBidi" w:cstheme="majorBidi"/>
          <w:color w:val="000000" w:themeColor="text1"/>
          <w:lang w:val="en-GB"/>
        </w:rPr>
        <w:t xml:space="preserve"> River, India (0.04</w:t>
      </w:r>
      <w:r w:rsidR="00B94B39">
        <w:rPr>
          <w:rFonts w:asciiTheme="majorBidi" w:hAnsiTheme="majorBidi" w:cstheme="majorBidi"/>
          <w:color w:val="000000" w:themeColor="text1"/>
          <w:lang w:val="en-GB"/>
        </w:rPr>
        <w:t>-</w:t>
      </w:r>
      <w:r w:rsidRPr="00086463">
        <w:rPr>
          <w:rFonts w:asciiTheme="majorBidi" w:hAnsiTheme="majorBidi" w:cstheme="majorBidi"/>
          <w:color w:val="000000" w:themeColor="text1"/>
          <w:lang w:val="en-GB"/>
        </w:rPr>
        <w:t>0.12 mg/L; Arora et al., 2025). Lead is particularly hazardous because no safe exposure threshold exists, especially for children, where it induces irreversible neurotoxic effects, cognitive delays, behavioural disorders, and reduced IQ. In adults, it is associated with cardiovascular disorders and hypertension. The WHO (2021) emphasises that children exposed to WEEE are especially susceptible due to their developing nervous systems and higher intestinal absorption.</w:t>
      </w:r>
    </w:p>
    <w:p w14:paraId="03E24E60" w14:textId="77777777" w:rsidR="00086463" w:rsidRPr="00086463" w:rsidRDefault="00086463" w:rsidP="00086463">
      <w:pPr>
        <w:spacing w:line="360" w:lineRule="auto"/>
        <w:jc w:val="both"/>
        <w:rPr>
          <w:rFonts w:asciiTheme="majorBidi" w:hAnsiTheme="majorBidi" w:cstheme="majorBidi"/>
          <w:color w:val="000000" w:themeColor="text1"/>
          <w:lang w:val="en-GB"/>
        </w:rPr>
      </w:pPr>
      <w:r w:rsidRPr="00086463">
        <w:rPr>
          <w:rFonts w:asciiTheme="majorBidi" w:hAnsiTheme="majorBidi" w:cstheme="majorBidi"/>
          <w:color w:val="000000" w:themeColor="text1"/>
          <w:lang w:val="en-GB"/>
        </w:rPr>
        <w:t xml:space="preserve">Chromium concentrations reach a maximum of 0.06 mg/L, close to the WHO guideline of 0.05 mg/L. Speciation is critical, as trivalent chromium (Cr III) is an essential trace element, whereas hexavalent chromium (Cr VI) is carcinogenic. Shehu et al. (2022) reported 0.01–0.04 mg/L in </w:t>
      </w:r>
      <w:r w:rsidRPr="00086463">
        <w:rPr>
          <w:rFonts w:asciiTheme="majorBidi" w:hAnsiTheme="majorBidi" w:cstheme="majorBidi"/>
          <w:color w:val="000000" w:themeColor="text1"/>
          <w:lang w:val="en-GB"/>
        </w:rPr>
        <w:lastRenderedPageBreak/>
        <w:t>bottled water in Albania, associated with CR &gt; 10⁻⁴. Cr VI exposure is linked to gastrointestinal and lung cancers, as well as chronic dermatitis.</w:t>
      </w:r>
    </w:p>
    <w:p w14:paraId="1BE5732C" w14:textId="77777777" w:rsidR="00086463" w:rsidRPr="00086463" w:rsidRDefault="00086463" w:rsidP="00086463">
      <w:pPr>
        <w:spacing w:line="360" w:lineRule="auto"/>
        <w:jc w:val="both"/>
        <w:rPr>
          <w:rFonts w:asciiTheme="majorBidi" w:hAnsiTheme="majorBidi" w:cstheme="majorBidi"/>
          <w:color w:val="000000" w:themeColor="text1"/>
          <w:lang w:val="en-GB"/>
        </w:rPr>
      </w:pPr>
      <w:r w:rsidRPr="00086463">
        <w:rPr>
          <w:rFonts w:asciiTheme="majorBidi" w:hAnsiTheme="majorBidi" w:cstheme="majorBidi"/>
          <w:color w:val="000000" w:themeColor="text1"/>
          <w:lang w:val="en-GB"/>
        </w:rPr>
        <w:t xml:space="preserve">Copper levels are extremely high in </w:t>
      </w:r>
      <w:proofErr w:type="spellStart"/>
      <w:r w:rsidRPr="00086463">
        <w:rPr>
          <w:rFonts w:asciiTheme="majorBidi" w:hAnsiTheme="majorBidi" w:cstheme="majorBidi"/>
          <w:color w:val="000000" w:themeColor="text1"/>
          <w:lang w:val="en-GB"/>
        </w:rPr>
        <w:t>Natitingou</w:t>
      </w:r>
      <w:proofErr w:type="spellEnd"/>
      <w:r w:rsidRPr="00086463">
        <w:rPr>
          <w:rFonts w:asciiTheme="majorBidi" w:hAnsiTheme="majorBidi" w:cstheme="majorBidi"/>
          <w:color w:val="000000" w:themeColor="text1"/>
          <w:lang w:val="en-GB"/>
        </w:rPr>
        <w:t xml:space="preserve">, with a maximum of 13.8 mg/L, nearly seven times the WHO guideline. High concentrations can cause gastrointestinal disturbances, nausea, vomiting, and, with chronic exposure, hepatic damage. Iron, though not highly toxic, was found at extreme levels, reaching 18 mg/L in </w:t>
      </w:r>
      <w:proofErr w:type="spellStart"/>
      <w:r w:rsidRPr="00086463">
        <w:rPr>
          <w:rFonts w:asciiTheme="majorBidi" w:hAnsiTheme="majorBidi" w:cstheme="majorBidi"/>
          <w:color w:val="000000" w:themeColor="text1"/>
          <w:lang w:val="en-GB"/>
        </w:rPr>
        <w:t>Natitingou</w:t>
      </w:r>
      <w:proofErr w:type="spellEnd"/>
      <w:r w:rsidRPr="00086463">
        <w:rPr>
          <w:rFonts w:asciiTheme="majorBidi" w:hAnsiTheme="majorBidi" w:cstheme="majorBidi"/>
          <w:color w:val="000000" w:themeColor="text1"/>
          <w:lang w:val="en-GB"/>
        </w:rPr>
        <w:t xml:space="preserve">, which far exceeds values reported in India (0.5–2.4 mg/L; Rajkumar et al., 2020; 1.8 mg/L; Arora et al., 2025). Excess iron can lead to organ deposits (hemochromatosis) affecting liver, pancreas, and cardiovascular health. Nickel was detected at up to 2.26 mg/L, over thirty times the WHO limit, and is implicated in allergic skin reactions and digestive system cancers. Zinc concentrations reached 8.7 mg/L, nearly three times the WHO guideline of 3 mg/L; while essential in trace amounts, excessive zinc can cause gastrointestinal issues and interfere with copper and iron metabolism. Comparable elevated zinc levels have been reported by Gad et al. (2024), though lower than those observed in </w:t>
      </w:r>
      <w:proofErr w:type="spellStart"/>
      <w:r w:rsidRPr="00086463">
        <w:rPr>
          <w:rFonts w:asciiTheme="majorBidi" w:hAnsiTheme="majorBidi" w:cstheme="majorBidi"/>
          <w:color w:val="000000" w:themeColor="text1"/>
          <w:lang w:val="en-GB"/>
        </w:rPr>
        <w:t>Natitingou</w:t>
      </w:r>
      <w:proofErr w:type="spellEnd"/>
      <w:r w:rsidRPr="00086463">
        <w:rPr>
          <w:rFonts w:asciiTheme="majorBidi" w:hAnsiTheme="majorBidi" w:cstheme="majorBidi"/>
          <w:color w:val="000000" w:themeColor="text1"/>
          <w:lang w:val="en-GB"/>
        </w:rPr>
        <w:t>.</w:t>
      </w:r>
    </w:p>
    <w:p w14:paraId="4C801E99" w14:textId="60BAC728" w:rsidR="00086463" w:rsidRPr="00DB7446" w:rsidRDefault="00086463" w:rsidP="00086463">
      <w:pPr>
        <w:spacing w:line="360" w:lineRule="auto"/>
        <w:jc w:val="both"/>
        <w:rPr>
          <w:rFonts w:asciiTheme="majorBidi" w:hAnsiTheme="majorBidi" w:cstheme="majorBidi"/>
          <w:color w:val="000000" w:themeColor="text1"/>
          <w:lang w:val="en-GB"/>
        </w:rPr>
      </w:pPr>
      <w:r w:rsidRPr="00DB7446">
        <w:rPr>
          <w:rFonts w:asciiTheme="majorBidi" w:hAnsiTheme="majorBidi" w:cstheme="majorBidi"/>
          <w:color w:val="000000" w:themeColor="text1"/>
          <w:lang w:val="en-GB"/>
        </w:rPr>
        <w:t xml:space="preserve">Pollution indices confirm the severity of contamination. The Metal Index (MI) exceeds 30 across all cities, indicating highly polluted water. In Cotonou, the Heavy Metal Pollution Index (HPI) averages over 9,000, orders of magnitude higher than reported in other countries, such as Punjab, India </w:t>
      </w:r>
      <w:r w:rsidR="00DB7446" w:rsidRPr="00DB7446">
        <w:rPr>
          <w:rFonts w:asciiTheme="majorBidi" w:hAnsiTheme="majorBidi" w:cstheme="majorBidi"/>
          <w:color w:val="000000" w:themeColor="text1"/>
          <w:lang w:val="en-GB"/>
        </w:rPr>
        <w:t xml:space="preserve">with </w:t>
      </w:r>
      <w:r w:rsidRPr="00DB7446">
        <w:rPr>
          <w:rFonts w:asciiTheme="majorBidi" w:hAnsiTheme="majorBidi" w:cstheme="majorBidi"/>
          <w:color w:val="000000" w:themeColor="text1"/>
          <w:lang w:val="en-GB"/>
        </w:rPr>
        <w:t>120</w:t>
      </w:r>
      <w:r w:rsidR="00B94B39" w:rsidRPr="00DB7446">
        <w:rPr>
          <w:rFonts w:asciiTheme="majorBidi" w:hAnsiTheme="majorBidi" w:cstheme="majorBidi"/>
          <w:color w:val="000000" w:themeColor="text1"/>
          <w:lang w:val="en-GB"/>
        </w:rPr>
        <w:t>-</w:t>
      </w:r>
      <w:r w:rsidRPr="00DB7446">
        <w:rPr>
          <w:rFonts w:asciiTheme="majorBidi" w:hAnsiTheme="majorBidi" w:cstheme="majorBidi"/>
          <w:color w:val="000000" w:themeColor="text1"/>
          <w:lang w:val="en-GB"/>
        </w:rPr>
        <w:t>280</w:t>
      </w:r>
      <w:r w:rsidR="00DB7446" w:rsidRPr="00DB7446">
        <w:rPr>
          <w:rFonts w:asciiTheme="majorBidi" w:hAnsiTheme="majorBidi" w:cstheme="majorBidi"/>
          <w:color w:val="000000" w:themeColor="text1"/>
          <w:lang w:val="en-GB"/>
        </w:rPr>
        <w:t xml:space="preserve"> </w:t>
      </w:r>
      <w:r w:rsidR="00B94B39" w:rsidRPr="00DB7446">
        <w:rPr>
          <w:rFonts w:asciiTheme="majorBidi" w:hAnsiTheme="majorBidi" w:cstheme="majorBidi"/>
          <w:color w:val="000000" w:themeColor="text1"/>
          <w:lang w:val="en-GB"/>
        </w:rPr>
        <w:t>by (</w:t>
      </w:r>
      <w:proofErr w:type="spellStart"/>
      <w:r w:rsidRPr="00DB7446">
        <w:rPr>
          <w:rFonts w:asciiTheme="majorBidi" w:hAnsiTheme="majorBidi" w:cstheme="majorBidi"/>
          <w:color w:val="000000" w:themeColor="text1"/>
          <w:lang w:val="en-GB"/>
        </w:rPr>
        <w:t>Herojeet</w:t>
      </w:r>
      <w:proofErr w:type="spellEnd"/>
      <w:r w:rsidRPr="00DB7446">
        <w:rPr>
          <w:rFonts w:asciiTheme="majorBidi" w:hAnsiTheme="majorBidi" w:cstheme="majorBidi"/>
          <w:color w:val="000000" w:themeColor="text1"/>
          <w:lang w:val="en-GB"/>
        </w:rPr>
        <w:t xml:space="preserve"> et al., 2020), Egypt </w:t>
      </w:r>
      <w:r w:rsidR="00DB7446" w:rsidRPr="00DB7446">
        <w:rPr>
          <w:rFonts w:asciiTheme="majorBidi" w:hAnsiTheme="majorBidi" w:cstheme="majorBidi"/>
          <w:color w:val="000000" w:themeColor="text1"/>
          <w:lang w:val="en-GB"/>
        </w:rPr>
        <w:t xml:space="preserve"> in range of </w:t>
      </w:r>
      <w:r w:rsidRPr="00DB7446">
        <w:rPr>
          <w:rFonts w:asciiTheme="majorBidi" w:hAnsiTheme="majorBidi" w:cstheme="majorBidi"/>
          <w:color w:val="000000" w:themeColor="text1"/>
          <w:lang w:val="en-GB"/>
        </w:rPr>
        <w:t>200–400</w:t>
      </w:r>
      <w:r w:rsidR="00DB7446" w:rsidRPr="00DB7446">
        <w:rPr>
          <w:rFonts w:asciiTheme="majorBidi" w:hAnsiTheme="majorBidi" w:cstheme="majorBidi"/>
          <w:color w:val="000000" w:themeColor="text1"/>
          <w:lang w:val="en-GB"/>
        </w:rPr>
        <w:t xml:space="preserve"> found </w:t>
      </w:r>
      <w:r w:rsidR="00B94B39" w:rsidRPr="00DB7446">
        <w:rPr>
          <w:rFonts w:asciiTheme="majorBidi" w:hAnsiTheme="majorBidi" w:cstheme="majorBidi"/>
          <w:color w:val="000000" w:themeColor="text1"/>
          <w:lang w:val="en-GB"/>
        </w:rPr>
        <w:t xml:space="preserve"> by</w:t>
      </w:r>
      <w:r w:rsidRPr="00DB7446">
        <w:rPr>
          <w:rFonts w:asciiTheme="majorBidi" w:hAnsiTheme="majorBidi" w:cstheme="majorBidi"/>
          <w:color w:val="000000" w:themeColor="text1"/>
          <w:lang w:val="en-GB"/>
        </w:rPr>
        <w:t xml:space="preserve"> </w:t>
      </w:r>
      <w:r w:rsidR="00B94B39" w:rsidRPr="00DB7446">
        <w:rPr>
          <w:rFonts w:asciiTheme="majorBidi" w:hAnsiTheme="majorBidi" w:cstheme="majorBidi"/>
          <w:color w:val="000000" w:themeColor="text1"/>
          <w:lang w:val="en-GB"/>
        </w:rPr>
        <w:t>(</w:t>
      </w:r>
      <w:r w:rsidRPr="00DB7446">
        <w:rPr>
          <w:rFonts w:asciiTheme="majorBidi" w:hAnsiTheme="majorBidi" w:cstheme="majorBidi"/>
          <w:color w:val="000000" w:themeColor="text1"/>
          <w:lang w:val="en-GB"/>
        </w:rPr>
        <w:t xml:space="preserve">Gad et al., 2024), Pakistan </w:t>
      </w:r>
      <w:r w:rsidR="00DB7446" w:rsidRPr="00DB7446">
        <w:rPr>
          <w:rFonts w:asciiTheme="majorBidi" w:hAnsiTheme="majorBidi" w:cstheme="majorBidi"/>
          <w:color w:val="000000" w:themeColor="text1"/>
          <w:lang w:val="en-GB"/>
        </w:rPr>
        <w:t xml:space="preserve">with </w:t>
      </w:r>
      <w:r w:rsidRPr="00DB7446">
        <w:rPr>
          <w:rFonts w:asciiTheme="majorBidi" w:hAnsiTheme="majorBidi" w:cstheme="majorBidi"/>
          <w:color w:val="000000" w:themeColor="text1"/>
          <w:lang w:val="en-GB"/>
        </w:rPr>
        <w:t>150–350</w:t>
      </w:r>
      <w:r w:rsidR="00B94B39" w:rsidRPr="00DB7446">
        <w:rPr>
          <w:rFonts w:asciiTheme="majorBidi" w:hAnsiTheme="majorBidi" w:cstheme="majorBidi"/>
          <w:color w:val="000000" w:themeColor="text1"/>
          <w:lang w:val="en-GB"/>
        </w:rPr>
        <w:t xml:space="preserve">) </w:t>
      </w:r>
      <w:r w:rsidR="00DB7446" w:rsidRPr="00DB7446">
        <w:rPr>
          <w:rFonts w:asciiTheme="majorBidi" w:hAnsiTheme="majorBidi" w:cstheme="majorBidi"/>
          <w:color w:val="000000" w:themeColor="text1"/>
          <w:lang w:val="en-GB"/>
        </w:rPr>
        <w:t>highlighted by (</w:t>
      </w:r>
      <w:r w:rsidRPr="00DB7446">
        <w:rPr>
          <w:rFonts w:asciiTheme="majorBidi" w:hAnsiTheme="majorBidi" w:cstheme="majorBidi"/>
          <w:color w:val="000000" w:themeColor="text1"/>
          <w:lang w:val="en-GB"/>
        </w:rPr>
        <w:t xml:space="preserve">Latif et al., 2025), and India </w:t>
      </w:r>
      <w:r w:rsidR="00DB7446" w:rsidRPr="00DB7446">
        <w:rPr>
          <w:rFonts w:asciiTheme="majorBidi" w:hAnsiTheme="majorBidi" w:cstheme="majorBidi"/>
          <w:color w:val="000000" w:themeColor="text1"/>
          <w:lang w:val="en-GB"/>
        </w:rPr>
        <w:t xml:space="preserve"> with a value greater than </w:t>
      </w:r>
      <w:r w:rsidRPr="00DB7446">
        <w:rPr>
          <w:rFonts w:asciiTheme="majorBidi" w:hAnsiTheme="majorBidi" w:cstheme="majorBidi"/>
          <w:color w:val="000000" w:themeColor="text1"/>
          <w:lang w:val="en-GB"/>
        </w:rPr>
        <w:t>500</w:t>
      </w:r>
      <w:r w:rsidR="00B94B39" w:rsidRPr="00DB7446">
        <w:rPr>
          <w:rFonts w:asciiTheme="majorBidi" w:hAnsiTheme="majorBidi" w:cstheme="majorBidi"/>
          <w:color w:val="000000" w:themeColor="text1"/>
          <w:lang w:val="en-GB"/>
        </w:rPr>
        <w:t xml:space="preserve"> </w:t>
      </w:r>
      <w:r w:rsidR="00DB7446" w:rsidRPr="00DB7446">
        <w:rPr>
          <w:rFonts w:asciiTheme="majorBidi" w:hAnsiTheme="majorBidi" w:cstheme="majorBidi"/>
          <w:color w:val="000000" w:themeColor="text1"/>
          <w:lang w:val="en-GB"/>
        </w:rPr>
        <w:t>reported by</w:t>
      </w:r>
      <w:r w:rsidRPr="00DB7446">
        <w:rPr>
          <w:rFonts w:asciiTheme="majorBidi" w:hAnsiTheme="majorBidi" w:cstheme="majorBidi"/>
          <w:color w:val="000000" w:themeColor="text1"/>
          <w:lang w:val="en-GB"/>
        </w:rPr>
        <w:t xml:space="preserve"> </w:t>
      </w:r>
      <w:r w:rsidR="00B94B39" w:rsidRPr="00DB7446">
        <w:rPr>
          <w:rFonts w:asciiTheme="majorBidi" w:hAnsiTheme="majorBidi" w:cstheme="majorBidi"/>
          <w:color w:val="000000" w:themeColor="text1"/>
          <w:lang w:val="en-GB"/>
        </w:rPr>
        <w:t>(</w:t>
      </w:r>
      <w:r w:rsidRPr="00DB7446">
        <w:rPr>
          <w:rFonts w:asciiTheme="majorBidi" w:hAnsiTheme="majorBidi" w:cstheme="majorBidi"/>
          <w:color w:val="000000" w:themeColor="text1"/>
          <w:lang w:val="en-GB"/>
        </w:rPr>
        <w:t>Rajkumar et al., 2020), reflecting the exceptional intensity of pollution near WEEE disposal sites.</w:t>
      </w:r>
    </w:p>
    <w:p w14:paraId="6A22B596" w14:textId="4310E94F" w:rsidR="00086463" w:rsidRPr="006A24CC" w:rsidRDefault="00086463" w:rsidP="00086463">
      <w:pPr>
        <w:spacing w:line="360" w:lineRule="auto"/>
        <w:jc w:val="both"/>
        <w:rPr>
          <w:rFonts w:asciiTheme="majorBidi" w:hAnsiTheme="majorBidi" w:cstheme="majorBidi"/>
          <w:color w:val="000000" w:themeColor="text1"/>
          <w:lang w:val="en-GB"/>
        </w:rPr>
      </w:pPr>
      <w:r w:rsidRPr="006A24CC">
        <w:rPr>
          <w:rFonts w:asciiTheme="majorBidi" w:hAnsiTheme="majorBidi" w:cstheme="majorBidi"/>
          <w:color w:val="000000" w:themeColor="text1"/>
          <w:lang w:val="en-GB"/>
        </w:rPr>
        <w:t>Health risk assessment demonstrates that HI values exceed 1 in all cases, confirming significant non-carcinogenic risk. Median adult HI values range from 6.65 in Abomey-</w:t>
      </w:r>
      <w:proofErr w:type="spellStart"/>
      <w:r w:rsidRPr="006A24CC">
        <w:rPr>
          <w:rFonts w:asciiTheme="majorBidi" w:hAnsiTheme="majorBidi" w:cstheme="majorBidi"/>
          <w:color w:val="000000" w:themeColor="text1"/>
          <w:lang w:val="en-GB"/>
        </w:rPr>
        <w:t>Calavi</w:t>
      </w:r>
      <w:proofErr w:type="spellEnd"/>
      <w:r w:rsidRPr="006A24CC">
        <w:rPr>
          <w:rFonts w:asciiTheme="majorBidi" w:hAnsiTheme="majorBidi" w:cstheme="majorBidi"/>
          <w:color w:val="000000" w:themeColor="text1"/>
          <w:lang w:val="en-GB"/>
        </w:rPr>
        <w:t xml:space="preserve"> to 33.2 in Cotonou, with a maximum of 48.7 in </w:t>
      </w:r>
      <w:proofErr w:type="spellStart"/>
      <w:r w:rsidRPr="006A24CC">
        <w:rPr>
          <w:rFonts w:asciiTheme="majorBidi" w:hAnsiTheme="majorBidi" w:cstheme="majorBidi"/>
          <w:color w:val="000000" w:themeColor="text1"/>
          <w:lang w:val="en-GB"/>
        </w:rPr>
        <w:t>Natitingou</w:t>
      </w:r>
      <w:proofErr w:type="spellEnd"/>
      <w:r w:rsidRPr="006A24CC">
        <w:rPr>
          <w:rFonts w:asciiTheme="majorBidi" w:hAnsiTheme="majorBidi" w:cstheme="majorBidi"/>
          <w:color w:val="000000" w:themeColor="text1"/>
          <w:lang w:val="en-GB"/>
        </w:rPr>
        <w:t>. Children exhibit higher values, ranging from 9.68 to 70.8. Previous studies reported lower HI values</w:t>
      </w:r>
      <w:r w:rsidR="006A24CC" w:rsidRPr="006A24CC">
        <w:rPr>
          <w:rFonts w:asciiTheme="majorBidi" w:hAnsiTheme="majorBidi" w:cstheme="majorBidi"/>
          <w:color w:val="000000" w:themeColor="text1"/>
          <w:lang w:val="en-GB"/>
        </w:rPr>
        <w:t xml:space="preserve"> (5-10, 15-25; 5-12) found respectively by</w:t>
      </w:r>
      <w:r w:rsidRPr="006A24CC">
        <w:rPr>
          <w:rFonts w:asciiTheme="majorBidi" w:hAnsiTheme="majorBidi" w:cstheme="majorBidi"/>
          <w:color w:val="000000" w:themeColor="text1"/>
          <w:lang w:val="en-GB"/>
        </w:rPr>
        <w:t xml:space="preserve"> </w:t>
      </w:r>
      <w:r w:rsidR="00B94B39" w:rsidRPr="006A24CC">
        <w:rPr>
          <w:rFonts w:asciiTheme="majorBidi" w:hAnsiTheme="majorBidi" w:cstheme="majorBidi"/>
          <w:color w:val="000000" w:themeColor="text1"/>
          <w:lang w:val="en-GB"/>
        </w:rPr>
        <w:t>(</w:t>
      </w:r>
      <w:proofErr w:type="spellStart"/>
      <w:r w:rsidRPr="006A24CC">
        <w:rPr>
          <w:rFonts w:asciiTheme="majorBidi" w:hAnsiTheme="majorBidi" w:cstheme="majorBidi"/>
          <w:color w:val="000000" w:themeColor="text1"/>
          <w:lang w:val="en-GB"/>
        </w:rPr>
        <w:t>Heroje</w:t>
      </w:r>
      <w:proofErr w:type="spellEnd"/>
      <w:r w:rsidRPr="006A24CC">
        <w:rPr>
          <w:rFonts w:asciiTheme="majorBidi" w:hAnsiTheme="majorBidi" w:cstheme="majorBidi"/>
          <w:color w:val="000000" w:themeColor="text1"/>
          <w:lang w:val="en-GB"/>
        </w:rPr>
        <w:t xml:space="preserve"> et al.</w:t>
      </w:r>
      <w:r w:rsidR="00B94B39" w:rsidRPr="006A24CC">
        <w:rPr>
          <w:rFonts w:asciiTheme="majorBidi" w:hAnsiTheme="majorBidi" w:cstheme="majorBidi"/>
          <w:color w:val="000000" w:themeColor="text1"/>
          <w:lang w:val="en-GB"/>
        </w:rPr>
        <w:t xml:space="preserve">; </w:t>
      </w:r>
      <w:r w:rsidRPr="006A24CC">
        <w:rPr>
          <w:rFonts w:asciiTheme="majorBidi" w:hAnsiTheme="majorBidi" w:cstheme="majorBidi"/>
          <w:color w:val="000000" w:themeColor="text1"/>
          <w:lang w:val="en-GB"/>
        </w:rPr>
        <w:t>2020</w:t>
      </w:r>
      <w:r w:rsidR="006A24CC" w:rsidRPr="006A24CC">
        <w:rPr>
          <w:rFonts w:asciiTheme="majorBidi" w:hAnsiTheme="majorBidi" w:cstheme="majorBidi"/>
          <w:color w:val="000000" w:themeColor="text1"/>
          <w:lang w:val="en-GB"/>
        </w:rPr>
        <w:t xml:space="preserve">; </w:t>
      </w:r>
      <w:r w:rsidRPr="006A24CC">
        <w:rPr>
          <w:rFonts w:asciiTheme="majorBidi" w:hAnsiTheme="majorBidi" w:cstheme="majorBidi"/>
          <w:color w:val="000000" w:themeColor="text1"/>
          <w:lang w:val="en-GB"/>
        </w:rPr>
        <w:t>Shehu et al.</w:t>
      </w:r>
      <w:r w:rsidR="00B94B39" w:rsidRPr="006A24CC">
        <w:rPr>
          <w:rFonts w:asciiTheme="majorBidi" w:hAnsiTheme="majorBidi" w:cstheme="majorBidi"/>
          <w:color w:val="000000" w:themeColor="text1"/>
          <w:lang w:val="en-GB"/>
        </w:rPr>
        <w:t xml:space="preserve">, </w:t>
      </w:r>
      <w:r w:rsidRPr="006A24CC">
        <w:rPr>
          <w:rFonts w:asciiTheme="majorBidi" w:hAnsiTheme="majorBidi" w:cstheme="majorBidi"/>
          <w:color w:val="000000" w:themeColor="text1"/>
          <w:lang w:val="en-GB"/>
        </w:rPr>
        <w:t>2022</w:t>
      </w:r>
      <w:r w:rsidR="006A24CC" w:rsidRPr="006A24CC">
        <w:rPr>
          <w:rFonts w:asciiTheme="majorBidi" w:hAnsiTheme="majorBidi" w:cstheme="majorBidi"/>
          <w:color w:val="000000" w:themeColor="text1"/>
          <w:lang w:val="en-GB"/>
        </w:rPr>
        <w:t xml:space="preserve">; </w:t>
      </w:r>
      <w:r w:rsidRPr="006A24CC">
        <w:rPr>
          <w:rFonts w:asciiTheme="majorBidi" w:hAnsiTheme="majorBidi" w:cstheme="majorBidi"/>
          <w:color w:val="000000" w:themeColor="text1"/>
          <w:lang w:val="en-GB"/>
        </w:rPr>
        <w:t>Gad et al.</w:t>
      </w:r>
      <w:r w:rsidR="00B94B39" w:rsidRPr="006A24CC">
        <w:rPr>
          <w:rFonts w:asciiTheme="majorBidi" w:hAnsiTheme="majorBidi" w:cstheme="majorBidi"/>
          <w:color w:val="000000" w:themeColor="text1"/>
          <w:lang w:val="en-GB"/>
        </w:rPr>
        <w:t xml:space="preserve">, </w:t>
      </w:r>
      <w:r w:rsidRPr="006A24CC">
        <w:rPr>
          <w:rFonts w:asciiTheme="majorBidi" w:hAnsiTheme="majorBidi" w:cstheme="majorBidi"/>
          <w:color w:val="000000" w:themeColor="text1"/>
          <w:lang w:val="en-GB"/>
        </w:rPr>
        <w:t>2024). The elevated values in this study indicate a substantially higher non-carcinogenic risk in Benin.</w:t>
      </w:r>
    </w:p>
    <w:p w14:paraId="509D2BCF" w14:textId="6DB3213C" w:rsidR="00086463" w:rsidRPr="00086463" w:rsidRDefault="00086463" w:rsidP="00086463">
      <w:pPr>
        <w:spacing w:line="360" w:lineRule="auto"/>
        <w:jc w:val="both"/>
        <w:rPr>
          <w:rFonts w:asciiTheme="majorBidi" w:hAnsiTheme="majorBidi" w:cstheme="majorBidi"/>
          <w:color w:val="000000" w:themeColor="text1"/>
          <w:lang w:val="en-GB"/>
        </w:rPr>
      </w:pPr>
      <w:r w:rsidRPr="006A24CC">
        <w:rPr>
          <w:rFonts w:asciiTheme="majorBidi" w:hAnsiTheme="majorBidi" w:cstheme="majorBidi"/>
          <w:color w:val="000000" w:themeColor="text1"/>
          <w:lang w:val="en-GB"/>
        </w:rPr>
        <w:t xml:space="preserve">Carcinogenic risk, expressed as CR, frequently exceeds the USEPA threshold of 10⁻⁴. In </w:t>
      </w:r>
      <w:proofErr w:type="spellStart"/>
      <w:r w:rsidRPr="006A24CC">
        <w:rPr>
          <w:rFonts w:asciiTheme="majorBidi" w:hAnsiTheme="majorBidi" w:cstheme="majorBidi"/>
          <w:color w:val="000000" w:themeColor="text1"/>
          <w:lang w:val="en-GB"/>
        </w:rPr>
        <w:t>Natitingou</w:t>
      </w:r>
      <w:proofErr w:type="spellEnd"/>
      <w:r w:rsidRPr="006A24CC">
        <w:rPr>
          <w:rFonts w:asciiTheme="majorBidi" w:hAnsiTheme="majorBidi" w:cstheme="majorBidi"/>
          <w:color w:val="000000" w:themeColor="text1"/>
          <w:lang w:val="en-GB"/>
        </w:rPr>
        <w:t>, values reach 2 × 10⁻³, more than ten times the critical limit. Median CR values are 2.7 × 10⁻⁴ in Cotonou and 3.3 × 10⁻⁴ in Abomey-</w:t>
      </w:r>
      <w:proofErr w:type="spellStart"/>
      <w:r w:rsidRPr="006A24CC">
        <w:rPr>
          <w:rFonts w:asciiTheme="majorBidi" w:hAnsiTheme="majorBidi" w:cstheme="majorBidi"/>
          <w:color w:val="000000" w:themeColor="text1"/>
          <w:lang w:val="en-GB"/>
        </w:rPr>
        <w:t>Calavi</w:t>
      </w:r>
      <w:proofErr w:type="spellEnd"/>
      <w:r w:rsidRPr="006A24CC">
        <w:rPr>
          <w:rFonts w:asciiTheme="majorBidi" w:hAnsiTheme="majorBidi" w:cstheme="majorBidi"/>
          <w:color w:val="000000" w:themeColor="text1"/>
          <w:lang w:val="en-GB"/>
        </w:rPr>
        <w:t>. Comparisons with other studies</w:t>
      </w:r>
      <w:r w:rsidR="006A24CC" w:rsidRPr="006A24CC">
        <w:rPr>
          <w:rFonts w:asciiTheme="majorBidi" w:hAnsiTheme="majorBidi" w:cstheme="majorBidi"/>
          <w:color w:val="000000" w:themeColor="text1"/>
          <w:lang w:val="en-GB"/>
        </w:rPr>
        <w:t xml:space="preserve"> (2 × 10⁻⁴–8 × 10⁻⁴; up to 6 × 10⁻⁴) </w:t>
      </w:r>
      <w:r w:rsidRPr="006A24CC">
        <w:rPr>
          <w:rFonts w:asciiTheme="majorBidi" w:hAnsiTheme="majorBidi" w:cstheme="majorBidi"/>
          <w:color w:val="000000" w:themeColor="text1"/>
          <w:lang w:val="en-GB"/>
        </w:rPr>
        <w:t>confirm the particularly concerning situation in Benin</w:t>
      </w:r>
      <w:r w:rsidR="006A24CC" w:rsidRPr="006A24CC">
        <w:rPr>
          <w:rFonts w:asciiTheme="majorBidi" w:hAnsiTheme="majorBidi" w:cstheme="majorBidi"/>
          <w:color w:val="000000" w:themeColor="text1"/>
          <w:lang w:val="en-GB"/>
        </w:rPr>
        <w:t xml:space="preserve"> (Shehu et al., 2022; Latif et al., 2025)</w:t>
      </w:r>
      <w:r w:rsidRPr="006A24CC">
        <w:rPr>
          <w:rFonts w:asciiTheme="majorBidi" w:hAnsiTheme="majorBidi" w:cstheme="majorBidi"/>
          <w:color w:val="000000" w:themeColor="text1"/>
          <w:lang w:val="en-GB"/>
        </w:rPr>
        <w:t>.</w:t>
      </w:r>
    </w:p>
    <w:p w14:paraId="38A688C1" w14:textId="4AEB86F1" w:rsidR="00086463" w:rsidRPr="00086463" w:rsidRDefault="00086463" w:rsidP="00086463">
      <w:pPr>
        <w:spacing w:line="360" w:lineRule="auto"/>
        <w:jc w:val="both"/>
        <w:rPr>
          <w:rFonts w:asciiTheme="majorBidi" w:hAnsiTheme="majorBidi" w:cstheme="majorBidi"/>
          <w:color w:val="000000" w:themeColor="text1"/>
          <w:lang w:val="en-GB"/>
        </w:rPr>
      </w:pPr>
      <w:r w:rsidRPr="00086463">
        <w:rPr>
          <w:rFonts w:asciiTheme="majorBidi" w:hAnsiTheme="majorBidi" w:cstheme="majorBidi"/>
          <w:color w:val="000000" w:themeColor="text1"/>
          <w:lang w:val="en-GB"/>
        </w:rPr>
        <w:t xml:space="preserve">Beyond numerical values, the associated health effects are significant: cadmium causes renal and bone damage; lead induces irreversible neurocognitive impairment; arsenic and Cr VI are </w:t>
      </w:r>
      <w:r w:rsidRPr="00086463">
        <w:rPr>
          <w:rFonts w:asciiTheme="majorBidi" w:hAnsiTheme="majorBidi" w:cstheme="majorBidi"/>
          <w:color w:val="000000" w:themeColor="text1"/>
          <w:lang w:val="en-GB"/>
        </w:rPr>
        <w:lastRenderedPageBreak/>
        <w:t xml:space="preserve">carcinogenic; nickel provokes allergic and digestive cancers; and excessive copper, zinc, and iron, while essential in trace amounts, can lead to gastrointestinal and hepatic disorders. The </w:t>
      </w:r>
      <w:r w:rsidR="00EE04F2">
        <w:rPr>
          <w:rFonts w:asciiTheme="majorBidi" w:hAnsiTheme="majorBidi" w:cstheme="majorBidi"/>
          <w:color w:val="000000" w:themeColor="text1"/>
          <w:lang w:val="en-GB"/>
        </w:rPr>
        <w:t>(</w:t>
      </w:r>
      <w:r w:rsidRPr="00086463">
        <w:rPr>
          <w:rFonts w:asciiTheme="majorBidi" w:hAnsiTheme="majorBidi" w:cstheme="majorBidi"/>
          <w:color w:val="000000" w:themeColor="text1"/>
          <w:lang w:val="en-GB"/>
        </w:rPr>
        <w:t>WHO</w:t>
      </w:r>
      <w:r w:rsidR="00EE04F2">
        <w:rPr>
          <w:rFonts w:asciiTheme="majorBidi" w:hAnsiTheme="majorBidi" w:cstheme="majorBidi"/>
          <w:color w:val="000000" w:themeColor="text1"/>
          <w:lang w:val="en-GB"/>
        </w:rPr>
        <w:t xml:space="preserve">, </w:t>
      </w:r>
      <w:r w:rsidRPr="00086463">
        <w:rPr>
          <w:rFonts w:asciiTheme="majorBidi" w:hAnsiTheme="majorBidi" w:cstheme="majorBidi"/>
          <w:color w:val="000000" w:themeColor="text1"/>
          <w:lang w:val="en-GB"/>
        </w:rPr>
        <w:t>2021) emphasises children’s heightened vulnerability to WEEE-associated contaminants, which may compound overall morbidity.</w:t>
      </w:r>
    </w:p>
    <w:p w14:paraId="67D924CF" w14:textId="77777777" w:rsidR="00086463" w:rsidRPr="00086463" w:rsidRDefault="00086463" w:rsidP="00086463">
      <w:pPr>
        <w:spacing w:line="360" w:lineRule="auto"/>
        <w:jc w:val="both"/>
        <w:rPr>
          <w:rFonts w:asciiTheme="majorBidi" w:hAnsiTheme="majorBidi" w:cstheme="majorBidi"/>
          <w:color w:val="000000" w:themeColor="text1"/>
          <w:lang w:val="en-GB"/>
        </w:rPr>
      </w:pPr>
      <w:r w:rsidRPr="00086463">
        <w:rPr>
          <w:rFonts w:asciiTheme="majorBidi" w:hAnsiTheme="majorBidi" w:cstheme="majorBidi"/>
          <w:color w:val="000000" w:themeColor="text1"/>
          <w:lang w:val="en-GB"/>
        </w:rPr>
        <w:t>These findings underscore the urgent need for improved WEEE management and protection of drinking water resources in Benin. Chronic exposure at these contamination levels may significantly increase the incidence of renal, neurological, and carcinogenic diseases. International experience demonstrates that populations exposed to heavy metals suffer enduring health and socio-economic impacts unless pollution sources are effectively controlled.</w:t>
      </w:r>
    </w:p>
    <w:p w14:paraId="10660B18" w14:textId="3D808329" w:rsidR="00086463" w:rsidRPr="00086463" w:rsidRDefault="005460FD" w:rsidP="00086463">
      <w:pPr>
        <w:spacing w:line="360" w:lineRule="auto"/>
        <w:jc w:val="both"/>
        <w:rPr>
          <w:rFonts w:asciiTheme="majorBidi" w:hAnsiTheme="majorBidi" w:cstheme="majorBidi"/>
          <w:b/>
          <w:bCs/>
          <w:color w:val="000000" w:themeColor="text1"/>
          <w:lang w:val="en-GB"/>
        </w:rPr>
      </w:pPr>
      <w:r>
        <w:rPr>
          <w:rFonts w:asciiTheme="majorBidi" w:hAnsiTheme="majorBidi" w:cstheme="majorBidi"/>
          <w:b/>
          <w:bCs/>
          <w:color w:val="000000" w:themeColor="text1"/>
          <w:lang w:val="en-GB"/>
        </w:rPr>
        <w:t xml:space="preserve">4. </w:t>
      </w:r>
      <w:r w:rsidR="00086463" w:rsidRPr="00086463">
        <w:rPr>
          <w:rFonts w:asciiTheme="majorBidi" w:hAnsiTheme="majorBidi" w:cstheme="majorBidi"/>
          <w:b/>
          <w:bCs/>
          <w:color w:val="000000" w:themeColor="text1"/>
          <w:lang w:val="en-GB"/>
        </w:rPr>
        <w:t>Conclusion</w:t>
      </w:r>
    </w:p>
    <w:p w14:paraId="35C44ECB" w14:textId="151171C7" w:rsidR="00086463" w:rsidRDefault="00EE04F2" w:rsidP="00086463">
      <w:pPr>
        <w:spacing w:line="360" w:lineRule="auto"/>
        <w:jc w:val="both"/>
        <w:rPr>
          <w:rFonts w:asciiTheme="majorBidi" w:hAnsiTheme="majorBidi" w:cstheme="majorBidi"/>
          <w:color w:val="000000" w:themeColor="text1"/>
          <w:lang w:val="en-GB"/>
        </w:rPr>
      </w:pPr>
      <w:r>
        <w:rPr>
          <w:rFonts w:asciiTheme="majorBidi" w:hAnsiTheme="majorBidi" w:cstheme="majorBidi"/>
          <w:color w:val="000000" w:themeColor="text1"/>
          <w:lang w:val="en-GB"/>
        </w:rPr>
        <w:t>In light of the findings above, the</w:t>
      </w:r>
      <w:r w:rsidR="00086463" w:rsidRPr="00086463">
        <w:rPr>
          <w:rFonts w:asciiTheme="majorBidi" w:hAnsiTheme="majorBidi" w:cstheme="majorBidi"/>
          <w:color w:val="000000" w:themeColor="text1"/>
          <w:lang w:val="en-GB"/>
        </w:rPr>
        <w:t xml:space="preserve"> study demonstrates significant heavy-metal contamination of well water in Cotonou and Abomey-</w:t>
      </w:r>
      <w:proofErr w:type="spellStart"/>
      <w:r w:rsidR="00086463" w:rsidRPr="00086463">
        <w:rPr>
          <w:rFonts w:asciiTheme="majorBidi" w:hAnsiTheme="majorBidi" w:cstheme="majorBidi"/>
          <w:color w:val="000000" w:themeColor="text1"/>
          <w:lang w:val="en-GB"/>
        </w:rPr>
        <w:t>Calavi</w:t>
      </w:r>
      <w:proofErr w:type="spellEnd"/>
      <w:r w:rsidR="00086463" w:rsidRPr="00086463">
        <w:rPr>
          <w:rFonts w:asciiTheme="majorBidi" w:hAnsiTheme="majorBidi" w:cstheme="majorBidi"/>
          <w:color w:val="000000" w:themeColor="text1"/>
          <w:lang w:val="en-GB"/>
        </w:rPr>
        <w:t>, with concentrations exceeding recommended limits for</w:t>
      </w:r>
      <w:r>
        <w:rPr>
          <w:rFonts w:asciiTheme="majorBidi" w:hAnsiTheme="majorBidi" w:cstheme="majorBidi"/>
          <w:color w:val="000000" w:themeColor="text1"/>
          <w:lang w:val="en-GB"/>
        </w:rPr>
        <w:t xml:space="preserve"> heavy</w:t>
      </w:r>
      <w:r w:rsidR="00086463" w:rsidRPr="00086463">
        <w:rPr>
          <w:rFonts w:asciiTheme="majorBidi" w:hAnsiTheme="majorBidi" w:cstheme="majorBidi"/>
          <w:color w:val="000000" w:themeColor="text1"/>
          <w:lang w:val="en-GB"/>
        </w:rPr>
        <w:t xml:space="preserve"> metals including lead, copper, and iron. Even lower concentrations of cadmium and nickel pose cumulative toxicological risks. Pollution indices, particularly the MI and HPI, classify water quality as severely polluted across all sites, with values far exceeding those reported in other countries. Health risk assessment confirms high non-carcinogenic risks, especially for children (HI &gt; 1), and unacceptable carcinogenic risks (CR &gt; 10⁻⁴, reaching 10⁻</w:t>
      </w:r>
      <w:proofErr w:type="gramStart"/>
      <w:r w:rsidR="00086463" w:rsidRPr="00086463">
        <w:rPr>
          <w:rFonts w:asciiTheme="majorBidi" w:hAnsiTheme="majorBidi" w:cstheme="majorBidi"/>
          <w:color w:val="000000" w:themeColor="text1"/>
          <w:lang w:val="en-GB"/>
        </w:rPr>
        <w:t xml:space="preserve">³ </w:t>
      </w:r>
      <w:r>
        <w:rPr>
          <w:rFonts w:asciiTheme="majorBidi" w:hAnsiTheme="majorBidi" w:cstheme="majorBidi"/>
          <w:color w:val="000000" w:themeColor="text1"/>
          <w:lang w:val="en-GB"/>
        </w:rPr>
        <w:t>)</w:t>
      </w:r>
      <w:proofErr w:type="gramEnd"/>
      <w:r>
        <w:rPr>
          <w:rFonts w:asciiTheme="majorBidi" w:hAnsiTheme="majorBidi" w:cstheme="majorBidi"/>
          <w:color w:val="000000" w:themeColor="text1"/>
          <w:lang w:val="en-GB"/>
        </w:rPr>
        <w:t xml:space="preserve"> </w:t>
      </w:r>
      <w:r w:rsidR="00086463" w:rsidRPr="00086463">
        <w:rPr>
          <w:rFonts w:asciiTheme="majorBidi" w:hAnsiTheme="majorBidi" w:cstheme="majorBidi"/>
          <w:color w:val="000000" w:themeColor="text1"/>
          <w:lang w:val="en-GB"/>
        </w:rPr>
        <w:t>in some locations. These results highlight the urgent need for environmental monitoring and management strategies to limit population exposure to these hazardous contaminants.</w:t>
      </w:r>
    </w:p>
    <w:p w14:paraId="5946A580" w14:textId="77777777" w:rsidR="00C2494C" w:rsidRPr="00086463" w:rsidRDefault="00C2494C" w:rsidP="00086463">
      <w:pPr>
        <w:spacing w:line="360" w:lineRule="auto"/>
        <w:jc w:val="both"/>
        <w:rPr>
          <w:rFonts w:asciiTheme="majorBidi" w:hAnsiTheme="majorBidi" w:cstheme="majorBidi"/>
          <w:color w:val="000000" w:themeColor="text1"/>
          <w:lang w:val="en-GB"/>
        </w:rPr>
      </w:pPr>
    </w:p>
    <w:p w14:paraId="4A58F9C8" w14:textId="77777777" w:rsidR="00C2494C" w:rsidRPr="003D39D8" w:rsidRDefault="00C2494C" w:rsidP="00C2494C">
      <w:pPr>
        <w:spacing w:line="360" w:lineRule="auto"/>
        <w:jc w:val="both"/>
        <w:rPr>
          <w:rFonts w:ascii="Arial" w:hAnsi="Arial" w:cs="Arial"/>
          <w:b/>
          <w:sz w:val="20"/>
          <w:szCs w:val="20"/>
          <w:lang w:val="en-US"/>
        </w:rPr>
      </w:pPr>
      <w:r w:rsidRPr="003D39D8">
        <w:rPr>
          <w:rFonts w:ascii="Arial" w:hAnsi="Arial" w:cs="Arial"/>
          <w:b/>
          <w:sz w:val="20"/>
          <w:szCs w:val="20"/>
          <w:lang w:val="en-US"/>
        </w:rPr>
        <w:t>Availability of data and materials</w:t>
      </w:r>
    </w:p>
    <w:p w14:paraId="5273579B" w14:textId="77777777" w:rsidR="00C2494C" w:rsidRDefault="00C2494C" w:rsidP="00C2494C">
      <w:pPr>
        <w:spacing w:line="360" w:lineRule="auto"/>
        <w:jc w:val="both"/>
        <w:rPr>
          <w:rFonts w:ascii="Arial" w:hAnsi="Arial" w:cs="Arial"/>
          <w:sz w:val="20"/>
          <w:szCs w:val="20"/>
          <w:lang w:val="en-US"/>
        </w:rPr>
      </w:pPr>
      <w:r w:rsidRPr="003D39D8">
        <w:rPr>
          <w:rFonts w:ascii="Arial" w:hAnsi="Arial" w:cs="Arial"/>
          <w:b/>
          <w:sz w:val="20"/>
          <w:szCs w:val="20"/>
          <w:lang w:val="en-US"/>
        </w:rPr>
        <w:t xml:space="preserve"> </w:t>
      </w:r>
      <w:r w:rsidRPr="003D39D8">
        <w:rPr>
          <w:rFonts w:ascii="Arial" w:hAnsi="Arial" w:cs="Arial"/>
          <w:sz w:val="20"/>
          <w:szCs w:val="20"/>
          <w:lang w:val="en-US"/>
        </w:rPr>
        <w:t>Data are available at the Laboratory of Study and Research in Applied Chemistry, Polytechnic School of Abomey-</w:t>
      </w:r>
      <w:proofErr w:type="spellStart"/>
      <w:r w:rsidRPr="003D39D8">
        <w:rPr>
          <w:rFonts w:ascii="Arial" w:hAnsi="Arial" w:cs="Arial"/>
          <w:sz w:val="20"/>
          <w:szCs w:val="20"/>
          <w:lang w:val="en-US"/>
        </w:rPr>
        <w:t>Calavi</w:t>
      </w:r>
      <w:proofErr w:type="spellEnd"/>
      <w:r w:rsidRPr="003D39D8">
        <w:rPr>
          <w:rFonts w:ascii="Arial" w:hAnsi="Arial" w:cs="Arial"/>
          <w:sz w:val="20"/>
          <w:szCs w:val="20"/>
          <w:lang w:val="en-US"/>
        </w:rPr>
        <w:t>, University of Abomey-</w:t>
      </w:r>
      <w:proofErr w:type="spellStart"/>
      <w:r w:rsidRPr="003D39D8">
        <w:rPr>
          <w:rFonts w:ascii="Arial" w:hAnsi="Arial" w:cs="Arial"/>
          <w:sz w:val="20"/>
          <w:szCs w:val="20"/>
          <w:lang w:val="en-US"/>
        </w:rPr>
        <w:t>Calavi</w:t>
      </w:r>
      <w:proofErr w:type="spellEnd"/>
      <w:r w:rsidRPr="003D39D8">
        <w:rPr>
          <w:rFonts w:ascii="Arial" w:hAnsi="Arial" w:cs="Arial"/>
          <w:sz w:val="20"/>
          <w:szCs w:val="20"/>
          <w:lang w:val="en-US"/>
        </w:rPr>
        <w:t>. You should contact the corresponding author for the data request.</w:t>
      </w:r>
    </w:p>
    <w:p w14:paraId="2DF4A901" w14:textId="77777777" w:rsidR="00C2494C" w:rsidRPr="003D39D8" w:rsidRDefault="00C2494C" w:rsidP="00C2494C">
      <w:pPr>
        <w:spacing w:line="360" w:lineRule="auto"/>
        <w:jc w:val="both"/>
        <w:rPr>
          <w:rFonts w:ascii="Arial" w:hAnsi="Arial" w:cs="Arial"/>
          <w:sz w:val="20"/>
          <w:szCs w:val="20"/>
          <w:lang w:val="en-US"/>
        </w:rPr>
      </w:pPr>
    </w:p>
    <w:p w14:paraId="1E046115" w14:textId="77777777" w:rsidR="00C2494C" w:rsidRPr="003D39D8" w:rsidRDefault="00C2494C" w:rsidP="00C2494C">
      <w:pPr>
        <w:spacing w:line="360" w:lineRule="auto"/>
        <w:jc w:val="both"/>
        <w:rPr>
          <w:rFonts w:ascii="Arial" w:hAnsi="Arial" w:cs="Arial"/>
          <w:b/>
          <w:sz w:val="20"/>
          <w:szCs w:val="20"/>
          <w:lang w:val="en-US"/>
        </w:rPr>
      </w:pPr>
      <w:r w:rsidRPr="003D39D8">
        <w:rPr>
          <w:rFonts w:ascii="Arial" w:hAnsi="Arial" w:cs="Arial"/>
          <w:b/>
          <w:sz w:val="20"/>
          <w:szCs w:val="20"/>
          <w:lang w:val="en-US"/>
        </w:rPr>
        <w:t>Declarations</w:t>
      </w:r>
    </w:p>
    <w:p w14:paraId="7AAAA6B6" w14:textId="485555F0" w:rsidR="00C2494C" w:rsidRDefault="00C2494C" w:rsidP="00C2494C">
      <w:pPr>
        <w:spacing w:line="360" w:lineRule="auto"/>
        <w:jc w:val="both"/>
        <w:rPr>
          <w:rFonts w:ascii="Arial" w:hAnsi="Arial" w:cs="Arial"/>
          <w:sz w:val="20"/>
          <w:szCs w:val="20"/>
          <w:lang w:val="en-US"/>
        </w:rPr>
      </w:pPr>
      <w:r>
        <w:rPr>
          <w:rFonts w:ascii="Arial" w:hAnsi="Arial" w:cs="Arial"/>
          <w:sz w:val="20"/>
          <w:szCs w:val="20"/>
          <w:lang w:val="en-US"/>
        </w:rPr>
        <w:t>Not Applicable</w:t>
      </w:r>
    </w:p>
    <w:p w14:paraId="7FCA9A76" w14:textId="77777777" w:rsidR="00C2494C" w:rsidRPr="003D39D8" w:rsidRDefault="00C2494C" w:rsidP="00C2494C">
      <w:pPr>
        <w:spacing w:line="360" w:lineRule="auto"/>
        <w:jc w:val="both"/>
        <w:rPr>
          <w:rFonts w:ascii="Arial" w:hAnsi="Arial" w:cs="Arial"/>
          <w:sz w:val="20"/>
          <w:szCs w:val="20"/>
          <w:lang w:val="en-US"/>
        </w:rPr>
      </w:pPr>
    </w:p>
    <w:p w14:paraId="1A9494EF" w14:textId="77777777" w:rsidR="00C2494C" w:rsidRPr="003D39D8" w:rsidRDefault="00C2494C" w:rsidP="00C2494C">
      <w:pPr>
        <w:spacing w:line="360" w:lineRule="auto"/>
        <w:jc w:val="both"/>
        <w:rPr>
          <w:rFonts w:ascii="Arial" w:hAnsi="Arial" w:cs="Arial"/>
          <w:b/>
          <w:sz w:val="20"/>
          <w:szCs w:val="20"/>
          <w:lang w:val="en-US"/>
        </w:rPr>
      </w:pPr>
      <w:r w:rsidRPr="003D39D8">
        <w:rPr>
          <w:rFonts w:ascii="Arial" w:hAnsi="Arial" w:cs="Arial"/>
          <w:b/>
          <w:sz w:val="20"/>
          <w:szCs w:val="20"/>
          <w:lang w:val="en-US"/>
        </w:rPr>
        <w:t>Consent for publication</w:t>
      </w:r>
    </w:p>
    <w:p w14:paraId="5122563C" w14:textId="77777777" w:rsidR="00C2494C" w:rsidRPr="003D39D8" w:rsidRDefault="00C2494C" w:rsidP="00C2494C">
      <w:pPr>
        <w:spacing w:line="360" w:lineRule="auto"/>
        <w:jc w:val="both"/>
        <w:rPr>
          <w:rFonts w:ascii="Arial" w:hAnsi="Arial" w:cs="Arial"/>
          <w:sz w:val="20"/>
          <w:szCs w:val="20"/>
          <w:lang w:val="en-US"/>
        </w:rPr>
      </w:pPr>
      <w:r w:rsidRPr="003D39D8">
        <w:rPr>
          <w:rFonts w:ascii="Arial" w:hAnsi="Arial" w:cs="Arial"/>
          <w:sz w:val="20"/>
          <w:szCs w:val="20"/>
          <w:lang w:val="en-US"/>
        </w:rPr>
        <w:t>Not applicable</w:t>
      </w:r>
    </w:p>
    <w:p w14:paraId="2D532B97" w14:textId="77777777" w:rsidR="00C2494C" w:rsidRDefault="00C2494C" w:rsidP="00C2494C">
      <w:pPr>
        <w:spacing w:line="360" w:lineRule="auto"/>
        <w:jc w:val="both"/>
        <w:rPr>
          <w:rFonts w:ascii="Arial" w:hAnsi="Arial" w:cs="Arial"/>
          <w:b/>
          <w:bCs/>
          <w:sz w:val="20"/>
          <w:szCs w:val="20"/>
          <w:lang w:val="en-US"/>
        </w:rPr>
      </w:pPr>
      <w:r w:rsidRPr="003D39D8">
        <w:rPr>
          <w:rFonts w:ascii="Arial" w:hAnsi="Arial" w:cs="Arial"/>
          <w:b/>
          <w:bCs/>
          <w:sz w:val="20"/>
          <w:szCs w:val="20"/>
          <w:lang w:val="en-US"/>
        </w:rPr>
        <w:t>Declaration of interests</w:t>
      </w:r>
    </w:p>
    <w:p w14:paraId="6ABC19FE" w14:textId="77777777" w:rsidR="00C2494C" w:rsidRPr="003D39D8" w:rsidRDefault="00C2494C" w:rsidP="00C2494C">
      <w:pPr>
        <w:spacing w:line="360" w:lineRule="auto"/>
        <w:jc w:val="both"/>
        <w:rPr>
          <w:rFonts w:ascii="Arial" w:hAnsi="Arial" w:cs="Arial"/>
          <w:sz w:val="20"/>
          <w:szCs w:val="20"/>
          <w:lang w:val="en-US"/>
        </w:rPr>
      </w:pPr>
      <w:r w:rsidRPr="003D39D8">
        <w:rPr>
          <w:rFonts w:ascii="Arial" w:hAnsi="Arial" w:cs="Arial"/>
          <w:sz w:val="20"/>
          <w:szCs w:val="20"/>
          <w:lang w:val="en-US"/>
        </w:rPr>
        <w:t>The authors declare that they have no known competing financial interests or personal relationships that could have appeared to influence the work reported in this paper. </w:t>
      </w:r>
    </w:p>
    <w:p w14:paraId="4D3E12D1" w14:textId="77777777" w:rsidR="00C2494C" w:rsidRDefault="00C2494C" w:rsidP="00C2494C">
      <w:pPr>
        <w:spacing w:line="360" w:lineRule="auto"/>
        <w:jc w:val="both"/>
        <w:rPr>
          <w:rFonts w:ascii="Arial" w:hAnsi="Arial" w:cs="Arial"/>
          <w:b/>
          <w:lang w:val="en-US"/>
        </w:rPr>
      </w:pPr>
      <w:r w:rsidRPr="006A4678">
        <w:rPr>
          <w:rFonts w:ascii="Arial" w:hAnsi="Arial" w:cs="Arial"/>
          <w:b/>
          <w:lang w:val="en-US"/>
        </w:rPr>
        <w:t>Disclaimer (Artificial Intelligence)</w:t>
      </w:r>
    </w:p>
    <w:p w14:paraId="2C1BCB0E" w14:textId="136E99DD" w:rsidR="005460FD" w:rsidRPr="00C2494C" w:rsidRDefault="00C2494C" w:rsidP="00C2494C">
      <w:pPr>
        <w:spacing w:line="360" w:lineRule="auto"/>
        <w:jc w:val="both"/>
        <w:rPr>
          <w:rFonts w:ascii="Arial" w:hAnsi="Arial" w:cs="Arial"/>
          <w:sz w:val="20"/>
          <w:szCs w:val="20"/>
          <w:lang w:val="en-US"/>
        </w:rPr>
      </w:pPr>
      <w:r w:rsidRPr="006A4678">
        <w:rPr>
          <w:rFonts w:ascii="Arial" w:hAnsi="Arial" w:cs="Arial"/>
          <w:sz w:val="20"/>
          <w:szCs w:val="20"/>
          <w:lang w:val="en-US"/>
        </w:rPr>
        <w:lastRenderedPageBreak/>
        <w:t>Author(s) hereby declare that NO generative AI technologies such as Large Language Models (</w:t>
      </w:r>
      <w:proofErr w:type="spellStart"/>
      <w:r w:rsidRPr="006A4678">
        <w:rPr>
          <w:rFonts w:ascii="Arial" w:hAnsi="Arial" w:cs="Arial"/>
          <w:sz w:val="20"/>
          <w:szCs w:val="20"/>
          <w:lang w:val="en-US"/>
        </w:rPr>
        <w:t>ChatGPT</w:t>
      </w:r>
      <w:proofErr w:type="spellEnd"/>
      <w:r w:rsidRPr="006A4678">
        <w:rPr>
          <w:rFonts w:ascii="Arial" w:hAnsi="Arial" w:cs="Arial"/>
          <w:sz w:val="20"/>
          <w:szCs w:val="20"/>
          <w:lang w:val="en-US"/>
        </w:rPr>
        <w:t xml:space="preserve">, COPILOT, etc.) and text-to-image generators have been used during the writing or editing of this manuscript. </w:t>
      </w:r>
    </w:p>
    <w:p w14:paraId="3265612D" w14:textId="01EDDCB3" w:rsidR="00BE6C96" w:rsidRDefault="00BE6C96" w:rsidP="00BE6C96">
      <w:pPr>
        <w:spacing w:line="360" w:lineRule="auto"/>
        <w:jc w:val="center"/>
        <w:rPr>
          <w:rFonts w:asciiTheme="majorBidi" w:hAnsiTheme="majorBidi" w:cstheme="majorBidi"/>
          <w:b/>
          <w:bCs/>
          <w:color w:val="000000" w:themeColor="text1"/>
          <w:lang w:val="en-GB"/>
        </w:rPr>
      </w:pPr>
    </w:p>
    <w:p w14:paraId="1D38652B" w14:textId="77777777" w:rsidR="00D176FB" w:rsidRPr="003D14F6" w:rsidRDefault="00D176FB" w:rsidP="00BE6C96">
      <w:pPr>
        <w:spacing w:line="360" w:lineRule="auto"/>
        <w:jc w:val="center"/>
        <w:rPr>
          <w:rFonts w:asciiTheme="majorBidi" w:hAnsiTheme="majorBidi" w:cstheme="majorBidi"/>
          <w:b/>
          <w:bCs/>
          <w:color w:val="000000" w:themeColor="text1"/>
          <w:sz w:val="28"/>
          <w:szCs w:val="28"/>
          <w:lang w:val="en-US"/>
        </w:rPr>
      </w:pPr>
    </w:p>
    <w:p w14:paraId="7509A263" w14:textId="77777777" w:rsidR="00D176FB" w:rsidRPr="00086463" w:rsidRDefault="00D176FB" w:rsidP="00D176FB">
      <w:pPr>
        <w:spacing w:line="360" w:lineRule="auto"/>
        <w:rPr>
          <w:rFonts w:asciiTheme="majorBidi" w:hAnsiTheme="majorBidi" w:cstheme="majorBidi"/>
          <w:b/>
          <w:bCs/>
          <w:color w:val="000000" w:themeColor="text1"/>
          <w:lang w:val="en-GB"/>
        </w:rPr>
      </w:pPr>
      <w:r w:rsidRPr="00086463">
        <w:rPr>
          <w:rFonts w:asciiTheme="majorBidi" w:hAnsiTheme="majorBidi" w:cstheme="majorBidi"/>
          <w:b/>
          <w:bCs/>
          <w:color w:val="000000" w:themeColor="text1"/>
          <w:lang w:val="en-GB"/>
        </w:rPr>
        <w:t>References</w:t>
      </w:r>
    </w:p>
    <w:p w14:paraId="0DA7980B" w14:textId="77777777" w:rsidR="00D176FB" w:rsidRPr="0041134B" w:rsidRDefault="00D176FB" w:rsidP="0041134B">
      <w:pPr>
        <w:pStyle w:val="ListParagraph"/>
        <w:numPr>
          <w:ilvl w:val="0"/>
          <w:numId w:val="42"/>
        </w:numPr>
        <w:spacing w:line="360" w:lineRule="auto"/>
        <w:rPr>
          <w:rFonts w:asciiTheme="majorBidi" w:hAnsiTheme="majorBidi" w:cstheme="majorBidi"/>
          <w:color w:val="000000" w:themeColor="text1"/>
          <w:lang w:val="en-GB"/>
        </w:rPr>
      </w:pPr>
      <w:r w:rsidRPr="0041134B">
        <w:rPr>
          <w:rFonts w:asciiTheme="majorBidi" w:hAnsiTheme="majorBidi" w:cstheme="majorBidi"/>
          <w:color w:val="000000" w:themeColor="text1"/>
          <w:lang w:val="en-GB"/>
        </w:rPr>
        <w:t xml:space="preserve">Adeyemi, A. A., &amp; </w:t>
      </w:r>
      <w:proofErr w:type="spellStart"/>
      <w:r w:rsidRPr="0041134B">
        <w:rPr>
          <w:rFonts w:asciiTheme="majorBidi" w:hAnsiTheme="majorBidi" w:cstheme="majorBidi"/>
          <w:color w:val="000000" w:themeColor="text1"/>
          <w:lang w:val="en-GB"/>
        </w:rPr>
        <w:t>Ojekunle</w:t>
      </w:r>
      <w:proofErr w:type="spellEnd"/>
      <w:r w:rsidRPr="0041134B">
        <w:rPr>
          <w:rFonts w:asciiTheme="majorBidi" w:hAnsiTheme="majorBidi" w:cstheme="majorBidi"/>
          <w:color w:val="000000" w:themeColor="text1"/>
          <w:lang w:val="en-GB"/>
        </w:rPr>
        <w:t xml:space="preserve">, Z. O. (2021). Concentrations and health risk assessment of groundwater contamination by industrial heavy metals in Ogun State, Nigeria. </w:t>
      </w:r>
      <w:r w:rsidRPr="0041134B">
        <w:rPr>
          <w:rFonts w:asciiTheme="majorBidi" w:hAnsiTheme="majorBidi" w:cstheme="majorBidi"/>
          <w:i/>
          <w:iCs/>
          <w:color w:val="000000" w:themeColor="text1"/>
          <w:lang w:val="en-GB"/>
        </w:rPr>
        <w:t>Scientific African, 11</w:t>
      </w:r>
      <w:r w:rsidRPr="0041134B">
        <w:rPr>
          <w:rFonts w:asciiTheme="majorBidi" w:hAnsiTheme="majorBidi" w:cstheme="majorBidi"/>
          <w:color w:val="000000" w:themeColor="text1"/>
          <w:lang w:val="en-GB"/>
        </w:rPr>
        <w:t xml:space="preserve">, e00666. </w:t>
      </w:r>
      <w:hyperlink r:id="rId11" w:tgtFrame="_new" w:history="1">
        <w:r w:rsidRPr="0041134B">
          <w:rPr>
            <w:rStyle w:val="Hyperlink"/>
            <w:rFonts w:asciiTheme="majorBidi" w:hAnsiTheme="majorBidi" w:cstheme="majorBidi"/>
            <w:lang w:val="en-GB"/>
          </w:rPr>
          <w:t>https://doi.org/10.1016/j.sciaf.2020.e00666</w:t>
        </w:r>
      </w:hyperlink>
    </w:p>
    <w:p w14:paraId="71809D02" w14:textId="77777777" w:rsidR="00D176FB" w:rsidRPr="0041134B" w:rsidRDefault="00D176FB" w:rsidP="0041134B">
      <w:pPr>
        <w:pStyle w:val="ListParagraph"/>
        <w:numPr>
          <w:ilvl w:val="0"/>
          <w:numId w:val="42"/>
        </w:numPr>
        <w:spacing w:line="360" w:lineRule="auto"/>
        <w:rPr>
          <w:rFonts w:asciiTheme="majorBidi" w:hAnsiTheme="majorBidi" w:cstheme="majorBidi"/>
          <w:color w:val="000000" w:themeColor="text1"/>
          <w:lang w:val="en-GB"/>
        </w:rPr>
      </w:pPr>
      <w:proofErr w:type="spellStart"/>
      <w:r w:rsidRPr="0041134B">
        <w:rPr>
          <w:rFonts w:asciiTheme="majorBidi" w:hAnsiTheme="majorBidi" w:cstheme="majorBidi"/>
          <w:color w:val="000000" w:themeColor="text1"/>
          <w:lang w:val="en-GB"/>
        </w:rPr>
        <w:t>Ahlonsou</w:t>
      </w:r>
      <w:proofErr w:type="spellEnd"/>
      <w:r w:rsidRPr="0041134B">
        <w:rPr>
          <w:rFonts w:asciiTheme="majorBidi" w:hAnsiTheme="majorBidi" w:cstheme="majorBidi"/>
          <w:color w:val="000000" w:themeColor="text1"/>
          <w:lang w:val="en-GB"/>
        </w:rPr>
        <w:t xml:space="preserve">, J., </w:t>
      </w:r>
      <w:proofErr w:type="spellStart"/>
      <w:r w:rsidRPr="0041134B">
        <w:rPr>
          <w:rFonts w:asciiTheme="majorBidi" w:hAnsiTheme="majorBidi" w:cstheme="majorBidi"/>
          <w:color w:val="000000" w:themeColor="text1"/>
          <w:lang w:val="en-GB"/>
        </w:rPr>
        <w:t>Adandedji</w:t>
      </w:r>
      <w:proofErr w:type="spellEnd"/>
      <w:r w:rsidRPr="0041134B">
        <w:rPr>
          <w:rFonts w:asciiTheme="majorBidi" w:hAnsiTheme="majorBidi" w:cstheme="majorBidi"/>
          <w:color w:val="000000" w:themeColor="text1"/>
          <w:lang w:val="en-GB"/>
        </w:rPr>
        <w:t xml:space="preserve">, F., Alassane, A., </w:t>
      </w:r>
      <w:proofErr w:type="spellStart"/>
      <w:r w:rsidRPr="0041134B">
        <w:rPr>
          <w:rFonts w:asciiTheme="majorBidi" w:hAnsiTheme="majorBidi" w:cstheme="majorBidi"/>
          <w:color w:val="000000" w:themeColor="text1"/>
          <w:lang w:val="en-GB"/>
        </w:rPr>
        <w:t>Adihou</w:t>
      </w:r>
      <w:proofErr w:type="spellEnd"/>
      <w:r w:rsidRPr="0041134B">
        <w:rPr>
          <w:rFonts w:asciiTheme="majorBidi" w:hAnsiTheme="majorBidi" w:cstheme="majorBidi"/>
          <w:color w:val="000000" w:themeColor="text1"/>
          <w:lang w:val="en-GB"/>
        </w:rPr>
        <w:t xml:space="preserve">, C., &amp; </w:t>
      </w:r>
      <w:proofErr w:type="spellStart"/>
      <w:r w:rsidRPr="0041134B">
        <w:rPr>
          <w:rFonts w:asciiTheme="majorBidi" w:hAnsiTheme="majorBidi" w:cstheme="majorBidi"/>
          <w:color w:val="000000" w:themeColor="text1"/>
          <w:lang w:val="en-GB"/>
        </w:rPr>
        <w:t>Daouda</w:t>
      </w:r>
      <w:proofErr w:type="spellEnd"/>
      <w:r w:rsidRPr="0041134B">
        <w:rPr>
          <w:rFonts w:asciiTheme="majorBidi" w:hAnsiTheme="majorBidi" w:cstheme="majorBidi"/>
          <w:color w:val="000000" w:themeColor="text1"/>
          <w:lang w:val="en-GB"/>
        </w:rPr>
        <w:t>, M. (2024). Evaluation and prediction of groundwater quality in the municipality of Za-</w:t>
      </w:r>
      <w:proofErr w:type="spellStart"/>
      <w:r w:rsidRPr="0041134B">
        <w:rPr>
          <w:rFonts w:asciiTheme="majorBidi" w:hAnsiTheme="majorBidi" w:cstheme="majorBidi"/>
          <w:color w:val="000000" w:themeColor="text1"/>
          <w:lang w:val="en-GB"/>
        </w:rPr>
        <w:t>Kpota</w:t>
      </w:r>
      <w:proofErr w:type="spellEnd"/>
      <w:r w:rsidRPr="0041134B">
        <w:rPr>
          <w:rFonts w:asciiTheme="majorBidi" w:hAnsiTheme="majorBidi" w:cstheme="majorBidi"/>
          <w:color w:val="000000" w:themeColor="text1"/>
          <w:lang w:val="en-GB"/>
        </w:rPr>
        <w:t xml:space="preserve"> (southern Benin) using machine learning and remote sensing. </w:t>
      </w:r>
      <w:r w:rsidRPr="0041134B">
        <w:rPr>
          <w:rFonts w:asciiTheme="majorBidi" w:hAnsiTheme="majorBidi" w:cstheme="majorBidi"/>
          <w:i/>
          <w:iCs/>
          <w:color w:val="000000" w:themeColor="text1"/>
          <w:lang w:val="en-GB"/>
        </w:rPr>
        <w:t>Journal of Water Resource and Protection, 16</w:t>
      </w:r>
      <w:r w:rsidRPr="0041134B">
        <w:rPr>
          <w:rFonts w:asciiTheme="majorBidi" w:hAnsiTheme="majorBidi" w:cstheme="majorBidi"/>
          <w:color w:val="000000" w:themeColor="text1"/>
          <w:lang w:val="en-GB"/>
        </w:rPr>
        <w:t xml:space="preserve">, 502–522. </w:t>
      </w:r>
      <w:hyperlink r:id="rId12" w:tgtFrame="_new" w:history="1">
        <w:r w:rsidRPr="0041134B">
          <w:rPr>
            <w:rStyle w:val="Hyperlink"/>
            <w:rFonts w:asciiTheme="majorBidi" w:hAnsiTheme="majorBidi" w:cstheme="majorBidi"/>
            <w:lang w:val="en-GB"/>
          </w:rPr>
          <w:t>https://doi.org/10.4236/jwarp.2024.167028</w:t>
        </w:r>
      </w:hyperlink>
    </w:p>
    <w:p w14:paraId="6E144CB6" w14:textId="77777777" w:rsidR="00D176FB" w:rsidRPr="0041134B" w:rsidRDefault="00D176FB" w:rsidP="0041134B">
      <w:pPr>
        <w:pStyle w:val="ListParagraph"/>
        <w:numPr>
          <w:ilvl w:val="0"/>
          <w:numId w:val="42"/>
        </w:numPr>
        <w:spacing w:line="360" w:lineRule="auto"/>
        <w:rPr>
          <w:rFonts w:asciiTheme="majorBidi" w:hAnsiTheme="majorBidi" w:cstheme="majorBidi"/>
          <w:color w:val="000000" w:themeColor="text1"/>
          <w:lang w:val="en-GB"/>
        </w:rPr>
      </w:pPr>
      <w:r w:rsidRPr="0041134B">
        <w:rPr>
          <w:rFonts w:asciiTheme="majorBidi" w:hAnsiTheme="majorBidi" w:cstheme="majorBidi"/>
          <w:color w:val="000000" w:themeColor="text1"/>
          <w:lang w:val="en-GB"/>
        </w:rPr>
        <w:t xml:space="preserve">Ahmed, N., </w:t>
      </w:r>
      <w:proofErr w:type="spellStart"/>
      <w:r w:rsidRPr="0041134B">
        <w:rPr>
          <w:rFonts w:asciiTheme="majorBidi" w:hAnsiTheme="majorBidi" w:cstheme="majorBidi"/>
          <w:color w:val="000000" w:themeColor="text1"/>
          <w:lang w:val="en-GB"/>
        </w:rPr>
        <w:t>Bodrud-Doza</w:t>
      </w:r>
      <w:proofErr w:type="spellEnd"/>
      <w:r w:rsidRPr="0041134B">
        <w:rPr>
          <w:rFonts w:asciiTheme="majorBidi" w:hAnsiTheme="majorBidi" w:cstheme="majorBidi"/>
          <w:color w:val="000000" w:themeColor="text1"/>
          <w:lang w:val="en-GB"/>
        </w:rPr>
        <w:t xml:space="preserve">, M., Islam, S. M. D. U., et al. (2019). Hydrogeochemical evaluation and statistical analysis of groundwater in Sylhet, north-eastern Bangladesh. </w:t>
      </w:r>
      <w:r w:rsidRPr="0041134B">
        <w:rPr>
          <w:rFonts w:asciiTheme="majorBidi" w:hAnsiTheme="majorBidi" w:cstheme="majorBidi"/>
          <w:i/>
          <w:iCs/>
          <w:color w:val="000000" w:themeColor="text1"/>
          <w:lang w:val="en-GB"/>
        </w:rPr>
        <w:t xml:space="preserve">Acta </w:t>
      </w:r>
      <w:proofErr w:type="spellStart"/>
      <w:r w:rsidRPr="0041134B">
        <w:rPr>
          <w:rFonts w:asciiTheme="majorBidi" w:hAnsiTheme="majorBidi" w:cstheme="majorBidi"/>
          <w:i/>
          <w:iCs/>
          <w:color w:val="000000" w:themeColor="text1"/>
          <w:lang w:val="en-GB"/>
        </w:rPr>
        <w:t>Geochimica</w:t>
      </w:r>
      <w:proofErr w:type="spellEnd"/>
      <w:r w:rsidRPr="0041134B">
        <w:rPr>
          <w:rFonts w:asciiTheme="majorBidi" w:hAnsiTheme="majorBidi" w:cstheme="majorBidi"/>
          <w:i/>
          <w:iCs/>
          <w:color w:val="000000" w:themeColor="text1"/>
          <w:lang w:val="en-GB"/>
        </w:rPr>
        <w:t>, 38</w:t>
      </w:r>
      <w:r w:rsidRPr="0041134B">
        <w:rPr>
          <w:rFonts w:asciiTheme="majorBidi" w:hAnsiTheme="majorBidi" w:cstheme="majorBidi"/>
          <w:color w:val="000000" w:themeColor="text1"/>
          <w:lang w:val="en-GB"/>
        </w:rPr>
        <w:t xml:space="preserve">, 440–455. </w:t>
      </w:r>
      <w:hyperlink r:id="rId13" w:tgtFrame="_new" w:history="1">
        <w:r w:rsidRPr="0041134B">
          <w:rPr>
            <w:rStyle w:val="Hyperlink"/>
            <w:rFonts w:asciiTheme="majorBidi" w:hAnsiTheme="majorBidi" w:cstheme="majorBidi"/>
            <w:lang w:val="en-GB"/>
          </w:rPr>
          <w:t>https://doi.org/10.1007/s11631-018-0303-6</w:t>
        </w:r>
      </w:hyperlink>
    </w:p>
    <w:p w14:paraId="1BCFCD0B" w14:textId="77777777" w:rsidR="00D176FB" w:rsidRPr="0041134B" w:rsidRDefault="00D176FB" w:rsidP="0041134B">
      <w:pPr>
        <w:pStyle w:val="ListParagraph"/>
        <w:numPr>
          <w:ilvl w:val="0"/>
          <w:numId w:val="42"/>
        </w:numPr>
        <w:spacing w:line="360" w:lineRule="auto"/>
        <w:rPr>
          <w:rFonts w:asciiTheme="majorBidi" w:hAnsiTheme="majorBidi" w:cstheme="majorBidi"/>
          <w:color w:val="000000" w:themeColor="text1"/>
          <w:lang w:val="en-GB"/>
        </w:rPr>
      </w:pPr>
      <w:proofErr w:type="spellStart"/>
      <w:r w:rsidRPr="0041134B">
        <w:rPr>
          <w:rFonts w:asciiTheme="majorBidi" w:hAnsiTheme="majorBidi" w:cstheme="majorBidi"/>
          <w:color w:val="000000" w:themeColor="text1"/>
          <w:lang w:val="en-GB"/>
        </w:rPr>
        <w:t>Anitha</w:t>
      </w:r>
      <w:proofErr w:type="spellEnd"/>
      <w:r w:rsidRPr="0041134B">
        <w:rPr>
          <w:rFonts w:asciiTheme="majorBidi" w:hAnsiTheme="majorBidi" w:cstheme="majorBidi"/>
          <w:color w:val="000000" w:themeColor="text1"/>
          <w:lang w:val="en-GB"/>
        </w:rPr>
        <w:t xml:space="preserve">, B. H., Naik, S. M., </w:t>
      </w:r>
      <w:proofErr w:type="spellStart"/>
      <w:r w:rsidRPr="0041134B">
        <w:rPr>
          <w:rFonts w:asciiTheme="majorBidi" w:hAnsiTheme="majorBidi" w:cstheme="majorBidi"/>
          <w:color w:val="000000" w:themeColor="text1"/>
          <w:lang w:val="en-GB"/>
        </w:rPr>
        <w:t>Nanjundaswamy</w:t>
      </w:r>
      <w:proofErr w:type="spellEnd"/>
      <w:r w:rsidRPr="0041134B">
        <w:rPr>
          <w:rFonts w:asciiTheme="majorBidi" w:hAnsiTheme="majorBidi" w:cstheme="majorBidi"/>
          <w:color w:val="000000" w:themeColor="text1"/>
          <w:lang w:val="en-GB"/>
        </w:rPr>
        <w:t xml:space="preserve">, C., &amp; </w:t>
      </w:r>
      <w:proofErr w:type="spellStart"/>
      <w:r w:rsidRPr="0041134B">
        <w:rPr>
          <w:rFonts w:asciiTheme="majorBidi" w:hAnsiTheme="majorBidi" w:cstheme="majorBidi"/>
          <w:color w:val="000000" w:themeColor="text1"/>
          <w:lang w:val="en-GB"/>
        </w:rPr>
        <w:t>Divyanand</w:t>
      </w:r>
      <w:proofErr w:type="spellEnd"/>
      <w:r w:rsidRPr="0041134B">
        <w:rPr>
          <w:rFonts w:asciiTheme="majorBidi" w:hAnsiTheme="majorBidi" w:cstheme="majorBidi"/>
          <w:color w:val="000000" w:themeColor="text1"/>
          <w:lang w:val="en-GB"/>
        </w:rPr>
        <w:t xml:space="preserve">, M. S. (2021). Application of heavy metal pollution index and metal index for assessing groundwater quality in the </w:t>
      </w:r>
      <w:proofErr w:type="spellStart"/>
      <w:r w:rsidRPr="0041134B">
        <w:rPr>
          <w:rFonts w:asciiTheme="majorBidi" w:hAnsiTheme="majorBidi" w:cstheme="majorBidi"/>
          <w:color w:val="000000" w:themeColor="text1"/>
          <w:lang w:val="en-GB"/>
        </w:rPr>
        <w:t>Peenya</w:t>
      </w:r>
      <w:proofErr w:type="spellEnd"/>
      <w:r w:rsidRPr="0041134B">
        <w:rPr>
          <w:rFonts w:asciiTheme="majorBidi" w:hAnsiTheme="majorBidi" w:cstheme="majorBidi"/>
          <w:color w:val="000000" w:themeColor="text1"/>
          <w:lang w:val="en-GB"/>
        </w:rPr>
        <w:t xml:space="preserve"> industrial area. </w:t>
      </w:r>
      <w:r w:rsidRPr="0041134B">
        <w:rPr>
          <w:rFonts w:asciiTheme="majorBidi" w:hAnsiTheme="majorBidi" w:cstheme="majorBidi"/>
          <w:i/>
          <w:iCs/>
          <w:color w:val="000000" w:themeColor="text1"/>
          <w:lang w:val="en-GB"/>
        </w:rPr>
        <w:t>IOP Conference Series: Earth and Environmental Science, 822</w:t>
      </w:r>
      <w:r w:rsidRPr="0041134B">
        <w:rPr>
          <w:rFonts w:asciiTheme="majorBidi" w:hAnsiTheme="majorBidi" w:cstheme="majorBidi"/>
          <w:color w:val="000000" w:themeColor="text1"/>
          <w:lang w:val="en-GB"/>
        </w:rPr>
        <w:t xml:space="preserve">, 012033. </w:t>
      </w:r>
      <w:hyperlink r:id="rId14" w:tgtFrame="_new" w:history="1">
        <w:r w:rsidRPr="0041134B">
          <w:rPr>
            <w:rStyle w:val="Hyperlink"/>
            <w:rFonts w:asciiTheme="majorBidi" w:hAnsiTheme="majorBidi" w:cstheme="majorBidi"/>
            <w:lang w:val="en-GB"/>
          </w:rPr>
          <w:t>https://doi.org/10.1088/1755-1315/822/1/012033</w:t>
        </w:r>
      </w:hyperlink>
    </w:p>
    <w:p w14:paraId="0DF9DA45" w14:textId="77777777" w:rsidR="00D176FB" w:rsidRPr="0041134B" w:rsidRDefault="00D176FB" w:rsidP="0041134B">
      <w:pPr>
        <w:pStyle w:val="ListParagraph"/>
        <w:numPr>
          <w:ilvl w:val="0"/>
          <w:numId w:val="42"/>
        </w:numPr>
        <w:spacing w:line="360" w:lineRule="auto"/>
        <w:rPr>
          <w:rFonts w:asciiTheme="majorBidi" w:hAnsiTheme="majorBidi" w:cstheme="majorBidi"/>
          <w:color w:val="000000" w:themeColor="text1"/>
          <w:lang w:val="en-GB"/>
        </w:rPr>
      </w:pPr>
      <w:r w:rsidRPr="0041134B">
        <w:rPr>
          <w:rFonts w:asciiTheme="majorBidi" w:hAnsiTheme="majorBidi" w:cstheme="majorBidi"/>
          <w:color w:val="000000" w:themeColor="text1"/>
          <w:lang w:val="en-GB"/>
        </w:rPr>
        <w:t xml:space="preserve">Arora, S., </w:t>
      </w:r>
      <w:proofErr w:type="spellStart"/>
      <w:r w:rsidRPr="0041134B">
        <w:rPr>
          <w:rFonts w:asciiTheme="majorBidi" w:hAnsiTheme="majorBidi" w:cstheme="majorBidi"/>
          <w:color w:val="000000" w:themeColor="text1"/>
          <w:lang w:val="en-GB"/>
        </w:rPr>
        <w:t>Saha</w:t>
      </w:r>
      <w:proofErr w:type="spellEnd"/>
      <w:r w:rsidRPr="0041134B">
        <w:rPr>
          <w:rFonts w:asciiTheme="majorBidi" w:hAnsiTheme="majorBidi" w:cstheme="majorBidi"/>
          <w:color w:val="000000" w:themeColor="text1"/>
          <w:lang w:val="en-GB"/>
        </w:rPr>
        <w:t xml:space="preserve">, P., &amp; Shende, A. D. (2025). Assessment of heavy metal pollution of surface water through multivariate analysis, HPI, and GIS techniques. </w:t>
      </w:r>
      <w:r w:rsidRPr="0041134B">
        <w:rPr>
          <w:rFonts w:asciiTheme="majorBidi" w:hAnsiTheme="majorBidi" w:cstheme="majorBidi"/>
          <w:i/>
          <w:iCs/>
          <w:color w:val="000000" w:themeColor="text1"/>
          <w:lang w:val="en-GB"/>
        </w:rPr>
        <w:t>Water Practice &amp; Technology, 20</w:t>
      </w:r>
      <w:r w:rsidRPr="0041134B">
        <w:rPr>
          <w:rFonts w:asciiTheme="majorBidi" w:hAnsiTheme="majorBidi" w:cstheme="majorBidi"/>
          <w:color w:val="000000" w:themeColor="text1"/>
          <w:lang w:val="en-GB"/>
        </w:rPr>
        <w:t xml:space="preserve">(1), 148. </w:t>
      </w:r>
      <w:hyperlink r:id="rId15" w:tgtFrame="_new" w:history="1">
        <w:r w:rsidRPr="0041134B">
          <w:rPr>
            <w:rStyle w:val="Hyperlink"/>
            <w:rFonts w:asciiTheme="majorBidi" w:hAnsiTheme="majorBidi" w:cstheme="majorBidi"/>
            <w:lang w:val="en-GB"/>
          </w:rPr>
          <w:t>https://doi.org/10.2166/wpt.2025.010</w:t>
        </w:r>
      </w:hyperlink>
    </w:p>
    <w:p w14:paraId="4537302E" w14:textId="77777777" w:rsidR="00D176FB" w:rsidRPr="0041134B" w:rsidRDefault="00D176FB" w:rsidP="0041134B">
      <w:pPr>
        <w:pStyle w:val="ListParagraph"/>
        <w:numPr>
          <w:ilvl w:val="0"/>
          <w:numId w:val="42"/>
        </w:numPr>
        <w:spacing w:line="360" w:lineRule="auto"/>
        <w:rPr>
          <w:rFonts w:asciiTheme="majorBidi" w:hAnsiTheme="majorBidi" w:cstheme="majorBidi"/>
          <w:color w:val="000000" w:themeColor="text1"/>
          <w:lang w:val="en-GB"/>
        </w:rPr>
      </w:pPr>
      <w:proofErr w:type="spellStart"/>
      <w:r w:rsidRPr="0041134B">
        <w:rPr>
          <w:rFonts w:asciiTheme="majorBidi" w:hAnsiTheme="majorBidi" w:cstheme="majorBidi"/>
          <w:color w:val="000000" w:themeColor="text1"/>
          <w:lang w:val="en-GB"/>
        </w:rPr>
        <w:t>Azokpota</w:t>
      </w:r>
      <w:proofErr w:type="spellEnd"/>
      <w:r w:rsidRPr="0041134B">
        <w:rPr>
          <w:rFonts w:asciiTheme="majorBidi" w:hAnsiTheme="majorBidi" w:cstheme="majorBidi"/>
          <w:color w:val="000000" w:themeColor="text1"/>
          <w:lang w:val="en-GB"/>
        </w:rPr>
        <w:t xml:space="preserve">, E., Alassane, Y. A. K., </w:t>
      </w:r>
      <w:proofErr w:type="spellStart"/>
      <w:r w:rsidRPr="0041134B">
        <w:rPr>
          <w:rFonts w:asciiTheme="majorBidi" w:hAnsiTheme="majorBidi" w:cstheme="majorBidi"/>
          <w:color w:val="000000" w:themeColor="text1"/>
          <w:lang w:val="en-GB"/>
        </w:rPr>
        <w:t>Avocefohoun</w:t>
      </w:r>
      <w:proofErr w:type="spellEnd"/>
      <w:r w:rsidRPr="0041134B">
        <w:rPr>
          <w:rFonts w:asciiTheme="majorBidi" w:hAnsiTheme="majorBidi" w:cstheme="majorBidi"/>
          <w:color w:val="000000" w:themeColor="text1"/>
          <w:lang w:val="en-GB"/>
        </w:rPr>
        <w:t xml:space="preserve">, A. S., Alassane Moussa, A. K., </w:t>
      </w:r>
      <w:proofErr w:type="spellStart"/>
      <w:r w:rsidRPr="0041134B">
        <w:rPr>
          <w:rFonts w:asciiTheme="majorBidi" w:hAnsiTheme="majorBidi" w:cstheme="majorBidi"/>
          <w:color w:val="000000" w:themeColor="text1"/>
          <w:lang w:val="en-GB"/>
        </w:rPr>
        <w:t>Adandedjan</w:t>
      </w:r>
      <w:proofErr w:type="spellEnd"/>
      <w:r w:rsidRPr="0041134B">
        <w:rPr>
          <w:rFonts w:asciiTheme="majorBidi" w:hAnsiTheme="majorBidi" w:cstheme="majorBidi"/>
          <w:color w:val="000000" w:themeColor="text1"/>
          <w:lang w:val="en-GB"/>
        </w:rPr>
        <w:t xml:space="preserve">, C., </w:t>
      </w:r>
      <w:proofErr w:type="spellStart"/>
      <w:r w:rsidRPr="0041134B">
        <w:rPr>
          <w:rFonts w:asciiTheme="majorBidi" w:hAnsiTheme="majorBidi" w:cstheme="majorBidi"/>
          <w:color w:val="000000" w:themeColor="text1"/>
          <w:lang w:val="en-GB"/>
        </w:rPr>
        <w:t>Ahyi</w:t>
      </w:r>
      <w:proofErr w:type="spellEnd"/>
      <w:r w:rsidRPr="0041134B">
        <w:rPr>
          <w:rFonts w:asciiTheme="majorBidi" w:hAnsiTheme="majorBidi" w:cstheme="majorBidi"/>
          <w:color w:val="000000" w:themeColor="text1"/>
          <w:lang w:val="en-GB"/>
        </w:rPr>
        <w:t xml:space="preserve">, V., </w:t>
      </w:r>
      <w:proofErr w:type="spellStart"/>
      <w:r w:rsidRPr="0041134B">
        <w:rPr>
          <w:rFonts w:asciiTheme="majorBidi" w:hAnsiTheme="majorBidi" w:cstheme="majorBidi"/>
          <w:color w:val="000000" w:themeColor="text1"/>
          <w:lang w:val="en-GB"/>
        </w:rPr>
        <w:t>Dossa</w:t>
      </w:r>
      <w:proofErr w:type="spellEnd"/>
      <w:r w:rsidRPr="0041134B">
        <w:rPr>
          <w:rFonts w:asciiTheme="majorBidi" w:hAnsiTheme="majorBidi" w:cstheme="majorBidi"/>
          <w:color w:val="000000" w:themeColor="text1"/>
          <w:lang w:val="en-GB"/>
        </w:rPr>
        <w:t xml:space="preserve">, C. P. A., &amp; </w:t>
      </w:r>
      <w:proofErr w:type="spellStart"/>
      <w:r w:rsidRPr="0041134B">
        <w:rPr>
          <w:rFonts w:asciiTheme="majorBidi" w:hAnsiTheme="majorBidi" w:cstheme="majorBidi"/>
          <w:color w:val="000000" w:themeColor="text1"/>
          <w:lang w:val="en-GB"/>
        </w:rPr>
        <w:t>Sohounhloue</w:t>
      </w:r>
      <w:proofErr w:type="spellEnd"/>
      <w:r w:rsidRPr="0041134B">
        <w:rPr>
          <w:rFonts w:asciiTheme="majorBidi" w:hAnsiTheme="majorBidi" w:cstheme="majorBidi"/>
          <w:color w:val="000000" w:themeColor="text1"/>
          <w:lang w:val="en-GB"/>
        </w:rPr>
        <w:t xml:space="preserve">, D. C. K. (2022). Levels of heavy metal contamination (As, Cd, Hg, Pb) in drinking water sources in </w:t>
      </w:r>
      <w:proofErr w:type="spellStart"/>
      <w:r w:rsidRPr="0041134B">
        <w:rPr>
          <w:rFonts w:asciiTheme="majorBidi" w:hAnsiTheme="majorBidi" w:cstheme="majorBidi"/>
          <w:color w:val="000000" w:themeColor="text1"/>
          <w:lang w:val="en-GB"/>
        </w:rPr>
        <w:t>Agbangnizoun</w:t>
      </w:r>
      <w:proofErr w:type="spellEnd"/>
      <w:r w:rsidRPr="0041134B">
        <w:rPr>
          <w:rFonts w:asciiTheme="majorBidi" w:hAnsiTheme="majorBidi" w:cstheme="majorBidi"/>
          <w:color w:val="000000" w:themeColor="text1"/>
          <w:lang w:val="en-GB"/>
        </w:rPr>
        <w:t xml:space="preserve"> and Za-</w:t>
      </w:r>
      <w:proofErr w:type="spellStart"/>
      <w:r w:rsidRPr="0041134B">
        <w:rPr>
          <w:rFonts w:asciiTheme="majorBidi" w:hAnsiTheme="majorBidi" w:cstheme="majorBidi"/>
          <w:color w:val="000000" w:themeColor="text1"/>
          <w:lang w:val="en-GB"/>
        </w:rPr>
        <w:t>Kpota</w:t>
      </w:r>
      <w:proofErr w:type="spellEnd"/>
      <w:r w:rsidRPr="0041134B">
        <w:rPr>
          <w:rFonts w:asciiTheme="majorBidi" w:hAnsiTheme="majorBidi" w:cstheme="majorBidi"/>
          <w:color w:val="000000" w:themeColor="text1"/>
          <w:lang w:val="en-GB"/>
        </w:rPr>
        <w:t xml:space="preserve"> Town Halls, southern Benin. </w:t>
      </w:r>
      <w:r w:rsidRPr="0041134B">
        <w:rPr>
          <w:rFonts w:asciiTheme="majorBidi" w:hAnsiTheme="majorBidi" w:cstheme="majorBidi"/>
          <w:i/>
          <w:iCs/>
          <w:color w:val="000000" w:themeColor="text1"/>
          <w:lang w:val="en-GB"/>
        </w:rPr>
        <w:t>International Journal of Chemistry, 14</w:t>
      </w:r>
      <w:r w:rsidRPr="0041134B">
        <w:rPr>
          <w:rFonts w:asciiTheme="majorBidi" w:hAnsiTheme="majorBidi" w:cstheme="majorBidi"/>
          <w:color w:val="000000" w:themeColor="text1"/>
          <w:lang w:val="en-GB"/>
        </w:rPr>
        <w:t xml:space="preserve">(1), 41–60. </w:t>
      </w:r>
      <w:hyperlink r:id="rId16" w:tgtFrame="_new" w:history="1">
        <w:r w:rsidRPr="0041134B">
          <w:rPr>
            <w:rStyle w:val="Hyperlink"/>
            <w:rFonts w:asciiTheme="majorBidi" w:hAnsiTheme="majorBidi" w:cstheme="majorBidi"/>
            <w:lang w:val="en-GB"/>
          </w:rPr>
          <w:t>https://doi.org/10.5539/ijc.v14n1p41</w:t>
        </w:r>
      </w:hyperlink>
    </w:p>
    <w:p w14:paraId="71402781" w14:textId="77777777" w:rsidR="00D176FB" w:rsidRPr="0041134B" w:rsidRDefault="00D176FB" w:rsidP="0041134B">
      <w:pPr>
        <w:pStyle w:val="ListParagraph"/>
        <w:numPr>
          <w:ilvl w:val="0"/>
          <w:numId w:val="42"/>
        </w:numPr>
        <w:spacing w:line="360" w:lineRule="auto"/>
        <w:rPr>
          <w:rFonts w:asciiTheme="majorBidi" w:hAnsiTheme="majorBidi" w:cstheme="majorBidi"/>
          <w:color w:val="000000" w:themeColor="text1"/>
          <w:lang w:val="en-GB"/>
        </w:rPr>
      </w:pPr>
      <w:proofErr w:type="spellStart"/>
      <w:r w:rsidRPr="0041134B">
        <w:rPr>
          <w:rFonts w:asciiTheme="majorBidi" w:hAnsiTheme="majorBidi" w:cstheme="majorBidi"/>
          <w:color w:val="000000" w:themeColor="text1"/>
          <w:lang w:val="en-GB"/>
        </w:rPr>
        <w:t>Badeenezhad</w:t>
      </w:r>
      <w:proofErr w:type="spellEnd"/>
      <w:r w:rsidRPr="0041134B">
        <w:rPr>
          <w:rFonts w:asciiTheme="majorBidi" w:hAnsiTheme="majorBidi" w:cstheme="majorBidi"/>
          <w:color w:val="000000" w:themeColor="text1"/>
          <w:lang w:val="en-GB"/>
        </w:rPr>
        <w:t xml:space="preserve">, A., Soleimani, H., </w:t>
      </w:r>
      <w:proofErr w:type="spellStart"/>
      <w:r w:rsidRPr="0041134B">
        <w:rPr>
          <w:rFonts w:asciiTheme="majorBidi" w:hAnsiTheme="majorBidi" w:cstheme="majorBidi"/>
          <w:color w:val="000000" w:themeColor="text1"/>
          <w:lang w:val="en-GB"/>
        </w:rPr>
        <w:t>Shahsavani</w:t>
      </w:r>
      <w:proofErr w:type="spellEnd"/>
      <w:r w:rsidRPr="0041134B">
        <w:rPr>
          <w:rFonts w:asciiTheme="majorBidi" w:hAnsiTheme="majorBidi" w:cstheme="majorBidi"/>
          <w:color w:val="000000" w:themeColor="text1"/>
          <w:lang w:val="en-GB"/>
        </w:rPr>
        <w:t xml:space="preserve">, S., et al. (2023). Comprehensive assessment of human health risks from heavy metal contamination using water quality indices and Monte Carlo simulation in R. </w:t>
      </w:r>
      <w:r w:rsidRPr="0041134B">
        <w:rPr>
          <w:rFonts w:asciiTheme="majorBidi" w:hAnsiTheme="majorBidi" w:cstheme="majorBidi"/>
          <w:i/>
          <w:iCs/>
          <w:color w:val="000000" w:themeColor="text1"/>
          <w:lang w:val="en-GB"/>
        </w:rPr>
        <w:t>Scientific Reports, 13</w:t>
      </w:r>
      <w:r w:rsidRPr="0041134B">
        <w:rPr>
          <w:rFonts w:asciiTheme="majorBidi" w:hAnsiTheme="majorBidi" w:cstheme="majorBidi"/>
          <w:color w:val="000000" w:themeColor="text1"/>
          <w:lang w:val="en-GB"/>
        </w:rPr>
        <w:t xml:space="preserve">, 15817. </w:t>
      </w:r>
      <w:hyperlink r:id="rId17" w:tgtFrame="_new" w:history="1">
        <w:r w:rsidRPr="0041134B">
          <w:rPr>
            <w:rStyle w:val="Hyperlink"/>
            <w:rFonts w:asciiTheme="majorBidi" w:hAnsiTheme="majorBidi" w:cstheme="majorBidi"/>
            <w:lang w:val="en-GB"/>
          </w:rPr>
          <w:t>https://doi.org/10.1038/s41598-023-43161-3</w:t>
        </w:r>
      </w:hyperlink>
    </w:p>
    <w:p w14:paraId="4538750D" w14:textId="77777777" w:rsidR="00D176FB" w:rsidRPr="0041134B" w:rsidRDefault="00D176FB" w:rsidP="0041134B">
      <w:pPr>
        <w:pStyle w:val="ListParagraph"/>
        <w:numPr>
          <w:ilvl w:val="0"/>
          <w:numId w:val="42"/>
        </w:numPr>
        <w:spacing w:line="360" w:lineRule="auto"/>
        <w:rPr>
          <w:rFonts w:asciiTheme="majorBidi" w:hAnsiTheme="majorBidi" w:cstheme="majorBidi"/>
          <w:color w:val="000000" w:themeColor="text1"/>
          <w:lang w:val="en-GB"/>
        </w:rPr>
      </w:pPr>
      <w:proofErr w:type="spellStart"/>
      <w:r w:rsidRPr="0041134B">
        <w:rPr>
          <w:rFonts w:asciiTheme="majorBidi" w:hAnsiTheme="majorBidi" w:cstheme="majorBidi"/>
          <w:color w:val="000000" w:themeColor="text1"/>
          <w:lang w:val="en-GB"/>
        </w:rPr>
        <w:lastRenderedPageBreak/>
        <w:t>Belabed</w:t>
      </w:r>
      <w:proofErr w:type="spellEnd"/>
      <w:r w:rsidRPr="0041134B">
        <w:rPr>
          <w:rFonts w:asciiTheme="majorBidi" w:hAnsiTheme="majorBidi" w:cstheme="majorBidi"/>
          <w:color w:val="000000" w:themeColor="text1"/>
          <w:lang w:val="en-GB"/>
        </w:rPr>
        <w:t xml:space="preserve">, S., &amp; </w:t>
      </w:r>
      <w:proofErr w:type="spellStart"/>
      <w:r w:rsidRPr="0041134B">
        <w:rPr>
          <w:rFonts w:asciiTheme="majorBidi" w:hAnsiTheme="majorBidi" w:cstheme="majorBidi"/>
          <w:color w:val="000000" w:themeColor="text1"/>
          <w:lang w:val="en-GB"/>
        </w:rPr>
        <w:t>Soltani</w:t>
      </w:r>
      <w:proofErr w:type="spellEnd"/>
      <w:r w:rsidRPr="0041134B">
        <w:rPr>
          <w:rFonts w:asciiTheme="majorBidi" w:hAnsiTheme="majorBidi" w:cstheme="majorBidi"/>
          <w:color w:val="000000" w:themeColor="text1"/>
          <w:lang w:val="en-GB"/>
        </w:rPr>
        <w:t xml:space="preserve">, N. (2018). Effects of cadmium concentration on bioaccumulation and depuration in the marine bivalve </w:t>
      </w:r>
      <w:proofErr w:type="spellStart"/>
      <w:r w:rsidRPr="0041134B">
        <w:rPr>
          <w:rFonts w:asciiTheme="majorBidi" w:hAnsiTheme="majorBidi" w:cstheme="majorBidi"/>
          <w:i/>
          <w:iCs/>
          <w:color w:val="000000" w:themeColor="text1"/>
          <w:lang w:val="en-GB"/>
        </w:rPr>
        <w:t>Donax</w:t>
      </w:r>
      <w:proofErr w:type="spellEnd"/>
      <w:r w:rsidRPr="0041134B">
        <w:rPr>
          <w:rFonts w:asciiTheme="majorBidi" w:hAnsiTheme="majorBidi" w:cstheme="majorBidi"/>
          <w:i/>
          <w:iCs/>
          <w:color w:val="000000" w:themeColor="text1"/>
          <w:lang w:val="en-GB"/>
        </w:rPr>
        <w:t xml:space="preserve"> </w:t>
      </w:r>
      <w:proofErr w:type="spellStart"/>
      <w:r w:rsidRPr="0041134B">
        <w:rPr>
          <w:rFonts w:asciiTheme="majorBidi" w:hAnsiTheme="majorBidi" w:cstheme="majorBidi"/>
          <w:i/>
          <w:iCs/>
          <w:color w:val="000000" w:themeColor="text1"/>
          <w:lang w:val="en-GB"/>
        </w:rPr>
        <w:t>trunculus</w:t>
      </w:r>
      <w:proofErr w:type="spellEnd"/>
      <w:r w:rsidRPr="0041134B">
        <w:rPr>
          <w:rFonts w:asciiTheme="majorBidi" w:hAnsiTheme="majorBidi" w:cstheme="majorBidi"/>
          <w:color w:val="000000" w:themeColor="text1"/>
          <w:lang w:val="en-GB"/>
        </w:rPr>
        <w:t xml:space="preserve">. </w:t>
      </w:r>
      <w:r w:rsidRPr="0041134B">
        <w:rPr>
          <w:rFonts w:asciiTheme="majorBidi" w:hAnsiTheme="majorBidi" w:cstheme="majorBidi"/>
          <w:i/>
          <w:iCs/>
          <w:color w:val="000000" w:themeColor="text1"/>
          <w:lang w:val="en-GB"/>
        </w:rPr>
        <w:t>Euro-Mediterranean Journal for Environmental Integration, 3</w:t>
      </w:r>
      <w:r w:rsidRPr="0041134B">
        <w:rPr>
          <w:rFonts w:asciiTheme="majorBidi" w:hAnsiTheme="majorBidi" w:cstheme="majorBidi"/>
          <w:color w:val="000000" w:themeColor="text1"/>
          <w:lang w:val="en-GB"/>
        </w:rPr>
        <w:t xml:space="preserve">, 19. </w:t>
      </w:r>
      <w:hyperlink r:id="rId18" w:tgtFrame="_new" w:history="1">
        <w:r w:rsidRPr="0041134B">
          <w:rPr>
            <w:rStyle w:val="Hyperlink"/>
            <w:rFonts w:asciiTheme="majorBidi" w:hAnsiTheme="majorBidi" w:cstheme="majorBidi"/>
            <w:lang w:val="en-GB"/>
          </w:rPr>
          <w:t>https://doi.org/10.1007/s41207-018-0054-0</w:t>
        </w:r>
      </w:hyperlink>
    </w:p>
    <w:p w14:paraId="21EF50DC" w14:textId="77777777" w:rsidR="00D176FB" w:rsidRPr="0041134B" w:rsidRDefault="00D176FB" w:rsidP="0041134B">
      <w:pPr>
        <w:pStyle w:val="ListParagraph"/>
        <w:numPr>
          <w:ilvl w:val="0"/>
          <w:numId w:val="42"/>
        </w:numPr>
        <w:spacing w:line="360" w:lineRule="auto"/>
        <w:rPr>
          <w:rFonts w:asciiTheme="majorBidi" w:hAnsiTheme="majorBidi" w:cstheme="majorBidi"/>
          <w:color w:val="000000" w:themeColor="text1"/>
        </w:rPr>
      </w:pPr>
      <w:proofErr w:type="spellStart"/>
      <w:r w:rsidRPr="0041134B">
        <w:rPr>
          <w:rFonts w:asciiTheme="majorBidi" w:hAnsiTheme="majorBidi" w:cstheme="majorBidi"/>
          <w:color w:val="000000" w:themeColor="text1"/>
          <w:lang w:val="en-GB"/>
        </w:rPr>
        <w:t>Boukari</w:t>
      </w:r>
      <w:proofErr w:type="spellEnd"/>
      <w:r w:rsidRPr="0041134B">
        <w:rPr>
          <w:rFonts w:asciiTheme="majorBidi" w:hAnsiTheme="majorBidi" w:cstheme="majorBidi"/>
          <w:color w:val="000000" w:themeColor="text1"/>
          <w:lang w:val="en-GB"/>
        </w:rPr>
        <w:t xml:space="preserve">, M., </w:t>
      </w:r>
      <w:proofErr w:type="spellStart"/>
      <w:r w:rsidRPr="0041134B">
        <w:rPr>
          <w:rFonts w:asciiTheme="majorBidi" w:hAnsiTheme="majorBidi" w:cstheme="majorBidi"/>
          <w:color w:val="000000" w:themeColor="text1"/>
          <w:lang w:val="en-GB"/>
        </w:rPr>
        <w:t>Totin</w:t>
      </w:r>
      <w:proofErr w:type="spellEnd"/>
      <w:r w:rsidRPr="0041134B">
        <w:rPr>
          <w:rFonts w:asciiTheme="majorBidi" w:hAnsiTheme="majorBidi" w:cstheme="majorBidi"/>
          <w:color w:val="000000" w:themeColor="text1"/>
          <w:lang w:val="en-GB"/>
        </w:rPr>
        <w:t xml:space="preserve">, H., Upton, K., Ó </w:t>
      </w:r>
      <w:proofErr w:type="spellStart"/>
      <w:r w:rsidRPr="0041134B">
        <w:rPr>
          <w:rFonts w:asciiTheme="majorBidi" w:hAnsiTheme="majorBidi" w:cstheme="majorBidi"/>
          <w:color w:val="000000" w:themeColor="text1"/>
          <w:lang w:val="en-GB"/>
        </w:rPr>
        <w:t>Dochartaigh</w:t>
      </w:r>
      <w:proofErr w:type="spellEnd"/>
      <w:r w:rsidRPr="0041134B">
        <w:rPr>
          <w:rFonts w:asciiTheme="majorBidi" w:hAnsiTheme="majorBidi" w:cstheme="majorBidi"/>
          <w:color w:val="000000" w:themeColor="text1"/>
          <w:lang w:val="en-GB"/>
        </w:rPr>
        <w:t xml:space="preserve">, B. É., &amp; Bellwood-Howard, I. (2018). </w:t>
      </w:r>
      <w:r w:rsidRPr="0041134B">
        <w:rPr>
          <w:rFonts w:asciiTheme="majorBidi" w:hAnsiTheme="majorBidi" w:cstheme="majorBidi"/>
          <w:i/>
          <w:iCs/>
          <w:color w:val="000000" w:themeColor="text1"/>
          <w:lang w:val="en-GB"/>
        </w:rPr>
        <w:t>Atlas of African Groundwater: Hydrogeology of Benin.</w:t>
      </w:r>
      <w:r w:rsidRPr="0041134B">
        <w:rPr>
          <w:rFonts w:asciiTheme="majorBidi" w:hAnsiTheme="majorBidi" w:cstheme="majorBidi"/>
          <w:color w:val="000000" w:themeColor="text1"/>
          <w:lang w:val="en-GB"/>
        </w:rPr>
        <w:t xml:space="preserve"> British Geological Survey. </w:t>
      </w:r>
      <w:hyperlink r:id="rId19" w:tgtFrame="_new" w:history="1">
        <w:r w:rsidRPr="0041134B">
          <w:rPr>
            <w:rStyle w:val="Hyperlink"/>
            <w:rFonts w:asciiTheme="majorBidi" w:hAnsiTheme="majorBidi" w:cstheme="majorBidi"/>
          </w:rPr>
          <w:t>http://earthwise.bgs.ac.uk/index.php/Hydrogeology_of_Benin</w:t>
        </w:r>
      </w:hyperlink>
    </w:p>
    <w:p w14:paraId="74FDD94B" w14:textId="77777777" w:rsidR="00D176FB" w:rsidRPr="0041134B" w:rsidRDefault="00D176FB" w:rsidP="0041134B">
      <w:pPr>
        <w:pStyle w:val="ListParagraph"/>
        <w:numPr>
          <w:ilvl w:val="0"/>
          <w:numId w:val="42"/>
        </w:numPr>
        <w:spacing w:line="360" w:lineRule="auto"/>
        <w:rPr>
          <w:rFonts w:asciiTheme="majorBidi" w:hAnsiTheme="majorBidi" w:cstheme="majorBidi"/>
          <w:color w:val="000000" w:themeColor="text1"/>
          <w:lang w:val="en-GB"/>
        </w:rPr>
      </w:pPr>
      <w:proofErr w:type="spellStart"/>
      <w:r w:rsidRPr="0041134B">
        <w:rPr>
          <w:rFonts w:asciiTheme="majorBidi" w:hAnsiTheme="majorBidi" w:cstheme="majorBidi"/>
          <w:color w:val="000000" w:themeColor="text1"/>
        </w:rPr>
        <w:t>Dovonou</w:t>
      </w:r>
      <w:proofErr w:type="spellEnd"/>
      <w:r w:rsidRPr="0041134B">
        <w:rPr>
          <w:rFonts w:asciiTheme="majorBidi" w:hAnsiTheme="majorBidi" w:cstheme="majorBidi"/>
          <w:color w:val="000000" w:themeColor="text1"/>
        </w:rPr>
        <w:t xml:space="preserve">, F., </w:t>
      </w:r>
      <w:proofErr w:type="spellStart"/>
      <w:r w:rsidRPr="0041134B">
        <w:rPr>
          <w:rFonts w:asciiTheme="majorBidi" w:hAnsiTheme="majorBidi" w:cstheme="majorBidi"/>
          <w:color w:val="000000" w:themeColor="text1"/>
        </w:rPr>
        <w:t>Adjahossou</w:t>
      </w:r>
      <w:proofErr w:type="spellEnd"/>
      <w:r w:rsidRPr="0041134B">
        <w:rPr>
          <w:rFonts w:asciiTheme="majorBidi" w:hAnsiTheme="majorBidi" w:cstheme="majorBidi"/>
          <w:color w:val="000000" w:themeColor="text1"/>
        </w:rPr>
        <w:t xml:space="preserve">, N., </w:t>
      </w:r>
      <w:proofErr w:type="spellStart"/>
      <w:r w:rsidRPr="0041134B">
        <w:rPr>
          <w:rFonts w:asciiTheme="majorBidi" w:hAnsiTheme="majorBidi" w:cstheme="majorBidi"/>
          <w:color w:val="000000" w:themeColor="text1"/>
        </w:rPr>
        <w:t>Alamou</w:t>
      </w:r>
      <w:proofErr w:type="spellEnd"/>
      <w:r w:rsidRPr="0041134B">
        <w:rPr>
          <w:rFonts w:asciiTheme="majorBidi" w:hAnsiTheme="majorBidi" w:cstheme="majorBidi"/>
          <w:color w:val="000000" w:themeColor="text1"/>
        </w:rPr>
        <w:t xml:space="preserve">, E., Alassane, A., Mama, D., &amp; </w:t>
      </w:r>
      <w:proofErr w:type="spellStart"/>
      <w:r w:rsidRPr="0041134B">
        <w:rPr>
          <w:rFonts w:asciiTheme="majorBidi" w:hAnsiTheme="majorBidi" w:cstheme="majorBidi"/>
          <w:color w:val="000000" w:themeColor="text1"/>
        </w:rPr>
        <w:t>Boukari</w:t>
      </w:r>
      <w:proofErr w:type="spellEnd"/>
      <w:r w:rsidRPr="0041134B">
        <w:rPr>
          <w:rFonts w:asciiTheme="majorBidi" w:hAnsiTheme="majorBidi" w:cstheme="majorBidi"/>
          <w:color w:val="000000" w:themeColor="text1"/>
        </w:rPr>
        <w:t xml:space="preserve">, M. (2014). </w:t>
      </w:r>
      <w:r w:rsidRPr="0041134B">
        <w:rPr>
          <w:rFonts w:asciiTheme="majorBidi" w:hAnsiTheme="majorBidi" w:cstheme="majorBidi"/>
          <w:color w:val="000000" w:themeColor="text1"/>
          <w:lang w:val="en-GB"/>
        </w:rPr>
        <w:t xml:space="preserve">Groundwater contamination by heavy metals and environmental impact: The case of the shallow aquifer of the </w:t>
      </w:r>
      <w:proofErr w:type="spellStart"/>
      <w:r w:rsidRPr="0041134B">
        <w:rPr>
          <w:rFonts w:asciiTheme="majorBidi" w:hAnsiTheme="majorBidi" w:cstheme="majorBidi"/>
          <w:color w:val="000000" w:themeColor="text1"/>
          <w:lang w:val="en-GB"/>
        </w:rPr>
        <w:t>Godomey</w:t>
      </w:r>
      <w:proofErr w:type="spellEnd"/>
      <w:r w:rsidRPr="0041134B">
        <w:rPr>
          <w:rFonts w:asciiTheme="majorBidi" w:hAnsiTheme="majorBidi" w:cstheme="majorBidi"/>
          <w:color w:val="000000" w:themeColor="text1"/>
          <w:lang w:val="en-GB"/>
        </w:rPr>
        <w:t xml:space="preserve"> intensive abstraction site, southern Benin. </w:t>
      </w:r>
      <w:r w:rsidRPr="0041134B">
        <w:rPr>
          <w:rFonts w:asciiTheme="majorBidi" w:hAnsiTheme="majorBidi" w:cstheme="majorBidi"/>
          <w:i/>
          <w:iCs/>
          <w:color w:val="000000" w:themeColor="text1"/>
          <w:lang w:val="en-GB"/>
        </w:rPr>
        <w:t>Africa Geoscience Review, 21</w:t>
      </w:r>
      <w:r w:rsidRPr="0041134B">
        <w:rPr>
          <w:rFonts w:asciiTheme="majorBidi" w:hAnsiTheme="majorBidi" w:cstheme="majorBidi"/>
          <w:color w:val="000000" w:themeColor="text1"/>
          <w:lang w:val="en-GB"/>
        </w:rPr>
        <w:t xml:space="preserve">(1–2), 45–55. </w:t>
      </w:r>
      <w:hyperlink r:id="rId20" w:tgtFrame="_new" w:history="1">
        <w:r w:rsidRPr="0041134B">
          <w:rPr>
            <w:rStyle w:val="Hyperlink"/>
            <w:rFonts w:asciiTheme="majorBidi" w:hAnsiTheme="majorBidi" w:cstheme="majorBidi"/>
            <w:lang w:val="en-GB"/>
          </w:rPr>
          <w:t>https://bec.uac.bj/uploads/publication/e4217fdf1aed7ebc639a44c93cc54fab.pdf</w:t>
        </w:r>
      </w:hyperlink>
    </w:p>
    <w:p w14:paraId="4985F620" w14:textId="77777777" w:rsidR="00D176FB" w:rsidRPr="0041134B" w:rsidRDefault="00D176FB" w:rsidP="0041134B">
      <w:pPr>
        <w:pStyle w:val="ListParagraph"/>
        <w:numPr>
          <w:ilvl w:val="0"/>
          <w:numId w:val="42"/>
        </w:numPr>
        <w:spacing w:line="360" w:lineRule="auto"/>
        <w:rPr>
          <w:rFonts w:asciiTheme="majorBidi" w:hAnsiTheme="majorBidi" w:cstheme="majorBidi"/>
          <w:color w:val="000000" w:themeColor="text1"/>
          <w:lang w:val="en-GB"/>
        </w:rPr>
      </w:pPr>
      <w:proofErr w:type="spellStart"/>
      <w:r w:rsidRPr="0041134B">
        <w:rPr>
          <w:rFonts w:asciiTheme="majorBidi" w:hAnsiTheme="majorBidi" w:cstheme="majorBidi"/>
          <w:color w:val="000000" w:themeColor="text1"/>
          <w:lang w:val="en-GB"/>
        </w:rPr>
        <w:t>Durowoju</w:t>
      </w:r>
      <w:proofErr w:type="spellEnd"/>
      <w:r w:rsidRPr="0041134B">
        <w:rPr>
          <w:rFonts w:asciiTheme="majorBidi" w:hAnsiTheme="majorBidi" w:cstheme="majorBidi"/>
          <w:color w:val="000000" w:themeColor="text1"/>
          <w:lang w:val="en-GB"/>
        </w:rPr>
        <w:t xml:space="preserve">, O. S., </w:t>
      </w:r>
      <w:proofErr w:type="spellStart"/>
      <w:r w:rsidRPr="0041134B">
        <w:rPr>
          <w:rFonts w:asciiTheme="majorBidi" w:hAnsiTheme="majorBidi" w:cstheme="majorBidi"/>
          <w:color w:val="000000" w:themeColor="text1"/>
          <w:lang w:val="en-GB"/>
        </w:rPr>
        <w:t>Ekosse</w:t>
      </w:r>
      <w:proofErr w:type="spellEnd"/>
      <w:r w:rsidRPr="0041134B">
        <w:rPr>
          <w:rFonts w:asciiTheme="majorBidi" w:hAnsiTheme="majorBidi" w:cstheme="majorBidi"/>
          <w:color w:val="000000" w:themeColor="text1"/>
          <w:lang w:val="en-GB"/>
        </w:rPr>
        <w:t xml:space="preserve">, G. I. E., &amp; </w:t>
      </w:r>
      <w:proofErr w:type="spellStart"/>
      <w:r w:rsidRPr="0041134B">
        <w:rPr>
          <w:rFonts w:asciiTheme="majorBidi" w:hAnsiTheme="majorBidi" w:cstheme="majorBidi"/>
          <w:color w:val="000000" w:themeColor="text1"/>
          <w:lang w:val="en-GB"/>
        </w:rPr>
        <w:t>Odiyo</w:t>
      </w:r>
      <w:proofErr w:type="spellEnd"/>
      <w:r w:rsidRPr="0041134B">
        <w:rPr>
          <w:rFonts w:asciiTheme="majorBidi" w:hAnsiTheme="majorBidi" w:cstheme="majorBidi"/>
          <w:color w:val="000000" w:themeColor="text1"/>
          <w:lang w:val="en-GB"/>
        </w:rPr>
        <w:t xml:space="preserve">, J. O. (2020). Occurrence and health risk assessment of trace metals in geothermal springs of </w:t>
      </w:r>
      <w:proofErr w:type="spellStart"/>
      <w:r w:rsidRPr="0041134B">
        <w:rPr>
          <w:rFonts w:asciiTheme="majorBidi" w:hAnsiTheme="majorBidi" w:cstheme="majorBidi"/>
          <w:color w:val="000000" w:themeColor="text1"/>
          <w:lang w:val="en-GB"/>
        </w:rPr>
        <w:t>Soutpansberg</w:t>
      </w:r>
      <w:proofErr w:type="spellEnd"/>
      <w:r w:rsidRPr="0041134B">
        <w:rPr>
          <w:rFonts w:asciiTheme="majorBidi" w:hAnsiTheme="majorBidi" w:cstheme="majorBidi"/>
          <w:color w:val="000000" w:themeColor="text1"/>
          <w:lang w:val="en-GB"/>
        </w:rPr>
        <w:t xml:space="preserve">, Limpopo Province, South Africa. </w:t>
      </w:r>
      <w:r w:rsidRPr="0041134B">
        <w:rPr>
          <w:rFonts w:asciiTheme="majorBidi" w:hAnsiTheme="majorBidi" w:cstheme="majorBidi"/>
          <w:i/>
          <w:iCs/>
          <w:color w:val="000000" w:themeColor="text1"/>
          <w:lang w:val="en-GB"/>
        </w:rPr>
        <w:t>International Journal of Environmental Research and Public Health, 17</w:t>
      </w:r>
      <w:r w:rsidRPr="0041134B">
        <w:rPr>
          <w:rFonts w:asciiTheme="majorBidi" w:hAnsiTheme="majorBidi" w:cstheme="majorBidi"/>
          <w:color w:val="000000" w:themeColor="text1"/>
          <w:lang w:val="en-GB"/>
        </w:rPr>
        <w:t xml:space="preserve">(12), 4438. </w:t>
      </w:r>
      <w:hyperlink r:id="rId21" w:tgtFrame="_new" w:history="1">
        <w:r w:rsidRPr="0041134B">
          <w:rPr>
            <w:rStyle w:val="Hyperlink"/>
            <w:rFonts w:asciiTheme="majorBidi" w:hAnsiTheme="majorBidi" w:cstheme="majorBidi"/>
            <w:lang w:val="en-GB"/>
          </w:rPr>
          <w:t>https://doi.org/10.3390/ijerph17124438</w:t>
        </w:r>
      </w:hyperlink>
    </w:p>
    <w:p w14:paraId="33400869" w14:textId="77777777" w:rsidR="00D176FB" w:rsidRPr="0041134B" w:rsidRDefault="00D176FB" w:rsidP="0041134B">
      <w:pPr>
        <w:pStyle w:val="ListParagraph"/>
        <w:numPr>
          <w:ilvl w:val="0"/>
          <w:numId w:val="42"/>
        </w:numPr>
        <w:spacing w:line="360" w:lineRule="auto"/>
        <w:rPr>
          <w:rFonts w:asciiTheme="majorBidi" w:hAnsiTheme="majorBidi" w:cstheme="majorBidi"/>
          <w:color w:val="000000" w:themeColor="text1"/>
          <w:lang w:val="en-GB"/>
        </w:rPr>
      </w:pPr>
      <w:proofErr w:type="spellStart"/>
      <w:r w:rsidRPr="0041134B">
        <w:rPr>
          <w:rFonts w:asciiTheme="majorBidi" w:hAnsiTheme="majorBidi" w:cstheme="majorBidi"/>
          <w:color w:val="000000" w:themeColor="text1"/>
          <w:lang w:val="en-GB"/>
        </w:rPr>
        <w:t>Eldaw</w:t>
      </w:r>
      <w:proofErr w:type="spellEnd"/>
      <w:r w:rsidRPr="0041134B">
        <w:rPr>
          <w:rFonts w:asciiTheme="majorBidi" w:hAnsiTheme="majorBidi" w:cstheme="majorBidi"/>
          <w:color w:val="000000" w:themeColor="text1"/>
          <w:lang w:val="en-GB"/>
        </w:rPr>
        <w:t xml:space="preserve">, E., Huang, T., </w:t>
      </w:r>
      <w:proofErr w:type="spellStart"/>
      <w:r w:rsidRPr="0041134B">
        <w:rPr>
          <w:rFonts w:asciiTheme="majorBidi" w:hAnsiTheme="majorBidi" w:cstheme="majorBidi"/>
          <w:color w:val="000000" w:themeColor="text1"/>
          <w:lang w:val="en-GB"/>
        </w:rPr>
        <w:t>Elubid</w:t>
      </w:r>
      <w:proofErr w:type="spellEnd"/>
      <w:r w:rsidRPr="0041134B">
        <w:rPr>
          <w:rFonts w:asciiTheme="majorBidi" w:hAnsiTheme="majorBidi" w:cstheme="majorBidi"/>
          <w:color w:val="000000" w:themeColor="text1"/>
          <w:lang w:val="en-GB"/>
        </w:rPr>
        <w:t xml:space="preserve">, B., Khalifa </w:t>
      </w:r>
      <w:proofErr w:type="spellStart"/>
      <w:r w:rsidRPr="0041134B">
        <w:rPr>
          <w:rFonts w:asciiTheme="majorBidi" w:hAnsiTheme="majorBidi" w:cstheme="majorBidi"/>
          <w:color w:val="000000" w:themeColor="text1"/>
          <w:lang w:val="en-GB"/>
        </w:rPr>
        <w:t>Mahamed</w:t>
      </w:r>
      <w:proofErr w:type="spellEnd"/>
      <w:r w:rsidRPr="0041134B">
        <w:rPr>
          <w:rFonts w:asciiTheme="majorBidi" w:hAnsiTheme="majorBidi" w:cstheme="majorBidi"/>
          <w:color w:val="000000" w:themeColor="text1"/>
          <w:lang w:val="en-GB"/>
        </w:rPr>
        <w:t xml:space="preserve">, A., &amp; Mahama, Y. (2020). A novel approach for heavy metal pollution indexing to assess groundwater quality for human consumption. </w:t>
      </w:r>
      <w:r w:rsidRPr="0041134B">
        <w:rPr>
          <w:rFonts w:asciiTheme="majorBidi" w:hAnsiTheme="majorBidi" w:cstheme="majorBidi"/>
          <w:i/>
          <w:iCs/>
          <w:color w:val="000000" w:themeColor="text1"/>
          <w:lang w:val="en-GB"/>
        </w:rPr>
        <w:t>International Journal of Environmental Research and Public Health, 17</w:t>
      </w:r>
      <w:r w:rsidRPr="0041134B">
        <w:rPr>
          <w:rFonts w:asciiTheme="majorBidi" w:hAnsiTheme="majorBidi" w:cstheme="majorBidi"/>
          <w:color w:val="000000" w:themeColor="text1"/>
          <w:lang w:val="en-GB"/>
        </w:rPr>
        <w:t xml:space="preserve">, 1245. </w:t>
      </w:r>
      <w:hyperlink r:id="rId22" w:tgtFrame="_new" w:history="1">
        <w:r w:rsidRPr="0041134B">
          <w:rPr>
            <w:rStyle w:val="Hyperlink"/>
            <w:rFonts w:asciiTheme="majorBidi" w:hAnsiTheme="majorBidi" w:cstheme="majorBidi"/>
            <w:lang w:val="en-GB"/>
          </w:rPr>
          <w:t>https://doi.org/10.3390/ijerph17041245</w:t>
        </w:r>
      </w:hyperlink>
    </w:p>
    <w:p w14:paraId="3A8F755E" w14:textId="77777777" w:rsidR="00D176FB" w:rsidRPr="0041134B" w:rsidRDefault="00D176FB" w:rsidP="0041134B">
      <w:pPr>
        <w:pStyle w:val="ListParagraph"/>
        <w:numPr>
          <w:ilvl w:val="0"/>
          <w:numId w:val="42"/>
        </w:numPr>
        <w:spacing w:line="360" w:lineRule="auto"/>
        <w:rPr>
          <w:rFonts w:asciiTheme="majorBidi" w:hAnsiTheme="majorBidi" w:cstheme="majorBidi"/>
          <w:color w:val="000000" w:themeColor="text1"/>
          <w:lang w:val="en-GB"/>
        </w:rPr>
      </w:pPr>
      <w:r w:rsidRPr="0041134B">
        <w:rPr>
          <w:rFonts w:asciiTheme="majorBidi" w:hAnsiTheme="majorBidi" w:cstheme="majorBidi"/>
          <w:color w:val="000000" w:themeColor="text1"/>
          <w:lang w:val="en-GB"/>
        </w:rPr>
        <w:t xml:space="preserve">Emmanuel, U. C., </w:t>
      </w:r>
      <w:proofErr w:type="spellStart"/>
      <w:r w:rsidRPr="0041134B">
        <w:rPr>
          <w:rFonts w:asciiTheme="majorBidi" w:hAnsiTheme="majorBidi" w:cstheme="majorBidi"/>
          <w:color w:val="000000" w:themeColor="text1"/>
          <w:lang w:val="en-GB"/>
        </w:rPr>
        <w:t>Maduka</w:t>
      </w:r>
      <w:proofErr w:type="spellEnd"/>
      <w:r w:rsidRPr="0041134B">
        <w:rPr>
          <w:rFonts w:asciiTheme="majorBidi" w:hAnsiTheme="majorBidi" w:cstheme="majorBidi"/>
          <w:color w:val="000000" w:themeColor="text1"/>
          <w:lang w:val="en-GB"/>
        </w:rPr>
        <w:t xml:space="preserve">, I. C., </w:t>
      </w:r>
      <w:proofErr w:type="spellStart"/>
      <w:r w:rsidRPr="0041134B">
        <w:rPr>
          <w:rFonts w:asciiTheme="majorBidi" w:hAnsiTheme="majorBidi" w:cstheme="majorBidi"/>
          <w:color w:val="000000" w:themeColor="text1"/>
          <w:lang w:val="en-GB"/>
        </w:rPr>
        <w:t>Suru</w:t>
      </w:r>
      <w:proofErr w:type="spellEnd"/>
      <w:r w:rsidRPr="0041134B">
        <w:rPr>
          <w:rFonts w:asciiTheme="majorBidi" w:hAnsiTheme="majorBidi" w:cstheme="majorBidi"/>
          <w:color w:val="000000" w:themeColor="text1"/>
          <w:lang w:val="en-GB"/>
        </w:rPr>
        <w:t xml:space="preserve">, S. M., &amp; </w:t>
      </w:r>
      <w:proofErr w:type="spellStart"/>
      <w:r w:rsidRPr="0041134B">
        <w:rPr>
          <w:rFonts w:asciiTheme="majorBidi" w:hAnsiTheme="majorBidi" w:cstheme="majorBidi"/>
          <w:color w:val="000000" w:themeColor="text1"/>
          <w:lang w:val="en-GB"/>
        </w:rPr>
        <w:t>Anakwuo</w:t>
      </w:r>
      <w:proofErr w:type="spellEnd"/>
      <w:r w:rsidRPr="0041134B">
        <w:rPr>
          <w:rFonts w:asciiTheme="majorBidi" w:hAnsiTheme="majorBidi" w:cstheme="majorBidi"/>
          <w:color w:val="000000" w:themeColor="text1"/>
          <w:lang w:val="en-GB"/>
        </w:rPr>
        <w:t xml:space="preserve">, I. A. (2022). Human health risk assessment of heavy metals in drinking water sources in three senatorial districts of Anambra State, Nigeria. </w:t>
      </w:r>
      <w:r w:rsidRPr="0041134B">
        <w:rPr>
          <w:rFonts w:asciiTheme="majorBidi" w:hAnsiTheme="majorBidi" w:cstheme="majorBidi"/>
          <w:i/>
          <w:iCs/>
          <w:color w:val="000000" w:themeColor="text1"/>
          <w:lang w:val="en-GB"/>
        </w:rPr>
        <w:t>Toxicology Reports, 9</w:t>
      </w:r>
      <w:r w:rsidRPr="0041134B">
        <w:rPr>
          <w:rFonts w:asciiTheme="majorBidi" w:hAnsiTheme="majorBidi" w:cstheme="majorBidi"/>
          <w:color w:val="000000" w:themeColor="text1"/>
          <w:lang w:val="en-GB"/>
        </w:rPr>
        <w:t xml:space="preserve">, 869–875. </w:t>
      </w:r>
      <w:hyperlink r:id="rId23" w:tgtFrame="_new" w:history="1">
        <w:r w:rsidRPr="0041134B">
          <w:rPr>
            <w:rStyle w:val="Hyperlink"/>
            <w:rFonts w:asciiTheme="majorBidi" w:hAnsiTheme="majorBidi" w:cstheme="majorBidi"/>
            <w:lang w:val="en-GB"/>
          </w:rPr>
          <w:t>https://doi.org/10.1016/j.toxrep.2022.04.011</w:t>
        </w:r>
      </w:hyperlink>
    </w:p>
    <w:p w14:paraId="2C966D18" w14:textId="77777777" w:rsidR="00D176FB" w:rsidRPr="0041134B" w:rsidRDefault="00D176FB" w:rsidP="0041134B">
      <w:pPr>
        <w:pStyle w:val="ListParagraph"/>
        <w:numPr>
          <w:ilvl w:val="0"/>
          <w:numId w:val="42"/>
        </w:numPr>
        <w:spacing w:line="360" w:lineRule="auto"/>
        <w:rPr>
          <w:rFonts w:asciiTheme="majorBidi" w:hAnsiTheme="majorBidi" w:cstheme="majorBidi"/>
          <w:color w:val="000000" w:themeColor="text1"/>
          <w:lang w:val="en-GB"/>
        </w:rPr>
      </w:pPr>
      <w:r w:rsidRPr="0041134B">
        <w:rPr>
          <w:rFonts w:asciiTheme="majorBidi" w:hAnsiTheme="majorBidi" w:cstheme="majorBidi"/>
          <w:color w:val="000000" w:themeColor="text1"/>
          <w:lang w:val="en-GB"/>
        </w:rPr>
        <w:t xml:space="preserve">Gad, M., </w:t>
      </w:r>
      <w:proofErr w:type="spellStart"/>
      <w:r w:rsidRPr="0041134B">
        <w:rPr>
          <w:rFonts w:asciiTheme="majorBidi" w:hAnsiTheme="majorBidi" w:cstheme="majorBidi"/>
          <w:color w:val="000000" w:themeColor="text1"/>
          <w:lang w:val="en-GB"/>
        </w:rPr>
        <w:t>Gaagai</w:t>
      </w:r>
      <w:proofErr w:type="spellEnd"/>
      <w:r w:rsidRPr="0041134B">
        <w:rPr>
          <w:rFonts w:asciiTheme="majorBidi" w:hAnsiTheme="majorBidi" w:cstheme="majorBidi"/>
          <w:color w:val="000000" w:themeColor="text1"/>
          <w:lang w:val="en-GB"/>
        </w:rPr>
        <w:t xml:space="preserve">, A., </w:t>
      </w:r>
      <w:proofErr w:type="spellStart"/>
      <w:r w:rsidRPr="0041134B">
        <w:rPr>
          <w:rFonts w:asciiTheme="majorBidi" w:hAnsiTheme="majorBidi" w:cstheme="majorBidi"/>
          <w:color w:val="000000" w:themeColor="text1"/>
          <w:lang w:val="en-GB"/>
        </w:rPr>
        <w:t>Agrama</w:t>
      </w:r>
      <w:proofErr w:type="spellEnd"/>
      <w:r w:rsidRPr="0041134B">
        <w:rPr>
          <w:rFonts w:asciiTheme="majorBidi" w:hAnsiTheme="majorBidi" w:cstheme="majorBidi"/>
          <w:color w:val="000000" w:themeColor="text1"/>
          <w:lang w:val="en-GB"/>
        </w:rPr>
        <w:t>, A. A., El-</w:t>
      </w:r>
      <w:proofErr w:type="spellStart"/>
      <w:r w:rsidRPr="0041134B">
        <w:rPr>
          <w:rFonts w:asciiTheme="majorBidi" w:hAnsiTheme="majorBidi" w:cstheme="majorBidi"/>
          <w:color w:val="000000" w:themeColor="text1"/>
          <w:lang w:val="en-GB"/>
        </w:rPr>
        <w:t>Fiqy</w:t>
      </w:r>
      <w:proofErr w:type="spellEnd"/>
      <w:r w:rsidRPr="0041134B">
        <w:rPr>
          <w:rFonts w:asciiTheme="majorBidi" w:hAnsiTheme="majorBidi" w:cstheme="majorBidi"/>
          <w:color w:val="000000" w:themeColor="text1"/>
          <w:lang w:val="en-GB"/>
        </w:rPr>
        <w:t xml:space="preserve">, W. F. M., Eid, M. H., </w:t>
      </w:r>
      <w:proofErr w:type="spellStart"/>
      <w:r w:rsidRPr="0041134B">
        <w:rPr>
          <w:rFonts w:asciiTheme="majorBidi" w:hAnsiTheme="majorBidi" w:cstheme="majorBidi"/>
          <w:color w:val="000000" w:themeColor="text1"/>
          <w:lang w:val="en-GB"/>
        </w:rPr>
        <w:t>Szucs</w:t>
      </w:r>
      <w:proofErr w:type="spellEnd"/>
      <w:r w:rsidRPr="0041134B">
        <w:rPr>
          <w:rFonts w:asciiTheme="majorBidi" w:hAnsiTheme="majorBidi" w:cstheme="majorBidi"/>
          <w:color w:val="000000" w:themeColor="text1"/>
          <w:lang w:val="en-GB"/>
        </w:rPr>
        <w:t xml:space="preserve">, P., &amp; Ibrahim, H. (2024). Comprehensive evaluation and prediction of groundwater quality and risk indices using quantitative approaches, multivariate analysis, and machine learning models. </w:t>
      </w:r>
      <w:proofErr w:type="spellStart"/>
      <w:r w:rsidRPr="0041134B">
        <w:rPr>
          <w:rFonts w:asciiTheme="majorBidi" w:hAnsiTheme="majorBidi" w:cstheme="majorBidi"/>
          <w:i/>
          <w:iCs/>
          <w:color w:val="000000" w:themeColor="text1"/>
          <w:lang w:val="en-GB"/>
        </w:rPr>
        <w:t>Heliyon</w:t>
      </w:r>
      <w:proofErr w:type="spellEnd"/>
      <w:r w:rsidRPr="0041134B">
        <w:rPr>
          <w:rFonts w:asciiTheme="majorBidi" w:hAnsiTheme="majorBidi" w:cstheme="majorBidi"/>
          <w:i/>
          <w:iCs/>
          <w:color w:val="000000" w:themeColor="text1"/>
          <w:lang w:val="en-GB"/>
        </w:rPr>
        <w:t>, 10</w:t>
      </w:r>
      <w:r w:rsidRPr="0041134B">
        <w:rPr>
          <w:rFonts w:asciiTheme="majorBidi" w:hAnsiTheme="majorBidi" w:cstheme="majorBidi"/>
          <w:color w:val="000000" w:themeColor="text1"/>
          <w:lang w:val="en-GB"/>
        </w:rPr>
        <w:t xml:space="preserve">, e36606. </w:t>
      </w:r>
      <w:hyperlink r:id="rId24" w:tgtFrame="_new" w:history="1">
        <w:r w:rsidRPr="0041134B">
          <w:rPr>
            <w:rStyle w:val="Hyperlink"/>
            <w:rFonts w:asciiTheme="majorBidi" w:hAnsiTheme="majorBidi" w:cstheme="majorBidi"/>
            <w:lang w:val="en-GB"/>
          </w:rPr>
          <w:t>https://doi.org/10.1016/j.heliyon.2024.e36606</w:t>
        </w:r>
      </w:hyperlink>
    </w:p>
    <w:p w14:paraId="21E3F24F" w14:textId="77777777" w:rsidR="00D176FB" w:rsidRPr="0041134B" w:rsidRDefault="00D176FB" w:rsidP="0041134B">
      <w:pPr>
        <w:pStyle w:val="ListParagraph"/>
        <w:numPr>
          <w:ilvl w:val="0"/>
          <w:numId w:val="42"/>
        </w:numPr>
        <w:spacing w:line="360" w:lineRule="auto"/>
        <w:rPr>
          <w:rFonts w:asciiTheme="majorBidi" w:hAnsiTheme="majorBidi" w:cstheme="majorBidi"/>
          <w:color w:val="000000" w:themeColor="text1"/>
          <w:lang w:val="en-GB"/>
        </w:rPr>
      </w:pPr>
      <w:proofErr w:type="spellStart"/>
      <w:r w:rsidRPr="0041134B">
        <w:rPr>
          <w:rFonts w:asciiTheme="majorBidi" w:hAnsiTheme="majorBidi" w:cstheme="majorBidi"/>
          <w:color w:val="000000" w:themeColor="text1"/>
          <w:lang w:val="en-GB"/>
        </w:rPr>
        <w:t>Hartiningsih</w:t>
      </w:r>
      <w:proofErr w:type="spellEnd"/>
      <w:r w:rsidRPr="0041134B">
        <w:rPr>
          <w:rFonts w:asciiTheme="majorBidi" w:hAnsiTheme="majorBidi" w:cstheme="majorBidi"/>
          <w:color w:val="000000" w:themeColor="text1"/>
          <w:lang w:val="en-GB"/>
        </w:rPr>
        <w:t xml:space="preserve">, D., Diana, S., </w:t>
      </w:r>
      <w:proofErr w:type="spellStart"/>
      <w:r w:rsidRPr="0041134B">
        <w:rPr>
          <w:rFonts w:asciiTheme="majorBidi" w:hAnsiTheme="majorBidi" w:cstheme="majorBidi"/>
          <w:color w:val="000000" w:themeColor="text1"/>
          <w:lang w:val="en-GB"/>
        </w:rPr>
        <w:t>Yuniarti</w:t>
      </w:r>
      <w:proofErr w:type="spellEnd"/>
      <w:r w:rsidRPr="0041134B">
        <w:rPr>
          <w:rFonts w:asciiTheme="majorBidi" w:hAnsiTheme="majorBidi" w:cstheme="majorBidi"/>
          <w:color w:val="000000" w:themeColor="text1"/>
          <w:lang w:val="en-GB"/>
        </w:rPr>
        <w:t xml:space="preserve">, M. S., Ismail, M. R., &amp; Sari, Q. W. (2024). Water pollution indices for assessing heavy metal contamination: A case study of Cirebon estuarine waters before and after the COVID-19 pandemic. </w:t>
      </w:r>
      <w:r w:rsidRPr="0041134B">
        <w:rPr>
          <w:rFonts w:asciiTheme="majorBidi" w:hAnsiTheme="majorBidi" w:cstheme="majorBidi"/>
          <w:i/>
          <w:iCs/>
          <w:color w:val="000000" w:themeColor="text1"/>
          <w:lang w:val="en-GB"/>
        </w:rPr>
        <w:t>Environmental Sustainability Indicators, 21</w:t>
      </w:r>
      <w:r w:rsidRPr="0041134B">
        <w:rPr>
          <w:rFonts w:asciiTheme="majorBidi" w:hAnsiTheme="majorBidi" w:cstheme="majorBidi"/>
          <w:color w:val="000000" w:themeColor="text1"/>
          <w:lang w:val="en-GB"/>
        </w:rPr>
        <w:t xml:space="preserve">, 100318. </w:t>
      </w:r>
      <w:hyperlink r:id="rId25" w:tgtFrame="_new" w:history="1">
        <w:r w:rsidRPr="0041134B">
          <w:rPr>
            <w:rStyle w:val="Hyperlink"/>
            <w:rFonts w:asciiTheme="majorBidi" w:hAnsiTheme="majorBidi" w:cstheme="majorBidi"/>
            <w:lang w:val="en-GB"/>
          </w:rPr>
          <w:t>https://doi.org/10.1016/j.indic.2023.100318</w:t>
        </w:r>
      </w:hyperlink>
    </w:p>
    <w:p w14:paraId="40D38A34" w14:textId="77777777" w:rsidR="00D176FB" w:rsidRPr="0041134B" w:rsidRDefault="00D176FB" w:rsidP="0041134B">
      <w:pPr>
        <w:pStyle w:val="ListParagraph"/>
        <w:numPr>
          <w:ilvl w:val="0"/>
          <w:numId w:val="42"/>
        </w:numPr>
        <w:spacing w:line="360" w:lineRule="auto"/>
        <w:rPr>
          <w:rFonts w:asciiTheme="majorBidi" w:hAnsiTheme="majorBidi" w:cstheme="majorBidi"/>
          <w:color w:val="000000" w:themeColor="text1"/>
        </w:rPr>
      </w:pPr>
      <w:proofErr w:type="spellStart"/>
      <w:r w:rsidRPr="0041134B">
        <w:rPr>
          <w:rFonts w:asciiTheme="majorBidi" w:hAnsiTheme="majorBidi" w:cstheme="majorBidi"/>
          <w:color w:val="000000" w:themeColor="text1"/>
          <w:lang w:val="en-GB"/>
        </w:rPr>
        <w:lastRenderedPageBreak/>
        <w:t>Jaishankar</w:t>
      </w:r>
      <w:proofErr w:type="spellEnd"/>
      <w:r w:rsidRPr="0041134B">
        <w:rPr>
          <w:rFonts w:asciiTheme="majorBidi" w:hAnsiTheme="majorBidi" w:cstheme="majorBidi"/>
          <w:color w:val="000000" w:themeColor="text1"/>
          <w:lang w:val="en-GB"/>
        </w:rPr>
        <w:t xml:space="preserve">, M., </w:t>
      </w:r>
      <w:proofErr w:type="spellStart"/>
      <w:r w:rsidRPr="0041134B">
        <w:rPr>
          <w:rFonts w:asciiTheme="majorBidi" w:hAnsiTheme="majorBidi" w:cstheme="majorBidi"/>
          <w:color w:val="000000" w:themeColor="text1"/>
          <w:lang w:val="en-GB"/>
        </w:rPr>
        <w:t>Tseten</w:t>
      </w:r>
      <w:proofErr w:type="spellEnd"/>
      <w:r w:rsidRPr="0041134B">
        <w:rPr>
          <w:rFonts w:asciiTheme="majorBidi" w:hAnsiTheme="majorBidi" w:cstheme="majorBidi"/>
          <w:color w:val="000000" w:themeColor="text1"/>
          <w:lang w:val="en-GB"/>
        </w:rPr>
        <w:t xml:space="preserve">, T., </w:t>
      </w:r>
      <w:proofErr w:type="spellStart"/>
      <w:r w:rsidRPr="0041134B">
        <w:rPr>
          <w:rFonts w:asciiTheme="majorBidi" w:hAnsiTheme="majorBidi" w:cstheme="majorBidi"/>
          <w:color w:val="000000" w:themeColor="text1"/>
          <w:lang w:val="en-GB"/>
        </w:rPr>
        <w:t>Anbalagan</w:t>
      </w:r>
      <w:proofErr w:type="spellEnd"/>
      <w:r w:rsidRPr="0041134B">
        <w:rPr>
          <w:rFonts w:asciiTheme="majorBidi" w:hAnsiTheme="majorBidi" w:cstheme="majorBidi"/>
          <w:color w:val="000000" w:themeColor="text1"/>
          <w:lang w:val="en-GB"/>
        </w:rPr>
        <w:t xml:space="preserve">, N., Mathew, B. B., &amp; </w:t>
      </w:r>
      <w:proofErr w:type="spellStart"/>
      <w:r w:rsidRPr="0041134B">
        <w:rPr>
          <w:rFonts w:asciiTheme="majorBidi" w:hAnsiTheme="majorBidi" w:cstheme="majorBidi"/>
          <w:color w:val="000000" w:themeColor="text1"/>
          <w:lang w:val="en-GB"/>
        </w:rPr>
        <w:t>Beeregowda</w:t>
      </w:r>
      <w:proofErr w:type="spellEnd"/>
      <w:r w:rsidRPr="0041134B">
        <w:rPr>
          <w:rFonts w:asciiTheme="majorBidi" w:hAnsiTheme="majorBidi" w:cstheme="majorBidi"/>
          <w:color w:val="000000" w:themeColor="text1"/>
          <w:lang w:val="en-GB"/>
        </w:rPr>
        <w:t xml:space="preserve">, K. N. (2014). Toxicity, mechanism, and health effects of selected heavy metals. </w:t>
      </w:r>
      <w:r w:rsidRPr="0041134B">
        <w:rPr>
          <w:rFonts w:asciiTheme="majorBidi" w:hAnsiTheme="majorBidi" w:cstheme="majorBidi"/>
          <w:i/>
          <w:iCs/>
          <w:color w:val="000000" w:themeColor="text1"/>
          <w:lang w:val="en-GB"/>
        </w:rPr>
        <w:t>Interdisciplinary Toxicology, 7</w:t>
      </w:r>
      <w:r w:rsidRPr="0041134B">
        <w:rPr>
          <w:rFonts w:asciiTheme="majorBidi" w:hAnsiTheme="majorBidi" w:cstheme="majorBidi"/>
          <w:color w:val="000000" w:themeColor="text1"/>
          <w:lang w:val="en-GB"/>
        </w:rPr>
        <w:t xml:space="preserve">(2), 60–72. </w:t>
      </w:r>
      <w:hyperlink r:id="rId26" w:tgtFrame="_new" w:history="1">
        <w:r w:rsidRPr="0041134B">
          <w:rPr>
            <w:rStyle w:val="Hyperlink"/>
            <w:rFonts w:asciiTheme="majorBidi" w:hAnsiTheme="majorBidi" w:cstheme="majorBidi"/>
          </w:rPr>
          <w:t>https://doi.org/10.2478/intox-2014-0009</w:t>
        </w:r>
      </w:hyperlink>
    </w:p>
    <w:p w14:paraId="0E69CE00" w14:textId="77777777" w:rsidR="00D176FB" w:rsidRPr="0041134B" w:rsidRDefault="00D176FB" w:rsidP="0041134B">
      <w:pPr>
        <w:pStyle w:val="ListParagraph"/>
        <w:numPr>
          <w:ilvl w:val="0"/>
          <w:numId w:val="42"/>
        </w:numPr>
        <w:spacing w:line="360" w:lineRule="auto"/>
        <w:rPr>
          <w:rFonts w:asciiTheme="majorBidi" w:hAnsiTheme="majorBidi" w:cstheme="majorBidi"/>
          <w:color w:val="000000" w:themeColor="text1"/>
          <w:lang w:val="en-GB"/>
        </w:rPr>
      </w:pPr>
      <w:proofErr w:type="spellStart"/>
      <w:r w:rsidRPr="0041134B">
        <w:rPr>
          <w:rFonts w:asciiTheme="majorBidi" w:hAnsiTheme="majorBidi" w:cstheme="majorBidi"/>
          <w:color w:val="000000" w:themeColor="text1"/>
        </w:rPr>
        <w:t>Kpegli</w:t>
      </w:r>
      <w:proofErr w:type="spellEnd"/>
      <w:r w:rsidRPr="0041134B">
        <w:rPr>
          <w:rFonts w:asciiTheme="majorBidi" w:hAnsiTheme="majorBidi" w:cstheme="majorBidi"/>
          <w:color w:val="000000" w:themeColor="text1"/>
        </w:rPr>
        <w:t xml:space="preserve">, K. A. R., </w:t>
      </w:r>
      <w:proofErr w:type="spellStart"/>
      <w:r w:rsidRPr="0041134B">
        <w:rPr>
          <w:rFonts w:asciiTheme="majorBidi" w:hAnsiTheme="majorBidi" w:cstheme="majorBidi"/>
          <w:color w:val="000000" w:themeColor="text1"/>
        </w:rPr>
        <w:t>Adandedji</w:t>
      </w:r>
      <w:proofErr w:type="spellEnd"/>
      <w:r w:rsidRPr="0041134B">
        <w:rPr>
          <w:rFonts w:asciiTheme="majorBidi" w:hAnsiTheme="majorBidi" w:cstheme="majorBidi"/>
          <w:color w:val="000000" w:themeColor="text1"/>
        </w:rPr>
        <w:t xml:space="preserve">, F., </w:t>
      </w:r>
      <w:proofErr w:type="spellStart"/>
      <w:r w:rsidRPr="0041134B">
        <w:rPr>
          <w:rFonts w:asciiTheme="majorBidi" w:hAnsiTheme="majorBidi" w:cstheme="majorBidi"/>
          <w:color w:val="000000" w:themeColor="text1"/>
        </w:rPr>
        <w:t>Ahouandogbo</w:t>
      </w:r>
      <w:proofErr w:type="spellEnd"/>
      <w:r w:rsidRPr="0041134B">
        <w:rPr>
          <w:rFonts w:asciiTheme="majorBidi" w:hAnsiTheme="majorBidi" w:cstheme="majorBidi"/>
          <w:color w:val="000000" w:themeColor="text1"/>
        </w:rPr>
        <w:t xml:space="preserve">, C., </w:t>
      </w:r>
      <w:proofErr w:type="spellStart"/>
      <w:r w:rsidRPr="0041134B">
        <w:rPr>
          <w:rFonts w:asciiTheme="majorBidi" w:hAnsiTheme="majorBidi" w:cstheme="majorBidi"/>
          <w:color w:val="000000" w:themeColor="text1"/>
        </w:rPr>
        <w:t>Djihouessi</w:t>
      </w:r>
      <w:proofErr w:type="spellEnd"/>
      <w:r w:rsidRPr="0041134B">
        <w:rPr>
          <w:rFonts w:asciiTheme="majorBidi" w:hAnsiTheme="majorBidi" w:cstheme="majorBidi"/>
          <w:color w:val="000000" w:themeColor="text1"/>
        </w:rPr>
        <w:t xml:space="preserve">, M. B., </w:t>
      </w:r>
      <w:proofErr w:type="spellStart"/>
      <w:r w:rsidRPr="0041134B">
        <w:rPr>
          <w:rFonts w:asciiTheme="majorBidi" w:hAnsiTheme="majorBidi" w:cstheme="majorBidi"/>
          <w:color w:val="000000" w:themeColor="text1"/>
        </w:rPr>
        <w:t>Hounkpe</w:t>
      </w:r>
      <w:proofErr w:type="spellEnd"/>
      <w:r w:rsidRPr="0041134B">
        <w:rPr>
          <w:rFonts w:asciiTheme="majorBidi" w:hAnsiTheme="majorBidi" w:cstheme="majorBidi"/>
          <w:color w:val="000000" w:themeColor="text1"/>
        </w:rPr>
        <w:t>, J., N’</w:t>
      </w:r>
      <w:proofErr w:type="spellStart"/>
      <w:r w:rsidRPr="0041134B">
        <w:rPr>
          <w:rFonts w:asciiTheme="majorBidi" w:hAnsiTheme="majorBidi" w:cstheme="majorBidi"/>
          <w:color w:val="000000" w:themeColor="text1"/>
        </w:rPr>
        <w:t>Tcha</w:t>
      </w:r>
      <w:proofErr w:type="spellEnd"/>
      <w:r w:rsidRPr="0041134B">
        <w:rPr>
          <w:rFonts w:asciiTheme="majorBidi" w:hAnsiTheme="majorBidi" w:cstheme="majorBidi"/>
          <w:color w:val="000000" w:themeColor="text1"/>
        </w:rPr>
        <w:t xml:space="preserve"> M’Po, Y., Bossa, A. Y., Alassane, A., </w:t>
      </w:r>
      <w:proofErr w:type="spellStart"/>
      <w:r w:rsidRPr="0041134B">
        <w:rPr>
          <w:rFonts w:asciiTheme="majorBidi" w:hAnsiTheme="majorBidi" w:cstheme="majorBidi"/>
          <w:color w:val="000000" w:themeColor="text1"/>
        </w:rPr>
        <w:t>Sintondji</w:t>
      </w:r>
      <w:proofErr w:type="spellEnd"/>
      <w:r w:rsidRPr="0041134B">
        <w:rPr>
          <w:rFonts w:asciiTheme="majorBidi" w:hAnsiTheme="majorBidi" w:cstheme="majorBidi"/>
          <w:color w:val="000000" w:themeColor="text1"/>
        </w:rPr>
        <w:t xml:space="preserve">, L. O., Mama, D., &amp; </w:t>
      </w:r>
      <w:proofErr w:type="spellStart"/>
      <w:r w:rsidRPr="0041134B">
        <w:rPr>
          <w:rFonts w:asciiTheme="majorBidi" w:hAnsiTheme="majorBidi" w:cstheme="majorBidi"/>
          <w:color w:val="000000" w:themeColor="text1"/>
        </w:rPr>
        <w:t>Boukari</w:t>
      </w:r>
      <w:proofErr w:type="spellEnd"/>
      <w:r w:rsidRPr="0041134B">
        <w:rPr>
          <w:rFonts w:asciiTheme="majorBidi" w:hAnsiTheme="majorBidi" w:cstheme="majorBidi"/>
          <w:color w:val="000000" w:themeColor="text1"/>
        </w:rPr>
        <w:t xml:space="preserve">, M. (2024). </w:t>
      </w:r>
      <w:r w:rsidRPr="0041134B">
        <w:rPr>
          <w:rFonts w:asciiTheme="majorBidi" w:hAnsiTheme="majorBidi" w:cstheme="majorBidi"/>
          <w:color w:val="000000" w:themeColor="text1"/>
          <w:lang w:val="en-GB"/>
        </w:rPr>
        <w:t xml:space="preserve">Groundwater recharge assessment in central Benin: The case of the </w:t>
      </w:r>
      <w:proofErr w:type="spellStart"/>
      <w:r w:rsidRPr="0041134B">
        <w:rPr>
          <w:rFonts w:asciiTheme="majorBidi" w:hAnsiTheme="majorBidi" w:cstheme="majorBidi"/>
          <w:color w:val="000000" w:themeColor="text1"/>
          <w:lang w:val="en-GB"/>
        </w:rPr>
        <w:t>Collines</w:t>
      </w:r>
      <w:proofErr w:type="spellEnd"/>
      <w:r w:rsidRPr="0041134B">
        <w:rPr>
          <w:rFonts w:asciiTheme="majorBidi" w:hAnsiTheme="majorBidi" w:cstheme="majorBidi"/>
          <w:color w:val="000000" w:themeColor="text1"/>
          <w:lang w:val="en-GB"/>
        </w:rPr>
        <w:t xml:space="preserve"> region (West Africa). </w:t>
      </w:r>
      <w:r w:rsidRPr="0041134B">
        <w:rPr>
          <w:rFonts w:asciiTheme="majorBidi" w:hAnsiTheme="majorBidi" w:cstheme="majorBidi"/>
          <w:i/>
          <w:iCs/>
          <w:color w:val="000000" w:themeColor="text1"/>
          <w:lang w:val="en-GB"/>
        </w:rPr>
        <w:t>Water, 16</w:t>
      </w:r>
      <w:r w:rsidRPr="0041134B">
        <w:rPr>
          <w:rFonts w:asciiTheme="majorBidi" w:hAnsiTheme="majorBidi" w:cstheme="majorBidi"/>
          <w:color w:val="000000" w:themeColor="text1"/>
          <w:lang w:val="en-GB"/>
        </w:rPr>
        <w:t xml:space="preserve">(10), 1330. </w:t>
      </w:r>
      <w:hyperlink r:id="rId27" w:tgtFrame="_new" w:history="1">
        <w:r w:rsidRPr="0041134B">
          <w:rPr>
            <w:rStyle w:val="Hyperlink"/>
            <w:rFonts w:asciiTheme="majorBidi" w:hAnsiTheme="majorBidi" w:cstheme="majorBidi"/>
            <w:lang w:val="en-GB"/>
          </w:rPr>
          <w:t>https://doi.org/10.3390/w16101330</w:t>
        </w:r>
      </w:hyperlink>
    </w:p>
    <w:p w14:paraId="0C109910" w14:textId="77777777" w:rsidR="00D176FB" w:rsidRPr="0041134B" w:rsidRDefault="00D176FB" w:rsidP="0041134B">
      <w:pPr>
        <w:pStyle w:val="ListParagraph"/>
        <w:numPr>
          <w:ilvl w:val="0"/>
          <w:numId w:val="42"/>
        </w:numPr>
        <w:spacing w:line="360" w:lineRule="auto"/>
        <w:rPr>
          <w:rFonts w:asciiTheme="majorBidi" w:hAnsiTheme="majorBidi" w:cstheme="majorBidi"/>
          <w:color w:val="000000" w:themeColor="text1"/>
          <w:lang w:val="en-GB"/>
        </w:rPr>
      </w:pPr>
      <w:r w:rsidRPr="0041134B">
        <w:rPr>
          <w:rFonts w:asciiTheme="majorBidi" w:hAnsiTheme="majorBidi" w:cstheme="majorBidi"/>
          <w:color w:val="000000" w:themeColor="text1"/>
          <w:lang w:val="en-GB"/>
        </w:rPr>
        <w:t xml:space="preserve">Latif, M., Nasim, I., Ahmad, M., Nawaz, R., Tahir, A., Irshad, M. A., … </w:t>
      </w:r>
      <w:proofErr w:type="spellStart"/>
      <w:r w:rsidRPr="0041134B">
        <w:rPr>
          <w:rFonts w:asciiTheme="majorBidi" w:hAnsiTheme="majorBidi" w:cstheme="majorBidi"/>
          <w:color w:val="000000" w:themeColor="text1"/>
          <w:lang w:val="en-GB"/>
        </w:rPr>
        <w:t>Zaki</w:t>
      </w:r>
      <w:proofErr w:type="spellEnd"/>
      <w:r w:rsidRPr="0041134B">
        <w:rPr>
          <w:rFonts w:asciiTheme="majorBidi" w:hAnsiTheme="majorBidi" w:cstheme="majorBidi"/>
          <w:color w:val="000000" w:themeColor="text1"/>
          <w:lang w:val="en-GB"/>
        </w:rPr>
        <w:t xml:space="preserve">, M. E. A. (2025). Human health risk assessment of drinking water using heavy metal pollution index: A GIS-based study in a megacity. </w:t>
      </w:r>
      <w:r w:rsidRPr="0041134B">
        <w:rPr>
          <w:rFonts w:asciiTheme="majorBidi" w:hAnsiTheme="majorBidi" w:cstheme="majorBidi"/>
          <w:i/>
          <w:iCs/>
          <w:color w:val="000000" w:themeColor="text1"/>
          <w:lang w:val="en-GB"/>
        </w:rPr>
        <w:t>Applied Water Science, 15</w:t>
      </w:r>
      <w:r w:rsidRPr="0041134B">
        <w:rPr>
          <w:rFonts w:asciiTheme="majorBidi" w:hAnsiTheme="majorBidi" w:cstheme="majorBidi"/>
          <w:color w:val="000000" w:themeColor="text1"/>
          <w:lang w:val="en-GB"/>
        </w:rPr>
        <w:t xml:space="preserve">, 12. </w:t>
      </w:r>
      <w:hyperlink r:id="rId28" w:tgtFrame="_new" w:history="1">
        <w:r w:rsidRPr="0041134B">
          <w:rPr>
            <w:rStyle w:val="Hyperlink"/>
            <w:rFonts w:asciiTheme="majorBidi" w:hAnsiTheme="majorBidi" w:cstheme="majorBidi"/>
            <w:lang w:val="en-GB"/>
          </w:rPr>
          <w:t>https://doi.org/10.1007/s13201-024-02341-w</w:t>
        </w:r>
      </w:hyperlink>
    </w:p>
    <w:p w14:paraId="73CCC417" w14:textId="77777777" w:rsidR="00D176FB" w:rsidRPr="0041134B" w:rsidRDefault="00D176FB" w:rsidP="0041134B">
      <w:pPr>
        <w:pStyle w:val="ListParagraph"/>
        <w:numPr>
          <w:ilvl w:val="0"/>
          <w:numId w:val="42"/>
        </w:numPr>
        <w:spacing w:line="360" w:lineRule="auto"/>
        <w:rPr>
          <w:rFonts w:asciiTheme="majorBidi" w:hAnsiTheme="majorBidi" w:cstheme="majorBidi"/>
          <w:color w:val="000000" w:themeColor="text1"/>
          <w:lang w:val="en-GB"/>
        </w:rPr>
      </w:pPr>
      <w:r w:rsidRPr="0041134B">
        <w:rPr>
          <w:rFonts w:asciiTheme="majorBidi" w:hAnsiTheme="majorBidi" w:cstheme="majorBidi"/>
          <w:color w:val="000000" w:themeColor="text1"/>
          <w:lang w:val="en-GB"/>
        </w:rPr>
        <w:t xml:space="preserve">Liu, Y., Sun, H., Ding, M., Jia, D., Li, Z., An, J., … Zhao, Z. (2025). Risk evaluation of heavy metal pollution in groundwater in the arid region of Xining, Qinghai Province. </w:t>
      </w:r>
      <w:r w:rsidRPr="0041134B">
        <w:rPr>
          <w:rFonts w:asciiTheme="majorBidi" w:hAnsiTheme="majorBidi" w:cstheme="majorBidi"/>
          <w:i/>
          <w:iCs/>
          <w:color w:val="000000" w:themeColor="text1"/>
          <w:lang w:val="en-GB"/>
        </w:rPr>
        <w:t>China Geology, 8</w:t>
      </w:r>
      <w:r w:rsidRPr="0041134B">
        <w:rPr>
          <w:rFonts w:asciiTheme="majorBidi" w:hAnsiTheme="majorBidi" w:cstheme="majorBidi"/>
          <w:color w:val="000000" w:themeColor="text1"/>
          <w:lang w:val="en-GB"/>
        </w:rPr>
        <w:t>, 526–539</w:t>
      </w:r>
    </w:p>
    <w:p w14:paraId="118B98ED" w14:textId="77777777" w:rsidR="00D176FB" w:rsidRPr="0041134B" w:rsidRDefault="00D176FB" w:rsidP="0041134B">
      <w:pPr>
        <w:pStyle w:val="ListParagraph"/>
        <w:numPr>
          <w:ilvl w:val="0"/>
          <w:numId w:val="42"/>
        </w:numPr>
        <w:spacing w:line="360" w:lineRule="auto"/>
        <w:rPr>
          <w:rFonts w:asciiTheme="majorBidi" w:hAnsiTheme="majorBidi" w:cstheme="majorBidi"/>
          <w:color w:val="000000" w:themeColor="text1"/>
        </w:rPr>
      </w:pPr>
      <w:r w:rsidRPr="0041134B">
        <w:rPr>
          <w:rFonts w:asciiTheme="majorBidi" w:hAnsiTheme="majorBidi" w:cstheme="majorBidi"/>
          <w:color w:val="000000" w:themeColor="text1"/>
          <w:lang w:val="en-GB"/>
        </w:rPr>
        <w:t xml:space="preserve">Majumdar, A., &amp; </w:t>
      </w:r>
      <w:proofErr w:type="spellStart"/>
      <w:r w:rsidRPr="0041134B">
        <w:rPr>
          <w:rFonts w:asciiTheme="majorBidi" w:hAnsiTheme="majorBidi" w:cstheme="majorBidi"/>
          <w:color w:val="000000" w:themeColor="text1"/>
          <w:lang w:val="en-GB"/>
        </w:rPr>
        <w:t>Avishek</w:t>
      </w:r>
      <w:proofErr w:type="spellEnd"/>
      <w:r w:rsidRPr="0041134B">
        <w:rPr>
          <w:rFonts w:asciiTheme="majorBidi" w:hAnsiTheme="majorBidi" w:cstheme="majorBidi"/>
          <w:color w:val="000000" w:themeColor="text1"/>
          <w:lang w:val="en-GB"/>
        </w:rPr>
        <w:t xml:space="preserve">, K. (2024). Assessment of heavy metal and physicochemical pollutant load in the </w:t>
      </w:r>
      <w:proofErr w:type="spellStart"/>
      <w:r w:rsidRPr="0041134B">
        <w:rPr>
          <w:rFonts w:asciiTheme="majorBidi" w:hAnsiTheme="majorBidi" w:cstheme="majorBidi"/>
          <w:color w:val="000000" w:themeColor="text1"/>
          <w:lang w:val="en-GB"/>
        </w:rPr>
        <w:t>Danro</w:t>
      </w:r>
      <w:proofErr w:type="spellEnd"/>
      <w:r w:rsidRPr="0041134B">
        <w:rPr>
          <w:rFonts w:asciiTheme="majorBidi" w:hAnsiTheme="majorBidi" w:cstheme="majorBidi"/>
          <w:color w:val="000000" w:themeColor="text1"/>
          <w:lang w:val="en-GB"/>
        </w:rPr>
        <w:t xml:space="preserve"> River and its management through floating-bed remediation. </w:t>
      </w:r>
      <w:r w:rsidRPr="0041134B">
        <w:rPr>
          <w:rFonts w:asciiTheme="majorBidi" w:hAnsiTheme="majorBidi" w:cstheme="majorBidi"/>
          <w:i/>
          <w:iCs/>
          <w:color w:val="000000" w:themeColor="text1"/>
        </w:rPr>
        <w:t>Scientific Reports, 14</w:t>
      </w:r>
      <w:r w:rsidRPr="0041134B">
        <w:rPr>
          <w:rFonts w:asciiTheme="majorBidi" w:hAnsiTheme="majorBidi" w:cstheme="majorBidi"/>
          <w:color w:val="000000" w:themeColor="text1"/>
        </w:rPr>
        <w:t xml:space="preserve">, 9885. </w:t>
      </w:r>
      <w:hyperlink r:id="rId29" w:tgtFrame="_new" w:history="1">
        <w:r w:rsidRPr="0041134B">
          <w:rPr>
            <w:rStyle w:val="Hyperlink"/>
            <w:rFonts w:asciiTheme="majorBidi" w:hAnsiTheme="majorBidi" w:cstheme="majorBidi"/>
          </w:rPr>
          <w:t>https://doi.org/10.1038/s41598-024-60511-x</w:t>
        </w:r>
      </w:hyperlink>
    </w:p>
    <w:p w14:paraId="3376653C" w14:textId="77777777" w:rsidR="00D176FB" w:rsidRPr="0041134B" w:rsidRDefault="00D176FB" w:rsidP="0041134B">
      <w:pPr>
        <w:pStyle w:val="ListParagraph"/>
        <w:numPr>
          <w:ilvl w:val="0"/>
          <w:numId w:val="42"/>
        </w:numPr>
        <w:spacing w:line="360" w:lineRule="auto"/>
        <w:rPr>
          <w:rFonts w:asciiTheme="majorBidi" w:hAnsiTheme="majorBidi" w:cstheme="majorBidi"/>
          <w:color w:val="000000" w:themeColor="text1"/>
          <w:lang w:val="en-GB"/>
        </w:rPr>
      </w:pPr>
      <w:proofErr w:type="spellStart"/>
      <w:r w:rsidRPr="0041134B">
        <w:rPr>
          <w:rFonts w:asciiTheme="majorBidi" w:hAnsiTheme="majorBidi" w:cstheme="majorBidi"/>
          <w:color w:val="000000" w:themeColor="text1"/>
        </w:rPr>
        <w:t>Mthembu</w:t>
      </w:r>
      <w:proofErr w:type="spellEnd"/>
      <w:r w:rsidRPr="0041134B">
        <w:rPr>
          <w:rFonts w:asciiTheme="majorBidi" w:hAnsiTheme="majorBidi" w:cstheme="majorBidi"/>
          <w:color w:val="000000" w:themeColor="text1"/>
        </w:rPr>
        <w:t xml:space="preserve">, P. P., </w:t>
      </w:r>
      <w:proofErr w:type="spellStart"/>
      <w:r w:rsidRPr="0041134B">
        <w:rPr>
          <w:rFonts w:asciiTheme="majorBidi" w:hAnsiTheme="majorBidi" w:cstheme="majorBidi"/>
          <w:color w:val="000000" w:themeColor="text1"/>
        </w:rPr>
        <w:t>Elumalai</w:t>
      </w:r>
      <w:proofErr w:type="spellEnd"/>
      <w:r w:rsidRPr="0041134B">
        <w:rPr>
          <w:rFonts w:asciiTheme="majorBidi" w:hAnsiTheme="majorBidi" w:cstheme="majorBidi"/>
          <w:color w:val="000000" w:themeColor="text1"/>
        </w:rPr>
        <w:t xml:space="preserve">, V., Li, P., et al. </w:t>
      </w:r>
      <w:r w:rsidRPr="0041134B">
        <w:rPr>
          <w:rFonts w:asciiTheme="majorBidi" w:hAnsiTheme="majorBidi" w:cstheme="majorBidi"/>
          <w:color w:val="000000" w:themeColor="text1"/>
          <w:lang w:val="en-GB"/>
        </w:rPr>
        <w:t xml:space="preserve">(2022). Integrating heavy metal pollution indices and human health risk assessment in semi-arid coastal aquifers of South Africa. </w:t>
      </w:r>
      <w:r w:rsidRPr="0041134B">
        <w:rPr>
          <w:rFonts w:asciiTheme="majorBidi" w:hAnsiTheme="majorBidi" w:cstheme="majorBidi"/>
          <w:i/>
          <w:iCs/>
          <w:color w:val="000000" w:themeColor="text1"/>
          <w:lang w:val="en-GB"/>
        </w:rPr>
        <w:t>Exposure and Health, 14</w:t>
      </w:r>
      <w:r w:rsidRPr="0041134B">
        <w:rPr>
          <w:rFonts w:asciiTheme="majorBidi" w:hAnsiTheme="majorBidi" w:cstheme="majorBidi"/>
          <w:color w:val="000000" w:themeColor="text1"/>
          <w:lang w:val="en-GB"/>
        </w:rPr>
        <w:t xml:space="preserve">, 487–502. </w:t>
      </w:r>
      <w:hyperlink r:id="rId30" w:tgtFrame="_new" w:history="1">
        <w:r w:rsidRPr="0041134B">
          <w:rPr>
            <w:rStyle w:val="Hyperlink"/>
            <w:rFonts w:asciiTheme="majorBidi" w:hAnsiTheme="majorBidi" w:cstheme="majorBidi"/>
            <w:lang w:val="en-GB"/>
          </w:rPr>
          <w:t>https://doi.org/10.1007/s12403-022-00478-0</w:t>
        </w:r>
      </w:hyperlink>
    </w:p>
    <w:p w14:paraId="60167DEB" w14:textId="77777777" w:rsidR="00D176FB" w:rsidRPr="0041134B" w:rsidRDefault="00D176FB" w:rsidP="0041134B">
      <w:pPr>
        <w:pStyle w:val="ListParagraph"/>
        <w:numPr>
          <w:ilvl w:val="0"/>
          <w:numId w:val="42"/>
        </w:numPr>
        <w:spacing w:line="360" w:lineRule="auto"/>
        <w:rPr>
          <w:rFonts w:asciiTheme="majorBidi" w:hAnsiTheme="majorBidi" w:cstheme="majorBidi"/>
          <w:color w:val="000000" w:themeColor="text1"/>
          <w:lang w:val="en-GB"/>
        </w:rPr>
      </w:pPr>
      <w:r w:rsidRPr="0041134B">
        <w:rPr>
          <w:rFonts w:asciiTheme="majorBidi" w:hAnsiTheme="majorBidi" w:cstheme="majorBidi"/>
          <w:color w:val="000000" w:themeColor="text1"/>
          <w:lang w:val="en-GB"/>
        </w:rPr>
        <w:t xml:space="preserve">World Health Organization (WHO). (2017). </w:t>
      </w:r>
      <w:r w:rsidRPr="0041134B">
        <w:rPr>
          <w:rFonts w:asciiTheme="majorBidi" w:hAnsiTheme="majorBidi" w:cstheme="majorBidi"/>
          <w:i/>
          <w:iCs/>
          <w:color w:val="000000" w:themeColor="text1"/>
          <w:lang w:val="en-GB"/>
        </w:rPr>
        <w:t>Guidelines for Drinking-water Quality: Fourth Edition incorporating the first addendum.</w:t>
      </w:r>
      <w:r w:rsidRPr="0041134B">
        <w:rPr>
          <w:rFonts w:asciiTheme="majorBidi" w:hAnsiTheme="majorBidi" w:cstheme="majorBidi"/>
          <w:color w:val="000000" w:themeColor="text1"/>
          <w:lang w:val="en-GB"/>
        </w:rPr>
        <w:t xml:space="preserve"> Geneva. </w:t>
      </w:r>
      <w:hyperlink r:id="rId31" w:tgtFrame="_new" w:history="1">
        <w:r w:rsidRPr="0041134B">
          <w:rPr>
            <w:rStyle w:val="Hyperlink"/>
            <w:rFonts w:asciiTheme="majorBidi" w:hAnsiTheme="majorBidi" w:cstheme="majorBidi"/>
            <w:lang w:val="en-GB"/>
          </w:rPr>
          <w:t>https://www.who.int/fr/publications/i/item/9789241549950</w:t>
        </w:r>
      </w:hyperlink>
    </w:p>
    <w:p w14:paraId="59E99961" w14:textId="77777777" w:rsidR="00D176FB" w:rsidRPr="0041134B" w:rsidRDefault="00D176FB" w:rsidP="0041134B">
      <w:pPr>
        <w:pStyle w:val="ListParagraph"/>
        <w:numPr>
          <w:ilvl w:val="0"/>
          <w:numId w:val="42"/>
        </w:numPr>
        <w:spacing w:line="360" w:lineRule="auto"/>
        <w:rPr>
          <w:rFonts w:asciiTheme="majorBidi" w:hAnsiTheme="majorBidi" w:cstheme="majorBidi"/>
          <w:color w:val="000000" w:themeColor="text1"/>
          <w:lang w:val="en-GB"/>
        </w:rPr>
      </w:pPr>
      <w:r w:rsidRPr="0041134B">
        <w:rPr>
          <w:rFonts w:asciiTheme="majorBidi" w:hAnsiTheme="majorBidi" w:cstheme="majorBidi"/>
          <w:color w:val="000000" w:themeColor="text1"/>
          <w:lang w:val="en-GB"/>
        </w:rPr>
        <w:t xml:space="preserve">World Health Organization (WHO). (2021). </w:t>
      </w:r>
      <w:r w:rsidRPr="0041134B">
        <w:rPr>
          <w:rFonts w:asciiTheme="majorBidi" w:hAnsiTheme="majorBidi" w:cstheme="majorBidi"/>
          <w:i/>
          <w:iCs/>
          <w:color w:val="000000" w:themeColor="text1"/>
          <w:lang w:val="en-GB"/>
        </w:rPr>
        <w:t>Children and digital waste: Exposure to waste from electrical and electronic equipment and child health.</w:t>
      </w:r>
      <w:r w:rsidRPr="0041134B">
        <w:rPr>
          <w:rFonts w:asciiTheme="majorBidi" w:hAnsiTheme="majorBidi" w:cstheme="majorBidi"/>
          <w:color w:val="000000" w:themeColor="text1"/>
          <w:lang w:val="en-GB"/>
        </w:rPr>
        <w:t xml:space="preserve"> Geneva. </w:t>
      </w:r>
      <w:hyperlink r:id="rId32" w:tgtFrame="_new" w:history="1">
        <w:r w:rsidRPr="0041134B">
          <w:rPr>
            <w:rStyle w:val="Hyperlink"/>
            <w:rFonts w:asciiTheme="majorBidi" w:hAnsiTheme="majorBidi" w:cstheme="majorBidi"/>
            <w:lang w:val="en-GB"/>
          </w:rPr>
          <w:t>https://www.who.int/fr/publications/i/item/9789240023901</w:t>
        </w:r>
      </w:hyperlink>
    </w:p>
    <w:p w14:paraId="71AE057D" w14:textId="77777777" w:rsidR="00D176FB" w:rsidRPr="0041134B" w:rsidRDefault="00D176FB" w:rsidP="0041134B">
      <w:pPr>
        <w:pStyle w:val="ListParagraph"/>
        <w:numPr>
          <w:ilvl w:val="0"/>
          <w:numId w:val="42"/>
        </w:numPr>
        <w:spacing w:line="360" w:lineRule="auto"/>
        <w:rPr>
          <w:rFonts w:asciiTheme="majorBidi" w:hAnsiTheme="majorBidi" w:cstheme="majorBidi"/>
          <w:color w:val="000000" w:themeColor="text1"/>
          <w:lang w:val="en-GB"/>
        </w:rPr>
      </w:pPr>
      <w:r w:rsidRPr="0041134B">
        <w:rPr>
          <w:rFonts w:asciiTheme="majorBidi" w:hAnsiTheme="majorBidi" w:cstheme="majorBidi"/>
          <w:color w:val="000000" w:themeColor="text1"/>
          <w:lang w:val="en-GB"/>
        </w:rPr>
        <w:t xml:space="preserve">Rajkumar, H., Naik, P. K., &amp; Rishi, M. S. (2020). A new indexing approach for evaluating heavy metal contamination in groundwater. </w:t>
      </w:r>
      <w:r w:rsidRPr="0041134B">
        <w:rPr>
          <w:rFonts w:asciiTheme="majorBidi" w:hAnsiTheme="majorBidi" w:cstheme="majorBidi"/>
          <w:i/>
          <w:iCs/>
          <w:color w:val="000000" w:themeColor="text1"/>
          <w:lang w:val="en-GB"/>
        </w:rPr>
        <w:t>Chemosphere, 246</w:t>
      </w:r>
      <w:r w:rsidRPr="0041134B">
        <w:rPr>
          <w:rFonts w:asciiTheme="majorBidi" w:hAnsiTheme="majorBidi" w:cstheme="majorBidi"/>
          <w:color w:val="000000" w:themeColor="text1"/>
          <w:lang w:val="en-GB"/>
        </w:rPr>
        <w:t xml:space="preserve">, 125598. </w:t>
      </w:r>
      <w:hyperlink r:id="rId33" w:tgtFrame="_new" w:history="1">
        <w:r w:rsidRPr="0041134B">
          <w:rPr>
            <w:rStyle w:val="Hyperlink"/>
            <w:rFonts w:asciiTheme="majorBidi" w:hAnsiTheme="majorBidi" w:cstheme="majorBidi"/>
            <w:lang w:val="en-GB"/>
          </w:rPr>
          <w:t>https://doi.org/10.1016/j.chemosphere.2019.125598</w:t>
        </w:r>
      </w:hyperlink>
    </w:p>
    <w:p w14:paraId="3C1571CA" w14:textId="77777777" w:rsidR="00D176FB" w:rsidRPr="0041134B" w:rsidRDefault="00D176FB" w:rsidP="0041134B">
      <w:pPr>
        <w:pStyle w:val="ListParagraph"/>
        <w:numPr>
          <w:ilvl w:val="0"/>
          <w:numId w:val="42"/>
        </w:numPr>
        <w:spacing w:line="360" w:lineRule="auto"/>
        <w:rPr>
          <w:rFonts w:asciiTheme="majorBidi" w:hAnsiTheme="majorBidi" w:cstheme="majorBidi"/>
          <w:color w:val="000000" w:themeColor="text1"/>
        </w:rPr>
      </w:pPr>
      <w:r w:rsidRPr="0041134B">
        <w:rPr>
          <w:rFonts w:asciiTheme="majorBidi" w:hAnsiTheme="majorBidi" w:cstheme="majorBidi"/>
          <w:color w:val="000000" w:themeColor="text1"/>
          <w:lang w:val="en-GB"/>
        </w:rPr>
        <w:t xml:space="preserve">Sanad, H., </w:t>
      </w:r>
      <w:proofErr w:type="spellStart"/>
      <w:r w:rsidRPr="0041134B">
        <w:rPr>
          <w:rFonts w:asciiTheme="majorBidi" w:hAnsiTheme="majorBidi" w:cstheme="majorBidi"/>
          <w:color w:val="000000" w:themeColor="text1"/>
          <w:lang w:val="en-GB"/>
        </w:rPr>
        <w:t>Moussadek</w:t>
      </w:r>
      <w:proofErr w:type="spellEnd"/>
      <w:r w:rsidRPr="0041134B">
        <w:rPr>
          <w:rFonts w:asciiTheme="majorBidi" w:hAnsiTheme="majorBidi" w:cstheme="majorBidi"/>
          <w:color w:val="000000" w:themeColor="text1"/>
          <w:lang w:val="en-GB"/>
        </w:rPr>
        <w:t xml:space="preserve">, R., </w:t>
      </w:r>
      <w:proofErr w:type="spellStart"/>
      <w:r w:rsidRPr="0041134B">
        <w:rPr>
          <w:rFonts w:asciiTheme="majorBidi" w:hAnsiTheme="majorBidi" w:cstheme="majorBidi"/>
          <w:color w:val="000000" w:themeColor="text1"/>
          <w:lang w:val="en-GB"/>
        </w:rPr>
        <w:t>Dakak</w:t>
      </w:r>
      <w:proofErr w:type="spellEnd"/>
      <w:r w:rsidRPr="0041134B">
        <w:rPr>
          <w:rFonts w:asciiTheme="majorBidi" w:hAnsiTheme="majorBidi" w:cstheme="majorBidi"/>
          <w:color w:val="000000" w:themeColor="text1"/>
          <w:lang w:val="en-GB"/>
        </w:rPr>
        <w:t xml:space="preserve">, H., </w:t>
      </w:r>
      <w:proofErr w:type="spellStart"/>
      <w:r w:rsidRPr="0041134B">
        <w:rPr>
          <w:rFonts w:asciiTheme="majorBidi" w:hAnsiTheme="majorBidi" w:cstheme="majorBidi"/>
          <w:color w:val="000000" w:themeColor="text1"/>
          <w:lang w:val="en-GB"/>
        </w:rPr>
        <w:t>Zouahri</w:t>
      </w:r>
      <w:proofErr w:type="spellEnd"/>
      <w:r w:rsidRPr="0041134B">
        <w:rPr>
          <w:rFonts w:asciiTheme="majorBidi" w:hAnsiTheme="majorBidi" w:cstheme="majorBidi"/>
          <w:color w:val="000000" w:themeColor="text1"/>
          <w:lang w:val="en-GB"/>
        </w:rPr>
        <w:t xml:space="preserve">, A., </w:t>
      </w:r>
      <w:proofErr w:type="spellStart"/>
      <w:r w:rsidRPr="0041134B">
        <w:rPr>
          <w:rFonts w:asciiTheme="majorBidi" w:hAnsiTheme="majorBidi" w:cstheme="majorBidi"/>
          <w:color w:val="000000" w:themeColor="text1"/>
          <w:lang w:val="en-GB"/>
        </w:rPr>
        <w:t>Oueld</w:t>
      </w:r>
      <w:proofErr w:type="spellEnd"/>
      <w:r w:rsidRPr="0041134B">
        <w:rPr>
          <w:rFonts w:asciiTheme="majorBidi" w:hAnsiTheme="majorBidi" w:cstheme="majorBidi"/>
          <w:color w:val="000000" w:themeColor="text1"/>
          <w:lang w:val="en-GB"/>
        </w:rPr>
        <w:t xml:space="preserve"> </w:t>
      </w:r>
      <w:proofErr w:type="spellStart"/>
      <w:r w:rsidRPr="0041134B">
        <w:rPr>
          <w:rFonts w:asciiTheme="majorBidi" w:hAnsiTheme="majorBidi" w:cstheme="majorBidi"/>
          <w:color w:val="000000" w:themeColor="text1"/>
          <w:lang w:val="en-GB"/>
        </w:rPr>
        <w:t>Lhaj</w:t>
      </w:r>
      <w:proofErr w:type="spellEnd"/>
      <w:r w:rsidRPr="0041134B">
        <w:rPr>
          <w:rFonts w:asciiTheme="majorBidi" w:hAnsiTheme="majorBidi" w:cstheme="majorBidi"/>
          <w:color w:val="000000" w:themeColor="text1"/>
          <w:lang w:val="en-GB"/>
        </w:rPr>
        <w:t xml:space="preserve">, M., &amp; </w:t>
      </w:r>
      <w:proofErr w:type="spellStart"/>
      <w:r w:rsidRPr="0041134B">
        <w:rPr>
          <w:rFonts w:asciiTheme="majorBidi" w:hAnsiTheme="majorBidi" w:cstheme="majorBidi"/>
          <w:color w:val="000000" w:themeColor="text1"/>
          <w:lang w:val="en-GB"/>
        </w:rPr>
        <w:t>Mouhir</w:t>
      </w:r>
      <w:proofErr w:type="spellEnd"/>
      <w:r w:rsidRPr="0041134B">
        <w:rPr>
          <w:rFonts w:asciiTheme="majorBidi" w:hAnsiTheme="majorBidi" w:cstheme="majorBidi"/>
          <w:color w:val="000000" w:themeColor="text1"/>
          <w:lang w:val="en-GB"/>
        </w:rPr>
        <w:t xml:space="preserve">, L. (2024). Ecological and health risk assessment of heavy metals in groundwater of an </w:t>
      </w:r>
      <w:r w:rsidRPr="0041134B">
        <w:rPr>
          <w:rFonts w:asciiTheme="majorBidi" w:hAnsiTheme="majorBidi" w:cstheme="majorBidi"/>
          <w:color w:val="000000" w:themeColor="text1"/>
          <w:lang w:val="en-GB"/>
        </w:rPr>
        <w:lastRenderedPageBreak/>
        <w:t xml:space="preserve">agricultural ecosystem using GIS and multivariate statistical analysis. </w:t>
      </w:r>
      <w:r w:rsidRPr="0041134B">
        <w:rPr>
          <w:rFonts w:asciiTheme="majorBidi" w:hAnsiTheme="majorBidi" w:cstheme="majorBidi"/>
          <w:i/>
          <w:iCs/>
          <w:color w:val="000000" w:themeColor="text1"/>
        </w:rPr>
        <w:t>Water, 16</w:t>
      </w:r>
      <w:r w:rsidRPr="0041134B">
        <w:rPr>
          <w:rFonts w:asciiTheme="majorBidi" w:hAnsiTheme="majorBidi" w:cstheme="majorBidi"/>
          <w:color w:val="000000" w:themeColor="text1"/>
        </w:rPr>
        <w:t xml:space="preserve">(7), 2417. </w:t>
      </w:r>
      <w:hyperlink r:id="rId34" w:tgtFrame="_new" w:history="1">
        <w:r w:rsidRPr="0041134B">
          <w:rPr>
            <w:rStyle w:val="Hyperlink"/>
            <w:rFonts w:asciiTheme="majorBidi" w:hAnsiTheme="majorBidi" w:cstheme="majorBidi"/>
          </w:rPr>
          <w:t>https://doi.org/10.3390/w16172417</w:t>
        </w:r>
      </w:hyperlink>
    </w:p>
    <w:p w14:paraId="1DBB2315" w14:textId="77777777" w:rsidR="00D176FB" w:rsidRPr="0041134B" w:rsidRDefault="00D176FB" w:rsidP="0041134B">
      <w:pPr>
        <w:pStyle w:val="ListParagraph"/>
        <w:numPr>
          <w:ilvl w:val="0"/>
          <w:numId w:val="42"/>
        </w:numPr>
        <w:spacing w:line="360" w:lineRule="auto"/>
        <w:rPr>
          <w:rFonts w:asciiTheme="majorBidi" w:hAnsiTheme="majorBidi" w:cstheme="majorBidi"/>
          <w:color w:val="000000" w:themeColor="text1"/>
          <w:lang w:val="en-GB"/>
        </w:rPr>
      </w:pPr>
      <w:proofErr w:type="spellStart"/>
      <w:r w:rsidRPr="0041134B">
        <w:rPr>
          <w:rFonts w:asciiTheme="majorBidi" w:hAnsiTheme="majorBidi" w:cstheme="majorBidi"/>
          <w:color w:val="000000" w:themeColor="text1"/>
        </w:rPr>
        <w:t>Sbai</w:t>
      </w:r>
      <w:proofErr w:type="spellEnd"/>
      <w:r w:rsidRPr="0041134B">
        <w:rPr>
          <w:rFonts w:asciiTheme="majorBidi" w:hAnsiTheme="majorBidi" w:cstheme="majorBidi"/>
          <w:color w:val="000000" w:themeColor="text1"/>
        </w:rPr>
        <w:t xml:space="preserve">, K., </w:t>
      </w:r>
      <w:proofErr w:type="spellStart"/>
      <w:r w:rsidRPr="0041134B">
        <w:rPr>
          <w:rFonts w:asciiTheme="majorBidi" w:hAnsiTheme="majorBidi" w:cstheme="majorBidi"/>
          <w:color w:val="000000" w:themeColor="text1"/>
        </w:rPr>
        <w:t>Tahri</w:t>
      </w:r>
      <w:proofErr w:type="spellEnd"/>
      <w:r w:rsidRPr="0041134B">
        <w:rPr>
          <w:rFonts w:asciiTheme="majorBidi" w:hAnsiTheme="majorBidi" w:cstheme="majorBidi"/>
          <w:color w:val="000000" w:themeColor="text1"/>
        </w:rPr>
        <w:t xml:space="preserve">, L., </w:t>
      </w:r>
      <w:proofErr w:type="spellStart"/>
      <w:r w:rsidRPr="0041134B">
        <w:rPr>
          <w:rFonts w:asciiTheme="majorBidi" w:hAnsiTheme="majorBidi" w:cstheme="majorBidi"/>
          <w:color w:val="000000" w:themeColor="text1"/>
        </w:rPr>
        <w:t>Ghoumari</w:t>
      </w:r>
      <w:proofErr w:type="spellEnd"/>
      <w:r w:rsidRPr="0041134B">
        <w:rPr>
          <w:rFonts w:asciiTheme="majorBidi" w:hAnsiTheme="majorBidi" w:cstheme="majorBidi"/>
          <w:color w:val="000000" w:themeColor="text1"/>
        </w:rPr>
        <w:t xml:space="preserve">, A., </w:t>
      </w:r>
      <w:proofErr w:type="spellStart"/>
      <w:r w:rsidRPr="0041134B">
        <w:rPr>
          <w:rFonts w:asciiTheme="majorBidi" w:hAnsiTheme="majorBidi" w:cstheme="majorBidi"/>
          <w:color w:val="000000" w:themeColor="text1"/>
        </w:rPr>
        <w:t>Hssaida</w:t>
      </w:r>
      <w:proofErr w:type="spellEnd"/>
      <w:r w:rsidRPr="0041134B">
        <w:rPr>
          <w:rFonts w:asciiTheme="majorBidi" w:hAnsiTheme="majorBidi" w:cstheme="majorBidi"/>
          <w:color w:val="000000" w:themeColor="text1"/>
        </w:rPr>
        <w:t xml:space="preserve">, H., </w:t>
      </w:r>
      <w:proofErr w:type="spellStart"/>
      <w:r w:rsidRPr="0041134B">
        <w:rPr>
          <w:rFonts w:asciiTheme="majorBidi" w:hAnsiTheme="majorBidi" w:cstheme="majorBidi"/>
          <w:color w:val="000000" w:themeColor="text1"/>
        </w:rPr>
        <w:t>Essahlaoui</w:t>
      </w:r>
      <w:proofErr w:type="spellEnd"/>
      <w:r w:rsidRPr="0041134B">
        <w:rPr>
          <w:rFonts w:asciiTheme="majorBidi" w:hAnsiTheme="majorBidi" w:cstheme="majorBidi"/>
          <w:color w:val="000000" w:themeColor="text1"/>
        </w:rPr>
        <w:t xml:space="preserve">, A., &amp; Moussaoui, Y. (2024). </w:t>
      </w:r>
      <w:r w:rsidRPr="0041134B">
        <w:rPr>
          <w:rFonts w:asciiTheme="majorBidi" w:hAnsiTheme="majorBidi" w:cstheme="majorBidi"/>
          <w:color w:val="000000" w:themeColor="text1"/>
          <w:lang w:val="en-GB"/>
        </w:rPr>
        <w:t xml:space="preserve">Water contamination by heavy metals in the </w:t>
      </w:r>
      <w:proofErr w:type="spellStart"/>
      <w:r w:rsidRPr="0041134B">
        <w:rPr>
          <w:rFonts w:asciiTheme="majorBidi" w:hAnsiTheme="majorBidi" w:cstheme="majorBidi"/>
          <w:color w:val="000000" w:themeColor="text1"/>
          <w:lang w:val="en-GB"/>
        </w:rPr>
        <w:t>Moulouya</w:t>
      </w:r>
      <w:proofErr w:type="spellEnd"/>
      <w:r w:rsidRPr="0041134B">
        <w:rPr>
          <w:rFonts w:asciiTheme="majorBidi" w:hAnsiTheme="majorBidi" w:cstheme="majorBidi"/>
          <w:color w:val="000000" w:themeColor="text1"/>
          <w:lang w:val="en-GB"/>
        </w:rPr>
        <w:t xml:space="preserve"> Plain and risk assessment (MI, HPI, HQ, HI &amp; CR). </w:t>
      </w:r>
      <w:r w:rsidRPr="0041134B">
        <w:rPr>
          <w:rFonts w:asciiTheme="majorBidi" w:hAnsiTheme="majorBidi" w:cstheme="majorBidi"/>
          <w:i/>
          <w:iCs/>
          <w:color w:val="000000" w:themeColor="text1"/>
          <w:lang w:val="en-GB"/>
        </w:rPr>
        <w:t>Journal of Water and Land Development, 260</w:t>
      </w:r>
      <w:r w:rsidRPr="0041134B">
        <w:rPr>
          <w:rFonts w:asciiTheme="majorBidi" w:hAnsiTheme="majorBidi" w:cstheme="majorBidi"/>
          <w:color w:val="000000" w:themeColor="text1"/>
          <w:lang w:val="en-GB"/>
        </w:rPr>
        <w:t xml:space="preserve">, 73–85. </w:t>
      </w:r>
      <w:hyperlink r:id="rId35" w:tgtFrame="_new" w:history="1">
        <w:r w:rsidRPr="0041134B">
          <w:rPr>
            <w:rStyle w:val="Hyperlink"/>
            <w:rFonts w:asciiTheme="majorBidi" w:hAnsiTheme="majorBidi" w:cstheme="majorBidi"/>
            <w:lang w:val="en-GB"/>
          </w:rPr>
          <w:t>https://doi.org/10.24425/jwld.2024.150272</w:t>
        </w:r>
      </w:hyperlink>
    </w:p>
    <w:p w14:paraId="2F3DA828" w14:textId="77777777" w:rsidR="00D176FB" w:rsidRPr="0041134B" w:rsidRDefault="00D176FB" w:rsidP="0041134B">
      <w:pPr>
        <w:pStyle w:val="ListParagraph"/>
        <w:numPr>
          <w:ilvl w:val="0"/>
          <w:numId w:val="42"/>
        </w:numPr>
        <w:spacing w:line="360" w:lineRule="auto"/>
        <w:rPr>
          <w:rFonts w:asciiTheme="majorBidi" w:hAnsiTheme="majorBidi" w:cstheme="majorBidi"/>
          <w:color w:val="000000" w:themeColor="text1"/>
          <w:lang w:val="en-GB"/>
        </w:rPr>
      </w:pPr>
      <w:r w:rsidRPr="0041134B">
        <w:rPr>
          <w:rFonts w:asciiTheme="majorBidi" w:hAnsiTheme="majorBidi" w:cstheme="majorBidi"/>
          <w:color w:val="000000" w:themeColor="text1"/>
          <w:lang w:val="en-GB"/>
        </w:rPr>
        <w:t xml:space="preserve">Shankar, B. S. (2019). Critical analysis of the heavy metal pollution index of groundwater in the </w:t>
      </w:r>
      <w:proofErr w:type="spellStart"/>
      <w:r w:rsidRPr="0041134B">
        <w:rPr>
          <w:rFonts w:asciiTheme="majorBidi" w:hAnsiTheme="majorBidi" w:cstheme="majorBidi"/>
          <w:color w:val="000000" w:themeColor="text1"/>
          <w:lang w:val="en-GB"/>
        </w:rPr>
        <w:t>Peenya</w:t>
      </w:r>
      <w:proofErr w:type="spellEnd"/>
      <w:r w:rsidRPr="0041134B">
        <w:rPr>
          <w:rFonts w:asciiTheme="majorBidi" w:hAnsiTheme="majorBidi" w:cstheme="majorBidi"/>
          <w:color w:val="000000" w:themeColor="text1"/>
          <w:lang w:val="en-GB"/>
        </w:rPr>
        <w:t xml:space="preserve"> industrial area, Bangalore, India. </w:t>
      </w:r>
      <w:r w:rsidRPr="0041134B">
        <w:rPr>
          <w:rFonts w:asciiTheme="majorBidi" w:hAnsiTheme="majorBidi" w:cstheme="majorBidi"/>
          <w:i/>
          <w:iCs/>
          <w:color w:val="000000" w:themeColor="text1"/>
          <w:lang w:val="en-GB"/>
        </w:rPr>
        <w:t>Environmental Monitoring and Assessment, 191</w:t>
      </w:r>
      <w:r w:rsidRPr="0041134B">
        <w:rPr>
          <w:rFonts w:asciiTheme="majorBidi" w:hAnsiTheme="majorBidi" w:cstheme="majorBidi"/>
          <w:color w:val="000000" w:themeColor="text1"/>
          <w:lang w:val="en-GB"/>
        </w:rPr>
        <w:t xml:space="preserve">, 289. </w:t>
      </w:r>
      <w:hyperlink r:id="rId36" w:tgtFrame="_new" w:history="1">
        <w:r w:rsidRPr="0041134B">
          <w:rPr>
            <w:rStyle w:val="Hyperlink"/>
            <w:rFonts w:asciiTheme="majorBidi" w:hAnsiTheme="majorBidi" w:cstheme="majorBidi"/>
            <w:lang w:val="en-GB"/>
          </w:rPr>
          <w:t>https://doi.org/10.1007/s10661-019-7453-9</w:t>
        </w:r>
      </w:hyperlink>
    </w:p>
    <w:p w14:paraId="6B68E3F7" w14:textId="77777777" w:rsidR="00D176FB" w:rsidRPr="0041134B" w:rsidRDefault="00D176FB" w:rsidP="0041134B">
      <w:pPr>
        <w:pStyle w:val="ListParagraph"/>
        <w:numPr>
          <w:ilvl w:val="0"/>
          <w:numId w:val="42"/>
        </w:numPr>
        <w:spacing w:line="360" w:lineRule="auto"/>
        <w:rPr>
          <w:rFonts w:asciiTheme="majorBidi" w:hAnsiTheme="majorBidi" w:cstheme="majorBidi"/>
          <w:color w:val="000000" w:themeColor="text1"/>
          <w:lang w:val="en-GB"/>
        </w:rPr>
      </w:pPr>
      <w:r w:rsidRPr="0041134B">
        <w:rPr>
          <w:rFonts w:asciiTheme="majorBidi" w:hAnsiTheme="majorBidi" w:cstheme="majorBidi"/>
          <w:color w:val="000000" w:themeColor="text1"/>
          <w:lang w:val="en-GB"/>
        </w:rPr>
        <w:t xml:space="preserve">Shehu, A., </w:t>
      </w:r>
      <w:proofErr w:type="spellStart"/>
      <w:r w:rsidRPr="0041134B">
        <w:rPr>
          <w:rFonts w:asciiTheme="majorBidi" w:hAnsiTheme="majorBidi" w:cstheme="majorBidi"/>
          <w:color w:val="000000" w:themeColor="text1"/>
          <w:lang w:val="en-GB"/>
        </w:rPr>
        <w:t>Vasjari</w:t>
      </w:r>
      <w:proofErr w:type="spellEnd"/>
      <w:r w:rsidRPr="0041134B">
        <w:rPr>
          <w:rFonts w:asciiTheme="majorBidi" w:hAnsiTheme="majorBidi" w:cstheme="majorBidi"/>
          <w:color w:val="000000" w:themeColor="text1"/>
          <w:lang w:val="en-GB"/>
        </w:rPr>
        <w:t xml:space="preserve">, M., </w:t>
      </w:r>
      <w:proofErr w:type="spellStart"/>
      <w:r w:rsidRPr="0041134B">
        <w:rPr>
          <w:rFonts w:asciiTheme="majorBidi" w:hAnsiTheme="majorBidi" w:cstheme="majorBidi"/>
          <w:color w:val="000000" w:themeColor="text1"/>
          <w:lang w:val="en-GB"/>
        </w:rPr>
        <w:t>Duka</w:t>
      </w:r>
      <w:proofErr w:type="spellEnd"/>
      <w:r w:rsidRPr="0041134B">
        <w:rPr>
          <w:rFonts w:asciiTheme="majorBidi" w:hAnsiTheme="majorBidi" w:cstheme="majorBidi"/>
          <w:color w:val="000000" w:themeColor="text1"/>
          <w:lang w:val="en-GB"/>
        </w:rPr>
        <w:t xml:space="preserve">, S., </w:t>
      </w:r>
      <w:proofErr w:type="spellStart"/>
      <w:r w:rsidRPr="0041134B">
        <w:rPr>
          <w:rFonts w:asciiTheme="majorBidi" w:hAnsiTheme="majorBidi" w:cstheme="majorBidi"/>
          <w:color w:val="000000" w:themeColor="text1"/>
          <w:lang w:val="en-GB"/>
        </w:rPr>
        <w:t>Vallja</w:t>
      </w:r>
      <w:proofErr w:type="spellEnd"/>
      <w:r w:rsidRPr="0041134B">
        <w:rPr>
          <w:rFonts w:asciiTheme="majorBidi" w:hAnsiTheme="majorBidi" w:cstheme="majorBidi"/>
          <w:color w:val="000000" w:themeColor="text1"/>
          <w:lang w:val="en-GB"/>
        </w:rPr>
        <w:t xml:space="preserve">, L., </w:t>
      </w:r>
      <w:proofErr w:type="spellStart"/>
      <w:r w:rsidRPr="0041134B">
        <w:rPr>
          <w:rFonts w:asciiTheme="majorBidi" w:hAnsiTheme="majorBidi" w:cstheme="majorBidi"/>
          <w:color w:val="000000" w:themeColor="text1"/>
          <w:lang w:val="en-GB"/>
        </w:rPr>
        <w:t>Broli</w:t>
      </w:r>
      <w:proofErr w:type="spellEnd"/>
      <w:r w:rsidRPr="0041134B">
        <w:rPr>
          <w:rFonts w:asciiTheme="majorBidi" w:hAnsiTheme="majorBidi" w:cstheme="majorBidi"/>
          <w:color w:val="000000" w:themeColor="text1"/>
          <w:lang w:val="en-GB"/>
        </w:rPr>
        <w:t xml:space="preserve">, N., &amp; </w:t>
      </w:r>
      <w:proofErr w:type="spellStart"/>
      <w:r w:rsidRPr="0041134B">
        <w:rPr>
          <w:rFonts w:asciiTheme="majorBidi" w:hAnsiTheme="majorBidi" w:cstheme="majorBidi"/>
          <w:color w:val="000000" w:themeColor="text1"/>
          <w:lang w:val="en-GB"/>
        </w:rPr>
        <w:t>Cenolli</w:t>
      </w:r>
      <w:proofErr w:type="spellEnd"/>
      <w:r w:rsidRPr="0041134B">
        <w:rPr>
          <w:rFonts w:asciiTheme="majorBidi" w:hAnsiTheme="majorBidi" w:cstheme="majorBidi"/>
          <w:color w:val="000000" w:themeColor="text1"/>
          <w:lang w:val="en-GB"/>
        </w:rPr>
        <w:t xml:space="preserve">, S. (2022). Assessment of health risks induced by heavy metal contents in drinking water. </w:t>
      </w:r>
      <w:r w:rsidRPr="0041134B">
        <w:rPr>
          <w:rFonts w:asciiTheme="majorBidi" w:hAnsiTheme="majorBidi" w:cstheme="majorBidi"/>
          <w:i/>
          <w:iCs/>
          <w:color w:val="000000" w:themeColor="text1"/>
          <w:lang w:val="en-GB"/>
        </w:rPr>
        <w:t>Journal of Water, Sanitation and Hygiene for Development, 12</w:t>
      </w:r>
      <w:r w:rsidRPr="0041134B">
        <w:rPr>
          <w:rFonts w:asciiTheme="majorBidi" w:hAnsiTheme="majorBidi" w:cstheme="majorBidi"/>
          <w:color w:val="000000" w:themeColor="text1"/>
          <w:lang w:val="en-GB"/>
        </w:rPr>
        <w:t xml:space="preserve">(11), 816–826. </w:t>
      </w:r>
      <w:hyperlink r:id="rId37" w:tgtFrame="_new" w:history="1">
        <w:r w:rsidRPr="0041134B">
          <w:rPr>
            <w:rStyle w:val="Hyperlink"/>
            <w:rFonts w:asciiTheme="majorBidi" w:hAnsiTheme="majorBidi" w:cstheme="majorBidi"/>
            <w:lang w:val="en-GB"/>
          </w:rPr>
          <w:t>https://doi.org/10.2166/washdev.2022.126</w:t>
        </w:r>
      </w:hyperlink>
    </w:p>
    <w:p w14:paraId="31FE67FA" w14:textId="15E5A644" w:rsidR="00D176FB" w:rsidRPr="0041134B" w:rsidRDefault="00D176FB" w:rsidP="0041134B">
      <w:pPr>
        <w:pStyle w:val="ListParagraph"/>
        <w:numPr>
          <w:ilvl w:val="0"/>
          <w:numId w:val="42"/>
        </w:numPr>
        <w:spacing w:line="360" w:lineRule="auto"/>
        <w:rPr>
          <w:rStyle w:val="Hyperlink"/>
          <w:rFonts w:asciiTheme="majorBidi" w:hAnsiTheme="majorBidi" w:cstheme="majorBidi"/>
          <w:lang w:val="en-GB"/>
        </w:rPr>
      </w:pPr>
      <w:proofErr w:type="spellStart"/>
      <w:r w:rsidRPr="0041134B">
        <w:rPr>
          <w:rFonts w:asciiTheme="majorBidi" w:hAnsiTheme="majorBidi" w:cstheme="majorBidi"/>
          <w:color w:val="000000" w:themeColor="text1"/>
          <w:lang w:val="en-GB"/>
        </w:rPr>
        <w:t>Tchounwou</w:t>
      </w:r>
      <w:proofErr w:type="spellEnd"/>
      <w:r w:rsidRPr="0041134B">
        <w:rPr>
          <w:rFonts w:asciiTheme="majorBidi" w:hAnsiTheme="majorBidi" w:cstheme="majorBidi"/>
          <w:color w:val="000000" w:themeColor="text1"/>
          <w:lang w:val="en-GB"/>
        </w:rPr>
        <w:t xml:space="preserve">, P. B., </w:t>
      </w:r>
      <w:proofErr w:type="spellStart"/>
      <w:r w:rsidRPr="0041134B">
        <w:rPr>
          <w:rFonts w:asciiTheme="majorBidi" w:hAnsiTheme="majorBidi" w:cstheme="majorBidi"/>
          <w:color w:val="000000" w:themeColor="text1"/>
          <w:lang w:val="en-GB"/>
        </w:rPr>
        <w:t>Yedjou</w:t>
      </w:r>
      <w:proofErr w:type="spellEnd"/>
      <w:r w:rsidRPr="0041134B">
        <w:rPr>
          <w:rFonts w:asciiTheme="majorBidi" w:hAnsiTheme="majorBidi" w:cstheme="majorBidi"/>
          <w:color w:val="000000" w:themeColor="text1"/>
          <w:lang w:val="en-GB"/>
        </w:rPr>
        <w:t xml:space="preserve">, C. G., </w:t>
      </w:r>
      <w:proofErr w:type="spellStart"/>
      <w:r w:rsidRPr="0041134B">
        <w:rPr>
          <w:rFonts w:asciiTheme="majorBidi" w:hAnsiTheme="majorBidi" w:cstheme="majorBidi"/>
          <w:color w:val="000000" w:themeColor="text1"/>
          <w:lang w:val="en-GB"/>
        </w:rPr>
        <w:t>Patlolla</w:t>
      </w:r>
      <w:proofErr w:type="spellEnd"/>
      <w:r w:rsidRPr="0041134B">
        <w:rPr>
          <w:rFonts w:asciiTheme="majorBidi" w:hAnsiTheme="majorBidi" w:cstheme="majorBidi"/>
          <w:color w:val="000000" w:themeColor="text1"/>
          <w:lang w:val="en-GB"/>
        </w:rPr>
        <w:t xml:space="preserve">, A. K., &amp; Sutton, D. J. (2012). Heavy metal toxicity and the environment. In A. </w:t>
      </w:r>
      <w:proofErr w:type="spellStart"/>
      <w:r w:rsidRPr="0041134B">
        <w:rPr>
          <w:rFonts w:asciiTheme="majorBidi" w:hAnsiTheme="majorBidi" w:cstheme="majorBidi"/>
          <w:color w:val="000000" w:themeColor="text1"/>
          <w:lang w:val="en-GB"/>
        </w:rPr>
        <w:t>Luch</w:t>
      </w:r>
      <w:proofErr w:type="spellEnd"/>
      <w:r w:rsidRPr="0041134B">
        <w:rPr>
          <w:rFonts w:asciiTheme="majorBidi" w:hAnsiTheme="majorBidi" w:cstheme="majorBidi"/>
          <w:color w:val="000000" w:themeColor="text1"/>
          <w:lang w:val="en-GB"/>
        </w:rPr>
        <w:t xml:space="preserve"> (Ed.), </w:t>
      </w:r>
      <w:r w:rsidRPr="0041134B">
        <w:rPr>
          <w:rFonts w:asciiTheme="majorBidi" w:hAnsiTheme="majorBidi" w:cstheme="majorBidi"/>
          <w:i/>
          <w:iCs/>
          <w:color w:val="000000" w:themeColor="text1"/>
          <w:lang w:val="en-GB"/>
        </w:rPr>
        <w:t>Molecular, Clinical and Environmental Toxicology</w:t>
      </w:r>
      <w:r w:rsidRPr="0041134B">
        <w:rPr>
          <w:rFonts w:asciiTheme="majorBidi" w:hAnsiTheme="majorBidi" w:cstheme="majorBidi"/>
          <w:color w:val="000000" w:themeColor="text1"/>
          <w:lang w:val="en-GB"/>
        </w:rPr>
        <w:t xml:space="preserve"> (Vol. 101, pp. 133–164). Springer. </w:t>
      </w:r>
      <w:hyperlink r:id="rId38" w:tgtFrame="_new" w:history="1">
        <w:r w:rsidRPr="0041134B">
          <w:rPr>
            <w:rStyle w:val="Hyperlink"/>
            <w:rFonts w:asciiTheme="majorBidi" w:hAnsiTheme="majorBidi" w:cstheme="majorBidi"/>
            <w:lang w:val="en-GB"/>
          </w:rPr>
          <w:t>https://doi.org/10.1007/978-3-7643-8340-4_6</w:t>
        </w:r>
      </w:hyperlink>
    </w:p>
    <w:p w14:paraId="262841B1" w14:textId="71F29EA7" w:rsidR="0027065D" w:rsidRPr="0041134B" w:rsidRDefault="0027065D" w:rsidP="0041134B">
      <w:pPr>
        <w:pStyle w:val="ListParagraph"/>
        <w:numPr>
          <w:ilvl w:val="0"/>
          <w:numId w:val="42"/>
        </w:numPr>
        <w:spacing w:line="360" w:lineRule="auto"/>
        <w:rPr>
          <w:rFonts w:asciiTheme="majorBidi" w:hAnsiTheme="majorBidi" w:cstheme="majorBidi"/>
          <w:color w:val="467886" w:themeColor="hyperlink"/>
          <w:u w:val="single"/>
          <w:lang w:val="en-US"/>
        </w:rPr>
      </w:pPr>
      <w:proofErr w:type="spellStart"/>
      <w:r w:rsidRPr="0041134B">
        <w:rPr>
          <w:sz w:val="20"/>
          <w:szCs w:val="20"/>
          <w:lang w:val="en-GB"/>
        </w:rPr>
        <w:t>Tirkey</w:t>
      </w:r>
      <w:proofErr w:type="spellEnd"/>
      <w:r w:rsidRPr="0041134B">
        <w:rPr>
          <w:sz w:val="20"/>
          <w:szCs w:val="20"/>
          <w:lang w:val="en-GB"/>
        </w:rPr>
        <w:t xml:space="preserve">, P., Bhattacharya, T., Chakraborty, S., &amp; </w:t>
      </w:r>
      <w:proofErr w:type="spellStart"/>
      <w:r w:rsidRPr="0041134B">
        <w:rPr>
          <w:sz w:val="20"/>
          <w:szCs w:val="20"/>
          <w:lang w:val="en-GB"/>
        </w:rPr>
        <w:t>Baraik</w:t>
      </w:r>
      <w:proofErr w:type="spellEnd"/>
      <w:r w:rsidRPr="0041134B">
        <w:rPr>
          <w:sz w:val="20"/>
          <w:szCs w:val="20"/>
          <w:lang w:val="en-GB"/>
        </w:rPr>
        <w:t>, S. (2017). Assessment of groundwater quality and associated health risks: a case study of Ranchi city, Jharkhand, India. Groundwater for sustainable development, 5, 85-100.</w:t>
      </w:r>
      <w:r w:rsidRPr="0041134B">
        <w:rPr>
          <w:rFonts w:asciiTheme="majorBidi" w:hAnsiTheme="majorBidi" w:cstheme="majorBidi"/>
          <w:color w:val="467886" w:themeColor="hyperlink"/>
          <w:u w:val="single"/>
          <w:lang w:val="en-GB"/>
        </w:rPr>
        <w:t xml:space="preserve"> </w:t>
      </w:r>
      <w:hyperlink r:id="rId39" w:history="1">
        <w:r w:rsidRPr="0041134B">
          <w:rPr>
            <w:rStyle w:val="Hyperlink"/>
            <w:lang w:val="en-US"/>
          </w:rPr>
          <w:t>https://www.sciencedirect.com/science/article/pii/S2352801X17300498</w:t>
        </w:r>
      </w:hyperlink>
      <w:r w:rsidRPr="0041134B">
        <w:rPr>
          <w:sz w:val="20"/>
          <w:szCs w:val="20"/>
          <w:lang w:val="en-US"/>
        </w:rPr>
        <w:t xml:space="preserve"> </w:t>
      </w:r>
    </w:p>
    <w:p w14:paraId="07E7B55E" w14:textId="77777777" w:rsidR="00D176FB" w:rsidRPr="0041134B" w:rsidRDefault="00D176FB" w:rsidP="0041134B">
      <w:pPr>
        <w:pStyle w:val="ListParagraph"/>
        <w:numPr>
          <w:ilvl w:val="0"/>
          <w:numId w:val="42"/>
        </w:numPr>
        <w:spacing w:line="360" w:lineRule="auto"/>
        <w:rPr>
          <w:rFonts w:asciiTheme="majorBidi" w:hAnsiTheme="majorBidi" w:cstheme="majorBidi"/>
          <w:color w:val="000000" w:themeColor="text1"/>
          <w:lang w:val="en-GB"/>
        </w:rPr>
      </w:pPr>
      <w:proofErr w:type="spellStart"/>
      <w:r w:rsidRPr="0041134B">
        <w:rPr>
          <w:rFonts w:asciiTheme="majorBidi" w:hAnsiTheme="majorBidi" w:cstheme="majorBidi"/>
          <w:color w:val="000000" w:themeColor="text1"/>
          <w:lang w:val="en-GB"/>
        </w:rPr>
        <w:t>Topanou</w:t>
      </w:r>
      <w:proofErr w:type="spellEnd"/>
      <w:r w:rsidRPr="0041134B">
        <w:rPr>
          <w:rFonts w:asciiTheme="majorBidi" w:hAnsiTheme="majorBidi" w:cstheme="majorBidi"/>
          <w:color w:val="000000" w:themeColor="text1"/>
          <w:lang w:val="en-GB"/>
        </w:rPr>
        <w:t xml:space="preserve">, N., </w:t>
      </w:r>
      <w:proofErr w:type="spellStart"/>
      <w:r w:rsidRPr="0041134B">
        <w:rPr>
          <w:rFonts w:asciiTheme="majorBidi" w:hAnsiTheme="majorBidi" w:cstheme="majorBidi"/>
          <w:color w:val="000000" w:themeColor="text1"/>
          <w:lang w:val="en-GB"/>
        </w:rPr>
        <w:t>Gougbedji</w:t>
      </w:r>
      <w:proofErr w:type="spellEnd"/>
      <w:r w:rsidRPr="0041134B">
        <w:rPr>
          <w:rFonts w:asciiTheme="majorBidi" w:hAnsiTheme="majorBidi" w:cstheme="majorBidi"/>
          <w:color w:val="000000" w:themeColor="text1"/>
          <w:lang w:val="en-GB"/>
        </w:rPr>
        <w:t xml:space="preserve">, M., </w:t>
      </w:r>
      <w:proofErr w:type="spellStart"/>
      <w:r w:rsidRPr="0041134B">
        <w:rPr>
          <w:rFonts w:asciiTheme="majorBidi" w:hAnsiTheme="majorBidi" w:cstheme="majorBidi"/>
          <w:color w:val="000000" w:themeColor="text1"/>
          <w:lang w:val="en-GB"/>
        </w:rPr>
        <w:t>Gbaguidi</w:t>
      </w:r>
      <w:proofErr w:type="spellEnd"/>
      <w:r w:rsidRPr="0041134B">
        <w:rPr>
          <w:rFonts w:asciiTheme="majorBidi" w:hAnsiTheme="majorBidi" w:cstheme="majorBidi"/>
          <w:color w:val="000000" w:themeColor="text1"/>
          <w:lang w:val="en-GB"/>
        </w:rPr>
        <w:t xml:space="preserve">, G. J., </w:t>
      </w:r>
      <w:proofErr w:type="spellStart"/>
      <w:r w:rsidRPr="0041134B">
        <w:rPr>
          <w:rFonts w:asciiTheme="majorBidi" w:hAnsiTheme="majorBidi" w:cstheme="majorBidi"/>
          <w:color w:val="000000" w:themeColor="text1"/>
          <w:lang w:val="en-GB"/>
        </w:rPr>
        <w:t>Fadonougbo</w:t>
      </w:r>
      <w:proofErr w:type="spellEnd"/>
      <w:r w:rsidRPr="0041134B">
        <w:rPr>
          <w:rFonts w:asciiTheme="majorBidi" w:hAnsiTheme="majorBidi" w:cstheme="majorBidi"/>
          <w:color w:val="000000" w:themeColor="text1"/>
          <w:lang w:val="en-GB"/>
        </w:rPr>
        <w:t xml:space="preserve">, R., </w:t>
      </w:r>
      <w:proofErr w:type="spellStart"/>
      <w:r w:rsidRPr="0041134B">
        <w:rPr>
          <w:rFonts w:asciiTheme="majorBidi" w:hAnsiTheme="majorBidi" w:cstheme="majorBidi"/>
          <w:color w:val="000000" w:themeColor="text1"/>
          <w:lang w:val="en-GB"/>
        </w:rPr>
        <w:t>Tometin</w:t>
      </w:r>
      <w:proofErr w:type="spellEnd"/>
      <w:r w:rsidRPr="0041134B">
        <w:rPr>
          <w:rFonts w:asciiTheme="majorBidi" w:hAnsiTheme="majorBidi" w:cstheme="majorBidi"/>
          <w:color w:val="000000" w:themeColor="text1"/>
          <w:lang w:val="en-GB"/>
        </w:rPr>
        <w:t xml:space="preserve">, L., &amp; </w:t>
      </w:r>
      <w:proofErr w:type="spellStart"/>
      <w:r w:rsidRPr="0041134B">
        <w:rPr>
          <w:rFonts w:asciiTheme="majorBidi" w:hAnsiTheme="majorBidi" w:cstheme="majorBidi"/>
          <w:color w:val="000000" w:themeColor="text1"/>
          <w:lang w:val="en-GB"/>
        </w:rPr>
        <w:t>Fatombi</w:t>
      </w:r>
      <w:proofErr w:type="spellEnd"/>
      <w:r w:rsidRPr="0041134B">
        <w:rPr>
          <w:rFonts w:asciiTheme="majorBidi" w:hAnsiTheme="majorBidi" w:cstheme="majorBidi"/>
          <w:color w:val="000000" w:themeColor="text1"/>
          <w:lang w:val="en-GB"/>
        </w:rPr>
        <w:t xml:space="preserve">, J. (2025). Electrical and electronic waste management in Benin: Socio-environmental and economic practices of households and professionals. </w:t>
      </w:r>
      <w:r w:rsidRPr="0041134B">
        <w:rPr>
          <w:rFonts w:asciiTheme="majorBidi" w:hAnsiTheme="majorBidi" w:cstheme="majorBidi"/>
          <w:i/>
          <w:iCs/>
          <w:color w:val="000000" w:themeColor="text1"/>
          <w:lang w:val="en-GB"/>
        </w:rPr>
        <w:t>Journal of Geoscience and Environment Protection, 13</w:t>
      </w:r>
      <w:r w:rsidRPr="0041134B">
        <w:rPr>
          <w:rFonts w:asciiTheme="majorBidi" w:hAnsiTheme="majorBidi" w:cstheme="majorBidi"/>
          <w:color w:val="000000" w:themeColor="text1"/>
          <w:lang w:val="en-GB"/>
        </w:rPr>
        <w:t xml:space="preserve">(5), 183–199. </w:t>
      </w:r>
      <w:hyperlink r:id="rId40" w:tgtFrame="_new" w:history="1">
        <w:r w:rsidRPr="0041134B">
          <w:rPr>
            <w:rStyle w:val="Hyperlink"/>
            <w:rFonts w:asciiTheme="majorBidi" w:hAnsiTheme="majorBidi" w:cstheme="majorBidi"/>
            <w:lang w:val="en-GB"/>
          </w:rPr>
          <w:t>https://doi.org/10.4236/gep.2025.135013</w:t>
        </w:r>
      </w:hyperlink>
    </w:p>
    <w:p w14:paraId="5F259EEE" w14:textId="77777777" w:rsidR="00D176FB" w:rsidRPr="0041134B" w:rsidRDefault="00D176FB" w:rsidP="0041134B">
      <w:pPr>
        <w:pStyle w:val="ListParagraph"/>
        <w:numPr>
          <w:ilvl w:val="0"/>
          <w:numId w:val="42"/>
        </w:numPr>
        <w:spacing w:line="360" w:lineRule="auto"/>
        <w:rPr>
          <w:rFonts w:asciiTheme="majorBidi" w:hAnsiTheme="majorBidi" w:cstheme="majorBidi"/>
          <w:color w:val="000000" w:themeColor="text1"/>
        </w:rPr>
      </w:pPr>
      <w:r w:rsidRPr="0041134B">
        <w:rPr>
          <w:rFonts w:asciiTheme="majorBidi" w:hAnsiTheme="majorBidi" w:cstheme="majorBidi"/>
          <w:color w:val="000000" w:themeColor="text1"/>
          <w:lang w:val="en-GB"/>
        </w:rPr>
        <w:t xml:space="preserve">United Nations Environment Programme &amp; Basel Convention Secretariat. (2011). </w:t>
      </w:r>
      <w:r w:rsidRPr="0041134B">
        <w:rPr>
          <w:rFonts w:asciiTheme="majorBidi" w:hAnsiTheme="majorBidi" w:cstheme="majorBidi"/>
          <w:i/>
          <w:iCs/>
          <w:color w:val="000000" w:themeColor="text1"/>
          <w:lang w:val="en-GB"/>
        </w:rPr>
        <w:t>Where are WEEE in Africa? Diagnostic of e-waste flows and management in Benin.</w:t>
      </w:r>
      <w:r w:rsidRPr="0041134B">
        <w:rPr>
          <w:rFonts w:asciiTheme="majorBidi" w:hAnsiTheme="majorBidi" w:cstheme="majorBidi"/>
          <w:color w:val="000000" w:themeColor="text1"/>
          <w:lang w:val="en-GB"/>
        </w:rPr>
        <w:t xml:space="preserve"> Geneva: UNEP. </w:t>
      </w:r>
      <w:hyperlink r:id="rId41" w:history="1">
        <w:r w:rsidRPr="0041134B">
          <w:rPr>
            <w:rStyle w:val="Hyperlink"/>
            <w:rFonts w:asciiTheme="majorBidi" w:hAnsiTheme="majorBidi" w:cstheme="majorBidi"/>
          </w:rPr>
          <w:t>https://www.basel.int/Portals/4/download.aspx?d=UNEP-CHW-EWASTE-PUB-WeeAfricaReport.English.pdf</w:t>
        </w:r>
      </w:hyperlink>
      <w:r w:rsidRPr="0041134B">
        <w:rPr>
          <w:rFonts w:asciiTheme="majorBidi" w:hAnsiTheme="majorBidi" w:cstheme="majorBidi"/>
          <w:color w:val="000000" w:themeColor="text1"/>
        </w:rPr>
        <w:t xml:space="preserve"> </w:t>
      </w:r>
    </w:p>
    <w:p w14:paraId="414EEAC0" w14:textId="77777777" w:rsidR="00D176FB" w:rsidRPr="0041134B" w:rsidRDefault="00D176FB" w:rsidP="0041134B">
      <w:pPr>
        <w:pStyle w:val="ListParagraph"/>
        <w:numPr>
          <w:ilvl w:val="0"/>
          <w:numId w:val="42"/>
        </w:numPr>
        <w:spacing w:line="360" w:lineRule="auto"/>
        <w:rPr>
          <w:rFonts w:asciiTheme="majorBidi" w:hAnsiTheme="majorBidi" w:cstheme="majorBidi"/>
          <w:color w:val="000000" w:themeColor="text1"/>
          <w:lang w:val="en-GB"/>
        </w:rPr>
      </w:pPr>
      <w:r w:rsidRPr="0041134B">
        <w:rPr>
          <w:rFonts w:asciiTheme="majorBidi" w:hAnsiTheme="majorBidi" w:cstheme="majorBidi"/>
          <w:color w:val="000000" w:themeColor="text1"/>
          <w:lang w:val="en-GB"/>
        </w:rPr>
        <w:t xml:space="preserve">United States Environmental Protection Agency (USEPA). (1989). </w:t>
      </w:r>
      <w:r w:rsidRPr="0041134B">
        <w:rPr>
          <w:rFonts w:asciiTheme="majorBidi" w:hAnsiTheme="majorBidi" w:cstheme="majorBidi"/>
          <w:i/>
          <w:iCs/>
          <w:color w:val="000000" w:themeColor="text1"/>
          <w:lang w:val="en-GB"/>
        </w:rPr>
        <w:t>Risk Assessment Guidance for Superfund: Human Health Evaluation Manual (Part A), EPA/540/1-89/002.</w:t>
      </w:r>
      <w:r w:rsidRPr="0041134B">
        <w:rPr>
          <w:rFonts w:asciiTheme="majorBidi" w:hAnsiTheme="majorBidi" w:cstheme="majorBidi"/>
          <w:color w:val="000000" w:themeColor="text1"/>
          <w:lang w:val="en-GB"/>
        </w:rPr>
        <w:t xml:space="preserve"> Washington, DC: Office of Emergency and Remedial Response. </w:t>
      </w:r>
      <w:hyperlink r:id="rId42" w:anchor="whatisrisk" w:tgtFrame="_new" w:history="1">
        <w:r w:rsidRPr="0041134B">
          <w:rPr>
            <w:rStyle w:val="Hyperlink"/>
            <w:rFonts w:asciiTheme="majorBidi" w:hAnsiTheme="majorBidi" w:cstheme="majorBidi"/>
            <w:lang w:val="en-GB"/>
          </w:rPr>
          <w:t>https://www.epa.gov/risk/about-risk-assessment#whatisrisk</w:t>
        </w:r>
      </w:hyperlink>
    </w:p>
    <w:p w14:paraId="371E5A25" w14:textId="77777777" w:rsidR="00347FB3" w:rsidRPr="0041134B" w:rsidRDefault="00D176FB" w:rsidP="0041134B">
      <w:pPr>
        <w:pStyle w:val="ListParagraph"/>
        <w:numPr>
          <w:ilvl w:val="0"/>
          <w:numId w:val="42"/>
        </w:numPr>
        <w:spacing w:line="360" w:lineRule="auto"/>
        <w:rPr>
          <w:rStyle w:val="Hyperlink"/>
          <w:rFonts w:asciiTheme="majorBidi" w:hAnsiTheme="majorBidi" w:cstheme="majorBidi"/>
          <w:lang w:val="en-GB"/>
        </w:rPr>
      </w:pPr>
      <w:r w:rsidRPr="0041134B">
        <w:rPr>
          <w:rFonts w:asciiTheme="majorBidi" w:hAnsiTheme="majorBidi" w:cstheme="majorBidi"/>
          <w:color w:val="000000" w:themeColor="text1"/>
          <w:lang w:val="en-GB"/>
        </w:rPr>
        <w:lastRenderedPageBreak/>
        <w:t xml:space="preserve">United States Environmental Protection Agency (USEPA). (2011). </w:t>
      </w:r>
      <w:r w:rsidRPr="0041134B">
        <w:rPr>
          <w:rFonts w:asciiTheme="majorBidi" w:hAnsiTheme="majorBidi" w:cstheme="majorBidi"/>
          <w:i/>
          <w:iCs/>
          <w:color w:val="000000" w:themeColor="text1"/>
          <w:lang w:val="en-GB"/>
        </w:rPr>
        <w:t>Integrated Risk Information System (IRIS).</w:t>
      </w:r>
      <w:r w:rsidRPr="0041134B">
        <w:rPr>
          <w:rFonts w:asciiTheme="majorBidi" w:hAnsiTheme="majorBidi" w:cstheme="majorBidi"/>
          <w:color w:val="000000" w:themeColor="text1"/>
          <w:lang w:val="en-GB"/>
        </w:rPr>
        <w:t xml:space="preserve"> Washington, DC: USEPA. </w:t>
      </w:r>
      <w:hyperlink r:id="rId43" w:tgtFrame="_new" w:history="1">
        <w:r w:rsidRPr="0041134B">
          <w:rPr>
            <w:rStyle w:val="Hyperlink"/>
            <w:rFonts w:asciiTheme="majorBidi" w:hAnsiTheme="majorBidi" w:cstheme="majorBidi"/>
            <w:lang w:val="en-GB"/>
          </w:rPr>
          <w:t>https://www.epa.gov/iris</w:t>
        </w:r>
      </w:hyperlink>
    </w:p>
    <w:p w14:paraId="143EA3F8" w14:textId="7933C81D" w:rsidR="00347FB3" w:rsidRPr="0041134B" w:rsidRDefault="00347FB3" w:rsidP="0041134B">
      <w:pPr>
        <w:pStyle w:val="ListParagraph"/>
        <w:numPr>
          <w:ilvl w:val="0"/>
          <w:numId w:val="42"/>
        </w:numPr>
        <w:spacing w:line="360" w:lineRule="auto"/>
        <w:rPr>
          <w:rFonts w:asciiTheme="majorBidi" w:hAnsiTheme="majorBidi" w:cstheme="majorBidi"/>
          <w:color w:val="467886" w:themeColor="hyperlink"/>
          <w:u w:val="single"/>
          <w:lang w:val="en-GB"/>
        </w:rPr>
      </w:pPr>
      <w:r w:rsidRPr="0041134B">
        <w:rPr>
          <w:sz w:val="20"/>
          <w:szCs w:val="20"/>
        </w:rPr>
        <w:t xml:space="preserve">Zhang, Q., Xu, P., &amp; Qian, H. (2020). </w:t>
      </w:r>
      <w:r w:rsidRPr="0041134B">
        <w:rPr>
          <w:sz w:val="20"/>
          <w:szCs w:val="20"/>
          <w:lang w:val="en-GB"/>
        </w:rPr>
        <w:t>Groundwater quality assessment using improved water quality index (WQI) and human health risk (HHR) evaluation in a semi-arid region of northwest China. Exposure and health, 12(3), 487-500.</w:t>
      </w:r>
    </w:p>
    <w:p w14:paraId="4225238E" w14:textId="64154982" w:rsidR="00347FB3" w:rsidRPr="0041134B" w:rsidRDefault="0041134B" w:rsidP="0041134B">
      <w:pPr>
        <w:pStyle w:val="ListParagraph"/>
        <w:rPr>
          <w:sz w:val="20"/>
          <w:szCs w:val="20"/>
          <w:lang w:val="en-GB"/>
        </w:rPr>
      </w:pPr>
      <w:hyperlink r:id="rId44" w:history="1">
        <w:r w:rsidRPr="00E55CBC">
          <w:rPr>
            <w:rStyle w:val="Hyperlink"/>
            <w:lang w:val="en-GB"/>
          </w:rPr>
          <w:t>https://link.springer.com/article/10.1007/S12403-020-00345-W</w:t>
        </w:r>
      </w:hyperlink>
      <w:r w:rsidR="00347FB3" w:rsidRPr="0041134B">
        <w:rPr>
          <w:sz w:val="20"/>
          <w:szCs w:val="20"/>
          <w:lang w:val="en-GB"/>
        </w:rPr>
        <w:t xml:space="preserve"> </w:t>
      </w:r>
    </w:p>
    <w:p w14:paraId="45E3D491" w14:textId="77777777" w:rsidR="00347FB3" w:rsidRPr="00442A85" w:rsidRDefault="00347FB3" w:rsidP="00D176FB">
      <w:pPr>
        <w:spacing w:line="360" w:lineRule="auto"/>
        <w:ind w:left="360"/>
        <w:rPr>
          <w:rFonts w:asciiTheme="majorBidi" w:hAnsiTheme="majorBidi" w:cstheme="majorBidi"/>
          <w:color w:val="000000" w:themeColor="text1"/>
          <w:lang w:val="en-GB"/>
        </w:rPr>
      </w:pPr>
    </w:p>
    <w:p w14:paraId="764DC0BA" w14:textId="77777777" w:rsidR="00BE6C96" w:rsidRPr="003D14F6" w:rsidRDefault="00BE6C96" w:rsidP="00BE6C96">
      <w:pPr>
        <w:spacing w:line="360" w:lineRule="auto"/>
        <w:jc w:val="center"/>
        <w:rPr>
          <w:rFonts w:asciiTheme="majorBidi" w:hAnsiTheme="majorBidi" w:cstheme="majorBidi"/>
          <w:b/>
          <w:bCs/>
          <w:color w:val="000000" w:themeColor="text1"/>
          <w:sz w:val="28"/>
          <w:szCs w:val="28"/>
          <w:lang w:val="en-US"/>
        </w:rPr>
      </w:pPr>
    </w:p>
    <w:p w14:paraId="1FE7A76B" w14:textId="77777777" w:rsidR="00BE6C96" w:rsidRPr="003D14F6" w:rsidRDefault="00BE6C96" w:rsidP="00BE6C96">
      <w:pPr>
        <w:spacing w:line="360" w:lineRule="auto"/>
        <w:jc w:val="center"/>
        <w:rPr>
          <w:rFonts w:asciiTheme="majorBidi" w:hAnsiTheme="majorBidi" w:cstheme="majorBidi"/>
          <w:b/>
          <w:bCs/>
          <w:color w:val="000000" w:themeColor="text1"/>
          <w:sz w:val="28"/>
          <w:szCs w:val="28"/>
          <w:lang w:val="en-US"/>
        </w:rPr>
      </w:pPr>
    </w:p>
    <w:p w14:paraId="150E737D" w14:textId="77777777" w:rsidR="00BE6C96" w:rsidRPr="003D14F6" w:rsidRDefault="00BE6C96" w:rsidP="00BE6C96">
      <w:pPr>
        <w:spacing w:line="360" w:lineRule="auto"/>
        <w:jc w:val="center"/>
        <w:rPr>
          <w:rFonts w:asciiTheme="majorBidi" w:hAnsiTheme="majorBidi" w:cstheme="majorBidi"/>
          <w:b/>
          <w:bCs/>
          <w:color w:val="000000" w:themeColor="text1"/>
          <w:sz w:val="28"/>
          <w:szCs w:val="28"/>
          <w:lang w:val="en-US"/>
        </w:rPr>
      </w:pPr>
    </w:p>
    <w:p w14:paraId="48A8C1E9" w14:textId="77777777" w:rsidR="005F51F7" w:rsidRPr="003D14F6" w:rsidRDefault="005F51F7" w:rsidP="00E0413D">
      <w:pPr>
        <w:spacing w:line="360" w:lineRule="auto"/>
        <w:jc w:val="both"/>
        <w:rPr>
          <w:rFonts w:asciiTheme="majorBidi" w:hAnsiTheme="majorBidi" w:cstheme="majorBidi"/>
          <w:b/>
          <w:bCs/>
          <w:color w:val="000000" w:themeColor="text1"/>
          <w:sz w:val="28"/>
          <w:szCs w:val="28"/>
          <w:lang w:val="en-US"/>
        </w:rPr>
      </w:pPr>
      <w:r w:rsidRPr="003D14F6">
        <w:rPr>
          <w:rFonts w:asciiTheme="majorBidi" w:hAnsiTheme="majorBidi" w:cstheme="majorBidi"/>
          <w:b/>
          <w:bCs/>
          <w:color w:val="000000" w:themeColor="text1"/>
          <w:sz w:val="28"/>
          <w:szCs w:val="28"/>
          <w:lang w:val="en-US"/>
        </w:rPr>
        <w:t xml:space="preserve">Appendix </w:t>
      </w:r>
    </w:p>
    <w:p w14:paraId="7672C017" w14:textId="2A603A49" w:rsidR="00E0413D" w:rsidRPr="00E0413D" w:rsidRDefault="00E0413D" w:rsidP="00E0413D">
      <w:pPr>
        <w:spacing w:line="360" w:lineRule="auto"/>
        <w:jc w:val="both"/>
        <w:rPr>
          <w:rFonts w:asciiTheme="majorBidi" w:hAnsiTheme="majorBidi" w:cstheme="majorBidi"/>
          <w:color w:val="000000" w:themeColor="text1"/>
          <w:lang w:val="en-GB"/>
        </w:rPr>
      </w:pPr>
      <w:r w:rsidRPr="00E0413D">
        <w:rPr>
          <w:rFonts w:asciiTheme="majorBidi" w:hAnsiTheme="majorBidi" w:cstheme="majorBidi"/>
          <w:b/>
          <w:bCs/>
          <w:color w:val="000000" w:themeColor="text1"/>
          <w:lang w:val="en-GB"/>
        </w:rPr>
        <w:t>Table A</w:t>
      </w:r>
      <w:proofErr w:type="gramStart"/>
      <w:r w:rsidRPr="00E0413D">
        <w:rPr>
          <w:rFonts w:asciiTheme="majorBidi" w:hAnsiTheme="majorBidi" w:cstheme="majorBidi"/>
          <w:b/>
          <w:bCs/>
          <w:color w:val="000000" w:themeColor="text1"/>
          <w:lang w:val="en-GB"/>
        </w:rPr>
        <w:t>1</w:t>
      </w:r>
      <w:r w:rsidRPr="00E0413D">
        <w:rPr>
          <w:rFonts w:asciiTheme="majorBidi" w:hAnsiTheme="majorBidi" w:cstheme="majorBidi"/>
          <w:color w:val="000000" w:themeColor="text1"/>
          <w:lang w:val="en-GB"/>
        </w:rPr>
        <w:t xml:space="preserve"> :</w:t>
      </w:r>
      <w:proofErr w:type="gramEnd"/>
      <w:r w:rsidRPr="00E0413D">
        <w:rPr>
          <w:rFonts w:asciiTheme="majorBidi" w:hAnsiTheme="majorBidi" w:cstheme="majorBidi"/>
          <w:color w:val="000000" w:themeColor="text1"/>
          <w:lang w:val="en-GB"/>
        </w:rPr>
        <w:t xml:space="preserve"> Descriptive statistics of heavy metal concentrations (mg/L)</w:t>
      </w:r>
      <w:r>
        <w:rPr>
          <w:rFonts w:asciiTheme="majorBidi" w:hAnsiTheme="majorBidi" w:cstheme="majorBidi"/>
          <w:color w:val="000000" w:themeColor="text1"/>
          <w:lang w:val="en-GB"/>
        </w:rPr>
        <w:t xml:space="preserve"> (Abomey-</w:t>
      </w:r>
      <w:proofErr w:type="spellStart"/>
      <w:r>
        <w:rPr>
          <w:rFonts w:asciiTheme="majorBidi" w:hAnsiTheme="majorBidi" w:cstheme="majorBidi"/>
          <w:color w:val="000000" w:themeColor="text1"/>
          <w:lang w:val="en-GB"/>
        </w:rPr>
        <w:t>Calavi</w:t>
      </w:r>
      <w:proofErr w:type="spellEnd"/>
      <w:r>
        <w:rPr>
          <w:rFonts w:asciiTheme="majorBidi" w:hAnsiTheme="majorBidi" w:cstheme="majorBidi"/>
          <w:color w:val="000000" w:themeColor="text1"/>
          <w:lang w:val="en-GB"/>
        </w:rPr>
        <w:t>)</w:t>
      </w:r>
    </w:p>
    <w:tbl>
      <w:tblPr>
        <w:tblStyle w:val="PlainTable1"/>
        <w:tblW w:w="0" w:type="auto"/>
        <w:tblLook w:val="04A0" w:firstRow="1" w:lastRow="0" w:firstColumn="1" w:lastColumn="0" w:noHBand="0" w:noVBand="1"/>
      </w:tblPr>
      <w:tblGrid>
        <w:gridCol w:w="1516"/>
        <w:gridCol w:w="1503"/>
        <w:gridCol w:w="876"/>
        <w:gridCol w:w="1003"/>
        <w:gridCol w:w="756"/>
        <w:gridCol w:w="756"/>
        <w:gridCol w:w="2184"/>
      </w:tblGrid>
      <w:tr w:rsidR="00BE6C96" w:rsidRPr="00955D3D" w14:paraId="2CA82949" w14:textId="77777777" w:rsidTr="003101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D8892F" w14:textId="77777777" w:rsidR="00BE6C96" w:rsidRPr="00955D3D" w:rsidRDefault="00BE6C96" w:rsidP="0031013D">
            <w:pPr>
              <w:spacing w:line="360" w:lineRule="auto"/>
              <w:jc w:val="both"/>
              <w:rPr>
                <w:rFonts w:asciiTheme="majorBidi" w:hAnsiTheme="majorBidi" w:cstheme="majorBidi"/>
                <w:b w:val="0"/>
                <w:bCs w:val="0"/>
                <w:color w:val="000000" w:themeColor="text1"/>
              </w:rPr>
            </w:pPr>
            <w:r w:rsidRPr="00955D3D">
              <w:rPr>
                <w:rFonts w:asciiTheme="majorBidi" w:hAnsiTheme="majorBidi" w:cstheme="majorBidi"/>
                <w:color w:val="000000" w:themeColor="text1"/>
              </w:rPr>
              <w:t>Distance (m)</w:t>
            </w:r>
          </w:p>
        </w:tc>
        <w:tc>
          <w:tcPr>
            <w:tcW w:w="0" w:type="auto"/>
            <w:hideMark/>
          </w:tcPr>
          <w:p w14:paraId="3E13C723" w14:textId="2E7332A1" w:rsidR="00BE6C96" w:rsidRPr="00955D3D" w:rsidRDefault="00086463"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 xml:space="preserve">Heavy </w:t>
            </w:r>
            <w:proofErr w:type="spellStart"/>
            <w:r>
              <w:rPr>
                <w:rFonts w:asciiTheme="majorBidi" w:hAnsiTheme="majorBidi" w:cstheme="majorBidi"/>
                <w:color w:val="000000" w:themeColor="text1"/>
              </w:rPr>
              <w:t>metal</w:t>
            </w:r>
            <w:proofErr w:type="spellEnd"/>
          </w:p>
        </w:tc>
        <w:tc>
          <w:tcPr>
            <w:tcW w:w="0" w:type="auto"/>
            <w:hideMark/>
          </w:tcPr>
          <w:p w14:paraId="17CB5552" w14:textId="5C7C9EF9"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proofErr w:type="spellStart"/>
            <w:r w:rsidRPr="00955D3D">
              <w:rPr>
                <w:rFonts w:asciiTheme="majorBidi" w:hAnsiTheme="majorBidi" w:cstheme="majorBidi"/>
                <w:color w:val="000000" w:themeColor="text1"/>
              </w:rPr>
              <w:t>M</w:t>
            </w:r>
            <w:r w:rsidR="00086463">
              <w:rPr>
                <w:rFonts w:asciiTheme="majorBidi" w:hAnsiTheme="majorBidi" w:cstheme="majorBidi"/>
                <w:color w:val="000000" w:themeColor="text1"/>
              </w:rPr>
              <w:t>ean</w:t>
            </w:r>
            <w:proofErr w:type="spellEnd"/>
          </w:p>
        </w:tc>
        <w:tc>
          <w:tcPr>
            <w:tcW w:w="0" w:type="auto"/>
            <w:hideMark/>
          </w:tcPr>
          <w:p w14:paraId="6E94E8D4" w14:textId="76A5FA58"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proofErr w:type="spellStart"/>
            <w:r w:rsidRPr="00955D3D">
              <w:rPr>
                <w:rFonts w:asciiTheme="majorBidi" w:hAnsiTheme="majorBidi" w:cstheme="majorBidi"/>
                <w:color w:val="000000" w:themeColor="text1"/>
              </w:rPr>
              <w:t>M</w:t>
            </w:r>
            <w:r w:rsidR="00086463">
              <w:rPr>
                <w:rFonts w:asciiTheme="majorBidi" w:hAnsiTheme="majorBidi" w:cstheme="majorBidi"/>
                <w:color w:val="000000" w:themeColor="text1"/>
              </w:rPr>
              <w:t>e</w:t>
            </w:r>
            <w:r w:rsidRPr="00955D3D">
              <w:rPr>
                <w:rFonts w:asciiTheme="majorBidi" w:hAnsiTheme="majorBidi" w:cstheme="majorBidi"/>
                <w:color w:val="000000" w:themeColor="text1"/>
              </w:rPr>
              <w:t>dian</w:t>
            </w:r>
            <w:proofErr w:type="spellEnd"/>
          </w:p>
        </w:tc>
        <w:tc>
          <w:tcPr>
            <w:tcW w:w="0" w:type="auto"/>
            <w:hideMark/>
          </w:tcPr>
          <w:p w14:paraId="61B4F623" w14:textId="77777777"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955D3D">
              <w:rPr>
                <w:rFonts w:asciiTheme="majorBidi" w:hAnsiTheme="majorBidi" w:cstheme="majorBidi"/>
                <w:color w:val="000000" w:themeColor="text1"/>
              </w:rPr>
              <w:t>Min</w:t>
            </w:r>
          </w:p>
        </w:tc>
        <w:tc>
          <w:tcPr>
            <w:tcW w:w="0" w:type="auto"/>
            <w:hideMark/>
          </w:tcPr>
          <w:p w14:paraId="765396EB" w14:textId="77777777"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955D3D">
              <w:rPr>
                <w:rFonts w:asciiTheme="majorBidi" w:hAnsiTheme="majorBidi" w:cstheme="majorBidi"/>
                <w:color w:val="000000" w:themeColor="text1"/>
              </w:rPr>
              <w:t>Max</w:t>
            </w:r>
          </w:p>
        </w:tc>
        <w:tc>
          <w:tcPr>
            <w:tcW w:w="0" w:type="auto"/>
            <w:hideMark/>
          </w:tcPr>
          <w:p w14:paraId="7FD1BF63" w14:textId="1E75603B" w:rsidR="00BE6C96" w:rsidRPr="00955D3D" w:rsidRDefault="00086463"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 xml:space="preserve">Standard </w:t>
            </w:r>
            <w:proofErr w:type="spellStart"/>
            <w:r>
              <w:rPr>
                <w:rFonts w:asciiTheme="majorBidi" w:hAnsiTheme="majorBidi" w:cstheme="majorBidi"/>
                <w:color w:val="000000" w:themeColor="text1"/>
              </w:rPr>
              <w:t>deviation</w:t>
            </w:r>
            <w:proofErr w:type="spellEnd"/>
          </w:p>
        </w:tc>
      </w:tr>
      <w:tr w:rsidR="00BE6C96" w:rsidRPr="00955D3D" w14:paraId="27276041"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4493C9"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43E65DB0"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As</w:t>
            </w:r>
          </w:p>
        </w:tc>
        <w:tc>
          <w:tcPr>
            <w:tcW w:w="0" w:type="auto"/>
            <w:hideMark/>
          </w:tcPr>
          <w:p w14:paraId="77A4F057"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0.0000</w:t>
            </w:r>
          </w:p>
        </w:tc>
        <w:tc>
          <w:tcPr>
            <w:tcW w:w="0" w:type="auto"/>
            <w:hideMark/>
          </w:tcPr>
          <w:p w14:paraId="0DA53DC8"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0.000</w:t>
            </w:r>
          </w:p>
        </w:tc>
        <w:tc>
          <w:tcPr>
            <w:tcW w:w="0" w:type="auto"/>
            <w:hideMark/>
          </w:tcPr>
          <w:p w14:paraId="173FE505"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0.000</w:t>
            </w:r>
          </w:p>
        </w:tc>
        <w:tc>
          <w:tcPr>
            <w:tcW w:w="0" w:type="auto"/>
            <w:hideMark/>
          </w:tcPr>
          <w:p w14:paraId="0941AF9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0.000</w:t>
            </w:r>
          </w:p>
        </w:tc>
        <w:tc>
          <w:tcPr>
            <w:tcW w:w="0" w:type="auto"/>
            <w:hideMark/>
          </w:tcPr>
          <w:p w14:paraId="37FAAF64"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0.0000</w:t>
            </w:r>
          </w:p>
        </w:tc>
      </w:tr>
      <w:tr w:rsidR="00BE6C96" w:rsidRPr="00955D3D" w14:paraId="40545E87"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2CA457AF"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37C4A5A6"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Cd</w:t>
            </w:r>
          </w:p>
        </w:tc>
        <w:tc>
          <w:tcPr>
            <w:tcW w:w="0" w:type="auto"/>
            <w:hideMark/>
          </w:tcPr>
          <w:p w14:paraId="0E13995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0.1574</w:t>
            </w:r>
          </w:p>
        </w:tc>
        <w:tc>
          <w:tcPr>
            <w:tcW w:w="0" w:type="auto"/>
            <w:hideMark/>
          </w:tcPr>
          <w:p w14:paraId="20ED5AE5"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0.159</w:t>
            </w:r>
          </w:p>
        </w:tc>
        <w:tc>
          <w:tcPr>
            <w:tcW w:w="0" w:type="auto"/>
            <w:hideMark/>
          </w:tcPr>
          <w:p w14:paraId="4CC4CBF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0.063</w:t>
            </w:r>
          </w:p>
        </w:tc>
        <w:tc>
          <w:tcPr>
            <w:tcW w:w="0" w:type="auto"/>
            <w:hideMark/>
          </w:tcPr>
          <w:p w14:paraId="34D0EB11"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0.324</w:t>
            </w:r>
          </w:p>
        </w:tc>
        <w:tc>
          <w:tcPr>
            <w:tcW w:w="0" w:type="auto"/>
            <w:hideMark/>
          </w:tcPr>
          <w:p w14:paraId="4DD6B115"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0.1057</w:t>
            </w:r>
          </w:p>
        </w:tc>
      </w:tr>
      <w:tr w:rsidR="00BE6C96" w:rsidRPr="00955D3D" w14:paraId="218CF6FC"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BB2A18"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4A4ADEBE"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Cu</w:t>
            </w:r>
          </w:p>
        </w:tc>
        <w:tc>
          <w:tcPr>
            <w:tcW w:w="0" w:type="auto"/>
            <w:hideMark/>
          </w:tcPr>
          <w:p w14:paraId="354FFAF6"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0.0172</w:t>
            </w:r>
          </w:p>
        </w:tc>
        <w:tc>
          <w:tcPr>
            <w:tcW w:w="0" w:type="auto"/>
            <w:hideMark/>
          </w:tcPr>
          <w:p w14:paraId="585B8456"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0.000</w:t>
            </w:r>
          </w:p>
        </w:tc>
        <w:tc>
          <w:tcPr>
            <w:tcW w:w="0" w:type="auto"/>
            <w:hideMark/>
          </w:tcPr>
          <w:p w14:paraId="49F0B055"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0.000</w:t>
            </w:r>
          </w:p>
        </w:tc>
        <w:tc>
          <w:tcPr>
            <w:tcW w:w="0" w:type="auto"/>
            <w:hideMark/>
          </w:tcPr>
          <w:p w14:paraId="31A98598"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0.055</w:t>
            </w:r>
          </w:p>
        </w:tc>
        <w:tc>
          <w:tcPr>
            <w:tcW w:w="0" w:type="auto"/>
            <w:hideMark/>
          </w:tcPr>
          <w:p w14:paraId="4F76F474"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0.0250</w:t>
            </w:r>
          </w:p>
        </w:tc>
      </w:tr>
      <w:tr w:rsidR="00BE6C96" w:rsidRPr="00955D3D" w14:paraId="65EAD495"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37EBEA27"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7082B461"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Fe</w:t>
            </w:r>
          </w:p>
        </w:tc>
        <w:tc>
          <w:tcPr>
            <w:tcW w:w="0" w:type="auto"/>
            <w:hideMark/>
          </w:tcPr>
          <w:p w14:paraId="614EE1C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0.7560</w:t>
            </w:r>
          </w:p>
        </w:tc>
        <w:tc>
          <w:tcPr>
            <w:tcW w:w="0" w:type="auto"/>
            <w:hideMark/>
          </w:tcPr>
          <w:p w14:paraId="2A376DF9"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0.760</w:t>
            </w:r>
          </w:p>
        </w:tc>
        <w:tc>
          <w:tcPr>
            <w:tcW w:w="0" w:type="auto"/>
            <w:hideMark/>
          </w:tcPr>
          <w:p w14:paraId="2B82C086"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0.350</w:t>
            </w:r>
          </w:p>
        </w:tc>
        <w:tc>
          <w:tcPr>
            <w:tcW w:w="0" w:type="auto"/>
            <w:hideMark/>
          </w:tcPr>
          <w:p w14:paraId="5220B111"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1.470</w:t>
            </w:r>
          </w:p>
        </w:tc>
        <w:tc>
          <w:tcPr>
            <w:tcW w:w="0" w:type="auto"/>
            <w:hideMark/>
          </w:tcPr>
          <w:p w14:paraId="4B35B197"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0.4528</w:t>
            </w:r>
          </w:p>
        </w:tc>
      </w:tr>
      <w:tr w:rsidR="00BE6C96" w:rsidRPr="00955D3D" w14:paraId="40E33381"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EA3317"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3FB6E6D3"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Pb</w:t>
            </w:r>
          </w:p>
        </w:tc>
        <w:tc>
          <w:tcPr>
            <w:tcW w:w="0" w:type="auto"/>
            <w:hideMark/>
          </w:tcPr>
          <w:p w14:paraId="66C21507"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0.1196</w:t>
            </w:r>
          </w:p>
        </w:tc>
        <w:tc>
          <w:tcPr>
            <w:tcW w:w="0" w:type="auto"/>
            <w:hideMark/>
          </w:tcPr>
          <w:p w14:paraId="3EAD885B"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0.120</w:t>
            </w:r>
          </w:p>
        </w:tc>
        <w:tc>
          <w:tcPr>
            <w:tcW w:w="0" w:type="auto"/>
            <w:hideMark/>
          </w:tcPr>
          <w:p w14:paraId="2254EA98"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0.087</w:t>
            </w:r>
          </w:p>
        </w:tc>
        <w:tc>
          <w:tcPr>
            <w:tcW w:w="0" w:type="auto"/>
            <w:hideMark/>
          </w:tcPr>
          <w:p w14:paraId="2EB89366"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0.177</w:t>
            </w:r>
          </w:p>
        </w:tc>
        <w:tc>
          <w:tcPr>
            <w:tcW w:w="0" w:type="auto"/>
            <w:hideMark/>
          </w:tcPr>
          <w:p w14:paraId="79FB8326"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0.0365</w:t>
            </w:r>
          </w:p>
        </w:tc>
      </w:tr>
      <w:tr w:rsidR="00BE6C96" w:rsidRPr="00955D3D" w14:paraId="58C29613"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673BA883"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76BCA2D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Zn</w:t>
            </w:r>
          </w:p>
        </w:tc>
        <w:tc>
          <w:tcPr>
            <w:tcW w:w="0" w:type="auto"/>
            <w:hideMark/>
          </w:tcPr>
          <w:p w14:paraId="3DBF4E7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0.4188</w:t>
            </w:r>
          </w:p>
        </w:tc>
        <w:tc>
          <w:tcPr>
            <w:tcW w:w="0" w:type="auto"/>
            <w:hideMark/>
          </w:tcPr>
          <w:p w14:paraId="6F31448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0.422</w:t>
            </w:r>
          </w:p>
        </w:tc>
        <w:tc>
          <w:tcPr>
            <w:tcW w:w="0" w:type="auto"/>
            <w:hideMark/>
          </w:tcPr>
          <w:p w14:paraId="501DE194"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0.225</w:t>
            </w:r>
          </w:p>
        </w:tc>
        <w:tc>
          <w:tcPr>
            <w:tcW w:w="0" w:type="auto"/>
            <w:hideMark/>
          </w:tcPr>
          <w:p w14:paraId="2563C701"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0.761</w:t>
            </w:r>
          </w:p>
        </w:tc>
        <w:tc>
          <w:tcPr>
            <w:tcW w:w="0" w:type="auto"/>
            <w:hideMark/>
          </w:tcPr>
          <w:p w14:paraId="7FD63BD7"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0.2172</w:t>
            </w:r>
          </w:p>
        </w:tc>
      </w:tr>
      <w:tr w:rsidR="00BE6C96" w:rsidRPr="00955D3D" w14:paraId="0EF7466D"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043131"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07DFF9E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Cd</w:t>
            </w:r>
          </w:p>
        </w:tc>
        <w:tc>
          <w:tcPr>
            <w:tcW w:w="0" w:type="auto"/>
            <w:hideMark/>
          </w:tcPr>
          <w:p w14:paraId="36839366"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0.1320</w:t>
            </w:r>
          </w:p>
        </w:tc>
        <w:tc>
          <w:tcPr>
            <w:tcW w:w="0" w:type="auto"/>
            <w:hideMark/>
          </w:tcPr>
          <w:p w14:paraId="70BA8086"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0.096</w:t>
            </w:r>
          </w:p>
        </w:tc>
        <w:tc>
          <w:tcPr>
            <w:tcW w:w="0" w:type="auto"/>
            <w:hideMark/>
          </w:tcPr>
          <w:p w14:paraId="3DE19808"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0.054</w:t>
            </w:r>
          </w:p>
        </w:tc>
        <w:tc>
          <w:tcPr>
            <w:tcW w:w="0" w:type="auto"/>
            <w:hideMark/>
          </w:tcPr>
          <w:p w14:paraId="12922E6B"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0.317</w:t>
            </w:r>
          </w:p>
        </w:tc>
        <w:tc>
          <w:tcPr>
            <w:tcW w:w="0" w:type="auto"/>
            <w:hideMark/>
          </w:tcPr>
          <w:p w14:paraId="0D0B8B9A"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0.1055</w:t>
            </w:r>
          </w:p>
        </w:tc>
      </w:tr>
      <w:tr w:rsidR="00BE6C96" w:rsidRPr="00955D3D" w14:paraId="7C17E870"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3F556EE8"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4B8C93AC"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Fe</w:t>
            </w:r>
          </w:p>
        </w:tc>
        <w:tc>
          <w:tcPr>
            <w:tcW w:w="0" w:type="auto"/>
            <w:hideMark/>
          </w:tcPr>
          <w:p w14:paraId="6B09FBB5"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0.6480</w:t>
            </w:r>
          </w:p>
        </w:tc>
        <w:tc>
          <w:tcPr>
            <w:tcW w:w="0" w:type="auto"/>
            <w:hideMark/>
          </w:tcPr>
          <w:p w14:paraId="790A40DE"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0.490</w:t>
            </w:r>
          </w:p>
        </w:tc>
        <w:tc>
          <w:tcPr>
            <w:tcW w:w="0" w:type="auto"/>
            <w:hideMark/>
          </w:tcPr>
          <w:p w14:paraId="19677711"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0.320</w:t>
            </w:r>
          </w:p>
        </w:tc>
        <w:tc>
          <w:tcPr>
            <w:tcW w:w="0" w:type="auto"/>
            <w:hideMark/>
          </w:tcPr>
          <w:p w14:paraId="314F88BD"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1.440</w:t>
            </w:r>
          </w:p>
        </w:tc>
        <w:tc>
          <w:tcPr>
            <w:tcW w:w="0" w:type="auto"/>
            <w:hideMark/>
          </w:tcPr>
          <w:p w14:paraId="533D9207"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0.4507</w:t>
            </w:r>
          </w:p>
        </w:tc>
      </w:tr>
      <w:tr w:rsidR="00BE6C96" w:rsidRPr="00955D3D" w14:paraId="05867B7E"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3CFEFC"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0B0ECB6A"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Pb</w:t>
            </w:r>
          </w:p>
        </w:tc>
        <w:tc>
          <w:tcPr>
            <w:tcW w:w="0" w:type="auto"/>
            <w:hideMark/>
          </w:tcPr>
          <w:p w14:paraId="519E4805"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0.1110</w:t>
            </w:r>
          </w:p>
        </w:tc>
        <w:tc>
          <w:tcPr>
            <w:tcW w:w="0" w:type="auto"/>
            <w:hideMark/>
          </w:tcPr>
          <w:p w14:paraId="403DCF98"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0.099</w:t>
            </w:r>
          </w:p>
        </w:tc>
        <w:tc>
          <w:tcPr>
            <w:tcW w:w="0" w:type="auto"/>
            <w:hideMark/>
          </w:tcPr>
          <w:p w14:paraId="1E51C3A7"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0.085</w:t>
            </w:r>
          </w:p>
        </w:tc>
        <w:tc>
          <w:tcPr>
            <w:tcW w:w="0" w:type="auto"/>
            <w:hideMark/>
          </w:tcPr>
          <w:p w14:paraId="41CB9172"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0.174</w:t>
            </w:r>
          </w:p>
        </w:tc>
        <w:tc>
          <w:tcPr>
            <w:tcW w:w="0" w:type="auto"/>
            <w:hideMark/>
          </w:tcPr>
          <w:p w14:paraId="39978999"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0.0359</w:t>
            </w:r>
          </w:p>
        </w:tc>
      </w:tr>
      <w:tr w:rsidR="00BE6C96" w:rsidRPr="00955D3D" w14:paraId="54F9A63D"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133C3A23"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088F0E6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Zn</w:t>
            </w:r>
          </w:p>
        </w:tc>
        <w:tc>
          <w:tcPr>
            <w:tcW w:w="0" w:type="auto"/>
            <w:hideMark/>
          </w:tcPr>
          <w:p w14:paraId="73278BE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0.3670</w:t>
            </w:r>
          </w:p>
        </w:tc>
        <w:tc>
          <w:tcPr>
            <w:tcW w:w="0" w:type="auto"/>
            <w:hideMark/>
          </w:tcPr>
          <w:p w14:paraId="4F2E457A"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0.293</w:t>
            </w:r>
          </w:p>
        </w:tc>
        <w:tc>
          <w:tcPr>
            <w:tcW w:w="0" w:type="auto"/>
            <w:hideMark/>
          </w:tcPr>
          <w:p w14:paraId="3D2C3435"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0.209</w:t>
            </w:r>
          </w:p>
        </w:tc>
        <w:tc>
          <w:tcPr>
            <w:tcW w:w="0" w:type="auto"/>
            <w:hideMark/>
          </w:tcPr>
          <w:p w14:paraId="63DBBBC1"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0.746</w:t>
            </w:r>
          </w:p>
        </w:tc>
        <w:tc>
          <w:tcPr>
            <w:tcW w:w="0" w:type="auto"/>
            <w:hideMark/>
          </w:tcPr>
          <w:p w14:paraId="7FBEC788"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0.2159</w:t>
            </w:r>
          </w:p>
        </w:tc>
      </w:tr>
      <w:tr w:rsidR="00BE6C96" w:rsidRPr="00955D3D" w14:paraId="6E36FF90"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6B597D"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1954D665"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Cd</w:t>
            </w:r>
          </w:p>
        </w:tc>
        <w:tc>
          <w:tcPr>
            <w:tcW w:w="0" w:type="auto"/>
            <w:hideMark/>
          </w:tcPr>
          <w:p w14:paraId="66B1AD31"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0.0794</w:t>
            </w:r>
          </w:p>
        </w:tc>
        <w:tc>
          <w:tcPr>
            <w:tcW w:w="0" w:type="auto"/>
            <w:hideMark/>
          </w:tcPr>
          <w:p w14:paraId="494E1C19"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0.051</w:t>
            </w:r>
          </w:p>
        </w:tc>
        <w:tc>
          <w:tcPr>
            <w:tcW w:w="0" w:type="auto"/>
            <w:hideMark/>
          </w:tcPr>
          <w:p w14:paraId="5498C91E"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0.026</w:t>
            </w:r>
          </w:p>
        </w:tc>
        <w:tc>
          <w:tcPr>
            <w:tcW w:w="0" w:type="auto"/>
            <w:hideMark/>
          </w:tcPr>
          <w:p w14:paraId="04685C2B"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0.217</w:t>
            </w:r>
          </w:p>
        </w:tc>
        <w:tc>
          <w:tcPr>
            <w:tcW w:w="0" w:type="auto"/>
            <w:hideMark/>
          </w:tcPr>
          <w:p w14:paraId="32A4900D"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0.0783</w:t>
            </w:r>
          </w:p>
        </w:tc>
      </w:tr>
      <w:tr w:rsidR="00BE6C96" w:rsidRPr="00955D3D" w14:paraId="50C4461E"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4EF72408"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7A2E365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Fe</w:t>
            </w:r>
          </w:p>
        </w:tc>
        <w:tc>
          <w:tcPr>
            <w:tcW w:w="0" w:type="auto"/>
            <w:hideMark/>
          </w:tcPr>
          <w:p w14:paraId="59E6EBD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0.4240</w:t>
            </w:r>
          </w:p>
        </w:tc>
        <w:tc>
          <w:tcPr>
            <w:tcW w:w="0" w:type="auto"/>
            <w:hideMark/>
          </w:tcPr>
          <w:p w14:paraId="0AF16681"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0.300</w:t>
            </w:r>
          </w:p>
        </w:tc>
        <w:tc>
          <w:tcPr>
            <w:tcW w:w="0" w:type="auto"/>
            <w:hideMark/>
          </w:tcPr>
          <w:p w14:paraId="69F61177"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0.200</w:t>
            </w:r>
          </w:p>
        </w:tc>
        <w:tc>
          <w:tcPr>
            <w:tcW w:w="0" w:type="auto"/>
            <w:hideMark/>
          </w:tcPr>
          <w:p w14:paraId="200901B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1.010</w:t>
            </w:r>
          </w:p>
        </w:tc>
        <w:tc>
          <w:tcPr>
            <w:tcW w:w="0" w:type="auto"/>
            <w:hideMark/>
          </w:tcPr>
          <w:p w14:paraId="14926F4B"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0.3329</w:t>
            </w:r>
          </w:p>
        </w:tc>
      </w:tr>
      <w:tr w:rsidR="00BE6C96" w:rsidRPr="00955D3D" w14:paraId="508B2D4D"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C2DDBE"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12C18AA2"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Pb</w:t>
            </w:r>
          </w:p>
        </w:tc>
        <w:tc>
          <w:tcPr>
            <w:tcW w:w="0" w:type="auto"/>
            <w:hideMark/>
          </w:tcPr>
          <w:p w14:paraId="25F01CB4"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0.0930</w:t>
            </w:r>
          </w:p>
        </w:tc>
        <w:tc>
          <w:tcPr>
            <w:tcW w:w="0" w:type="auto"/>
            <w:hideMark/>
          </w:tcPr>
          <w:p w14:paraId="0789F38B"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0.083</w:t>
            </w:r>
          </w:p>
        </w:tc>
        <w:tc>
          <w:tcPr>
            <w:tcW w:w="0" w:type="auto"/>
            <w:hideMark/>
          </w:tcPr>
          <w:p w14:paraId="5250E048"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0.075</w:t>
            </w:r>
          </w:p>
        </w:tc>
        <w:tc>
          <w:tcPr>
            <w:tcW w:w="0" w:type="auto"/>
            <w:hideMark/>
          </w:tcPr>
          <w:p w14:paraId="03B8FA42"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0.140</w:t>
            </w:r>
          </w:p>
        </w:tc>
        <w:tc>
          <w:tcPr>
            <w:tcW w:w="0" w:type="auto"/>
            <w:hideMark/>
          </w:tcPr>
          <w:p w14:paraId="6A65701E"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0.0267</w:t>
            </w:r>
          </w:p>
        </w:tc>
      </w:tr>
      <w:tr w:rsidR="00BE6C96" w:rsidRPr="00955D3D" w14:paraId="42A8A880"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0655CD3A"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24AECCEA"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Zn</w:t>
            </w:r>
          </w:p>
        </w:tc>
        <w:tc>
          <w:tcPr>
            <w:tcW w:w="0" w:type="auto"/>
            <w:hideMark/>
          </w:tcPr>
          <w:p w14:paraId="60F7F23D"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0.2596</w:t>
            </w:r>
          </w:p>
        </w:tc>
        <w:tc>
          <w:tcPr>
            <w:tcW w:w="0" w:type="auto"/>
            <w:hideMark/>
          </w:tcPr>
          <w:p w14:paraId="2315081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0.201</w:t>
            </w:r>
          </w:p>
        </w:tc>
        <w:tc>
          <w:tcPr>
            <w:tcW w:w="0" w:type="auto"/>
            <w:hideMark/>
          </w:tcPr>
          <w:p w14:paraId="78E36251"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0.151</w:t>
            </w:r>
          </w:p>
        </w:tc>
        <w:tc>
          <w:tcPr>
            <w:tcW w:w="0" w:type="auto"/>
            <w:hideMark/>
          </w:tcPr>
          <w:p w14:paraId="463FBE14"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0.541</w:t>
            </w:r>
          </w:p>
        </w:tc>
        <w:tc>
          <w:tcPr>
            <w:tcW w:w="0" w:type="auto"/>
            <w:hideMark/>
          </w:tcPr>
          <w:p w14:paraId="166BDA76"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0.1600</w:t>
            </w:r>
          </w:p>
        </w:tc>
      </w:tr>
    </w:tbl>
    <w:p w14:paraId="5B5502DA" w14:textId="77777777" w:rsidR="00BE6C96" w:rsidRDefault="00BE6C96" w:rsidP="00BE6C96">
      <w:pPr>
        <w:spacing w:line="360" w:lineRule="auto"/>
        <w:jc w:val="both"/>
        <w:rPr>
          <w:rFonts w:asciiTheme="majorBidi" w:hAnsiTheme="majorBidi" w:cstheme="majorBidi"/>
          <w:b/>
          <w:bCs/>
          <w:color w:val="000000" w:themeColor="text1"/>
          <w:u w:val="single"/>
        </w:rPr>
      </w:pPr>
    </w:p>
    <w:p w14:paraId="1602079B" w14:textId="38E2B618" w:rsidR="00E0413D" w:rsidRPr="00E0413D" w:rsidRDefault="00E0413D" w:rsidP="00E0413D">
      <w:pPr>
        <w:spacing w:line="360" w:lineRule="auto"/>
        <w:jc w:val="both"/>
        <w:rPr>
          <w:rFonts w:asciiTheme="majorBidi" w:hAnsiTheme="majorBidi" w:cstheme="majorBidi"/>
          <w:color w:val="000000" w:themeColor="text1"/>
          <w:lang w:val="en-GB"/>
        </w:rPr>
      </w:pPr>
      <w:r w:rsidRPr="00E0413D">
        <w:rPr>
          <w:rFonts w:asciiTheme="majorBidi" w:hAnsiTheme="majorBidi" w:cstheme="majorBidi"/>
          <w:b/>
          <w:bCs/>
          <w:color w:val="000000" w:themeColor="text1"/>
          <w:lang w:val="en-GB"/>
        </w:rPr>
        <w:t>Table A</w:t>
      </w:r>
      <w:proofErr w:type="gramStart"/>
      <w:r w:rsidR="00D85F60">
        <w:rPr>
          <w:rFonts w:asciiTheme="majorBidi" w:hAnsiTheme="majorBidi" w:cstheme="majorBidi"/>
          <w:b/>
          <w:bCs/>
          <w:color w:val="000000" w:themeColor="text1"/>
          <w:lang w:val="en-GB"/>
        </w:rPr>
        <w:t>2</w:t>
      </w:r>
      <w:r w:rsidRPr="00E0413D">
        <w:rPr>
          <w:rFonts w:asciiTheme="majorBidi" w:hAnsiTheme="majorBidi" w:cstheme="majorBidi"/>
          <w:color w:val="000000" w:themeColor="text1"/>
          <w:lang w:val="en-GB"/>
        </w:rPr>
        <w:t xml:space="preserve"> :</w:t>
      </w:r>
      <w:proofErr w:type="gramEnd"/>
      <w:r w:rsidRPr="00E0413D">
        <w:rPr>
          <w:rFonts w:asciiTheme="majorBidi" w:hAnsiTheme="majorBidi" w:cstheme="majorBidi"/>
          <w:color w:val="000000" w:themeColor="text1"/>
          <w:lang w:val="en-GB"/>
        </w:rPr>
        <w:t xml:space="preserve"> Descriptive statistics of heavy metal concentrations (mg/L)</w:t>
      </w:r>
      <w:r>
        <w:rPr>
          <w:rFonts w:asciiTheme="majorBidi" w:hAnsiTheme="majorBidi" w:cstheme="majorBidi"/>
          <w:color w:val="000000" w:themeColor="text1"/>
          <w:lang w:val="en-GB"/>
        </w:rPr>
        <w:t xml:space="preserve"> (</w:t>
      </w:r>
      <w:r w:rsidRPr="00E0413D">
        <w:rPr>
          <w:rFonts w:asciiTheme="majorBidi" w:hAnsiTheme="majorBidi" w:cstheme="majorBidi"/>
          <w:color w:val="000000" w:themeColor="text1"/>
          <w:lang w:val="en-GB"/>
        </w:rPr>
        <w:t>Cotonou</w:t>
      </w:r>
      <w:r>
        <w:rPr>
          <w:rFonts w:asciiTheme="majorBidi" w:hAnsiTheme="majorBidi" w:cstheme="majorBidi"/>
          <w:color w:val="000000" w:themeColor="text1"/>
          <w:lang w:val="en-GB"/>
        </w:rPr>
        <w:t>)</w:t>
      </w:r>
    </w:p>
    <w:tbl>
      <w:tblPr>
        <w:tblStyle w:val="PlainTable1"/>
        <w:tblW w:w="0" w:type="auto"/>
        <w:tblLook w:val="04A0" w:firstRow="1" w:lastRow="0" w:firstColumn="1" w:lastColumn="0" w:noHBand="0" w:noVBand="1"/>
      </w:tblPr>
      <w:tblGrid>
        <w:gridCol w:w="1516"/>
        <w:gridCol w:w="1503"/>
        <w:gridCol w:w="876"/>
        <w:gridCol w:w="1003"/>
        <w:gridCol w:w="756"/>
        <w:gridCol w:w="756"/>
        <w:gridCol w:w="2184"/>
      </w:tblGrid>
      <w:tr w:rsidR="00BE6C96" w:rsidRPr="00955D3D" w14:paraId="65CC31A8" w14:textId="77777777" w:rsidTr="003101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1527DD" w14:textId="77777777" w:rsidR="00BE6C96" w:rsidRPr="00955D3D" w:rsidRDefault="00BE6C96" w:rsidP="0031013D">
            <w:pPr>
              <w:spacing w:line="360" w:lineRule="auto"/>
              <w:jc w:val="both"/>
              <w:rPr>
                <w:rFonts w:asciiTheme="majorBidi" w:hAnsiTheme="majorBidi" w:cstheme="majorBidi"/>
                <w:b w:val="0"/>
                <w:bCs w:val="0"/>
                <w:color w:val="000000" w:themeColor="text1"/>
              </w:rPr>
            </w:pPr>
            <w:r w:rsidRPr="00955D3D">
              <w:rPr>
                <w:rFonts w:asciiTheme="majorBidi" w:hAnsiTheme="majorBidi" w:cstheme="majorBidi"/>
                <w:color w:val="000000" w:themeColor="text1"/>
              </w:rPr>
              <w:t>Distance (m)</w:t>
            </w:r>
          </w:p>
        </w:tc>
        <w:tc>
          <w:tcPr>
            <w:tcW w:w="0" w:type="auto"/>
            <w:hideMark/>
          </w:tcPr>
          <w:p w14:paraId="4DA720CD" w14:textId="091D3CC8" w:rsidR="00BE6C96" w:rsidRPr="00955D3D" w:rsidRDefault="00E0413D"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 xml:space="preserve">Heavy </w:t>
            </w:r>
            <w:proofErr w:type="spellStart"/>
            <w:r>
              <w:rPr>
                <w:rFonts w:asciiTheme="majorBidi" w:hAnsiTheme="majorBidi" w:cstheme="majorBidi"/>
                <w:color w:val="000000" w:themeColor="text1"/>
              </w:rPr>
              <w:t>metal</w:t>
            </w:r>
            <w:proofErr w:type="spellEnd"/>
          </w:p>
        </w:tc>
        <w:tc>
          <w:tcPr>
            <w:tcW w:w="0" w:type="auto"/>
            <w:hideMark/>
          </w:tcPr>
          <w:p w14:paraId="1FA2384F" w14:textId="32FD398F"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proofErr w:type="spellStart"/>
            <w:r w:rsidRPr="00955D3D">
              <w:rPr>
                <w:rFonts w:asciiTheme="majorBidi" w:hAnsiTheme="majorBidi" w:cstheme="majorBidi"/>
                <w:color w:val="000000" w:themeColor="text1"/>
              </w:rPr>
              <w:t>M</w:t>
            </w:r>
            <w:r w:rsidR="00E0413D">
              <w:rPr>
                <w:rFonts w:asciiTheme="majorBidi" w:hAnsiTheme="majorBidi" w:cstheme="majorBidi"/>
                <w:color w:val="000000" w:themeColor="text1"/>
              </w:rPr>
              <w:t>ean</w:t>
            </w:r>
            <w:proofErr w:type="spellEnd"/>
          </w:p>
        </w:tc>
        <w:tc>
          <w:tcPr>
            <w:tcW w:w="0" w:type="auto"/>
            <w:hideMark/>
          </w:tcPr>
          <w:p w14:paraId="2D56EE64" w14:textId="54A8BF95"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proofErr w:type="spellStart"/>
            <w:r w:rsidRPr="00955D3D">
              <w:rPr>
                <w:rFonts w:asciiTheme="majorBidi" w:hAnsiTheme="majorBidi" w:cstheme="majorBidi"/>
                <w:color w:val="000000" w:themeColor="text1"/>
              </w:rPr>
              <w:t>M</w:t>
            </w:r>
            <w:r w:rsidR="00E0413D">
              <w:rPr>
                <w:rFonts w:asciiTheme="majorBidi" w:hAnsiTheme="majorBidi" w:cstheme="majorBidi"/>
                <w:color w:val="000000" w:themeColor="text1"/>
              </w:rPr>
              <w:t>e</w:t>
            </w:r>
            <w:r w:rsidRPr="00955D3D">
              <w:rPr>
                <w:rFonts w:asciiTheme="majorBidi" w:hAnsiTheme="majorBidi" w:cstheme="majorBidi"/>
                <w:color w:val="000000" w:themeColor="text1"/>
              </w:rPr>
              <w:t>dian</w:t>
            </w:r>
            <w:proofErr w:type="spellEnd"/>
          </w:p>
        </w:tc>
        <w:tc>
          <w:tcPr>
            <w:tcW w:w="0" w:type="auto"/>
            <w:hideMark/>
          </w:tcPr>
          <w:p w14:paraId="7B0434F0" w14:textId="77777777"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955D3D">
              <w:rPr>
                <w:rFonts w:asciiTheme="majorBidi" w:hAnsiTheme="majorBidi" w:cstheme="majorBidi"/>
                <w:color w:val="000000" w:themeColor="text1"/>
              </w:rPr>
              <w:t>Min</w:t>
            </w:r>
          </w:p>
        </w:tc>
        <w:tc>
          <w:tcPr>
            <w:tcW w:w="0" w:type="auto"/>
            <w:hideMark/>
          </w:tcPr>
          <w:p w14:paraId="6B6FC762" w14:textId="77777777"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955D3D">
              <w:rPr>
                <w:rFonts w:asciiTheme="majorBidi" w:hAnsiTheme="majorBidi" w:cstheme="majorBidi"/>
                <w:color w:val="000000" w:themeColor="text1"/>
              </w:rPr>
              <w:t>Max</w:t>
            </w:r>
          </w:p>
        </w:tc>
        <w:tc>
          <w:tcPr>
            <w:tcW w:w="0" w:type="auto"/>
            <w:hideMark/>
          </w:tcPr>
          <w:p w14:paraId="3A40DF88" w14:textId="02163FC3" w:rsidR="00BE6C96" w:rsidRPr="00955D3D" w:rsidRDefault="00E0413D"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 xml:space="preserve">Standard </w:t>
            </w:r>
            <w:proofErr w:type="spellStart"/>
            <w:r>
              <w:rPr>
                <w:rFonts w:asciiTheme="majorBidi" w:hAnsiTheme="majorBidi" w:cstheme="majorBidi"/>
                <w:color w:val="000000" w:themeColor="text1"/>
              </w:rPr>
              <w:t>deviation</w:t>
            </w:r>
            <w:proofErr w:type="spellEnd"/>
          </w:p>
        </w:tc>
      </w:tr>
      <w:tr w:rsidR="00BE6C96" w:rsidRPr="00955D3D" w14:paraId="133F9437"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99DE49"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5AF171B5"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As</w:t>
            </w:r>
          </w:p>
        </w:tc>
        <w:tc>
          <w:tcPr>
            <w:tcW w:w="0" w:type="auto"/>
            <w:hideMark/>
          </w:tcPr>
          <w:p w14:paraId="7BA408C3"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0.0012</w:t>
            </w:r>
          </w:p>
        </w:tc>
        <w:tc>
          <w:tcPr>
            <w:tcW w:w="0" w:type="auto"/>
            <w:hideMark/>
          </w:tcPr>
          <w:p w14:paraId="5EF12323"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0.000</w:t>
            </w:r>
          </w:p>
        </w:tc>
        <w:tc>
          <w:tcPr>
            <w:tcW w:w="0" w:type="auto"/>
            <w:hideMark/>
          </w:tcPr>
          <w:p w14:paraId="63DDF11F"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0.000</w:t>
            </w:r>
          </w:p>
        </w:tc>
        <w:tc>
          <w:tcPr>
            <w:tcW w:w="0" w:type="auto"/>
            <w:hideMark/>
          </w:tcPr>
          <w:p w14:paraId="54781252"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0.003</w:t>
            </w:r>
          </w:p>
        </w:tc>
        <w:tc>
          <w:tcPr>
            <w:tcW w:w="0" w:type="auto"/>
            <w:hideMark/>
          </w:tcPr>
          <w:p w14:paraId="1D63A863"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0.0016</w:t>
            </w:r>
          </w:p>
        </w:tc>
      </w:tr>
      <w:tr w:rsidR="00BE6C96" w:rsidRPr="00955D3D" w14:paraId="7072CB02"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0925C8F1"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099A798E"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Cd</w:t>
            </w:r>
          </w:p>
        </w:tc>
        <w:tc>
          <w:tcPr>
            <w:tcW w:w="0" w:type="auto"/>
            <w:hideMark/>
          </w:tcPr>
          <w:p w14:paraId="0635F25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0.4744</w:t>
            </w:r>
          </w:p>
        </w:tc>
        <w:tc>
          <w:tcPr>
            <w:tcW w:w="0" w:type="auto"/>
            <w:hideMark/>
          </w:tcPr>
          <w:p w14:paraId="5E9DA39A"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0.485</w:t>
            </w:r>
          </w:p>
        </w:tc>
        <w:tc>
          <w:tcPr>
            <w:tcW w:w="0" w:type="auto"/>
            <w:hideMark/>
          </w:tcPr>
          <w:p w14:paraId="609A4228"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0.276</w:t>
            </w:r>
          </w:p>
        </w:tc>
        <w:tc>
          <w:tcPr>
            <w:tcW w:w="0" w:type="auto"/>
            <w:hideMark/>
          </w:tcPr>
          <w:p w14:paraId="18E8D20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0.784</w:t>
            </w:r>
          </w:p>
        </w:tc>
        <w:tc>
          <w:tcPr>
            <w:tcW w:w="0" w:type="auto"/>
            <w:hideMark/>
          </w:tcPr>
          <w:p w14:paraId="36CCF8D5"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0.2102</w:t>
            </w:r>
          </w:p>
        </w:tc>
      </w:tr>
      <w:tr w:rsidR="00BE6C96" w:rsidRPr="00955D3D" w14:paraId="64B406D4"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E2FE70"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6548127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Cu</w:t>
            </w:r>
          </w:p>
        </w:tc>
        <w:tc>
          <w:tcPr>
            <w:tcW w:w="0" w:type="auto"/>
            <w:hideMark/>
          </w:tcPr>
          <w:p w14:paraId="18FA0C5F"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0.8630</w:t>
            </w:r>
          </w:p>
        </w:tc>
        <w:tc>
          <w:tcPr>
            <w:tcW w:w="0" w:type="auto"/>
            <w:hideMark/>
          </w:tcPr>
          <w:p w14:paraId="4BB94C83"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0.411</w:t>
            </w:r>
          </w:p>
        </w:tc>
        <w:tc>
          <w:tcPr>
            <w:tcW w:w="0" w:type="auto"/>
            <w:hideMark/>
          </w:tcPr>
          <w:p w14:paraId="1EB919AE"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0.299</w:t>
            </w:r>
          </w:p>
        </w:tc>
        <w:tc>
          <w:tcPr>
            <w:tcW w:w="0" w:type="auto"/>
            <w:hideMark/>
          </w:tcPr>
          <w:p w14:paraId="3E1AE4C1"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2.119</w:t>
            </w:r>
          </w:p>
        </w:tc>
        <w:tc>
          <w:tcPr>
            <w:tcW w:w="0" w:type="auto"/>
            <w:hideMark/>
          </w:tcPr>
          <w:p w14:paraId="28C690F6"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0.7717</w:t>
            </w:r>
          </w:p>
        </w:tc>
      </w:tr>
      <w:tr w:rsidR="00BE6C96" w:rsidRPr="00955D3D" w14:paraId="1BF487C5"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6976EE92"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lastRenderedPageBreak/>
              <w:t>0</w:t>
            </w:r>
          </w:p>
        </w:tc>
        <w:tc>
          <w:tcPr>
            <w:tcW w:w="0" w:type="auto"/>
            <w:hideMark/>
          </w:tcPr>
          <w:p w14:paraId="12AB4509"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Fe</w:t>
            </w:r>
          </w:p>
        </w:tc>
        <w:tc>
          <w:tcPr>
            <w:tcW w:w="0" w:type="auto"/>
            <w:hideMark/>
          </w:tcPr>
          <w:p w14:paraId="4F84369F"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2.1060</w:t>
            </w:r>
          </w:p>
        </w:tc>
        <w:tc>
          <w:tcPr>
            <w:tcW w:w="0" w:type="auto"/>
            <w:hideMark/>
          </w:tcPr>
          <w:p w14:paraId="1E304F2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2.150</w:t>
            </w:r>
          </w:p>
        </w:tc>
        <w:tc>
          <w:tcPr>
            <w:tcW w:w="0" w:type="auto"/>
            <w:hideMark/>
          </w:tcPr>
          <w:p w14:paraId="3E583E8A"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1.260</w:t>
            </w:r>
          </w:p>
        </w:tc>
        <w:tc>
          <w:tcPr>
            <w:tcW w:w="0" w:type="auto"/>
            <w:hideMark/>
          </w:tcPr>
          <w:p w14:paraId="5A640BA6"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3.430</w:t>
            </w:r>
          </w:p>
        </w:tc>
        <w:tc>
          <w:tcPr>
            <w:tcW w:w="0" w:type="auto"/>
            <w:hideMark/>
          </w:tcPr>
          <w:p w14:paraId="4B1FBF23"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0.8976</w:t>
            </w:r>
          </w:p>
        </w:tc>
      </w:tr>
      <w:tr w:rsidR="00BE6C96" w:rsidRPr="00955D3D" w14:paraId="7E838116"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09532E"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73C8D18B"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Pb</w:t>
            </w:r>
          </w:p>
        </w:tc>
        <w:tc>
          <w:tcPr>
            <w:tcW w:w="0" w:type="auto"/>
            <w:hideMark/>
          </w:tcPr>
          <w:p w14:paraId="7A1BA66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0.2276</w:t>
            </w:r>
          </w:p>
        </w:tc>
        <w:tc>
          <w:tcPr>
            <w:tcW w:w="0" w:type="auto"/>
            <w:hideMark/>
          </w:tcPr>
          <w:p w14:paraId="11CC70DA"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0.231</w:t>
            </w:r>
          </w:p>
        </w:tc>
        <w:tc>
          <w:tcPr>
            <w:tcW w:w="0" w:type="auto"/>
            <w:hideMark/>
          </w:tcPr>
          <w:p w14:paraId="6B121929"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0.160</w:t>
            </w:r>
          </w:p>
        </w:tc>
        <w:tc>
          <w:tcPr>
            <w:tcW w:w="0" w:type="auto"/>
            <w:hideMark/>
          </w:tcPr>
          <w:p w14:paraId="305C1C0D"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0.333</w:t>
            </w:r>
          </w:p>
        </w:tc>
        <w:tc>
          <w:tcPr>
            <w:tcW w:w="0" w:type="auto"/>
            <w:hideMark/>
          </w:tcPr>
          <w:p w14:paraId="58ACF6C3"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0.0714</w:t>
            </w:r>
          </w:p>
        </w:tc>
      </w:tr>
      <w:tr w:rsidR="00BE6C96" w:rsidRPr="00955D3D" w14:paraId="6B56F5FB"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15FC1890"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034711A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Zn</w:t>
            </w:r>
          </w:p>
        </w:tc>
        <w:tc>
          <w:tcPr>
            <w:tcW w:w="0" w:type="auto"/>
            <w:hideMark/>
          </w:tcPr>
          <w:p w14:paraId="587BDB46"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1.0676</w:t>
            </w:r>
          </w:p>
        </w:tc>
        <w:tc>
          <w:tcPr>
            <w:tcW w:w="0" w:type="auto"/>
            <w:hideMark/>
          </w:tcPr>
          <w:p w14:paraId="2297F675"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1.089</w:t>
            </w:r>
          </w:p>
        </w:tc>
        <w:tc>
          <w:tcPr>
            <w:tcW w:w="0" w:type="auto"/>
            <w:hideMark/>
          </w:tcPr>
          <w:p w14:paraId="3AD6B1CF"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0.662</w:t>
            </w:r>
          </w:p>
        </w:tc>
        <w:tc>
          <w:tcPr>
            <w:tcW w:w="0" w:type="auto"/>
            <w:hideMark/>
          </w:tcPr>
          <w:p w14:paraId="59701ABB"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1.701</w:t>
            </w:r>
          </w:p>
        </w:tc>
        <w:tc>
          <w:tcPr>
            <w:tcW w:w="0" w:type="auto"/>
            <w:hideMark/>
          </w:tcPr>
          <w:p w14:paraId="3CBE4B2E"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0.4297</w:t>
            </w:r>
          </w:p>
        </w:tc>
      </w:tr>
      <w:tr w:rsidR="00BE6C96" w:rsidRPr="00955D3D" w14:paraId="60048EF4"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2788F6"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41BDF2B3"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Cd</w:t>
            </w:r>
          </w:p>
        </w:tc>
        <w:tc>
          <w:tcPr>
            <w:tcW w:w="0" w:type="auto"/>
            <w:hideMark/>
          </w:tcPr>
          <w:p w14:paraId="2F1492C0"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0.5050</w:t>
            </w:r>
          </w:p>
        </w:tc>
        <w:tc>
          <w:tcPr>
            <w:tcW w:w="0" w:type="auto"/>
            <w:hideMark/>
          </w:tcPr>
          <w:p w14:paraId="434E9270"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0.358</w:t>
            </w:r>
          </w:p>
        </w:tc>
        <w:tc>
          <w:tcPr>
            <w:tcW w:w="0" w:type="auto"/>
            <w:hideMark/>
          </w:tcPr>
          <w:p w14:paraId="38549F7D"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0.205</w:t>
            </w:r>
          </w:p>
        </w:tc>
        <w:tc>
          <w:tcPr>
            <w:tcW w:w="0" w:type="auto"/>
            <w:hideMark/>
          </w:tcPr>
          <w:p w14:paraId="21775F38"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1.203</w:t>
            </w:r>
          </w:p>
        </w:tc>
        <w:tc>
          <w:tcPr>
            <w:tcW w:w="0" w:type="auto"/>
            <w:hideMark/>
          </w:tcPr>
          <w:p w14:paraId="7B8CB4E4"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0.3984</w:t>
            </w:r>
          </w:p>
        </w:tc>
      </w:tr>
      <w:tr w:rsidR="00BE6C96" w:rsidRPr="00955D3D" w14:paraId="47685665"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29ED17DC"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07B9180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Cu</w:t>
            </w:r>
          </w:p>
        </w:tc>
        <w:tc>
          <w:tcPr>
            <w:tcW w:w="0" w:type="auto"/>
            <w:hideMark/>
          </w:tcPr>
          <w:p w14:paraId="62DACA55"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0.5670</w:t>
            </w:r>
          </w:p>
        </w:tc>
        <w:tc>
          <w:tcPr>
            <w:tcW w:w="0" w:type="auto"/>
            <w:hideMark/>
          </w:tcPr>
          <w:p w14:paraId="7E911543"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0.575</w:t>
            </w:r>
          </w:p>
        </w:tc>
        <w:tc>
          <w:tcPr>
            <w:tcW w:w="0" w:type="auto"/>
            <w:hideMark/>
          </w:tcPr>
          <w:p w14:paraId="1EE9AB3F"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0.143</w:t>
            </w:r>
          </w:p>
        </w:tc>
        <w:tc>
          <w:tcPr>
            <w:tcW w:w="0" w:type="auto"/>
            <w:hideMark/>
          </w:tcPr>
          <w:p w14:paraId="055B45C4"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0.903</w:t>
            </w:r>
          </w:p>
        </w:tc>
        <w:tc>
          <w:tcPr>
            <w:tcW w:w="0" w:type="auto"/>
            <w:hideMark/>
          </w:tcPr>
          <w:p w14:paraId="1990145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0.2753</w:t>
            </w:r>
          </w:p>
        </w:tc>
      </w:tr>
      <w:tr w:rsidR="00BE6C96" w:rsidRPr="00955D3D" w14:paraId="10A6532E"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C73AE9"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5E2BA46E"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Fe</w:t>
            </w:r>
          </w:p>
        </w:tc>
        <w:tc>
          <w:tcPr>
            <w:tcW w:w="0" w:type="auto"/>
            <w:hideMark/>
          </w:tcPr>
          <w:p w14:paraId="4B4FFB1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2.2380</w:t>
            </w:r>
          </w:p>
        </w:tc>
        <w:tc>
          <w:tcPr>
            <w:tcW w:w="0" w:type="auto"/>
            <w:hideMark/>
          </w:tcPr>
          <w:p w14:paraId="56613145"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1.610</w:t>
            </w:r>
          </w:p>
        </w:tc>
        <w:tc>
          <w:tcPr>
            <w:tcW w:w="0" w:type="auto"/>
            <w:hideMark/>
          </w:tcPr>
          <w:p w14:paraId="69AC0492"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0.960</w:t>
            </w:r>
          </w:p>
        </w:tc>
        <w:tc>
          <w:tcPr>
            <w:tcW w:w="0" w:type="auto"/>
            <w:hideMark/>
          </w:tcPr>
          <w:p w14:paraId="07385372"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5.210</w:t>
            </w:r>
          </w:p>
        </w:tc>
        <w:tc>
          <w:tcPr>
            <w:tcW w:w="0" w:type="auto"/>
            <w:hideMark/>
          </w:tcPr>
          <w:p w14:paraId="16E6004D"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1.6965</w:t>
            </w:r>
          </w:p>
        </w:tc>
      </w:tr>
      <w:tr w:rsidR="00BE6C96" w:rsidRPr="00955D3D" w14:paraId="0DA7C31F"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57D1D0F2"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2749A776"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Pb</w:t>
            </w:r>
          </w:p>
        </w:tc>
        <w:tc>
          <w:tcPr>
            <w:tcW w:w="0" w:type="auto"/>
            <w:hideMark/>
          </w:tcPr>
          <w:p w14:paraId="4FAA21A6"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0.2382</w:t>
            </w:r>
          </w:p>
        </w:tc>
        <w:tc>
          <w:tcPr>
            <w:tcW w:w="0" w:type="auto"/>
            <w:hideMark/>
          </w:tcPr>
          <w:p w14:paraId="4CD9B798"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0.188</w:t>
            </w:r>
          </w:p>
        </w:tc>
        <w:tc>
          <w:tcPr>
            <w:tcW w:w="0" w:type="auto"/>
            <w:hideMark/>
          </w:tcPr>
          <w:p w14:paraId="57651756"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0.136</w:t>
            </w:r>
          </w:p>
        </w:tc>
        <w:tc>
          <w:tcPr>
            <w:tcW w:w="0" w:type="auto"/>
            <w:hideMark/>
          </w:tcPr>
          <w:p w14:paraId="5C3D2544"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0.476</w:t>
            </w:r>
          </w:p>
        </w:tc>
        <w:tc>
          <w:tcPr>
            <w:tcW w:w="0" w:type="auto"/>
            <w:hideMark/>
          </w:tcPr>
          <w:p w14:paraId="30CB988A"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0.1357</w:t>
            </w:r>
          </w:p>
        </w:tc>
      </w:tr>
      <w:tr w:rsidR="00BE6C96" w:rsidRPr="00955D3D" w14:paraId="3AB98E70"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F53FB2"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16997BCA"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Zn</w:t>
            </w:r>
          </w:p>
        </w:tc>
        <w:tc>
          <w:tcPr>
            <w:tcW w:w="0" w:type="auto"/>
            <w:hideMark/>
          </w:tcPr>
          <w:p w14:paraId="192EAC0F"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1.1302</w:t>
            </w:r>
          </w:p>
        </w:tc>
        <w:tc>
          <w:tcPr>
            <w:tcW w:w="0" w:type="auto"/>
            <w:hideMark/>
          </w:tcPr>
          <w:p w14:paraId="2E8B6D5A"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0.830</w:t>
            </w:r>
          </w:p>
        </w:tc>
        <w:tc>
          <w:tcPr>
            <w:tcW w:w="0" w:type="auto"/>
            <w:hideMark/>
          </w:tcPr>
          <w:p w14:paraId="35EEEE7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0.516</w:t>
            </w:r>
          </w:p>
        </w:tc>
        <w:tc>
          <w:tcPr>
            <w:tcW w:w="0" w:type="auto"/>
            <w:hideMark/>
          </w:tcPr>
          <w:p w14:paraId="2A3FEE41"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2.558</w:t>
            </w:r>
          </w:p>
        </w:tc>
        <w:tc>
          <w:tcPr>
            <w:tcW w:w="0" w:type="auto"/>
            <w:hideMark/>
          </w:tcPr>
          <w:p w14:paraId="71A3F9F8"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0.8150</w:t>
            </w:r>
          </w:p>
        </w:tc>
      </w:tr>
      <w:tr w:rsidR="00BE6C96" w:rsidRPr="00955D3D" w14:paraId="4DE1FA71"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7B9A3587"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660469E3"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Cd</w:t>
            </w:r>
          </w:p>
        </w:tc>
        <w:tc>
          <w:tcPr>
            <w:tcW w:w="0" w:type="auto"/>
            <w:hideMark/>
          </w:tcPr>
          <w:p w14:paraId="525F0E64"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0.4626</w:t>
            </w:r>
          </w:p>
        </w:tc>
        <w:tc>
          <w:tcPr>
            <w:tcW w:w="0" w:type="auto"/>
            <w:hideMark/>
          </w:tcPr>
          <w:p w14:paraId="23B805DF"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0.462</w:t>
            </w:r>
          </w:p>
        </w:tc>
        <w:tc>
          <w:tcPr>
            <w:tcW w:w="0" w:type="auto"/>
            <w:hideMark/>
          </w:tcPr>
          <w:p w14:paraId="65C5F2EF"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0.160</w:t>
            </w:r>
          </w:p>
        </w:tc>
        <w:tc>
          <w:tcPr>
            <w:tcW w:w="0" w:type="auto"/>
            <w:hideMark/>
          </w:tcPr>
          <w:p w14:paraId="76059A21"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0.841</w:t>
            </w:r>
          </w:p>
        </w:tc>
        <w:tc>
          <w:tcPr>
            <w:tcW w:w="0" w:type="auto"/>
            <w:hideMark/>
          </w:tcPr>
          <w:p w14:paraId="4FF6E5FD"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0.2636</w:t>
            </w:r>
          </w:p>
        </w:tc>
      </w:tr>
      <w:tr w:rsidR="00BE6C96" w:rsidRPr="00955D3D" w14:paraId="6A67EC74"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51B197"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6616E750"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Cu</w:t>
            </w:r>
          </w:p>
        </w:tc>
        <w:tc>
          <w:tcPr>
            <w:tcW w:w="0" w:type="auto"/>
            <w:hideMark/>
          </w:tcPr>
          <w:p w14:paraId="17B4D2D7"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0.8240</w:t>
            </w:r>
          </w:p>
        </w:tc>
        <w:tc>
          <w:tcPr>
            <w:tcW w:w="0" w:type="auto"/>
            <w:hideMark/>
          </w:tcPr>
          <w:p w14:paraId="0F092F5E"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0.411</w:t>
            </w:r>
          </w:p>
        </w:tc>
        <w:tc>
          <w:tcPr>
            <w:tcW w:w="0" w:type="auto"/>
            <w:hideMark/>
          </w:tcPr>
          <w:p w14:paraId="6E6AD188"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0.000</w:t>
            </w:r>
          </w:p>
        </w:tc>
        <w:tc>
          <w:tcPr>
            <w:tcW w:w="0" w:type="auto"/>
            <w:hideMark/>
          </w:tcPr>
          <w:p w14:paraId="12F54AF1"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2.311</w:t>
            </w:r>
          </w:p>
        </w:tc>
        <w:tc>
          <w:tcPr>
            <w:tcW w:w="0" w:type="auto"/>
            <w:hideMark/>
          </w:tcPr>
          <w:p w14:paraId="6748AED4"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0.9078</w:t>
            </w:r>
          </w:p>
        </w:tc>
      </w:tr>
      <w:tr w:rsidR="00BE6C96" w:rsidRPr="00955D3D" w14:paraId="62AB764E"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2FE71E7E"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5089A76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Fe</w:t>
            </w:r>
          </w:p>
        </w:tc>
        <w:tc>
          <w:tcPr>
            <w:tcW w:w="0" w:type="auto"/>
            <w:hideMark/>
          </w:tcPr>
          <w:p w14:paraId="4BE72BC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2.0560</w:t>
            </w:r>
          </w:p>
        </w:tc>
        <w:tc>
          <w:tcPr>
            <w:tcW w:w="0" w:type="auto"/>
            <w:hideMark/>
          </w:tcPr>
          <w:p w14:paraId="7E8633B9"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2.050</w:t>
            </w:r>
          </w:p>
        </w:tc>
        <w:tc>
          <w:tcPr>
            <w:tcW w:w="0" w:type="auto"/>
            <w:hideMark/>
          </w:tcPr>
          <w:p w14:paraId="7D7B2B47"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0.770</w:t>
            </w:r>
          </w:p>
        </w:tc>
        <w:tc>
          <w:tcPr>
            <w:tcW w:w="0" w:type="auto"/>
            <w:hideMark/>
          </w:tcPr>
          <w:p w14:paraId="7938325C"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3.670</w:t>
            </w:r>
          </w:p>
        </w:tc>
        <w:tc>
          <w:tcPr>
            <w:tcW w:w="0" w:type="auto"/>
            <w:hideMark/>
          </w:tcPr>
          <w:p w14:paraId="7BF0DF17"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1.1228</w:t>
            </w:r>
          </w:p>
        </w:tc>
      </w:tr>
      <w:tr w:rsidR="00BE6C96" w:rsidRPr="00955D3D" w14:paraId="15780243"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E67F67"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33B26FEE"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Pb</w:t>
            </w:r>
          </w:p>
        </w:tc>
        <w:tc>
          <w:tcPr>
            <w:tcW w:w="0" w:type="auto"/>
            <w:hideMark/>
          </w:tcPr>
          <w:p w14:paraId="5F7CCB4F"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0.2238</w:t>
            </w:r>
          </w:p>
        </w:tc>
        <w:tc>
          <w:tcPr>
            <w:tcW w:w="0" w:type="auto"/>
            <w:hideMark/>
          </w:tcPr>
          <w:p w14:paraId="51908B56"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0.223</w:t>
            </w:r>
          </w:p>
        </w:tc>
        <w:tc>
          <w:tcPr>
            <w:tcW w:w="0" w:type="auto"/>
            <w:hideMark/>
          </w:tcPr>
          <w:p w14:paraId="313E42D3"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0.121</w:t>
            </w:r>
          </w:p>
        </w:tc>
        <w:tc>
          <w:tcPr>
            <w:tcW w:w="0" w:type="auto"/>
            <w:hideMark/>
          </w:tcPr>
          <w:p w14:paraId="3C9677A9"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0.353</w:t>
            </w:r>
          </w:p>
        </w:tc>
        <w:tc>
          <w:tcPr>
            <w:tcW w:w="0" w:type="auto"/>
            <w:hideMark/>
          </w:tcPr>
          <w:p w14:paraId="73797485"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0.0897</w:t>
            </w:r>
          </w:p>
        </w:tc>
      </w:tr>
      <w:tr w:rsidR="00BE6C96" w:rsidRPr="00955D3D" w14:paraId="38D1F187"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37FB8634"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475845C4"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Zn</w:t>
            </w:r>
          </w:p>
        </w:tc>
        <w:tc>
          <w:tcPr>
            <w:tcW w:w="0" w:type="auto"/>
            <w:hideMark/>
          </w:tcPr>
          <w:p w14:paraId="207957FB"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1.0434</w:t>
            </w:r>
          </w:p>
        </w:tc>
        <w:tc>
          <w:tcPr>
            <w:tcW w:w="0" w:type="auto"/>
            <w:hideMark/>
          </w:tcPr>
          <w:p w14:paraId="6A31019C"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1.041</w:t>
            </w:r>
          </w:p>
        </w:tc>
        <w:tc>
          <w:tcPr>
            <w:tcW w:w="0" w:type="auto"/>
            <w:hideMark/>
          </w:tcPr>
          <w:p w14:paraId="7517BE2C"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0.425</w:t>
            </w:r>
          </w:p>
        </w:tc>
        <w:tc>
          <w:tcPr>
            <w:tcW w:w="0" w:type="auto"/>
            <w:hideMark/>
          </w:tcPr>
          <w:p w14:paraId="2AE78B88"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1.817</w:t>
            </w:r>
          </w:p>
        </w:tc>
        <w:tc>
          <w:tcPr>
            <w:tcW w:w="0" w:type="auto"/>
            <w:hideMark/>
          </w:tcPr>
          <w:p w14:paraId="0FE0A977"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0.5387</w:t>
            </w:r>
          </w:p>
        </w:tc>
      </w:tr>
    </w:tbl>
    <w:p w14:paraId="692BA3D4" w14:textId="77777777" w:rsidR="00BE6C96" w:rsidRDefault="00BE6C96" w:rsidP="00BE6C96">
      <w:pPr>
        <w:spacing w:line="360" w:lineRule="auto"/>
        <w:jc w:val="both"/>
        <w:rPr>
          <w:rFonts w:asciiTheme="majorBidi" w:hAnsiTheme="majorBidi" w:cstheme="majorBidi"/>
          <w:b/>
          <w:bCs/>
          <w:color w:val="000000" w:themeColor="text1"/>
          <w:u w:val="single"/>
        </w:rPr>
      </w:pPr>
    </w:p>
    <w:p w14:paraId="4A38E969" w14:textId="320B164A" w:rsidR="00BE6C96" w:rsidRPr="00020E2E" w:rsidRDefault="00020E2E" w:rsidP="00BE6C96">
      <w:pPr>
        <w:spacing w:line="360" w:lineRule="auto"/>
        <w:jc w:val="both"/>
        <w:rPr>
          <w:rFonts w:asciiTheme="majorBidi" w:hAnsiTheme="majorBidi" w:cstheme="majorBidi"/>
          <w:color w:val="000000" w:themeColor="text1"/>
          <w:lang w:val="en-GB"/>
        </w:rPr>
      </w:pPr>
      <w:r w:rsidRPr="00020E2E">
        <w:rPr>
          <w:rFonts w:asciiTheme="majorBidi" w:hAnsiTheme="majorBidi" w:cstheme="majorBidi"/>
          <w:b/>
          <w:bCs/>
          <w:color w:val="000000" w:themeColor="text1"/>
          <w:lang w:val="en-GB"/>
        </w:rPr>
        <w:t>Table A</w:t>
      </w:r>
      <w:proofErr w:type="gramStart"/>
      <w:r w:rsidR="00D85F60">
        <w:rPr>
          <w:rFonts w:asciiTheme="majorBidi" w:hAnsiTheme="majorBidi" w:cstheme="majorBidi"/>
          <w:b/>
          <w:bCs/>
          <w:color w:val="000000" w:themeColor="text1"/>
          <w:lang w:val="en-GB"/>
        </w:rPr>
        <w:t>3</w:t>
      </w:r>
      <w:r w:rsidRPr="00020E2E">
        <w:rPr>
          <w:rFonts w:asciiTheme="majorBidi" w:hAnsiTheme="majorBidi" w:cstheme="majorBidi"/>
          <w:color w:val="000000" w:themeColor="text1"/>
          <w:lang w:val="en-GB"/>
        </w:rPr>
        <w:t xml:space="preserve"> :</w:t>
      </w:r>
      <w:proofErr w:type="gramEnd"/>
      <w:r w:rsidRPr="00020E2E">
        <w:rPr>
          <w:rFonts w:asciiTheme="majorBidi" w:hAnsiTheme="majorBidi" w:cstheme="majorBidi"/>
          <w:color w:val="000000" w:themeColor="text1"/>
          <w:lang w:val="en-GB"/>
        </w:rPr>
        <w:t xml:space="preserve"> Descriptive statistics of heavy metal concentrations (mg/L)</w:t>
      </w:r>
      <w:r>
        <w:rPr>
          <w:rFonts w:asciiTheme="majorBidi" w:hAnsiTheme="majorBidi" w:cstheme="majorBidi"/>
          <w:color w:val="000000" w:themeColor="text1"/>
          <w:lang w:val="en-GB"/>
        </w:rPr>
        <w:t xml:space="preserve"> (</w:t>
      </w:r>
      <w:proofErr w:type="spellStart"/>
      <w:r w:rsidRPr="00020E2E">
        <w:rPr>
          <w:rFonts w:asciiTheme="majorBidi" w:hAnsiTheme="majorBidi" w:cstheme="majorBidi"/>
          <w:color w:val="000000" w:themeColor="text1"/>
          <w:lang w:val="en-GB"/>
        </w:rPr>
        <w:t>Natitingou</w:t>
      </w:r>
      <w:proofErr w:type="spellEnd"/>
      <w:r>
        <w:rPr>
          <w:rFonts w:asciiTheme="majorBidi" w:hAnsiTheme="majorBidi" w:cstheme="majorBidi"/>
          <w:color w:val="000000" w:themeColor="text1"/>
          <w:lang w:val="en-GB"/>
        </w:rPr>
        <w:t>)</w:t>
      </w:r>
    </w:p>
    <w:tbl>
      <w:tblPr>
        <w:tblStyle w:val="PlainTable1"/>
        <w:tblpPr w:leftFromText="180" w:rightFromText="180" w:horzAnchor="page" w:tblpX="1941" w:tblpY="250"/>
        <w:tblW w:w="0" w:type="auto"/>
        <w:tblLook w:val="04A0" w:firstRow="1" w:lastRow="0" w:firstColumn="1" w:lastColumn="0" w:noHBand="0" w:noVBand="1"/>
      </w:tblPr>
      <w:tblGrid>
        <w:gridCol w:w="1516"/>
        <w:gridCol w:w="1503"/>
        <w:gridCol w:w="996"/>
        <w:gridCol w:w="1003"/>
        <w:gridCol w:w="876"/>
        <w:gridCol w:w="876"/>
      </w:tblGrid>
      <w:tr w:rsidR="003A133E" w:rsidRPr="00955D3D" w14:paraId="45135463" w14:textId="77777777" w:rsidTr="003A13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5F427B" w14:textId="2A889563" w:rsidR="003A133E" w:rsidRPr="00955D3D" w:rsidRDefault="003A133E" w:rsidP="003A133E">
            <w:pPr>
              <w:spacing w:line="360" w:lineRule="auto"/>
              <w:jc w:val="both"/>
              <w:rPr>
                <w:rFonts w:asciiTheme="majorBidi" w:hAnsiTheme="majorBidi" w:cstheme="majorBidi"/>
                <w:b w:val="0"/>
                <w:bCs w:val="0"/>
                <w:color w:val="000000" w:themeColor="text1"/>
              </w:rPr>
            </w:pPr>
            <w:r w:rsidRPr="00955D3D">
              <w:rPr>
                <w:rFonts w:asciiTheme="majorBidi" w:hAnsiTheme="majorBidi" w:cstheme="majorBidi"/>
                <w:color w:val="000000" w:themeColor="text1"/>
              </w:rPr>
              <w:lastRenderedPageBreak/>
              <w:t>Distance (m)</w:t>
            </w:r>
          </w:p>
        </w:tc>
        <w:tc>
          <w:tcPr>
            <w:tcW w:w="0" w:type="auto"/>
            <w:hideMark/>
          </w:tcPr>
          <w:p w14:paraId="55861A49" w14:textId="76A31E4E" w:rsidR="003A133E" w:rsidRPr="00955D3D" w:rsidRDefault="003A133E" w:rsidP="003A133E">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 xml:space="preserve">Heavy </w:t>
            </w:r>
            <w:proofErr w:type="spellStart"/>
            <w:r>
              <w:rPr>
                <w:rFonts w:asciiTheme="majorBidi" w:hAnsiTheme="majorBidi" w:cstheme="majorBidi"/>
                <w:color w:val="000000" w:themeColor="text1"/>
              </w:rPr>
              <w:t>metal</w:t>
            </w:r>
            <w:proofErr w:type="spellEnd"/>
          </w:p>
        </w:tc>
        <w:tc>
          <w:tcPr>
            <w:tcW w:w="0" w:type="auto"/>
            <w:hideMark/>
          </w:tcPr>
          <w:p w14:paraId="14AB45CD" w14:textId="13609339" w:rsidR="003A133E" w:rsidRPr="00955D3D" w:rsidRDefault="003A133E" w:rsidP="003A133E">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proofErr w:type="spellStart"/>
            <w:r w:rsidRPr="00955D3D">
              <w:rPr>
                <w:rFonts w:asciiTheme="majorBidi" w:hAnsiTheme="majorBidi" w:cstheme="majorBidi"/>
                <w:color w:val="000000" w:themeColor="text1"/>
              </w:rPr>
              <w:t>M</w:t>
            </w:r>
            <w:r>
              <w:rPr>
                <w:rFonts w:asciiTheme="majorBidi" w:hAnsiTheme="majorBidi" w:cstheme="majorBidi"/>
                <w:color w:val="000000" w:themeColor="text1"/>
              </w:rPr>
              <w:t>ean</w:t>
            </w:r>
            <w:proofErr w:type="spellEnd"/>
          </w:p>
        </w:tc>
        <w:tc>
          <w:tcPr>
            <w:tcW w:w="0" w:type="auto"/>
            <w:hideMark/>
          </w:tcPr>
          <w:p w14:paraId="09A196CD" w14:textId="4BDDB0C7" w:rsidR="003A133E" w:rsidRPr="00955D3D" w:rsidRDefault="003A133E" w:rsidP="003A133E">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proofErr w:type="spellStart"/>
            <w:r w:rsidRPr="00955D3D">
              <w:rPr>
                <w:rFonts w:asciiTheme="majorBidi" w:hAnsiTheme="majorBidi" w:cstheme="majorBidi"/>
                <w:color w:val="000000" w:themeColor="text1"/>
              </w:rPr>
              <w:t>M</w:t>
            </w:r>
            <w:r>
              <w:rPr>
                <w:rFonts w:asciiTheme="majorBidi" w:hAnsiTheme="majorBidi" w:cstheme="majorBidi"/>
                <w:color w:val="000000" w:themeColor="text1"/>
              </w:rPr>
              <w:t>e</w:t>
            </w:r>
            <w:r w:rsidRPr="00955D3D">
              <w:rPr>
                <w:rFonts w:asciiTheme="majorBidi" w:hAnsiTheme="majorBidi" w:cstheme="majorBidi"/>
                <w:color w:val="000000" w:themeColor="text1"/>
              </w:rPr>
              <w:t>dian</w:t>
            </w:r>
            <w:proofErr w:type="spellEnd"/>
          </w:p>
        </w:tc>
        <w:tc>
          <w:tcPr>
            <w:tcW w:w="0" w:type="auto"/>
            <w:hideMark/>
          </w:tcPr>
          <w:p w14:paraId="1722FB56" w14:textId="5AB21AAE" w:rsidR="003A133E" w:rsidRPr="00955D3D" w:rsidRDefault="003A133E" w:rsidP="003A133E">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955D3D">
              <w:rPr>
                <w:rFonts w:asciiTheme="majorBidi" w:hAnsiTheme="majorBidi" w:cstheme="majorBidi"/>
                <w:color w:val="000000" w:themeColor="text1"/>
              </w:rPr>
              <w:t>Min</w:t>
            </w:r>
          </w:p>
        </w:tc>
        <w:tc>
          <w:tcPr>
            <w:tcW w:w="0" w:type="auto"/>
            <w:hideMark/>
          </w:tcPr>
          <w:p w14:paraId="3410C2F2" w14:textId="579490F7" w:rsidR="003A133E" w:rsidRPr="00955D3D" w:rsidRDefault="003A133E" w:rsidP="003A133E">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955D3D">
              <w:rPr>
                <w:rFonts w:asciiTheme="majorBidi" w:hAnsiTheme="majorBidi" w:cstheme="majorBidi"/>
                <w:color w:val="000000" w:themeColor="text1"/>
              </w:rPr>
              <w:t>Max</w:t>
            </w:r>
          </w:p>
        </w:tc>
      </w:tr>
      <w:tr w:rsidR="003A133E" w:rsidRPr="00955D3D" w14:paraId="7FE89D7E" w14:textId="77777777" w:rsidTr="003A13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9940B2" w14:textId="77777777" w:rsidR="003A133E" w:rsidRPr="00955D3D" w:rsidRDefault="003A133E" w:rsidP="003A133E">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3F53B844"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As</w:t>
            </w:r>
          </w:p>
        </w:tc>
        <w:tc>
          <w:tcPr>
            <w:tcW w:w="0" w:type="auto"/>
            <w:hideMark/>
          </w:tcPr>
          <w:p w14:paraId="09D0ED1C"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0.0030</w:t>
            </w:r>
          </w:p>
        </w:tc>
        <w:tc>
          <w:tcPr>
            <w:tcW w:w="0" w:type="auto"/>
            <w:hideMark/>
          </w:tcPr>
          <w:p w14:paraId="2F250DEF"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0.003</w:t>
            </w:r>
          </w:p>
        </w:tc>
        <w:tc>
          <w:tcPr>
            <w:tcW w:w="0" w:type="auto"/>
            <w:hideMark/>
          </w:tcPr>
          <w:p w14:paraId="3B945D98"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0.003</w:t>
            </w:r>
          </w:p>
        </w:tc>
        <w:tc>
          <w:tcPr>
            <w:tcW w:w="0" w:type="auto"/>
            <w:hideMark/>
          </w:tcPr>
          <w:p w14:paraId="45D76CE8"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0.003</w:t>
            </w:r>
          </w:p>
        </w:tc>
      </w:tr>
      <w:tr w:rsidR="003A133E" w:rsidRPr="00955D3D" w14:paraId="52975A09" w14:textId="77777777" w:rsidTr="003A133E">
        <w:tc>
          <w:tcPr>
            <w:cnfStyle w:val="001000000000" w:firstRow="0" w:lastRow="0" w:firstColumn="1" w:lastColumn="0" w:oddVBand="0" w:evenVBand="0" w:oddHBand="0" w:evenHBand="0" w:firstRowFirstColumn="0" w:firstRowLastColumn="0" w:lastRowFirstColumn="0" w:lastRowLastColumn="0"/>
            <w:tcW w:w="0" w:type="auto"/>
            <w:hideMark/>
          </w:tcPr>
          <w:p w14:paraId="19EEEDAD" w14:textId="77777777" w:rsidR="003A133E" w:rsidRPr="00955D3D" w:rsidRDefault="003A133E" w:rsidP="003A133E">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7E20C5E8"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Cd</w:t>
            </w:r>
          </w:p>
        </w:tc>
        <w:tc>
          <w:tcPr>
            <w:tcW w:w="0" w:type="auto"/>
            <w:hideMark/>
          </w:tcPr>
          <w:p w14:paraId="4A556119"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0.0660</w:t>
            </w:r>
          </w:p>
        </w:tc>
        <w:tc>
          <w:tcPr>
            <w:tcW w:w="0" w:type="auto"/>
            <w:hideMark/>
          </w:tcPr>
          <w:p w14:paraId="487AD3D3"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0.066</w:t>
            </w:r>
          </w:p>
        </w:tc>
        <w:tc>
          <w:tcPr>
            <w:tcW w:w="0" w:type="auto"/>
            <w:hideMark/>
          </w:tcPr>
          <w:p w14:paraId="2B1D1407"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0.066</w:t>
            </w:r>
          </w:p>
        </w:tc>
        <w:tc>
          <w:tcPr>
            <w:tcW w:w="0" w:type="auto"/>
            <w:hideMark/>
          </w:tcPr>
          <w:p w14:paraId="15962A3C"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0.066</w:t>
            </w:r>
          </w:p>
        </w:tc>
      </w:tr>
      <w:tr w:rsidR="003A133E" w:rsidRPr="00955D3D" w14:paraId="07CBD4CE" w14:textId="77777777" w:rsidTr="003A13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65FF1D" w14:textId="77777777" w:rsidR="003A133E" w:rsidRPr="00955D3D" w:rsidRDefault="003A133E" w:rsidP="003A133E">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4AF8A7F8"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Cu</w:t>
            </w:r>
          </w:p>
        </w:tc>
        <w:tc>
          <w:tcPr>
            <w:tcW w:w="0" w:type="auto"/>
            <w:hideMark/>
          </w:tcPr>
          <w:p w14:paraId="4050A3EB"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1.6830</w:t>
            </w:r>
          </w:p>
        </w:tc>
        <w:tc>
          <w:tcPr>
            <w:tcW w:w="0" w:type="auto"/>
            <w:hideMark/>
          </w:tcPr>
          <w:p w14:paraId="70AD4B81"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1.683</w:t>
            </w:r>
          </w:p>
        </w:tc>
        <w:tc>
          <w:tcPr>
            <w:tcW w:w="0" w:type="auto"/>
            <w:hideMark/>
          </w:tcPr>
          <w:p w14:paraId="43368B99"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1.683</w:t>
            </w:r>
          </w:p>
        </w:tc>
        <w:tc>
          <w:tcPr>
            <w:tcW w:w="0" w:type="auto"/>
            <w:hideMark/>
          </w:tcPr>
          <w:p w14:paraId="1E96509D"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1.683</w:t>
            </w:r>
          </w:p>
        </w:tc>
      </w:tr>
      <w:tr w:rsidR="003A133E" w:rsidRPr="00955D3D" w14:paraId="6485FA1E" w14:textId="77777777" w:rsidTr="003A133E">
        <w:tc>
          <w:tcPr>
            <w:cnfStyle w:val="001000000000" w:firstRow="0" w:lastRow="0" w:firstColumn="1" w:lastColumn="0" w:oddVBand="0" w:evenVBand="0" w:oddHBand="0" w:evenHBand="0" w:firstRowFirstColumn="0" w:firstRowLastColumn="0" w:lastRowFirstColumn="0" w:lastRowLastColumn="0"/>
            <w:tcW w:w="0" w:type="auto"/>
            <w:hideMark/>
          </w:tcPr>
          <w:p w14:paraId="31AF9749" w14:textId="77777777" w:rsidR="003A133E" w:rsidRPr="00955D3D" w:rsidRDefault="003A133E" w:rsidP="003A133E">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384BAB0E"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Fe</w:t>
            </w:r>
          </w:p>
        </w:tc>
        <w:tc>
          <w:tcPr>
            <w:tcW w:w="0" w:type="auto"/>
            <w:hideMark/>
          </w:tcPr>
          <w:p w14:paraId="49EE0244"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2.8800</w:t>
            </w:r>
          </w:p>
        </w:tc>
        <w:tc>
          <w:tcPr>
            <w:tcW w:w="0" w:type="auto"/>
            <w:hideMark/>
          </w:tcPr>
          <w:p w14:paraId="4AD9BDCC"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2.880</w:t>
            </w:r>
          </w:p>
        </w:tc>
        <w:tc>
          <w:tcPr>
            <w:tcW w:w="0" w:type="auto"/>
            <w:hideMark/>
          </w:tcPr>
          <w:p w14:paraId="1E5325CF"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2.880</w:t>
            </w:r>
          </w:p>
        </w:tc>
        <w:tc>
          <w:tcPr>
            <w:tcW w:w="0" w:type="auto"/>
            <w:hideMark/>
          </w:tcPr>
          <w:p w14:paraId="76DE42D9"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2.880</w:t>
            </w:r>
          </w:p>
        </w:tc>
      </w:tr>
      <w:tr w:rsidR="003A133E" w:rsidRPr="00955D3D" w14:paraId="000A7DBD" w14:textId="77777777" w:rsidTr="003A13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D937DB" w14:textId="77777777" w:rsidR="003A133E" w:rsidRPr="00955D3D" w:rsidRDefault="003A133E" w:rsidP="003A133E">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62406FB3"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Pb</w:t>
            </w:r>
          </w:p>
        </w:tc>
        <w:tc>
          <w:tcPr>
            <w:tcW w:w="0" w:type="auto"/>
            <w:hideMark/>
          </w:tcPr>
          <w:p w14:paraId="5D0A0723"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0.2900</w:t>
            </w:r>
          </w:p>
        </w:tc>
        <w:tc>
          <w:tcPr>
            <w:tcW w:w="0" w:type="auto"/>
            <w:hideMark/>
          </w:tcPr>
          <w:p w14:paraId="64C0A3C7"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0.290</w:t>
            </w:r>
          </w:p>
        </w:tc>
        <w:tc>
          <w:tcPr>
            <w:tcW w:w="0" w:type="auto"/>
            <w:hideMark/>
          </w:tcPr>
          <w:p w14:paraId="4D57EFDF"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0.290</w:t>
            </w:r>
          </w:p>
        </w:tc>
        <w:tc>
          <w:tcPr>
            <w:tcW w:w="0" w:type="auto"/>
            <w:hideMark/>
          </w:tcPr>
          <w:p w14:paraId="419A0B0A"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0.290</w:t>
            </w:r>
          </w:p>
        </w:tc>
      </w:tr>
      <w:tr w:rsidR="003A133E" w:rsidRPr="00955D3D" w14:paraId="52521E3F" w14:textId="77777777" w:rsidTr="003A133E">
        <w:tc>
          <w:tcPr>
            <w:cnfStyle w:val="001000000000" w:firstRow="0" w:lastRow="0" w:firstColumn="1" w:lastColumn="0" w:oddVBand="0" w:evenVBand="0" w:oddHBand="0" w:evenHBand="0" w:firstRowFirstColumn="0" w:firstRowLastColumn="0" w:lastRowFirstColumn="0" w:lastRowLastColumn="0"/>
            <w:tcW w:w="0" w:type="auto"/>
            <w:hideMark/>
          </w:tcPr>
          <w:p w14:paraId="2D867030" w14:textId="77777777" w:rsidR="003A133E" w:rsidRPr="00955D3D" w:rsidRDefault="003A133E" w:rsidP="003A133E">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198AA195"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Zn</w:t>
            </w:r>
          </w:p>
        </w:tc>
        <w:tc>
          <w:tcPr>
            <w:tcW w:w="0" w:type="auto"/>
            <w:hideMark/>
          </w:tcPr>
          <w:p w14:paraId="76657E75"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1.4400</w:t>
            </w:r>
          </w:p>
        </w:tc>
        <w:tc>
          <w:tcPr>
            <w:tcW w:w="0" w:type="auto"/>
            <w:hideMark/>
          </w:tcPr>
          <w:p w14:paraId="2EB14A96"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1.440</w:t>
            </w:r>
          </w:p>
        </w:tc>
        <w:tc>
          <w:tcPr>
            <w:tcW w:w="0" w:type="auto"/>
            <w:hideMark/>
          </w:tcPr>
          <w:p w14:paraId="62872E89"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1.440</w:t>
            </w:r>
          </w:p>
        </w:tc>
        <w:tc>
          <w:tcPr>
            <w:tcW w:w="0" w:type="auto"/>
            <w:hideMark/>
          </w:tcPr>
          <w:p w14:paraId="771139FF"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1.440</w:t>
            </w:r>
          </w:p>
        </w:tc>
      </w:tr>
      <w:tr w:rsidR="003A133E" w:rsidRPr="00955D3D" w14:paraId="0F72A041" w14:textId="77777777" w:rsidTr="003A13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5F3EAA" w14:textId="77777777" w:rsidR="003A133E" w:rsidRPr="00955D3D" w:rsidRDefault="003A133E" w:rsidP="003A133E">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67F3C92F"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Cd</w:t>
            </w:r>
          </w:p>
        </w:tc>
        <w:tc>
          <w:tcPr>
            <w:tcW w:w="0" w:type="auto"/>
            <w:hideMark/>
          </w:tcPr>
          <w:p w14:paraId="0E7A1094"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0.4210</w:t>
            </w:r>
          </w:p>
        </w:tc>
        <w:tc>
          <w:tcPr>
            <w:tcW w:w="0" w:type="auto"/>
            <w:hideMark/>
          </w:tcPr>
          <w:p w14:paraId="7BDAC4F2"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0.421</w:t>
            </w:r>
          </w:p>
        </w:tc>
        <w:tc>
          <w:tcPr>
            <w:tcW w:w="0" w:type="auto"/>
            <w:hideMark/>
          </w:tcPr>
          <w:p w14:paraId="12C26730"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0.421</w:t>
            </w:r>
          </w:p>
        </w:tc>
        <w:tc>
          <w:tcPr>
            <w:tcW w:w="0" w:type="auto"/>
            <w:hideMark/>
          </w:tcPr>
          <w:p w14:paraId="46FD45DF"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0.421</w:t>
            </w:r>
          </w:p>
        </w:tc>
      </w:tr>
      <w:tr w:rsidR="003A133E" w:rsidRPr="00955D3D" w14:paraId="5AC9AFF4" w14:textId="77777777" w:rsidTr="003A133E">
        <w:tc>
          <w:tcPr>
            <w:cnfStyle w:val="001000000000" w:firstRow="0" w:lastRow="0" w:firstColumn="1" w:lastColumn="0" w:oddVBand="0" w:evenVBand="0" w:oddHBand="0" w:evenHBand="0" w:firstRowFirstColumn="0" w:firstRowLastColumn="0" w:lastRowFirstColumn="0" w:lastRowLastColumn="0"/>
            <w:tcW w:w="0" w:type="auto"/>
            <w:hideMark/>
          </w:tcPr>
          <w:p w14:paraId="3B7AA013" w14:textId="77777777" w:rsidR="003A133E" w:rsidRPr="00955D3D" w:rsidRDefault="003A133E" w:rsidP="003A133E">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6A5BD729"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Cu</w:t>
            </w:r>
          </w:p>
        </w:tc>
        <w:tc>
          <w:tcPr>
            <w:tcW w:w="0" w:type="auto"/>
            <w:hideMark/>
          </w:tcPr>
          <w:p w14:paraId="605A2D10"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13.7800</w:t>
            </w:r>
          </w:p>
        </w:tc>
        <w:tc>
          <w:tcPr>
            <w:tcW w:w="0" w:type="auto"/>
            <w:hideMark/>
          </w:tcPr>
          <w:p w14:paraId="7E7FB199"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13.780</w:t>
            </w:r>
          </w:p>
        </w:tc>
        <w:tc>
          <w:tcPr>
            <w:tcW w:w="0" w:type="auto"/>
            <w:hideMark/>
          </w:tcPr>
          <w:p w14:paraId="03CD4547"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13.780</w:t>
            </w:r>
          </w:p>
        </w:tc>
        <w:tc>
          <w:tcPr>
            <w:tcW w:w="0" w:type="auto"/>
            <w:hideMark/>
          </w:tcPr>
          <w:p w14:paraId="74E770A8"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13.780</w:t>
            </w:r>
          </w:p>
        </w:tc>
      </w:tr>
      <w:tr w:rsidR="003A133E" w:rsidRPr="00955D3D" w14:paraId="55C4B716" w14:textId="77777777" w:rsidTr="003A13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70037A" w14:textId="77777777" w:rsidR="003A133E" w:rsidRPr="00955D3D" w:rsidRDefault="003A133E" w:rsidP="003A133E">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12421F03"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Fe</w:t>
            </w:r>
          </w:p>
        </w:tc>
        <w:tc>
          <w:tcPr>
            <w:tcW w:w="0" w:type="auto"/>
            <w:hideMark/>
          </w:tcPr>
          <w:p w14:paraId="0DAC78B4"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18.0000</w:t>
            </w:r>
          </w:p>
        </w:tc>
        <w:tc>
          <w:tcPr>
            <w:tcW w:w="0" w:type="auto"/>
            <w:hideMark/>
          </w:tcPr>
          <w:p w14:paraId="2C9F573A"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18.000</w:t>
            </w:r>
          </w:p>
        </w:tc>
        <w:tc>
          <w:tcPr>
            <w:tcW w:w="0" w:type="auto"/>
            <w:hideMark/>
          </w:tcPr>
          <w:p w14:paraId="77E20AA2"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18.000</w:t>
            </w:r>
          </w:p>
        </w:tc>
        <w:tc>
          <w:tcPr>
            <w:tcW w:w="0" w:type="auto"/>
            <w:hideMark/>
          </w:tcPr>
          <w:p w14:paraId="35BEDC64"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18.000</w:t>
            </w:r>
          </w:p>
        </w:tc>
      </w:tr>
      <w:tr w:rsidR="003A133E" w:rsidRPr="00955D3D" w14:paraId="15D7B986" w14:textId="77777777" w:rsidTr="003A133E">
        <w:tc>
          <w:tcPr>
            <w:cnfStyle w:val="001000000000" w:firstRow="0" w:lastRow="0" w:firstColumn="1" w:lastColumn="0" w:oddVBand="0" w:evenVBand="0" w:oddHBand="0" w:evenHBand="0" w:firstRowFirstColumn="0" w:firstRowLastColumn="0" w:lastRowFirstColumn="0" w:lastRowLastColumn="0"/>
            <w:tcW w:w="0" w:type="auto"/>
            <w:hideMark/>
          </w:tcPr>
          <w:p w14:paraId="76B09A89" w14:textId="77777777" w:rsidR="003A133E" w:rsidRPr="00955D3D" w:rsidRDefault="003A133E" w:rsidP="003A133E">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702567E9"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Pb</w:t>
            </w:r>
          </w:p>
        </w:tc>
        <w:tc>
          <w:tcPr>
            <w:tcW w:w="0" w:type="auto"/>
            <w:hideMark/>
          </w:tcPr>
          <w:p w14:paraId="66105672"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1.5000</w:t>
            </w:r>
          </w:p>
        </w:tc>
        <w:tc>
          <w:tcPr>
            <w:tcW w:w="0" w:type="auto"/>
            <w:hideMark/>
          </w:tcPr>
          <w:p w14:paraId="1BD1368C"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1.500</w:t>
            </w:r>
          </w:p>
        </w:tc>
        <w:tc>
          <w:tcPr>
            <w:tcW w:w="0" w:type="auto"/>
            <w:hideMark/>
          </w:tcPr>
          <w:p w14:paraId="44265840"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1.500</w:t>
            </w:r>
          </w:p>
        </w:tc>
        <w:tc>
          <w:tcPr>
            <w:tcW w:w="0" w:type="auto"/>
            <w:hideMark/>
          </w:tcPr>
          <w:p w14:paraId="0E145C5B"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1.500</w:t>
            </w:r>
          </w:p>
        </w:tc>
      </w:tr>
      <w:tr w:rsidR="003A133E" w:rsidRPr="00955D3D" w14:paraId="51521F3A" w14:textId="77777777" w:rsidTr="003A13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F4FE95" w14:textId="77777777" w:rsidR="003A133E" w:rsidRPr="00955D3D" w:rsidRDefault="003A133E" w:rsidP="003A133E">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44D756BF"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Zn</w:t>
            </w:r>
          </w:p>
        </w:tc>
        <w:tc>
          <w:tcPr>
            <w:tcW w:w="0" w:type="auto"/>
            <w:hideMark/>
          </w:tcPr>
          <w:p w14:paraId="1427B535"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8.7000</w:t>
            </w:r>
          </w:p>
        </w:tc>
        <w:tc>
          <w:tcPr>
            <w:tcW w:w="0" w:type="auto"/>
            <w:hideMark/>
          </w:tcPr>
          <w:p w14:paraId="525F613C"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8.700</w:t>
            </w:r>
          </w:p>
        </w:tc>
        <w:tc>
          <w:tcPr>
            <w:tcW w:w="0" w:type="auto"/>
            <w:hideMark/>
          </w:tcPr>
          <w:p w14:paraId="3022105E"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8.700</w:t>
            </w:r>
          </w:p>
        </w:tc>
        <w:tc>
          <w:tcPr>
            <w:tcW w:w="0" w:type="auto"/>
            <w:hideMark/>
          </w:tcPr>
          <w:p w14:paraId="25DAAA43"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8.700</w:t>
            </w:r>
          </w:p>
        </w:tc>
      </w:tr>
      <w:tr w:rsidR="003A133E" w:rsidRPr="00955D3D" w14:paraId="78A93CB1" w14:textId="77777777" w:rsidTr="003A133E">
        <w:tc>
          <w:tcPr>
            <w:cnfStyle w:val="001000000000" w:firstRow="0" w:lastRow="0" w:firstColumn="1" w:lastColumn="0" w:oddVBand="0" w:evenVBand="0" w:oddHBand="0" w:evenHBand="0" w:firstRowFirstColumn="0" w:firstRowLastColumn="0" w:lastRowFirstColumn="0" w:lastRowLastColumn="0"/>
            <w:tcW w:w="0" w:type="auto"/>
            <w:hideMark/>
          </w:tcPr>
          <w:p w14:paraId="5684C8BD" w14:textId="77777777" w:rsidR="003A133E" w:rsidRPr="00955D3D" w:rsidRDefault="003A133E" w:rsidP="003A133E">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3F15DE3E"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Ni</w:t>
            </w:r>
          </w:p>
        </w:tc>
        <w:tc>
          <w:tcPr>
            <w:tcW w:w="0" w:type="auto"/>
            <w:hideMark/>
          </w:tcPr>
          <w:p w14:paraId="44FBB35C"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2.2690</w:t>
            </w:r>
          </w:p>
        </w:tc>
        <w:tc>
          <w:tcPr>
            <w:tcW w:w="0" w:type="auto"/>
            <w:hideMark/>
          </w:tcPr>
          <w:p w14:paraId="071CAB2A"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2.269</w:t>
            </w:r>
          </w:p>
        </w:tc>
        <w:tc>
          <w:tcPr>
            <w:tcW w:w="0" w:type="auto"/>
            <w:hideMark/>
          </w:tcPr>
          <w:p w14:paraId="71DF1C75"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2.269</w:t>
            </w:r>
          </w:p>
        </w:tc>
        <w:tc>
          <w:tcPr>
            <w:tcW w:w="0" w:type="auto"/>
            <w:hideMark/>
          </w:tcPr>
          <w:p w14:paraId="1753A92C"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2.269</w:t>
            </w:r>
          </w:p>
        </w:tc>
      </w:tr>
      <w:tr w:rsidR="003A133E" w:rsidRPr="00955D3D" w14:paraId="1B0539C3" w14:textId="77777777" w:rsidTr="003A13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8A55CE" w14:textId="77777777" w:rsidR="003A133E" w:rsidRPr="00955D3D" w:rsidRDefault="003A133E" w:rsidP="003A133E">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490A6AEB"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Cd</w:t>
            </w:r>
          </w:p>
        </w:tc>
        <w:tc>
          <w:tcPr>
            <w:tcW w:w="0" w:type="auto"/>
            <w:hideMark/>
          </w:tcPr>
          <w:p w14:paraId="2FB4A438"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0.1250</w:t>
            </w:r>
          </w:p>
        </w:tc>
        <w:tc>
          <w:tcPr>
            <w:tcW w:w="0" w:type="auto"/>
            <w:hideMark/>
          </w:tcPr>
          <w:p w14:paraId="400CD2EF"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0.125</w:t>
            </w:r>
          </w:p>
        </w:tc>
        <w:tc>
          <w:tcPr>
            <w:tcW w:w="0" w:type="auto"/>
            <w:hideMark/>
          </w:tcPr>
          <w:p w14:paraId="4704E574"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0.125</w:t>
            </w:r>
          </w:p>
        </w:tc>
        <w:tc>
          <w:tcPr>
            <w:tcW w:w="0" w:type="auto"/>
            <w:hideMark/>
          </w:tcPr>
          <w:p w14:paraId="21E369AF"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0.125</w:t>
            </w:r>
          </w:p>
        </w:tc>
      </w:tr>
      <w:tr w:rsidR="003A133E" w:rsidRPr="00955D3D" w14:paraId="0891F285" w14:textId="77777777" w:rsidTr="003A133E">
        <w:tc>
          <w:tcPr>
            <w:cnfStyle w:val="001000000000" w:firstRow="0" w:lastRow="0" w:firstColumn="1" w:lastColumn="0" w:oddVBand="0" w:evenVBand="0" w:oddHBand="0" w:evenHBand="0" w:firstRowFirstColumn="0" w:firstRowLastColumn="0" w:lastRowFirstColumn="0" w:lastRowLastColumn="0"/>
            <w:tcW w:w="0" w:type="auto"/>
            <w:hideMark/>
          </w:tcPr>
          <w:p w14:paraId="3285AB95" w14:textId="77777777" w:rsidR="003A133E" w:rsidRPr="00955D3D" w:rsidRDefault="003A133E" w:rsidP="003A133E">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4D144061"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Cu</w:t>
            </w:r>
          </w:p>
        </w:tc>
        <w:tc>
          <w:tcPr>
            <w:tcW w:w="0" w:type="auto"/>
            <w:hideMark/>
          </w:tcPr>
          <w:p w14:paraId="1CF6AD7F"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3.7100</w:t>
            </w:r>
          </w:p>
        </w:tc>
        <w:tc>
          <w:tcPr>
            <w:tcW w:w="0" w:type="auto"/>
            <w:hideMark/>
          </w:tcPr>
          <w:p w14:paraId="3E6A95F6"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3.710</w:t>
            </w:r>
          </w:p>
        </w:tc>
        <w:tc>
          <w:tcPr>
            <w:tcW w:w="0" w:type="auto"/>
            <w:hideMark/>
          </w:tcPr>
          <w:p w14:paraId="1A07DA62"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3.710</w:t>
            </w:r>
          </w:p>
        </w:tc>
        <w:tc>
          <w:tcPr>
            <w:tcW w:w="0" w:type="auto"/>
            <w:hideMark/>
          </w:tcPr>
          <w:p w14:paraId="3A51972D"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3.710</w:t>
            </w:r>
          </w:p>
        </w:tc>
      </w:tr>
      <w:tr w:rsidR="003A133E" w:rsidRPr="00955D3D" w14:paraId="53D0F46D" w14:textId="77777777" w:rsidTr="003A13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118AAB" w14:textId="77777777" w:rsidR="003A133E" w:rsidRPr="00955D3D" w:rsidRDefault="003A133E" w:rsidP="003A133E">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56019E5B"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Fe</w:t>
            </w:r>
          </w:p>
        </w:tc>
        <w:tc>
          <w:tcPr>
            <w:tcW w:w="0" w:type="auto"/>
            <w:hideMark/>
          </w:tcPr>
          <w:p w14:paraId="1724F9E7"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5.4100</w:t>
            </w:r>
          </w:p>
        </w:tc>
        <w:tc>
          <w:tcPr>
            <w:tcW w:w="0" w:type="auto"/>
            <w:hideMark/>
          </w:tcPr>
          <w:p w14:paraId="0093DB87"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5.410</w:t>
            </w:r>
          </w:p>
        </w:tc>
        <w:tc>
          <w:tcPr>
            <w:tcW w:w="0" w:type="auto"/>
            <w:hideMark/>
          </w:tcPr>
          <w:p w14:paraId="43597DE5"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5.410</w:t>
            </w:r>
          </w:p>
        </w:tc>
        <w:tc>
          <w:tcPr>
            <w:tcW w:w="0" w:type="auto"/>
            <w:hideMark/>
          </w:tcPr>
          <w:p w14:paraId="5B3F8857"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5.410</w:t>
            </w:r>
          </w:p>
        </w:tc>
      </w:tr>
      <w:tr w:rsidR="003A133E" w:rsidRPr="00955D3D" w14:paraId="4B0D91E6" w14:textId="77777777" w:rsidTr="003A133E">
        <w:tc>
          <w:tcPr>
            <w:cnfStyle w:val="001000000000" w:firstRow="0" w:lastRow="0" w:firstColumn="1" w:lastColumn="0" w:oddVBand="0" w:evenVBand="0" w:oddHBand="0" w:evenHBand="0" w:firstRowFirstColumn="0" w:firstRowLastColumn="0" w:lastRowFirstColumn="0" w:lastRowLastColumn="0"/>
            <w:tcW w:w="0" w:type="auto"/>
            <w:hideMark/>
          </w:tcPr>
          <w:p w14:paraId="123DC966" w14:textId="77777777" w:rsidR="003A133E" w:rsidRPr="00955D3D" w:rsidRDefault="003A133E" w:rsidP="003A133E">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676412B0"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Pb</w:t>
            </w:r>
          </w:p>
        </w:tc>
        <w:tc>
          <w:tcPr>
            <w:tcW w:w="0" w:type="auto"/>
            <w:hideMark/>
          </w:tcPr>
          <w:p w14:paraId="052DD277"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0.4920</w:t>
            </w:r>
          </w:p>
        </w:tc>
        <w:tc>
          <w:tcPr>
            <w:tcW w:w="0" w:type="auto"/>
            <w:hideMark/>
          </w:tcPr>
          <w:p w14:paraId="49EFE19E"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0.492</w:t>
            </w:r>
          </w:p>
        </w:tc>
        <w:tc>
          <w:tcPr>
            <w:tcW w:w="0" w:type="auto"/>
            <w:hideMark/>
          </w:tcPr>
          <w:p w14:paraId="12AF41B1"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0.492</w:t>
            </w:r>
          </w:p>
        </w:tc>
        <w:tc>
          <w:tcPr>
            <w:tcW w:w="0" w:type="auto"/>
            <w:hideMark/>
          </w:tcPr>
          <w:p w14:paraId="6877EE3A"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0.492</w:t>
            </w:r>
          </w:p>
        </w:tc>
      </w:tr>
      <w:tr w:rsidR="003A133E" w:rsidRPr="00955D3D" w14:paraId="2B991A62" w14:textId="77777777" w:rsidTr="003A13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A2F4F3" w14:textId="77777777" w:rsidR="003A133E" w:rsidRPr="00955D3D" w:rsidRDefault="003A133E" w:rsidP="003A133E">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209C0AA9"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Zn</w:t>
            </w:r>
          </w:p>
        </w:tc>
        <w:tc>
          <w:tcPr>
            <w:tcW w:w="0" w:type="auto"/>
            <w:hideMark/>
          </w:tcPr>
          <w:p w14:paraId="1D51BCF4"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2.6500</w:t>
            </w:r>
          </w:p>
        </w:tc>
        <w:tc>
          <w:tcPr>
            <w:tcW w:w="0" w:type="auto"/>
            <w:hideMark/>
          </w:tcPr>
          <w:p w14:paraId="63CAA206"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2.650</w:t>
            </w:r>
          </w:p>
        </w:tc>
        <w:tc>
          <w:tcPr>
            <w:tcW w:w="0" w:type="auto"/>
            <w:hideMark/>
          </w:tcPr>
          <w:p w14:paraId="6FB6A1A9"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2.650</w:t>
            </w:r>
          </w:p>
        </w:tc>
        <w:tc>
          <w:tcPr>
            <w:tcW w:w="0" w:type="auto"/>
            <w:hideMark/>
          </w:tcPr>
          <w:p w14:paraId="4C64B64C" w14:textId="77777777" w:rsidR="003A133E" w:rsidRPr="00955D3D" w:rsidRDefault="003A133E" w:rsidP="003A133E">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2.650</w:t>
            </w:r>
          </w:p>
        </w:tc>
      </w:tr>
      <w:tr w:rsidR="003A133E" w:rsidRPr="00955D3D" w14:paraId="6507ABD7" w14:textId="77777777" w:rsidTr="003A133E">
        <w:tc>
          <w:tcPr>
            <w:cnfStyle w:val="001000000000" w:firstRow="0" w:lastRow="0" w:firstColumn="1" w:lastColumn="0" w:oddVBand="0" w:evenVBand="0" w:oddHBand="0" w:evenHBand="0" w:firstRowFirstColumn="0" w:firstRowLastColumn="0" w:lastRowFirstColumn="0" w:lastRowLastColumn="0"/>
            <w:tcW w:w="0" w:type="auto"/>
            <w:hideMark/>
          </w:tcPr>
          <w:p w14:paraId="2B95DF6B" w14:textId="77777777" w:rsidR="003A133E" w:rsidRPr="00955D3D" w:rsidRDefault="003A133E" w:rsidP="003A133E">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2FA8E018"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Ni</w:t>
            </w:r>
          </w:p>
        </w:tc>
        <w:tc>
          <w:tcPr>
            <w:tcW w:w="0" w:type="auto"/>
            <w:hideMark/>
          </w:tcPr>
          <w:p w14:paraId="7CA9B27C"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0.6080</w:t>
            </w:r>
          </w:p>
        </w:tc>
        <w:tc>
          <w:tcPr>
            <w:tcW w:w="0" w:type="auto"/>
            <w:hideMark/>
          </w:tcPr>
          <w:p w14:paraId="153140FA"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0.608</w:t>
            </w:r>
          </w:p>
        </w:tc>
        <w:tc>
          <w:tcPr>
            <w:tcW w:w="0" w:type="auto"/>
            <w:hideMark/>
          </w:tcPr>
          <w:p w14:paraId="1D96691A"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0.608</w:t>
            </w:r>
          </w:p>
        </w:tc>
        <w:tc>
          <w:tcPr>
            <w:tcW w:w="0" w:type="auto"/>
            <w:hideMark/>
          </w:tcPr>
          <w:p w14:paraId="2E4AB95A" w14:textId="77777777" w:rsidR="003A133E" w:rsidRPr="00955D3D" w:rsidRDefault="003A133E" w:rsidP="003A133E">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0.608</w:t>
            </w:r>
          </w:p>
        </w:tc>
      </w:tr>
    </w:tbl>
    <w:p w14:paraId="725834D7" w14:textId="77777777" w:rsidR="00BE6C96" w:rsidRDefault="00BE6C96" w:rsidP="00BE6C96">
      <w:pPr>
        <w:spacing w:line="360" w:lineRule="auto"/>
        <w:jc w:val="both"/>
        <w:rPr>
          <w:rFonts w:asciiTheme="majorBidi" w:hAnsiTheme="majorBidi" w:cstheme="majorBidi"/>
          <w:color w:val="000000" w:themeColor="text1"/>
        </w:rPr>
      </w:pPr>
    </w:p>
    <w:p w14:paraId="296902AD" w14:textId="77777777" w:rsidR="001B0AC1" w:rsidRDefault="001B0AC1" w:rsidP="00BE6C96">
      <w:pPr>
        <w:spacing w:line="360" w:lineRule="auto"/>
        <w:jc w:val="both"/>
        <w:rPr>
          <w:rFonts w:asciiTheme="majorBidi" w:hAnsiTheme="majorBidi" w:cstheme="majorBidi"/>
          <w:b/>
          <w:bCs/>
          <w:color w:val="000000" w:themeColor="text1"/>
          <w:u w:val="single"/>
          <w:lang w:val="en-GB"/>
        </w:rPr>
      </w:pPr>
    </w:p>
    <w:p w14:paraId="3F7149EC" w14:textId="77777777" w:rsidR="001B0AC1" w:rsidRDefault="001B0AC1" w:rsidP="00BE6C96">
      <w:pPr>
        <w:spacing w:line="360" w:lineRule="auto"/>
        <w:jc w:val="both"/>
        <w:rPr>
          <w:rFonts w:asciiTheme="majorBidi" w:hAnsiTheme="majorBidi" w:cstheme="majorBidi"/>
          <w:b/>
          <w:bCs/>
          <w:color w:val="000000" w:themeColor="text1"/>
          <w:u w:val="single"/>
          <w:lang w:val="en-GB"/>
        </w:rPr>
      </w:pPr>
    </w:p>
    <w:p w14:paraId="0EB658EC" w14:textId="77777777" w:rsidR="001B0AC1" w:rsidRDefault="001B0AC1" w:rsidP="00BE6C96">
      <w:pPr>
        <w:spacing w:line="360" w:lineRule="auto"/>
        <w:jc w:val="both"/>
        <w:rPr>
          <w:rFonts w:asciiTheme="majorBidi" w:hAnsiTheme="majorBidi" w:cstheme="majorBidi"/>
          <w:b/>
          <w:bCs/>
          <w:color w:val="000000" w:themeColor="text1"/>
          <w:u w:val="single"/>
          <w:lang w:val="en-GB"/>
        </w:rPr>
      </w:pPr>
    </w:p>
    <w:p w14:paraId="71933587" w14:textId="77777777" w:rsidR="001B0AC1" w:rsidRDefault="001B0AC1" w:rsidP="00BE6C96">
      <w:pPr>
        <w:spacing w:line="360" w:lineRule="auto"/>
        <w:jc w:val="both"/>
        <w:rPr>
          <w:rFonts w:asciiTheme="majorBidi" w:hAnsiTheme="majorBidi" w:cstheme="majorBidi"/>
          <w:b/>
          <w:bCs/>
          <w:color w:val="000000" w:themeColor="text1"/>
          <w:u w:val="single"/>
          <w:lang w:val="en-GB"/>
        </w:rPr>
      </w:pPr>
    </w:p>
    <w:p w14:paraId="19837DF8" w14:textId="77777777" w:rsidR="000E2DC9" w:rsidRDefault="000E2DC9" w:rsidP="00BE6C96">
      <w:pPr>
        <w:spacing w:line="360" w:lineRule="auto"/>
        <w:jc w:val="both"/>
        <w:rPr>
          <w:rFonts w:asciiTheme="majorBidi" w:hAnsiTheme="majorBidi" w:cstheme="majorBidi"/>
          <w:b/>
          <w:bCs/>
          <w:color w:val="000000" w:themeColor="text1"/>
          <w:u w:val="single"/>
          <w:lang w:val="en-GB"/>
        </w:rPr>
      </w:pPr>
    </w:p>
    <w:p w14:paraId="453776CF" w14:textId="77777777" w:rsidR="000E2DC9" w:rsidRDefault="000E2DC9" w:rsidP="00BE6C96">
      <w:pPr>
        <w:spacing w:line="360" w:lineRule="auto"/>
        <w:jc w:val="both"/>
        <w:rPr>
          <w:rFonts w:asciiTheme="majorBidi" w:hAnsiTheme="majorBidi" w:cstheme="majorBidi"/>
          <w:b/>
          <w:bCs/>
          <w:color w:val="000000" w:themeColor="text1"/>
          <w:u w:val="single"/>
          <w:lang w:val="en-GB"/>
        </w:rPr>
      </w:pPr>
    </w:p>
    <w:p w14:paraId="52D02E26" w14:textId="77777777" w:rsidR="000E2DC9" w:rsidRDefault="000E2DC9" w:rsidP="00BE6C96">
      <w:pPr>
        <w:spacing w:line="360" w:lineRule="auto"/>
        <w:jc w:val="both"/>
        <w:rPr>
          <w:rFonts w:asciiTheme="majorBidi" w:hAnsiTheme="majorBidi" w:cstheme="majorBidi"/>
          <w:b/>
          <w:bCs/>
          <w:color w:val="000000" w:themeColor="text1"/>
          <w:u w:val="single"/>
          <w:lang w:val="en-GB"/>
        </w:rPr>
      </w:pPr>
    </w:p>
    <w:p w14:paraId="3A4D2FDB" w14:textId="77777777" w:rsidR="000E2DC9" w:rsidRDefault="000E2DC9" w:rsidP="00BE6C96">
      <w:pPr>
        <w:spacing w:line="360" w:lineRule="auto"/>
        <w:jc w:val="both"/>
        <w:rPr>
          <w:rFonts w:asciiTheme="majorBidi" w:hAnsiTheme="majorBidi" w:cstheme="majorBidi"/>
          <w:b/>
          <w:bCs/>
          <w:color w:val="000000" w:themeColor="text1"/>
          <w:u w:val="single"/>
          <w:lang w:val="en-GB"/>
        </w:rPr>
      </w:pPr>
    </w:p>
    <w:p w14:paraId="1567E079" w14:textId="77777777" w:rsidR="000E2DC9" w:rsidRDefault="000E2DC9" w:rsidP="00BE6C96">
      <w:pPr>
        <w:spacing w:line="360" w:lineRule="auto"/>
        <w:jc w:val="both"/>
        <w:rPr>
          <w:rFonts w:asciiTheme="majorBidi" w:hAnsiTheme="majorBidi" w:cstheme="majorBidi"/>
          <w:b/>
          <w:bCs/>
          <w:color w:val="000000" w:themeColor="text1"/>
          <w:u w:val="single"/>
          <w:lang w:val="en-GB"/>
        </w:rPr>
      </w:pPr>
    </w:p>
    <w:p w14:paraId="26904400" w14:textId="77777777" w:rsidR="000E2DC9" w:rsidRDefault="000E2DC9" w:rsidP="00BE6C96">
      <w:pPr>
        <w:spacing w:line="360" w:lineRule="auto"/>
        <w:jc w:val="both"/>
        <w:rPr>
          <w:rFonts w:asciiTheme="majorBidi" w:hAnsiTheme="majorBidi" w:cstheme="majorBidi"/>
          <w:b/>
          <w:bCs/>
          <w:color w:val="000000" w:themeColor="text1"/>
          <w:u w:val="single"/>
          <w:lang w:val="en-GB"/>
        </w:rPr>
      </w:pPr>
    </w:p>
    <w:p w14:paraId="595CA73F" w14:textId="77777777" w:rsidR="000E2DC9" w:rsidRDefault="000E2DC9" w:rsidP="00BE6C96">
      <w:pPr>
        <w:spacing w:line="360" w:lineRule="auto"/>
        <w:jc w:val="both"/>
        <w:rPr>
          <w:rFonts w:asciiTheme="majorBidi" w:hAnsiTheme="majorBidi" w:cstheme="majorBidi"/>
          <w:b/>
          <w:bCs/>
          <w:color w:val="000000" w:themeColor="text1"/>
          <w:u w:val="single"/>
          <w:lang w:val="en-GB"/>
        </w:rPr>
      </w:pPr>
    </w:p>
    <w:p w14:paraId="6CE59F9E" w14:textId="77777777" w:rsidR="000E2DC9" w:rsidRDefault="000E2DC9" w:rsidP="00BE6C96">
      <w:pPr>
        <w:spacing w:line="360" w:lineRule="auto"/>
        <w:jc w:val="both"/>
        <w:rPr>
          <w:rFonts w:asciiTheme="majorBidi" w:hAnsiTheme="majorBidi" w:cstheme="majorBidi"/>
          <w:b/>
          <w:bCs/>
          <w:color w:val="000000" w:themeColor="text1"/>
          <w:u w:val="single"/>
          <w:lang w:val="en-GB"/>
        </w:rPr>
      </w:pPr>
    </w:p>
    <w:p w14:paraId="0E0E7582" w14:textId="77777777" w:rsidR="000E2DC9" w:rsidRDefault="000E2DC9" w:rsidP="00BE6C96">
      <w:pPr>
        <w:spacing w:line="360" w:lineRule="auto"/>
        <w:jc w:val="both"/>
        <w:rPr>
          <w:rFonts w:asciiTheme="majorBidi" w:hAnsiTheme="majorBidi" w:cstheme="majorBidi"/>
          <w:b/>
          <w:bCs/>
          <w:color w:val="000000" w:themeColor="text1"/>
          <w:u w:val="single"/>
          <w:lang w:val="en-GB"/>
        </w:rPr>
      </w:pPr>
    </w:p>
    <w:p w14:paraId="40D4169E" w14:textId="77777777" w:rsidR="000E2DC9" w:rsidRDefault="000E2DC9" w:rsidP="00BE6C96">
      <w:pPr>
        <w:spacing w:line="360" w:lineRule="auto"/>
        <w:jc w:val="both"/>
        <w:rPr>
          <w:rFonts w:asciiTheme="majorBidi" w:hAnsiTheme="majorBidi" w:cstheme="majorBidi"/>
          <w:b/>
          <w:bCs/>
          <w:color w:val="000000" w:themeColor="text1"/>
          <w:u w:val="single"/>
          <w:lang w:val="en-GB"/>
        </w:rPr>
      </w:pPr>
    </w:p>
    <w:p w14:paraId="4972D7F6" w14:textId="77777777" w:rsidR="000E2DC9" w:rsidRDefault="000E2DC9" w:rsidP="00BE6C96">
      <w:pPr>
        <w:spacing w:line="360" w:lineRule="auto"/>
        <w:jc w:val="both"/>
        <w:rPr>
          <w:rFonts w:asciiTheme="majorBidi" w:hAnsiTheme="majorBidi" w:cstheme="majorBidi"/>
          <w:b/>
          <w:bCs/>
          <w:color w:val="000000" w:themeColor="text1"/>
          <w:u w:val="single"/>
          <w:lang w:val="en-GB"/>
        </w:rPr>
      </w:pPr>
    </w:p>
    <w:p w14:paraId="381A851C" w14:textId="77777777" w:rsidR="000E2DC9" w:rsidRDefault="000E2DC9" w:rsidP="00BE6C96">
      <w:pPr>
        <w:spacing w:line="360" w:lineRule="auto"/>
        <w:jc w:val="both"/>
        <w:rPr>
          <w:rFonts w:asciiTheme="majorBidi" w:hAnsiTheme="majorBidi" w:cstheme="majorBidi"/>
          <w:b/>
          <w:bCs/>
          <w:color w:val="000000" w:themeColor="text1"/>
          <w:u w:val="single"/>
          <w:lang w:val="en-GB"/>
        </w:rPr>
      </w:pPr>
    </w:p>
    <w:p w14:paraId="547A28B8" w14:textId="77777777" w:rsidR="000E2DC9" w:rsidRDefault="000E2DC9" w:rsidP="00BE6C96">
      <w:pPr>
        <w:spacing w:line="360" w:lineRule="auto"/>
        <w:jc w:val="both"/>
        <w:rPr>
          <w:rFonts w:asciiTheme="majorBidi" w:hAnsiTheme="majorBidi" w:cstheme="majorBidi"/>
          <w:b/>
          <w:bCs/>
          <w:color w:val="000000" w:themeColor="text1"/>
          <w:u w:val="single"/>
          <w:lang w:val="en-GB"/>
        </w:rPr>
      </w:pPr>
    </w:p>
    <w:p w14:paraId="532A7C70" w14:textId="77777777" w:rsidR="000E2DC9" w:rsidRDefault="000E2DC9" w:rsidP="00BE6C96">
      <w:pPr>
        <w:spacing w:line="360" w:lineRule="auto"/>
        <w:jc w:val="both"/>
        <w:rPr>
          <w:rFonts w:asciiTheme="majorBidi" w:hAnsiTheme="majorBidi" w:cstheme="majorBidi"/>
          <w:b/>
          <w:bCs/>
          <w:color w:val="000000" w:themeColor="text1"/>
          <w:u w:val="single"/>
          <w:lang w:val="en-GB"/>
        </w:rPr>
      </w:pPr>
    </w:p>
    <w:p w14:paraId="0887C657" w14:textId="77777777" w:rsidR="000E2DC9" w:rsidRDefault="000E2DC9" w:rsidP="00BE6C96">
      <w:pPr>
        <w:spacing w:line="360" w:lineRule="auto"/>
        <w:jc w:val="both"/>
        <w:rPr>
          <w:rFonts w:asciiTheme="majorBidi" w:hAnsiTheme="majorBidi" w:cstheme="majorBidi"/>
          <w:b/>
          <w:bCs/>
          <w:color w:val="000000" w:themeColor="text1"/>
          <w:u w:val="single"/>
          <w:lang w:val="en-GB"/>
        </w:rPr>
      </w:pPr>
    </w:p>
    <w:p w14:paraId="6F3A568F" w14:textId="77777777" w:rsidR="000E2DC9" w:rsidRDefault="000E2DC9" w:rsidP="00BE6C96">
      <w:pPr>
        <w:spacing w:line="360" w:lineRule="auto"/>
        <w:jc w:val="both"/>
        <w:rPr>
          <w:rFonts w:asciiTheme="majorBidi" w:hAnsiTheme="majorBidi" w:cstheme="majorBidi"/>
          <w:b/>
          <w:bCs/>
          <w:color w:val="000000" w:themeColor="text1"/>
          <w:u w:val="single"/>
          <w:lang w:val="en-GB"/>
        </w:rPr>
      </w:pPr>
    </w:p>
    <w:p w14:paraId="3CEFFEDD" w14:textId="650DF9A2" w:rsidR="00BE6C96" w:rsidRPr="00E0413D" w:rsidRDefault="00BE6C96" w:rsidP="00BE6C96">
      <w:pPr>
        <w:spacing w:line="360" w:lineRule="auto"/>
        <w:jc w:val="both"/>
        <w:rPr>
          <w:rFonts w:asciiTheme="majorBidi" w:hAnsiTheme="majorBidi" w:cstheme="majorBidi"/>
          <w:color w:val="000000" w:themeColor="text1"/>
          <w:lang w:val="en-GB"/>
        </w:rPr>
      </w:pPr>
      <w:r w:rsidRPr="00E0413D">
        <w:rPr>
          <w:rFonts w:asciiTheme="majorBidi" w:hAnsiTheme="majorBidi" w:cstheme="majorBidi"/>
          <w:b/>
          <w:bCs/>
          <w:color w:val="000000" w:themeColor="text1"/>
          <w:u w:val="single"/>
          <w:lang w:val="en-GB"/>
        </w:rPr>
        <w:t>Table A</w:t>
      </w:r>
      <w:proofErr w:type="gramStart"/>
      <w:r w:rsidR="00D85F60">
        <w:rPr>
          <w:rFonts w:asciiTheme="majorBidi" w:hAnsiTheme="majorBidi" w:cstheme="majorBidi"/>
          <w:b/>
          <w:bCs/>
          <w:color w:val="000000" w:themeColor="text1"/>
          <w:u w:val="single"/>
          <w:lang w:val="en-GB"/>
        </w:rPr>
        <w:t>4</w:t>
      </w:r>
      <w:r w:rsidRPr="00E0413D">
        <w:rPr>
          <w:rFonts w:asciiTheme="majorBidi" w:hAnsiTheme="majorBidi" w:cstheme="majorBidi"/>
          <w:color w:val="000000" w:themeColor="text1"/>
          <w:lang w:val="en-GB"/>
        </w:rPr>
        <w:t xml:space="preserve"> :</w:t>
      </w:r>
      <w:proofErr w:type="gramEnd"/>
      <w:r w:rsidRPr="00E0413D">
        <w:rPr>
          <w:rFonts w:asciiTheme="majorBidi" w:hAnsiTheme="majorBidi" w:cstheme="majorBidi"/>
          <w:color w:val="000000" w:themeColor="text1"/>
          <w:lang w:val="en-GB"/>
        </w:rPr>
        <w:t xml:space="preserve"> Heavy Metal</w:t>
      </w:r>
      <w:r w:rsidR="001B0AC1">
        <w:rPr>
          <w:rFonts w:asciiTheme="majorBidi" w:hAnsiTheme="majorBidi" w:cstheme="majorBidi"/>
          <w:color w:val="000000" w:themeColor="text1"/>
          <w:lang w:val="en-GB"/>
        </w:rPr>
        <w:t>(MI)</w:t>
      </w:r>
      <w:r w:rsidRPr="00E0413D">
        <w:rPr>
          <w:rFonts w:asciiTheme="majorBidi" w:hAnsiTheme="majorBidi" w:cstheme="majorBidi"/>
          <w:color w:val="000000" w:themeColor="text1"/>
          <w:lang w:val="en-GB"/>
        </w:rPr>
        <w:t xml:space="preserve"> Pollution index </w:t>
      </w:r>
      <w:r w:rsidR="00E0413D" w:rsidRPr="00E0413D">
        <w:rPr>
          <w:rFonts w:asciiTheme="majorBidi" w:hAnsiTheme="majorBidi" w:cstheme="majorBidi"/>
          <w:color w:val="000000" w:themeColor="text1"/>
          <w:lang w:val="en-GB"/>
        </w:rPr>
        <w:t>b</w:t>
      </w:r>
      <w:r w:rsidR="00E0413D">
        <w:rPr>
          <w:rFonts w:asciiTheme="majorBidi" w:hAnsiTheme="majorBidi" w:cstheme="majorBidi"/>
          <w:color w:val="000000" w:themeColor="text1"/>
          <w:lang w:val="en-GB"/>
        </w:rPr>
        <w:t>y city and distance</w:t>
      </w:r>
    </w:p>
    <w:tbl>
      <w:tblPr>
        <w:tblStyle w:val="PlainTable1"/>
        <w:tblW w:w="9351" w:type="dxa"/>
        <w:tblLook w:val="04A0" w:firstRow="1" w:lastRow="0" w:firstColumn="1" w:lastColumn="0" w:noHBand="0" w:noVBand="1"/>
      </w:tblPr>
      <w:tblGrid>
        <w:gridCol w:w="1737"/>
        <w:gridCol w:w="1261"/>
        <w:gridCol w:w="1147"/>
        <w:gridCol w:w="1003"/>
        <w:gridCol w:w="803"/>
        <w:gridCol w:w="643"/>
        <w:gridCol w:w="683"/>
        <w:gridCol w:w="2074"/>
      </w:tblGrid>
      <w:tr w:rsidR="00E0413D" w:rsidRPr="00955D3D" w14:paraId="04E31BB4" w14:textId="77777777" w:rsidTr="001B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112758" w14:textId="22A6FCC9" w:rsidR="00BE6C96" w:rsidRPr="00955D3D" w:rsidRDefault="00E0413D" w:rsidP="0031013D">
            <w:pPr>
              <w:spacing w:line="360" w:lineRule="auto"/>
              <w:jc w:val="both"/>
              <w:rPr>
                <w:rFonts w:asciiTheme="majorBidi" w:hAnsiTheme="majorBidi" w:cstheme="majorBidi"/>
                <w:b w:val="0"/>
                <w:bCs w:val="0"/>
                <w:color w:val="000000" w:themeColor="text1"/>
              </w:rPr>
            </w:pPr>
            <w:r>
              <w:rPr>
                <w:rFonts w:asciiTheme="majorBidi" w:hAnsiTheme="majorBidi" w:cstheme="majorBidi"/>
                <w:color w:val="000000" w:themeColor="text1"/>
              </w:rPr>
              <w:t>City</w:t>
            </w:r>
          </w:p>
        </w:tc>
        <w:tc>
          <w:tcPr>
            <w:tcW w:w="0" w:type="auto"/>
            <w:hideMark/>
          </w:tcPr>
          <w:p w14:paraId="531F4A9C" w14:textId="77777777"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955D3D">
              <w:rPr>
                <w:rFonts w:asciiTheme="majorBidi" w:hAnsiTheme="majorBidi" w:cstheme="majorBidi"/>
                <w:color w:val="000000" w:themeColor="text1"/>
              </w:rPr>
              <w:t>Distance (m)</w:t>
            </w:r>
          </w:p>
        </w:tc>
        <w:tc>
          <w:tcPr>
            <w:tcW w:w="0" w:type="auto"/>
            <w:hideMark/>
          </w:tcPr>
          <w:p w14:paraId="727E353C" w14:textId="4DDD4A04" w:rsidR="00BE6C96" w:rsidRPr="00955D3D" w:rsidRDefault="001B0AC1"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proofErr w:type="spellStart"/>
            <w:r>
              <w:rPr>
                <w:rFonts w:asciiTheme="majorBidi" w:hAnsiTheme="majorBidi" w:cstheme="majorBidi"/>
                <w:color w:val="000000" w:themeColor="text1"/>
              </w:rPr>
              <w:t>Sample</w:t>
            </w:r>
            <w:proofErr w:type="spellEnd"/>
            <w:r>
              <w:rPr>
                <w:rFonts w:asciiTheme="majorBidi" w:hAnsiTheme="majorBidi" w:cstheme="majorBidi"/>
                <w:color w:val="000000" w:themeColor="text1"/>
              </w:rPr>
              <w:t xml:space="preserve"> size</w:t>
            </w:r>
          </w:p>
        </w:tc>
        <w:tc>
          <w:tcPr>
            <w:tcW w:w="0" w:type="auto"/>
            <w:hideMark/>
          </w:tcPr>
          <w:p w14:paraId="516726A6" w14:textId="4AEE1DB0" w:rsidR="00E0413D" w:rsidRPr="00955D3D" w:rsidRDefault="00E0413D"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proofErr w:type="spellStart"/>
            <w:r>
              <w:rPr>
                <w:rFonts w:asciiTheme="majorBidi" w:hAnsiTheme="majorBidi" w:cstheme="majorBidi"/>
                <w:color w:val="000000" w:themeColor="text1"/>
              </w:rPr>
              <w:t>Me</w:t>
            </w:r>
            <w:r w:rsidR="00BE6C96" w:rsidRPr="00955D3D">
              <w:rPr>
                <w:rFonts w:asciiTheme="majorBidi" w:hAnsiTheme="majorBidi" w:cstheme="majorBidi"/>
                <w:color w:val="000000" w:themeColor="text1"/>
              </w:rPr>
              <w:t>dian</w:t>
            </w:r>
            <w:proofErr w:type="spellEnd"/>
          </w:p>
        </w:tc>
        <w:tc>
          <w:tcPr>
            <w:tcW w:w="0" w:type="auto"/>
            <w:hideMark/>
          </w:tcPr>
          <w:p w14:paraId="54914045" w14:textId="44D1A048" w:rsidR="00E0413D" w:rsidRDefault="00E0413D" w:rsidP="00E04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proofErr w:type="spellStart"/>
            <w:r>
              <w:rPr>
                <w:rFonts w:asciiTheme="majorBidi" w:hAnsiTheme="majorBidi" w:cstheme="majorBidi"/>
                <w:color w:val="000000" w:themeColor="text1"/>
              </w:rPr>
              <w:t>Mean</w:t>
            </w:r>
            <w:proofErr w:type="spellEnd"/>
          </w:p>
          <w:p w14:paraId="7BFACA48" w14:textId="635B7C84"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p>
        </w:tc>
        <w:tc>
          <w:tcPr>
            <w:tcW w:w="0" w:type="auto"/>
            <w:hideMark/>
          </w:tcPr>
          <w:p w14:paraId="5161BDFB" w14:textId="1E421B60" w:rsidR="00E0413D" w:rsidRDefault="00E0413D" w:rsidP="00E04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M</w:t>
            </w:r>
            <w:r w:rsidR="00BE6C96" w:rsidRPr="00955D3D">
              <w:rPr>
                <w:rFonts w:asciiTheme="majorBidi" w:hAnsiTheme="majorBidi" w:cstheme="majorBidi"/>
                <w:color w:val="000000" w:themeColor="text1"/>
              </w:rPr>
              <w:t>in</w:t>
            </w:r>
            <w:r>
              <w:rPr>
                <w:rFonts w:asciiTheme="majorBidi" w:hAnsiTheme="majorBidi" w:cstheme="majorBidi"/>
                <w:color w:val="000000" w:themeColor="text1"/>
              </w:rPr>
              <w:t xml:space="preserve"> </w:t>
            </w:r>
          </w:p>
          <w:p w14:paraId="316F0408" w14:textId="2DC23082"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p>
        </w:tc>
        <w:tc>
          <w:tcPr>
            <w:tcW w:w="0" w:type="auto"/>
            <w:hideMark/>
          </w:tcPr>
          <w:p w14:paraId="5CABF2C6" w14:textId="2FC34B95" w:rsidR="00E0413D" w:rsidRDefault="00E0413D" w:rsidP="00E04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M</w:t>
            </w:r>
            <w:r w:rsidR="00BE6C96" w:rsidRPr="00955D3D">
              <w:rPr>
                <w:rFonts w:asciiTheme="majorBidi" w:hAnsiTheme="majorBidi" w:cstheme="majorBidi"/>
                <w:color w:val="000000" w:themeColor="text1"/>
              </w:rPr>
              <w:t>ax</w:t>
            </w:r>
            <w:r>
              <w:rPr>
                <w:rFonts w:asciiTheme="majorBidi" w:hAnsiTheme="majorBidi" w:cstheme="majorBidi"/>
                <w:color w:val="000000" w:themeColor="text1"/>
              </w:rPr>
              <w:t xml:space="preserve"> </w:t>
            </w:r>
          </w:p>
          <w:p w14:paraId="42F9C14C" w14:textId="4B8D81FA"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p>
        </w:tc>
        <w:tc>
          <w:tcPr>
            <w:tcW w:w="2074" w:type="dxa"/>
            <w:hideMark/>
          </w:tcPr>
          <w:p w14:paraId="02795CA0" w14:textId="13A6E538" w:rsidR="00BE6C96" w:rsidRPr="001B0AC1" w:rsidRDefault="001B0AC1"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1B0AC1">
              <w:rPr>
                <w:rFonts w:asciiTheme="majorBidi" w:hAnsiTheme="majorBidi" w:cstheme="majorBidi"/>
                <w:color w:val="000000" w:themeColor="text1"/>
              </w:rPr>
              <w:t xml:space="preserve">% </w:t>
            </w:r>
            <w:proofErr w:type="spellStart"/>
            <w:r w:rsidRPr="001B0AC1">
              <w:rPr>
                <w:rFonts w:asciiTheme="majorBidi" w:hAnsiTheme="majorBidi" w:cstheme="majorBidi"/>
                <w:color w:val="000000" w:themeColor="text1"/>
              </w:rPr>
              <w:t>polluted</w:t>
            </w:r>
            <w:proofErr w:type="spellEnd"/>
            <w:r w:rsidRPr="001B0AC1">
              <w:rPr>
                <w:rFonts w:asciiTheme="majorBidi" w:hAnsiTheme="majorBidi" w:cstheme="majorBidi"/>
                <w:color w:val="000000" w:themeColor="text1"/>
              </w:rPr>
              <w:t xml:space="preserve"> </w:t>
            </w:r>
            <w:proofErr w:type="spellStart"/>
            <w:r w:rsidRPr="001B0AC1">
              <w:rPr>
                <w:rFonts w:asciiTheme="majorBidi" w:hAnsiTheme="majorBidi" w:cstheme="majorBidi"/>
                <w:color w:val="000000" w:themeColor="text1"/>
              </w:rPr>
              <w:t>samples</w:t>
            </w:r>
            <w:proofErr w:type="spellEnd"/>
            <w:r w:rsidRPr="001B0AC1">
              <w:rPr>
                <w:rFonts w:asciiTheme="majorBidi" w:hAnsiTheme="majorBidi" w:cstheme="majorBidi"/>
                <w:color w:val="000000" w:themeColor="text1"/>
              </w:rPr>
              <w:t xml:space="preserve"> (MI ≥ 1)</w:t>
            </w:r>
          </w:p>
        </w:tc>
      </w:tr>
      <w:tr w:rsidR="00E0413D" w:rsidRPr="00955D3D" w14:paraId="3E9BC71F" w14:textId="77777777" w:rsidTr="001B0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AA7700"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Abomey-Calavi</w:t>
            </w:r>
          </w:p>
        </w:tc>
        <w:tc>
          <w:tcPr>
            <w:tcW w:w="0" w:type="auto"/>
            <w:hideMark/>
          </w:tcPr>
          <w:p w14:paraId="01A404B9"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0C55ED9D"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w:t>
            </w:r>
          </w:p>
        </w:tc>
        <w:tc>
          <w:tcPr>
            <w:tcW w:w="0" w:type="auto"/>
            <w:hideMark/>
          </w:tcPr>
          <w:p w14:paraId="578944F0"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68,8</w:t>
            </w:r>
          </w:p>
        </w:tc>
        <w:tc>
          <w:tcPr>
            <w:tcW w:w="0" w:type="auto"/>
            <w:hideMark/>
          </w:tcPr>
          <w:p w14:paraId="48268EEB"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68,2</w:t>
            </w:r>
          </w:p>
        </w:tc>
        <w:tc>
          <w:tcPr>
            <w:tcW w:w="0" w:type="auto"/>
            <w:hideMark/>
          </w:tcPr>
          <w:p w14:paraId="0A459E26"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32,1</w:t>
            </w:r>
          </w:p>
        </w:tc>
        <w:tc>
          <w:tcPr>
            <w:tcW w:w="0" w:type="auto"/>
            <w:hideMark/>
          </w:tcPr>
          <w:p w14:paraId="2BD0C3F0"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132</w:t>
            </w:r>
          </w:p>
        </w:tc>
        <w:tc>
          <w:tcPr>
            <w:tcW w:w="2074" w:type="dxa"/>
            <w:hideMark/>
          </w:tcPr>
          <w:p w14:paraId="02F9A782"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100 %</w:t>
            </w:r>
          </w:p>
        </w:tc>
      </w:tr>
      <w:tr w:rsidR="00E0413D" w:rsidRPr="00955D3D" w14:paraId="3A98F94F" w14:textId="77777777" w:rsidTr="001B0AC1">
        <w:tc>
          <w:tcPr>
            <w:cnfStyle w:val="001000000000" w:firstRow="0" w:lastRow="0" w:firstColumn="1" w:lastColumn="0" w:oddVBand="0" w:evenVBand="0" w:oddHBand="0" w:evenHBand="0" w:firstRowFirstColumn="0" w:firstRowLastColumn="0" w:lastRowFirstColumn="0" w:lastRowLastColumn="0"/>
            <w:tcW w:w="0" w:type="auto"/>
            <w:hideMark/>
          </w:tcPr>
          <w:p w14:paraId="7932C022"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Abomey-Calavi</w:t>
            </w:r>
          </w:p>
        </w:tc>
        <w:tc>
          <w:tcPr>
            <w:tcW w:w="0" w:type="auto"/>
            <w:hideMark/>
          </w:tcPr>
          <w:p w14:paraId="2B01E15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022DE221"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w:t>
            </w:r>
          </w:p>
        </w:tc>
        <w:tc>
          <w:tcPr>
            <w:tcW w:w="0" w:type="auto"/>
            <w:hideMark/>
          </w:tcPr>
          <w:p w14:paraId="3548CF93"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44,8</w:t>
            </w:r>
          </w:p>
        </w:tc>
        <w:tc>
          <w:tcPr>
            <w:tcW w:w="0" w:type="auto"/>
            <w:hideMark/>
          </w:tcPr>
          <w:p w14:paraId="45500E19"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58,6</w:t>
            </w:r>
          </w:p>
        </w:tc>
        <w:tc>
          <w:tcPr>
            <w:tcW w:w="0" w:type="auto"/>
            <w:hideMark/>
          </w:tcPr>
          <w:p w14:paraId="2B39C1CE"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28,8</w:t>
            </w:r>
          </w:p>
        </w:tc>
        <w:tc>
          <w:tcPr>
            <w:tcW w:w="0" w:type="auto"/>
            <w:hideMark/>
          </w:tcPr>
          <w:p w14:paraId="61CCC4D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129</w:t>
            </w:r>
          </w:p>
        </w:tc>
        <w:tc>
          <w:tcPr>
            <w:tcW w:w="2074" w:type="dxa"/>
            <w:hideMark/>
          </w:tcPr>
          <w:p w14:paraId="07A75C9F"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100 %</w:t>
            </w:r>
          </w:p>
        </w:tc>
      </w:tr>
      <w:tr w:rsidR="00E0413D" w:rsidRPr="00955D3D" w14:paraId="6A2403F8" w14:textId="77777777" w:rsidTr="001B0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A1125C"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Abomey-Calavi</w:t>
            </w:r>
          </w:p>
        </w:tc>
        <w:tc>
          <w:tcPr>
            <w:tcW w:w="0" w:type="auto"/>
            <w:hideMark/>
          </w:tcPr>
          <w:p w14:paraId="534A11E9"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5B9E0437"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w:t>
            </w:r>
          </w:p>
        </w:tc>
        <w:tc>
          <w:tcPr>
            <w:tcW w:w="0" w:type="auto"/>
            <w:hideMark/>
          </w:tcPr>
          <w:p w14:paraId="58149363"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27,5</w:t>
            </w:r>
          </w:p>
        </w:tc>
        <w:tc>
          <w:tcPr>
            <w:tcW w:w="0" w:type="auto"/>
            <w:hideMark/>
          </w:tcPr>
          <w:p w14:paraId="28671BE7"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38,4</w:t>
            </w:r>
          </w:p>
        </w:tc>
        <w:tc>
          <w:tcPr>
            <w:tcW w:w="0" w:type="auto"/>
            <w:hideMark/>
          </w:tcPr>
          <w:p w14:paraId="16A625B7"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18,1</w:t>
            </w:r>
          </w:p>
        </w:tc>
        <w:tc>
          <w:tcPr>
            <w:tcW w:w="0" w:type="auto"/>
            <w:hideMark/>
          </w:tcPr>
          <w:p w14:paraId="7F01AB2D"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91,0</w:t>
            </w:r>
          </w:p>
        </w:tc>
        <w:tc>
          <w:tcPr>
            <w:tcW w:w="2074" w:type="dxa"/>
            <w:hideMark/>
          </w:tcPr>
          <w:p w14:paraId="7E10EB69"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100 %</w:t>
            </w:r>
          </w:p>
        </w:tc>
      </w:tr>
      <w:tr w:rsidR="00E0413D" w:rsidRPr="00955D3D" w14:paraId="29AD74E2" w14:textId="77777777" w:rsidTr="001B0AC1">
        <w:tc>
          <w:tcPr>
            <w:cnfStyle w:val="001000000000" w:firstRow="0" w:lastRow="0" w:firstColumn="1" w:lastColumn="0" w:oddVBand="0" w:evenVBand="0" w:oddHBand="0" w:evenHBand="0" w:firstRowFirstColumn="0" w:firstRowLastColumn="0" w:lastRowFirstColumn="0" w:lastRowLastColumn="0"/>
            <w:tcW w:w="0" w:type="auto"/>
            <w:hideMark/>
          </w:tcPr>
          <w:p w14:paraId="02B91F6F" w14:textId="77777777" w:rsidR="00BE6C96" w:rsidRPr="008A4BE3" w:rsidRDefault="00BE6C96" w:rsidP="0031013D">
            <w:pPr>
              <w:spacing w:line="360" w:lineRule="auto"/>
              <w:jc w:val="both"/>
              <w:rPr>
                <w:rFonts w:asciiTheme="majorBidi" w:hAnsiTheme="majorBidi" w:cstheme="majorBidi"/>
                <w:b w:val="0"/>
                <w:bCs w:val="0"/>
                <w:color w:val="000000" w:themeColor="text1"/>
              </w:rPr>
            </w:pPr>
            <w:r w:rsidRPr="008A4BE3">
              <w:rPr>
                <w:rStyle w:val="Strong"/>
                <w:rFonts w:asciiTheme="majorBidi" w:eastAsiaTheme="majorEastAsia" w:hAnsiTheme="majorBidi"/>
                <w:color w:val="000000" w:themeColor="text1"/>
              </w:rPr>
              <w:t>Abomey-Calavi (total)</w:t>
            </w:r>
          </w:p>
        </w:tc>
        <w:tc>
          <w:tcPr>
            <w:tcW w:w="0" w:type="auto"/>
            <w:hideMark/>
          </w:tcPr>
          <w:p w14:paraId="12F78CBD"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c>
          <w:tcPr>
            <w:tcW w:w="0" w:type="auto"/>
            <w:hideMark/>
          </w:tcPr>
          <w:p w14:paraId="3DDEF6F8"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15</w:t>
            </w:r>
          </w:p>
        </w:tc>
        <w:tc>
          <w:tcPr>
            <w:tcW w:w="0" w:type="auto"/>
            <w:hideMark/>
          </w:tcPr>
          <w:p w14:paraId="2DB55D7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39,8</w:t>
            </w:r>
          </w:p>
        </w:tc>
        <w:tc>
          <w:tcPr>
            <w:tcW w:w="0" w:type="auto"/>
            <w:hideMark/>
          </w:tcPr>
          <w:p w14:paraId="21CE674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55,1</w:t>
            </w:r>
          </w:p>
        </w:tc>
        <w:tc>
          <w:tcPr>
            <w:tcW w:w="0" w:type="auto"/>
            <w:hideMark/>
          </w:tcPr>
          <w:p w14:paraId="065C1317"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18,1</w:t>
            </w:r>
          </w:p>
        </w:tc>
        <w:tc>
          <w:tcPr>
            <w:tcW w:w="0" w:type="auto"/>
            <w:hideMark/>
          </w:tcPr>
          <w:p w14:paraId="1555111B"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132</w:t>
            </w:r>
          </w:p>
        </w:tc>
        <w:tc>
          <w:tcPr>
            <w:tcW w:w="2074" w:type="dxa"/>
            <w:hideMark/>
          </w:tcPr>
          <w:p w14:paraId="7B7DF1AD"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100 %</w:t>
            </w:r>
          </w:p>
        </w:tc>
      </w:tr>
      <w:tr w:rsidR="00E0413D" w:rsidRPr="00955D3D" w14:paraId="33F6A057" w14:textId="77777777" w:rsidTr="001B0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69BF77"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Cotonou</w:t>
            </w:r>
          </w:p>
        </w:tc>
        <w:tc>
          <w:tcPr>
            <w:tcW w:w="0" w:type="auto"/>
            <w:hideMark/>
          </w:tcPr>
          <w:p w14:paraId="39E32F5E"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5B9CFBCB"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w:t>
            </w:r>
          </w:p>
        </w:tc>
        <w:tc>
          <w:tcPr>
            <w:tcW w:w="0" w:type="auto"/>
            <w:hideMark/>
          </w:tcPr>
          <w:p w14:paraId="30748200"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194</w:t>
            </w:r>
          </w:p>
        </w:tc>
        <w:tc>
          <w:tcPr>
            <w:tcW w:w="0" w:type="auto"/>
            <w:hideMark/>
          </w:tcPr>
          <w:p w14:paraId="00ABF905"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190</w:t>
            </w:r>
          </w:p>
        </w:tc>
        <w:tc>
          <w:tcPr>
            <w:tcW w:w="0" w:type="auto"/>
            <w:hideMark/>
          </w:tcPr>
          <w:p w14:paraId="607CDF13"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114</w:t>
            </w:r>
          </w:p>
        </w:tc>
        <w:tc>
          <w:tcPr>
            <w:tcW w:w="0" w:type="auto"/>
            <w:hideMark/>
          </w:tcPr>
          <w:p w14:paraId="3186C6D4"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309</w:t>
            </w:r>
          </w:p>
        </w:tc>
        <w:tc>
          <w:tcPr>
            <w:tcW w:w="2074" w:type="dxa"/>
            <w:hideMark/>
          </w:tcPr>
          <w:p w14:paraId="1A8679AD"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100 %</w:t>
            </w:r>
          </w:p>
        </w:tc>
      </w:tr>
      <w:tr w:rsidR="00E0413D" w:rsidRPr="00955D3D" w14:paraId="7138CFF5" w14:textId="77777777" w:rsidTr="001B0AC1">
        <w:tc>
          <w:tcPr>
            <w:cnfStyle w:val="001000000000" w:firstRow="0" w:lastRow="0" w:firstColumn="1" w:lastColumn="0" w:oddVBand="0" w:evenVBand="0" w:oddHBand="0" w:evenHBand="0" w:firstRowFirstColumn="0" w:firstRowLastColumn="0" w:lastRowFirstColumn="0" w:lastRowLastColumn="0"/>
            <w:tcW w:w="0" w:type="auto"/>
            <w:hideMark/>
          </w:tcPr>
          <w:p w14:paraId="1771EFD1"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lastRenderedPageBreak/>
              <w:t>Cotonou</w:t>
            </w:r>
          </w:p>
        </w:tc>
        <w:tc>
          <w:tcPr>
            <w:tcW w:w="0" w:type="auto"/>
            <w:hideMark/>
          </w:tcPr>
          <w:p w14:paraId="0909DFF9"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5AE20C07"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w:t>
            </w:r>
          </w:p>
        </w:tc>
        <w:tc>
          <w:tcPr>
            <w:tcW w:w="0" w:type="auto"/>
            <w:hideMark/>
          </w:tcPr>
          <w:p w14:paraId="2CF447B4"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145</w:t>
            </w:r>
          </w:p>
        </w:tc>
        <w:tc>
          <w:tcPr>
            <w:tcW w:w="0" w:type="auto"/>
            <w:hideMark/>
          </w:tcPr>
          <w:p w14:paraId="326F9218"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201</w:t>
            </w:r>
          </w:p>
        </w:tc>
        <w:tc>
          <w:tcPr>
            <w:tcW w:w="0" w:type="auto"/>
            <w:hideMark/>
          </w:tcPr>
          <w:p w14:paraId="7D44640E"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86,4</w:t>
            </w:r>
          </w:p>
        </w:tc>
        <w:tc>
          <w:tcPr>
            <w:tcW w:w="0" w:type="auto"/>
            <w:hideMark/>
          </w:tcPr>
          <w:p w14:paraId="43BF55E9"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468</w:t>
            </w:r>
          </w:p>
        </w:tc>
        <w:tc>
          <w:tcPr>
            <w:tcW w:w="2074" w:type="dxa"/>
            <w:hideMark/>
          </w:tcPr>
          <w:p w14:paraId="1E4FA9FB"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100 %</w:t>
            </w:r>
          </w:p>
        </w:tc>
      </w:tr>
      <w:tr w:rsidR="00E0413D" w:rsidRPr="00955D3D" w14:paraId="3461D1E1" w14:textId="77777777" w:rsidTr="001B0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8ED8AD"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Cotonou</w:t>
            </w:r>
          </w:p>
        </w:tc>
        <w:tc>
          <w:tcPr>
            <w:tcW w:w="0" w:type="auto"/>
            <w:hideMark/>
          </w:tcPr>
          <w:p w14:paraId="221B2344"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0624A6F2"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w:t>
            </w:r>
          </w:p>
        </w:tc>
        <w:tc>
          <w:tcPr>
            <w:tcW w:w="0" w:type="auto"/>
            <w:hideMark/>
          </w:tcPr>
          <w:p w14:paraId="47255114"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185</w:t>
            </w:r>
          </w:p>
        </w:tc>
        <w:tc>
          <w:tcPr>
            <w:tcW w:w="0" w:type="auto"/>
            <w:hideMark/>
          </w:tcPr>
          <w:p w14:paraId="7DA44AD2"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185</w:t>
            </w:r>
          </w:p>
        </w:tc>
        <w:tc>
          <w:tcPr>
            <w:tcW w:w="0" w:type="auto"/>
            <w:hideMark/>
          </w:tcPr>
          <w:p w14:paraId="22D76356"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69,2</w:t>
            </w:r>
          </w:p>
        </w:tc>
        <w:tc>
          <w:tcPr>
            <w:tcW w:w="0" w:type="auto"/>
            <w:hideMark/>
          </w:tcPr>
          <w:p w14:paraId="3C0A9643"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331</w:t>
            </w:r>
          </w:p>
        </w:tc>
        <w:tc>
          <w:tcPr>
            <w:tcW w:w="2074" w:type="dxa"/>
            <w:hideMark/>
          </w:tcPr>
          <w:p w14:paraId="7D334EC5"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100 %</w:t>
            </w:r>
          </w:p>
        </w:tc>
      </w:tr>
      <w:tr w:rsidR="00E0413D" w:rsidRPr="00955D3D" w14:paraId="19A212EA" w14:textId="77777777" w:rsidTr="001B0AC1">
        <w:tc>
          <w:tcPr>
            <w:cnfStyle w:val="001000000000" w:firstRow="0" w:lastRow="0" w:firstColumn="1" w:lastColumn="0" w:oddVBand="0" w:evenVBand="0" w:oddHBand="0" w:evenHBand="0" w:firstRowFirstColumn="0" w:firstRowLastColumn="0" w:lastRowFirstColumn="0" w:lastRowLastColumn="0"/>
            <w:tcW w:w="0" w:type="auto"/>
            <w:hideMark/>
          </w:tcPr>
          <w:p w14:paraId="27BD7763" w14:textId="77777777" w:rsidR="00BE6C96" w:rsidRPr="008A4BE3" w:rsidRDefault="00BE6C96" w:rsidP="0031013D">
            <w:pPr>
              <w:spacing w:line="360" w:lineRule="auto"/>
              <w:jc w:val="both"/>
              <w:rPr>
                <w:rFonts w:asciiTheme="majorBidi" w:hAnsiTheme="majorBidi" w:cstheme="majorBidi"/>
                <w:b w:val="0"/>
                <w:bCs w:val="0"/>
                <w:color w:val="000000" w:themeColor="text1"/>
              </w:rPr>
            </w:pPr>
            <w:r w:rsidRPr="008A4BE3">
              <w:rPr>
                <w:rStyle w:val="Strong"/>
                <w:rFonts w:asciiTheme="majorBidi" w:eastAsiaTheme="majorEastAsia" w:hAnsiTheme="majorBidi"/>
                <w:color w:val="000000" w:themeColor="text1"/>
              </w:rPr>
              <w:t>Cotonou (total)</w:t>
            </w:r>
          </w:p>
        </w:tc>
        <w:tc>
          <w:tcPr>
            <w:tcW w:w="0" w:type="auto"/>
            <w:hideMark/>
          </w:tcPr>
          <w:p w14:paraId="2A99D1DB"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c>
          <w:tcPr>
            <w:tcW w:w="0" w:type="auto"/>
            <w:hideMark/>
          </w:tcPr>
          <w:p w14:paraId="6A147D9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15</w:t>
            </w:r>
          </w:p>
        </w:tc>
        <w:tc>
          <w:tcPr>
            <w:tcW w:w="0" w:type="auto"/>
            <w:hideMark/>
          </w:tcPr>
          <w:p w14:paraId="2F224107"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172</w:t>
            </w:r>
          </w:p>
        </w:tc>
        <w:tc>
          <w:tcPr>
            <w:tcW w:w="0" w:type="auto"/>
            <w:hideMark/>
          </w:tcPr>
          <w:p w14:paraId="50256E1A"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192</w:t>
            </w:r>
          </w:p>
        </w:tc>
        <w:tc>
          <w:tcPr>
            <w:tcW w:w="0" w:type="auto"/>
            <w:hideMark/>
          </w:tcPr>
          <w:p w14:paraId="46FDBD0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69,2</w:t>
            </w:r>
          </w:p>
        </w:tc>
        <w:tc>
          <w:tcPr>
            <w:tcW w:w="0" w:type="auto"/>
            <w:hideMark/>
          </w:tcPr>
          <w:p w14:paraId="0F4895E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468</w:t>
            </w:r>
          </w:p>
        </w:tc>
        <w:tc>
          <w:tcPr>
            <w:tcW w:w="2074" w:type="dxa"/>
            <w:hideMark/>
          </w:tcPr>
          <w:p w14:paraId="6EAA62ED"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100 %</w:t>
            </w:r>
          </w:p>
        </w:tc>
      </w:tr>
      <w:tr w:rsidR="00E0413D" w:rsidRPr="00955D3D" w14:paraId="6458D644" w14:textId="77777777" w:rsidTr="001B0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BC5560"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Natitingou</w:t>
            </w:r>
          </w:p>
        </w:tc>
        <w:tc>
          <w:tcPr>
            <w:tcW w:w="0" w:type="auto"/>
            <w:hideMark/>
          </w:tcPr>
          <w:p w14:paraId="492430D2"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0C71C654"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w:t>
            </w:r>
          </w:p>
        </w:tc>
        <w:tc>
          <w:tcPr>
            <w:tcW w:w="0" w:type="auto"/>
            <w:hideMark/>
          </w:tcPr>
          <w:p w14:paraId="03D2366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66,7</w:t>
            </w:r>
          </w:p>
        </w:tc>
        <w:tc>
          <w:tcPr>
            <w:tcW w:w="0" w:type="auto"/>
            <w:hideMark/>
          </w:tcPr>
          <w:p w14:paraId="327E7FAA"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66,7</w:t>
            </w:r>
          </w:p>
        </w:tc>
        <w:tc>
          <w:tcPr>
            <w:tcW w:w="0" w:type="auto"/>
            <w:hideMark/>
          </w:tcPr>
          <w:p w14:paraId="39F4599A"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66,7</w:t>
            </w:r>
          </w:p>
        </w:tc>
        <w:tc>
          <w:tcPr>
            <w:tcW w:w="0" w:type="auto"/>
            <w:hideMark/>
          </w:tcPr>
          <w:p w14:paraId="6E1E2F4D"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66,7</w:t>
            </w:r>
          </w:p>
        </w:tc>
        <w:tc>
          <w:tcPr>
            <w:tcW w:w="2074" w:type="dxa"/>
            <w:hideMark/>
          </w:tcPr>
          <w:p w14:paraId="17098C52"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100 %</w:t>
            </w:r>
          </w:p>
        </w:tc>
      </w:tr>
      <w:tr w:rsidR="00E0413D" w:rsidRPr="00955D3D" w14:paraId="4B07BF2D" w14:textId="77777777" w:rsidTr="001B0AC1">
        <w:tc>
          <w:tcPr>
            <w:cnfStyle w:val="001000000000" w:firstRow="0" w:lastRow="0" w:firstColumn="1" w:lastColumn="0" w:oddVBand="0" w:evenVBand="0" w:oddHBand="0" w:evenHBand="0" w:firstRowFirstColumn="0" w:firstRowLastColumn="0" w:lastRowFirstColumn="0" w:lastRowLastColumn="0"/>
            <w:tcW w:w="0" w:type="auto"/>
            <w:hideMark/>
          </w:tcPr>
          <w:p w14:paraId="3F20DC8C"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Natitingou</w:t>
            </w:r>
          </w:p>
        </w:tc>
        <w:tc>
          <w:tcPr>
            <w:tcW w:w="0" w:type="auto"/>
            <w:hideMark/>
          </w:tcPr>
          <w:p w14:paraId="6AB9CBA3"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74C611D1"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w:t>
            </w:r>
          </w:p>
        </w:tc>
        <w:tc>
          <w:tcPr>
            <w:tcW w:w="0" w:type="auto"/>
            <w:hideMark/>
          </w:tcPr>
          <w:p w14:paraId="6DA66473"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393</w:t>
            </w:r>
          </w:p>
        </w:tc>
        <w:tc>
          <w:tcPr>
            <w:tcW w:w="0" w:type="auto"/>
            <w:hideMark/>
          </w:tcPr>
          <w:p w14:paraId="236894C7"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393</w:t>
            </w:r>
          </w:p>
        </w:tc>
        <w:tc>
          <w:tcPr>
            <w:tcW w:w="0" w:type="auto"/>
            <w:hideMark/>
          </w:tcPr>
          <w:p w14:paraId="7E2059A6"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393</w:t>
            </w:r>
          </w:p>
        </w:tc>
        <w:tc>
          <w:tcPr>
            <w:tcW w:w="0" w:type="auto"/>
            <w:hideMark/>
          </w:tcPr>
          <w:p w14:paraId="3A1C40D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393</w:t>
            </w:r>
          </w:p>
        </w:tc>
        <w:tc>
          <w:tcPr>
            <w:tcW w:w="2074" w:type="dxa"/>
            <w:hideMark/>
          </w:tcPr>
          <w:p w14:paraId="68EF9A85"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100 %</w:t>
            </w:r>
          </w:p>
        </w:tc>
      </w:tr>
      <w:tr w:rsidR="00E0413D" w:rsidRPr="00955D3D" w14:paraId="16D0E897" w14:textId="77777777" w:rsidTr="001B0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3DF98B"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Natitingou</w:t>
            </w:r>
          </w:p>
        </w:tc>
        <w:tc>
          <w:tcPr>
            <w:tcW w:w="0" w:type="auto"/>
            <w:hideMark/>
          </w:tcPr>
          <w:p w14:paraId="7B9AF4F4"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02B41BF9"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w:t>
            </w:r>
          </w:p>
        </w:tc>
        <w:tc>
          <w:tcPr>
            <w:tcW w:w="0" w:type="auto"/>
            <w:hideMark/>
          </w:tcPr>
          <w:p w14:paraId="52A1D614"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120</w:t>
            </w:r>
          </w:p>
        </w:tc>
        <w:tc>
          <w:tcPr>
            <w:tcW w:w="0" w:type="auto"/>
            <w:hideMark/>
          </w:tcPr>
          <w:p w14:paraId="259EA712"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120</w:t>
            </w:r>
          </w:p>
        </w:tc>
        <w:tc>
          <w:tcPr>
            <w:tcW w:w="0" w:type="auto"/>
            <w:hideMark/>
          </w:tcPr>
          <w:p w14:paraId="527C13F0"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120</w:t>
            </w:r>
          </w:p>
        </w:tc>
        <w:tc>
          <w:tcPr>
            <w:tcW w:w="0" w:type="auto"/>
            <w:hideMark/>
          </w:tcPr>
          <w:p w14:paraId="7D15B314"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120</w:t>
            </w:r>
          </w:p>
        </w:tc>
        <w:tc>
          <w:tcPr>
            <w:tcW w:w="2074" w:type="dxa"/>
            <w:hideMark/>
          </w:tcPr>
          <w:p w14:paraId="4483FEC0"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100 %</w:t>
            </w:r>
          </w:p>
        </w:tc>
      </w:tr>
      <w:tr w:rsidR="00E0413D" w:rsidRPr="00955D3D" w14:paraId="29236A92" w14:textId="77777777" w:rsidTr="001B0AC1">
        <w:tc>
          <w:tcPr>
            <w:cnfStyle w:val="001000000000" w:firstRow="0" w:lastRow="0" w:firstColumn="1" w:lastColumn="0" w:oddVBand="0" w:evenVBand="0" w:oddHBand="0" w:evenHBand="0" w:firstRowFirstColumn="0" w:firstRowLastColumn="0" w:lastRowFirstColumn="0" w:lastRowLastColumn="0"/>
            <w:tcW w:w="0" w:type="auto"/>
            <w:hideMark/>
          </w:tcPr>
          <w:p w14:paraId="67779E5A" w14:textId="77777777" w:rsidR="00BE6C96" w:rsidRPr="008A4BE3" w:rsidRDefault="00BE6C96" w:rsidP="0031013D">
            <w:pPr>
              <w:spacing w:line="360" w:lineRule="auto"/>
              <w:jc w:val="both"/>
              <w:rPr>
                <w:rFonts w:asciiTheme="majorBidi" w:hAnsiTheme="majorBidi" w:cstheme="majorBidi"/>
                <w:b w:val="0"/>
                <w:bCs w:val="0"/>
                <w:color w:val="000000" w:themeColor="text1"/>
              </w:rPr>
            </w:pPr>
            <w:r w:rsidRPr="008A4BE3">
              <w:rPr>
                <w:rStyle w:val="Strong"/>
                <w:rFonts w:asciiTheme="majorBidi" w:eastAsiaTheme="majorEastAsia" w:hAnsiTheme="majorBidi"/>
                <w:color w:val="000000" w:themeColor="text1"/>
              </w:rPr>
              <w:t>Natitingou (total)</w:t>
            </w:r>
          </w:p>
        </w:tc>
        <w:tc>
          <w:tcPr>
            <w:tcW w:w="0" w:type="auto"/>
            <w:hideMark/>
          </w:tcPr>
          <w:p w14:paraId="7302D70E"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w:t>
            </w:r>
          </w:p>
        </w:tc>
        <w:tc>
          <w:tcPr>
            <w:tcW w:w="0" w:type="auto"/>
            <w:hideMark/>
          </w:tcPr>
          <w:p w14:paraId="4F0137A9"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w:t>
            </w:r>
          </w:p>
        </w:tc>
        <w:tc>
          <w:tcPr>
            <w:tcW w:w="0" w:type="auto"/>
            <w:hideMark/>
          </w:tcPr>
          <w:p w14:paraId="7CC126BB"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120</w:t>
            </w:r>
          </w:p>
        </w:tc>
        <w:tc>
          <w:tcPr>
            <w:tcW w:w="0" w:type="auto"/>
            <w:hideMark/>
          </w:tcPr>
          <w:p w14:paraId="18F7DA0F"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193</w:t>
            </w:r>
          </w:p>
        </w:tc>
        <w:tc>
          <w:tcPr>
            <w:tcW w:w="0" w:type="auto"/>
            <w:hideMark/>
          </w:tcPr>
          <w:p w14:paraId="77752A51"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66,7</w:t>
            </w:r>
          </w:p>
        </w:tc>
        <w:tc>
          <w:tcPr>
            <w:tcW w:w="0" w:type="auto"/>
            <w:hideMark/>
          </w:tcPr>
          <w:p w14:paraId="64E56075"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393</w:t>
            </w:r>
          </w:p>
        </w:tc>
        <w:tc>
          <w:tcPr>
            <w:tcW w:w="2074" w:type="dxa"/>
            <w:hideMark/>
          </w:tcPr>
          <w:p w14:paraId="4EB24C3C"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100 %</w:t>
            </w:r>
          </w:p>
        </w:tc>
      </w:tr>
    </w:tbl>
    <w:p w14:paraId="4EBC3589" w14:textId="77777777" w:rsidR="00BE6C96" w:rsidRPr="00955D3D" w:rsidRDefault="00BE6C96" w:rsidP="00BE6C96">
      <w:pPr>
        <w:spacing w:line="360" w:lineRule="auto"/>
        <w:jc w:val="both"/>
        <w:rPr>
          <w:rFonts w:asciiTheme="majorBidi" w:hAnsiTheme="majorBidi" w:cstheme="majorBidi"/>
          <w:color w:val="000000" w:themeColor="text1"/>
        </w:rPr>
      </w:pPr>
    </w:p>
    <w:p w14:paraId="255EA216" w14:textId="6FCEB84F" w:rsidR="00BE6C96" w:rsidRPr="00020E2E" w:rsidRDefault="00020E2E" w:rsidP="00BE6C96">
      <w:pPr>
        <w:spacing w:line="360" w:lineRule="auto"/>
        <w:jc w:val="both"/>
        <w:rPr>
          <w:rFonts w:asciiTheme="majorBidi" w:hAnsiTheme="majorBidi" w:cstheme="majorBidi"/>
          <w:color w:val="000000" w:themeColor="text1"/>
          <w:lang w:val="en-GB"/>
        </w:rPr>
      </w:pPr>
      <w:r w:rsidRPr="00020E2E">
        <w:rPr>
          <w:rFonts w:asciiTheme="majorBidi" w:hAnsiTheme="majorBidi" w:cstheme="majorBidi"/>
          <w:b/>
          <w:bCs/>
          <w:color w:val="000000" w:themeColor="text1"/>
          <w:lang w:val="en-GB"/>
        </w:rPr>
        <w:t>Table A</w:t>
      </w:r>
      <w:r w:rsidR="00D85F60">
        <w:rPr>
          <w:rFonts w:asciiTheme="majorBidi" w:hAnsiTheme="majorBidi" w:cstheme="majorBidi"/>
          <w:b/>
          <w:bCs/>
          <w:color w:val="000000" w:themeColor="text1"/>
          <w:lang w:val="en-GB"/>
        </w:rPr>
        <w:t>5</w:t>
      </w:r>
      <w:bookmarkStart w:id="1" w:name="_GoBack"/>
      <w:bookmarkEnd w:id="1"/>
      <w:r w:rsidRPr="00020E2E">
        <w:rPr>
          <w:rFonts w:asciiTheme="majorBidi" w:hAnsiTheme="majorBidi" w:cstheme="majorBidi"/>
          <w:b/>
          <w:bCs/>
          <w:color w:val="000000" w:themeColor="text1"/>
          <w:lang w:val="en-GB"/>
        </w:rPr>
        <w:t>:</w:t>
      </w:r>
      <w:r>
        <w:rPr>
          <w:rFonts w:asciiTheme="majorBidi" w:hAnsiTheme="majorBidi" w:cstheme="majorBidi"/>
          <w:color w:val="000000" w:themeColor="text1"/>
          <w:lang w:val="en-GB"/>
        </w:rPr>
        <w:t xml:space="preserve"> </w:t>
      </w:r>
      <w:r w:rsidRPr="00020E2E">
        <w:rPr>
          <w:rFonts w:asciiTheme="majorBidi" w:hAnsiTheme="majorBidi" w:cstheme="majorBidi"/>
          <w:color w:val="000000" w:themeColor="text1"/>
          <w:lang w:val="en-GB"/>
        </w:rPr>
        <w:t>Assessment of health risks by city and distance</w:t>
      </w:r>
    </w:p>
    <w:tbl>
      <w:tblPr>
        <w:tblStyle w:val="PlainTable1"/>
        <w:tblW w:w="0" w:type="auto"/>
        <w:tblLook w:val="04A0" w:firstRow="1" w:lastRow="0" w:firstColumn="1" w:lastColumn="0" w:noHBand="0" w:noVBand="1"/>
      </w:tblPr>
      <w:tblGrid>
        <w:gridCol w:w="1576"/>
        <w:gridCol w:w="1318"/>
        <w:gridCol w:w="1498"/>
        <w:gridCol w:w="1503"/>
        <w:gridCol w:w="1564"/>
        <w:gridCol w:w="1557"/>
      </w:tblGrid>
      <w:tr w:rsidR="00020E2E" w:rsidRPr="00955D3D" w14:paraId="5B73EDBD" w14:textId="77777777" w:rsidTr="003101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7CED40" w14:textId="6707A2FC" w:rsidR="00BE6C96" w:rsidRPr="00955D3D" w:rsidRDefault="00020E2E" w:rsidP="0031013D">
            <w:pPr>
              <w:spacing w:line="360" w:lineRule="auto"/>
              <w:jc w:val="both"/>
              <w:rPr>
                <w:rFonts w:asciiTheme="majorBidi" w:hAnsiTheme="majorBidi" w:cstheme="majorBidi"/>
                <w:b w:val="0"/>
                <w:bCs w:val="0"/>
                <w:color w:val="000000" w:themeColor="text1"/>
              </w:rPr>
            </w:pPr>
            <w:r>
              <w:rPr>
                <w:rFonts w:asciiTheme="majorBidi" w:hAnsiTheme="majorBidi" w:cstheme="majorBidi"/>
                <w:color w:val="000000" w:themeColor="text1"/>
              </w:rPr>
              <w:t>City</w:t>
            </w:r>
          </w:p>
        </w:tc>
        <w:tc>
          <w:tcPr>
            <w:tcW w:w="0" w:type="auto"/>
            <w:hideMark/>
          </w:tcPr>
          <w:p w14:paraId="65A6801F" w14:textId="77777777" w:rsidR="00BE6C96" w:rsidRPr="00955D3D" w:rsidRDefault="00BE6C96"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sidRPr="00955D3D">
              <w:rPr>
                <w:rFonts w:asciiTheme="majorBidi" w:hAnsiTheme="majorBidi" w:cstheme="majorBidi"/>
                <w:color w:val="000000" w:themeColor="text1"/>
              </w:rPr>
              <w:t>Distance (m)</w:t>
            </w:r>
          </w:p>
        </w:tc>
        <w:tc>
          <w:tcPr>
            <w:tcW w:w="0" w:type="auto"/>
            <w:hideMark/>
          </w:tcPr>
          <w:p w14:paraId="3F8E173A" w14:textId="61A04CE0" w:rsidR="00BE6C96" w:rsidRPr="00955D3D" w:rsidRDefault="00020E2E"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proofErr w:type="spellStart"/>
            <w:r>
              <w:rPr>
                <w:rFonts w:asciiTheme="majorBidi" w:hAnsiTheme="majorBidi" w:cstheme="majorBidi"/>
                <w:color w:val="000000" w:themeColor="text1"/>
              </w:rPr>
              <w:t>Adult</w:t>
            </w:r>
            <w:proofErr w:type="spellEnd"/>
            <w:r>
              <w:rPr>
                <w:rFonts w:asciiTheme="majorBidi" w:hAnsiTheme="majorBidi" w:cstheme="majorBidi"/>
                <w:color w:val="000000" w:themeColor="text1"/>
              </w:rPr>
              <w:t xml:space="preserve"> </w:t>
            </w:r>
            <w:proofErr w:type="spellStart"/>
            <w:r>
              <w:rPr>
                <w:rFonts w:asciiTheme="majorBidi" w:hAnsiTheme="majorBidi" w:cstheme="majorBidi"/>
                <w:color w:val="000000" w:themeColor="text1"/>
              </w:rPr>
              <w:t>median</w:t>
            </w:r>
            <w:proofErr w:type="spellEnd"/>
            <w:r>
              <w:rPr>
                <w:rFonts w:asciiTheme="majorBidi" w:hAnsiTheme="majorBidi" w:cstheme="majorBidi"/>
                <w:color w:val="000000" w:themeColor="text1"/>
              </w:rPr>
              <w:t xml:space="preserve"> HI</w:t>
            </w:r>
          </w:p>
        </w:tc>
        <w:tc>
          <w:tcPr>
            <w:tcW w:w="0" w:type="auto"/>
            <w:hideMark/>
          </w:tcPr>
          <w:p w14:paraId="491DF079" w14:textId="04B443F4" w:rsidR="00BE6C96" w:rsidRPr="00955D3D" w:rsidRDefault="00020E2E"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r>
              <w:rPr>
                <w:rFonts w:asciiTheme="majorBidi" w:hAnsiTheme="majorBidi" w:cstheme="majorBidi"/>
                <w:color w:val="000000" w:themeColor="text1"/>
              </w:rPr>
              <w:t xml:space="preserve">Child </w:t>
            </w:r>
            <w:proofErr w:type="spellStart"/>
            <w:r>
              <w:rPr>
                <w:rFonts w:asciiTheme="majorBidi" w:hAnsiTheme="majorBidi" w:cstheme="majorBidi"/>
                <w:color w:val="000000" w:themeColor="text1"/>
              </w:rPr>
              <w:t>Median</w:t>
            </w:r>
            <w:proofErr w:type="spellEnd"/>
            <w:r>
              <w:rPr>
                <w:rFonts w:asciiTheme="majorBidi" w:hAnsiTheme="majorBidi" w:cstheme="majorBidi"/>
                <w:color w:val="000000" w:themeColor="text1"/>
              </w:rPr>
              <w:t xml:space="preserve"> Hi</w:t>
            </w:r>
          </w:p>
        </w:tc>
        <w:tc>
          <w:tcPr>
            <w:tcW w:w="0" w:type="auto"/>
            <w:hideMark/>
          </w:tcPr>
          <w:p w14:paraId="1C9F3B15" w14:textId="5DB210A7" w:rsidR="00BE6C96" w:rsidRPr="00955D3D" w:rsidRDefault="00020E2E"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proofErr w:type="spellStart"/>
            <w:proofErr w:type="gramStart"/>
            <w:r>
              <w:rPr>
                <w:rFonts w:asciiTheme="majorBidi" w:hAnsiTheme="majorBidi" w:cstheme="majorBidi"/>
                <w:color w:val="000000" w:themeColor="text1"/>
              </w:rPr>
              <w:t>A</w:t>
            </w:r>
            <w:r w:rsidR="00BE6C96" w:rsidRPr="00955D3D">
              <w:rPr>
                <w:rFonts w:asciiTheme="majorBidi" w:hAnsiTheme="majorBidi" w:cstheme="majorBidi"/>
                <w:color w:val="000000" w:themeColor="text1"/>
              </w:rPr>
              <w:t>dult</w:t>
            </w:r>
            <w:proofErr w:type="spellEnd"/>
            <w:r>
              <w:rPr>
                <w:rFonts w:asciiTheme="majorBidi" w:hAnsiTheme="majorBidi" w:cstheme="majorBidi"/>
                <w:color w:val="000000" w:themeColor="text1"/>
              </w:rPr>
              <w:t xml:space="preserve">  </w:t>
            </w:r>
            <w:proofErr w:type="spellStart"/>
            <w:r>
              <w:rPr>
                <w:rFonts w:asciiTheme="majorBidi" w:hAnsiTheme="majorBidi" w:cstheme="majorBidi"/>
                <w:color w:val="000000" w:themeColor="text1"/>
              </w:rPr>
              <w:t>median</w:t>
            </w:r>
            <w:proofErr w:type="spellEnd"/>
            <w:proofErr w:type="gramEnd"/>
            <w:r>
              <w:rPr>
                <w:rFonts w:asciiTheme="majorBidi" w:hAnsiTheme="majorBidi" w:cstheme="majorBidi"/>
                <w:color w:val="000000" w:themeColor="text1"/>
              </w:rPr>
              <w:t xml:space="preserve"> CR</w:t>
            </w:r>
            <w:r w:rsidR="00BE6C96" w:rsidRPr="00955D3D">
              <w:rPr>
                <w:rFonts w:asciiTheme="majorBidi" w:hAnsiTheme="majorBidi" w:cstheme="majorBidi"/>
                <w:color w:val="000000" w:themeColor="text1"/>
              </w:rPr>
              <w:t xml:space="preserve"> </w:t>
            </w:r>
          </w:p>
        </w:tc>
        <w:tc>
          <w:tcPr>
            <w:tcW w:w="0" w:type="auto"/>
            <w:hideMark/>
          </w:tcPr>
          <w:p w14:paraId="23AA6867" w14:textId="2C6F442C" w:rsidR="00BE6C96" w:rsidRPr="00955D3D" w:rsidRDefault="00020E2E" w:rsidP="0031013D">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rPr>
            </w:pPr>
            <w:proofErr w:type="gramStart"/>
            <w:r>
              <w:rPr>
                <w:rFonts w:asciiTheme="majorBidi" w:hAnsiTheme="majorBidi" w:cstheme="majorBidi"/>
                <w:color w:val="000000" w:themeColor="text1"/>
              </w:rPr>
              <w:t xml:space="preserve">Child  </w:t>
            </w:r>
            <w:proofErr w:type="spellStart"/>
            <w:r>
              <w:rPr>
                <w:rFonts w:asciiTheme="majorBidi" w:hAnsiTheme="majorBidi" w:cstheme="majorBidi"/>
                <w:color w:val="000000" w:themeColor="text1"/>
              </w:rPr>
              <w:t>median</w:t>
            </w:r>
            <w:proofErr w:type="spellEnd"/>
            <w:proofErr w:type="gramEnd"/>
            <w:r>
              <w:rPr>
                <w:rFonts w:asciiTheme="majorBidi" w:hAnsiTheme="majorBidi" w:cstheme="majorBidi"/>
                <w:color w:val="000000" w:themeColor="text1"/>
              </w:rPr>
              <w:t xml:space="preserve"> CR</w:t>
            </w:r>
          </w:p>
        </w:tc>
      </w:tr>
      <w:tr w:rsidR="00020E2E" w:rsidRPr="00955D3D" w14:paraId="67354090"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745FF4"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Abomey-Calavi</w:t>
            </w:r>
          </w:p>
        </w:tc>
        <w:tc>
          <w:tcPr>
            <w:tcW w:w="0" w:type="auto"/>
            <w:hideMark/>
          </w:tcPr>
          <w:p w14:paraId="5091C385"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0306A1C8"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12,1</w:t>
            </w:r>
          </w:p>
        </w:tc>
        <w:tc>
          <w:tcPr>
            <w:tcW w:w="0" w:type="auto"/>
            <w:hideMark/>
          </w:tcPr>
          <w:p w14:paraId="30792EAE"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17,5</w:t>
            </w:r>
          </w:p>
        </w:tc>
        <w:tc>
          <w:tcPr>
            <w:tcW w:w="0" w:type="auto"/>
            <w:hideMark/>
          </w:tcPr>
          <w:p w14:paraId="34008575"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3,09 × 10⁻⁴</w:t>
            </w:r>
          </w:p>
        </w:tc>
        <w:tc>
          <w:tcPr>
            <w:tcW w:w="0" w:type="auto"/>
            <w:hideMark/>
          </w:tcPr>
          <w:p w14:paraId="130CA57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3,04 × 10⁻⁴</w:t>
            </w:r>
          </w:p>
        </w:tc>
      </w:tr>
      <w:tr w:rsidR="00020E2E" w:rsidRPr="00955D3D" w14:paraId="78350A3D"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00FACF33"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Abomey-Calavi</w:t>
            </w:r>
          </w:p>
        </w:tc>
        <w:tc>
          <w:tcPr>
            <w:tcW w:w="0" w:type="auto"/>
            <w:hideMark/>
          </w:tcPr>
          <w:p w14:paraId="30EB86CF"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569F7E47"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7,57</w:t>
            </w:r>
          </w:p>
        </w:tc>
        <w:tc>
          <w:tcPr>
            <w:tcW w:w="0" w:type="auto"/>
            <w:hideMark/>
          </w:tcPr>
          <w:p w14:paraId="3FBC4F49"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11,0</w:t>
            </w:r>
          </w:p>
        </w:tc>
        <w:tc>
          <w:tcPr>
            <w:tcW w:w="0" w:type="auto"/>
            <w:hideMark/>
          </w:tcPr>
          <w:p w14:paraId="363A6B74"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3,26 × 10⁻⁴</w:t>
            </w:r>
          </w:p>
        </w:tc>
        <w:tc>
          <w:tcPr>
            <w:tcW w:w="0" w:type="auto"/>
            <w:hideMark/>
          </w:tcPr>
          <w:p w14:paraId="7A39030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3,22 × 10⁻⁴</w:t>
            </w:r>
          </w:p>
        </w:tc>
      </w:tr>
      <w:tr w:rsidR="00020E2E" w:rsidRPr="00955D3D" w14:paraId="0B6C0832"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D6AE16"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Abomey-Calavi</w:t>
            </w:r>
          </w:p>
        </w:tc>
        <w:tc>
          <w:tcPr>
            <w:tcW w:w="0" w:type="auto"/>
            <w:hideMark/>
          </w:tcPr>
          <w:p w14:paraId="37E1596F"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5B30D030"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4,37</w:t>
            </w:r>
          </w:p>
        </w:tc>
        <w:tc>
          <w:tcPr>
            <w:tcW w:w="0" w:type="auto"/>
            <w:hideMark/>
          </w:tcPr>
          <w:p w14:paraId="7AAFAB9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6,36</w:t>
            </w:r>
          </w:p>
        </w:tc>
        <w:tc>
          <w:tcPr>
            <w:tcW w:w="0" w:type="auto"/>
            <w:hideMark/>
          </w:tcPr>
          <w:p w14:paraId="40576846"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3,37 × 10⁻⁴</w:t>
            </w:r>
          </w:p>
        </w:tc>
        <w:tc>
          <w:tcPr>
            <w:tcW w:w="0" w:type="auto"/>
            <w:hideMark/>
          </w:tcPr>
          <w:p w14:paraId="74480EC8"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3,33 × 10⁻⁴</w:t>
            </w:r>
          </w:p>
        </w:tc>
      </w:tr>
      <w:tr w:rsidR="00020E2E" w:rsidRPr="00955D3D" w14:paraId="2A19AB9B"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4A830B41"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Cotonou</w:t>
            </w:r>
          </w:p>
        </w:tc>
        <w:tc>
          <w:tcPr>
            <w:tcW w:w="0" w:type="auto"/>
            <w:hideMark/>
          </w:tcPr>
          <w:p w14:paraId="20539315"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413E57A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38,0</w:t>
            </w:r>
          </w:p>
        </w:tc>
        <w:tc>
          <w:tcPr>
            <w:tcW w:w="0" w:type="auto"/>
            <w:hideMark/>
          </w:tcPr>
          <w:p w14:paraId="0FB4B4E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55,3</w:t>
            </w:r>
          </w:p>
        </w:tc>
        <w:tc>
          <w:tcPr>
            <w:tcW w:w="0" w:type="auto"/>
            <w:hideMark/>
          </w:tcPr>
          <w:p w14:paraId="228BB2BE"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2,74 × 10⁻⁴</w:t>
            </w:r>
          </w:p>
        </w:tc>
        <w:tc>
          <w:tcPr>
            <w:tcW w:w="0" w:type="auto"/>
            <w:hideMark/>
          </w:tcPr>
          <w:p w14:paraId="6454F3CB"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2,74 × 10⁻⁴</w:t>
            </w:r>
          </w:p>
        </w:tc>
      </w:tr>
      <w:tr w:rsidR="00020E2E" w:rsidRPr="00955D3D" w14:paraId="64C4A5E0"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D932A0"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Cotonou</w:t>
            </w:r>
          </w:p>
        </w:tc>
        <w:tc>
          <w:tcPr>
            <w:tcW w:w="0" w:type="auto"/>
            <w:hideMark/>
          </w:tcPr>
          <w:p w14:paraId="6877EB61"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5B8DDE79"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26,8</w:t>
            </w:r>
          </w:p>
        </w:tc>
        <w:tc>
          <w:tcPr>
            <w:tcW w:w="0" w:type="auto"/>
            <w:hideMark/>
          </w:tcPr>
          <w:p w14:paraId="6C9CB9E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39,0</w:t>
            </w:r>
          </w:p>
        </w:tc>
        <w:tc>
          <w:tcPr>
            <w:tcW w:w="0" w:type="auto"/>
            <w:hideMark/>
          </w:tcPr>
          <w:p w14:paraId="53957723"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2,57 × 10⁻⁴</w:t>
            </w:r>
          </w:p>
        </w:tc>
        <w:tc>
          <w:tcPr>
            <w:tcW w:w="0" w:type="auto"/>
            <w:hideMark/>
          </w:tcPr>
          <w:p w14:paraId="280862D7"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2,57 × 10⁻⁴</w:t>
            </w:r>
          </w:p>
        </w:tc>
      </w:tr>
      <w:tr w:rsidR="00020E2E" w:rsidRPr="00955D3D" w14:paraId="26B9136B"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671C5F0F"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Cotonou</w:t>
            </w:r>
          </w:p>
        </w:tc>
        <w:tc>
          <w:tcPr>
            <w:tcW w:w="0" w:type="auto"/>
            <w:hideMark/>
          </w:tcPr>
          <w:p w14:paraId="4677B6BD"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79AA46E6"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34,5</w:t>
            </w:r>
          </w:p>
        </w:tc>
        <w:tc>
          <w:tcPr>
            <w:tcW w:w="0" w:type="auto"/>
            <w:hideMark/>
          </w:tcPr>
          <w:p w14:paraId="146EE862"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50,3</w:t>
            </w:r>
          </w:p>
        </w:tc>
        <w:tc>
          <w:tcPr>
            <w:tcW w:w="0" w:type="auto"/>
            <w:hideMark/>
          </w:tcPr>
          <w:p w14:paraId="7DD5B0C5"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3,09 × 10⁻⁴</w:t>
            </w:r>
          </w:p>
        </w:tc>
        <w:tc>
          <w:tcPr>
            <w:tcW w:w="0" w:type="auto"/>
            <w:hideMark/>
          </w:tcPr>
          <w:p w14:paraId="09EB661D"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3,09 × 10⁻⁴</w:t>
            </w:r>
          </w:p>
        </w:tc>
      </w:tr>
      <w:tr w:rsidR="00020E2E" w:rsidRPr="00955D3D" w14:paraId="55488B29"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2AC225"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Natitingou</w:t>
            </w:r>
          </w:p>
        </w:tc>
        <w:tc>
          <w:tcPr>
            <w:tcW w:w="0" w:type="auto"/>
            <w:hideMark/>
          </w:tcPr>
          <w:p w14:paraId="7466C9D9"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265A83D1"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9,01</w:t>
            </w:r>
          </w:p>
        </w:tc>
        <w:tc>
          <w:tcPr>
            <w:tcW w:w="0" w:type="auto"/>
            <w:hideMark/>
          </w:tcPr>
          <w:p w14:paraId="797FB7A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13,1</w:t>
            </w:r>
          </w:p>
        </w:tc>
        <w:tc>
          <w:tcPr>
            <w:tcW w:w="0" w:type="auto"/>
            <w:hideMark/>
          </w:tcPr>
          <w:p w14:paraId="33B63E04"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3,59 × 10⁻³</w:t>
            </w:r>
          </w:p>
        </w:tc>
        <w:tc>
          <w:tcPr>
            <w:tcW w:w="0" w:type="auto"/>
            <w:hideMark/>
          </w:tcPr>
          <w:p w14:paraId="7175F518"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3,59 × 10⁻³</w:t>
            </w:r>
          </w:p>
        </w:tc>
      </w:tr>
      <w:tr w:rsidR="00020E2E" w:rsidRPr="00955D3D" w14:paraId="2710CA51" w14:textId="77777777" w:rsidTr="0031013D">
        <w:tc>
          <w:tcPr>
            <w:cnfStyle w:val="001000000000" w:firstRow="0" w:lastRow="0" w:firstColumn="1" w:lastColumn="0" w:oddVBand="0" w:evenVBand="0" w:oddHBand="0" w:evenHBand="0" w:firstRowFirstColumn="0" w:firstRowLastColumn="0" w:lastRowFirstColumn="0" w:lastRowLastColumn="0"/>
            <w:tcW w:w="0" w:type="auto"/>
            <w:hideMark/>
          </w:tcPr>
          <w:p w14:paraId="5B0F7E08"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Natitingou</w:t>
            </w:r>
          </w:p>
        </w:tc>
        <w:tc>
          <w:tcPr>
            <w:tcW w:w="0" w:type="auto"/>
            <w:hideMark/>
          </w:tcPr>
          <w:p w14:paraId="7C62E673"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50</w:t>
            </w:r>
          </w:p>
        </w:tc>
        <w:tc>
          <w:tcPr>
            <w:tcW w:w="0" w:type="auto"/>
            <w:hideMark/>
          </w:tcPr>
          <w:p w14:paraId="792FB90B"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48,7</w:t>
            </w:r>
          </w:p>
        </w:tc>
        <w:tc>
          <w:tcPr>
            <w:tcW w:w="0" w:type="auto"/>
            <w:hideMark/>
          </w:tcPr>
          <w:p w14:paraId="36DAD129"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70,8</w:t>
            </w:r>
          </w:p>
        </w:tc>
        <w:tc>
          <w:tcPr>
            <w:tcW w:w="0" w:type="auto"/>
            <w:hideMark/>
          </w:tcPr>
          <w:p w14:paraId="0396D69C"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2,29 × 10⁻³</w:t>
            </w:r>
          </w:p>
        </w:tc>
        <w:tc>
          <w:tcPr>
            <w:tcW w:w="0" w:type="auto"/>
            <w:hideMark/>
          </w:tcPr>
          <w:p w14:paraId="4CB3C170" w14:textId="77777777" w:rsidR="00BE6C96" w:rsidRPr="00955D3D" w:rsidRDefault="00BE6C96" w:rsidP="0031013D">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2,29 × 10⁻³</w:t>
            </w:r>
          </w:p>
        </w:tc>
      </w:tr>
      <w:tr w:rsidR="00020E2E" w:rsidRPr="00955D3D" w14:paraId="54BBD169" w14:textId="77777777" w:rsidTr="00310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2E5D17" w14:textId="77777777" w:rsidR="00BE6C96" w:rsidRPr="00955D3D" w:rsidRDefault="00BE6C96" w:rsidP="0031013D">
            <w:pPr>
              <w:spacing w:line="360" w:lineRule="auto"/>
              <w:jc w:val="both"/>
              <w:rPr>
                <w:rFonts w:asciiTheme="majorBidi" w:hAnsiTheme="majorBidi" w:cstheme="majorBidi"/>
                <w:color w:val="000000" w:themeColor="text1"/>
              </w:rPr>
            </w:pPr>
            <w:r w:rsidRPr="00955D3D">
              <w:rPr>
                <w:rFonts w:asciiTheme="majorBidi" w:hAnsiTheme="majorBidi" w:cstheme="majorBidi"/>
                <w:color w:val="000000" w:themeColor="text1"/>
              </w:rPr>
              <w:t>Natitingou</w:t>
            </w:r>
          </w:p>
        </w:tc>
        <w:tc>
          <w:tcPr>
            <w:tcW w:w="0" w:type="auto"/>
            <w:hideMark/>
          </w:tcPr>
          <w:p w14:paraId="6FB6291F"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100</w:t>
            </w:r>
          </w:p>
        </w:tc>
        <w:tc>
          <w:tcPr>
            <w:tcW w:w="0" w:type="auto"/>
            <w:hideMark/>
          </w:tcPr>
          <w:p w14:paraId="3A548E70"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13,6</w:t>
            </w:r>
          </w:p>
        </w:tc>
        <w:tc>
          <w:tcPr>
            <w:tcW w:w="0" w:type="auto"/>
            <w:hideMark/>
          </w:tcPr>
          <w:p w14:paraId="58E9220C"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19,9</w:t>
            </w:r>
          </w:p>
        </w:tc>
        <w:tc>
          <w:tcPr>
            <w:tcW w:w="0" w:type="auto"/>
            <w:hideMark/>
          </w:tcPr>
          <w:p w14:paraId="02CC0B84"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w:t>
            </w:r>
          </w:p>
        </w:tc>
        <w:tc>
          <w:tcPr>
            <w:tcW w:w="0" w:type="auto"/>
            <w:hideMark/>
          </w:tcPr>
          <w:p w14:paraId="68E282AB" w14:textId="77777777" w:rsidR="00BE6C96" w:rsidRPr="00955D3D" w:rsidRDefault="00BE6C96" w:rsidP="0031013D">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sidRPr="00955D3D">
              <w:rPr>
                <w:rFonts w:asciiTheme="majorBidi" w:hAnsiTheme="majorBidi" w:cstheme="majorBidi"/>
                <w:color w:val="000000" w:themeColor="text1"/>
              </w:rPr>
              <w:t>0</w:t>
            </w:r>
          </w:p>
        </w:tc>
      </w:tr>
    </w:tbl>
    <w:p w14:paraId="445D7A38" w14:textId="77777777" w:rsidR="00BE6C96" w:rsidRPr="00955D3D" w:rsidRDefault="00BE6C96" w:rsidP="00BE6C96">
      <w:pPr>
        <w:spacing w:line="360" w:lineRule="auto"/>
        <w:jc w:val="both"/>
        <w:rPr>
          <w:rFonts w:asciiTheme="majorBidi" w:hAnsiTheme="majorBidi" w:cstheme="majorBidi"/>
          <w:color w:val="000000" w:themeColor="text1"/>
        </w:rPr>
      </w:pPr>
    </w:p>
    <w:p w14:paraId="51267E59" w14:textId="77777777" w:rsidR="00BE248B" w:rsidRDefault="00BE248B"/>
    <w:sectPr w:rsidR="00BE248B">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674DC" w14:textId="77777777" w:rsidR="00C844B2" w:rsidRDefault="00C844B2" w:rsidP="007F0AF6">
      <w:r>
        <w:separator/>
      </w:r>
    </w:p>
  </w:endnote>
  <w:endnote w:type="continuationSeparator" w:id="0">
    <w:p w14:paraId="43E1D7BA" w14:textId="77777777" w:rsidR="00C844B2" w:rsidRDefault="00C844B2" w:rsidP="007F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C5444" w14:textId="77777777" w:rsidR="003D14F6" w:rsidRDefault="003D1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13B52" w14:textId="77777777" w:rsidR="003D14F6" w:rsidRDefault="003D14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50A17" w14:textId="77777777" w:rsidR="003D14F6" w:rsidRDefault="003D1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45690" w14:textId="77777777" w:rsidR="00C844B2" w:rsidRDefault="00C844B2" w:rsidP="007F0AF6">
      <w:r>
        <w:separator/>
      </w:r>
    </w:p>
  </w:footnote>
  <w:footnote w:type="continuationSeparator" w:id="0">
    <w:p w14:paraId="6F47376D" w14:textId="77777777" w:rsidR="00C844B2" w:rsidRDefault="00C844B2" w:rsidP="007F0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AE532" w14:textId="6A8933B1" w:rsidR="003D14F6" w:rsidRDefault="00C844B2">
    <w:pPr>
      <w:pStyle w:val="Header"/>
    </w:pPr>
    <w:r>
      <w:rPr>
        <w:noProof/>
      </w:rPr>
      <w:pict w14:anchorId="583B0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834360"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37AB5" w14:textId="41EFC0BE" w:rsidR="003D14F6" w:rsidRDefault="00C844B2">
    <w:pPr>
      <w:pStyle w:val="Header"/>
    </w:pPr>
    <w:r>
      <w:rPr>
        <w:noProof/>
      </w:rPr>
      <w:pict w14:anchorId="337C4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834361"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64BFF" w14:textId="7EFADC46" w:rsidR="003D14F6" w:rsidRDefault="00C844B2">
    <w:pPr>
      <w:pStyle w:val="Header"/>
    </w:pPr>
    <w:r>
      <w:rPr>
        <w:noProof/>
      </w:rPr>
      <w:pict w14:anchorId="717DB7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834359"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10A9"/>
    <w:multiLevelType w:val="multilevel"/>
    <w:tmpl w:val="A14A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F0EB5"/>
    <w:multiLevelType w:val="multilevel"/>
    <w:tmpl w:val="E536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12069"/>
    <w:multiLevelType w:val="hybridMultilevel"/>
    <w:tmpl w:val="FDB01396"/>
    <w:lvl w:ilvl="0" w:tplc="16FC3EB4">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ED24BF"/>
    <w:multiLevelType w:val="hybridMultilevel"/>
    <w:tmpl w:val="E14A85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830EF6"/>
    <w:multiLevelType w:val="multilevel"/>
    <w:tmpl w:val="2AFE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7144D"/>
    <w:multiLevelType w:val="hybridMultilevel"/>
    <w:tmpl w:val="056EC3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2D65AB"/>
    <w:multiLevelType w:val="multilevel"/>
    <w:tmpl w:val="5ADC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325F8"/>
    <w:multiLevelType w:val="multilevel"/>
    <w:tmpl w:val="A1B8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E610B3"/>
    <w:multiLevelType w:val="multilevel"/>
    <w:tmpl w:val="B6DA6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EF1459"/>
    <w:multiLevelType w:val="multilevel"/>
    <w:tmpl w:val="93A0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94CA5"/>
    <w:multiLevelType w:val="multilevel"/>
    <w:tmpl w:val="218EB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1E73B6"/>
    <w:multiLevelType w:val="multilevel"/>
    <w:tmpl w:val="DE14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C253C7"/>
    <w:multiLevelType w:val="multilevel"/>
    <w:tmpl w:val="7722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583E08"/>
    <w:multiLevelType w:val="multilevel"/>
    <w:tmpl w:val="F7E6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275BEA"/>
    <w:multiLevelType w:val="hybridMultilevel"/>
    <w:tmpl w:val="C0D8D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D10963"/>
    <w:multiLevelType w:val="hybridMultilevel"/>
    <w:tmpl w:val="7B529C72"/>
    <w:lvl w:ilvl="0" w:tplc="040C0001">
      <w:start w:val="1"/>
      <w:numFmt w:val="bullet"/>
      <w:lvlText w:val=""/>
      <w:lvlJc w:val="left"/>
      <w:pPr>
        <w:ind w:left="790" w:hanging="360"/>
      </w:pPr>
      <w:rPr>
        <w:rFonts w:ascii="Symbol" w:hAnsi="Symbol" w:hint="default"/>
      </w:rPr>
    </w:lvl>
    <w:lvl w:ilvl="1" w:tplc="040C0003" w:tentative="1">
      <w:start w:val="1"/>
      <w:numFmt w:val="bullet"/>
      <w:lvlText w:val="o"/>
      <w:lvlJc w:val="left"/>
      <w:pPr>
        <w:ind w:left="1510" w:hanging="360"/>
      </w:pPr>
      <w:rPr>
        <w:rFonts w:ascii="Courier New" w:hAnsi="Courier New" w:cs="Courier New" w:hint="default"/>
      </w:rPr>
    </w:lvl>
    <w:lvl w:ilvl="2" w:tplc="040C0005" w:tentative="1">
      <w:start w:val="1"/>
      <w:numFmt w:val="bullet"/>
      <w:lvlText w:val=""/>
      <w:lvlJc w:val="left"/>
      <w:pPr>
        <w:ind w:left="2230" w:hanging="360"/>
      </w:pPr>
      <w:rPr>
        <w:rFonts w:ascii="Wingdings" w:hAnsi="Wingdings" w:hint="default"/>
      </w:rPr>
    </w:lvl>
    <w:lvl w:ilvl="3" w:tplc="040C0001" w:tentative="1">
      <w:start w:val="1"/>
      <w:numFmt w:val="bullet"/>
      <w:lvlText w:val=""/>
      <w:lvlJc w:val="left"/>
      <w:pPr>
        <w:ind w:left="2950" w:hanging="360"/>
      </w:pPr>
      <w:rPr>
        <w:rFonts w:ascii="Symbol" w:hAnsi="Symbol" w:hint="default"/>
      </w:rPr>
    </w:lvl>
    <w:lvl w:ilvl="4" w:tplc="040C0003" w:tentative="1">
      <w:start w:val="1"/>
      <w:numFmt w:val="bullet"/>
      <w:lvlText w:val="o"/>
      <w:lvlJc w:val="left"/>
      <w:pPr>
        <w:ind w:left="3670" w:hanging="360"/>
      </w:pPr>
      <w:rPr>
        <w:rFonts w:ascii="Courier New" w:hAnsi="Courier New" w:cs="Courier New" w:hint="default"/>
      </w:rPr>
    </w:lvl>
    <w:lvl w:ilvl="5" w:tplc="040C0005" w:tentative="1">
      <w:start w:val="1"/>
      <w:numFmt w:val="bullet"/>
      <w:lvlText w:val=""/>
      <w:lvlJc w:val="left"/>
      <w:pPr>
        <w:ind w:left="4390" w:hanging="360"/>
      </w:pPr>
      <w:rPr>
        <w:rFonts w:ascii="Wingdings" w:hAnsi="Wingdings" w:hint="default"/>
      </w:rPr>
    </w:lvl>
    <w:lvl w:ilvl="6" w:tplc="040C0001" w:tentative="1">
      <w:start w:val="1"/>
      <w:numFmt w:val="bullet"/>
      <w:lvlText w:val=""/>
      <w:lvlJc w:val="left"/>
      <w:pPr>
        <w:ind w:left="5110" w:hanging="360"/>
      </w:pPr>
      <w:rPr>
        <w:rFonts w:ascii="Symbol" w:hAnsi="Symbol" w:hint="default"/>
      </w:rPr>
    </w:lvl>
    <w:lvl w:ilvl="7" w:tplc="040C0003" w:tentative="1">
      <w:start w:val="1"/>
      <w:numFmt w:val="bullet"/>
      <w:lvlText w:val="o"/>
      <w:lvlJc w:val="left"/>
      <w:pPr>
        <w:ind w:left="5830" w:hanging="360"/>
      </w:pPr>
      <w:rPr>
        <w:rFonts w:ascii="Courier New" w:hAnsi="Courier New" w:cs="Courier New" w:hint="default"/>
      </w:rPr>
    </w:lvl>
    <w:lvl w:ilvl="8" w:tplc="040C0005" w:tentative="1">
      <w:start w:val="1"/>
      <w:numFmt w:val="bullet"/>
      <w:lvlText w:val=""/>
      <w:lvlJc w:val="left"/>
      <w:pPr>
        <w:ind w:left="6550" w:hanging="360"/>
      </w:pPr>
      <w:rPr>
        <w:rFonts w:ascii="Wingdings" w:hAnsi="Wingdings" w:hint="default"/>
      </w:rPr>
    </w:lvl>
  </w:abstractNum>
  <w:abstractNum w:abstractNumId="16" w15:restartNumberingAfterBreak="0">
    <w:nsid w:val="313457AA"/>
    <w:multiLevelType w:val="multilevel"/>
    <w:tmpl w:val="9A32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B117FE"/>
    <w:multiLevelType w:val="multilevel"/>
    <w:tmpl w:val="4D22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864B8E"/>
    <w:multiLevelType w:val="multilevel"/>
    <w:tmpl w:val="945E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CE0CB4"/>
    <w:multiLevelType w:val="multilevel"/>
    <w:tmpl w:val="EC90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D61503"/>
    <w:multiLevelType w:val="hybridMultilevel"/>
    <w:tmpl w:val="0972D526"/>
    <w:lvl w:ilvl="0" w:tplc="040C0001">
      <w:start w:val="1"/>
      <w:numFmt w:val="bullet"/>
      <w:lvlText w:val=""/>
      <w:lvlJc w:val="left"/>
      <w:pPr>
        <w:ind w:left="860" w:hanging="360"/>
      </w:pPr>
      <w:rPr>
        <w:rFonts w:ascii="Symbol" w:hAnsi="Symbol" w:hint="default"/>
      </w:rPr>
    </w:lvl>
    <w:lvl w:ilvl="1" w:tplc="040C0003" w:tentative="1">
      <w:start w:val="1"/>
      <w:numFmt w:val="bullet"/>
      <w:lvlText w:val="o"/>
      <w:lvlJc w:val="left"/>
      <w:pPr>
        <w:ind w:left="1580" w:hanging="360"/>
      </w:pPr>
      <w:rPr>
        <w:rFonts w:ascii="Courier New" w:hAnsi="Courier New" w:cs="Courier New" w:hint="default"/>
      </w:rPr>
    </w:lvl>
    <w:lvl w:ilvl="2" w:tplc="040C0005" w:tentative="1">
      <w:start w:val="1"/>
      <w:numFmt w:val="bullet"/>
      <w:lvlText w:val=""/>
      <w:lvlJc w:val="left"/>
      <w:pPr>
        <w:ind w:left="2300" w:hanging="360"/>
      </w:pPr>
      <w:rPr>
        <w:rFonts w:ascii="Wingdings" w:hAnsi="Wingdings" w:hint="default"/>
      </w:rPr>
    </w:lvl>
    <w:lvl w:ilvl="3" w:tplc="040C0001" w:tentative="1">
      <w:start w:val="1"/>
      <w:numFmt w:val="bullet"/>
      <w:lvlText w:val=""/>
      <w:lvlJc w:val="left"/>
      <w:pPr>
        <w:ind w:left="3020" w:hanging="360"/>
      </w:pPr>
      <w:rPr>
        <w:rFonts w:ascii="Symbol" w:hAnsi="Symbol" w:hint="default"/>
      </w:rPr>
    </w:lvl>
    <w:lvl w:ilvl="4" w:tplc="040C0003" w:tentative="1">
      <w:start w:val="1"/>
      <w:numFmt w:val="bullet"/>
      <w:lvlText w:val="o"/>
      <w:lvlJc w:val="left"/>
      <w:pPr>
        <w:ind w:left="3740" w:hanging="360"/>
      </w:pPr>
      <w:rPr>
        <w:rFonts w:ascii="Courier New" w:hAnsi="Courier New" w:cs="Courier New" w:hint="default"/>
      </w:rPr>
    </w:lvl>
    <w:lvl w:ilvl="5" w:tplc="040C0005" w:tentative="1">
      <w:start w:val="1"/>
      <w:numFmt w:val="bullet"/>
      <w:lvlText w:val=""/>
      <w:lvlJc w:val="left"/>
      <w:pPr>
        <w:ind w:left="4460" w:hanging="360"/>
      </w:pPr>
      <w:rPr>
        <w:rFonts w:ascii="Wingdings" w:hAnsi="Wingdings" w:hint="default"/>
      </w:rPr>
    </w:lvl>
    <w:lvl w:ilvl="6" w:tplc="040C0001" w:tentative="1">
      <w:start w:val="1"/>
      <w:numFmt w:val="bullet"/>
      <w:lvlText w:val=""/>
      <w:lvlJc w:val="left"/>
      <w:pPr>
        <w:ind w:left="5180" w:hanging="360"/>
      </w:pPr>
      <w:rPr>
        <w:rFonts w:ascii="Symbol" w:hAnsi="Symbol" w:hint="default"/>
      </w:rPr>
    </w:lvl>
    <w:lvl w:ilvl="7" w:tplc="040C0003" w:tentative="1">
      <w:start w:val="1"/>
      <w:numFmt w:val="bullet"/>
      <w:lvlText w:val="o"/>
      <w:lvlJc w:val="left"/>
      <w:pPr>
        <w:ind w:left="5900" w:hanging="360"/>
      </w:pPr>
      <w:rPr>
        <w:rFonts w:ascii="Courier New" w:hAnsi="Courier New" w:cs="Courier New" w:hint="default"/>
      </w:rPr>
    </w:lvl>
    <w:lvl w:ilvl="8" w:tplc="040C0005" w:tentative="1">
      <w:start w:val="1"/>
      <w:numFmt w:val="bullet"/>
      <w:lvlText w:val=""/>
      <w:lvlJc w:val="left"/>
      <w:pPr>
        <w:ind w:left="6620" w:hanging="360"/>
      </w:pPr>
      <w:rPr>
        <w:rFonts w:ascii="Wingdings" w:hAnsi="Wingdings" w:hint="default"/>
      </w:rPr>
    </w:lvl>
  </w:abstractNum>
  <w:abstractNum w:abstractNumId="21" w15:restartNumberingAfterBreak="0">
    <w:nsid w:val="48A93ACB"/>
    <w:multiLevelType w:val="multilevel"/>
    <w:tmpl w:val="9E26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DE50E2"/>
    <w:multiLevelType w:val="multilevel"/>
    <w:tmpl w:val="60C4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1A7B53"/>
    <w:multiLevelType w:val="multilevel"/>
    <w:tmpl w:val="E0F6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3E5AE6"/>
    <w:multiLevelType w:val="hybridMultilevel"/>
    <w:tmpl w:val="C08A0C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4B03DC6"/>
    <w:multiLevelType w:val="multilevel"/>
    <w:tmpl w:val="2874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C135F8"/>
    <w:multiLevelType w:val="multilevel"/>
    <w:tmpl w:val="30FA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126263"/>
    <w:multiLevelType w:val="hybridMultilevel"/>
    <w:tmpl w:val="826AA6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9E150A6"/>
    <w:multiLevelType w:val="hybridMultilevel"/>
    <w:tmpl w:val="C1B859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AFB0917"/>
    <w:multiLevelType w:val="hybridMultilevel"/>
    <w:tmpl w:val="76DA0B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B4373C1"/>
    <w:multiLevelType w:val="hybridMultilevel"/>
    <w:tmpl w:val="424E1F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1135FCA"/>
    <w:multiLevelType w:val="hybridMultilevel"/>
    <w:tmpl w:val="8B46A6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47357AC"/>
    <w:multiLevelType w:val="multilevel"/>
    <w:tmpl w:val="990001F4"/>
    <w:lvl w:ilvl="0">
      <w:start w:val="1"/>
      <w:numFmt w:val="bullet"/>
      <w:lvlText w:val=""/>
      <w:lvlJc w:val="left"/>
      <w:pPr>
        <w:tabs>
          <w:tab w:val="num" w:pos="720"/>
        </w:tabs>
        <w:ind w:left="720" w:hanging="360"/>
      </w:pPr>
      <w:rPr>
        <w:rFonts w:ascii="Symbol" w:hAnsi="Symbol" w:hint="default"/>
        <w:sz w:val="20"/>
      </w:rPr>
    </w:lvl>
    <w:lvl w:ilvl="1">
      <w:start w:val="10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47195C"/>
    <w:multiLevelType w:val="hybridMultilevel"/>
    <w:tmpl w:val="932EF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E14325B"/>
    <w:multiLevelType w:val="multilevel"/>
    <w:tmpl w:val="37FE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3136D7"/>
    <w:multiLevelType w:val="multilevel"/>
    <w:tmpl w:val="3E8C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EA731C"/>
    <w:multiLevelType w:val="hybridMultilevel"/>
    <w:tmpl w:val="831E9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3217AC5"/>
    <w:multiLevelType w:val="multilevel"/>
    <w:tmpl w:val="75EC6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F13AC6"/>
    <w:multiLevelType w:val="multilevel"/>
    <w:tmpl w:val="DA90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6A3788"/>
    <w:multiLevelType w:val="multilevel"/>
    <w:tmpl w:val="2300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BD1F05"/>
    <w:multiLevelType w:val="hybridMultilevel"/>
    <w:tmpl w:val="62D882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F606361"/>
    <w:multiLevelType w:val="hybridMultilevel"/>
    <w:tmpl w:val="84425D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1"/>
  </w:num>
  <w:num w:numId="2">
    <w:abstractNumId w:val="20"/>
  </w:num>
  <w:num w:numId="3">
    <w:abstractNumId w:val="15"/>
  </w:num>
  <w:num w:numId="4">
    <w:abstractNumId w:val="2"/>
  </w:num>
  <w:num w:numId="5">
    <w:abstractNumId w:val="5"/>
  </w:num>
  <w:num w:numId="6">
    <w:abstractNumId w:val="36"/>
  </w:num>
  <w:num w:numId="7">
    <w:abstractNumId w:val="40"/>
  </w:num>
  <w:num w:numId="8">
    <w:abstractNumId w:val="29"/>
  </w:num>
  <w:num w:numId="9">
    <w:abstractNumId w:val="27"/>
  </w:num>
  <w:num w:numId="10">
    <w:abstractNumId w:val="3"/>
  </w:num>
  <w:num w:numId="11">
    <w:abstractNumId w:val="33"/>
  </w:num>
  <w:num w:numId="12">
    <w:abstractNumId w:val="30"/>
  </w:num>
  <w:num w:numId="13">
    <w:abstractNumId w:val="14"/>
  </w:num>
  <w:num w:numId="14">
    <w:abstractNumId w:val="0"/>
  </w:num>
  <w:num w:numId="15">
    <w:abstractNumId w:val="18"/>
  </w:num>
  <w:num w:numId="16">
    <w:abstractNumId w:val="12"/>
  </w:num>
  <w:num w:numId="17">
    <w:abstractNumId w:val="13"/>
  </w:num>
  <w:num w:numId="18">
    <w:abstractNumId w:val="26"/>
  </w:num>
  <w:num w:numId="19">
    <w:abstractNumId w:val="32"/>
  </w:num>
  <w:num w:numId="20">
    <w:abstractNumId w:val="25"/>
  </w:num>
  <w:num w:numId="21">
    <w:abstractNumId w:val="4"/>
  </w:num>
  <w:num w:numId="22">
    <w:abstractNumId w:val="39"/>
  </w:num>
  <w:num w:numId="23">
    <w:abstractNumId w:val="11"/>
  </w:num>
  <w:num w:numId="24">
    <w:abstractNumId w:val="23"/>
  </w:num>
  <w:num w:numId="25">
    <w:abstractNumId w:val="6"/>
  </w:num>
  <w:num w:numId="26">
    <w:abstractNumId w:val="21"/>
  </w:num>
  <w:num w:numId="27">
    <w:abstractNumId w:val="16"/>
  </w:num>
  <w:num w:numId="28">
    <w:abstractNumId w:val="7"/>
  </w:num>
  <w:num w:numId="29">
    <w:abstractNumId w:val="19"/>
  </w:num>
  <w:num w:numId="30">
    <w:abstractNumId w:val="17"/>
  </w:num>
  <w:num w:numId="31">
    <w:abstractNumId w:val="38"/>
  </w:num>
  <w:num w:numId="32">
    <w:abstractNumId w:val="34"/>
  </w:num>
  <w:num w:numId="33">
    <w:abstractNumId w:val="1"/>
  </w:num>
  <w:num w:numId="34">
    <w:abstractNumId w:val="10"/>
  </w:num>
  <w:num w:numId="35">
    <w:abstractNumId w:val="9"/>
  </w:num>
  <w:num w:numId="36">
    <w:abstractNumId w:val="22"/>
  </w:num>
  <w:num w:numId="37">
    <w:abstractNumId w:val="35"/>
  </w:num>
  <w:num w:numId="38">
    <w:abstractNumId w:val="28"/>
  </w:num>
  <w:num w:numId="39">
    <w:abstractNumId w:val="31"/>
  </w:num>
  <w:num w:numId="40">
    <w:abstractNumId w:val="8"/>
  </w:num>
  <w:num w:numId="41">
    <w:abstractNumId w:val="37"/>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96"/>
    <w:rsid w:val="0000032E"/>
    <w:rsid w:val="00020E2E"/>
    <w:rsid w:val="00086463"/>
    <w:rsid w:val="000E2DC9"/>
    <w:rsid w:val="00153206"/>
    <w:rsid w:val="001B0AC1"/>
    <w:rsid w:val="00265A3F"/>
    <w:rsid w:val="0027065D"/>
    <w:rsid w:val="00287E93"/>
    <w:rsid w:val="0031013D"/>
    <w:rsid w:val="00320602"/>
    <w:rsid w:val="00347FB3"/>
    <w:rsid w:val="003602A2"/>
    <w:rsid w:val="003617FA"/>
    <w:rsid w:val="003852C2"/>
    <w:rsid w:val="003A133E"/>
    <w:rsid w:val="003B4130"/>
    <w:rsid w:val="003C145E"/>
    <w:rsid w:val="003D14F6"/>
    <w:rsid w:val="003E58B8"/>
    <w:rsid w:val="0041134B"/>
    <w:rsid w:val="004831EB"/>
    <w:rsid w:val="004873CB"/>
    <w:rsid w:val="005460FD"/>
    <w:rsid w:val="00553B48"/>
    <w:rsid w:val="005C2F0B"/>
    <w:rsid w:val="005E7CCC"/>
    <w:rsid w:val="005E7DEE"/>
    <w:rsid w:val="005F51F7"/>
    <w:rsid w:val="00634D94"/>
    <w:rsid w:val="00641D36"/>
    <w:rsid w:val="006A24CC"/>
    <w:rsid w:val="006D5AED"/>
    <w:rsid w:val="006F7E86"/>
    <w:rsid w:val="0070221F"/>
    <w:rsid w:val="00772868"/>
    <w:rsid w:val="00784105"/>
    <w:rsid w:val="007B594B"/>
    <w:rsid w:val="007B6BD8"/>
    <w:rsid w:val="007F0AF6"/>
    <w:rsid w:val="00897C84"/>
    <w:rsid w:val="008B40D1"/>
    <w:rsid w:val="008C6FDF"/>
    <w:rsid w:val="00916E71"/>
    <w:rsid w:val="009F6830"/>
    <w:rsid w:val="00A27251"/>
    <w:rsid w:val="00A71889"/>
    <w:rsid w:val="00A83D67"/>
    <w:rsid w:val="00A8547B"/>
    <w:rsid w:val="00B14DE5"/>
    <w:rsid w:val="00B912D6"/>
    <w:rsid w:val="00B92885"/>
    <w:rsid w:val="00B94B39"/>
    <w:rsid w:val="00BB0D6E"/>
    <w:rsid w:val="00BE248B"/>
    <w:rsid w:val="00BE6C96"/>
    <w:rsid w:val="00C2494C"/>
    <w:rsid w:val="00C844B2"/>
    <w:rsid w:val="00CB5EF5"/>
    <w:rsid w:val="00D176FB"/>
    <w:rsid w:val="00D55CE6"/>
    <w:rsid w:val="00D85F60"/>
    <w:rsid w:val="00DB7446"/>
    <w:rsid w:val="00DE0A68"/>
    <w:rsid w:val="00DE1051"/>
    <w:rsid w:val="00E0413D"/>
    <w:rsid w:val="00E7307A"/>
    <w:rsid w:val="00EA1464"/>
    <w:rsid w:val="00EE04F2"/>
    <w:rsid w:val="00F247E7"/>
    <w:rsid w:val="00F35333"/>
    <w:rsid w:val="00F4316D"/>
    <w:rsid w:val="00F662A4"/>
    <w:rsid w:val="00FA664D"/>
    <w:rsid w:val="00FC2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C3FA06"/>
  <w15:chartTrackingRefBased/>
  <w15:docId w15:val="{51F84518-8F78-4843-B894-CB2CE299B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C96"/>
    <w:pPr>
      <w:spacing w:after="0" w:line="240" w:lineRule="auto"/>
    </w:pPr>
    <w:rPr>
      <w:rFonts w:ascii="Times New Roman" w:eastAsia="Times New Roman" w:hAnsi="Times New Roman" w:cs="Times New Roman"/>
      <w:kern w:val="0"/>
      <w:lang w:val="fr-FR" w:eastAsia="fr-FR"/>
      <w14:ligatures w14:val="none"/>
    </w:rPr>
  </w:style>
  <w:style w:type="paragraph" w:styleId="Heading1">
    <w:name w:val="heading 1"/>
    <w:basedOn w:val="Normal"/>
    <w:next w:val="Normal"/>
    <w:link w:val="Heading1Char"/>
    <w:uiPriority w:val="9"/>
    <w:qFormat/>
    <w:rsid w:val="00BE6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E6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C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C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C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C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C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C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C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C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E6C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C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C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C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C96"/>
    <w:rPr>
      <w:rFonts w:eastAsiaTheme="majorEastAsia" w:cstheme="majorBidi"/>
      <w:color w:val="272727" w:themeColor="text1" w:themeTint="D8"/>
    </w:rPr>
  </w:style>
  <w:style w:type="paragraph" w:styleId="Title">
    <w:name w:val="Title"/>
    <w:basedOn w:val="Normal"/>
    <w:next w:val="Normal"/>
    <w:link w:val="TitleChar"/>
    <w:uiPriority w:val="10"/>
    <w:qFormat/>
    <w:rsid w:val="00BE6C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C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C96"/>
    <w:pPr>
      <w:spacing w:before="160"/>
      <w:jc w:val="center"/>
    </w:pPr>
    <w:rPr>
      <w:i/>
      <w:iCs/>
      <w:color w:val="404040" w:themeColor="text1" w:themeTint="BF"/>
    </w:rPr>
  </w:style>
  <w:style w:type="character" w:customStyle="1" w:styleId="QuoteChar">
    <w:name w:val="Quote Char"/>
    <w:basedOn w:val="DefaultParagraphFont"/>
    <w:link w:val="Quote"/>
    <w:uiPriority w:val="29"/>
    <w:rsid w:val="00BE6C96"/>
    <w:rPr>
      <w:i/>
      <w:iCs/>
      <w:color w:val="404040" w:themeColor="text1" w:themeTint="BF"/>
    </w:rPr>
  </w:style>
  <w:style w:type="paragraph" w:styleId="ListParagraph">
    <w:name w:val="List Paragraph"/>
    <w:basedOn w:val="Normal"/>
    <w:uiPriority w:val="34"/>
    <w:qFormat/>
    <w:rsid w:val="00BE6C96"/>
    <w:pPr>
      <w:ind w:left="720"/>
      <w:contextualSpacing/>
    </w:pPr>
  </w:style>
  <w:style w:type="character" w:styleId="IntenseEmphasis">
    <w:name w:val="Intense Emphasis"/>
    <w:basedOn w:val="DefaultParagraphFont"/>
    <w:uiPriority w:val="21"/>
    <w:qFormat/>
    <w:rsid w:val="00BE6C96"/>
    <w:rPr>
      <w:i/>
      <w:iCs/>
      <w:color w:val="0F4761" w:themeColor="accent1" w:themeShade="BF"/>
    </w:rPr>
  </w:style>
  <w:style w:type="paragraph" w:styleId="IntenseQuote">
    <w:name w:val="Intense Quote"/>
    <w:basedOn w:val="Normal"/>
    <w:next w:val="Normal"/>
    <w:link w:val="IntenseQuoteChar"/>
    <w:uiPriority w:val="30"/>
    <w:qFormat/>
    <w:rsid w:val="00BE6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C96"/>
    <w:rPr>
      <w:i/>
      <w:iCs/>
      <w:color w:val="0F4761" w:themeColor="accent1" w:themeShade="BF"/>
    </w:rPr>
  </w:style>
  <w:style w:type="character" w:styleId="IntenseReference">
    <w:name w:val="Intense Reference"/>
    <w:basedOn w:val="DefaultParagraphFont"/>
    <w:uiPriority w:val="32"/>
    <w:qFormat/>
    <w:rsid w:val="00BE6C96"/>
    <w:rPr>
      <w:b/>
      <w:bCs/>
      <w:smallCaps/>
      <w:color w:val="0F4761" w:themeColor="accent1" w:themeShade="BF"/>
      <w:spacing w:val="5"/>
    </w:rPr>
  </w:style>
  <w:style w:type="paragraph" w:styleId="NormalWeb">
    <w:name w:val="Normal (Web)"/>
    <w:basedOn w:val="Normal"/>
    <w:uiPriority w:val="99"/>
    <w:unhideWhenUsed/>
    <w:rsid w:val="00BE6C96"/>
    <w:pPr>
      <w:spacing w:before="100" w:beforeAutospacing="1" w:after="100" w:afterAutospacing="1"/>
    </w:pPr>
  </w:style>
  <w:style w:type="table" w:styleId="TableGrid">
    <w:name w:val="Table Grid"/>
    <w:basedOn w:val="TableNormal"/>
    <w:uiPriority w:val="39"/>
    <w:rsid w:val="00BE6C96"/>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C96"/>
    <w:rPr>
      <w:b/>
      <w:bCs/>
    </w:rPr>
  </w:style>
  <w:style w:type="character" w:customStyle="1" w:styleId="katex-mathml">
    <w:name w:val="katex-mathml"/>
    <w:basedOn w:val="DefaultParagraphFont"/>
    <w:rsid w:val="00BE6C96"/>
  </w:style>
  <w:style w:type="character" w:customStyle="1" w:styleId="mord">
    <w:name w:val="mord"/>
    <w:basedOn w:val="DefaultParagraphFont"/>
    <w:rsid w:val="00BE6C96"/>
  </w:style>
  <w:style w:type="character" w:customStyle="1" w:styleId="mrel">
    <w:name w:val="mrel"/>
    <w:basedOn w:val="DefaultParagraphFont"/>
    <w:rsid w:val="00BE6C96"/>
  </w:style>
  <w:style w:type="character" w:customStyle="1" w:styleId="mop">
    <w:name w:val="mop"/>
    <w:basedOn w:val="DefaultParagraphFont"/>
    <w:rsid w:val="00BE6C96"/>
  </w:style>
  <w:style w:type="character" w:customStyle="1" w:styleId="vlist-s">
    <w:name w:val="vlist-s"/>
    <w:basedOn w:val="DefaultParagraphFont"/>
    <w:rsid w:val="00BE6C96"/>
  </w:style>
  <w:style w:type="character" w:styleId="Emphasis">
    <w:name w:val="Emphasis"/>
    <w:basedOn w:val="DefaultParagraphFont"/>
    <w:uiPriority w:val="20"/>
    <w:qFormat/>
    <w:rsid w:val="00BE6C96"/>
    <w:rPr>
      <w:i/>
      <w:iCs/>
    </w:rPr>
  </w:style>
  <w:style w:type="character" w:customStyle="1" w:styleId="mopen">
    <w:name w:val="mopen"/>
    <w:basedOn w:val="DefaultParagraphFont"/>
    <w:rsid w:val="00BE6C96"/>
  </w:style>
  <w:style w:type="character" w:customStyle="1" w:styleId="mclose">
    <w:name w:val="mclose"/>
    <w:basedOn w:val="DefaultParagraphFont"/>
    <w:rsid w:val="00BE6C96"/>
  </w:style>
  <w:style w:type="character" w:customStyle="1" w:styleId="mbin">
    <w:name w:val="mbin"/>
    <w:basedOn w:val="DefaultParagraphFont"/>
    <w:rsid w:val="00BE6C96"/>
  </w:style>
  <w:style w:type="table" w:styleId="PlainTable2">
    <w:name w:val="Plain Table 2"/>
    <w:basedOn w:val="TableNormal"/>
    <w:uiPriority w:val="42"/>
    <w:rsid w:val="00BE6C96"/>
    <w:pPr>
      <w:spacing w:after="0" w:line="240" w:lineRule="auto"/>
    </w:pPr>
    <w:rPr>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1">
    <w:name w:val="p1"/>
    <w:basedOn w:val="Normal"/>
    <w:rsid w:val="00BE6C96"/>
    <w:rPr>
      <w:color w:val="000000"/>
      <w:sz w:val="18"/>
      <w:szCs w:val="18"/>
    </w:rPr>
  </w:style>
  <w:style w:type="paragraph" w:customStyle="1" w:styleId="p2">
    <w:name w:val="p2"/>
    <w:basedOn w:val="Normal"/>
    <w:rsid w:val="00BE6C96"/>
    <w:rPr>
      <w:color w:val="0000FF"/>
      <w:sz w:val="18"/>
      <w:szCs w:val="18"/>
    </w:rPr>
  </w:style>
  <w:style w:type="character" w:customStyle="1" w:styleId="s1">
    <w:name w:val="s1"/>
    <w:basedOn w:val="DefaultParagraphFont"/>
    <w:rsid w:val="00BE6C96"/>
    <w:rPr>
      <w:rFonts w:ascii="Times New Roman" w:hAnsi="Times New Roman" w:cs="Times New Roman" w:hint="default"/>
      <w:b w:val="0"/>
      <w:bCs w:val="0"/>
      <w:i w:val="0"/>
      <w:iCs w:val="0"/>
      <w:sz w:val="12"/>
      <w:szCs w:val="12"/>
    </w:rPr>
  </w:style>
  <w:style w:type="character" w:customStyle="1" w:styleId="s2">
    <w:name w:val="s2"/>
    <w:basedOn w:val="DefaultParagraphFont"/>
    <w:rsid w:val="00BE6C96"/>
    <w:rPr>
      <w:rFonts w:ascii="Times New Roman" w:hAnsi="Times New Roman" w:cs="Times New Roman" w:hint="default"/>
      <w:b w:val="0"/>
      <w:bCs w:val="0"/>
      <w:i w:val="0"/>
      <w:iCs w:val="0"/>
      <w:sz w:val="18"/>
      <w:szCs w:val="18"/>
    </w:rPr>
  </w:style>
  <w:style w:type="character" w:customStyle="1" w:styleId="s3">
    <w:name w:val="s3"/>
    <w:basedOn w:val="DefaultParagraphFont"/>
    <w:rsid w:val="00BE6C96"/>
    <w:rPr>
      <w:rFonts w:ascii="Times New Roman" w:hAnsi="Times New Roman" w:cs="Times New Roman" w:hint="default"/>
      <w:b w:val="0"/>
      <w:bCs w:val="0"/>
      <w:i w:val="0"/>
      <w:iCs w:val="0"/>
      <w:color w:val="000000"/>
      <w:sz w:val="18"/>
      <w:szCs w:val="18"/>
    </w:rPr>
  </w:style>
  <w:style w:type="character" w:styleId="Hyperlink">
    <w:name w:val="Hyperlink"/>
    <w:basedOn w:val="DefaultParagraphFont"/>
    <w:uiPriority w:val="99"/>
    <w:unhideWhenUsed/>
    <w:rsid w:val="00BE6C96"/>
    <w:rPr>
      <w:color w:val="467886" w:themeColor="hyperlink"/>
      <w:u w:val="single"/>
    </w:rPr>
  </w:style>
  <w:style w:type="character" w:styleId="UnresolvedMention">
    <w:name w:val="Unresolved Mention"/>
    <w:basedOn w:val="DefaultParagraphFont"/>
    <w:uiPriority w:val="99"/>
    <w:semiHidden/>
    <w:unhideWhenUsed/>
    <w:rsid w:val="00BE6C96"/>
    <w:rPr>
      <w:color w:val="605E5C"/>
      <w:shd w:val="clear" w:color="auto" w:fill="E1DFDD"/>
    </w:rPr>
  </w:style>
  <w:style w:type="character" w:styleId="PlaceholderText">
    <w:name w:val="Placeholder Text"/>
    <w:basedOn w:val="DefaultParagraphFont"/>
    <w:uiPriority w:val="99"/>
    <w:semiHidden/>
    <w:rsid w:val="00BE6C96"/>
    <w:rPr>
      <w:color w:val="666666"/>
    </w:rPr>
  </w:style>
  <w:style w:type="character" w:styleId="FollowedHyperlink">
    <w:name w:val="FollowedHyperlink"/>
    <w:basedOn w:val="DefaultParagraphFont"/>
    <w:uiPriority w:val="99"/>
    <w:semiHidden/>
    <w:unhideWhenUsed/>
    <w:rsid w:val="00BE6C96"/>
    <w:rPr>
      <w:color w:val="96607D" w:themeColor="followedHyperlink"/>
      <w:u w:val="single"/>
    </w:rPr>
  </w:style>
  <w:style w:type="table" w:styleId="PlainTable1">
    <w:name w:val="Plain Table 1"/>
    <w:basedOn w:val="TableNormal"/>
    <w:uiPriority w:val="41"/>
    <w:rsid w:val="00BE6C96"/>
    <w:pPr>
      <w:spacing w:after="0" w:line="240" w:lineRule="auto"/>
    </w:pPr>
    <w:rPr>
      <w:lang w:val="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BE6C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C96"/>
    <w:rPr>
      <w:rFonts w:ascii="Segoe UI" w:eastAsia="Times New Roman" w:hAnsi="Segoe UI" w:cs="Segoe UI"/>
      <w:kern w:val="0"/>
      <w:sz w:val="18"/>
      <w:szCs w:val="18"/>
      <w:lang w:val="fr-FR" w:eastAsia="fr-FR"/>
      <w14:ligatures w14:val="none"/>
    </w:rPr>
  </w:style>
  <w:style w:type="character" w:styleId="CommentReference">
    <w:name w:val="annotation reference"/>
    <w:basedOn w:val="DefaultParagraphFont"/>
    <w:uiPriority w:val="99"/>
    <w:semiHidden/>
    <w:unhideWhenUsed/>
    <w:rsid w:val="00BE6C96"/>
    <w:rPr>
      <w:sz w:val="16"/>
      <w:szCs w:val="16"/>
    </w:rPr>
  </w:style>
  <w:style w:type="paragraph" w:styleId="CommentText">
    <w:name w:val="annotation text"/>
    <w:basedOn w:val="Normal"/>
    <w:link w:val="CommentTextChar"/>
    <w:uiPriority w:val="99"/>
    <w:semiHidden/>
    <w:unhideWhenUsed/>
    <w:rsid w:val="00BE6C96"/>
    <w:rPr>
      <w:sz w:val="20"/>
      <w:szCs w:val="20"/>
    </w:rPr>
  </w:style>
  <w:style w:type="character" w:customStyle="1" w:styleId="CommentTextChar">
    <w:name w:val="Comment Text Char"/>
    <w:basedOn w:val="DefaultParagraphFont"/>
    <w:link w:val="CommentText"/>
    <w:uiPriority w:val="99"/>
    <w:semiHidden/>
    <w:rsid w:val="00BE6C96"/>
    <w:rPr>
      <w:rFonts w:ascii="Times New Roman" w:eastAsia="Times New Roman" w:hAnsi="Times New Roman" w:cs="Times New Roman"/>
      <w:kern w:val="0"/>
      <w:sz w:val="20"/>
      <w:szCs w:val="20"/>
      <w:lang w:val="fr-FR" w:eastAsia="fr-FR"/>
      <w14:ligatures w14:val="none"/>
    </w:rPr>
  </w:style>
  <w:style w:type="paragraph" w:styleId="CommentSubject">
    <w:name w:val="annotation subject"/>
    <w:basedOn w:val="CommentText"/>
    <w:next w:val="CommentText"/>
    <w:link w:val="CommentSubjectChar"/>
    <w:uiPriority w:val="99"/>
    <w:semiHidden/>
    <w:unhideWhenUsed/>
    <w:rsid w:val="00BE6C96"/>
    <w:rPr>
      <w:b/>
      <w:bCs/>
    </w:rPr>
  </w:style>
  <w:style w:type="character" w:customStyle="1" w:styleId="CommentSubjectChar">
    <w:name w:val="Comment Subject Char"/>
    <w:basedOn w:val="CommentTextChar"/>
    <w:link w:val="CommentSubject"/>
    <w:uiPriority w:val="99"/>
    <w:semiHidden/>
    <w:rsid w:val="00BE6C96"/>
    <w:rPr>
      <w:rFonts w:ascii="Times New Roman" w:eastAsia="Times New Roman" w:hAnsi="Times New Roman" w:cs="Times New Roman"/>
      <w:b/>
      <w:bCs/>
      <w:kern w:val="0"/>
      <w:sz w:val="20"/>
      <w:szCs w:val="20"/>
      <w:lang w:val="fr-FR" w:eastAsia="fr-FR"/>
      <w14:ligatures w14:val="none"/>
    </w:rPr>
  </w:style>
  <w:style w:type="paragraph" w:styleId="Revision">
    <w:name w:val="Revision"/>
    <w:hidden/>
    <w:uiPriority w:val="99"/>
    <w:semiHidden/>
    <w:rsid w:val="00BE6C96"/>
    <w:pPr>
      <w:spacing w:after="0" w:line="240" w:lineRule="auto"/>
    </w:pPr>
    <w:rPr>
      <w:rFonts w:ascii="Times New Roman" w:eastAsia="Times New Roman" w:hAnsi="Times New Roman" w:cs="Times New Roman"/>
      <w:kern w:val="0"/>
      <w:lang w:val="fr-FR" w:eastAsia="fr-FR"/>
      <w14:ligatures w14:val="none"/>
    </w:rPr>
  </w:style>
  <w:style w:type="character" w:customStyle="1" w:styleId="anchor-text">
    <w:name w:val="anchor-text"/>
    <w:basedOn w:val="DefaultParagraphFont"/>
    <w:rsid w:val="00BE6C96"/>
  </w:style>
  <w:style w:type="paragraph" w:styleId="Header">
    <w:name w:val="header"/>
    <w:basedOn w:val="Normal"/>
    <w:link w:val="HeaderChar"/>
    <w:uiPriority w:val="99"/>
    <w:unhideWhenUsed/>
    <w:rsid w:val="007F0AF6"/>
    <w:pPr>
      <w:tabs>
        <w:tab w:val="center" w:pos="4680"/>
        <w:tab w:val="right" w:pos="9360"/>
      </w:tabs>
    </w:pPr>
  </w:style>
  <w:style w:type="character" w:customStyle="1" w:styleId="HeaderChar">
    <w:name w:val="Header Char"/>
    <w:basedOn w:val="DefaultParagraphFont"/>
    <w:link w:val="Header"/>
    <w:uiPriority w:val="99"/>
    <w:rsid w:val="007F0AF6"/>
    <w:rPr>
      <w:rFonts w:ascii="Times New Roman" w:eastAsia="Times New Roman" w:hAnsi="Times New Roman" w:cs="Times New Roman"/>
      <w:kern w:val="0"/>
      <w:lang w:val="fr-FR" w:eastAsia="fr-FR"/>
      <w14:ligatures w14:val="none"/>
    </w:rPr>
  </w:style>
  <w:style w:type="paragraph" w:styleId="Footer">
    <w:name w:val="footer"/>
    <w:basedOn w:val="Normal"/>
    <w:link w:val="FooterChar"/>
    <w:uiPriority w:val="99"/>
    <w:unhideWhenUsed/>
    <w:rsid w:val="007F0AF6"/>
    <w:pPr>
      <w:tabs>
        <w:tab w:val="center" w:pos="4680"/>
        <w:tab w:val="right" w:pos="9360"/>
      </w:tabs>
    </w:pPr>
  </w:style>
  <w:style w:type="character" w:customStyle="1" w:styleId="FooterChar">
    <w:name w:val="Footer Char"/>
    <w:basedOn w:val="DefaultParagraphFont"/>
    <w:link w:val="Footer"/>
    <w:uiPriority w:val="99"/>
    <w:rsid w:val="007F0AF6"/>
    <w:rPr>
      <w:rFonts w:ascii="Times New Roman" w:eastAsia="Times New Roman" w:hAnsi="Times New Roman" w:cs="Times New Roman"/>
      <w:kern w:val="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281543">
      <w:bodyDiv w:val="1"/>
      <w:marLeft w:val="0"/>
      <w:marRight w:val="0"/>
      <w:marTop w:val="0"/>
      <w:marBottom w:val="0"/>
      <w:divBdr>
        <w:top w:val="none" w:sz="0" w:space="0" w:color="auto"/>
        <w:left w:val="none" w:sz="0" w:space="0" w:color="auto"/>
        <w:bottom w:val="none" w:sz="0" w:space="0" w:color="auto"/>
        <w:right w:val="none" w:sz="0" w:space="0" w:color="auto"/>
      </w:divBdr>
    </w:div>
    <w:div w:id="743455374">
      <w:bodyDiv w:val="1"/>
      <w:marLeft w:val="0"/>
      <w:marRight w:val="0"/>
      <w:marTop w:val="0"/>
      <w:marBottom w:val="0"/>
      <w:divBdr>
        <w:top w:val="none" w:sz="0" w:space="0" w:color="auto"/>
        <w:left w:val="none" w:sz="0" w:space="0" w:color="auto"/>
        <w:bottom w:val="none" w:sz="0" w:space="0" w:color="auto"/>
        <w:right w:val="none" w:sz="0" w:space="0" w:color="auto"/>
      </w:divBdr>
    </w:div>
    <w:div w:id="1111706918">
      <w:bodyDiv w:val="1"/>
      <w:marLeft w:val="0"/>
      <w:marRight w:val="0"/>
      <w:marTop w:val="0"/>
      <w:marBottom w:val="0"/>
      <w:divBdr>
        <w:top w:val="none" w:sz="0" w:space="0" w:color="auto"/>
        <w:left w:val="none" w:sz="0" w:space="0" w:color="auto"/>
        <w:bottom w:val="none" w:sz="0" w:space="0" w:color="auto"/>
        <w:right w:val="none" w:sz="0" w:space="0" w:color="auto"/>
      </w:divBdr>
    </w:div>
    <w:div w:id="208938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631-018-0303-6" TargetMode="External"/><Relationship Id="rId18" Type="http://schemas.openxmlformats.org/officeDocument/2006/relationships/hyperlink" Target="https://doi.org/10.1007/s41207-018-0054-0" TargetMode="External"/><Relationship Id="rId26" Type="http://schemas.openxmlformats.org/officeDocument/2006/relationships/hyperlink" Target="https://doi.org/10.2478/intox-2014-0009" TargetMode="External"/><Relationship Id="rId39" Type="http://schemas.openxmlformats.org/officeDocument/2006/relationships/hyperlink" Target="https://www.sciencedirect.com/science/article/pii/S2352801X17300498" TargetMode="External"/><Relationship Id="rId21" Type="http://schemas.openxmlformats.org/officeDocument/2006/relationships/hyperlink" Target="https://doi.org/10.3390/ijerph17124438" TargetMode="External"/><Relationship Id="rId34" Type="http://schemas.openxmlformats.org/officeDocument/2006/relationships/hyperlink" Target="https://doi.org/10.3390/w16172417" TargetMode="External"/><Relationship Id="rId42" Type="http://schemas.openxmlformats.org/officeDocument/2006/relationships/hyperlink" Target="https://www.epa.gov/risk/about-risk-assessment"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5539/ijc.v14n1p41" TargetMode="External"/><Relationship Id="rId29" Type="http://schemas.openxmlformats.org/officeDocument/2006/relationships/hyperlink" Target="https://doi.org/10.1038/s41598-024-60511-x" TargetMode="External"/><Relationship Id="rId11" Type="http://schemas.openxmlformats.org/officeDocument/2006/relationships/hyperlink" Target="https://doi.org/10.1016/j.sciaf.2020.e00666" TargetMode="External"/><Relationship Id="rId24" Type="http://schemas.openxmlformats.org/officeDocument/2006/relationships/hyperlink" Target="https://doi.org/10.1016/j.heliyon.2024.e36606" TargetMode="External"/><Relationship Id="rId32" Type="http://schemas.openxmlformats.org/officeDocument/2006/relationships/hyperlink" Target="https://www.who.int/fr/publications/i/item/9789240023901" TargetMode="External"/><Relationship Id="rId37" Type="http://schemas.openxmlformats.org/officeDocument/2006/relationships/hyperlink" Target="https://doi.org/10.2166/washdev.2022.126" TargetMode="External"/><Relationship Id="rId40" Type="http://schemas.openxmlformats.org/officeDocument/2006/relationships/hyperlink" Target="https://doi.org/10.4236/gep.2025.135013"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2166/wpt.2025.010" TargetMode="External"/><Relationship Id="rId23" Type="http://schemas.openxmlformats.org/officeDocument/2006/relationships/hyperlink" Target="https://doi.org/10.1016/j.toxrep.2022.04.011" TargetMode="External"/><Relationship Id="rId28" Type="http://schemas.openxmlformats.org/officeDocument/2006/relationships/hyperlink" Target="https://doi.org/10.1007/s13201-024-02341-w" TargetMode="External"/><Relationship Id="rId36" Type="http://schemas.openxmlformats.org/officeDocument/2006/relationships/hyperlink" Target="https://doi.org/10.1007/s10661-019-7453-9" TargetMode="External"/><Relationship Id="rId49"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yperlink" Target="http://earthwise.bgs.ac.uk/index.php/Hydrogeology_of_Benin" TargetMode="External"/><Relationship Id="rId31" Type="http://schemas.openxmlformats.org/officeDocument/2006/relationships/hyperlink" Target="https://www.who.int/fr/publications/i/item/9789241549950" TargetMode="External"/><Relationship Id="rId44" Type="http://schemas.openxmlformats.org/officeDocument/2006/relationships/hyperlink" Target="https://link.springer.com/article/10.1007/S12403-020-00345-W"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88/1755-1315/822/1/012033" TargetMode="External"/><Relationship Id="rId22" Type="http://schemas.openxmlformats.org/officeDocument/2006/relationships/hyperlink" Target="https://doi.org/10.3390/ijerph17041245" TargetMode="External"/><Relationship Id="rId27" Type="http://schemas.openxmlformats.org/officeDocument/2006/relationships/hyperlink" Target="https://doi.org/10.3390/w16101330" TargetMode="External"/><Relationship Id="rId30" Type="http://schemas.openxmlformats.org/officeDocument/2006/relationships/hyperlink" Target="https://doi.org/10.1007/s12403-022-00478-0" TargetMode="External"/><Relationship Id="rId35" Type="http://schemas.openxmlformats.org/officeDocument/2006/relationships/hyperlink" Target="https://doi.org/10.24425/jwld.2024.150272" TargetMode="External"/><Relationship Id="rId43" Type="http://schemas.openxmlformats.org/officeDocument/2006/relationships/hyperlink" Target="https://www.epa.gov/iris" TargetMode="External"/><Relationship Id="rId48"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4236/jwarp.2024.167028" TargetMode="External"/><Relationship Id="rId17" Type="http://schemas.openxmlformats.org/officeDocument/2006/relationships/hyperlink" Target="https://doi.org/10.1038/s41598-023-43161-3" TargetMode="External"/><Relationship Id="rId25" Type="http://schemas.openxmlformats.org/officeDocument/2006/relationships/hyperlink" Target="https://doi.org/10.1016/j.indic.2023.100318" TargetMode="External"/><Relationship Id="rId33" Type="http://schemas.openxmlformats.org/officeDocument/2006/relationships/hyperlink" Target="https://doi.org/10.1016/j.chemosphere.2019.125598" TargetMode="External"/><Relationship Id="rId38" Type="http://schemas.openxmlformats.org/officeDocument/2006/relationships/hyperlink" Target="https://doi.org/10.1007/978-3-7643-8340-4_6" TargetMode="External"/><Relationship Id="rId46" Type="http://schemas.openxmlformats.org/officeDocument/2006/relationships/header" Target="header2.xml"/><Relationship Id="rId20" Type="http://schemas.openxmlformats.org/officeDocument/2006/relationships/hyperlink" Target="https://bec.uac.bj/uploads/publication/e4217fdf1aed7ebc639a44c93cc54fab.pdf" TargetMode="External"/><Relationship Id="rId41" Type="http://schemas.openxmlformats.org/officeDocument/2006/relationships/hyperlink" Target="https://www.basel.int/Portals/4/download.aspx?d=UNEP-CHW-EWASTE-PUB-WeeAfricaReport.English.pdf"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26</Pages>
  <Words>7818</Words>
  <Characters>44566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Gouvide Jean GBAGUIDI</dc:creator>
  <cp:keywords/>
  <dc:description/>
  <cp:lastModifiedBy>SDI 1186</cp:lastModifiedBy>
  <cp:revision>7</cp:revision>
  <dcterms:created xsi:type="dcterms:W3CDTF">2025-12-01T16:14:00Z</dcterms:created>
  <dcterms:modified xsi:type="dcterms:W3CDTF">2025-12-02T10:34:00Z</dcterms:modified>
</cp:coreProperties>
</file>