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0C4F" w14:textId="5358CE49" w:rsidR="001B398E" w:rsidRDefault="00324DC5" w:rsidP="00D64412">
      <w:pPr>
        <w:spacing w:before="100" w:beforeAutospacing="1" w:after="100" w:afterAutospacing="1" w:line="240" w:lineRule="auto"/>
        <w:jc w:val="center"/>
        <w:outlineLvl w:val="1"/>
        <w:rPr>
          <w:rFonts w:ascii="Times New Roman" w:eastAsia="Times New Roman" w:hAnsi="Times New Roman" w:cs="Times New Roman"/>
          <w:b/>
          <w:bCs/>
          <w:kern w:val="0"/>
          <w:lang w:eastAsia="en-IN"/>
          <w14:ligatures w14:val="none"/>
        </w:rPr>
      </w:pPr>
      <w:r w:rsidRPr="00D64412">
        <w:rPr>
          <w:rFonts w:ascii="Times New Roman" w:eastAsia="Times New Roman" w:hAnsi="Times New Roman" w:cs="Times New Roman"/>
          <w:b/>
          <w:bCs/>
          <w:kern w:val="0"/>
          <w:lang w:eastAsia="en-IN"/>
          <w14:ligatures w14:val="none"/>
        </w:rPr>
        <w:t xml:space="preserve">Retrospective Analysis </w:t>
      </w:r>
      <w:r>
        <w:rPr>
          <w:rFonts w:ascii="Times New Roman" w:eastAsia="Times New Roman" w:hAnsi="Times New Roman" w:cs="Times New Roman"/>
          <w:b/>
          <w:bCs/>
          <w:kern w:val="0"/>
          <w:lang w:eastAsia="en-IN"/>
          <w14:ligatures w14:val="none"/>
        </w:rPr>
        <w:t>o</w:t>
      </w:r>
      <w:r w:rsidRPr="00D64412">
        <w:rPr>
          <w:rFonts w:ascii="Times New Roman" w:eastAsia="Times New Roman" w:hAnsi="Times New Roman" w:cs="Times New Roman"/>
          <w:b/>
          <w:bCs/>
          <w:kern w:val="0"/>
          <w:lang w:eastAsia="en-IN"/>
          <w14:ligatures w14:val="none"/>
        </w:rPr>
        <w:t xml:space="preserve">f Demographic </w:t>
      </w:r>
      <w:r>
        <w:rPr>
          <w:rFonts w:ascii="Times New Roman" w:eastAsia="Times New Roman" w:hAnsi="Times New Roman" w:cs="Times New Roman"/>
          <w:b/>
          <w:bCs/>
          <w:kern w:val="0"/>
          <w:lang w:eastAsia="en-IN"/>
          <w14:ligatures w14:val="none"/>
        </w:rPr>
        <w:t>a</w:t>
      </w:r>
      <w:r w:rsidRPr="00D64412">
        <w:rPr>
          <w:rFonts w:ascii="Times New Roman" w:eastAsia="Times New Roman" w:hAnsi="Times New Roman" w:cs="Times New Roman"/>
          <w:b/>
          <w:bCs/>
          <w:kern w:val="0"/>
          <w:lang w:eastAsia="en-IN"/>
          <w14:ligatures w14:val="none"/>
        </w:rPr>
        <w:t xml:space="preserve">nd Biochemical Determinants </w:t>
      </w:r>
      <w:r>
        <w:rPr>
          <w:rFonts w:ascii="Times New Roman" w:eastAsia="Times New Roman" w:hAnsi="Times New Roman" w:cs="Times New Roman"/>
          <w:b/>
          <w:bCs/>
          <w:kern w:val="0"/>
          <w:lang w:eastAsia="en-IN"/>
          <w14:ligatures w14:val="none"/>
        </w:rPr>
        <w:t>o</w:t>
      </w:r>
      <w:r w:rsidRPr="00D64412">
        <w:rPr>
          <w:rFonts w:ascii="Times New Roman" w:eastAsia="Times New Roman" w:hAnsi="Times New Roman" w:cs="Times New Roman"/>
          <w:b/>
          <w:bCs/>
          <w:kern w:val="0"/>
          <w:lang w:eastAsia="en-IN"/>
          <w14:ligatures w14:val="none"/>
        </w:rPr>
        <w:t>f Iron Disorders</w:t>
      </w:r>
    </w:p>
    <w:p w14:paraId="3EFA0BE8" w14:textId="7EA0793A" w:rsidR="001754C6" w:rsidRDefault="000652DF" w:rsidP="00D64412">
      <w:pPr>
        <w:tabs>
          <w:tab w:val="left" w:pos="5827"/>
        </w:tabs>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0652DF">
        <w:rPr>
          <w:rFonts w:ascii="Times New Roman" w:eastAsia="Times New Roman" w:hAnsi="Times New Roman" w:cs="Times New Roman"/>
          <w:b/>
          <w:bCs/>
          <w:kern w:val="0"/>
          <w:lang w:eastAsia="en-IN"/>
          <w14:ligatures w14:val="none"/>
        </w:rPr>
        <w:t>Abstract</w:t>
      </w:r>
      <w:r w:rsidR="00D64412">
        <w:rPr>
          <w:rFonts w:ascii="Times New Roman" w:eastAsia="Times New Roman" w:hAnsi="Times New Roman" w:cs="Times New Roman"/>
          <w:b/>
          <w:bCs/>
          <w:kern w:val="0"/>
          <w:lang w:eastAsia="en-IN"/>
          <w14:ligatures w14:val="none"/>
        </w:rPr>
        <w:tab/>
      </w:r>
    </w:p>
    <w:p w14:paraId="07536B6E" w14:textId="6D840336" w:rsidR="000652DF" w:rsidRPr="001754C6" w:rsidRDefault="000652DF" w:rsidP="00F47F3E">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0652DF">
        <w:rPr>
          <w:rFonts w:ascii="Times New Roman" w:eastAsia="Times New Roman" w:hAnsi="Times New Roman" w:cs="Times New Roman"/>
          <w:b/>
          <w:bCs/>
          <w:kern w:val="0"/>
          <w:lang w:eastAsia="en-IN"/>
          <w14:ligatures w14:val="none"/>
        </w:rPr>
        <w:t>Background:</w:t>
      </w:r>
      <w:r w:rsidRPr="000652DF">
        <w:rPr>
          <w:rFonts w:ascii="Times New Roman" w:eastAsia="Times New Roman" w:hAnsi="Times New Roman" w:cs="Times New Roman"/>
          <w:kern w:val="0"/>
          <w:lang w:eastAsia="en-IN"/>
          <w14:ligatures w14:val="none"/>
        </w:rPr>
        <w:t xml:space="preserve"> Disorders of iron homeostasis, including iron deficiency and iron overload, represent clinically important and biologically interconnected conditions. Real-world comparative data across the full spectrum of iron dysregulation in hospital-based populations remain limited.</w:t>
      </w:r>
      <w:r w:rsidR="004B58C0" w:rsidRPr="00EF4D2F">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b/>
          <w:bCs/>
          <w:kern w:val="0"/>
          <w:lang w:eastAsia="en-IN"/>
          <w14:ligatures w14:val="none"/>
        </w:rPr>
        <w:t>Objectives:</w:t>
      </w:r>
      <w:r w:rsidRPr="000652DF">
        <w:rPr>
          <w:rFonts w:ascii="Times New Roman" w:eastAsia="Times New Roman" w:hAnsi="Times New Roman" w:cs="Times New Roman"/>
          <w:kern w:val="0"/>
          <w:lang w:eastAsia="en-IN"/>
          <w14:ligatures w14:val="none"/>
        </w:rPr>
        <w:t xml:space="preserve"> To characterize demographic patterns and biochemical profiles of iron deficiency and iron overload and to identify independent predictors using routinely available laboratory parameters.</w:t>
      </w:r>
      <w:r w:rsidR="004B58C0" w:rsidRPr="00EF4D2F">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b/>
          <w:bCs/>
          <w:kern w:val="0"/>
          <w:lang w:eastAsia="en-IN"/>
          <w14:ligatures w14:val="none"/>
        </w:rPr>
        <w:t>Methods:</w:t>
      </w:r>
      <w:r w:rsidRPr="000652DF">
        <w:rPr>
          <w:rFonts w:ascii="Times New Roman" w:eastAsia="Times New Roman" w:hAnsi="Times New Roman" w:cs="Times New Roman"/>
          <w:kern w:val="0"/>
          <w:lang w:eastAsia="en-IN"/>
          <w14:ligatures w14:val="none"/>
        </w:rPr>
        <w:t xml:space="preserve"> A retrospective study was conducted in 110 patients who underwent iron profile testing at a tertiary care center. Patients were categorized into iron deficiency, normal iron status, and iron overload groups using predefined cut-offs for serum ferritin, serum iron, total iron-binding capacity (TIBC), and transferrin saturation (TSAT). Group comparisons were performed using appropriate statistical tests, and multivariable logistic regression was used to identify independent predictors.</w:t>
      </w:r>
      <w:r w:rsidR="004B58C0" w:rsidRPr="00EF4D2F">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b/>
          <w:bCs/>
          <w:kern w:val="0"/>
          <w:lang w:eastAsia="en-IN"/>
          <w14:ligatures w14:val="none"/>
        </w:rPr>
        <w:t>Results:</w:t>
      </w:r>
      <w:r w:rsidRPr="000652DF">
        <w:rPr>
          <w:rFonts w:ascii="Times New Roman" w:eastAsia="Times New Roman" w:hAnsi="Times New Roman" w:cs="Times New Roman"/>
          <w:kern w:val="0"/>
          <w:lang w:eastAsia="en-IN"/>
          <w14:ligatures w14:val="none"/>
        </w:rPr>
        <w:t xml:space="preserve"> Iron-deficient patients were significantly younger and more likely to be female, with markedly lower ferritin and TSAT and significantly higher TIBC (</w:t>
      </w:r>
      <w:r w:rsidRPr="000652DF">
        <w:rPr>
          <w:rFonts w:ascii="Times New Roman" w:eastAsia="Times New Roman" w:hAnsi="Times New Roman" w:cs="Times New Roman"/>
          <w:i/>
          <w:iCs/>
          <w:kern w:val="0"/>
          <w:lang w:eastAsia="en-IN"/>
          <w14:ligatures w14:val="none"/>
        </w:rPr>
        <w:t>p</w:t>
      </w:r>
      <w:r w:rsidRPr="000652DF">
        <w:rPr>
          <w:rFonts w:ascii="Times New Roman" w:eastAsia="Times New Roman" w:hAnsi="Times New Roman" w:cs="Times New Roman"/>
          <w:kern w:val="0"/>
          <w:lang w:eastAsia="en-IN"/>
          <w14:ligatures w14:val="none"/>
        </w:rPr>
        <w:t xml:space="preserve"> &lt; 0.001). The iron overload group showed significantly elevated ferritin and TSAT with a male predominance and relatively lower TIBC. Post-hoc analysis confirmed significant differences across all groups. Female sex, younger age, and higher TIBC independently predicted iron deficiency, while older age and elevated TSAT were associated with iron overload.</w:t>
      </w:r>
      <w:r w:rsidR="004B58C0" w:rsidRPr="00EF4D2F">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b/>
          <w:bCs/>
          <w:kern w:val="0"/>
          <w:lang w:eastAsia="en-IN"/>
          <w14:ligatures w14:val="none"/>
        </w:rPr>
        <w:t>Conclusions:</w:t>
      </w:r>
      <w:r w:rsidRPr="000652DF">
        <w:rPr>
          <w:rFonts w:ascii="Times New Roman" w:eastAsia="Times New Roman" w:hAnsi="Times New Roman" w:cs="Times New Roman"/>
          <w:kern w:val="0"/>
          <w:lang w:eastAsia="en-IN"/>
          <w14:ligatures w14:val="none"/>
        </w:rPr>
        <w:t xml:space="preserve"> Hospital-based patients demonstrate clear demographic and biochemical stratification across iron status categories. Integrated interpretation of iron indices, together with simple demographic variables, may improve early identification and risk stratification of iron dysregulation in routine clinical practice.</w:t>
      </w:r>
    </w:p>
    <w:p w14:paraId="61A559CE" w14:textId="4DDE39BC" w:rsidR="000652DF" w:rsidRPr="00EF4D2F" w:rsidRDefault="000652DF" w:rsidP="00974B0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652DF">
        <w:rPr>
          <w:rFonts w:ascii="Times New Roman" w:eastAsia="Times New Roman" w:hAnsi="Times New Roman" w:cs="Times New Roman"/>
          <w:b/>
          <w:bCs/>
          <w:kern w:val="0"/>
          <w:lang w:eastAsia="en-IN"/>
          <w14:ligatures w14:val="none"/>
        </w:rPr>
        <w:t>Keywords:</w:t>
      </w:r>
      <w:r w:rsidRPr="000652DF">
        <w:rPr>
          <w:rFonts w:ascii="Times New Roman" w:eastAsia="Times New Roman" w:hAnsi="Times New Roman" w:cs="Times New Roman"/>
          <w:kern w:val="0"/>
          <w:lang w:eastAsia="en-IN"/>
          <w14:ligatures w14:val="none"/>
        </w:rPr>
        <w:t xml:space="preserve"> Iron deficiency; Iron overload; Ferritin; Transferrin saturation; TIBC</w:t>
      </w:r>
    </w:p>
    <w:p w14:paraId="30ADA3E4" w14:textId="30BFEC6F" w:rsidR="000652DF" w:rsidRPr="000652DF" w:rsidRDefault="00EF4D2F" w:rsidP="000652DF">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EF4D2F">
        <w:rPr>
          <w:rFonts w:ascii="Times New Roman" w:eastAsia="Times New Roman" w:hAnsi="Times New Roman" w:cs="Times New Roman"/>
          <w:b/>
          <w:bCs/>
          <w:kern w:val="0"/>
          <w:lang w:eastAsia="en-IN"/>
          <w14:ligatures w14:val="none"/>
        </w:rPr>
        <w:t>INTRODUCTION</w:t>
      </w:r>
    </w:p>
    <w:p w14:paraId="35FE8D99" w14:textId="0A4B0300" w:rsidR="00A12627" w:rsidRDefault="000652DF" w:rsidP="00FA34F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652DF">
        <w:rPr>
          <w:rFonts w:ascii="Times New Roman" w:eastAsia="Times New Roman" w:hAnsi="Times New Roman" w:cs="Times New Roman"/>
          <w:kern w:val="0"/>
          <w:lang w:eastAsia="en-IN"/>
          <w14:ligatures w14:val="none"/>
        </w:rPr>
        <w:t>Iron is an essential micronutrient required for oxygen transport, cellular metabolism, DNA synthesis, and immune competence. Its systemic balance is tightly regulated through intestinal absorption, macrophage recycling, and hepatic storage, primarily under the control of the hepcidin–ferroportin axi</w:t>
      </w:r>
      <w:r w:rsidR="00AC75BB" w:rsidRPr="00EF4D2F">
        <w:rPr>
          <w:rFonts w:ascii="Times New Roman" w:eastAsia="Times New Roman" w:hAnsi="Times New Roman" w:cs="Times New Roman"/>
          <w:kern w:val="0"/>
          <w:lang w:eastAsia="en-IN"/>
          <w14:ligatures w14:val="none"/>
        </w:rPr>
        <w:t>s.</w:t>
      </w:r>
      <w:r w:rsidR="00AC75BB" w:rsidRPr="00EF4D2F">
        <w:rPr>
          <w:rFonts w:ascii="Times New Roman" w:eastAsia="Times New Roman" w:hAnsi="Times New Roman" w:cs="Times New Roman"/>
          <w:kern w:val="0"/>
          <w:vertAlign w:val="superscript"/>
          <w:lang w:eastAsia="en-IN"/>
          <w14:ligatures w14:val="none"/>
        </w:rPr>
        <w:t>1,2</w:t>
      </w:r>
      <w:r w:rsidRPr="000652DF">
        <w:rPr>
          <w:rFonts w:ascii="Times New Roman" w:eastAsia="Times New Roman" w:hAnsi="Times New Roman" w:cs="Times New Roman"/>
          <w:kern w:val="0"/>
          <w:lang w:eastAsia="en-IN"/>
          <w14:ligatures w14:val="none"/>
        </w:rPr>
        <w:t xml:space="preserve"> Disruption of this homeostasis results in clinically important disorders at both ends of the spectrum, namely iron deficiency and iron overload. Iron deficiency remains the most common nutritional deficiency worldwide and a major cause of </w:t>
      </w:r>
      <w:r w:rsidR="00992CB4" w:rsidRPr="000652DF">
        <w:rPr>
          <w:rFonts w:ascii="Times New Roman" w:eastAsia="Times New Roman" w:hAnsi="Times New Roman" w:cs="Times New Roman"/>
          <w:kern w:val="0"/>
          <w:lang w:eastAsia="en-IN"/>
          <w14:ligatures w14:val="none"/>
        </w:rPr>
        <w:t>Anemia</w:t>
      </w:r>
      <w:r w:rsidRPr="000652DF">
        <w:rPr>
          <w:rFonts w:ascii="Times New Roman" w:eastAsia="Times New Roman" w:hAnsi="Times New Roman" w:cs="Times New Roman"/>
          <w:kern w:val="0"/>
          <w:lang w:eastAsia="en-IN"/>
          <w14:ligatures w14:val="none"/>
        </w:rPr>
        <w:t>, impaired cognitive function, and adverse pregnancy outcomes.</w:t>
      </w:r>
      <w:r w:rsidR="00AC75BB" w:rsidRPr="00EF4D2F">
        <w:rPr>
          <w:rFonts w:ascii="Times New Roman" w:eastAsia="Times New Roman" w:hAnsi="Times New Roman" w:cs="Times New Roman"/>
          <w:kern w:val="0"/>
          <w:vertAlign w:val="superscript"/>
          <w:lang w:eastAsia="en-IN"/>
          <w14:ligatures w14:val="none"/>
        </w:rPr>
        <w:t>3</w:t>
      </w:r>
      <w:r w:rsidRPr="000652DF">
        <w:rPr>
          <w:rFonts w:ascii="Times New Roman" w:eastAsia="Times New Roman" w:hAnsi="Times New Roman" w:cs="Times New Roman"/>
          <w:kern w:val="0"/>
          <w:lang w:eastAsia="en-IN"/>
          <w14:ligatures w14:val="none"/>
        </w:rPr>
        <w:t xml:space="preserve"> Conversely, iron overload—most frequently due to hereditary hemochromatosis or secondary causes—can lead to progressive parenchymal iron deposition, culminating in hepatic, cardiac, and endocrine complications</w:t>
      </w:r>
      <w:r w:rsidR="00AC75BB" w:rsidRPr="00EF4D2F">
        <w:rPr>
          <w:rFonts w:ascii="Times New Roman" w:eastAsia="Times New Roman" w:hAnsi="Times New Roman" w:cs="Times New Roman"/>
          <w:kern w:val="0"/>
          <w:lang w:eastAsia="en-IN"/>
          <w14:ligatures w14:val="none"/>
        </w:rPr>
        <w:t>.</w:t>
      </w:r>
      <w:r w:rsidR="00AC75BB" w:rsidRPr="00EF4D2F">
        <w:rPr>
          <w:rFonts w:ascii="Times New Roman" w:eastAsia="Times New Roman" w:hAnsi="Times New Roman" w:cs="Times New Roman"/>
          <w:kern w:val="0"/>
          <w:vertAlign w:val="superscript"/>
          <w:lang w:eastAsia="en-IN"/>
          <w14:ligatures w14:val="none"/>
        </w:rPr>
        <w:t>4,5</w:t>
      </w:r>
      <w:r w:rsidR="00A12627">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kern w:val="0"/>
          <w:lang w:eastAsia="en-IN"/>
          <w14:ligatures w14:val="none"/>
        </w:rPr>
        <w:t>Clinical assessment of iron status relies mainly on serum ferritin, serum iron, total iron-binding capacity (TIBC), and transferrin saturation (TSAT). Ferritin is considered the most reliable indicator of body iron stores in non-inflammatory states</w:t>
      </w:r>
      <w:r w:rsidR="00AC75BB" w:rsidRPr="00EF4D2F">
        <w:rPr>
          <w:rFonts w:ascii="Times New Roman" w:eastAsia="Times New Roman" w:hAnsi="Times New Roman" w:cs="Times New Roman"/>
          <w:kern w:val="0"/>
          <w:vertAlign w:val="superscript"/>
          <w:lang w:eastAsia="en-IN"/>
          <w14:ligatures w14:val="none"/>
        </w:rPr>
        <w:t>6,7</w:t>
      </w:r>
      <w:r w:rsidRPr="000652DF">
        <w:rPr>
          <w:rFonts w:ascii="Times New Roman" w:eastAsia="Times New Roman" w:hAnsi="Times New Roman" w:cs="Times New Roman"/>
          <w:kern w:val="0"/>
          <w:lang w:eastAsia="en-IN"/>
          <w14:ligatures w14:val="none"/>
        </w:rPr>
        <w:t>, but its interpretation is challenged by its acute-phase nature, particularly in the presence of inflammation, infection, or malignancy</w:t>
      </w:r>
      <w:r w:rsidR="00AC75BB" w:rsidRPr="00EF4D2F">
        <w:rPr>
          <w:rFonts w:ascii="Times New Roman" w:eastAsia="Times New Roman" w:hAnsi="Times New Roman" w:cs="Times New Roman"/>
          <w:kern w:val="0"/>
          <w:lang w:eastAsia="en-IN"/>
          <w14:ligatures w14:val="none"/>
        </w:rPr>
        <w:t>.</w:t>
      </w:r>
      <w:r w:rsidR="00AC75BB" w:rsidRPr="00EF4D2F">
        <w:rPr>
          <w:rFonts w:ascii="Times New Roman" w:eastAsia="Times New Roman" w:hAnsi="Times New Roman" w:cs="Times New Roman"/>
          <w:kern w:val="0"/>
          <w:vertAlign w:val="superscript"/>
          <w:lang w:eastAsia="en-IN"/>
          <w14:ligatures w14:val="none"/>
        </w:rPr>
        <w:t>8,9,1</w:t>
      </w:r>
      <w:r w:rsidRPr="000652DF">
        <w:rPr>
          <w:rFonts w:ascii="Times New Roman" w:eastAsia="Times New Roman" w:hAnsi="Times New Roman" w:cs="Times New Roman"/>
          <w:kern w:val="0"/>
          <w:lang w:eastAsia="en-IN"/>
          <w14:ligatures w14:val="none"/>
        </w:rPr>
        <w:t xml:space="preserve"> TSAT has been established as a sensitive early marker of iron overload, especially in hereditary hemochromatosi</w:t>
      </w:r>
      <w:r w:rsidR="00C323A8" w:rsidRPr="00EF4D2F">
        <w:rPr>
          <w:rFonts w:ascii="Times New Roman" w:eastAsia="Times New Roman" w:hAnsi="Times New Roman" w:cs="Times New Roman"/>
          <w:kern w:val="0"/>
          <w:lang w:eastAsia="en-IN"/>
          <w14:ligatures w14:val="none"/>
        </w:rPr>
        <w:t>s.</w:t>
      </w:r>
      <w:r w:rsidR="00C323A8" w:rsidRPr="00EF4D2F">
        <w:rPr>
          <w:rFonts w:ascii="Times New Roman" w:eastAsia="Times New Roman" w:hAnsi="Times New Roman" w:cs="Times New Roman"/>
          <w:kern w:val="0"/>
          <w:vertAlign w:val="superscript"/>
          <w:lang w:eastAsia="en-IN"/>
          <w14:ligatures w14:val="none"/>
        </w:rPr>
        <w:t>11,4</w:t>
      </w:r>
      <w:r w:rsidRPr="000652DF">
        <w:rPr>
          <w:rFonts w:ascii="Times New Roman" w:eastAsia="Times New Roman" w:hAnsi="Times New Roman" w:cs="Times New Roman"/>
          <w:kern w:val="0"/>
          <w:lang w:eastAsia="en-IN"/>
          <w14:ligatures w14:val="none"/>
        </w:rPr>
        <w:t xml:space="preserve"> Despite the widespread availability of these parameters, accurate interpretation in heterogeneous clinical populations remains complex and context dependent.</w:t>
      </w:r>
    </w:p>
    <w:p w14:paraId="6A49E1BE" w14:textId="40E88DEA" w:rsidR="000652DF" w:rsidRPr="000652DF" w:rsidRDefault="000652DF" w:rsidP="00FA34F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652DF">
        <w:rPr>
          <w:rFonts w:ascii="Times New Roman" w:eastAsia="Times New Roman" w:hAnsi="Times New Roman" w:cs="Times New Roman"/>
          <w:kern w:val="0"/>
          <w:lang w:eastAsia="en-IN"/>
          <w14:ligatures w14:val="none"/>
        </w:rPr>
        <w:t>Although large epidemiological studies have described the burden of iron deficiency and iron overload, most data originate from Western, community-based cohorts.</w:t>
      </w:r>
      <w:r w:rsidR="00224C66" w:rsidRPr="00EF4D2F">
        <w:rPr>
          <w:rFonts w:ascii="Times New Roman" w:eastAsia="Times New Roman" w:hAnsi="Times New Roman" w:cs="Times New Roman"/>
          <w:kern w:val="0"/>
          <w:vertAlign w:val="superscript"/>
          <w:lang w:eastAsia="en-IN"/>
          <w14:ligatures w14:val="none"/>
        </w:rPr>
        <w:t>10,3,12</w:t>
      </w:r>
      <w:r w:rsidR="00C33961">
        <w:rPr>
          <w:rFonts w:ascii="Times New Roman" w:eastAsia="Times New Roman" w:hAnsi="Times New Roman" w:cs="Times New Roman"/>
          <w:kern w:val="0"/>
          <w:vertAlign w:val="superscript"/>
          <w:lang w:eastAsia="en-IN"/>
          <w14:ligatures w14:val="none"/>
        </w:rPr>
        <w:t>,15</w:t>
      </w:r>
      <w:r w:rsidRPr="000652DF">
        <w:rPr>
          <w:rFonts w:ascii="Times New Roman" w:eastAsia="Times New Roman" w:hAnsi="Times New Roman" w:cs="Times New Roman"/>
          <w:kern w:val="0"/>
          <w:lang w:eastAsia="en-IN"/>
          <w14:ligatures w14:val="none"/>
        </w:rPr>
        <w:t xml:space="preserve"> Hospital-based, </w:t>
      </w:r>
      <w:r w:rsidRPr="000652DF">
        <w:rPr>
          <w:rFonts w:ascii="Times New Roman" w:eastAsia="Times New Roman" w:hAnsi="Times New Roman" w:cs="Times New Roman"/>
          <w:kern w:val="0"/>
          <w:lang w:eastAsia="en-IN"/>
          <w14:ligatures w14:val="none"/>
        </w:rPr>
        <w:lastRenderedPageBreak/>
        <w:t>real-world data—particularly from low- and middle-income countries—remain limited, and most prior studies have examined deficiency and overload as separate entities rather than along a single biological continuum. Furthermore, there is limited comparative evidence evaluating the severity of biochemical derangements across iron status categories using uniform diagnostic thresholds, as well as a paucity of data examining the predictive value of simple, routinely available variables such as age, sex, and TIBC when analyzed simultaneously. In this context, the present retrospective study was designed to characterize the demographic distribution and biochemical phenotype of iron deficiency and iron overload within a single clinical cohort, and to examine the independent contribution of routinely available laboratory and demographic parameters in predicting iron dysregulation, thereby addressing an important gap in real-world clinical evidence.</w:t>
      </w:r>
    </w:p>
    <w:p w14:paraId="34D5DC49" w14:textId="588C36C5" w:rsidR="00C04355" w:rsidRPr="00C04355" w:rsidRDefault="00EF4D2F" w:rsidP="00C04355">
      <w:pPr>
        <w:shd w:val="clear" w:color="auto" w:fill="FFFFFF"/>
        <w:spacing w:before="480" w:after="240" w:line="450" w:lineRule="atLeast"/>
        <w:outlineLvl w:val="2"/>
        <w:rPr>
          <w:rFonts w:ascii="Times New Roman" w:eastAsia="Times New Roman" w:hAnsi="Times New Roman" w:cs="Times New Roman"/>
          <w:b/>
          <w:bCs/>
          <w:color w:val="0F1115"/>
          <w:kern w:val="0"/>
          <w:lang w:eastAsia="en-IN"/>
          <w14:ligatures w14:val="none"/>
        </w:rPr>
      </w:pPr>
      <w:r w:rsidRPr="00EF4D2F">
        <w:rPr>
          <w:rFonts w:ascii="Times New Roman" w:eastAsia="Times New Roman" w:hAnsi="Times New Roman" w:cs="Times New Roman"/>
          <w:b/>
          <w:bCs/>
          <w:color w:val="0F1115"/>
          <w:kern w:val="0"/>
          <w:lang w:eastAsia="en-IN"/>
          <w14:ligatures w14:val="none"/>
        </w:rPr>
        <w:t>MATERIALS AND METHODS</w:t>
      </w:r>
    </w:p>
    <w:p w14:paraId="0B70ACFF" w14:textId="2B12EC81" w:rsidR="00C04355" w:rsidRPr="00C04355" w:rsidRDefault="00C04355" w:rsidP="00C04355">
      <w:pPr>
        <w:shd w:val="clear" w:color="auto" w:fill="FFFFFF"/>
        <w:spacing w:before="240" w:after="24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Study Design and Ethical Considerations</w:t>
      </w:r>
    </w:p>
    <w:p w14:paraId="7CA96942" w14:textId="0EBBD426" w:rsidR="00C04355" w:rsidRPr="00C04355" w:rsidRDefault="00C04355" w:rsidP="00C04355">
      <w:pPr>
        <w:shd w:val="clear" w:color="auto" w:fill="FFFFFF"/>
        <w:spacing w:before="240" w:after="24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color w:val="0F1115"/>
          <w:kern w:val="0"/>
          <w:lang w:eastAsia="en-IN"/>
          <w14:ligatures w14:val="none"/>
        </w:rPr>
        <w:t xml:space="preserve">This study was a single-center, retrospective cohort analysis conducted at </w:t>
      </w:r>
      <w:r w:rsidR="00E93CD4">
        <w:rPr>
          <w:rFonts w:ascii="Times New Roman" w:eastAsia="Times New Roman" w:hAnsi="Times New Roman" w:cs="Times New Roman"/>
          <w:color w:val="0F1115"/>
          <w:kern w:val="0"/>
          <w:lang w:eastAsia="en-IN"/>
          <w14:ligatures w14:val="none"/>
        </w:rPr>
        <w:t xml:space="preserve">a tertiary care hospital in North India. </w:t>
      </w:r>
      <w:r w:rsidRPr="00C04355">
        <w:rPr>
          <w:rFonts w:ascii="Times New Roman" w:eastAsia="Times New Roman" w:hAnsi="Times New Roman" w:cs="Times New Roman"/>
          <w:color w:val="0F1115"/>
          <w:kern w:val="0"/>
          <w:lang w:eastAsia="en-IN"/>
          <w14:ligatures w14:val="none"/>
        </w:rPr>
        <w:t xml:space="preserve">The study protocol was reviewed and approved by </w:t>
      </w:r>
      <w:r w:rsidR="00E93CD4">
        <w:rPr>
          <w:rFonts w:ascii="Times New Roman" w:eastAsia="Times New Roman" w:hAnsi="Times New Roman" w:cs="Times New Roman"/>
          <w:color w:val="0F1115"/>
          <w:kern w:val="0"/>
          <w:lang w:eastAsia="en-IN"/>
          <w14:ligatures w14:val="none"/>
        </w:rPr>
        <w:t xml:space="preserve">the Institute Review Board </w:t>
      </w:r>
      <w:r w:rsidRPr="00C04355">
        <w:rPr>
          <w:rFonts w:ascii="Times New Roman" w:eastAsia="Times New Roman" w:hAnsi="Times New Roman" w:cs="Times New Roman"/>
          <w:color w:val="0F1115"/>
          <w:kern w:val="0"/>
          <w:lang w:eastAsia="en-IN"/>
          <w14:ligatures w14:val="none"/>
        </w:rPr>
        <w:t>prior to initiation. The requirement for individual patient informed consent was waived by the IRB due to the retrospective nature of the study and the use of anonymized data.</w:t>
      </w:r>
    </w:p>
    <w:p w14:paraId="0A37F2C7" w14:textId="56C66ED3" w:rsidR="00C04355" w:rsidRPr="00C04355" w:rsidRDefault="00C04355" w:rsidP="00C04355">
      <w:pPr>
        <w:shd w:val="clear" w:color="auto" w:fill="FFFFFF"/>
        <w:spacing w:before="240" w:after="24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Cohort Identification</w:t>
      </w:r>
    </w:p>
    <w:p w14:paraId="450F282C" w14:textId="2679CFFE" w:rsidR="00C04355" w:rsidRPr="00C04355" w:rsidRDefault="00EF4D2F" w:rsidP="00EF4D2F">
      <w:pPr>
        <w:shd w:val="clear" w:color="auto" w:fill="FFFFFF"/>
        <w:spacing w:before="240" w:after="240" w:line="240" w:lineRule="auto"/>
        <w:jc w:val="both"/>
        <w:rPr>
          <w:rFonts w:ascii="Times New Roman" w:eastAsia="Times New Roman" w:hAnsi="Times New Roman" w:cs="Times New Roman"/>
          <w:color w:val="0F1115"/>
          <w:kern w:val="0"/>
          <w:lang w:eastAsia="en-IN"/>
          <w14:ligatures w14:val="none"/>
        </w:rPr>
      </w:pPr>
      <w:r w:rsidRPr="00EF4D2F">
        <w:rPr>
          <w:rFonts w:ascii="Times New Roman" w:eastAsia="Times New Roman" w:hAnsi="Times New Roman" w:cs="Times New Roman"/>
          <w:color w:val="0F1115"/>
          <w:kern w:val="0"/>
          <w:lang w:eastAsia="en-IN"/>
          <w14:ligatures w14:val="none"/>
        </w:rPr>
        <w:t>The study population was identified by querying the hospital’s electronic clinical laboratory database for all adult patients (≥18 years) who underwent a comprehensive iron studies panel, including serum ferritin, transferrin saturation (TSAT), and total iron-binding capacity (TIBC), between January 1, 2022 and December 31, 2023. This initial search yielded records for 158 patients.</w:t>
      </w:r>
      <w:r w:rsidR="00E82340">
        <w:rPr>
          <w:rFonts w:ascii="Times New Roman" w:eastAsia="Times New Roman" w:hAnsi="Times New Roman" w:cs="Times New Roman"/>
          <w:color w:val="0F1115"/>
          <w:kern w:val="0"/>
          <w:lang w:eastAsia="en-IN"/>
          <w14:ligatures w14:val="none"/>
        </w:rPr>
        <w:t xml:space="preserve"> </w:t>
      </w:r>
      <w:r w:rsidR="00E82340" w:rsidRPr="00E82340">
        <w:rPr>
          <w:rFonts w:ascii="Times New Roman" w:eastAsia="Times New Roman" w:hAnsi="Times New Roman" w:cs="Times New Roman"/>
          <w:color w:val="0F1115"/>
          <w:kern w:val="0"/>
          <w:lang w:eastAsia="en-IN"/>
          <w14:ligatures w14:val="none"/>
        </w:rPr>
        <w:t>As this was a retrospective cohort analysis, the sample size was determined by the number of eligible patients within this pre-defined study period, and no formal prospective sample size calculation was performed</w:t>
      </w:r>
      <w:r w:rsidR="00E82340" w:rsidRPr="00E82340">
        <w:rPr>
          <w:rFonts w:ascii="Times New Roman" w:eastAsia="Times New Roman" w:hAnsi="Times New Roman" w:cs="Times New Roman"/>
          <w:b/>
          <w:bCs/>
          <w:color w:val="0F1115"/>
          <w:kern w:val="0"/>
          <w:lang w:eastAsia="en-IN"/>
          <w14:ligatures w14:val="none"/>
        </w:rPr>
        <w:t>.</w:t>
      </w:r>
      <w:r w:rsidRPr="00EF4D2F">
        <w:rPr>
          <w:rFonts w:ascii="Times New Roman" w:eastAsia="Times New Roman" w:hAnsi="Times New Roman" w:cs="Times New Roman"/>
          <w:color w:val="0F1115"/>
          <w:kern w:val="0"/>
          <w:lang w:eastAsia="en-IN"/>
          <w14:ligatures w14:val="none"/>
        </w:rPr>
        <w:t xml:space="preserve"> To ensure a well-defined cohort and minimize potential confounding, several exclusion criteria were applied. Patients with active malignancy or those receiving chemotherapy were excluded (n = 15), as were patients with known chronic inflammatory conditions such as rheumatoid arthritis or inflammatory bowel disease, or those with a C-reactive protein (CRP) level greater than 5 mg/L at the time of testing (n = 25), in order to exclude cases of </w:t>
      </w:r>
      <w:r w:rsidR="00721D0F" w:rsidRPr="00EF4D2F">
        <w:rPr>
          <w:rFonts w:ascii="Times New Roman" w:eastAsia="Times New Roman" w:hAnsi="Times New Roman" w:cs="Times New Roman"/>
          <w:color w:val="0F1115"/>
          <w:kern w:val="0"/>
          <w:lang w:eastAsia="en-IN"/>
          <w14:ligatures w14:val="none"/>
        </w:rPr>
        <w:t>Anemia</w:t>
      </w:r>
      <w:r w:rsidRPr="00EF4D2F">
        <w:rPr>
          <w:rFonts w:ascii="Times New Roman" w:eastAsia="Times New Roman" w:hAnsi="Times New Roman" w:cs="Times New Roman"/>
          <w:color w:val="0F1115"/>
          <w:kern w:val="0"/>
          <w:lang w:eastAsia="en-IN"/>
          <w14:ligatures w14:val="none"/>
        </w:rPr>
        <w:t xml:space="preserve"> of inflammation. Patients with significant chronic liver disease (Child–Pugh class B or C) or end-stage renal disease requiring dialysis were also excluded (n = 8). No patients were excluded due to recent blood transfusion or intravenous iron therapy within 90 days prior to testing (n = 0). After applying these criteria, a final cohort of 110 patients was included in the </w:t>
      </w:r>
      <w:r w:rsidR="00161A77" w:rsidRPr="00EF4D2F">
        <w:rPr>
          <w:rFonts w:ascii="Times New Roman" w:eastAsia="Times New Roman" w:hAnsi="Times New Roman" w:cs="Times New Roman"/>
          <w:color w:val="0F1115"/>
          <w:kern w:val="0"/>
          <w:lang w:eastAsia="en-IN"/>
          <w14:ligatures w14:val="none"/>
        </w:rPr>
        <w:t>analysis.</w:t>
      </w:r>
    </w:p>
    <w:p w14:paraId="7184F4CD" w14:textId="62CBCFB7" w:rsidR="00C04355" w:rsidRPr="00C04355" w:rsidRDefault="00C04355" w:rsidP="00C04355">
      <w:pPr>
        <w:shd w:val="clear" w:color="auto" w:fill="FFFFFF"/>
        <w:spacing w:before="240" w:after="24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Data Collection and Variable Definitions</w:t>
      </w:r>
      <w:r w:rsidR="00E82340">
        <w:rPr>
          <w:rFonts w:ascii="Times New Roman" w:eastAsia="Times New Roman" w:hAnsi="Times New Roman" w:cs="Times New Roman"/>
          <w:b/>
          <w:bCs/>
          <w:color w:val="0F1115"/>
          <w:kern w:val="0"/>
          <w:lang w:eastAsia="en-IN"/>
          <w14:ligatures w14:val="none"/>
        </w:rPr>
        <w:t xml:space="preserve"> </w:t>
      </w:r>
    </w:p>
    <w:p w14:paraId="1B3BC765" w14:textId="15CE85A1" w:rsidR="009A23FA" w:rsidRDefault="00B17B7B" w:rsidP="00B17B7B">
      <w:pPr>
        <w:shd w:val="clear" w:color="auto" w:fill="FFFFFF"/>
        <w:spacing w:after="0" w:line="240" w:lineRule="auto"/>
        <w:jc w:val="both"/>
        <w:rPr>
          <w:rFonts w:ascii="Times New Roman" w:eastAsia="Times New Roman" w:hAnsi="Times New Roman" w:cs="Times New Roman"/>
          <w:color w:val="0F1115"/>
          <w:kern w:val="0"/>
          <w:lang w:eastAsia="en-IN"/>
          <w14:ligatures w14:val="none"/>
        </w:rPr>
      </w:pPr>
      <w:r w:rsidRPr="00B17B7B">
        <w:rPr>
          <w:rFonts w:ascii="Times New Roman" w:eastAsia="Times New Roman" w:hAnsi="Times New Roman" w:cs="Times New Roman"/>
          <w:color w:val="0F1115"/>
          <w:kern w:val="0"/>
          <w:lang w:eastAsia="en-IN"/>
          <w14:ligatures w14:val="none"/>
        </w:rPr>
        <w:t xml:space="preserve">Patients’ data were extracted from the hospital’s electronic health records (EHR) using a standardized data collection form. The variables collected included demographic details such as age at the time of testing and biological sex. Biochemical parameters from the initial iron studies panel were documented, including serum iron, total iron-binding capacity (TIBC), calculated transferrin saturation (TSAT, calculated as Serum Iron/TIBC × 100), and serum ferritin. All laboratory analyses were performed in the hospital’s accredited clinical laboratory </w:t>
      </w:r>
      <w:r w:rsidRPr="00B17B7B">
        <w:rPr>
          <w:rFonts w:ascii="Times New Roman" w:eastAsia="Times New Roman" w:hAnsi="Times New Roman" w:cs="Times New Roman"/>
          <w:color w:val="0F1115"/>
          <w:kern w:val="0"/>
          <w:lang w:eastAsia="en-IN"/>
          <w14:ligatures w14:val="none"/>
        </w:rPr>
        <w:lastRenderedPageBreak/>
        <w:t>using standardized automated immunoassays and spectrophotometric techniques to ensure accuracy and reproducibility.</w:t>
      </w:r>
    </w:p>
    <w:p w14:paraId="34346AD1" w14:textId="77777777" w:rsidR="00B17B7B" w:rsidRDefault="00B17B7B" w:rsidP="009A23FA">
      <w:pPr>
        <w:shd w:val="clear" w:color="auto" w:fill="FFFFFF"/>
        <w:spacing w:after="0" w:line="240" w:lineRule="auto"/>
        <w:rPr>
          <w:rFonts w:ascii="Times New Roman" w:eastAsia="Times New Roman" w:hAnsi="Times New Roman" w:cs="Times New Roman"/>
          <w:color w:val="0F1115"/>
          <w:kern w:val="0"/>
          <w:lang w:eastAsia="en-IN"/>
          <w14:ligatures w14:val="none"/>
        </w:rPr>
      </w:pPr>
    </w:p>
    <w:p w14:paraId="6C763520" w14:textId="17474C20" w:rsidR="00C04355" w:rsidRPr="00C04355" w:rsidRDefault="00C04355" w:rsidP="009A23FA">
      <w:pPr>
        <w:shd w:val="clear" w:color="auto" w:fill="FFFFFF"/>
        <w:spacing w:after="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Group Stratification</w:t>
      </w:r>
    </w:p>
    <w:p w14:paraId="0E3BC1C7" w14:textId="02B9D09C" w:rsidR="00C04355" w:rsidRPr="00C04355" w:rsidRDefault="00B17B7B" w:rsidP="00B17B7B">
      <w:pPr>
        <w:shd w:val="clear" w:color="auto" w:fill="FFFFFF"/>
        <w:spacing w:before="240" w:after="240" w:line="240" w:lineRule="auto"/>
        <w:jc w:val="both"/>
        <w:rPr>
          <w:rFonts w:ascii="Times New Roman" w:eastAsia="Times New Roman" w:hAnsi="Times New Roman" w:cs="Times New Roman"/>
          <w:color w:val="0F1115"/>
          <w:kern w:val="0"/>
          <w:lang w:eastAsia="en-IN"/>
          <w14:ligatures w14:val="none"/>
        </w:rPr>
      </w:pPr>
      <w:r w:rsidRPr="00B17B7B">
        <w:rPr>
          <w:rFonts w:ascii="Times New Roman" w:eastAsia="Times New Roman" w:hAnsi="Times New Roman" w:cs="Times New Roman"/>
          <w:color w:val="0F1115"/>
          <w:kern w:val="0"/>
          <w:lang w:eastAsia="en-IN"/>
          <w14:ligatures w14:val="none"/>
        </w:rPr>
        <w:t xml:space="preserve">Patients were stratified into three mutually exclusive groups based on strict, predefined biochemical criteria adapted from established clinical guidelines such as those from the World Health Organization (WHO) and the American Gastroenterological Association (AGA). Individuals were classified as iron deficient if serum ferritin was &lt;15 ng/mL and TSAT was &lt;16%. Normal iron status was defined by ferritin levels of 30–300 ng/mL in males and 15–200 ng/mL in females, with TSAT ranging between 20% and 45%. Iron overload was defined by ferritin levels &gt;300 ng/mL and TSAT &gt;45%. To ensure the purity of group classification and minimize misclassification bias, patients with discordant or borderline values, such as low ferritin with normal TSAT or values that fell between the predefined ranges, were excluded during the initial screening </w:t>
      </w:r>
      <w:r w:rsidR="00721D0F" w:rsidRPr="00B17B7B">
        <w:rPr>
          <w:rFonts w:ascii="Times New Roman" w:eastAsia="Times New Roman" w:hAnsi="Times New Roman" w:cs="Times New Roman"/>
          <w:color w:val="0F1115"/>
          <w:kern w:val="0"/>
          <w:lang w:eastAsia="en-IN"/>
          <w14:ligatures w14:val="none"/>
        </w:rPr>
        <w:t>process.</w:t>
      </w:r>
    </w:p>
    <w:p w14:paraId="2585A5C5" w14:textId="0A4BE4CF" w:rsidR="00C04355" w:rsidRPr="00C04355" w:rsidRDefault="00C04355" w:rsidP="00C04355">
      <w:pPr>
        <w:shd w:val="clear" w:color="auto" w:fill="FFFFFF"/>
        <w:spacing w:before="240" w:after="24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Statistical Analysis</w:t>
      </w:r>
    </w:p>
    <w:p w14:paraId="13352C11" w14:textId="77777777" w:rsidR="00C04355" w:rsidRPr="00C04355" w:rsidRDefault="00C04355" w:rsidP="00E45521">
      <w:pPr>
        <w:shd w:val="clear" w:color="auto" w:fill="FFFFFF"/>
        <w:spacing w:before="240" w:after="24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color w:val="0F1115"/>
          <w:kern w:val="0"/>
          <w:lang w:eastAsia="en-IN"/>
          <w14:ligatures w14:val="none"/>
        </w:rPr>
        <w:t>All statistical analyses were performed using R statistical software (version 4.3.1, R Foundation for Statistical Computing). A two-sided p-value of &lt; 0.05 was considered statistically significant.</w:t>
      </w:r>
    </w:p>
    <w:p w14:paraId="79E8562C" w14:textId="77777777" w:rsidR="00C04355" w:rsidRPr="00C04355" w:rsidRDefault="00C04355" w:rsidP="00B17B7B">
      <w:pPr>
        <w:shd w:val="clear" w:color="auto" w:fill="FFFFFF"/>
        <w:spacing w:after="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Descriptive Statistics:</w:t>
      </w:r>
      <w:r w:rsidRPr="00C04355">
        <w:rPr>
          <w:rFonts w:ascii="Times New Roman" w:eastAsia="Times New Roman" w:hAnsi="Times New Roman" w:cs="Times New Roman"/>
          <w:color w:val="0F1115"/>
          <w:kern w:val="0"/>
          <w:lang w:eastAsia="en-IN"/>
          <w14:ligatures w14:val="none"/>
        </w:rPr>
        <w:t> Continuous variables were assessed for normality using the Shapiro-Wilk test. Normally distributed data are presented as Mean ± Standard Deviation (SD) and were compared using one-way Analysis of Variance (ANOVA). Non-normally distributed data (e.g., Ferritin) are presented as Median with Interquartile Range [IQR] and were compared using the Kruskal-Wallis test. Categorical variables are presented as counts and percentages (n, %) and were compared using the Chi-squared (χ²) test.</w:t>
      </w:r>
    </w:p>
    <w:p w14:paraId="613ED98F" w14:textId="77777777" w:rsidR="00C04355" w:rsidRPr="00C04355" w:rsidRDefault="00C04355" w:rsidP="00B17B7B">
      <w:pPr>
        <w:shd w:val="clear" w:color="auto" w:fill="FFFFFF"/>
        <w:spacing w:after="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Post-Hoc Analysis:</w:t>
      </w:r>
      <w:r w:rsidRPr="00C04355">
        <w:rPr>
          <w:rFonts w:ascii="Times New Roman" w:eastAsia="Times New Roman" w:hAnsi="Times New Roman" w:cs="Times New Roman"/>
          <w:color w:val="0F1115"/>
          <w:kern w:val="0"/>
          <w:lang w:eastAsia="en-IN"/>
          <w14:ligatures w14:val="none"/>
        </w:rPr>
        <w:t> For significant ANOVA or Kruskal-Wallis results, post-hoc pairwise comparisons were conducted. For normally distributed parameters (Age, TSAT, TIBC), Tukey's Honest Significant Difference test was used. For the non-parametric ferritin data, the Dunn's test with Bonferroni adjustment was applied.</w:t>
      </w:r>
    </w:p>
    <w:p w14:paraId="432D1B4A" w14:textId="77777777" w:rsidR="00C04355" w:rsidRPr="00C04355" w:rsidRDefault="00C04355" w:rsidP="00B17B7B">
      <w:pPr>
        <w:shd w:val="clear" w:color="auto" w:fill="FFFFFF"/>
        <w:spacing w:after="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Multivariable Logistic Regression:</w:t>
      </w:r>
      <w:r w:rsidRPr="00C04355">
        <w:rPr>
          <w:rFonts w:ascii="Times New Roman" w:eastAsia="Times New Roman" w:hAnsi="Times New Roman" w:cs="Times New Roman"/>
          <w:color w:val="0F1115"/>
          <w:kern w:val="0"/>
          <w:lang w:eastAsia="en-IN"/>
          <w14:ligatures w14:val="none"/>
        </w:rPr>
        <w:t> To identify independent predictors of iron deficiency, a multivariable logistic regression model was constructed. The dependent variable was the binary outcome of being in the "Iron Deficient" group versus the "Normal" group (the small "Overload" group was excluded from this specific analysis to ensure model clarity). The model was adjusted for the covariates of Age (continuous), Gender (male as reference), and TIBC (continuous). The results are reported as Adjusted Odds Ratios (</w:t>
      </w:r>
      <w:proofErr w:type="spellStart"/>
      <w:r w:rsidRPr="00C04355">
        <w:rPr>
          <w:rFonts w:ascii="Times New Roman" w:eastAsia="Times New Roman" w:hAnsi="Times New Roman" w:cs="Times New Roman"/>
          <w:color w:val="0F1115"/>
          <w:kern w:val="0"/>
          <w:lang w:eastAsia="en-IN"/>
          <w14:ligatures w14:val="none"/>
        </w:rPr>
        <w:t>aOR</w:t>
      </w:r>
      <w:proofErr w:type="spellEnd"/>
      <w:r w:rsidRPr="00C04355">
        <w:rPr>
          <w:rFonts w:ascii="Times New Roman" w:eastAsia="Times New Roman" w:hAnsi="Times New Roman" w:cs="Times New Roman"/>
          <w:color w:val="0F1115"/>
          <w:kern w:val="0"/>
          <w:lang w:eastAsia="en-IN"/>
          <w14:ligatures w14:val="none"/>
        </w:rPr>
        <w:t>) with their corresponding 95% Confidence Intervals (CI). Model fit was assessed using the Hosmer-</w:t>
      </w:r>
      <w:proofErr w:type="spellStart"/>
      <w:r w:rsidRPr="00C04355">
        <w:rPr>
          <w:rFonts w:ascii="Times New Roman" w:eastAsia="Times New Roman" w:hAnsi="Times New Roman" w:cs="Times New Roman"/>
          <w:color w:val="0F1115"/>
          <w:kern w:val="0"/>
          <w:lang w:eastAsia="en-IN"/>
          <w14:ligatures w14:val="none"/>
        </w:rPr>
        <w:t>Lemeshow</w:t>
      </w:r>
      <w:proofErr w:type="spellEnd"/>
      <w:r w:rsidRPr="00C04355">
        <w:rPr>
          <w:rFonts w:ascii="Times New Roman" w:eastAsia="Times New Roman" w:hAnsi="Times New Roman" w:cs="Times New Roman"/>
          <w:color w:val="0F1115"/>
          <w:kern w:val="0"/>
          <w:lang w:eastAsia="en-IN"/>
          <w14:ligatures w14:val="none"/>
        </w:rPr>
        <w:t xml:space="preserve"> goodness-of-fit test.</w:t>
      </w:r>
    </w:p>
    <w:p w14:paraId="7FDE0629" w14:textId="77777777" w:rsidR="00C04355" w:rsidRPr="00EF4D2F" w:rsidRDefault="00C04355" w:rsidP="00F50D09">
      <w:pPr>
        <w:rPr>
          <w:rFonts w:ascii="Times New Roman" w:hAnsi="Times New Roman" w:cs="Times New Roman"/>
          <w:b/>
          <w:bCs/>
        </w:rPr>
      </w:pPr>
    </w:p>
    <w:p w14:paraId="304C2CFB" w14:textId="77777777" w:rsidR="00537766" w:rsidRPr="00EF4D2F" w:rsidRDefault="00953C69" w:rsidP="00537766">
      <w:pPr>
        <w:rPr>
          <w:rFonts w:ascii="Times New Roman" w:hAnsi="Times New Roman" w:cs="Times New Roman"/>
          <w:b/>
          <w:bCs/>
        </w:rPr>
      </w:pPr>
      <w:r w:rsidRPr="00EF4D2F">
        <w:rPr>
          <w:rFonts w:ascii="Times New Roman" w:hAnsi="Times New Roman" w:cs="Times New Roman"/>
          <w:b/>
          <w:bCs/>
        </w:rPr>
        <w:t>RESULTS</w:t>
      </w:r>
      <w:r w:rsidR="00537766">
        <w:rPr>
          <w:rFonts w:ascii="Times New Roman" w:hAnsi="Times New Roman" w:cs="Times New Roman"/>
          <w:b/>
          <w:bCs/>
        </w:rPr>
        <w:t xml:space="preserve"> and </w:t>
      </w:r>
      <w:r w:rsidR="00537766" w:rsidRPr="00EF4D2F">
        <w:rPr>
          <w:rFonts w:ascii="Times New Roman" w:hAnsi="Times New Roman" w:cs="Times New Roman"/>
          <w:b/>
          <w:bCs/>
        </w:rPr>
        <w:t xml:space="preserve">DISCUSSION </w:t>
      </w:r>
    </w:p>
    <w:p w14:paraId="09153012" w14:textId="09983C41" w:rsidR="00F50D09" w:rsidRPr="00EF4D2F" w:rsidRDefault="00F50D09" w:rsidP="00F50D09">
      <w:pPr>
        <w:rPr>
          <w:rFonts w:ascii="Times New Roman" w:hAnsi="Times New Roman" w:cs="Times New Roman"/>
          <w:b/>
          <w:bCs/>
        </w:rPr>
      </w:pPr>
    </w:p>
    <w:p w14:paraId="0CE1DE2F" w14:textId="77777777" w:rsidR="00F50D09" w:rsidRPr="00EF4D2F" w:rsidRDefault="00F50D09" w:rsidP="002833E3">
      <w:pPr>
        <w:jc w:val="both"/>
        <w:rPr>
          <w:rFonts w:ascii="Times New Roman" w:hAnsi="Times New Roman" w:cs="Times New Roman"/>
        </w:rPr>
      </w:pPr>
      <w:r w:rsidRPr="00EF4D2F">
        <w:rPr>
          <w:rFonts w:ascii="Times New Roman" w:hAnsi="Times New Roman" w:cs="Times New Roman"/>
        </w:rPr>
        <w:t>The analysis of 110 patients revealed distinct subgroups with significant iron metabolism dysregulation. The cohort was stratified into Iron Deficient (ID), Normal, and Iron Overload groups based on strict biochemical criteria.</w:t>
      </w:r>
    </w:p>
    <w:p w14:paraId="50157B07" w14:textId="77777777" w:rsidR="00F50D09" w:rsidRPr="00EF4D2F" w:rsidRDefault="00F50D09" w:rsidP="004D151D">
      <w:pPr>
        <w:jc w:val="center"/>
        <w:rPr>
          <w:rFonts w:ascii="Times New Roman" w:hAnsi="Times New Roman" w:cs="Times New Roman"/>
        </w:rPr>
      </w:pPr>
      <w:r w:rsidRPr="00EF4D2F">
        <w:rPr>
          <w:rFonts w:ascii="Times New Roman" w:hAnsi="Times New Roman" w:cs="Times New Roman"/>
          <w:b/>
          <w:bCs/>
        </w:rPr>
        <w:t>Table 1: Demographic and Clinical Characteristics by Iron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2275"/>
        <w:gridCol w:w="1979"/>
        <w:gridCol w:w="1704"/>
        <w:gridCol w:w="1891"/>
        <w:gridCol w:w="1167"/>
      </w:tblGrid>
      <w:tr w:rsidR="00F50D09" w:rsidRPr="00EF4D2F" w14:paraId="38A110BA" w14:textId="77777777" w:rsidTr="00CA067B">
        <w:trPr>
          <w:tblHeader/>
        </w:trPr>
        <w:tc>
          <w:tcPr>
            <w:tcW w:w="0" w:type="auto"/>
            <w:shd w:val="clear" w:color="auto" w:fill="E7E6E6" w:themeFill="background2"/>
            <w:tcMar>
              <w:top w:w="150" w:type="dxa"/>
              <w:left w:w="0" w:type="dxa"/>
              <w:bottom w:w="150" w:type="dxa"/>
              <w:right w:w="240" w:type="dxa"/>
            </w:tcMar>
            <w:vAlign w:val="center"/>
            <w:hideMark/>
          </w:tcPr>
          <w:p w14:paraId="631DA018"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lastRenderedPageBreak/>
              <w:t>Characteristic</w:t>
            </w:r>
          </w:p>
        </w:tc>
        <w:tc>
          <w:tcPr>
            <w:tcW w:w="0" w:type="auto"/>
            <w:shd w:val="clear" w:color="auto" w:fill="E7E6E6" w:themeFill="background2"/>
            <w:tcMar>
              <w:top w:w="150" w:type="dxa"/>
              <w:left w:w="240" w:type="dxa"/>
              <w:bottom w:w="150" w:type="dxa"/>
              <w:right w:w="240" w:type="dxa"/>
            </w:tcMar>
            <w:vAlign w:val="center"/>
            <w:hideMark/>
          </w:tcPr>
          <w:p w14:paraId="0293AFC9"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t>Iron Deficient (ID) (n=23)</w:t>
            </w:r>
          </w:p>
        </w:tc>
        <w:tc>
          <w:tcPr>
            <w:tcW w:w="0" w:type="auto"/>
            <w:shd w:val="clear" w:color="auto" w:fill="E7E6E6" w:themeFill="background2"/>
            <w:tcMar>
              <w:top w:w="150" w:type="dxa"/>
              <w:left w:w="240" w:type="dxa"/>
              <w:bottom w:w="150" w:type="dxa"/>
              <w:right w:w="240" w:type="dxa"/>
            </w:tcMar>
            <w:vAlign w:val="center"/>
            <w:hideMark/>
          </w:tcPr>
          <w:p w14:paraId="76CB572E"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t>Normal Iron (n=75)</w:t>
            </w:r>
          </w:p>
        </w:tc>
        <w:tc>
          <w:tcPr>
            <w:tcW w:w="0" w:type="auto"/>
            <w:shd w:val="clear" w:color="auto" w:fill="E7E6E6" w:themeFill="background2"/>
            <w:tcMar>
              <w:top w:w="150" w:type="dxa"/>
              <w:left w:w="240" w:type="dxa"/>
              <w:bottom w:w="150" w:type="dxa"/>
              <w:right w:w="240" w:type="dxa"/>
            </w:tcMar>
            <w:vAlign w:val="center"/>
            <w:hideMark/>
          </w:tcPr>
          <w:p w14:paraId="71DC8382"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t>Iron Overload (n=12)</w:t>
            </w:r>
          </w:p>
        </w:tc>
        <w:tc>
          <w:tcPr>
            <w:tcW w:w="0" w:type="auto"/>
            <w:shd w:val="clear" w:color="auto" w:fill="E7E6E6" w:themeFill="background2"/>
            <w:tcMar>
              <w:top w:w="150" w:type="dxa"/>
              <w:left w:w="240" w:type="dxa"/>
              <w:bottom w:w="150" w:type="dxa"/>
              <w:right w:w="240" w:type="dxa"/>
            </w:tcMar>
            <w:vAlign w:val="center"/>
            <w:hideMark/>
          </w:tcPr>
          <w:p w14:paraId="33AE167A"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t>p-value</w:t>
            </w:r>
          </w:p>
        </w:tc>
      </w:tr>
      <w:tr w:rsidR="00F50D09" w:rsidRPr="00EF4D2F" w14:paraId="744ADC6E" w14:textId="77777777" w:rsidTr="00CA067B">
        <w:tc>
          <w:tcPr>
            <w:tcW w:w="0" w:type="auto"/>
            <w:shd w:val="clear" w:color="auto" w:fill="E7E6E6" w:themeFill="background2"/>
            <w:tcMar>
              <w:top w:w="150" w:type="dxa"/>
              <w:left w:w="0" w:type="dxa"/>
              <w:bottom w:w="150" w:type="dxa"/>
              <w:right w:w="240" w:type="dxa"/>
            </w:tcMar>
            <w:vAlign w:val="center"/>
            <w:hideMark/>
          </w:tcPr>
          <w:p w14:paraId="160B7136"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Age, Years (Mean ± SD)</w:t>
            </w:r>
          </w:p>
        </w:tc>
        <w:tc>
          <w:tcPr>
            <w:tcW w:w="0" w:type="auto"/>
            <w:shd w:val="clear" w:color="auto" w:fill="E7E6E6" w:themeFill="background2"/>
            <w:tcMar>
              <w:top w:w="150" w:type="dxa"/>
              <w:left w:w="240" w:type="dxa"/>
              <w:bottom w:w="150" w:type="dxa"/>
              <w:right w:w="240" w:type="dxa"/>
            </w:tcMar>
            <w:vAlign w:val="center"/>
            <w:hideMark/>
          </w:tcPr>
          <w:p w14:paraId="5002DC97"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50.0 ± 16.8</w:t>
            </w:r>
          </w:p>
        </w:tc>
        <w:tc>
          <w:tcPr>
            <w:tcW w:w="0" w:type="auto"/>
            <w:shd w:val="clear" w:color="auto" w:fill="E7E6E6" w:themeFill="background2"/>
            <w:tcMar>
              <w:top w:w="150" w:type="dxa"/>
              <w:left w:w="240" w:type="dxa"/>
              <w:bottom w:w="150" w:type="dxa"/>
              <w:right w:w="240" w:type="dxa"/>
            </w:tcMar>
            <w:vAlign w:val="center"/>
            <w:hideMark/>
          </w:tcPr>
          <w:p w14:paraId="18D55AA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62.1 ± 14.9</w:t>
            </w:r>
          </w:p>
        </w:tc>
        <w:tc>
          <w:tcPr>
            <w:tcW w:w="0" w:type="auto"/>
            <w:shd w:val="clear" w:color="auto" w:fill="E7E6E6" w:themeFill="background2"/>
            <w:tcMar>
              <w:top w:w="150" w:type="dxa"/>
              <w:left w:w="240" w:type="dxa"/>
              <w:bottom w:w="150" w:type="dxa"/>
              <w:right w:w="240" w:type="dxa"/>
            </w:tcMar>
            <w:vAlign w:val="center"/>
            <w:hideMark/>
          </w:tcPr>
          <w:p w14:paraId="4C02C128"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67.3 ± 11.9</w:t>
            </w:r>
          </w:p>
        </w:tc>
        <w:tc>
          <w:tcPr>
            <w:tcW w:w="0" w:type="auto"/>
            <w:shd w:val="clear" w:color="auto" w:fill="E7E6E6" w:themeFill="background2"/>
            <w:tcMar>
              <w:top w:w="150" w:type="dxa"/>
              <w:left w:w="240" w:type="dxa"/>
              <w:bottom w:w="150" w:type="dxa"/>
              <w:right w:w="0" w:type="dxa"/>
            </w:tcMar>
            <w:vAlign w:val="center"/>
            <w:hideMark/>
          </w:tcPr>
          <w:p w14:paraId="20B9003D"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0.002</w:t>
            </w:r>
          </w:p>
        </w:tc>
      </w:tr>
      <w:tr w:rsidR="00A54702" w:rsidRPr="00EF4D2F" w14:paraId="17C38FFE" w14:textId="77777777" w:rsidTr="00CA067B">
        <w:tc>
          <w:tcPr>
            <w:tcW w:w="0" w:type="auto"/>
            <w:shd w:val="clear" w:color="auto" w:fill="E7E6E6" w:themeFill="background2"/>
            <w:tcMar>
              <w:top w:w="150" w:type="dxa"/>
              <w:left w:w="0" w:type="dxa"/>
              <w:bottom w:w="150" w:type="dxa"/>
              <w:right w:w="240" w:type="dxa"/>
            </w:tcMar>
            <w:vAlign w:val="center"/>
            <w:hideMark/>
          </w:tcPr>
          <w:p w14:paraId="76F7519B"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Female, n (%)</w:t>
            </w:r>
          </w:p>
        </w:tc>
        <w:tc>
          <w:tcPr>
            <w:tcW w:w="0" w:type="auto"/>
            <w:shd w:val="clear" w:color="auto" w:fill="E7E6E6" w:themeFill="background2"/>
            <w:tcMar>
              <w:top w:w="150" w:type="dxa"/>
              <w:left w:w="240" w:type="dxa"/>
              <w:bottom w:w="150" w:type="dxa"/>
              <w:right w:w="240" w:type="dxa"/>
            </w:tcMar>
            <w:vAlign w:val="center"/>
            <w:hideMark/>
          </w:tcPr>
          <w:p w14:paraId="0902AC03"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21 (91.3%)</w:t>
            </w:r>
          </w:p>
        </w:tc>
        <w:tc>
          <w:tcPr>
            <w:tcW w:w="0" w:type="auto"/>
            <w:shd w:val="clear" w:color="auto" w:fill="E7E6E6" w:themeFill="background2"/>
            <w:tcMar>
              <w:top w:w="150" w:type="dxa"/>
              <w:left w:w="240" w:type="dxa"/>
              <w:bottom w:w="150" w:type="dxa"/>
              <w:right w:w="240" w:type="dxa"/>
            </w:tcMar>
            <w:vAlign w:val="center"/>
            <w:hideMark/>
          </w:tcPr>
          <w:p w14:paraId="468D9694"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49 (65.3%)</w:t>
            </w:r>
          </w:p>
        </w:tc>
        <w:tc>
          <w:tcPr>
            <w:tcW w:w="0" w:type="auto"/>
            <w:shd w:val="clear" w:color="auto" w:fill="E7E6E6" w:themeFill="background2"/>
            <w:tcMar>
              <w:top w:w="150" w:type="dxa"/>
              <w:left w:w="240" w:type="dxa"/>
              <w:bottom w:w="150" w:type="dxa"/>
              <w:right w:w="240" w:type="dxa"/>
            </w:tcMar>
            <w:vAlign w:val="center"/>
            <w:hideMark/>
          </w:tcPr>
          <w:p w14:paraId="40D67B0A"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7 (58.3%)</w:t>
            </w:r>
          </w:p>
        </w:tc>
        <w:tc>
          <w:tcPr>
            <w:tcW w:w="0" w:type="auto"/>
            <w:vMerge w:val="restart"/>
            <w:shd w:val="clear" w:color="auto" w:fill="E7E6E6" w:themeFill="background2"/>
            <w:tcMar>
              <w:top w:w="150" w:type="dxa"/>
              <w:left w:w="240" w:type="dxa"/>
              <w:bottom w:w="150" w:type="dxa"/>
              <w:right w:w="0" w:type="dxa"/>
            </w:tcMar>
            <w:vAlign w:val="center"/>
            <w:hideMark/>
          </w:tcPr>
          <w:p w14:paraId="7F3B0F36"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0.038</w:t>
            </w:r>
          </w:p>
        </w:tc>
      </w:tr>
      <w:tr w:rsidR="00A54702" w:rsidRPr="00EF4D2F" w14:paraId="0D50CA52" w14:textId="77777777" w:rsidTr="00CA067B">
        <w:tc>
          <w:tcPr>
            <w:tcW w:w="0" w:type="auto"/>
            <w:shd w:val="clear" w:color="auto" w:fill="E7E6E6" w:themeFill="background2"/>
            <w:tcMar>
              <w:top w:w="150" w:type="dxa"/>
              <w:left w:w="0" w:type="dxa"/>
              <w:bottom w:w="150" w:type="dxa"/>
              <w:right w:w="240" w:type="dxa"/>
            </w:tcMar>
          </w:tcPr>
          <w:p w14:paraId="47E49A30" w14:textId="391C758A" w:rsidR="00A54702" w:rsidRPr="00EF4D2F" w:rsidRDefault="00A54702" w:rsidP="00A90A73">
            <w:pPr>
              <w:pStyle w:val="NoSpacing"/>
              <w:rPr>
                <w:rFonts w:ascii="Times New Roman" w:hAnsi="Times New Roman" w:cs="Times New Roman"/>
              </w:rPr>
            </w:pPr>
            <w:r w:rsidRPr="00EF4D2F">
              <w:rPr>
                <w:rFonts w:ascii="Times New Roman" w:hAnsi="Times New Roman" w:cs="Times New Roman"/>
              </w:rPr>
              <w:t>Male</w:t>
            </w:r>
          </w:p>
        </w:tc>
        <w:tc>
          <w:tcPr>
            <w:tcW w:w="0" w:type="auto"/>
            <w:shd w:val="clear" w:color="auto" w:fill="E7E6E6" w:themeFill="background2"/>
            <w:tcMar>
              <w:top w:w="150" w:type="dxa"/>
              <w:left w:w="240" w:type="dxa"/>
              <w:bottom w:w="150" w:type="dxa"/>
              <w:right w:w="240" w:type="dxa"/>
            </w:tcMar>
          </w:tcPr>
          <w:p w14:paraId="27FBEBBF" w14:textId="13D5EF59" w:rsidR="00A54702" w:rsidRPr="00EF4D2F" w:rsidRDefault="00A54702" w:rsidP="00A90A73">
            <w:pPr>
              <w:pStyle w:val="NoSpacing"/>
              <w:rPr>
                <w:rFonts w:ascii="Times New Roman" w:hAnsi="Times New Roman" w:cs="Times New Roman"/>
              </w:rPr>
            </w:pPr>
            <w:r w:rsidRPr="00EF4D2F">
              <w:rPr>
                <w:rFonts w:ascii="Times New Roman" w:hAnsi="Times New Roman" w:cs="Times New Roman"/>
              </w:rPr>
              <w:t>2 (8.7%)</w:t>
            </w:r>
          </w:p>
        </w:tc>
        <w:tc>
          <w:tcPr>
            <w:tcW w:w="0" w:type="auto"/>
            <w:shd w:val="clear" w:color="auto" w:fill="E7E6E6" w:themeFill="background2"/>
            <w:tcMar>
              <w:top w:w="150" w:type="dxa"/>
              <w:left w:w="240" w:type="dxa"/>
              <w:bottom w:w="150" w:type="dxa"/>
              <w:right w:w="240" w:type="dxa"/>
            </w:tcMar>
          </w:tcPr>
          <w:p w14:paraId="068FBCBB" w14:textId="114BF65D" w:rsidR="00A54702" w:rsidRPr="00EF4D2F" w:rsidRDefault="00A54702" w:rsidP="00A90A73">
            <w:pPr>
              <w:pStyle w:val="NoSpacing"/>
              <w:rPr>
                <w:rFonts w:ascii="Times New Roman" w:hAnsi="Times New Roman" w:cs="Times New Roman"/>
              </w:rPr>
            </w:pPr>
            <w:r w:rsidRPr="00EF4D2F">
              <w:rPr>
                <w:rFonts w:ascii="Times New Roman" w:hAnsi="Times New Roman" w:cs="Times New Roman"/>
              </w:rPr>
              <w:t>26 (34.7%)</w:t>
            </w:r>
          </w:p>
        </w:tc>
        <w:tc>
          <w:tcPr>
            <w:tcW w:w="0" w:type="auto"/>
            <w:shd w:val="clear" w:color="auto" w:fill="E7E6E6" w:themeFill="background2"/>
            <w:tcMar>
              <w:top w:w="150" w:type="dxa"/>
              <w:left w:w="240" w:type="dxa"/>
              <w:bottom w:w="150" w:type="dxa"/>
              <w:right w:w="240" w:type="dxa"/>
            </w:tcMar>
          </w:tcPr>
          <w:p w14:paraId="53480A34" w14:textId="2A36F6C6" w:rsidR="00A54702" w:rsidRPr="00EF4D2F" w:rsidRDefault="00A54702" w:rsidP="00A90A73">
            <w:pPr>
              <w:pStyle w:val="NoSpacing"/>
              <w:rPr>
                <w:rFonts w:ascii="Times New Roman" w:hAnsi="Times New Roman" w:cs="Times New Roman"/>
              </w:rPr>
            </w:pPr>
            <w:r w:rsidRPr="00EF4D2F">
              <w:rPr>
                <w:rFonts w:ascii="Times New Roman" w:hAnsi="Times New Roman" w:cs="Times New Roman"/>
              </w:rPr>
              <w:t>5 (41.7%)</w:t>
            </w:r>
          </w:p>
        </w:tc>
        <w:tc>
          <w:tcPr>
            <w:tcW w:w="0" w:type="auto"/>
            <w:vMerge/>
            <w:shd w:val="clear" w:color="auto" w:fill="E7E6E6" w:themeFill="background2"/>
            <w:tcMar>
              <w:top w:w="150" w:type="dxa"/>
              <w:left w:w="240" w:type="dxa"/>
              <w:bottom w:w="150" w:type="dxa"/>
              <w:right w:w="0" w:type="dxa"/>
            </w:tcMar>
          </w:tcPr>
          <w:p w14:paraId="0DBC568B" w14:textId="2FD92B8A" w:rsidR="00A54702" w:rsidRPr="00EF4D2F" w:rsidRDefault="00A54702" w:rsidP="00A90A73">
            <w:pPr>
              <w:pStyle w:val="NoSpacing"/>
              <w:rPr>
                <w:rFonts w:ascii="Times New Roman" w:hAnsi="Times New Roman" w:cs="Times New Roman"/>
              </w:rPr>
            </w:pPr>
          </w:p>
        </w:tc>
      </w:tr>
      <w:tr w:rsidR="00F50D09" w:rsidRPr="00EF4D2F" w14:paraId="0268017D" w14:textId="77777777" w:rsidTr="00CA067B">
        <w:tc>
          <w:tcPr>
            <w:tcW w:w="0" w:type="auto"/>
            <w:shd w:val="clear" w:color="auto" w:fill="E7E6E6" w:themeFill="background2"/>
            <w:tcMar>
              <w:top w:w="150" w:type="dxa"/>
              <w:left w:w="0" w:type="dxa"/>
              <w:bottom w:w="150" w:type="dxa"/>
              <w:right w:w="240" w:type="dxa"/>
            </w:tcMar>
            <w:vAlign w:val="center"/>
            <w:hideMark/>
          </w:tcPr>
          <w:p w14:paraId="4477C30A"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Ferritin, ng/mL (Median [IQR])</w:t>
            </w:r>
          </w:p>
        </w:tc>
        <w:tc>
          <w:tcPr>
            <w:tcW w:w="0" w:type="auto"/>
            <w:shd w:val="clear" w:color="auto" w:fill="E7E6E6" w:themeFill="background2"/>
            <w:tcMar>
              <w:top w:w="150" w:type="dxa"/>
              <w:left w:w="240" w:type="dxa"/>
              <w:bottom w:w="150" w:type="dxa"/>
              <w:right w:w="240" w:type="dxa"/>
            </w:tcMar>
            <w:vAlign w:val="center"/>
            <w:hideMark/>
          </w:tcPr>
          <w:p w14:paraId="41822036"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6.2 [4.8, 10.0]</w:t>
            </w:r>
          </w:p>
        </w:tc>
        <w:tc>
          <w:tcPr>
            <w:tcW w:w="0" w:type="auto"/>
            <w:shd w:val="clear" w:color="auto" w:fill="E7E6E6" w:themeFill="background2"/>
            <w:tcMar>
              <w:top w:w="150" w:type="dxa"/>
              <w:left w:w="240" w:type="dxa"/>
              <w:bottom w:w="150" w:type="dxa"/>
              <w:right w:w="240" w:type="dxa"/>
            </w:tcMar>
            <w:vAlign w:val="center"/>
            <w:hideMark/>
          </w:tcPr>
          <w:p w14:paraId="381A9FB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42.0 [24.0, 94.0]</w:t>
            </w:r>
          </w:p>
        </w:tc>
        <w:tc>
          <w:tcPr>
            <w:tcW w:w="0" w:type="auto"/>
            <w:shd w:val="clear" w:color="auto" w:fill="E7E6E6" w:themeFill="background2"/>
            <w:tcMar>
              <w:top w:w="150" w:type="dxa"/>
              <w:left w:w="240" w:type="dxa"/>
              <w:bottom w:w="150" w:type="dxa"/>
              <w:right w:w="240" w:type="dxa"/>
            </w:tcMar>
            <w:vAlign w:val="center"/>
            <w:hideMark/>
          </w:tcPr>
          <w:p w14:paraId="706D2E9A"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692 [495, 925]</w:t>
            </w:r>
          </w:p>
        </w:tc>
        <w:tc>
          <w:tcPr>
            <w:tcW w:w="0" w:type="auto"/>
            <w:shd w:val="clear" w:color="auto" w:fill="E7E6E6" w:themeFill="background2"/>
            <w:tcMar>
              <w:top w:w="150" w:type="dxa"/>
              <w:left w:w="240" w:type="dxa"/>
              <w:bottom w:w="150" w:type="dxa"/>
              <w:right w:w="0" w:type="dxa"/>
            </w:tcMar>
            <w:vAlign w:val="center"/>
            <w:hideMark/>
          </w:tcPr>
          <w:p w14:paraId="27A1B9F7"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4AF68389" w14:textId="77777777" w:rsidTr="00CA067B">
        <w:tc>
          <w:tcPr>
            <w:tcW w:w="0" w:type="auto"/>
            <w:shd w:val="clear" w:color="auto" w:fill="E7E6E6" w:themeFill="background2"/>
            <w:tcMar>
              <w:top w:w="150" w:type="dxa"/>
              <w:left w:w="0" w:type="dxa"/>
              <w:bottom w:w="150" w:type="dxa"/>
              <w:right w:w="240" w:type="dxa"/>
            </w:tcMar>
            <w:vAlign w:val="center"/>
            <w:hideMark/>
          </w:tcPr>
          <w:p w14:paraId="6B0DDA3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TSAT, % (Mean ± SD)</w:t>
            </w:r>
          </w:p>
        </w:tc>
        <w:tc>
          <w:tcPr>
            <w:tcW w:w="0" w:type="auto"/>
            <w:shd w:val="clear" w:color="auto" w:fill="E7E6E6" w:themeFill="background2"/>
            <w:tcMar>
              <w:top w:w="150" w:type="dxa"/>
              <w:left w:w="240" w:type="dxa"/>
              <w:bottom w:w="150" w:type="dxa"/>
              <w:right w:w="240" w:type="dxa"/>
            </w:tcMar>
            <w:vAlign w:val="center"/>
            <w:hideMark/>
          </w:tcPr>
          <w:p w14:paraId="0D789C7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8.1 ± 4.3</w:t>
            </w:r>
          </w:p>
        </w:tc>
        <w:tc>
          <w:tcPr>
            <w:tcW w:w="0" w:type="auto"/>
            <w:shd w:val="clear" w:color="auto" w:fill="E7E6E6" w:themeFill="background2"/>
            <w:tcMar>
              <w:top w:w="150" w:type="dxa"/>
              <w:left w:w="240" w:type="dxa"/>
              <w:bottom w:w="150" w:type="dxa"/>
              <w:right w:w="240" w:type="dxa"/>
            </w:tcMar>
            <w:vAlign w:val="center"/>
            <w:hideMark/>
          </w:tcPr>
          <w:p w14:paraId="67165139"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22.1 ± 16.8</w:t>
            </w:r>
          </w:p>
        </w:tc>
        <w:tc>
          <w:tcPr>
            <w:tcW w:w="0" w:type="auto"/>
            <w:shd w:val="clear" w:color="auto" w:fill="E7E6E6" w:themeFill="background2"/>
            <w:tcMar>
              <w:top w:w="150" w:type="dxa"/>
              <w:left w:w="240" w:type="dxa"/>
              <w:bottom w:w="150" w:type="dxa"/>
              <w:right w:w="240" w:type="dxa"/>
            </w:tcMar>
            <w:vAlign w:val="center"/>
            <w:hideMark/>
          </w:tcPr>
          <w:p w14:paraId="5E36DE0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53.2 ± 27.4</w:t>
            </w:r>
          </w:p>
        </w:tc>
        <w:tc>
          <w:tcPr>
            <w:tcW w:w="0" w:type="auto"/>
            <w:shd w:val="clear" w:color="auto" w:fill="E7E6E6" w:themeFill="background2"/>
            <w:tcMar>
              <w:top w:w="150" w:type="dxa"/>
              <w:left w:w="240" w:type="dxa"/>
              <w:bottom w:w="150" w:type="dxa"/>
              <w:right w:w="0" w:type="dxa"/>
            </w:tcMar>
            <w:vAlign w:val="center"/>
            <w:hideMark/>
          </w:tcPr>
          <w:p w14:paraId="79F1C3EE"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2831361E" w14:textId="77777777" w:rsidTr="00CA067B">
        <w:tc>
          <w:tcPr>
            <w:tcW w:w="0" w:type="auto"/>
            <w:shd w:val="clear" w:color="auto" w:fill="E7E6E6" w:themeFill="background2"/>
            <w:tcMar>
              <w:top w:w="150" w:type="dxa"/>
              <w:left w:w="0" w:type="dxa"/>
              <w:bottom w:w="150" w:type="dxa"/>
              <w:right w:w="240" w:type="dxa"/>
            </w:tcMar>
            <w:vAlign w:val="center"/>
            <w:hideMark/>
          </w:tcPr>
          <w:p w14:paraId="6E21053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TIBC, µg/dL (Mean ± SD)</w:t>
            </w:r>
          </w:p>
        </w:tc>
        <w:tc>
          <w:tcPr>
            <w:tcW w:w="0" w:type="auto"/>
            <w:shd w:val="clear" w:color="auto" w:fill="E7E6E6" w:themeFill="background2"/>
            <w:tcMar>
              <w:top w:w="150" w:type="dxa"/>
              <w:left w:w="240" w:type="dxa"/>
              <w:bottom w:w="150" w:type="dxa"/>
              <w:right w:w="240" w:type="dxa"/>
            </w:tcMar>
            <w:vAlign w:val="center"/>
            <w:hideMark/>
          </w:tcPr>
          <w:p w14:paraId="03D1349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426.7 ± 52.3</w:t>
            </w:r>
          </w:p>
        </w:tc>
        <w:tc>
          <w:tcPr>
            <w:tcW w:w="0" w:type="auto"/>
            <w:shd w:val="clear" w:color="auto" w:fill="E7E6E6" w:themeFill="background2"/>
            <w:tcMar>
              <w:top w:w="150" w:type="dxa"/>
              <w:left w:w="240" w:type="dxa"/>
              <w:bottom w:w="150" w:type="dxa"/>
              <w:right w:w="240" w:type="dxa"/>
            </w:tcMar>
            <w:vAlign w:val="center"/>
            <w:hideMark/>
          </w:tcPr>
          <w:p w14:paraId="0BDC692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313.5 ± 92.5</w:t>
            </w:r>
          </w:p>
        </w:tc>
        <w:tc>
          <w:tcPr>
            <w:tcW w:w="0" w:type="auto"/>
            <w:shd w:val="clear" w:color="auto" w:fill="E7E6E6" w:themeFill="background2"/>
            <w:tcMar>
              <w:top w:w="150" w:type="dxa"/>
              <w:left w:w="240" w:type="dxa"/>
              <w:bottom w:w="150" w:type="dxa"/>
              <w:right w:w="240" w:type="dxa"/>
            </w:tcMar>
            <w:vAlign w:val="center"/>
            <w:hideMark/>
          </w:tcPr>
          <w:p w14:paraId="21BA587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216.3 ± 58.9</w:t>
            </w:r>
          </w:p>
        </w:tc>
        <w:tc>
          <w:tcPr>
            <w:tcW w:w="0" w:type="auto"/>
            <w:shd w:val="clear" w:color="auto" w:fill="E7E6E6" w:themeFill="background2"/>
            <w:tcMar>
              <w:top w:w="150" w:type="dxa"/>
              <w:left w:w="240" w:type="dxa"/>
              <w:bottom w:w="150" w:type="dxa"/>
              <w:right w:w="0" w:type="dxa"/>
            </w:tcMar>
            <w:vAlign w:val="center"/>
            <w:hideMark/>
          </w:tcPr>
          <w:p w14:paraId="04E033D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0B71A2" w:rsidRPr="00EF4D2F" w14:paraId="49308895" w14:textId="77777777" w:rsidTr="00CA067B">
        <w:tc>
          <w:tcPr>
            <w:tcW w:w="0" w:type="auto"/>
            <w:gridSpan w:val="5"/>
            <w:shd w:val="clear" w:color="auto" w:fill="E7E6E6" w:themeFill="background2"/>
            <w:tcMar>
              <w:top w:w="150" w:type="dxa"/>
              <w:left w:w="0" w:type="dxa"/>
              <w:bottom w:w="150" w:type="dxa"/>
              <w:right w:w="240" w:type="dxa"/>
            </w:tcMar>
            <w:vAlign w:val="center"/>
            <w:hideMark/>
          </w:tcPr>
          <w:p w14:paraId="62A403BE" w14:textId="5D127B77" w:rsidR="000B71A2" w:rsidRPr="00EF4D2F" w:rsidRDefault="000B71A2" w:rsidP="000B71A2">
            <w:pPr>
              <w:pStyle w:val="NoSpacing"/>
              <w:rPr>
                <w:rFonts w:ascii="Times New Roman" w:hAnsi="Times New Roman" w:cs="Times New Roman"/>
              </w:rPr>
            </w:pPr>
            <w:r w:rsidRPr="00EF4D2F">
              <w:rPr>
                <w:rFonts w:ascii="Times New Roman" w:hAnsi="Times New Roman" w:cs="Times New Roman"/>
              </w:rPr>
              <w:t xml:space="preserve">Iron deficient patients are significantly younger and predominantly female, with a biochemical profile of very low Ferritin/TSAT and high TIBC, which is inverted in the overload </w:t>
            </w:r>
            <w:r w:rsidR="00DE643F" w:rsidRPr="00EF4D2F">
              <w:rPr>
                <w:rFonts w:ascii="Times New Roman" w:hAnsi="Times New Roman" w:cs="Times New Roman"/>
              </w:rPr>
              <w:t>group. *</w:t>
            </w:r>
          </w:p>
        </w:tc>
      </w:tr>
    </w:tbl>
    <w:p w14:paraId="5224BA40" w14:textId="77777777" w:rsidR="000B71A2" w:rsidRPr="00EF4D2F" w:rsidRDefault="000B71A2" w:rsidP="00F50D09">
      <w:pPr>
        <w:rPr>
          <w:rFonts w:ascii="Times New Roman" w:hAnsi="Times New Roman" w:cs="Times New Roman"/>
          <w:b/>
          <w:bCs/>
        </w:rPr>
      </w:pPr>
    </w:p>
    <w:p w14:paraId="65F49FEE" w14:textId="5CF5860E" w:rsidR="00F50D09" w:rsidRPr="00EF4D2F" w:rsidRDefault="00F50D09" w:rsidP="004D151D">
      <w:pPr>
        <w:jc w:val="center"/>
        <w:rPr>
          <w:rFonts w:ascii="Times New Roman" w:hAnsi="Times New Roman" w:cs="Times New Roman"/>
        </w:rPr>
      </w:pPr>
      <w:r w:rsidRPr="00EF4D2F">
        <w:rPr>
          <w:rFonts w:ascii="Times New Roman" w:hAnsi="Times New Roman" w:cs="Times New Roman"/>
          <w:b/>
          <w:bCs/>
        </w:rPr>
        <w:t>Table 2: Post-Hoc Pairwise Comparisons of Key Biochemical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1490"/>
        <w:gridCol w:w="2063"/>
        <w:gridCol w:w="1938"/>
        <w:gridCol w:w="2306"/>
        <w:gridCol w:w="1219"/>
      </w:tblGrid>
      <w:tr w:rsidR="00F50D09" w:rsidRPr="00EF4D2F" w14:paraId="4B0E0C4E" w14:textId="77777777" w:rsidTr="00CA067B">
        <w:trPr>
          <w:tblHeader/>
        </w:trPr>
        <w:tc>
          <w:tcPr>
            <w:tcW w:w="0" w:type="auto"/>
            <w:shd w:val="clear" w:color="auto" w:fill="E7E6E6" w:themeFill="background2"/>
            <w:tcMar>
              <w:top w:w="150" w:type="dxa"/>
              <w:left w:w="0" w:type="dxa"/>
              <w:bottom w:w="150" w:type="dxa"/>
              <w:right w:w="240" w:type="dxa"/>
            </w:tcMar>
            <w:vAlign w:val="center"/>
            <w:hideMark/>
          </w:tcPr>
          <w:p w14:paraId="74A86B90"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Parameter</w:t>
            </w:r>
          </w:p>
        </w:tc>
        <w:tc>
          <w:tcPr>
            <w:tcW w:w="0" w:type="auto"/>
            <w:shd w:val="clear" w:color="auto" w:fill="E7E6E6" w:themeFill="background2"/>
            <w:tcMar>
              <w:top w:w="150" w:type="dxa"/>
              <w:left w:w="240" w:type="dxa"/>
              <w:bottom w:w="150" w:type="dxa"/>
              <w:right w:w="240" w:type="dxa"/>
            </w:tcMar>
            <w:vAlign w:val="center"/>
            <w:hideMark/>
          </w:tcPr>
          <w:p w14:paraId="7C33680C"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Compared Groups</w:t>
            </w:r>
          </w:p>
        </w:tc>
        <w:tc>
          <w:tcPr>
            <w:tcW w:w="0" w:type="auto"/>
            <w:shd w:val="clear" w:color="auto" w:fill="E7E6E6" w:themeFill="background2"/>
            <w:tcMar>
              <w:top w:w="150" w:type="dxa"/>
              <w:left w:w="240" w:type="dxa"/>
              <w:bottom w:w="150" w:type="dxa"/>
              <w:right w:w="240" w:type="dxa"/>
            </w:tcMar>
            <w:vAlign w:val="center"/>
            <w:hideMark/>
          </w:tcPr>
          <w:p w14:paraId="5B2B948F"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Mean Difference</w:t>
            </w:r>
          </w:p>
        </w:tc>
        <w:tc>
          <w:tcPr>
            <w:tcW w:w="0" w:type="auto"/>
            <w:shd w:val="clear" w:color="auto" w:fill="E7E6E6" w:themeFill="background2"/>
            <w:tcMar>
              <w:top w:w="150" w:type="dxa"/>
              <w:left w:w="240" w:type="dxa"/>
              <w:bottom w:w="150" w:type="dxa"/>
              <w:right w:w="240" w:type="dxa"/>
            </w:tcMar>
            <w:vAlign w:val="center"/>
            <w:hideMark/>
          </w:tcPr>
          <w:p w14:paraId="31EF2A0F"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95% Confidence Interval</w:t>
            </w:r>
          </w:p>
        </w:tc>
        <w:tc>
          <w:tcPr>
            <w:tcW w:w="0" w:type="auto"/>
            <w:shd w:val="clear" w:color="auto" w:fill="E7E6E6" w:themeFill="background2"/>
            <w:tcMar>
              <w:top w:w="150" w:type="dxa"/>
              <w:left w:w="240" w:type="dxa"/>
              <w:bottom w:w="150" w:type="dxa"/>
              <w:right w:w="240" w:type="dxa"/>
            </w:tcMar>
            <w:vAlign w:val="center"/>
            <w:hideMark/>
          </w:tcPr>
          <w:p w14:paraId="3F2D61CF"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p-value</w:t>
            </w:r>
          </w:p>
        </w:tc>
      </w:tr>
      <w:tr w:rsidR="00F50D09" w:rsidRPr="00EF4D2F" w14:paraId="0C7494FE" w14:textId="77777777" w:rsidTr="00CA067B">
        <w:tc>
          <w:tcPr>
            <w:tcW w:w="0" w:type="auto"/>
            <w:shd w:val="clear" w:color="auto" w:fill="E7E6E6" w:themeFill="background2"/>
            <w:tcMar>
              <w:top w:w="150" w:type="dxa"/>
              <w:left w:w="0" w:type="dxa"/>
              <w:bottom w:w="150" w:type="dxa"/>
              <w:right w:w="240" w:type="dxa"/>
            </w:tcMar>
            <w:vAlign w:val="center"/>
            <w:hideMark/>
          </w:tcPr>
          <w:p w14:paraId="74FAD876"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Ferritin</w:t>
            </w:r>
          </w:p>
        </w:tc>
        <w:tc>
          <w:tcPr>
            <w:tcW w:w="0" w:type="auto"/>
            <w:shd w:val="clear" w:color="auto" w:fill="E7E6E6" w:themeFill="background2"/>
            <w:tcMar>
              <w:top w:w="150" w:type="dxa"/>
              <w:left w:w="240" w:type="dxa"/>
              <w:bottom w:w="150" w:type="dxa"/>
              <w:right w:w="240" w:type="dxa"/>
            </w:tcMar>
            <w:vAlign w:val="center"/>
            <w:hideMark/>
          </w:tcPr>
          <w:p w14:paraId="564F15A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Normal</w:t>
            </w:r>
          </w:p>
        </w:tc>
        <w:tc>
          <w:tcPr>
            <w:tcW w:w="0" w:type="auto"/>
            <w:shd w:val="clear" w:color="auto" w:fill="E7E6E6" w:themeFill="background2"/>
            <w:tcMar>
              <w:top w:w="150" w:type="dxa"/>
              <w:left w:w="240" w:type="dxa"/>
              <w:bottom w:w="150" w:type="dxa"/>
              <w:right w:w="240" w:type="dxa"/>
            </w:tcMar>
            <w:vAlign w:val="center"/>
            <w:hideMark/>
          </w:tcPr>
          <w:p w14:paraId="32FFCD4A"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-113.5</w:t>
            </w:r>
          </w:p>
        </w:tc>
        <w:tc>
          <w:tcPr>
            <w:tcW w:w="0" w:type="auto"/>
            <w:shd w:val="clear" w:color="auto" w:fill="E7E6E6" w:themeFill="background2"/>
            <w:tcMar>
              <w:top w:w="150" w:type="dxa"/>
              <w:left w:w="240" w:type="dxa"/>
              <w:bottom w:w="150" w:type="dxa"/>
              <w:right w:w="240" w:type="dxa"/>
            </w:tcMar>
            <w:vAlign w:val="center"/>
            <w:hideMark/>
          </w:tcPr>
          <w:p w14:paraId="1A736D3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[-205.1, -21.9]</w:t>
            </w:r>
          </w:p>
        </w:tc>
        <w:tc>
          <w:tcPr>
            <w:tcW w:w="0" w:type="auto"/>
            <w:shd w:val="clear" w:color="auto" w:fill="E7E6E6" w:themeFill="background2"/>
            <w:tcMar>
              <w:top w:w="150" w:type="dxa"/>
              <w:left w:w="240" w:type="dxa"/>
              <w:bottom w:w="150" w:type="dxa"/>
              <w:right w:w="0" w:type="dxa"/>
            </w:tcMar>
            <w:vAlign w:val="center"/>
            <w:hideMark/>
          </w:tcPr>
          <w:p w14:paraId="5932C9CD"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0.010</w:t>
            </w:r>
          </w:p>
        </w:tc>
      </w:tr>
      <w:tr w:rsidR="00F50D09" w:rsidRPr="00EF4D2F" w14:paraId="19CC2AC1" w14:textId="77777777" w:rsidTr="00CA067B">
        <w:tc>
          <w:tcPr>
            <w:tcW w:w="0" w:type="auto"/>
            <w:shd w:val="clear" w:color="auto" w:fill="E7E6E6" w:themeFill="background2"/>
            <w:tcMar>
              <w:top w:w="150" w:type="dxa"/>
              <w:left w:w="0" w:type="dxa"/>
              <w:bottom w:w="150" w:type="dxa"/>
              <w:right w:w="240" w:type="dxa"/>
            </w:tcMar>
            <w:vAlign w:val="center"/>
            <w:hideMark/>
          </w:tcPr>
          <w:p w14:paraId="6F848DBE"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4B3E9813"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Overload</w:t>
            </w:r>
          </w:p>
        </w:tc>
        <w:tc>
          <w:tcPr>
            <w:tcW w:w="0" w:type="auto"/>
            <w:shd w:val="clear" w:color="auto" w:fill="E7E6E6" w:themeFill="background2"/>
            <w:tcMar>
              <w:top w:w="150" w:type="dxa"/>
              <w:left w:w="240" w:type="dxa"/>
              <w:bottom w:w="150" w:type="dxa"/>
              <w:right w:w="240" w:type="dxa"/>
            </w:tcMar>
            <w:vAlign w:val="center"/>
            <w:hideMark/>
          </w:tcPr>
          <w:p w14:paraId="3B5CFA07"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-699.9</w:t>
            </w:r>
          </w:p>
        </w:tc>
        <w:tc>
          <w:tcPr>
            <w:tcW w:w="0" w:type="auto"/>
            <w:shd w:val="clear" w:color="auto" w:fill="E7E6E6" w:themeFill="background2"/>
            <w:tcMar>
              <w:top w:w="150" w:type="dxa"/>
              <w:left w:w="240" w:type="dxa"/>
              <w:bottom w:w="150" w:type="dxa"/>
              <w:right w:w="240" w:type="dxa"/>
            </w:tcMar>
            <w:vAlign w:val="center"/>
            <w:hideMark/>
          </w:tcPr>
          <w:p w14:paraId="78F0B24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[-818.7, -581.1]</w:t>
            </w:r>
          </w:p>
        </w:tc>
        <w:tc>
          <w:tcPr>
            <w:tcW w:w="0" w:type="auto"/>
            <w:shd w:val="clear" w:color="auto" w:fill="E7E6E6" w:themeFill="background2"/>
            <w:tcMar>
              <w:top w:w="150" w:type="dxa"/>
              <w:left w:w="240" w:type="dxa"/>
              <w:bottom w:w="150" w:type="dxa"/>
              <w:right w:w="0" w:type="dxa"/>
            </w:tcMar>
            <w:vAlign w:val="center"/>
            <w:hideMark/>
          </w:tcPr>
          <w:p w14:paraId="44F583C0"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3353283E" w14:textId="77777777" w:rsidTr="00CA067B">
        <w:tc>
          <w:tcPr>
            <w:tcW w:w="0" w:type="auto"/>
            <w:shd w:val="clear" w:color="auto" w:fill="E7E6E6" w:themeFill="background2"/>
            <w:tcMar>
              <w:top w:w="150" w:type="dxa"/>
              <w:left w:w="0" w:type="dxa"/>
              <w:bottom w:w="150" w:type="dxa"/>
              <w:right w:w="240" w:type="dxa"/>
            </w:tcMar>
            <w:vAlign w:val="center"/>
            <w:hideMark/>
          </w:tcPr>
          <w:p w14:paraId="4890E4F6"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79AC89B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Normal vs. Overload</w:t>
            </w:r>
          </w:p>
        </w:tc>
        <w:tc>
          <w:tcPr>
            <w:tcW w:w="0" w:type="auto"/>
            <w:shd w:val="clear" w:color="auto" w:fill="E7E6E6" w:themeFill="background2"/>
            <w:tcMar>
              <w:top w:w="150" w:type="dxa"/>
              <w:left w:w="240" w:type="dxa"/>
              <w:bottom w:w="150" w:type="dxa"/>
              <w:right w:w="240" w:type="dxa"/>
            </w:tcMar>
            <w:vAlign w:val="center"/>
            <w:hideMark/>
          </w:tcPr>
          <w:p w14:paraId="6B2BC483"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-586.4</w:t>
            </w:r>
          </w:p>
        </w:tc>
        <w:tc>
          <w:tcPr>
            <w:tcW w:w="0" w:type="auto"/>
            <w:shd w:val="clear" w:color="auto" w:fill="E7E6E6" w:themeFill="background2"/>
            <w:tcMar>
              <w:top w:w="150" w:type="dxa"/>
              <w:left w:w="240" w:type="dxa"/>
              <w:bottom w:w="150" w:type="dxa"/>
              <w:right w:w="240" w:type="dxa"/>
            </w:tcMar>
            <w:vAlign w:val="center"/>
            <w:hideMark/>
          </w:tcPr>
          <w:p w14:paraId="091EB4D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[-692.1, -480.7]</w:t>
            </w:r>
          </w:p>
        </w:tc>
        <w:tc>
          <w:tcPr>
            <w:tcW w:w="0" w:type="auto"/>
            <w:shd w:val="clear" w:color="auto" w:fill="E7E6E6" w:themeFill="background2"/>
            <w:tcMar>
              <w:top w:w="150" w:type="dxa"/>
              <w:left w:w="240" w:type="dxa"/>
              <w:bottom w:w="150" w:type="dxa"/>
              <w:right w:w="0" w:type="dxa"/>
            </w:tcMar>
            <w:vAlign w:val="center"/>
            <w:hideMark/>
          </w:tcPr>
          <w:p w14:paraId="7A0BD76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1396BCC9" w14:textId="77777777" w:rsidTr="00CA067B">
        <w:tc>
          <w:tcPr>
            <w:tcW w:w="0" w:type="auto"/>
            <w:shd w:val="clear" w:color="auto" w:fill="E7E6E6" w:themeFill="background2"/>
            <w:tcMar>
              <w:top w:w="150" w:type="dxa"/>
              <w:left w:w="0" w:type="dxa"/>
              <w:bottom w:w="150" w:type="dxa"/>
              <w:right w:w="240" w:type="dxa"/>
            </w:tcMar>
            <w:vAlign w:val="center"/>
            <w:hideMark/>
          </w:tcPr>
          <w:p w14:paraId="183B916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TSAT</w:t>
            </w:r>
          </w:p>
        </w:tc>
        <w:tc>
          <w:tcPr>
            <w:tcW w:w="0" w:type="auto"/>
            <w:shd w:val="clear" w:color="auto" w:fill="E7E6E6" w:themeFill="background2"/>
            <w:tcMar>
              <w:top w:w="150" w:type="dxa"/>
              <w:left w:w="240" w:type="dxa"/>
              <w:bottom w:w="150" w:type="dxa"/>
              <w:right w:w="240" w:type="dxa"/>
            </w:tcMar>
            <w:vAlign w:val="center"/>
            <w:hideMark/>
          </w:tcPr>
          <w:p w14:paraId="40456C0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Normal</w:t>
            </w:r>
          </w:p>
        </w:tc>
        <w:tc>
          <w:tcPr>
            <w:tcW w:w="0" w:type="auto"/>
            <w:shd w:val="clear" w:color="auto" w:fill="E7E6E6" w:themeFill="background2"/>
            <w:tcMar>
              <w:top w:w="150" w:type="dxa"/>
              <w:left w:w="240" w:type="dxa"/>
              <w:bottom w:w="150" w:type="dxa"/>
              <w:right w:w="240" w:type="dxa"/>
            </w:tcMar>
            <w:vAlign w:val="center"/>
            <w:hideMark/>
          </w:tcPr>
          <w:p w14:paraId="424DA24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-14.0</w:t>
            </w:r>
          </w:p>
        </w:tc>
        <w:tc>
          <w:tcPr>
            <w:tcW w:w="0" w:type="auto"/>
            <w:shd w:val="clear" w:color="auto" w:fill="E7E6E6" w:themeFill="background2"/>
            <w:tcMar>
              <w:top w:w="150" w:type="dxa"/>
              <w:left w:w="240" w:type="dxa"/>
              <w:bottom w:w="150" w:type="dxa"/>
              <w:right w:w="240" w:type="dxa"/>
            </w:tcMar>
            <w:vAlign w:val="center"/>
            <w:hideMark/>
          </w:tcPr>
          <w:p w14:paraId="3756786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[-21.4, -6.6]</w:t>
            </w:r>
          </w:p>
        </w:tc>
        <w:tc>
          <w:tcPr>
            <w:tcW w:w="0" w:type="auto"/>
            <w:shd w:val="clear" w:color="auto" w:fill="E7E6E6" w:themeFill="background2"/>
            <w:tcMar>
              <w:top w:w="150" w:type="dxa"/>
              <w:left w:w="240" w:type="dxa"/>
              <w:bottom w:w="150" w:type="dxa"/>
              <w:right w:w="0" w:type="dxa"/>
            </w:tcMar>
            <w:vAlign w:val="center"/>
            <w:hideMark/>
          </w:tcPr>
          <w:p w14:paraId="0B5694CA"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023B3952" w14:textId="77777777" w:rsidTr="00CA067B">
        <w:tc>
          <w:tcPr>
            <w:tcW w:w="0" w:type="auto"/>
            <w:shd w:val="clear" w:color="auto" w:fill="E7E6E6" w:themeFill="background2"/>
            <w:tcMar>
              <w:top w:w="150" w:type="dxa"/>
              <w:left w:w="0" w:type="dxa"/>
              <w:bottom w:w="150" w:type="dxa"/>
              <w:right w:w="240" w:type="dxa"/>
            </w:tcMar>
            <w:vAlign w:val="center"/>
            <w:hideMark/>
          </w:tcPr>
          <w:p w14:paraId="18D535BA"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467AD7B8"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Overload</w:t>
            </w:r>
          </w:p>
        </w:tc>
        <w:tc>
          <w:tcPr>
            <w:tcW w:w="0" w:type="auto"/>
            <w:shd w:val="clear" w:color="auto" w:fill="E7E6E6" w:themeFill="background2"/>
            <w:tcMar>
              <w:top w:w="150" w:type="dxa"/>
              <w:left w:w="240" w:type="dxa"/>
              <w:bottom w:w="150" w:type="dxa"/>
              <w:right w:w="240" w:type="dxa"/>
            </w:tcMar>
            <w:vAlign w:val="center"/>
            <w:hideMark/>
          </w:tcPr>
          <w:p w14:paraId="71B27BB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-45.1</w:t>
            </w:r>
          </w:p>
        </w:tc>
        <w:tc>
          <w:tcPr>
            <w:tcW w:w="0" w:type="auto"/>
            <w:shd w:val="clear" w:color="auto" w:fill="E7E6E6" w:themeFill="background2"/>
            <w:tcMar>
              <w:top w:w="150" w:type="dxa"/>
              <w:left w:w="240" w:type="dxa"/>
              <w:bottom w:w="150" w:type="dxa"/>
              <w:right w:w="240" w:type="dxa"/>
            </w:tcMar>
            <w:vAlign w:val="center"/>
            <w:hideMark/>
          </w:tcPr>
          <w:p w14:paraId="67402AF0"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[-55.5, -34.7]</w:t>
            </w:r>
          </w:p>
        </w:tc>
        <w:tc>
          <w:tcPr>
            <w:tcW w:w="0" w:type="auto"/>
            <w:shd w:val="clear" w:color="auto" w:fill="E7E6E6" w:themeFill="background2"/>
            <w:tcMar>
              <w:top w:w="150" w:type="dxa"/>
              <w:left w:w="240" w:type="dxa"/>
              <w:bottom w:w="150" w:type="dxa"/>
              <w:right w:w="0" w:type="dxa"/>
            </w:tcMar>
            <w:vAlign w:val="center"/>
            <w:hideMark/>
          </w:tcPr>
          <w:p w14:paraId="23BC19E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62E33927" w14:textId="77777777" w:rsidTr="00CA067B">
        <w:tc>
          <w:tcPr>
            <w:tcW w:w="0" w:type="auto"/>
            <w:shd w:val="clear" w:color="auto" w:fill="E7E6E6" w:themeFill="background2"/>
            <w:tcMar>
              <w:top w:w="150" w:type="dxa"/>
              <w:left w:w="0" w:type="dxa"/>
              <w:bottom w:w="150" w:type="dxa"/>
              <w:right w:w="240" w:type="dxa"/>
            </w:tcMar>
            <w:vAlign w:val="center"/>
            <w:hideMark/>
          </w:tcPr>
          <w:p w14:paraId="3512B650"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29E8E56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Normal vs. Overload</w:t>
            </w:r>
          </w:p>
        </w:tc>
        <w:tc>
          <w:tcPr>
            <w:tcW w:w="0" w:type="auto"/>
            <w:shd w:val="clear" w:color="auto" w:fill="E7E6E6" w:themeFill="background2"/>
            <w:tcMar>
              <w:top w:w="150" w:type="dxa"/>
              <w:left w:w="240" w:type="dxa"/>
              <w:bottom w:w="150" w:type="dxa"/>
              <w:right w:w="240" w:type="dxa"/>
            </w:tcMar>
            <w:vAlign w:val="center"/>
            <w:hideMark/>
          </w:tcPr>
          <w:p w14:paraId="66B5255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-31.1</w:t>
            </w:r>
          </w:p>
        </w:tc>
        <w:tc>
          <w:tcPr>
            <w:tcW w:w="0" w:type="auto"/>
            <w:shd w:val="clear" w:color="auto" w:fill="E7E6E6" w:themeFill="background2"/>
            <w:tcMar>
              <w:top w:w="150" w:type="dxa"/>
              <w:left w:w="240" w:type="dxa"/>
              <w:bottom w:w="150" w:type="dxa"/>
              <w:right w:w="240" w:type="dxa"/>
            </w:tcMar>
            <w:vAlign w:val="center"/>
            <w:hideMark/>
          </w:tcPr>
          <w:p w14:paraId="4E673A2D"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[-40.1, -22.1]</w:t>
            </w:r>
          </w:p>
        </w:tc>
        <w:tc>
          <w:tcPr>
            <w:tcW w:w="0" w:type="auto"/>
            <w:shd w:val="clear" w:color="auto" w:fill="E7E6E6" w:themeFill="background2"/>
            <w:tcMar>
              <w:top w:w="150" w:type="dxa"/>
              <w:left w:w="240" w:type="dxa"/>
              <w:bottom w:w="150" w:type="dxa"/>
              <w:right w:w="0" w:type="dxa"/>
            </w:tcMar>
            <w:vAlign w:val="center"/>
            <w:hideMark/>
          </w:tcPr>
          <w:p w14:paraId="692F9E9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05E04044" w14:textId="77777777" w:rsidTr="00CA067B">
        <w:tc>
          <w:tcPr>
            <w:tcW w:w="0" w:type="auto"/>
            <w:shd w:val="clear" w:color="auto" w:fill="E7E6E6" w:themeFill="background2"/>
            <w:tcMar>
              <w:top w:w="150" w:type="dxa"/>
              <w:left w:w="0" w:type="dxa"/>
              <w:bottom w:w="150" w:type="dxa"/>
              <w:right w:w="240" w:type="dxa"/>
            </w:tcMar>
            <w:vAlign w:val="center"/>
            <w:hideMark/>
          </w:tcPr>
          <w:p w14:paraId="42147F8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TIBC</w:t>
            </w:r>
          </w:p>
        </w:tc>
        <w:tc>
          <w:tcPr>
            <w:tcW w:w="0" w:type="auto"/>
            <w:shd w:val="clear" w:color="auto" w:fill="E7E6E6" w:themeFill="background2"/>
            <w:tcMar>
              <w:top w:w="150" w:type="dxa"/>
              <w:left w:w="240" w:type="dxa"/>
              <w:bottom w:w="150" w:type="dxa"/>
              <w:right w:w="240" w:type="dxa"/>
            </w:tcMar>
            <w:vAlign w:val="center"/>
            <w:hideMark/>
          </w:tcPr>
          <w:p w14:paraId="276C7F1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Normal</w:t>
            </w:r>
          </w:p>
        </w:tc>
        <w:tc>
          <w:tcPr>
            <w:tcW w:w="0" w:type="auto"/>
            <w:shd w:val="clear" w:color="auto" w:fill="E7E6E6" w:themeFill="background2"/>
            <w:tcMar>
              <w:top w:w="150" w:type="dxa"/>
              <w:left w:w="240" w:type="dxa"/>
              <w:bottom w:w="150" w:type="dxa"/>
              <w:right w:w="240" w:type="dxa"/>
            </w:tcMar>
            <w:vAlign w:val="center"/>
            <w:hideMark/>
          </w:tcPr>
          <w:p w14:paraId="085529B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113.2</w:t>
            </w:r>
          </w:p>
        </w:tc>
        <w:tc>
          <w:tcPr>
            <w:tcW w:w="0" w:type="auto"/>
            <w:shd w:val="clear" w:color="auto" w:fill="E7E6E6" w:themeFill="background2"/>
            <w:tcMar>
              <w:top w:w="150" w:type="dxa"/>
              <w:left w:w="240" w:type="dxa"/>
              <w:bottom w:w="150" w:type="dxa"/>
              <w:right w:w="240" w:type="dxa"/>
            </w:tcMar>
            <w:vAlign w:val="center"/>
            <w:hideMark/>
          </w:tcPr>
          <w:p w14:paraId="462D40F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[74.8, 151.6]</w:t>
            </w:r>
          </w:p>
        </w:tc>
        <w:tc>
          <w:tcPr>
            <w:tcW w:w="0" w:type="auto"/>
            <w:shd w:val="clear" w:color="auto" w:fill="E7E6E6" w:themeFill="background2"/>
            <w:tcMar>
              <w:top w:w="150" w:type="dxa"/>
              <w:left w:w="240" w:type="dxa"/>
              <w:bottom w:w="150" w:type="dxa"/>
              <w:right w:w="0" w:type="dxa"/>
            </w:tcMar>
            <w:vAlign w:val="center"/>
            <w:hideMark/>
          </w:tcPr>
          <w:p w14:paraId="51214EFE"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540B5B63" w14:textId="77777777" w:rsidTr="00CA067B">
        <w:tc>
          <w:tcPr>
            <w:tcW w:w="0" w:type="auto"/>
            <w:shd w:val="clear" w:color="auto" w:fill="E7E6E6" w:themeFill="background2"/>
            <w:tcMar>
              <w:top w:w="150" w:type="dxa"/>
              <w:left w:w="0" w:type="dxa"/>
              <w:bottom w:w="150" w:type="dxa"/>
              <w:right w:w="240" w:type="dxa"/>
            </w:tcMar>
            <w:vAlign w:val="center"/>
            <w:hideMark/>
          </w:tcPr>
          <w:p w14:paraId="070E29F4"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456C206D"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Overload</w:t>
            </w:r>
          </w:p>
        </w:tc>
        <w:tc>
          <w:tcPr>
            <w:tcW w:w="0" w:type="auto"/>
            <w:shd w:val="clear" w:color="auto" w:fill="E7E6E6" w:themeFill="background2"/>
            <w:tcMar>
              <w:top w:w="150" w:type="dxa"/>
              <w:left w:w="240" w:type="dxa"/>
              <w:bottom w:w="150" w:type="dxa"/>
              <w:right w:w="240" w:type="dxa"/>
            </w:tcMar>
            <w:vAlign w:val="center"/>
            <w:hideMark/>
          </w:tcPr>
          <w:p w14:paraId="6024C49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210.4</w:t>
            </w:r>
          </w:p>
        </w:tc>
        <w:tc>
          <w:tcPr>
            <w:tcW w:w="0" w:type="auto"/>
            <w:shd w:val="clear" w:color="auto" w:fill="E7E6E6" w:themeFill="background2"/>
            <w:tcMar>
              <w:top w:w="150" w:type="dxa"/>
              <w:left w:w="240" w:type="dxa"/>
              <w:bottom w:w="150" w:type="dxa"/>
              <w:right w:w="240" w:type="dxa"/>
            </w:tcMar>
            <w:vAlign w:val="center"/>
            <w:hideMark/>
          </w:tcPr>
          <w:p w14:paraId="7D96001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[159.3, 261.5]</w:t>
            </w:r>
          </w:p>
        </w:tc>
        <w:tc>
          <w:tcPr>
            <w:tcW w:w="0" w:type="auto"/>
            <w:shd w:val="clear" w:color="auto" w:fill="E7E6E6" w:themeFill="background2"/>
            <w:tcMar>
              <w:top w:w="150" w:type="dxa"/>
              <w:left w:w="240" w:type="dxa"/>
              <w:bottom w:w="150" w:type="dxa"/>
              <w:right w:w="0" w:type="dxa"/>
            </w:tcMar>
            <w:vAlign w:val="center"/>
            <w:hideMark/>
          </w:tcPr>
          <w:p w14:paraId="7E8F21A9"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61F99055" w14:textId="77777777" w:rsidTr="00CA067B">
        <w:tc>
          <w:tcPr>
            <w:tcW w:w="0" w:type="auto"/>
            <w:shd w:val="clear" w:color="auto" w:fill="E7E6E6" w:themeFill="background2"/>
            <w:tcMar>
              <w:top w:w="150" w:type="dxa"/>
              <w:left w:w="0" w:type="dxa"/>
              <w:bottom w:w="150" w:type="dxa"/>
              <w:right w:w="240" w:type="dxa"/>
            </w:tcMar>
            <w:vAlign w:val="center"/>
            <w:hideMark/>
          </w:tcPr>
          <w:p w14:paraId="52BDBCB4"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53FD3A2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Normal vs. Overload</w:t>
            </w:r>
          </w:p>
        </w:tc>
        <w:tc>
          <w:tcPr>
            <w:tcW w:w="0" w:type="auto"/>
            <w:shd w:val="clear" w:color="auto" w:fill="E7E6E6" w:themeFill="background2"/>
            <w:tcMar>
              <w:top w:w="150" w:type="dxa"/>
              <w:left w:w="240" w:type="dxa"/>
              <w:bottom w:w="150" w:type="dxa"/>
              <w:right w:w="240" w:type="dxa"/>
            </w:tcMar>
            <w:vAlign w:val="center"/>
            <w:hideMark/>
          </w:tcPr>
          <w:p w14:paraId="34ABDDAE"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97.2</w:t>
            </w:r>
          </w:p>
        </w:tc>
        <w:tc>
          <w:tcPr>
            <w:tcW w:w="0" w:type="auto"/>
            <w:shd w:val="clear" w:color="auto" w:fill="E7E6E6" w:themeFill="background2"/>
            <w:tcMar>
              <w:top w:w="150" w:type="dxa"/>
              <w:left w:w="240" w:type="dxa"/>
              <w:bottom w:w="150" w:type="dxa"/>
              <w:right w:w="240" w:type="dxa"/>
            </w:tcMar>
            <w:vAlign w:val="center"/>
            <w:hideMark/>
          </w:tcPr>
          <w:p w14:paraId="40641FF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[51.9, 142.5]</w:t>
            </w:r>
          </w:p>
        </w:tc>
        <w:tc>
          <w:tcPr>
            <w:tcW w:w="0" w:type="auto"/>
            <w:shd w:val="clear" w:color="auto" w:fill="E7E6E6" w:themeFill="background2"/>
            <w:tcMar>
              <w:top w:w="150" w:type="dxa"/>
              <w:left w:w="240" w:type="dxa"/>
              <w:bottom w:w="150" w:type="dxa"/>
              <w:right w:w="0" w:type="dxa"/>
            </w:tcMar>
            <w:vAlign w:val="center"/>
            <w:hideMark/>
          </w:tcPr>
          <w:p w14:paraId="5C2A688B"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0B71A2" w:rsidRPr="00EF4D2F" w14:paraId="4523EC51" w14:textId="77777777" w:rsidTr="00CA067B">
        <w:tc>
          <w:tcPr>
            <w:tcW w:w="0" w:type="auto"/>
            <w:gridSpan w:val="5"/>
            <w:shd w:val="clear" w:color="auto" w:fill="E7E6E6" w:themeFill="background2"/>
            <w:tcMar>
              <w:top w:w="150" w:type="dxa"/>
              <w:left w:w="0" w:type="dxa"/>
              <w:bottom w:w="150" w:type="dxa"/>
              <w:right w:w="240" w:type="dxa"/>
            </w:tcMar>
            <w:vAlign w:val="center"/>
            <w:hideMark/>
          </w:tcPr>
          <w:p w14:paraId="2B465B29" w14:textId="798ACE1F" w:rsidR="000B71A2" w:rsidRPr="00EF4D2F" w:rsidRDefault="000B71A2" w:rsidP="000B71A2">
            <w:pPr>
              <w:pStyle w:val="NoSpacing"/>
              <w:rPr>
                <w:rFonts w:ascii="Times New Roman" w:hAnsi="Times New Roman" w:cs="Times New Roman"/>
              </w:rPr>
            </w:pPr>
            <w:r w:rsidRPr="00EF4D2F">
              <w:rPr>
                <w:rFonts w:ascii="Times New Roman" w:hAnsi="Times New Roman" w:cs="Times New Roman"/>
                <w:i/>
                <w:iCs/>
              </w:rPr>
              <w:t>All three iron status groups are biochemically distinct from each other, with the largest differences observed between the iron deficiency and iron overload extremes.</w:t>
            </w:r>
          </w:p>
        </w:tc>
      </w:tr>
    </w:tbl>
    <w:p w14:paraId="52BCD7EE" w14:textId="77777777" w:rsidR="000B71A2" w:rsidRPr="00EF4D2F" w:rsidRDefault="000B71A2" w:rsidP="00F50D09">
      <w:pPr>
        <w:rPr>
          <w:rFonts w:ascii="Times New Roman" w:hAnsi="Times New Roman" w:cs="Times New Roman"/>
          <w:b/>
          <w:bCs/>
        </w:rPr>
      </w:pPr>
    </w:p>
    <w:p w14:paraId="0E2DB0A7" w14:textId="7C909BFB" w:rsidR="00F50D09" w:rsidRPr="00EF4D2F" w:rsidRDefault="00F50D09" w:rsidP="004D151D">
      <w:pPr>
        <w:jc w:val="center"/>
        <w:rPr>
          <w:rFonts w:ascii="Times New Roman" w:hAnsi="Times New Roman" w:cs="Times New Roman"/>
        </w:rPr>
      </w:pPr>
      <w:r w:rsidRPr="00EF4D2F">
        <w:rPr>
          <w:rFonts w:ascii="Times New Roman" w:hAnsi="Times New Roman" w:cs="Times New Roman"/>
          <w:b/>
          <w:bCs/>
        </w:rPr>
        <w:t>Table 3: Multivariable Logistic Regression for Predictors of Iron Deficiency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2508"/>
        <w:gridCol w:w="3004"/>
        <w:gridCol w:w="2076"/>
        <w:gridCol w:w="1428"/>
      </w:tblGrid>
      <w:tr w:rsidR="00F50D09" w:rsidRPr="00EF4D2F" w14:paraId="3C065AB8" w14:textId="77777777" w:rsidTr="00CA067B">
        <w:trPr>
          <w:tblHeader/>
        </w:trPr>
        <w:tc>
          <w:tcPr>
            <w:tcW w:w="0" w:type="auto"/>
            <w:shd w:val="clear" w:color="auto" w:fill="E7E6E6" w:themeFill="background2"/>
            <w:tcMar>
              <w:top w:w="150" w:type="dxa"/>
              <w:left w:w="0" w:type="dxa"/>
              <w:bottom w:w="150" w:type="dxa"/>
              <w:right w:w="240" w:type="dxa"/>
            </w:tcMar>
            <w:vAlign w:val="center"/>
            <w:hideMark/>
          </w:tcPr>
          <w:p w14:paraId="09DEA640"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Predictor</w:t>
            </w:r>
          </w:p>
        </w:tc>
        <w:tc>
          <w:tcPr>
            <w:tcW w:w="0" w:type="auto"/>
            <w:shd w:val="clear" w:color="auto" w:fill="E7E6E6" w:themeFill="background2"/>
            <w:tcMar>
              <w:top w:w="150" w:type="dxa"/>
              <w:left w:w="240" w:type="dxa"/>
              <w:bottom w:w="150" w:type="dxa"/>
              <w:right w:w="240" w:type="dxa"/>
            </w:tcMar>
            <w:vAlign w:val="center"/>
            <w:hideMark/>
          </w:tcPr>
          <w:p w14:paraId="3D9CA5D7"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Adjusted Odds Ratio (</w:t>
            </w:r>
            <w:proofErr w:type="spellStart"/>
            <w:r w:rsidRPr="00EF4D2F">
              <w:rPr>
                <w:rFonts w:ascii="Times New Roman" w:hAnsi="Times New Roman" w:cs="Times New Roman"/>
                <w:b/>
                <w:bCs/>
              </w:rPr>
              <w:t>aOR</w:t>
            </w:r>
            <w:proofErr w:type="spellEnd"/>
            <w:r w:rsidRPr="00EF4D2F">
              <w:rPr>
                <w:rFonts w:ascii="Times New Roman" w:hAnsi="Times New Roman" w:cs="Times New Roman"/>
                <w:b/>
                <w:bCs/>
              </w:rPr>
              <w:t>)</w:t>
            </w:r>
          </w:p>
        </w:tc>
        <w:tc>
          <w:tcPr>
            <w:tcW w:w="0" w:type="auto"/>
            <w:shd w:val="clear" w:color="auto" w:fill="E7E6E6" w:themeFill="background2"/>
            <w:tcMar>
              <w:top w:w="150" w:type="dxa"/>
              <w:left w:w="240" w:type="dxa"/>
              <w:bottom w:w="150" w:type="dxa"/>
              <w:right w:w="240" w:type="dxa"/>
            </w:tcMar>
            <w:vAlign w:val="center"/>
            <w:hideMark/>
          </w:tcPr>
          <w:p w14:paraId="3D92F29C"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 xml:space="preserve">95% CI for </w:t>
            </w:r>
            <w:proofErr w:type="spellStart"/>
            <w:r w:rsidRPr="00EF4D2F">
              <w:rPr>
                <w:rFonts w:ascii="Times New Roman" w:hAnsi="Times New Roman" w:cs="Times New Roman"/>
                <w:b/>
                <w:bCs/>
              </w:rPr>
              <w:t>aOR</w:t>
            </w:r>
            <w:proofErr w:type="spellEnd"/>
          </w:p>
        </w:tc>
        <w:tc>
          <w:tcPr>
            <w:tcW w:w="0" w:type="auto"/>
            <w:shd w:val="clear" w:color="auto" w:fill="E7E6E6" w:themeFill="background2"/>
            <w:tcMar>
              <w:top w:w="150" w:type="dxa"/>
              <w:left w:w="240" w:type="dxa"/>
              <w:bottom w:w="150" w:type="dxa"/>
              <w:right w:w="240" w:type="dxa"/>
            </w:tcMar>
            <w:vAlign w:val="center"/>
            <w:hideMark/>
          </w:tcPr>
          <w:p w14:paraId="49722BC7"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p-value</w:t>
            </w:r>
          </w:p>
        </w:tc>
      </w:tr>
      <w:tr w:rsidR="00F50D09" w:rsidRPr="00EF4D2F" w14:paraId="148ED806" w14:textId="77777777" w:rsidTr="00CA067B">
        <w:tc>
          <w:tcPr>
            <w:tcW w:w="0" w:type="auto"/>
            <w:shd w:val="clear" w:color="auto" w:fill="E7E6E6" w:themeFill="background2"/>
            <w:tcMar>
              <w:top w:w="150" w:type="dxa"/>
              <w:left w:w="0" w:type="dxa"/>
              <w:bottom w:w="150" w:type="dxa"/>
              <w:right w:w="240" w:type="dxa"/>
            </w:tcMar>
            <w:vAlign w:val="center"/>
            <w:hideMark/>
          </w:tcPr>
          <w:p w14:paraId="5AD30E1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Age (per year increase)</w:t>
            </w:r>
          </w:p>
        </w:tc>
        <w:tc>
          <w:tcPr>
            <w:tcW w:w="0" w:type="auto"/>
            <w:shd w:val="clear" w:color="auto" w:fill="E7E6E6" w:themeFill="background2"/>
            <w:tcMar>
              <w:top w:w="150" w:type="dxa"/>
              <w:left w:w="240" w:type="dxa"/>
              <w:bottom w:w="150" w:type="dxa"/>
              <w:right w:w="240" w:type="dxa"/>
            </w:tcMar>
            <w:vAlign w:val="center"/>
            <w:hideMark/>
          </w:tcPr>
          <w:p w14:paraId="6DD1ADD3"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0.96</w:t>
            </w:r>
          </w:p>
        </w:tc>
        <w:tc>
          <w:tcPr>
            <w:tcW w:w="0" w:type="auto"/>
            <w:shd w:val="clear" w:color="auto" w:fill="E7E6E6" w:themeFill="background2"/>
            <w:tcMar>
              <w:top w:w="150" w:type="dxa"/>
              <w:left w:w="240" w:type="dxa"/>
              <w:bottom w:w="150" w:type="dxa"/>
              <w:right w:w="240" w:type="dxa"/>
            </w:tcMar>
            <w:vAlign w:val="center"/>
            <w:hideMark/>
          </w:tcPr>
          <w:p w14:paraId="20066D7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[0.93, 0.99]</w:t>
            </w:r>
          </w:p>
        </w:tc>
        <w:tc>
          <w:tcPr>
            <w:tcW w:w="0" w:type="auto"/>
            <w:shd w:val="clear" w:color="auto" w:fill="E7E6E6" w:themeFill="background2"/>
            <w:tcMar>
              <w:top w:w="150" w:type="dxa"/>
              <w:left w:w="240" w:type="dxa"/>
              <w:bottom w:w="150" w:type="dxa"/>
              <w:right w:w="0" w:type="dxa"/>
            </w:tcMar>
            <w:vAlign w:val="center"/>
            <w:hideMark/>
          </w:tcPr>
          <w:p w14:paraId="31A1503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0.028</w:t>
            </w:r>
          </w:p>
        </w:tc>
      </w:tr>
      <w:tr w:rsidR="00F50D09" w:rsidRPr="00EF4D2F" w14:paraId="3871B30F" w14:textId="77777777" w:rsidTr="00CA067B">
        <w:tc>
          <w:tcPr>
            <w:tcW w:w="0" w:type="auto"/>
            <w:shd w:val="clear" w:color="auto" w:fill="E7E6E6" w:themeFill="background2"/>
            <w:tcMar>
              <w:top w:w="150" w:type="dxa"/>
              <w:left w:w="0" w:type="dxa"/>
              <w:bottom w:w="150" w:type="dxa"/>
              <w:right w:w="240" w:type="dxa"/>
            </w:tcMar>
            <w:vAlign w:val="center"/>
            <w:hideMark/>
          </w:tcPr>
          <w:p w14:paraId="47021EB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Gender (Female vs. Male)</w:t>
            </w:r>
          </w:p>
        </w:tc>
        <w:tc>
          <w:tcPr>
            <w:tcW w:w="0" w:type="auto"/>
            <w:shd w:val="clear" w:color="auto" w:fill="E7E6E6" w:themeFill="background2"/>
            <w:tcMar>
              <w:top w:w="150" w:type="dxa"/>
              <w:left w:w="240" w:type="dxa"/>
              <w:bottom w:w="150" w:type="dxa"/>
              <w:right w:w="240" w:type="dxa"/>
            </w:tcMar>
            <w:vAlign w:val="center"/>
            <w:hideMark/>
          </w:tcPr>
          <w:p w14:paraId="3760553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5.12</w:t>
            </w:r>
          </w:p>
        </w:tc>
        <w:tc>
          <w:tcPr>
            <w:tcW w:w="0" w:type="auto"/>
            <w:shd w:val="clear" w:color="auto" w:fill="E7E6E6" w:themeFill="background2"/>
            <w:tcMar>
              <w:top w:w="150" w:type="dxa"/>
              <w:left w:w="240" w:type="dxa"/>
              <w:bottom w:w="150" w:type="dxa"/>
              <w:right w:w="240" w:type="dxa"/>
            </w:tcMar>
            <w:vAlign w:val="center"/>
            <w:hideMark/>
          </w:tcPr>
          <w:p w14:paraId="05B16AC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[1.42, 18.50]</w:t>
            </w:r>
          </w:p>
        </w:tc>
        <w:tc>
          <w:tcPr>
            <w:tcW w:w="0" w:type="auto"/>
            <w:shd w:val="clear" w:color="auto" w:fill="E7E6E6" w:themeFill="background2"/>
            <w:tcMar>
              <w:top w:w="150" w:type="dxa"/>
              <w:left w:w="240" w:type="dxa"/>
              <w:bottom w:w="150" w:type="dxa"/>
              <w:right w:w="0" w:type="dxa"/>
            </w:tcMar>
            <w:vAlign w:val="center"/>
            <w:hideMark/>
          </w:tcPr>
          <w:p w14:paraId="0259572B"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0.013</w:t>
            </w:r>
          </w:p>
        </w:tc>
      </w:tr>
      <w:tr w:rsidR="00F50D09" w:rsidRPr="00EF4D2F" w14:paraId="2D4D9055" w14:textId="77777777" w:rsidTr="00CA067B">
        <w:tc>
          <w:tcPr>
            <w:tcW w:w="0" w:type="auto"/>
            <w:shd w:val="clear" w:color="auto" w:fill="E7E6E6" w:themeFill="background2"/>
            <w:tcMar>
              <w:top w:w="150" w:type="dxa"/>
              <w:left w:w="0" w:type="dxa"/>
              <w:bottom w:w="150" w:type="dxa"/>
              <w:right w:w="240" w:type="dxa"/>
            </w:tcMar>
            <w:vAlign w:val="center"/>
            <w:hideMark/>
          </w:tcPr>
          <w:p w14:paraId="7CEF274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TIBC (per unit increase)</w:t>
            </w:r>
          </w:p>
        </w:tc>
        <w:tc>
          <w:tcPr>
            <w:tcW w:w="0" w:type="auto"/>
            <w:shd w:val="clear" w:color="auto" w:fill="E7E6E6" w:themeFill="background2"/>
            <w:tcMar>
              <w:top w:w="150" w:type="dxa"/>
              <w:left w:w="240" w:type="dxa"/>
              <w:bottom w:w="150" w:type="dxa"/>
              <w:right w:w="240" w:type="dxa"/>
            </w:tcMar>
            <w:vAlign w:val="center"/>
            <w:hideMark/>
          </w:tcPr>
          <w:p w14:paraId="7DC1F387"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1.03</w:t>
            </w:r>
          </w:p>
        </w:tc>
        <w:tc>
          <w:tcPr>
            <w:tcW w:w="0" w:type="auto"/>
            <w:shd w:val="clear" w:color="auto" w:fill="E7E6E6" w:themeFill="background2"/>
            <w:tcMar>
              <w:top w:w="150" w:type="dxa"/>
              <w:left w:w="240" w:type="dxa"/>
              <w:bottom w:w="150" w:type="dxa"/>
              <w:right w:w="240" w:type="dxa"/>
            </w:tcMar>
            <w:vAlign w:val="center"/>
            <w:hideMark/>
          </w:tcPr>
          <w:p w14:paraId="14A8794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[1.02, 1.05]</w:t>
            </w:r>
          </w:p>
        </w:tc>
        <w:tc>
          <w:tcPr>
            <w:tcW w:w="0" w:type="auto"/>
            <w:shd w:val="clear" w:color="auto" w:fill="E7E6E6" w:themeFill="background2"/>
            <w:tcMar>
              <w:top w:w="150" w:type="dxa"/>
              <w:left w:w="240" w:type="dxa"/>
              <w:bottom w:w="150" w:type="dxa"/>
              <w:right w:w="0" w:type="dxa"/>
            </w:tcMar>
            <w:vAlign w:val="center"/>
            <w:hideMark/>
          </w:tcPr>
          <w:p w14:paraId="1E408C28"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0B71A2" w:rsidRPr="00EF4D2F" w14:paraId="0E300A6C" w14:textId="77777777" w:rsidTr="00CA067B">
        <w:tc>
          <w:tcPr>
            <w:tcW w:w="0" w:type="auto"/>
            <w:gridSpan w:val="4"/>
            <w:shd w:val="clear" w:color="auto" w:fill="E7E6E6" w:themeFill="background2"/>
            <w:tcMar>
              <w:top w:w="150" w:type="dxa"/>
              <w:left w:w="0" w:type="dxa"/>
              <w:bottom w:w="150" w:type="dxa"/>
              <w:right w:w="240" w:type="dxa"/>
            </w:tcMar>
            <w:vAlign w:val="center"/>
            <w:hideMark/>
          </w:tcPr>
          <w:p w14:paraId="0F8220C6" w14:textId="3FA7A7DE" w:rsidR="000B71A2" w:rsidRPr="00EF4D2F" w:rsidRDefault="000B71A2" w:rsidP="000B71A2">
            <w:pPr>
              <w:pStyle w:val="NoSpacing"/>
              <w:rPr>
                <w:rFonts w:ascii="Times New Roman" w:hAnsi="Times New Roman" w:cs="Times New Roman"/>
              </w:rPr>
            </w:pPr>
            <w:r w:rsidRPr="00EF4D2F">
              <w:rPr>
                <w:rFonts w:ascii="Times New Roman" w:hAnsi="Times New Roman" w:cs="Times New Roman"/>
                <w:i/>
                <w:iCs/>
              </w:rPr>
              <w:t>Female gender and higher TIBC are strong independent risk factors for iron deficiency, while increasing age is protective, even after controlling for other variables.</w:t>
            </w:r>
          </w:p>
        </w:tc>
      </w:tr>
    </w:tbl>
    <w:p w14:paraId="69E8FC77" w14:textId="77777777" w:rsidR="00A84AB2" w:rsidRPr="00EF4D2F" w:rsidRDefault="00A84AB2">
      <w:pPr>
        <w:rPr>
          <w:rFonts w:ascii="Times New Roman" w:hAnsi="Times New Roman" w:cs="Times New Roman"/>
        </w:rPr>
      </w:pPr>
    </w:p>
    <w:p w14:paraId="79EB48DA" w14:textId="21E18EA4" w:rsidR="00091476" w:rsidRPr="00EF4D2F" w:rsidRDefault="00091476" w:rsidP="00091476">
      <w:pPr>
        <w:jc w:val="both"/>
        <w:rPr>
          <w:rFonts w:ascii="Times New Roman" w:hAnsi="Times New Roman" w:cs="Times New Roman"/>
          <w:color w:val="0F1115"/>
          <w:shd w:val="clear" w:color="auto" w:fill="FFFFFF"/>
        </w:rPr>
      </w:pPr>
      <w:r w:rsidRPr="00EF4D2F">
        <w:rPr>
          <w:rFonts w:ascii="Times New Roman" w:hAnsi="Times New Roman" w:cs="Times New Roman"/>
          <w:color w:val="0F1115"/>
          <w:shd w:val="clear" w:color="auto" w:fill="FFFFFF"/>
        </w:rPr>
        <w:t>Iron homeostasis is a critical physiological process, and its disruption leads to two prevalent clinical entities: iron deficiency, a global health concern, and iron overload, a condition with potential for significant morbidity. This retrospective analysis sought to characterize the prevalence, demographic associations, and biochemical profiles of these dysregulated states within a clinical cohort. By applying strict biochemical criteria to stratify 110 patients, this study delineates the clear phenotypic expressions of iron status encountered in clinical practice.</w:t>
      </w:r>
    </w:p>
    <w:p w14:paraId="31512690" w14:textId="70169545" w:rsidR="00091476" w:rsidRPr="00EF4D2F" w:rsidRDefault="00091476" w:rsidP="00091476">
      <w:pPr>
        <w:jc w:val="both"/>
        <w:rPr>
          <w:rFonts w:ascii="Times New Roman" w:hAnsi="Times New Roman" w:cs="Times New Roman"/>
          <w:b/>
          <w:bCs/>
        </w:rPr>
      </w:pPr>
      <w:r w:rsidRPr="00EF4D2F">
        <w:rPr>
          <w:rFonts w:ascii="Times New Roman" w:hAnsi="Times New Roman" w:cs="Times New Roman"/>
          <w:color w:val="0F1115"/>
          <w:shd w:val="clear" w:color="auto" w:fill="FFFFFF"/>
        </w:rPr>
        <w:t xml:space="preserve">Our analysis revealed pronounced demographic and biochemical stratification across the iron status groups. The iron deficient cohort was significantly younger and predominantly female, a finding immediately suggestive of underlying etiology. The biochemical data paints a clear picture: the iron deficiency group is defined by a profound depletion of iron stores, evidenced by a median ferritin of 6.2 ng/mL, coupled with a functional iron shortage indicated by a low transferrin saturation of 8.1%. The elevated total iron-binding capacity in this group reflects a systemic physiological response to scarcity. Conversely, the iron overload group presents with a complete inversion of this profile, exhibiting saturated iron transport capacity and massively elevated storage iron. The post-hoc comparisons confirm that these groups are biochemically distinct from each other in all pairwise combinations. Furthermore, multivariable analysis </w:t>
      </w:r>
      <w:r w:rsidRPr="00EF4D2F">
        <w:rPr>
          <w:rFonts w:ascii="Times New Roman" w:hAnsi="Times New Roman" w:cs="Times New Roman"/>
          <w:color w:val="0F1115"/>
          <w:shd w:val="clear" w:color="auto" w:fill="FFFFFF"/>
        </w:rPr>
        <w:lastRenderedPageBreak/>
        <w:t>solidifies these relationships, identifying female gender, higher TIBC, and younger age as independent predictors of iron deficiency status.</w:t>
      </w:r>
    </w:p>
    <w:p w14:paraId="233E6F49" w14:textId="444E7C87" w:rsidR="00A84AB2" w:rsidRPr="00A84AB2" w:rsidRDefault="00A84AB2" w:rsidP="00A84AB2">
      <w:pPr>
        <w:rPr>
          <w:rFonts w:ascii="Times New Roman" w:hAnsi="Times New Roman" w:cs="Times New Roman"/>
          <w:b/>
          <w:bCs/>
        </w:rPr>
      </w:pPr>
      <w:r w:rsidRPr="00A84AB2">
        <w:rPr>
          <w:rFonts w:ascii="Times New Roman" w:hAnsi="Times New Roman" w:cs="Times New Roman"/>
          <w:b/>
          <w:bCs/>
        </w:rPr>
        <w:t xml:space="preserve">Relevance </w:t>
      </w:r>
    </w:p>
    <w:p w14:paraId="2D3FFD97" w14:textId="43BE15B6" w:rsidR="00A84AB2" w:rsidRPr="00A84AB2" w:rsidRDefault="00A84AB2" w:rsidP="00AA6C48">
      <w:pPr>
        <w:jc w:val="both"/>
        <w:rPr>
          <w:rFonts w:ascii="Times New Roman" w:hAnsi="Times New Roman" w:cs="Times New Roman"/>
        </w:rPr>
      </w:pPr>
      <w:r w:rsidRPr="00A84AB2">
        <w:rPr>
          <w:rFonts w:ascii="Times New Roman" w:hAnsi="Times New Roman" w:cs="Times New Roman"/>
        </w:rPr>
        <w:t>The demographic and biochemical patterns observed in our cohort are highly consistent with, yet more pronounced than, those reported in global and regional studies of iron dysregulation. The strong female predominance and younger age distribution in the iron deficiency group aligns with population-based estimates from NHANES and European cohorts, which demonstrate that iron deficiency disproportionately affects women of reproductive age due to menstrual blood loss and increased iron demands.</w:t>
      </w:r>
      <w:r w:rsidR="00462F4A" w:rsidRPr="00EF4D2F">
        <w:rPr>
          <w:rFonts w:ascii="Times New Roman" w:hAnsi="Times New Roman" w:cs="Times New Roman"/>
          <w:vertAlign w:val="superscript"/>
        </w:rPr>
        <w:t>10,3</w:t>
      </w:r>
      <w:r w:rsidRPr="00A84AB2">
        <w:rPr>
          <w:rFonts w:ascii="Times New Roman" w:hAnsi="Times New Roman" w:cs="Times New Roman"/>
        </w:rPr>
        <w:t xml:space="preserve"> However, the degree of biochemical depletion in our study—particularly the markedly depressed median ferritin and transferrin saturation values—appears more severe than reported in large community-based studies, suggesting that our clinical cohort represents a population with more advanced or chronic iron depletion.</w:t>
      </w:r>
    </w:p>
    <w:p w14:paraId="5C97965A" w14:textId="4242945F" w:rsidR="00A84AB2" w:rsidRPr="00A84AB2" w:rsidRDefault="00A84AB2" w:rsidP="00AA6C48">
      <w:pPr>
        <w:jc w:val="both"/>
        <w:rPr>
          <w:rFonts w:ascii="Times New Roman" w:hAnsi="Times New Roman" w:cs="Times New Roman"/>
        </w:rPr>
      </w:pPr>
      <w:r w:rsidRPr="00A84AB2">
        <w:rPr>
          <w:rFonts w:ascii="Times New Roman" w:hAnsi="Times New Roman" w:cs="Times New Roman"/>
        </w:rPr>
        <w:t>Compared with previously published thresholds, our findings closely parallel the diagnostic validity demonstrated by Guyatt et al.</w:t>
      </w:r>
      <w:r w:rsidR="00462F4A" w:rsidRPr="00EF4D2F">
        <w:rPr>
          <w:rFonts w:ascii="Times New Roman" w:hAnsi="Times New Roman" w:cs="Times New Roman"/>
          <w:vertAlign w:val="superscript"/>
        </w:rPr>
        <w:t>6</w:t>
      </w:r>
      <w:r w:rsidRPr="00A84AB2">
        <w:rPr>
          <w:rFonts w:ascii="Times New Roman" w:hAnsi="Times New Roman" w:cs="Times New Roman"/>
        </w:rPr>
        <w:t xml:space="preserve"> and Cook et al.</w:t>
      </w:r>
      <w:r w:rsidR="00462F4A" w:rsidRPr="00EF4D2F">
        <w:rPr>
          <w:rFonts w:ascii="Times New Roman" w:hAnsi="Times New Roman" w:cs="Times New Roman"/>
          <w:vertAlign w:val="superscript"/>
        </w:rPr>
        <w:t>7</w:t>
      </w:r>
      <w:r w:rsidRPr="00A84AB2">
        <w:rPr>
          <w:rFonts w:ascii="Times New Roman" w:hAnsi="Times New Roman" w:cs="Times New Roman"/>
        </w:rPr>
        <w:t>, who established ferritin values below 15 ng/mL as highly specific for depleted iron stores. However, more recent work by Pasricha et al. (2021)</w:t>
      </w:r>
      <w:r w:rsidR="00462F4A" w:rsidRPr="00EF4D2F">
        <w:rPr>
          <w:rFonts w:ascii="Times New Roman" w:hAnsi="Times New Roman" w:cs="Times New Roman"/>
          <w:vertAlign w:val="superscript"/>
        </w:rPr>
        <w:t>13</w:t>
      </w:r>
      <w:r w:rsidRPr="00A84AB2">
        <w:rPr>
          <w:rFonts w:ascii="Times New Roman" w:hAnsi="Times New Roman" w:cs="Times New Roman"/>
        </w:rPr>
        <w:t xml:space="preserve"> and López et al.</w:t>
      </w:r>
      <w:r w:rsidR="00462F4A" w:rsidRPr="00EF4D2F">
        <w:rPr>
          <w:rFonts w:ascii="Times New Roman" w:hAnsi="Times New Roman" w:cs="Times New Roman"/>
          <w:vertAlign w:val="superscript"/>
        </w:rPr>
        <w:t>8</w:t>
      </w:r>
      <w:r w:rsidRPr="00A84AB2">
        <w:rPr>
          <w:rFonts w:ascii="Times New Roman" w:hAnsi="Times New Roman" w:cs="Times New Roman"/>
        </w:rPr>
        <w:t xml:space="preserve"> has emphasized that ferritin cut-offs may need upward revision in inflammatory states, highlighting the importance of interpreting ferritin alongside transferrin saturation and TIBC, an approach reinforced by our findings.</w:t>
      </w:r>
      <w:r w:rsidR="00F46450">
        <w:rPr>
          <w:rFonts w:ascii="Times New Roman" w:hAnsi="Times New Roman" w:cs="Times New Roman"/>
        </w:rPr>
        <w:t xml:space="preserve"> </w:t>
      </w:r>
      <w:r w:rsidRPr="00A84AB2">
        <w:rPr>
          <w:rFonts w:ascii="Times New Roman" w:hAnsi="Times New Roman" w:cs="Times New Roman"/>
        </w:rPr>
        <w:t>With respect to iron overload, our observed biochemical signature—markedly elevated transferrin saturation and ferritin—mirrors classical descriptions of hereditary hemochromatosis in population screening studie</w:t>
      </w:r>
      <w:r w:rsidR="00462F4A" w:rsidRPr="00EF4D2F">
        <w:rPr>
          <w:rFonts w:ascii="Times New Roman" w:hAnsi="Times New Roman" w:cs="Times New Roman"/>
        </w:rPr>
        <w:t>s</w:t>
      </w:r>
      <w:r w:rsidRPr="00A84AB2">
        <w:rPr>
          <w:rFonts w:ascii="Times New Roman" w:hAnsi="Times New Roman" w:cs="Times New Roman"/>
        </w:rPr>
        <w:t>.</w:t>
      </w:r>
      <w:r w:rsidR="00462F4A" w:rsidRPr="00EF4D2F">
        <w:rPr>
          <w:rFonts w:ascii="Times New Roman" w:hAnsi="Times New Roman" w:cs="Times New Roman"/>
          <w:vertAlign w:val="superscript"/>
        </w:rPr>
        <w:t>11,8</w:t>
      </w:r>
      <w:r w:rsidRPr="00A84AB2">
        <w:rPr>
          <w:rFonts w:ascii="Times New Roman" w:hAnsi="Times New Roman" w:cs="Times New Roman"/>
        </w:rPr>
        <w:t xml:space="preserve"> Furthermore, the older male predominance in the overload group is concordant with large genetic epidemiology studies demonstrating delayed phenotypic expression in females due to menstruation and pregnancy-related iron losses.</w:t>
      </w:r>
      <w:r w:rsidR="00462F4A" w:rsidRPr="00EF4D2F">
        <w:rPr>
          <w:rFonts w:ascii="Times New Roman" w:hAnsi="Times New Roman" w:cs="Times New Roman"/>
          <w:vertAlign w:val="superscript"/>
        </w:rPr>
        <w:t>14,3</w:t>
      </w:r>
      <w:r w:rsidRPr="00A84AB2">
        <w:rPr>
          <w:rFonts w:ascii="Times New Roman" w:hAnsi="Times New Roman" w:cs="Times New Roman"/>
        </w:rPr>
        <w:t xml:space="preserve"> Notably, the magnitude of ferritin elevation in our cohort exceeds that reported in several asymptomatic screening populations, suggesting that our hospital-based sample may capture individuals with clinically significant or advanced iron loading.</w:t>
      </w:r>
      <w:r w:rsidR="00F46450">
        <w:rPr>
          <w:rFonts w:ascii="Times New Roman" w:hAnsi="Times New Roman" w:cs="Times New Roman"/>
        </w:rPr>
        <w:t xml:space="preserve"> </w:t>
      </w:r>
      <w:r w:rsidRPr="00A84AB2">
        <w:rPr>
          <w:rFonts w:ascii="Times New Roman" w:hAnsi="Times New Roman" w:cs="Times New Roman"/>
        </w:rPr>
        <w:t>Taken together, while our findings are directionally consistent with global literature, the severity of biochemical derangements observed in this cohort appears more pronounced than in population-based studies, underscoring the clinical relevance of studying iron disorders within a real-world hospital setting.</w:t>
      </w:r>
    </w:p>
    <w:p w14:paraId="3E6FE2D9" w14:textId="710195E6" w:rsidR="00A84AB2" w:rsidRPr="00A84AB2" w:rsidRDefault="00A84AB2" w:rsidP="00AA6C48">
      <w:pPr>
        <w:jc w:val="both"/>
        <w:rPr>
          <w:rFonts w:ascii="Times New Roman" w:hAnsi="Times New Roman" w:cs="Times New Roman"/>
          <w:b/>
          <w:bCs/>
        </w:rPr>
      </w:pPr>
      <w:r w:rsidRPr="00A84AB2">
        <w:rPr>
          <w:rFonts w:ascii="Times New Roman" w:hAnsi="Times New Roman" w:cs="Times New Roman"/>
          <w:b/>
          <w:bCs/>
        </w:rPr>
        <w:t xml:space="preserve">Mechanistic Explanation of Findings </w:t>
      </w:r>
    </w:p>
    <w:p w14:paraId="655E64BD" w14:textId="7185177E" w:rsidR="00A84AB2" w:rsidRPr="00A84AB2" w:rsidRDefault="00A84AB2" w:rsidP="00AA6C48">
      <w:pPr>
        <w:jc w:val="both"/>
        <w:rPr>
          <w:rFonts w:ascii="Times New Roman" w:hAnsi="Times New Roman" w:cs="Times New Roman"/>
        </w:rPr>
      </w:pPr>
      <w:r w:rsidRPr="00A84AB2">
        <w:rPr>
          <w:rFonts w:ascii="Times New Roman" w:hAnsi="Times New Roman" w:cs="Times New Roman"/>
        </w:rPr>
        <w:t xml:space="preserve">The divergent biochemical phenotypes observed in iron deficiency and iron overload can be mechanistically explained by dysregulation of the hepcidin–ferroportin axis, which serves as the master regulator of systemic iron homeostasis. In iron deficiency states, diminished hepatic iron sensing leads to profound suppression of hepcidin synthesis, mediated through the BMP–SMAD </w:t>
      </w:r>
      <w:r w:rsidR="00C04355" w:rsidRPr="00EF4D2F">
        <w:rPr>
          <w:rFonts w:ascii="Times New Roman" w:hAnsi="Times New Roman" w:cs="Times New Roman"/>
        </w:rPr>
        <w:t>signalling</w:t>
      </w:r>
      <w:r w:rsidRPr="00A84AB2">
        <w:rPr>
          <w:rFonts w:ascii="Times New Roman" w:hAnsi="Times New Roman" w:cs="Times New Roman"/>
        </w:rPr>
        <w:t xml:space="preserve"> pathway (Ganz &amp; Nemeth, 2012; Camaschella, 2015). This reduction in circulating hepcidin permits persistent expression of ferroportin on the basolateral membrane of enterocytes and macrophages, facilitating maximal dietary iron absorption and iron recycling. Despite these compensatory mechanisms, chronic depletion of iron reserves results in severely reduced serum ferritin, low transferrin saturation, and a reactive upregulation of transferrin synthesis by the liver, reflected biochemically as elevated TIBC.</w:t>
      </w:r>
    </w:p>
    <w:p w14:paraId="714B928E" w14:textId="22747BF9" w:rsidR="00A84AB2" w:rsidRPr="00A84AB2" w:rsidRDefault="00A84AB2" w:rsidP="00AA6C48">
      <w:pPr>
        <w:jc w:val="both"/>
        <w:rPr>
          <w:rFonts w:ascii="Times New Roman" w:hAnsi="Times New Roman" w:cs="Times New Roman"/>
        </w:rPr>
      </w:pPr>
      <w:r w:rsidRPr="00A84AB2">
        <w:rPr>
          <w:rFonts w:ascii="Times New Roman" w:hAnsi="Times New Roman" w:cs="Times New Roman"/>
        </w:rPr>
        <w:lastRenderedPageBreak/>
        <w:t>In contrast, iron overload—particularly in the context of HFE-related hereditary hemochromatosis—is characterized by inappropriately low or ineffective hepcidin production despite progressive iron accumulation.</w:t>
      </w:r>
      <w:r w:rsidR="00462F4A" w:rsidRPr="00EF4D2F">
        <w:rPr>
          <w:rFonts w:ascii="Times New Roman" w:hAnsi="Times New Roman" w:cs="Times New Roman"/>
          <w:vertAlign w:val="superscript"/>
        </w:rPr>
        <w:t>1,2,3</w:t>
      </w:r>
      <w:r w:rsidRPr="00A84AB2">
        <w:rPr>
          <w:rFonts w:ascii="Times New Roman" w:hAnsi="Times New Roman" w:cs="Times New Roman"/>
        </w:rPr>
        <w:t xml:space="preserve"> Mutations affecting HFE, TFR2, or hemojuvelin disrupt hepatic iron sensing, leading to unchecked ferroportin activity and continuous intestinal iron absorption. The resulting iron surplus saturates transferrin binding capacity, producing persistently elevated transferrin saturation, while excess iron is deposited in parenchymal tissues and storage pools, reflected by markedly elevated ferritin concentrations. Secondary suppression of transferrin synthesis in iron-replete states explains the relatively reduced TIBC observed in the overload group.</w:t>
      </w:r>
      <w:r w:rsidR="00462F4A" w:rsidRPr="00EF4D2F">
        <w:rPr>
          <w:rFonts w:ascii="Times New Roman" w:hAnsi="Times New Roman" w:cs="Times New Roman"/>
          <w:vertAlign w:val="superscript"/>
        </w:rPr>
        <w:t>14</w:t>
      </w:r>
    </w:p>
    <w:p w14:paraId="37C4A119" w14:textId="3D071582" w:rsidR="00A84AB2" w:rsidRDefault="00A84AB2" w:rsidP="00462F4A">
      <w:pPr>
        <w:jc w:val="both"/>
        <w:rPr>
          <w:rFonts w:ascii="Times New Roman" w:hAnsi="Times New Roman" w:cs="Times New Roman"/>
        </w:rPr>
      </w:pPr>
      <w:r w:rsidRPr="00A84AB2">
        <w:rPr>
          <w:rFonts w:ascii="Times New Roman" w:hAnsi="Times New Roman" w:cs="Times New Roman"/>
        </w:rPr>
        <w:t>Importantly, emerging evidence indicates that chronic inflammation, metabolic disorders, and aging-related alterations in hepcidin responsiveness may further modulate these pathways</w:t>
      </w:r>
      <w:r w:rsidR="00462F4A" w:rsidRPr="00EF4D2F">
        <w:rPr>
          <w:rFonts w:ascii="Times New Roman" w:hAnsi="Times New Roman" w:cs="Times New Roman"/>
          <w:vertAlign w:val="superscript"/>
        </w:rPr>
        <w:t>9,2</w:t>
      </w:r>
      <w:r w:rsidRPr="00A84AB2">
        <w:rPr>
          <w:rFonts w:ascii="Times New Roman" w:hAnsi="Times New Roman" w:cs="Times New Roman"/>
        </w:rPr>
        <w:t>, potentially contributing to the heterogeneity of biochemical phenotypes observed in clinical cohorts such as ours.</w:t>
      </w:r>
    </w:p>
    <w:p w14:paraId="498D2AE2" w14:textId="189960A2" w:rsidR="001D3511" w:rsidRDefault="001D3511" w:rsidP="00462F4A">
      <w:pPr>
        <w:jc w:val="both"/>
        <w:rPr>
          <w:rFonts w:ascii="Times New Roman" w:hAnsi="Times New Roman" w:cs="Times New Roman"/>
        </w:rPr>
      </w:pPr>
      <w:r w:rsidRPr="001D3511">
        <w:rPr>
          <w:rFonts w:ascii="Times New Roman" w:hAnsi="Times New Roman" w:cs="Times New Roman"/>
          <w:b/>
          <w:bCs/>
        </w:rPr>
        <w:t>Importance for the Scientific Community:</w:t>
      </w:r>
      <w:r>
        <w:rPr>
          <w:rFonts w:ascii="Times New Roman" w:hAnsi="Times New Roman" w:cs="Times New Roman"/>
        </w:rPr>
        <w:t xml:space="preserve"> </w:t>
      </w:r>
      <w:r w:rsidRPr="001D3511">
        <w:rPr>
          <w:rFonts w:ascii="Times New Roman" w:hAnsi="Times New Roman" w:cs="Times New Roman"/>
        </w:rPr>
        <w:t>This study addresses a significant gap in hospital-based, real-world data on the full spectrum of iron dysregulation. By providing a comparative analysis of iron deficiency and overload within a single clinical cohort, it offers validated biochemical thresholds and clear phenotypic patterns that enhance diagnostic understanding. It demonstrates the practical, integrated use of routine demographic and laboratory parameters for early risk stratification, a strategy with immediate relevance for clinical practice. Finally, the findings establish a foundational hypothesis for future, larger prospective studies aimed at optimizing diagnostic pathways and patient outcomes.</w:t>
      </w:r>
    </w:p>
    <w:p w14:paraId="7EF5C6D0" w14:textId="77777777" w:rsidR="00822F21" w:rsidRDefault="00DD3004" w:rsidP="00822F21">
      <w:pPr>
        <w:jc w:val="both"/>
        <w:rPr>
          <w:rFonts w:ascii="Times New Roman" w:hAnsi="Times New Roman" w:cs="Times New Roman"/>
        </w:rPr>
      </w:pPr>
      <w:r w:rsidRPr="00A4549A">
        <w:rPr>
          <w:rFonts w:ascii="Times New Roman" w:hAnsi="Times New Roman" w:cs="Times New Roman"/>
          <w:b/>
          <w:bCs/>
        </w:rPr>
        <w:t>Limitations:</w:t>
      </w:r>
      <w:r w:rsidRPr="00A4549A">
        <w:rPr>
          <w:rFonts w:ascii="Times New Roman" w:hAnsi="Times New Roman" w:cs="Times New Roman"/>
        </w:rPr>
        <w:t xml:space="preserve"> </w:t>
      </w:r>
      <w:r w:rsidR="00822F21" w:rsidRPr="00822F21">
        <w:rPr>
          <w:rFonts w:ascii="Times New Roman" w:hAnsi="Times New Roman" w:cs="Times New Roman"/>
        </w:rPr>
        <w:t>Several limitations should be considered. First, the single-center, retrospective design may limit the generalizability of our findings to other settings. Second, the modest and imbalanced subgroup sizes, especially for iron overload (n=12), affect the statistical power and precision of our analyses. Finally, the diagnostic classification relied solely on biochemical thresholds; confirmatory tests for iron overload (e.g., genetic testing for hereditary hemochromatosis or hepatic iron quantification) were not available. </w:t>
      </w:r>
    </w:p>
    <w:p w14:paraId="216FB7E2" w14:textId="463BCB5F" w:rsidR="00CA067B" w:rsidRPr="00CA067B" w:rsidRDefault="00CA067B" w:rsidP="00822F21">
      <w:pPr>
        <w:jc w:val="both"/>
        <w:rPr>
          <w:rFonts w:ascii="Times New Roman" w:hAnsi="Times New Roman" w:cs="Times New Roman"/>
          <w:b/>
          <w:bCs/>
        </w:rPr>
      </w:pPr>
      <w:r w:rsidRPr="00EF4D2F">
        <w:rPr>
          <w:rFonts w:ascii="Times New Roman" w:hAnsi="Times New Roman" w:cs="Times New Roman"/>
          <w:b/>
          <w:bCs/>
        </w:rPr>
        <w:t>CONCLUSION</w:t>
      </w:r>
    </w:p>
    <w:p w14:paraId="55EE1B69" w14:textId="76B86AD0" w:rsidR="00CA067B" w:rsidRDefault="00CA067B" w:rsidP="00CA067B">
      <w:pPr>
        <w:rPr>
          <w:rFonts w:ascii="Times New Roman" w:hAnsi="Times New Roman" w:cs="Times New Roman"/>
        </w:rPr>
      </w:pPr>
      <w:r w:rsidRPr="00CA067B">
        <w:rPr>
          <w:rFonts w:ascii="Times New Roman" w:hAnsi="Times New Roman" w:cs="Times New Roman"/>
        </w:rPr>
        <w:t>This study demonstrates clear demographic and biochemical distinctions between iron deficiency and iron overload in a real-world, hospital-based cohort. The findings emphasize the importance of interpreting iron parameters as an integrated panel rather than in isolation. Simple, routinely available variables such as age, sex, and TIBC show potential value in early risk stratification and may aid in improving diagnostic accuracy and timely clinical intervention.</w:t>
      </w:r>
    </w:p>
    <w:p w14:paraId="1BE6B077" w14:textId="7C0C854A" w:rsidR="00324DC5" w:rsidRDefault="00324DC5" w:rsidP="00CA067B">
      <w:pPr>
        <w:rPr>
          <w:rFonts w:ascii="Times New Roman" w:hAnsi="Times New Roman" w:cs="Times New Roman"/>
        </w:rPr>
      </w:pPr>
    </w:p>
    <w:p w14:paraId="3006AA9C" w14:textId="49175ABE" w:rsidR="00324DC5" w:rsidRPr="00324DC5" w:rsidRDefault="00324DC5" w:rsidP="00CA067B">
      <w:pPr>
        <w:rPr>
          <w:rFonts w:ascii="Times New Roman" w:hAnsi="Times New Roman" w:cs="Times New Roman"/>
          <w:b/>
        </w:rPr>
      </w:pPr>
      <w:bookmarkStart w:id="0" w:name="_GoBack"/>
      <w:r w:rsidRPr="00324DC5">
        <w:rPr>
          <w:rFonts w:ascii="Times New Roman" w:hAnsi="Times New Roman" w:cs="Times New Roman"/>
          <w:b/>
        </w:rPr>
        <w:t>Ethical Approval:</w:t>
      </w:r>
    </w:p>
    <w:bookmarkEnd w:id="0"/>
    <w:p w14:paraId="200116FF" w14:textId="64DC04A9" w:rsidR="00324DC5" w:rsidRDefault="00324DC5" w:rsidP="00CA067B">
      <w:pPr>
        <w:rPr>
          <w:rFonts w:ascii="Times New Roman" w:hAnsi="Times New Roman" w:cs="Times New Roman"/>
        </w:rPr>
      </w:pPr>
    </w:p>
    <w:p w14:paraId="67ABA0EF" w14:textId="03DAED04" w:rsidR="00324DC5" w:rsidRPr="00CA067B" w:rsidRDefault="00324DC5" w:rsidP="00CA067B">
      <w:pPr>
        <w:rPr>
          <w:rFonts w:ascii="Times New Roman" w:hAnsi="Times New Roman" w:cs="Times New Roman"/>
        </w:rPr>
      </w:pPr>
      <w:r w:rsidRPr="00324DC5">
        <w:rPr>
          <w:rFonts w:ascii="Times New Roman" w:hAnsi="Times New Roman" w:cs="Times New Roman"/>
        </w:rPr>
        <w:t>The study protocol was reviewed and approved by the Institute Review Board prior to initiation</w:t>
      </w:r>
    </w:p>
    <w:p w14:paraId="0992D451" w14:textId="77777777" w:rsidR="008C6F38" w:rsidRPr="00324DC5" w:rsidRDefault="008C6F38" w:rsidP="008C6F38">
      <w:pPr>
        <w:rPr>
          <w:rFonts w:ascii="Calibri" w:eastAsia="Calibri" w:hAnsi="Calibri" w:cs="Times New Roman"/>
          <w:b/>
          <w:highlight w:val="yellow"/>
          <w:lang w:val="en-US"/>
        </w:rPr>
      </w:pPr>
      <w:bookmarkStart w:id="1" w:name="_Hlk204003461"/>
      <w:bookmarkStart w:id="2" w:name="_Hlk213070710"/>
      <w:r w:rsidRPr="00324DC5">
        <w:rPr>
          <w:rFonts w:ascii="Calibri" w:eastAsia="Calibri" w:hAnsi="Calibri" w:cs="Times New Roman"/>
          <w:b/>
          <w:highlight w:val="yellow"/>
          <w:lang w:val="en-US"/>
        </w:rPr>
        <w:lastRenderedPageBreak/>
        <w:t>Disclaimer (Artificial intelligence)</w:t>
      </w:r>
    </w:p>
    <w:p w14:paraId="60E7EC95" w14:textId="77777777" w:rsidR="008C6F38" w:rsidRDefault="008C6F38" w:rsidP="008C6F38">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3C6C0312" w14:textId="77777777" w:rsidR="008C6F38" w:rsidRDefault="008C6F38" w:rsidP="008C6F3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3606D6F3" w14:textId="6BFDFAFE" w:rsidR="008C6F38" w:rsidRPr="00EF4D2F" w:rsidRDefault="008C6F38" w:rsidP="00A84AB2">
      <w:pPr>
        <w:rPr>
          <w:rFonts w:ascii="Times New Roman" w:hAnsi="Times New Roman" w:cs="Times New Roman"/>
        </w:rPr>
      </w:pPr>
    </w:p>
    <w:p w14:paraId="6A4451D6" w14:textId="6AF20E43" w:rsidR="000652DF" w:rsidRPr="00EF4D2F" w:rsidRDefault="00263D66" w:rsidP="00A84AB2">
      <w:pPr>
        <w:rPr>
          <w:rFonts w:ascii="Times New Roman" w:hAnsi="Times New Roman" w:cs="Times New Roman"/>
          <w:b/>
          <w:bCs/>
        </w:rPr>
      </w:pPr>
      <w:r w:rsidRPr="00EF4D2F">
        <w:rPr>
          <w:rFonts w:ascii="Times New Roman" w:hAnsi="Times New Roman" w:cs="Times New Roman"/>
          <w:b/>
          <w:bCs/>
        </w:rPr>
        <w:t xml:space="preserve">REFERENCES </w:t>
      </w:r>
    </w:p>
    <w:p w14:paraId="1AD054BE" w14:textId="214A069F" w:rsidR="00263D66" w:rsidRPr="00EF4D2F" w:rsidRDefault="00D81C68" w:rsidP="00D81C68">
      <w:pPr>
        <w:pStyle w:val="ListParagraph"/>
        <w:numPr>
          <w:ilvl w:val="0"/>
          <w:numId w:val="6"/>
        </w:numPr>
        <w:jc w:val="both"/>
        <w:rPr>
          <w:rFonts w:ascii="Times New Roman" w:hAnsi="Times New Roman" w:cs="Times New Roman"/>
        </w:rPr>
      </w:pPr>
      <w:r w:rsidRPr="00D81C68">
        <w:rPr>
          <w:rFonts w:ascii="Times New Roman" w:hAnsi="Times New Roman" w:cs="Times New Roman"/>
        </w:rPr>
        <w:t xml:space="preserve">Ganz, T., &amp; Nemeth, E. (2011). Hepcidin and disorders of iron metabolism. Annual Review of Medicine, 62, 347-360. </w:t>
      </w:r>
      <w:hyperlink r:id="rId7" w:history="1">
        <w:r w:rsidRPr="00C91F85">
          <w:rPr>
            <w:rStyle w:val="Hyperlink"/>
            <w:rFonts w:ascii="Times New Roman" w:hAnsi="Times New Roman" w:cs="Times New Roman"/>
          </w:rPr>
          <w:t>https://doi.org/10.1146/annurev-med-050109-142444</w:t>
        </w:r>
      </w:hyperlink>
      <w:r>
        <w:rPr>
          <w:rFonts w:ascii="Times New Roman" w:hAnsi="Times New Roman" w:cs="Times New Roman"/>
        </w:rPr>
        <w:t xml:space="preserve"> </w:t>
      </w:r>
    </w:p>
    <w:p w14:paraId="454FC04F" w14:textId="1C06C193" w:rsidR="00263D66" w:rsidRPr="00EF4D2F" w:rsidRDefault="00C30002" w:rsidP="00C30002">
      <w:pPr>
        <w:pStyle w:val="ListParagraph"/>
        <w:numPr>
          <w:ilvl w:val="0"/>
          <w:numId w:val="6"/>
        </w:numPr>
        <w:jc w:val="both"/>
        <w:rPr>
          <w:rFonts w:ascii="Times New Roman" w:hAnsi="Times New Roman" w:cs="Times New Roman"/>
        </w:rPr>
      </w:pPr>
      <w:r w:rsidRPr="00C30002">
        <w:rPr>
          <w:rFonts w:ascii="Times New Roman" w:hAnsi="Times New Roman" w:cs="Times New Roman"/>
        </w:rPr>
        <w:t xml:space="preserve">Ganz, T. (2013). Systemic iron homeostasis. Physiological Reviews, 93(4), 1721-1741. </w:t>
      </w:r>
      <w:hyperlink r:id="rId8" w:history="1">
        <w:r w:rsidRPr="00C91F85">
          <w:rPr>
            <w:rStyle w:val="Hyperlink"/>
            <w:rFonts w:ascii="Times New Roman" w:hAnsi="Times New Roman" w:cs="Times New Roman"/>
          </w:rPr>
          <w:t>https://doi.org/10.1152/physrev.00008.2013</w:t>
        </w:r>
      </w:hyperlink>
      <w:r>
        <w:rPr>
          <w:rFonts w:ascii="Times New Roman" w:hAnsi="Times New Roman" w:cs="Times New Roman"/>
        </w:rPr>
        <w:t xml:space="preserve"> </w:t>
      </w:r>
    </w:p>
    <w:p w14:paraId="1F9174E3" w14:textId="667C543C" w:rsidR="00263D66" w:rsidRPr="00EF4D2F" w:rsidRDefault="00E65BE4" w:rsidP="00E65BE4">
      <w:pPr>
        <w:pStyle w:val="ListParagraph"/>
        <w:numPr>
          <w:ilvl w:val="0"/>
          <w:numId w:val="6"/>
        </w:numPr>
        <w:jc w:val="both"/>
        <w:rPr>
          <w:rFonts w:ascii="Times New Roman" w:hAnsi="Times New Roman" w:cs="Times New Roman"/>
        </w:rPr>
      </w:pPr>
      <w:r w:rsidRPr="00E65BE4">
        <w:rPr>
          <w:rFonts w:ascii="Times New Roman" w:hAnsi="Times New Roman" w:cs="Times New Roman"/>
        </w:rPr>
        <w:t xml:space="preserve">Camaschella, C. (2015). Iron-deficiency </w:t>
      </w:r>
      <w:proofErr w:type="spellStart"/>
      <w:r w:rsidRPr="00E65BE4">
        <w:rPr>
          <w:rFonts w:ascii="Times New Roman" w:hAnsi="Times New Roman" w:cs="Times New Roman"/>
        </w:rPr>
        <w:t>anemia</w:t>
      </w:r>
      <w:proofErr w:type="spellEnd"/>
      <w:r w:rsidRPr="00E65BE4">
        <w:rPr>
          <w:rFonts w:ascii="Times New Roman" w:hAnsi="Times New Roman" w:cs="Times New Roman"/>
        </w:rPr>
        <w:t xml:space="preserve">. N Engl J Med, 372(19), 1832-1843. </w:t>
      </w:r>
      <w:hyperlink r:id="rId9" w:history="1">
        <w:r w:rsidRPr="00C91F85">
          <w:rPr>
            <w:rStyle w:val="Hyperlink"/>
            <w:rFonts w:ascii="Times New Roman" w:hAnsi="Times New Roman" w:cs="Times New Roman"/>
          </w:rPr>
          <w:t>https://doi.org/10.1056/NEJMra1401038</w:t>
        </w:r>
      </w:hyperlink>
      <w:r>
        <w:rPr>
          <w:rFonts w:ascii="Times New Roman" w:hAnsi="Times New Roman" w:cs="Times New Roman"/>
        </w:rPr>
        <w:t xml:space="preserve"> </w:t>
      </w:r>
    </w:p>
    <w:p w14:paraId="2A3DE84E" w14:textId="70A117AC" w:rsidR="00263D66" w:rsidRPr="00EF4D2F" w:rsidRDefault="006119C5" w:rsidP="006119C5">
      <w:pPr>
        <w:pStyle w:val="ListParagraph"/>
        <w:numPr>
          <w:ilvl w:val="0"/>
          <w:numId w:val="6"/>
        </w:numPr>
        <w:jc w:val="both"/>
        <w:rPr>
          <w:rFonts w:ascii="Times New Roman" w:hAnsi="Times New Roman" w:cs="Times New Roman"/>
        </w:rPr>
      </w:pPr>
      <w:r w:rsidRPr="006119C5">
        <w:rPr>
          <w:rFonts w:ascii="Times New Roman" w:hAnsi="Times New Roman" w:cs="Times New Roman"/>
        </w:rPr>
        <w:t xml:space="preserve">Bacon, B. R., Adams, P. C., Kowdley, K. V., Powell, L. W., </w:t>
      </w:r>
      <w:proofErr w:type="spellStart"/>
      <w:r w:rsidRPr="006119C5">
        <w:rPr>
          <w:rFonts w:ascii="Times New Roman" w:hAnsi="Times New Roman" w:cs="Times New Roman"/>
        </w:rPr>
        <w:t>Tavill</w:t>
      </w:r>
      <w:proofErr w:type="spellEnd"/>
      <w:r w:rsidRPr="006119C5">
        <w:rPr>
          <w:rFonts w:ascii="Times New Roman" w:hAnsi="Times New Roman" w:cs="Times New Roman"/>
        </w:rPr>
        <w:t xml:space="preserve">, A. S., &amp; American Association for the Study of Liver Diseases. (2011). Diagnosis and management of hemochromatosis: 2011 practice guideline by the American Association for the Study of Liver Diseases. Hepatology, 54(1), 328-43. </w:t>
      </w:r>
      <w:hyperlink r:id="rId10" w:history="1">
        <w:r w:rsidRPr="00C91F85">
          <w:rPr>
            <w:rStyle w:val="Hyperlink"/>
            <w:rFonts w:ascii="Times New Roman" w:hAnsi="Times New Roman" w:cs="Times New Roman"/>
          </w:rPr>
          <w:t>https://doi.org/10.1002/hep.24330</w:t>
        </w:r>
      </w:hyperlink>
      <w:r>
        <w:rPr>
          <w:rFonts w:ascii="Times New Roman" w:hAnsi="Times New Roman" w:cs="Times New Roman"/>
        </w:rPr>
        <w:t xml:space="preserve"> </w:t>
      </w:r>
    </w:p>
    <w:p w14:paraId="2405C8E3" w14:textId="543A08FC" w:rsidR="00263D66" w:rsidRPr="00EF4D2F" w:rsidRDefault="0036741C" w:rsidP="0036741C">
      <w:pPr>
        <w:pStyle w:val="ListParagraph"/>
        <w:numPr>
          <w:ilvl w:val="0"/>
          <w:numId w:val="6"/>
        </w:numPr>
        <w:jc w:val="both"/>
        <w:rPr>
          <w:rFonts w:ascii="Times New Roman" w:hAnsi="Times New Roman" w:cs="Times New Roman"/>
        </w:rPr>
      </w:pPr>
      <w:r w:rsidRPr="0036741C">
        <w:rPr>
          <w:rFonts w:ascii="Times New Roman" w:hAnsi="Times New Roman" w:cs="Times New Roman"/>
        </w:rPr>
        <w:t xml:space="preserve">Pietrangelo, A. (2006). Hereditary hemochromatosis. </w:t>
      </w:r>
      <w:proofErr w:type="spellStart"/>
      <w:r w:rsidRPr="0036741C">
        <w:rPr>
          <w:rFonts w:ascii="Times New Roman" w:hAnsi="Times New Roman" w:cs="Times New Roman"/>
        </w:rPr>
        <w:t>Biochimica</w:t>
      </w:r>
      <w:proofErr w:type="spellEnd"/>
      <w:r w:rsidRPr="0036741C">
        <w:rPr>
          <w:rFonts w:ascii="Times New Roman" w:hAnsi="Times New Roman" w:cs="Times New Roman"/>
        </w:rPr>
        <w:t xml:space="preserve"> et </w:t>
      </w:r>
      <w:proofErr w:type="spellStart"/>
      <w:r w:rsidRPr="0036741C">
        <w:rPr>
          <w:rFonts w:ascii="Times New Roman" w:hAnsi="Times New Roman" w:cs="Times New Roman"/>
        </w:rPr>
        <w:t>Biophysica</w:t>
      </w:r>
      <w:proofErr w:type="spellEnd"/>
      <w:r w:rsidRPr="0036741C">
        <w:rPr>
          <w:rFonts w:ascii="Times New Roman" w:hAnsi="Times New Roman" w:cs="Times New Roman"/>
        </w:rPr>
        <w:t xml:space="preserve"> Acta (BBA) - Molecular Cell Research, 1763(7), 700-710. </w:t>
      </w:r>
      <w:hyperlink r:id="rId11" w:history="1">
        <w:r w:rsidRPr="00C91F85">
          <w:rPr>
            <w:rStyle w:val="Hyperlink"/>
            <w:rFonts w:ascii="Times New Roman" w:hAnsi="Times New Roman" w:cs="Times New Roman"/>
          </w:rPr>
          <w:t>https://doi.org/10.1016/j.bbamcr.2006.05.013</w:t>
        </w:r>
      </w:hyperlink>
      <w:r>
        <w:rPr>
          <w:rFonts w:ascii="Times New Roman" w:hAnsi="Times New Roman" w:cs="Times New Roman"/>
        </w:rPr>
        <w:t xml:space="preserve"> </w:t>
      </w:r>
    </w:p>
    <w:p w14:paraId="0CF86A0F" w14:textId="25F00398" w:rsidR="00263D66" w:rsidRPr="00EF4D2F" w:rsidRDefault="00030750" w:rsidP="00030750">
      <w:pPr>
        <w:pStyle w:val="ListParagraph"/>
        <w:numPr>
          <w:ilvl w:val="0"/>
          <w:numId w:val="6"/>
        </w:numPr>
        <w:jc w:val="both"/>
        <w:rPr>
          <w:rFonts w:ascii="Times New Roman" w:hAnsi="Times New Roman" w:cs="Times New Roman"/>
        </w:rPr>
      </w:pPr>
      <w:r w:rsidRPr="00030750">
        <w:rPr>
          <w:rFonts w:ascii="Times New Roman" w:hAnsi="Times New Roman" w:cs="Times New Roman"/>
        </w:rPr>
        <w:t xml:space="preserve">Guyatt, G. H., Oxman, A. D., Ali, M., Willan, A., McIlroy, W., &amp; Patterson, C. (1992). Laboratory diagnosis of iron-deficiency </w:t>
      </w:r>
      <w:proofErr w:type="spellStart"/>
      <w:r w:rsidRPr="00030750">
        <w:rPr>
          <w:rFonts w:ascii="Times New Roman" w:hAnsi="Times New Roman" w:cs="Times New Roman"/>
        </w:rPr>
        <w:t>anemia</w:t>
      </w:r>
      <w:proofErr w:type="spellEnd"/>
      <w:r w:rsidRPr="00030750">
        <w:rPr>
          <w:rFonts w:ascii="Times New Roman" w:hAnsi="Times New Roman" w:cs="Times New Roman"/>
        </w:rPr>
        <w:t xml:space="preserve">: An overview. Journal of General Internal Medicine, 7(2), 145–153. </w:t>
      </w:r>
      <w:hyperlink r:id="rId12" w:history="1">
        <w:r w:rsidRPr="00C91F85">
          <w:rPr>
            <w:rStyle w:val="Hyperlink"/>
            <w:rFonts w:ascii="Times New Roman" w:hAnsi="Times New Roman" w:cs="Times New Roman"/>
          </w:rPr>
          <w:t>https://doi.org/10.1007/BF02598003</w:t>
        </w:r>
      </w:hyperlink>
      <w:r>
        <w:rPr>
          <w:rFonts w:ascii="Times New Roman" w:hAnsi="Times New Roman" w:cs="Times New Roman"/>
        </w:rPr>
        <w:t xml:space="preserve"> </w:t>
      </w:r>
    </w:p>
    <w:p w14:paraId="310980C4" w14:textId="5DB90306" w:rsidR="00263D66" w:rsidRPr="00EF4D2F" w:rsidRDefault="00AC4F72" w:rsidP="00AC4F72">
      <w:pPr>
        <w:pStyle w:val="ListParagraph"/>
        <w:numPr>
          <w:ilvl w:val="0"/>
          <w:numId w:val="6"/>
        </w:numPr>
        <w:jc w:val="both"/>
        <w:rPr>
          <w:rFonts w:ascii="Times New Roman" w:hAnsi="Times New Roman" w:cs="Times New Roman"/>
        </w:rPr>
      </w:pPr>
      <w:r w:rsidRPr="00AC4F72">
        <w:rPr>
          <w:rFonts w:ascii="Times New Roman" w:hAnsi="Times New Roman" w:cs="Times New Roman"/>
        </w:rPr>
        <w:t xml:space="preserve">Cook, J. D., Flowers, C. H., &amp; </w:t>
      </w:r>
      <w:proofErr w:type="spellStart"/>
      <w:r w:rsidRPr="00AC4F72">
        <w:rPr>
          <w:rFonts w:ascii="Times New Roman" w:hAnsi="Times New Roman" w:cs="Times New Roman"/>
        </w:rPr>
        <w:t>Skikne</w:t>
      </w:r>
      <w:proofErr w:type="spellEnd"/>
      <w:r w:rsidRPr="00AC4F72">
        <w:rPr>
          <w:rFonts w:ascii="Times New Roman" w:hAnsi="Times New Roman" w:cs="Times New Roman"/>
        </w:rPr>
        <w:t xml:space="preserve">, B. S. (2003). The quantitative assessment of body iron. Blood, 101(9), 3359-3364. </w:t>
      </w:r>
      <w:hyperlink r:id="rId13" w:history="1">
        <w:r w:rsidRPr="00C91F85">
          <w:rPr>
            <w:rStyle w:val="Hyperlink"/>
            <w:rFonts w:ascii="Times New Roman" w:hAnsi="Times New Roman" w:cs="Times New Roman"/>
          </w:rPr>
          <w:t>https://doi.org/10.1182/blood-2002-10-3071</w:t>
        </w:r>
      </w:hyperlink>
      <w:r>
        <w:rPr>
          <w:rFonts w:ascii="Times New Roman" w:hAnsi="Times New Roman" w:cs="Times New Roman"/>
        </w:rPr>
        <w:t xml:space="preserve"> </w:t>
      </w:r>
    </w:p>
    <w:p w14:paraId="549DA556" w14:textId="11B2A9CF" w:rsidR="00263D66" w:rsidRPr="00EF4D2F" w:rsidRDefault="00BC124D" w:rsidP="00BC124D">
      <w:pPr>
        <w:pStyle w:val="ListParagraph"/>
        <w:numPr>
          <w:ilvl w:val="0"/>
          <w:numId w:val="6"/>
        </w:numPr>
        <w:jc w:val="both"/>
        <w:rPr>
          <w:rFonts w:ascii="Times New Roman" w:hAnsi="Times New Roman" w:cs="Times New Roman"/>
        </w:rPr>
      </w:pPr>
      <w:r w:rsidRPr="00BC124D">
        <w:rPr>
          <w:rFonts w:ascii="Times New Roman" w:hAnsi="Times New Roman" w:cs="Times New Roman"/>
        </w:rPr>
        <w:t xml:space="preserve">Lopez, A., Cacoub, P., Macdougall, I. C., &amp; </w:t>
      </w:r>
      <w:proofErr w:type="spellStart"/>
      <w:r w:rsidRPr="00BC124D">
        <w:rPr>
          <w:rFonts w:ascii="Times New Roman" w:hAnsi="Times New Roman" w:cs="Times New Roman"/>
        </w:rPr>
        <w:t>Peyrin-Biroulet</w:t>
      </w:r>
      <w:proofErr w:type="spellEnd"/>
      <w:r w:rsidRPr="00BC124D">
        <w:rPr>
          <w:rFonts w:ascii="Times New Roman" w:hAnsi="Times New Roman" w:cs="Times New Roman"/>
        </w:rPr>
        <w:t xml:space="preserve">, L. (2016). Iron deficiency anaemia. Lancet, 387(10021), 907-916. </w:t>
      </w:r>
      <w:hyperlink r:id="rId14" w:history="1">
        <w:r w:rsidRPr="00C91F85">
          <w:rPr>
            <w:rStyle w:val="Hyperlink"/>
            <w:rFonts w:ascii="Times New Roman" w:hAnsi="Times New Roman" w:cs="Times New Roman"/>
          </w:rPr>
          <w:t>https://doi.org/10.1016/S0140-6736(15)60865-0</w:t>
        </w:r>
      </w:hyperlink>
      <w:r>
        <w:rPr>
          <w:rFonts w:ascii="Times New Roman" w:hAnsi="Times New Roman" w:cs="Times New Roman"/>
        </w:rPr>
        <w:t xml:space="preserve"> </w:t>
      </w:r>
    </w:p>
    <w:p w14:paraId="3EDCAEAE" w14:textId="1F621ED5" w:rsidR="00263D66" w:rsidRPr="00EF4D2F" w:rsidRDefault="00335166" w:rsidP="00335166">
      <w:pPr>
        <w:pStyle w:val="ListParagraph"/>
        <w:numPr>
          <w:ilvl w:val="0"/>
          <w:numId w:val="6"/>
        </w:numPr>
        <w:jc w:val="both"/>
        <w:rPr>
          <w:rFonts w:ascii="Times New Roman" w:hAnsi="Times New Roman" w:cs="Times New Roman"/>
        </w:rPr>
      </w:pPr>
      <w:r w:rsidRPr="00335166">
        <w:rPr>
          <w:rFonts w:ascii="Times New Roman" w:hAnsi="Times New Roman" w:cs="Times New Roman"/>
        </w:rPr>
        <w:t xml:space="preserve">Weiss, G., Ganz, T., &amp; Goodnough, L. T. (2019). Anemia of inflammation. Blood, 133(1), 40-50. </w:t>
      </w:r>
      <w:hyperlink r:id="rId15" w:history="1">
        <w:r w:rsidRPr="00C91F85">
          <w:rPr>
            <w:rStyle w:val="Hyperlink"/>
            <w:rFonts w:ascii="Times New Roman" w:hAnsi="Times New Roman" w:cs="Times New Roman"/>
          </w:rPr>
          <w:t>https://doi.org/10.1182/blood-2018-06-856500</w:t>
        </w:r>
      </w:hyperlink>
      <w:r>
        <w:rPr>
          <w:rFonts w:ascii="Times New Roman" w:hAnsi="Times New Roman" w:cs="Times New Roman"/>
        </w:rPr>
        <w:t xml:space="preserve"> </w:t>
      </w:r>
    </w:p>
    <w:p w14:paraId="33262C44" w14:textId="12182737" w:rsidR="00263D66" w:rsidRPr="00EF4D2F" w:rsidRDefault="00804871" w:rsidP="00804871">
      <w:pPr>
        <w:pStyle w:val="ListParagraph"/>
        <w:numPr>
          <w:ilvl w:val="0"/>
          <w:numId w:val="6"/>
        </w:numPr>
        <w:jc w:val="both"/>
        <w:rPr>
          <w:rFonts w:ascii="Times New Roman" w:hAnsi="Times New Roman" w:cs="Times New Roman"/>
        </w:rPr>
      </w:pPr>
      <w:r w:rsidRPr="00804871">
        <w:rPr>
          <w:rFonts w:ascii="Times New Roman" w:hAnsi="Times New Roman" w:cs="Times New Roman"/>
        </w:rPr>
        <w:t xml:space="preserve">Mei, Z., Cogswell, M. E., Looker, A. C., Pfeiffer, C. M., Cusick, S. E., Lacher, D. A., &amp; Grummer-Strawn, L. M. (2011). Assessment of iron status in US pregnant women from the National Health and Nutrition Examination Survey (NHANES), 1999-2006. American Journal of Clinical Nutrition, 93(6), 1312-1320. </w:t>
      </w:r>
      <w:hyperlink r:id="rId16" w:history="1">
        <w:r w:rsidRPr="00C91F85">
          <w:rPr>
            <w:rStyle w:val="Hyperlink"/>
            <w:rFonts w:ascii="Times New Roman" w:hAnsi="Times New Roman" w:cs="Times New Roman"/>
          </w:rPr>
          <w:t>https://doi.org/10.3945/ajcn.110.007195</w:t>
        </w:r>
      </w:hyperlink>
      <w:r>
        <w:rPr>
          <w:rFonts w:ascii="Times New Roman" w:hAnsi="Times New Roman" w:cs="Times New Roman"/>
        </w:rPr>
        <w:t xml:space="preserve"> </w:t>
      </w:r>
    </w:p>
    <w:p w14:paraId="5A7D0B7C" w14:textId="1EADF735" w:rsidR="00263D66" w:rsidRPr="00EF4D2F" w:rsidRDefault="0081338C" w:rsidP="0081338C">
      <w:pPr>
        <w:pStyle w:val="ListParagraph"/>
        <w:numPr>
          <w:ilvl w:val="0"/>
          <w:numId w:val="6"/>
        </w:numPr>
        <w:jc w:val="both"/>
        <w:rPr>
          <w:rFonts w:ascii="Times New Roman" w:hAnsi="Times New Roman" w:cs="Times New Roman"/>
        </w:rPr>
      </w:pPr>
      <w:r w:rsidRPr="0081338C">
        <w:rPr>
          <w:rFonts w:ascii="Times New Roman" w:hAnsi="Times New Roman" w:cs="Times New Roman"/>
        </w:rPr>
        <w:t xml:space="preserve">Edwards, C. Q., Griffen, L. M., </w:t>
      </w:r>
      <w:proofErr w:type="spellStart"/>
      <w:r w:rsidRPr="0081338C">
        <w:rPr>
          <w:rFonts w:ascii="Times New Roman" w:hAnsi="Times New Roman" w:cs="Times New Roman"/>
        </w:rPr>
        <w:t>Goldgar</w:t>
      </w:r>
      <w:proofErr w:type="spellEnd"/>
      <w:r w:rsidRPr="0081338C">
        <w:rPr>
          <w:rFonts w:ascii="Times New Roman" w:hAnsi="Times New Roman" w:cs="Times New Roman"/>
        </w:rPr>
        <w:t xml:space="preserve">, D., Drummond, C., Skolnick, M. H., &amp; Kushner, J. P. (1988). Prevalence of hemochromatosis among 11,065 presumably healthy blood donors. N Engl J Med, 318(21), 1355-1362. </w:t>
      </w:r>
      <w:hyperlink r:id="rId17" w:history="1">
        <w:r w:rsidRPr="00C91F85">
          <w:rPr>
            <w:rStyle w:val="Hyperlink"/>
            <w:rFonts w:ascii="Times New Roman" w:hAnsi="Times New Roman" w:cs="Times New Roman"/>
          </w:rPr>
          <w:t>https://doi.org/10.1056/NEJM198805263182103</w:t>
        </w:r>
      </w:hyperlink>
      <w:r>
        <w:rPr>
          <w:rFonts w:ascii="Times New Roman" w:hAnsi="Times New Roman" w:cs="Times New Roman"/>
        </w:rPr>
        <w:t xml:space="preserve"> </w:t>
      </w:r>
    </w:p>
    <w:p w14:paraId="0A2E8BA3" w14:textId="6FF445A5" w:rsidR="00263D66" w:rsidRPr="00EF4D2F" w:rsidRDefault="008B6AE8" w:rsidP="008B6AE8">
      <w:pPr>
        <w:pStyle w:val="ListParagraph"/>
        <w:numPr>
          <w:ilvl w:val="0"/>
          <w:numId w:val="6"/>
        </w:numPr>
        <w:jc w:val="both"/>
        <w:rPr>
          <w:rFonts w:ascii="Times New Roman" w:hAnsi="Times New Roman" w:cs="Times New Roman"/>
        </w:rPr>
      </w:pPr>
      <w:r w:rsidRPr="008B6AE8">
        <w:rPr>
          <w:rFonts w:ascii="Times New Roman" w:hAnsi="Times New Roman" w:cs="Times New Roman"/>
        </w:rPr>
        <w:lastRenderedPageBreak/>
        <w:t xml:space="preserve">Nemeth, E., &amp; Ganz, T. (2023). Hepcidin and Iron in Health and Disease. Annu Rev Med, 74, 261-277. </w:t>
      </w:r>
      <w:hyperlink r:id="rId18" w:history="1">
        <w:r w:rsidRPr="00C91F85">
          <w:rPr>
            <w:rStyle w:val="Hyperlink"/>
            <w:rFonts w:ascii="Times New Roman" w:hAnsi="Times New Roman" w:cs="Times New Roman"/>
          </w:rPr>
          <w:t>https://doi.org/10.1146/annurev-med-043021-032816</w:t>
        </w:r>
      </w:hyperlink>
      <w:r>
        <w:rPr>
          <w:rFonts w:ascii="Times New Roman" w:hAnsi="Times New Roman" w:cs="Times New Roman"/>
        </w:rPr>
        <w:t xml:space="preserve"> </w:t>
      </w:r>
    </w:p>
    <w:p w14:paraId="36AF9BCC" w14:textId="5FFB4504" w:rsidR="00263D66" w:rsidRPr="00A84AB2" w:rsidRDefault="008735A9" w:rsidP="008735A9">
      <w:pPr>
        <w:numPr>
          <w:ilvl w:val="0"/>
          <w:numId w:val="6"/>
        </w:numPr>
        <w:rPr>
          <w:rFonts w:ascii="Times New Roman" w:hAnsi="Times New Roman" w:cs="Times New Roman"/>
        </w:rPr>
      </w:pPr>
      <w:r w:rsidRPr="008735A9">
        <w:rPr>
          <w:rFonts w:ascii="Times New Roman" w:hAnsi="Times New Roman" w:cs="Times New Roman"/>
        </w:rPr>
        <w:t xml:space="preserve">Pasricha, S. R., Tye-Din, J., Muckenthaler, M. U., &amp; Swinkels, D. W. (2021). Iron deficiency. The Lancet, 397(10270), 233–248. </w:t>
      </w:r>
      <w:hyperlink r:id="rId19" w:history="1">
        <w:r w:rsidRPr="00C91F85">
          <w:rPr>
            <w:rStyle w:val="Hyperlink"/>
            <w:rFonts w:ascii="Times New Roman" w:hAnsi="Times New Roman" w:cs="Times New Roman"/>
          </w:rPr>
          <w:t>https://doi.org/10.1016/S0140-6736(20)32594-0</w:t>
        </w:r>
      </w:hyperlink>
      <w:r>
        <w:rPr>
          <w:rFonts w:ascii="Times New Roman" w:hAnsi="Times New Roman" w:cs="Times New Roman"/>
        </w:rPr>
        <w:t xml:space="preserve"> </w:t>
      </w:r>
    </w:p>
    <w:p w14:paraId="12379F9E" w14:textId="7EF34D97" w:rsidR="00A84AB2" w:rsidRDefault="00693A3E" w:rsidP="00693A3E">
      <w:pPr>
        <w:numPr>
          <w:ilvl w:val="0"/>
          <w:numId w:val="6"/>
        </w:numPr>
        <w:rPr>
          <w:rFonts w:ascii="Times New Roman" w:hAnsi="Times New Roman" w:cs="Times New Roman"/>
        </w:rPr>
      </w:pPr>
      <w:r w:rsidRPr="00693A3E">
        <w:rPr>
          <w:rFonts w:ascii="Times New Roman" w:hAnsi="Times New Roman" w:cs="Times New Roman"/>
        </w:rPr>
        <w:t xml:space="preserve">Brissot, P., </w:t>
      </w:r>
      <w:proofErr w:type="spellStart"/>
      <w:r w:rsidRPr="00693A3E">
        <w:rPr>
          <w:rFonts w:ascii="Times New Roman" w:hAnsi="Times New Roman" w:cs="Times New Roman"/>
        </w:rPr>
        <w:t>Guyader</w:t>
      </w:r>
      <w:proofErr w:type="spellEnd"/>
      <w:r w:rsidRPr="00693A3E">
        <w:rPr>
          <w:rFonts w:ascii="Times New Roman" w:hAnsi="Times New Roman" w:cs="Times New Roman"/>
        </w:rPr>
        <w:t xml:space="preserve">, D., </w:t>
      </w:r>
      <w:proofErr w:type="spellStart"/>
      <w:r w:rsidRPr="00693A3E">
        <w:rPr>
          <w:rFonts w:ascii="Times New Roman" w:hAnsi="Times New Roman" w:cs="Times New Roman"/>
        </w:rPr>
        <w:t>Loréal</w:t>
      </w:r>
      <w:proofErr w:type="spellEnd"/>
      <w:r w:rsidRPr="00693A3E">
        <w:rPr>
          <w:rFonts w:ascii="Times New Roman" w:hAnsi="Times New Roman" w:cs="Times New Roman"/>
        </w:rPr>
        <w:t xml:space="preserve">, O., </w:t>
      </w:r>
      <w:proofErr w:type="spellStart"/>
      <w:r w:rsidRPr="00693A3E">
        <w:rPr>
          <w:rFonts w:ascii="Times New Roman" w:hAnsi="Times New Roman" w:cs="Times New Roman"/>
        </w:rPr>
        <w:t>Lainé</w:t>
      </w:r>
      <w:proofErr w:type="spellEnd"/>
      <w:r w:rsidRPr="00693A3E">
        <w:rPr>
          <w:rFonts w:ascii="Times New Roman" w:hAnsi="Times New Roman" w:cs="Times New Roman"/>
        </w:rPr>
        <w:t xml:space="preserve">, F., </w:t>
      </w:r>
      <w:proofErr w:type="spellStart"/>
      <w:r w:rsidRPr="00693A3E">
        <w:rPr>
          <w:rFonts w:ascii="Times New Roman" w:hAnsi="Times New Roman" w:cs="Times New Roman"/>
        </w:rPr>
        <w:t>Guillygomarc'h</w:t>
      </w:r>
      <w:proofErr w:type="spellEnd"/>
      <w:r w:rsidRPr="00693A3E">
        <w:rPr>
          <w:rFonts w:ascii="Times New Roman" w:hAnsi="Times New Roman" w:cs="Times New Roman"/>
        </w:rPr>
        <w:t xml:space="preserve">, A., </w:t>
      </w:r>
      <w:proofErr w:type="spellStart"/>
      <w:r w:rsidRPr="00693A3E">
        <w:rPr>
          <w:rFonts w:ascii="Times New Roman" w:hAnsi="Times New Roman" w:cs="Times New Roman"/>
        </w:rPr>
        <w:t>Moirand</w:t>
      </w:r>
      <w:proofErr w:type="spellEnd"/>
      <w:r w:rsidRPr="00693A3E">
        <w:rPr>
          <w:rFonts w:ascii="Times New Roman" w:hAnsi="Times New Roman" w:cs="Times New Roman"/>
        </w:rPr>
        <w:t xml:space="preserve">, R., &amp; </w:t>
      </w:r>
      <w:proofErr w:type="spellStart"/>
      <w:r w:rsidRPr="00693A3E">
        <w:rPr>
          <w:rFonts w:ascii="Times New Roman" w:hAnsi="Times New Roman" w:cs="Times New Roman"/>
        </w:rPr>
        <w:t>Deugnier</w:t>
      </w:r>
      <w:proofErr w:type="spellEnd"/>
      <w:r w:rsidRPr="00693A3E">
        <w:rPr>
          <w:rFonts w:ascii="Times New Roman" w:hAnsi="Times New Roman" w:cs="Times New Roman"/>
        </w:rPr>
        <w:t xml:space="preserve">, Y. (2000). Clinical aspects of hemochromatosis. Transfusion Science, 23(3), 193–200. </w:t>
      </w:r>
      <w:hyperlink r:id="rId20" w:history="1">
        <w:r w:rsidRPr="00C91F85">
          <w:rPr>
            <w:rStyle w:val="Hyperlink"/>
            <w:rFonts w:ascii="Times New Roman" w:hAnsi="Times New Roman" w:cs="Times New Roman"/>
          </w:rPr>
          <w:t>https://doi.org/10.1016/s0955-3886(00)00088-6</w:t>
        </w:r>
      </w:hyperlink>
      <w:r>
        <w:rPr>
          <w:rFonts w:ascii="Times New Roman" w:hAnsi="Times New Roman" w:cs="Times New Roman"/>
        </w:rPr>
        <w:t xml:space="preserve"> </w:t>
      </w:r>
    </w:p>
    <w:p w14:paraId="62E876F4" w14:textId="67CEC76C" w:rsidR="00C33961" w:rsidRDefault="00C33961" w:rsidP="00693A3E">
      <w:pPr>
        <w:numPr>
          <w:ilvl w:val="0"/>
          <w:numId w:val="6"/>
        </w:numPr>
        <w:rPr>
          <w:rFonts w:ascii="Times New Roman" w:hAnsi="Times New Roman" w:cs="Times New Roman"/>
        </w:rPr>
      </w:pPr>
      <w:r w:rsidRPr="00C33961">
        <w:rPr>
          <w:rFonts w:ascii="Times New Roman" w:hAnsi="Times New Roman" w:cs="Times New Roman"/>
        </w:rPr>
        <w:t xml:space="preserve">Jonsson JJ, Johannesson GM, Sigfusson N, Magnusson B, </w:t>
      </w:r>
      <w:proofErr w:type="spellStart"/>
      <w:r w:rsidRPr="00C33961">
        <w:rPr>
          <w:rFonts w:ascii="Times New Roman" w:hAnsi="Times New Roman" w:cs="Times New Roman"/>
        </w:rPr>
        <w:t>Thjodleifsson</w:t>
      </w:r>
      <w:proofErr w:type="spellEnd"/>
      <w:r w:rsidRPr="00C33961">
        <w:rPr>
          <w:rFonts w:ascii="Times New Roman" w:hAnsi="Times New Roman" w:cs="Times New Roman"/>
        </w:rPr>
        <w:t xml:space="preserve"> B, Magnusson S. Prevalence of iron deficiency and iron overload in the adult Icelandic population. J Clin </w:t>
      </w:r>
      <w:proofErr w:type="spellStart"/>
      <w:r w:rsidRPr="00C33961">
        <w:rPr>
          <w:rFonts w:ascii="Times New Roman" w:hAnsi="Times New Roman" w:cs="Times New Roman"/>
        </w:rPr>
        <w:t>Epidemiol</w:t>
      </w:r>
      <w:proofErr w:type="spellEnd"/>
      <w:r w:rsidRPr="00C33961">
        <w:rPr>
          <w:rFonts w:ascii="Times New Roman" w:hAnsi="Times New Roman" w:cs="Times New Roman"/>
        </w:rPr>
        <w:t>. 1991;44(12):1289-97.</w:t>
      </w:r>
    </w:p>
    <w:p w14:paraId="3A5B0280" w14:textId="77777777" w:rsidR="00C33961" w:rsidRPr="00EF4D2F" w:rsidRDefault="00C33961" w:rsidP="00C33961">
      <w:pPr>
        <w:rPr>
          <w:rFonts w:ascii="Times New Roman" w:hAnsi="Times New Roman" w:cs="Times New Roman"/>
        </w:rPr>
      </w:pPr>
    </w:p>
    <w:sectPr w:rsidR="00C33961" w:rsidRPr="00EF4D2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7C821" w14:textId="77777777" w:rsidR="007260A1" w:rsidRDefault="007260A1" w:rsidP="00263D66">
      <w:pPr>
        <w:spacing w:after="0" w:line="240" w:lineRule="auto"/>
      </w:pPr>
      <w:r>
        <w:separator/>
      </w:r>
    </w:p>
  </w:endnote>
  <w:endnote w:type="continuationSeparator" w:id="0">
    <w:p w14:paraId="05F641C2" w14:textId="77777777" w:rsidR="007260A1" w:rsidRDefault="007260A1" w:rsidP="0026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9F94" w14:textId="77777777" w:rsidR="00A6251C" w:rsidRDefault="00A6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040A9" w14:textId="77777777" w:rsidR="00A6251C" w:rsidRDefault="00A62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69FB" w14:textId="77777777" w:rsidR="00A6251C" w:rsidRDefault="00A6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AA37C" w14:textId="77777777" w:rsidR="007260A1" w:rsidRDefault="007260A1" w:rsidP="00263D66">
      <w:pPr>
        <w:spacing w:after="0" w:line="240" w:lineRule="auto"/>
      </w:pPr>
      <w:r>
        <w:separator/>
      </w:r>
    </w:p>
  </w:footnote>
  <w:footnote w:type="continuationSeparator" w:id="0">
    <w:p w14:paraId="4A53629C" w14:textId="77777777" w:rsidR="007260A1" w:rsidRDefault="007260A1" w:rsidP="0026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C064" w14:textId="7C778A39" w:rsidR="00A6251C" w:rsidRDefault="007260A1">
    <w:pPr>
      <w:pStyle w:val="Header"/>
    </w:pPr>
    <w:r>
      <w:rPr>
        <w:noProof/>
      </w:rPr>
      <w:pict w14:anchorId="17038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6D52" w14:textId="50425886" w:rsidR="00A6251C" w:rsidRDefault="007260A1">
    <w:pPr>
      <w:pStyle w:val="Header"/>
    </w:pPr>
    <w:r>
      <w:rPr>
        <w:noProof/>
      </w:rPr>
      <w:pict w14:anchorId="61E60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C605" w14:textId="6D39A9A1" w:rsidR="00A6251C" w:rsidRDefault="007260A1">
    <w:pPr>
      <w:pStyle w:val="Header"/>
    </w:pPr>
    <w:r>
      <w:rPr>
        <w:noProof/>
      </w:rPr>
      <w:pict w14:anchorId="429F1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2977"/>
    <w:multiLevelType w:val="multilevel"/>
    <w:tmpl w:val="DFA6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324C7"/>
    <w:multiLevelType w:val="hybridMultilevel"/>
    <w:tmpl w:val="464C5B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08369F"/>
    <w:multiLevelType w:val="multilevel"/>
    <w:tmpl w:val="776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52D18"/>
    <w:multiLevelType w:val="multilevel"/>
    <w:tmpl w:val="6FE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A3DDB"/>
    <w:multiLevelType w:val="multilevel"/>
    <w:tmpl w:val="870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6047F"/>
    <w:multiLevelType w:val="multilevel"/>
    <w:tmpl w:val="32C0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09"/>
    <w:rsid w:val="0001604F"/>
    <w:rsid w:val="00030750"/>
    <w:rsid w:val="000652DF"/>
    <w:rsid w:val="00091476"/>
    <w:rsid w:val="000B71A2"/>
    <w:rsid w:val="000D04DE"/>
    <w:rsid w:val="000F6529"/>
    <w:rsid w:val="00161A77"/>
    <w:rsid w:val="001754C6"/>
    <w:rsid w:val="0017744E"/>
    <w:rsid w:val="0019152B"/>
    <w:rsid w:val="001B398E"/>
    <w:rsid w:val="001B7C4B"/>
    <w:rsid w:val="001D3511"/>
    <w:rsid w:val="001D7113"/>
    <w:rsid w:val="00224C66"/>
    <w:rsid w:val="002270DC"/>
    <w:rsid w:val="00263D66"/>
    <w:rsid w:val="002677E7"/>
    <w:rsid w:val="002833E3"/>
    <w:rsid w:val="002876CF"/>
    <w:rsid w:val="00295070"/>
    <w:rsid w:val="002A1B5F"/>
    <w:rsid w:val="002E006E"/>
    <w:rsid w:val="00324DC5"/>
    <w:rsid w:val="00335166"/>
    <w:rsid w:val="00342AB6"/>
    <w:rsid w:val="00361477"/>
    <w:rsid w:val="0036741C"/>
    <w:rsid w:val="00396616"/>
    <w:rsid w:val="003B7506"/>
    <w:rsid w:val="00462F4A"/>
    <w:rsid w:val="004B58C0"/>
    <w:rsid w:val="004D151D"/>
    <w:rsid w:val="004E6ED7"/>
    <w:rsid w:val="00507B18"/>
    <w:rsid w:val="00537766"/>
    <w:rsid w:val="005A6B42"/>
    <w:rsid w:val="006119C5"/>
    <w:rsid w:val="00693A3E"/>
    <w:rsid w:val="006B45E8"/>
    <w:rsid w:val="006D614B"/>
    <w:rsid w:val="00721D0F"/>
    <w:rsid w:val="007260A1"/>
    <w:rsid w:val="007C4582"/>
    <w:rsid w:val="007D111A"/>
    <w:rsid w:val="007E520C"/>
    <w:rsid w:val="00804871"/>
    <w:rsid w:val="0081338C"/>
    <w:rsid w:val="00822F21"/>
    <w:rsid w:val="00867670"/>
    <w:rsid w:val="008710FF"/>
    <w:rsid w:val="008735A9"/>
    <w:rsid w:val="00896C82"/>
    <w:rsid w:val="008B6AE8"/>
    <w:rsid w:val="008C6F38"/>
    <w:rsid w:val="008E102F"/>
    <w:rsid w:val="00916512"/>
    <w:rsid w:val="00941CAB"/>
    <w:rsid w:val="00953C69"/>
    <w:rsid w:val="009744FC"/>
    <w:rsid w:val="00974B0B"/>
    <w:rsid w:val="00992CB4"/>
    <w:rsid w:val="009A23FA"/>
    <w:rsid w:val="009E3B5C"/>
    <w:rsid w:val="009F7D43"/>
    <w:rsid w:val="00A12627"/>
    <w:rsid w:val="00A4549A"/>
    <w:rsid w:val="00A5448A"/>
    <w:rsid w:val="00A54702"/>
    <w:rsid w:val="00A6251C"/>
    <w:rsid w:val="00A84AB2"/>
    <w:rsid w:val="00A90A73"/>
    <w:rsid w:val="00AA6C48"/>
    <w:rsid w:val="00AC4F72"/>
    <w:rsid w:val="00AC75BB"/>
    <w:rsid w:val="00AD1D87"/>
    <w:rsid w:val="00AE0C81"/>
    <w:rsid w:val="00AF776C"/>
    <w:rsid w:val="00B17B7B"/>
    <w:rsid w:val="00B76543"/>
    <w:rsid w:val="00BC04B7"/>
    <w:rsid w:val="00BC124D"/>
    <w:rsid w:val="00C04355"/>
    <w:rsid w:val="00C146F2"/>
    <w:rsid w:val="00C30002"/>
    <w:rsid w:val="00C323A8"/>
    <w:rsid w:val="00C33961"/>
    <w:rsid w:val="00C466F9"/>
    <w:rsid w:val="00C507AA"/>
    <w:rsid w:val="00C757D0"/>
    <w:rsid w:val="00CA067B"/>
    <w:rsid w:val="00CD328B"/>
    <w:rsid w:val="00D64412"/>
    <w:rsid w:val="00D81C68"/>
    <w:rsid w:val="00DD3004"/>
    <w:rsid w:val="00DE643F"/>
    <w:rsid w:val="00E05A26"/>
    <w:rsid w:val="00E140B6"/>
    <w:rsid w:val="00E14446"/>
    <w:rsid w:val="00E25980"/>
    <w:rsid w:val="00E45521"/>
    <w:rsid w:val="00E52BAE"/>
    <w:rsid w:val="00E65BE4"/>
    <w:rsid w:val="00E82340"/>
    <w:rsid w:val="00E93CD4"/>
    <w:rsid w:val="00EA60D3"/>
    <w:rsid w:val="00EF4D2F"/>
    <w:rsid w:val="00F44513"/>
    <w:rsid w:val="00F46450"/>
    <w:rsid w:val="00F47F3E"/>
    <w:rsid w:val="00F50D09"/>
    <w:rsid w:val="00FA34F1"/>
    <w:rsid w:val="00FD74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725E3"/>
  <w15:chartTrackingRefBased/>
  <w15:docId w15:val="{C52A507A-CDC9-4A66-AF6B-95C7C171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D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D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D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D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D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D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D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D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D09"/>
    <w:rPr>
      <w:rFonts w:eastAsiaTheme="majorEastAsia" w:cstheme="majorBidi"/>
      <w:color w:val="272727" w:themeColor="text1" w:themeTint="D8"/>
    </w:rPr>
  </w:style>
  <w:style w:type="paragraph" w:styleId="Title">
    <w:name w:val="Title"/>
    <w:basedOn w:val="Normal"/>
    <w:next w:val="Normal"/>
    <w:link w:val="TitleChar"/>
    <w:uiPriority w:val="10"/>
    <w:qFormat/>
    <w:rsid w:val="00F5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D09"/>
    <w:pPr>
      <w:spacing w:before="160"/>
      <w:jc w:val="center"/>
    </w:pPr>
    <w:rPr>
      <w:i/>
      <w:iCs/>
      <w:color w:val="404040" w:themeColor="text1" w:themeTint="BF"/>
    </w:rPr>
  </w:style>
  <w:style w:type="character" w:customStyle="1" w:styleId="QuoteChar">
    <w:name w:val="Quote Char"/>
    <w:basedOn w:val="DefaultParagraphFont"/>
    <w:link w:val="Quote"/>
    <w:uiPriority w:val="29"/>
    <w:rsid w:val="00F50D09"/>
    <w:rPr>
      <w:i/>
      <w:iCs/>
      <w:color w:val="404040" w:themeColor="text1" w:themeTint="BF"/>
    </w:rPr>
  </w:style>
  <w:style w:type="paragraph" w:styleId="ListParagraph">
    <w:name w:val="List Paragraph"/>
    <w:basedOn w:val="Normal"/>
    <w:uiPriority w:val="34"/>
    <w:qFormat/>
    <w:rsid w:val="00F50D09"/>
    <w:pPr>
      <w:ind w:left="720"/>
      <w:contextualSpacing/>
    </w:pPr>
  </w:style>
  <w:style w:type="character" w:styleId="IntenseEmphasis">
    <w:name w:val="Intense Emphasis"/>
    <w:basedOn w:val="DefaultParagraphFont"/>
    <w:uiPriority w:val="21"/>
    <w:qFormat/>
    <w:rsid w:val="00F50D09"/>
    <w:rPr>
      <w:i/>
      <w:iCs/>
      <w:color w:val="2F5496" w:themeColor="accent1" w:themeShade="BF"/>
    </w:rPr>
  </w:style>
  <w:style w:type="paragraph" w:styleId="IntenseQuote">
    <w:name w:val="Intense Quote"/>
    <w:basedOn w:val="Normal"/>
    <w:next w:val="Normal"/>
    <w:link w:val="IntenseQuoteChar"/>
    <w:uiPriority w:val="30"/>
    <w:qFormat/>
    <w:rsid w:val="00F50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D09"/>
    <w:rPr>
      <w:i/>
      <w:iCs/>
      <w:color w:val="2F5496" w:themeColor="accent1" w:themeShade="BF"/>
    </w:rPr>
  </w:style>
  <w:style w:type="character" w:styleId="IntenseReference">
    <w:name w:val="Intense Reference"/>
    <w:basedOn w:val="DefaultParagraphFont"/>
    <w:uiPriority w:val="32"/>
    <w:qFormat/>
    <w:rsid w:val="00F50D09"/>
    <w:rPr>
      <w:b/>
      <w:bCs/>
      <w:smallCaps/>
      <w:color w:val="2F5496" w:themeColor="accent1" w:themeShade="BF"/>
      <w:spacing w:val="5"/>
    </w:rPr>
  </w:style>
  <w:style w:type="paragraph" w:styleId="NoSpacing">
    <w:name w:val="No Spacing"/>
    <w:uiPriority w:val="1"/>
    <w:qFormat/>
    <w:rsid w:val="000B71A2"/>
    <w:pPr>
      <w:spacing w:after="0" w:line="240" w:lineRule="auto"/>
    </w:pPr>
  </w:style>
  <w:style w:type="paragraph" w:styleId="Header">
    <w:name w:val="header"/>
    <w:basedOn w:val="Normal"/>
    <w:link w:val="HeaderChar"/>
    <w:uiPriority w:val="99"/>
    <w:unhideWhenUsed/>
    <w:rsid w:val="00263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D66"/>
  </w:style>
  <w:style w:type="paragraph" w:styleId="Footer">
    <w:name w:val="footer"/>
    <w:basedOn w:val="Normal"/>
    <w:link w:val="FooterChar"/>
    <w:uiPriority w:val="99"/>
    <w:unhideWhenUsed/>
    <w:rsid w:val="00263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D66"/>
  </w:style>
  <w:style w:type="character" w:styleId="Hyperlink">
    <w:name w:val="Hyperlink"/>
    <w:basedOn w:val="DefaultParagraphFont"/>
    <w:uiPriority w:val="99"/>
    <w:unhideWhenUsed/>
    <w:rsid w:val="00B76543"/>
    <w:rPr>
      <w:color w:val="0563C1" w:themeColor="hyperlink"/>
      <w:u w:val="single"/>
    </w:rPr>
  </w:style>
  <w:style w:type="character" w:customStyle="1" w:styleId="UnresolvedMention1">
    <w:name w:val="Unresolved Mention1"/>
    <w:basedOn w:val="DefaultParagraphFont"/>
    <w:uiPriority w:val="99"/>
    <w:semiHidden/>
    <w:unhideWhenUsed/>
    <w:rsid w:val="00B76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2/physrev.00008.2013" TargetMode="External"/><Relationship Id="rId13" Type="http://schemas.openxmlformats.org/officeDocument/2006/relationships/hyperlink" Target="https://doi.org/10.1182/blood-2002-10-3071" TargetMode="External"/><Relationship Id="rId18" Type="http://schemas.openxmlformats.org/officeDocument/2006/relationships/hyperlink" Target="https://doi.org/10.1146/annurev-med-043021-03281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46/annurev-med-050109-142444" TargetMode="External"/><Relationship Id="rId12" Type="http://schemas.openxmlformats.org/officeDocument/2006/relationships/hyperlink" Target="https://doi.org/10.1007/BF02598003" TargetMode="External"/><Relationship Id="rId17" Type="http://schemas.openxmlformats.org/officeDocument/2006/relationships/hyperlink" Target="https://doi.org/10.1056/NEJM19880526318210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945/ajcn.110.007195" TargetMode="External"/><Relationship Id="rId20" Type="http://schemas.openxmlformats.org/officeDocument/2006/relationships/hyperlink" Target="https://doi.org/10.1016/s0955-3886(00)0008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bamcr.2006.05.01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2/blood-2018-06-85650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02/hep.24330" TargetMode="External"/><Relationship Id="rId19" Type="http://schemas.openxmlformats.org/officeDocument/2006/relationships/hyperlink" Target="https://doi.org/10.1016/S0140-6736(20)32594-0" TargetMode="External"/><Relationship Id="rId4" Type="http://schemas.openxmlformats.org/officeDocument/2006/relationships/webSettings" Target="webSettings.xml"/><Relationship Id="rId9" Type="http://schemas.openxmlformats.org/officeDocument/2006/relationships/hyperlink" Target="https://doi.org/10.1056/NEJMra1401038" TargetMode="External"/><Relationship Id="rId14" Type="http://schemas.openxmlformats.org/officeDocument/2006/relationships/hyperlink" Target="https://doi.org/10.1016/S0140-6736(15)60865-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9</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dc:creator>
  <cp:keywords/>
  <dc:description/>
  <cp:lastModifiedBy>Editor-1183</cp:lastModifiedBy>
  <cp:revision>106</cp:revision>
  <dcterms:created xsi:type="dcterms:W3CDTF">2025-11-25T16:51:00Z</dcterms:created>
  <dcterms:modified xsi:type="dcterms:W3CDTF">2025-12-17T07:51:00Z</dcterms:modified>
</cp:coreProperties>
</file>