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B1A81" w14:textId="6C12EFFC" w:rsidR="00E131AE" w:rsidRPr="00015070" w:rsidRDefault="00A81EF5" w:rsidP="00A31491">
      <w:pPr>
        <w:spacing w:after="0" w:line="360" w:lineRule="auto"/>
        <w:rPr>
          <w:rFonts w:ascii="Times New Roman" w:hAnsi="Times New Roman" w:cs="Times New Roman"/>
          <w:b/>
          <w:bCs/>
          <w:color w:val="000000" w:themeColor="text1"/>
          <w:sz w:val="24"/>
          <w:szCs w:val="24"/>
          <w:lang w:val="en-US"/>
        </w:rPr>
      </w:pPr>
      <w:r w:rsidRPr="00015070">
        <w:rPr>
          <w:rFonts w:ascii="Times New Roman" w:hAnsi="Times New Roman" w:cs="Times New Roman"/>
          <w:b/>
          <w:bCs/>
          <w:color w:val="000000" w:themeColor="text1"/>
          <w:sz w:val="24"/>
          <w:szCs w:val="24"/>
          <w:lang w:val="en-US"/>
        </w:rPr>
        <w:t xml:space="preserve">Stability of </w:t>
      </w:r>
      <w:proofErr w:type="spellStart"/>
      <w:r w:rsidRPr="00015070">
        <w:rPr>
          <w:rFonts w:ascii="Times New Roman" w:hAnsi="Times New Roman" w:cs="Times New Roman"/>
          <w:b/>
          <w:bCs/>
          <w:color w:val="000000" w:themeColor="text1"/>
          <w:sz w:val="24"/>
          <w:szCs w:val="24"/>
          <w:lang w:val="en-US"/>
        </w:rPr>
        <w:t>Misola</w:t>
      </w:r>
      <w:proofErr w:type="spellEnd"/>
      <w:r w:rsidRPr="00015070">
        <w:rPr>
          <w:rFonts w:ascii="Times New Roman" w:hAnsi="Times New Roman" w:cs="Times New Roman"/>
          <w:b/>
          <w:bCs/>
          <w:color w:val="000000" w:themeColor="text1"/>
          <w:sz w:val="24"/>
          <w:szCs w:val="24"/>
          <w:lang w:val="en-US"/>
        </w:rPr>
        <w:t>® Fortified Infant Flour under Sahelian Climatic Conditions in Niger</w:t>
      </w:r>
    </w:p>
    <w:p w14:paraId="2A47C677" w14:textId="77777777" w:rsidR="0055528E" w:rsidRPr="00015070" w:rsidRDefault="0055528E" w:rsidP="00A31491">
      <w:pPr>
        <w:spacing w:after="0" w:line="360" w:lineRule="auto"/>
        <w:rPr>
          <w:rFonts w:ascii="Times New Roman" w:hAnsi="Times New Roman" w:cs="Times New Roman"/>
          <w:color w:val="000000" w:themeColor="text1"/>
          <w:sz w:val="24"/>
          <w:szCs w:val="24"/>
          <w:lang w:val="en-US"/>
        </w:rPr>
      </w:pPr>
    </w:p>
    <w:p w14:paraId="5BFC57A3" w14:textId="77777777" w:rsidR="00A87E89" w:rsidRPr="00015070" w:rsidRDefault="00A87E89" w:rsidP="00A31491">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b/>
          <w:bCs/>
          <w:color w:val="000000" w:themeColor="text1"/>
          <w:sz w:val="24"/>
          <w:szCs w:val="24"/>
          <w:lang w:val="en-US"/>
        </w:rPr>
        <w:t>Abstract</w:t>
      </w:r>
    </w:p>
    <w:p w14:paraId="710E6745" w14:textId="21749EC9" w:rsidR="00A87E89" w:rsidRPr="00015070" w:rsidRDefault="00A87E89" w:rsidP="00A31491">
      <w:pPr>
        <w:spacing w:after="0" w:line="360" w:lineRule="auto"/>
        <w:jc w:val="both"/>
        <w:rPr>
          <w:rFonts w:ascii="Times New Roman" w:hAnsi="Times New Roman" w:cs="Times New Roman"/>
          <w:color w:val="000000" w:themeColor="text1"/>
          <w:sz w:val="24"/>
          <w:szCs w:val="24"/>
          <w:lang w:val="en-US"/>
        </w:rPr>
      </w:pPr>
      <w:proofErr w:type="spellStart"/>
      <w:r w:rsidRPr="00015070">
        <w:rPr>
          <w:rFonts w:ascii="Times New Roman" w:hAnsi="Times New Roman" w:cs="Times New Roman"/>
          <w:color w:val="000000" w:themeColor="text1"/>
          <w:sz w:val="24"/>
          <w:szCs w:val="24"/>
          <w:lang w:val="en-US"/>
        </w:rPr>
        <w:t>Misola</w:t>
      </w:r>
      <w:proofErr w:type="spellEnd"/>
      <w:r w:rsidR="003A24A8" w:rsidRPr="00015070">
        <w:rPr>
          <w:rFonts w:ascii="Times New Roman" w:hAnsi="Times New Roman" w:cs="Times New Roman"/>
          <w:color w:val="000000" w:themeColor="text1"/>
          <w:sz w:val="24"/>
          <w:szCs w:val="24"/>
          <w:lang w:val="en-US"/>
        </w:rPr>
        <w:t>®</w:t>
      </w:r>
      <w:r w:rsidRPr="00015070">
        <w:rPr>
          <w:rFonts w:ascii="Times New Roman" w:hAnsi="Times New Roman" w:cs="Times New Roman"/>
          <w:color w:val="000000" w:themeColor="text1"/>
          <w:sz w:val="24"/>
          <w:szCs w:val="24"/>
          <w:lang w:val="en-US"/>
        </w:rPr>
        <w:t xml:space="preserve"> </w:t>
      </w:r>
      <w:r w:rsidR="003A24A8" w:rsidRPr="00015070">
        <w:rPr>
          <w:rFonts w:ascii="Times New Roman" w:hAnsi="Times New Roman" w:cs="Times New Roman"/>
          <w:color w:val="000000" w:themeColor="text1"/>
          <w:sz w:val="24"/>
          <w:szCs w:val="24"/>
          <w:lang w:val="en-US"/>
        </w:rPr>
        <w:t xml:space="preserve">locally </w:t>
      </w:r>
      <w:r w:rsidRPr="00015070">
        <w:rPr>
          <w:rFonts w:ascii="Times New Roman" w:hAnsi="Times New Roman" w:cs="Times New Roman"/>
          <w:color w:val="000000" w:themeColor="text1"/>
          <w:sz w:val="24"/>
          <w:szCs w:val="24"/>
          <w:lang w:val="en-US"/>
        </w:rPr>
        <w:t xml:space="preserve">fortified infant flour, widely used in nutritional programs, nevertheless faces uncertainties regarding its stability under local climatic conditions. This study aims to determine </w:t>
      </w:r>
      <w:r w:rsidR="009F3BA8" w:rsidRPr="00015070">
        <w:rPr>
          <w:rFonts w:ascii="Times New Roman" w:hAnsi="Times New Roman" w:cs="Times New Roman"/>
          <w:color w:val="000000" w:themeColor="text1"/>
          <w:sz w:val="24"/>
          <w:szCs w:val="24"/>
          <w:lang w:val="en-US"/>
        </w:rPr>
        <w:t>the</w:t>
      </w:r>
      <w:r w:rsidRPr="00015070">
        <w:rPr>
          <w:rFonts w:ascii="Times New Roman" w:hAnsi="Times New Roman" w:cs="Times New Roman"/>
          <w:color w:val="000000" w:themeColor="text1"/>
          <w:sz w:val="24"/>
          <w:szCs w:val="24"/>
          <w:lang w:val="en-US"/>
        </w:rPr>
        <w:t xml:space="preserve"> physicochemical, </w:t>
      </w:r>
      <w:r w:rsidR="00A81EF5" w:rsidRPr="00015070">
        <w:rPr>
          <w:rFonts w:ascii="Times New Roman" w:hAnsi="Times New Roman" w:cs="Times New Roman"/>
          <w:color w:val="000000" w:themeColor="text1"/>
          <w:sz w:val="24"/>
          <w:szCs w:val="24"/>
          <w:lang w:val="en-US"/>
        </w:rPr>
        <w:t>microbiological</w:t>
      </w:r>
      <w:r w:rsidRPr="00015070">
        <w:rPr>
          <w:rFonts w:ascii="Times New Roman" w:hAnsi="Times New Roman" w:cs="Times New Roman"/>
          <w:color w:val="000000" w:themeColor="text1"/>
          <w:sz w:val="24"/>
          <w:szCs w:val="24"/>
          <w:lang w:val="en-US"/>
        </w:rPr>
        <w:t xml:space="preserve">, and sensory stability </w:t>
      </w:r>
      <w:r w:rsidR="009F3BA8" w:rsidRPr="00015070">
        <w:rPr>
          <w:rFonts w:ascii="Times New Roman" w:hAnsi="Times New Roman" w:cs="Times New Roman"/>
          <w:color w:val="000000" w:themeColor="text1"/>
          <w:sz w:val="24"/>
          <w:szCs w:val="24"/>
          <w:lang w:val="en-US"/>
        </w:rPr>
        <w:t>to</w:t>
      </w:r>
      <w:r w:rsidRPr="00015070">
        <w:rPr>
          <w:rFonts w:ascii="Times New Roman" w:hAnsi="Times New Roman" w:cs="Times New Roman"/>
          <w:color w:val="000000" w:themeColor="text1"/>
          <w:sz w:val="24"/>
          <w:szCs w:val="24"/>
          <w:lang w:val="en-US"/>
        </w:rPr>
        <w:t xml:space="preserve"> establish optimal storage conditions. The study was conducted in Niamey, and two types of food packaging (plastic and aluminum) were used to monitor stability parameters over </w:t>
      </w:r>
      <w:r w:rsidR="00661885" w:rsidRPr="00015070">
        <w:rPr>
          <w:rFonts w:ascii="Times New Roman" w:hAnsi="Times New Roman" w:cs="Times New Roman"/>
          <w:color w:val="000000" w:themeColor="text1"/>
          <w:sz w:val="24"/>
          <w:szCs w:val="24"/>
          <w:lang w:val="en-US"/>
        </w:rPr>
        <w:t>6 months</w:t>
      </w:r>
      <w:r w:rsidRPr="00015070">
        <w:rPr>
          <w:rFonts w:ascii="Times New Roman" w:hAnsi="Times New Roman" w:cs="Times New Roman"/>
          <w:color w:val="000000" w:themeColor="text1"/>
          <w:sz w:val="24"/>
          <w:szCs w:val="24"/>
          <w:lang w:val="en-US"/>
        </w:rPr>
        <w:t xml:space="preserve">. Physicochemical (water content, pH, ash, fatty acidity), microbiological (yeasts, molds, coliforms, aerobic bacteria), and sensory (taste, odor, color, acceptability) analyses were performed at different time points (T0, T2, T3, T4, T6). </w:t>
      </w:r>
      <w:r w:rsidR="00B55CDF" w:rsidRPr="00015070">
        <w:rPr>
          <w:rFonts w:ascii="Times New Roman" w:hAnsi="Times New Roman" w:cs="Times New Roman"/>
          <w:color w:val="000000" w:themeColor="text1"/>
          <w:sz w:val="24"/>
          <w:szCs w:val="24"/>
          <w:lang w:val="en-US"/>
        </w:rPr>
        <w:t xml:space="preserve">The physicochemical analyses indicate good stability of </w:t>
      </w:r>
      <w:proofErr w:type="spellStart"/>
      <w:r w:rsidR="00B55CDF" w:rsidRPr="00015070">
        <w:rPr>
          <w:rFonts w:ascii="Times New Roman" w:hAnsi="Times New Roman" w:cs="Times New Roman"/>
          <w:color w:val="000000" w:themeColor="text1"/>
          <w:sz w:val="24"/>
          <w:szCs w:val="24"/>
          <w:lang w:val="en-US"/>
        </w:rPr>
        <w:t>Misola</w:t>
      </w:r>
      <w:proofErr w:type="spellEnd"/>
      <w:r w:rsidR="00B55CDF" w:rsidRPr="00015070">
        <w:rPr>
          <w:rFonts w:ascii="Times New Roman" w:hAnsi="Times New Roman" w:cs="Times New Roman"/>
          <w:color w:val="000000" w:themeColor="text1"/>
          <w:sz w:val="24"/>
          <w:szCs w:val="24"/>
          <w:lang w:val="en-US"/>
        </w:rPr>
        <w:t>®, with moisture, lipid content, pH, and ash showing only slight variations over the storage period: moisture ranged from 3.15% to 4.7%, lipids from 13.6% to 16.3%, pH from 5.30 to 5.15, and ash from 3.01% to 2.94%. Microbiological and sensory evaluations also remained satisfactory, as the flour consistently met safety standards and retained good consumer acceptability, with no noticeable changes in taste or odor.</w:t>
      </w:r>
      <w:r w:rsidRPr="00015070">
        <w:rPr>
          <w:rFonts w:ascii="Times New Roman" w:hAnsi="Times New Roman" w:cs="Times New Roman"/>
          <w:color w:val="000000" w:themeColor="text1"/>
          <w:sz w:val="24"/>
          <w:szCs w:val="24"/>
          <w:lang w:val="en-US"/>
        </w:rPr>
        <w:t xml:space="preserve"> These results confirm that </w:t>
      </w:r>
      <w:proofErr w:type="spellStart"/>
      <w:r w:rsidRPr="00015070">
        <w:rPr>
          <w:rFonts w:ascii="Times New Roman" w:hAnsi="Times New Roman" w:cs="Times New Roman"/>
          <w:color w:val="000000" w:themeColor="text1"/>
          <w:sz w:val="24"/>
          <w:szCs w:val="24"/>
          <w:lang w:val="en-US"/>
        </w:rPr>
        <w:t>Misola</w:t>
      </w:r>
      <w:proofErr w:type="spellEnd"/>
      <w:r w:rsidRPr="00015070">
        <w:rPr>
          <w:rFonts w:ascii="Times New Roman" w:hAnsi="Times New Roman" w:cs="Times New Roman"/>
          <w:color w:val="000000" w:themeColor="text1"/>
          <w:sz w:val="24"/>
          <w:szCs w:val="24"/>
          <w:lang w:val="en-US"/>
        </w:rPr>
        <w:t xml:space="preserve">® fortified infant flour can be safely stored for </w:t>
      </w:r>
      <w:r w:rsidR="009F3BA8" w:rsidRPr="00015070">
        <w:rPr>
          <w:rFonts w:ascii="Times New Roman" w:hAnsi="Times New Roman" w:cs="Times New Roman"/>
          <w:color w:val="000000" w:themeColor="text1"/>
          <w:sz w:val="24"/>
          <w:szCs w:val="24"/>
          <w:lang w:val="en-US"/>
        </w:rPr>
        <w:t>6 months in both packaging types, thereby ensuring</w:t>
      </w:r>
      <w:r w:rsidRPr="00015070">
        <w:rPr>
          <w:rFonts w:ascii="Times New Roman" w:hAnsi="Times New Roman" w:cs="Times New Roman"/>
          <w:color w:val="000000" w:themeColor="text1"/>
          <w:sz w:val="24"/>
          <w:szCs w:val="24"/>
          <w:lang w:val="en-US"/>
        </w:rPr>
        <w:t xml:space="preserve"> its quality in nutritional programs.</w:t>
      </w:r>
    </w:p>
    <w:p w14:paraId="0F44CA11" w14:textId="509CAF16" w:rsidR="0055528E" w:rsidRPr="00015070" w:rsidRDefault="00A87E89" w:rsidP="00A31491">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b/>
          <w:bCs/>
          <w:color w:val="000000" w:themeColor="text1"/>
          <w:sz w:val="24"/>
          <w:szCs w:val="24"/>
          <w:lang w:val="en-US"/>
        </w:rPr>
        <w:t>Keywords</w:t>
      </w:r>
      <w:r w:rsidRPr="00015070">
        <w:rPr>
          <w:rFonts w:ascii="Times New Roman" w:hAnsi="Times New Roman" w:cs="Times New Roman"/>
          <w:color w:val="000000" w:themeColor="text1"/>
          <w:sz w:val="24"/>
          <w:szCs w:val="24"/>
          <w:lang w:val="en-US"/>
        </w:rPr>
        <w:t xml:space="preserve">: Stability, </w:t>
      </w:r>
      <w:proofErr w:type="spellStart"/>
      <w:r w:rsidRPr="00015070">
        <w:rPr>
          <w:rFonts w:ascii="Times New Roman" w:hAnsi="Times New Roman" w:cs="Times New Roman"/>
          <w:color w:val="000000" w:themeColor="text1"/>
          <w:sz w:val="24"/>
          <w:szCs w:val="24"/>
          <w:lang w:val="en-US"/>
        </w:rPr>
        <w:t>Misola</w:t>
      </w:r>
      <w:proofErr w:type="spellEnd"/>
      <w:r w:rsidRPr="00015070">
        <w:rPr>
          <w:rFonts w:ascii="Times New Roman" w:hAnsi="Times New Roman" w:cs="Times New Roman"/>
          <w:color w:val="000000" w:themeColor="text1"/>
          <w:sz w:val="24"/>
          <w:szCs w:val="24"/>
          <w:lang w:val="en-US"/>
        </w:rPr>
        <w:t>® flour, packaging, storage, Niger.</w:t>
      </w:r>
    </w:p>
    <w:p w14:paraId="7491F8E4" w14:textId="77777777" w:rsidR="009F3BA8" w:rsidRPr="00015070" w:rsidRDefault="009F3BA8" w:rsidP="00A31491">
      <w:pPr>
        <w:spacing w:after="0" w:line="360" w:lineRule="auto"/>
        <w:jc w:val="both"/>
        <w:rPr>
          <w:rFonts w:ascii="Times New Roman" w:hAnsi="Times New Roman" w:cs="Times New Roman"/>
          <w:color w:val="000000" w:themeColor="text1"/>
          <w:sz w:val="24"/>
          <w:szCs w:val="24"/>
          <w:lang w:val="en-US"/>
        </w:rPr>
      </w:pPr>
    </w:p>
    <w:p w14:paraId="058FD70A" w14:textId="2ED10836" w:rsidR="0055528E" w:rsidRPr="00015070" w:rsidRDefault="0055528E" w:rsidP="00A31491">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b/>
          <w:bCs/>
          <w:color w:val="000000" w:themeColor="text1"/>
          <w:sz w:val="24"/>
          <w:szCs w:val="24"/>
          <w:lang w:val="en-US"/>
        </w:rPr>
        <w:t>Introduction</w:t>
      </w:r>
    </w:p>
    <w:p w14:paraId="7A395DD7" w14:textId="7C271D89" w:rsidR="0055528E" w:rsidRPr="00015070" w:rsidRDefault="0055528E" w:rsidP="00A31491">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lang w:val="en-US"/>
        </w:rPr>
        <w:t>Child malnutrition, in its various forms, including undernutrition (such as stunting, wasting, or overweight), vitamin and mineral deficiencies, and non-communicable diseases, remains a global public health concern. According to a joint estimate by UNICEF, WHO, and the World Bank (2023), 34.7% of children under five years of age are affected by childhood malnutrition. Similarly, this prevalence was 26.42% in developing countries, where the rates of wasting, stunting, and obesity were 14.2%, 4.1%, and 27.6%, respectively. In the Sahel, as in the Alliance of Sahel States (AES), the prevalence of severe acute malnutrition and moderate acute malnutrition was 0.93% and 3.68%, respectively (</w:t>
      </w:r>
      <w:proofErr w:type="spellStart"/>
      <w:r w:rsidRPr="00015070">
        <w:rPr>
          <w:rFonts w:ascii="Times New Roman" w:hAnsi="Times New Roman" w:cs="Times New Roman"/>
          <w:color w:val="000000" w:themeColor="text1"/>
          <w:sz w:val="24"/>
          <w:szCs w:val="24"/>
          <w:lang w:val="en-US"/>
        </w:rPr>
        <w:t>Tapsoba</w:t>
      </w:r>
      <w:proofErr w:type="spellEnd"/>
      <w:r w:rsidRPr="00015070">
        <w:rPr>
          <w:rFonts w:ascii="Times New Roman" w:hAnsi="Times New Roman" w:cs="Times New Roman"/>
          <w:color w:val="000000" w:themeColor="text1"/>
          <w:sz w:val="24"/>
          <w:szCs w:val="24"/>
          <w:lang w:val="en-US"/>
        </w:rPr>
        <w:t xml:space="preserve"> et al., 2025). Furthermore, Paré et al. (2022) estimated the prevalence of wasting at 25% in the Sahel region. Moreover, </w:t>
      </w:r>
      <w:proofErr w:type="spellStart"/>
      <w:r w:rsidRPr="00015070">
        <w:rPr>
          <w:rFonts w:ascii="Times New Roman" w:hAnsi="Times New Roman" w:cs="Times New Roman"/>
          <w:color w:val="000000" w:themeColor="text1"/>
          <w:sz w:val="24"/>
          <w:szCs w:val="24"/>
          <w:lang w:val="en-US"/>
        </w:rPr>
        <w:t>Amadou</w:t>
      </w:r>
      <w:proofErr w:type="spellEnd"/>
      <w:r w:rsidR="00D63A15" w:rsidRPr="00015070">
        <w:rPr>
          <w:rFonts w:ascii="Times New Roman" w:hAnsi="Times New Roman" w:cs="Times New Roman"/>
          <w:color w:val="000000" w:themeColor="text1"/>
          <w:sz w:val="24"/>
          <w:szCs w:val="24"/>
          <w:lang w:val="en-US"/>
        </w:rPr>
        <w:t xml:space="preserve"> and </w:t>
      </w:r>
      <w:proofErr w:type="spellStart"/>
      <w:r w:rsidR="00D63A15" w:rsidRPr="00015070">
        <w:rPr>
          <w:rFonts w:ascii="Times New Roman" w:hAnsi="Times New Roman" w:cs="Times New Roman"/>
          <w:color w:val="000000" w:themeColor="text1"/>
          <w:sz w:val="24"/>
          <w:szCs w:val="24"/>
          <w:lang w:val="en-US"/>
        </w:rPr>
        <w:t>Lawali</w:t>
      </w:r>
      <w:r w:rsidRPr="00015070">
        <w:rPr>
          <w:rFonts w:ascii="Times New Roman" w:hAnsi="Times New Roman" w:cs="Times New Roman"/>
          <w:color w:val="000000" w:themeColor="text1"/>
          <w:sz w:val="24"/>
          <w:szCs w:val="24"/>
          <w:lang w:val="en-US"/>
        </w:rPr>
        <w:t>'s</w:t>
      </w:r>
      <w:proofErr w:type="spellEnd"/>
      <w:r w:rsidRPr="00015070">
        <w:rPr>
          <w:rFonts w:ascii="Times New Roman" w:hAnsi="Times New Roman" w:cs="Times New Roman"/>
          <w:color w:val="000000" w:themeColor="text1"/>
          <w:sz w:val="24"/>
          <w:szCs w:val="24"/>
          <w:lang w:val="en-US"/>
        </w:rPr>
        <w:t xml:space="preserve"> </w:t>
      </w:r>
      <w:r w:rsidR="009F3BA8" w:rsidRPr="00015070">
        <w:rPr>
          <w:rFonts w:ascii="Times New Roman" w:hAnsi="Times New Roman" w:cs="Times New Roman"/>
          <w:color w:val="000000" w:themeColor="text1"/>
          <w:sz w:val="24"/>
          <w:szCs w:val="24"/>
          <w:lang w:val="en-US"/>
        </w:rPr>
        <w:t>(202</w:t>
      </w:r>
      <w:r w:rsidR="00D63A15" w:rsidRPr="00015070">
        <w:rPr>
          <w:rFonts w:ascii="Times New Roman" w:hAnsi="Times New Roman" w:cs="Times New Roman"/>
          <w:color w:val="000000" w:themeColor="text1"/>
          <w:sz w:val="24"/>
          <w:szCs w:val="24"/>
          <w:lang w:val="en-US"/>
        </w:rPr>
        <w:t>2</w:t>
      </w:r>
      <w:r w:rsidR="009F3BA8" w:rsidRPr="00015070">
        <w:rPr>
          <w:rFonts w:ascii="Times New Roman" w:hAnsi="Times New Roman" w:cs="Times New Roman"/>
          <w:color w:val="000000" w:themeColor="text1"/>
          <w:sz w:val="24"/>
          <w:szCs w:val="24"/>
          <w:lang w:val="en-US"/>
        </w:rPr>
        <w:t xml:space="preserve">) work indicated that </w:t>
      </w:r>
      <w:r w:rsidR="001A46E6" w:rsidRPr="00015070">
        <w:rPr>
          <w:rFonts w:ascii="Times New Roman" w:hAnsi="Times New Roman" w:cs="Times New Roman"/>
          <w:color w:val="000000" w:themeColor="text1"/>
          <w:sz w:val="24"/>
          <w:szCs w:val="24"/>
          <w:lang w:val="en-US"/>
        </w:rPr>
        <w:t>the Sahel, such as Niger,</w:t>
      </w:r>
      <w:r w:rsidR="009F3BA8" w:rsidRPr="00015070">
        <w:rPr>
          <w:rFonts w:ascii="Times New Roman" w:hAnsi="Times New Roman" w:cs="Times New Roman"/>
          <w:color w:val="000000" w:themeColor="text1"/>
          <w:sz w:val="24"/>
          <w:szCs w:val="24"/>
          <w:lang w:val="en-US"/>
        </w:rPr>
        <w:t xml:space="preserve"> experiences high rates of all forms</w:t>
      </w:r>
      <w:r w:rsidRPr="00015070">
        <w:rPr>
          <w:rFonts w:ascii="Times New Roman" w:hAnsi="Times New Roman" w:cs="Times New Roman"/>
          <w:color w:val="000000" w:themeColor="text1"/>
          <w:sz w:val="24"/>
          <w:szCs w:val="24"/>
          <w:lang w:val="en-US"/>
        </w:rPr>
        <w:t xml:space="preserve"> of malnutrition among children aged 6 to 59 months each year. </w:t>
      </w:r>
      <w:r w:rsidR="007011B2" w:rsidRPr="00015070">
        <w:rPr>
          <w:rFonts w:ascii="Times New Roman" w:hAnsi="Times New Roman" w:cs="Times New Roman"/>
          <w:color w:val="000000" w:themeColor="text1"/>
          <w:sz w:val="24"/>
          <w:szCs w:val="24"/>
          <w:lang w:val="en-US"/>
        </w:rPr>
        <w:t xml:space="preserve">Josephine </w:t>
      </w:r>
      <w:r w:rsidRPr="00015070">
        <w:rPr>
          <w:rFonts w:ascii="Times New Roman" w:hAnsi="Times New Roman" w:cs="Times New Roman"/>
          <w:color w:val="000000" w:themeColor="text1"/>
          <w:sz w:val="24"/>
          <w:szCs w:val="24"/>
          <w:lang w:val="en-US"/>
        </w:rPr>
        <w:t>et al. (202</w:t>
      </w:r>
      <w:r w:rsidR="007011B2" w:rsidRPr="00015070">
        <w:rPr>
          <w:rFonts w:ascii="Times New Roman" w:hAnsi="Times New Roman" w:cs="Times New Roman"/>
          <w:color w:val="000000" w:themeColor="text1"/>
          <w:sz w:val="24"/>
          <w:szCs w:val="24"/>
          <w:lang w:val="en-US"/>
        </w:rPr>
        <w:t>2</w:t>
      </w:r>
      <w:r w:rsidRPr="00015070">
        <w:rPr>
          <w:rFonts w:ascii="Times New Roman" w:hAnsi="Times New Roman" w:cs="Times New Roman"/>
          <w:color w:val="000000" w:themeColor="text1"/>
          <w:sz w:val="24"/>
          <w:szCs w:val="24"/>
          <w:lang w:val="en-US"/>
        </w:rPr>
        <w:t xml:space="preserve">) estimated the </w:t>
      </w:r>
      <w:r w:rsidRPr="00015070">
        <w:rPr>
          <w:rFonts w:ascii="Times New Roman" w:hAnsi="Times New Roman" w:cs="Times New Roman"/>
          <w:color w:val="000000" w:themeColor="text1"/>
          <w:sz w:val="24"/>
          <w:szCs w:val="24"/>
          <w:lang w:val="en-US"/>
        </w:rPr>
        <w:lastRenderedPageBreak/>
        <w:t xml:space="preserve">prevalence of chronic malnutrition at 42% among children under 5 years old. In response to this situation, several initiatives have been implemented to promote fortified infant foods </w:t>
      </w:r>
      <w:r w:rsidR="009F3BA8" w:rsidRPr="00015070">
        <w:rPr>
          <w:rFonts w:ascii="Times New Roman" w:hAnsi="Times New Roman" w:cs="Times New Roman"/>
          <w:color w:val="000000" w:themeColor="text1"/>
          <w:sz w:val="24"/>
          <w:szCs w:val="24"/>
          <w:lang w:val="en-US"/>
        </w:rPr>
        <w:t xml:space="preserve">that meet the nutritional needs of young children and are </w:t>
      </w:r>
      <w:r w:rsidRPr="00015070">
        <w:rPr>
          <w:rFonts w:ascii="Times New Roman" w:hAnsi="Times New Roman" w:cs="Times New Roman"/>
          <w:color w:val="000000" w:themeColor="text1"/>
          <w:sz w:val="24"/>
          <w:szCs w:val="24"/>
          <w:lang w:val="en-US"/>
        </w:rPr>
        <w:t xml:space="preserve">accessible to vulnerable households. </w:t>
      </w:r>
      <w:r w:rsidR="00062F82" w:rsidRPr="00015070">
        <w:rPr>
          <w:rFonts w:ascii="Times New Roman" w:hAnsi="Times New Roman" w:cs="Times New Roman"/>
          <w:color w:val="000000" w:themeColor="text1"/>
          <w:sz w:val="24"/>
          <w:szCs w:val="24"/>
          <w:lang w:val="en-US"/>
        </w:rPr>
        <w:t>In this context,</w:t>
      </w:r>
      <w:r w:rsidRPr="00015070">
        <w:rPr>
          <w:rFonts w:ascii="Times New Roman" w:hAnsi="Times New Roman" w:cs="Times New Roman"/>
          <w:color w:val="000000" w:themeColor="text1"/>
          <w:sz w:val="24"/>
          <w:szCs w:val="24"/>
          <w:lang w:val="en-US"/>
        </w:rPr>
        <w:t xml:space="preserve"> </w:t>
      </w:r>
      <w:proofErr w:type="spellStart"/>
      <w:r w:rsidR="007019C4" w:rsidRPr="00015070">
        <w:rPr>
          <w:rFonts w:ascii="Times New Roman" w:hAnsi="Times New Roman" w:cs="Times New Roman"/>
          <w:color w:val="000000" w:themeColor="text1"/>
          <w:sz w:val="24"/>
          <w:szCs w:val="24"/>
          <w:lang w:val="en-US"/>
        </w:rPr>
        <w:t>Oladiran</w:t>
      </w:r>
      <w:proofErr w:type="spellEnd"/>
      <w:r w:rsidR="007019C4" w:rsidRPr="00015070">
        <w:rPr>
          <w:rFonts w:ascii="Times New Roman" w:hAnsi="Times New Roman" w:cs="Times New Roman"/>
          <w:color w:val="000000" w:themeColor="text1"/>
          <w:sz w:val="24"/>
          <w:szCs w:val="24"/>
          <w:lang w:val="en-US"/>
        </w:rPr>
        <w:t xml:space="preserve"> et al. </w:t>
      </w:r>
      <w:r w:rsidRPr="00015070">
        <w:rPr>
          <w:rFonts w:ascii="Times New Roman" w:hAnsi="Times New Roman" w:cs="Times New Roman"/>
          <w:color w:val="000000" w:themeColor="text1"/>
          <w:sz w:val="24"/>
          <w:szCs w:val="24"/>
          <w:lang w:val="en-US"/>
        </w:rPr>
        <w:t>(20</w:t>
      </w:r>
      <w:r w:rsidR="007019C4" w:rsidRPr="00015070">
        <w:rPr>
          <w:rFonts w:ascii="Times New Roman" w:hAnsi="Times New Roman" w:cs="Times New Roman"/>
          <w:color w:val="000000" w:themeColor="text1"/>
          <w:sz w:val="24"/>
          <w:szCs w:val="24"/>
          <w:lang w:val="en-US"/>
        </w:rPr>
        <w:t>18</w:t>
      </w:r>
      <w:r w:rsidRPr="00015070">
        <w:rPr>
          <w:rFonts w:ascii="Times New Roman" w:hAnsi="Times New Roman" w:cs="Times New Roman"/>
          <w:color w:val="000000" w:themeColor="text1"/>
          <w:sz w:val="24"/>
          <w:szCs w:val="24"/>
          <w:lang w:val="en-US"/>
        </w:rPr>
        <w:t xml:space="preserve">) </w:t>
      </w:r>
      <w:r w:rsidR="007019C4" w:rsidRPr="00015070">
        <w:rPr>
          <w:rFonts w:ascii="Times New Roman" w:hAnsi="Times New Roman" w:cs="Times New Roman"/>
          <w:color w:val="000000" w:themeColor="text1"/>
          <w:sz w:val="24"/>
          <w:szCs w:val="24"/>
          <w:lang w:val="en-US"/>
        </w:rPr>
        <w:t>demonstrate</w:t>
      </w:r>
      <w:r w:rsidRPr="00015070">
        <w:rPr>
          <w:rFonts w:ascii="Times New Roman" w:hAnsi="Times New Roman" w:cs="Times New Roman"/>
          <w:color w:val="000000" w:themeColor="text1"/>
          <w:sz w:val="24"/>
          <w:szCs w:val="24"/>
          <w:lang w:val="en-US"/>
        </w:rPr>
        <w:t xml:space="preserve"> that promoting the consumption of soy porridge can </w:t>
      </w:r>
      <w:r w:rsidR="009F3BA8" w:rsidRPr="00015070">
        <w:rPr>
          <w:rFonts w:ascii="Times New Roman" w:hAnsi="Times New Roman" w:cs="Times New Roman"/>
          <w:color w:val="000000" w:themeColor="text1"/>
          <w:sz w:val="24"/>
          <w:szCs w:val="24"/>
          <w:lang w:val="en-US"/>
        </w:rPr>
        <w:t>improve the nutritional status of vulnerable groups and prevent</w:t>
      </w:r>
      <w:r w:rsidRPr="00015070">
        <w:rPr>
          <w:rFonts w:ascii="Times New Roman" w:hAnsi="Times New Roman" w:cs="Times New Roman"/>
          <w:color w:val="000000" w:themeColor="text1"/>
          <w:sz w:val="24"/>
          <w:szCs w:val="24"/>
          <w:lang w:val="en-US"/>
        </w:rPr>
        <w:t xml:space="preserve"> the deaths of thousands of children. According to </w:t>
      </w:r>
      <w:proofErr w:type="spellStart"/>
      <w:r w:rsidRPr="00015070">
        <w:rPr>
          <w:rFonts w:ascii="Times New Roman" w:hAnsi="Times New Roman" w:cs="Times New Roman"/>
          <w:color w:val="000000" w:themeColor="text1"/>
          <w:sz w:val="24"/>
          <w:szCs w:val="24"/>
          <w:lang w:val="en-US"/>
        </w:rPr>
        <w:t>Sombie</w:t>
      </w:r>
      <w:proofErr w:type="spellEnd"/>
      <w:r w:rsidRPr="00015070">
        <w:rPr>
          <w:rFonts w:ascii="Times New Roman" w:hAnsi="Times New Roman" w:cs="Times New Roman"/>
          <w:color w:val="000000" w:themeColor="text1"/>
          <w:sz w:val="24"/>
          <w:szCs w:val="24"/>
          <w:lang w:val="en-US"/>
        </w:rPr>
        <w:t xml:space="preserve"> et al. (2024), vegetable oils and fortified broths were used </w:t>
      </w:r>
      <w:r w:rsidR="009F3BA8" w:rsidRPr="00015070">
        <w:rPr>
          <w:rFonts w:ascii="Times New Roman" w:hAnsi="Times New Roman" w:cs="Times New Roman"/>
          <w:color w:val="000000" w:themeColor="text1"/>
          <w:sz w:val="24"/>
          <w:szCs w:val="24"/>
          <w:lang w:val="en-US"/>
        </w:rPr>
        <w:t>at</w:t>
      </w:r>
      <w:r w:rsidRPr="00015070">
        <w:rPr>
          <w:rFonts w:ascii="Times New Roman" w:hAnsi="Times New Roman" w:cs="Times New Roman"/>
          <w:color w:val="000000" w:themeColor="text1"/>
          <w:sz w:val="24"/>
          <w:szCs w:val="24"/>
          <w:lang w:val="en-US"/>
        </w:rPr>
        <w:t xml:space="preserve"> 55.2% and 31.5%, respectively, to enhance the flavor of meals.</w:t>
      </w:r>
    </w:p>
    <w:p w14:paraId="31F17587" w14:textId="24EE35FA" w:rsidR="0055528E" w:rsidRPr="00015070" w:rsidRDefault="0055528E" w:rsidP="00A31491">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lang w:val="en-US"/>
        </w:rPr>
        <w:t>Given the importance of fortified infant foods in the fight against malnutrition, ensuring their availability and stability</w:t>
      </w:r>
      <w:r w:rsidR="009F3BA8" w:rsidRPr="00015070">
        <w:rPr>
          <w:rFonts w:ascii="Times New Roman" w:hAnsi="Times New Roman" w:cs="Times New Roman"/>
          <w:color w:val="000000" w:themeColor="text1"/>
          <w:sz w:val="24"/>
          <w:szCs w:val="24"/>
          <w:lang w:val="en-US"/>
        </w:rPr>
        <w:t xml:space="preserve"> while preserving their quality would be an asset to</w:t>
      </w:r>
      <w:r w:rsidRPr="00015070">
        <w:rPr>
          <w:rFonts w:ascii="Times New Roman" w:hAnsi="Times New Roman" w:cs="Times New Roman"/>
          <w:color w:val="000000" w:themeColor="text1"/>
          <w:sz w:val="24"/>
          <w:szCs w:val="24"/>
          <w:lang w:val="en-US"/>
        </w:rPr>
        <w:t xml:space="preserve"> sustainable access. To this end, </w:t>
      </w:r>
      <w:proofErr w:type="spellStart"/>
      <w:r w:rsidRPr="00015070">
        <w:rPr>
          <w:rFonts w:ascii="Times New Roman" w:hAnsi="Times New Roman" w:cs="Times New Roman"/>
          <w:color w:val="000000" w:themeColor="text1"/>
          <w:sz w:val="24"/>
          <w:szCs w:val="24"/>
          <w:lang w:val="en-US"/>
        </w:rPr>
        <w:t>Misola</w:t>
      </w:r>
      <w:proofErr w:type="spellEnd"/>
      <w:r w:rsidRPr="00015070">
        <w:rPr>
          <w:rFonts w:ascii="Times New Roman" w:hAnsi="Times New Roman" w:cs="Times New Roman"/>
          <w:color w:val="000000" w:themeColor="text1"/>
          <w:sz w:val="24"/>
          <w:szCs w:val="24"/>
          <w:lang w:val="en-US"/>
        </w:rPr>
        <w:t>® fortified infant flour is a nutritious food for children aged 6 to 59 months. It is made from local cereals</w:t>
      </w:r>
      <w:r w:rsidR="00FB5B17" w:rsidRPr="00015070">
        <w:rPr>
          <w:rFonts w:ascii="Times New Roman" w:hAnsi="Times New Roman" w:cs="Times New Roman"/>
          <w:color w:val="000000" w:themeColor="text1"/>
          <w:sz w:val="24"/>
          <w:szCs w:val="24"/>
          <w:lang w:val="en-US"/>
        </w:rPr>
        <w:t xml:space="preserve"> and legumes, along with</w:t>
      </w:r>
      <w:r w:rsidRPr="00015070">
        <w:rPr>
          <w:rFonts w:ascii="Times New Roman" w:hAnsi="Times New Roman" w:cs="Times New Roman"/>
          <w:color w:val="000000" w:themeColor="text1"/>
          <w:sz w:val="24"/>
          <w:szCs w:val="24"/>
          <w:lang w:val="en-US"/>
        </w:rPr>
        <w:t xml:space="preserve"> a vitamin-mineral supplement. It offers a </w:t>
      </w:r>
      <w:r w:rsidR="00372F40" w:rsidRPr="00015070">
        <w:rPr>
          <w:rFonts w:ascii="Times New Roman" w:hAnsi="Times New Roman" w:cs="Times New Roman"/>
          <w:color w:val="000000" w:themeColor="text1"/>
          <w:sz w:val="24"/>
          <w:szCs w:val="24"/>
          <w:lang w:val="en-US"/>
        </w:rPr>
        <w:t xml:space="preserve">higher nutritional value </w:t>
      </w:r>
      <w:r w:rsidRPr="00015070">
        <w:rPr>
          <w:rFonts w:ascii="Times New Roman" w:hAnsi="Times New Roman" w:cs="Times New Roman"/>
          <w:color w:val="000000" w:themeColor="text1"/>
          <w:sz w:val="24"/>
          <w:szCs w:val="24"/>
          <w:lang w:val="en-US"/>
        </w:rPr>
        <w:t>than traditional porridges. Therefore, th</w:t>
      </w:r>
      <w:r w:rsidR="00372F40" w:rsidRPr="00015070">
        <w:rPr>
          <w:rFonts w:ascii="Times New Roman" w:hAnsi="Times New Roman" w:cs="Times New Roman"/>
          <w:color w:val="000000" w:themeColor="text1"/>
          <w:sz w:val="24"/>
          <w:szCs w:val="24"/>
          <w:lang w:val="en-US"/>
        </w:rPr>
        <w:t>e</w:t>
      </w:r>
      <w:r w:rsidRPr="00015070">
        <w:rPr>
          <w:rFonts w:ascii="Times New Roman" w:hAnsi="Times New Roman" w:cs="Times New Roman"/>
          <w:color w:val="000000" w:themeColor="text1"/>
          <w:sz w:val="24"/>
          <w:szCs w:val="24"/>
          <w:lang w:val="en-US"/>
        </w:rPr>
        <w:t xml:space="preserve"> study</w:t>
      </w:r>
      <w:r w:rsidR="00372F40" w:rsidRPr="00015070">
        <w:rPr>
          <w:rFonts w:ascii="Times New Roman" w:hAnsi="Times New Roman" w:cs="Times New Roman"/>
          <w:color w:val="000000" w:themeColor="text1"/>
          <w:sz w:val="24"/>
          <w:szCs w:val="24"/>
          <w:lang w:val="en-US"/>
        </w:rPr>
        <w:t xml:space="preserve"> is focused on storage-related physicochemical and stability challenges.</w:t>
      </w:r>
      <w:r w:rsidRPr="00015070">
        <w:rPr>
          <w:rFonts w:ascii="Times New Roman" w:hAnsi="Times New Roman" w:cs="Times New Roman"/>
          <w:color w:val="000000" w:themeColor="text1"/>
          <w:sz w:val="24"/>
          <w:szCs w:val="24"/>
          <w:lang w:val="en-US"/>
        </w:rPr>
        <w:t xml:space="preserve"> Indeed, the permeability of the packaging paper to oxygen (O2) makes vitamin A vulnerable to oxidation, which is accelerated by heat and time (</w:t>
      </w:r>
      <w:r w:rsidR="005040F1" w:rsidRPr="00015070">
        <w:rPr>
          <w:rFonts w:ascii="Times New Roman" w:hAnsi="Times New Roman" w:cs="Times New Roman"/>
          <w:color w:val="000000" w:themeColor="text1"/>
          <w:sz w:val="24"/>
          <w:szCs w:val="24"/>
          <w:lang w:val="en-US"/>
        </w:rPr>
        <w:t xml:space="preserve">Guo, 2021; Ahmad and Guo, 2021; </w:t>
      </w:r>
      <w:r w:rsidR="00D80C5D" w:rsidRPr="00015070">
        <w:rPr>
          <w:rFonts w:ascii="Times New Roman" w:hAnsi="Times New Roman" w:cs="Times New Roman"/>
          <w:color w:val="000000" w:themeColor="text1"/>
          <w:sz w:val="24"/>
          <w:szCs w:val="24"/>
          <w:lang w:val="en-US"/>
        </w:rPr>
        <w:t>Hemery et al.</w:t>
      </w:r>
      <w:r w:rsidRPr="00015070">
        <w:rPr>
          <w:rFonts w:ascii="Times New Roman" w:hAnsi="Times New Roman" w:cs="Times New Roman"/>
          <w:color w:val="000000" w:themeColor="text1"/>
          <w:sz w:val="24"/>
          <w:szCs w:val="24"/>
          <w:lang w:val="en-US"/>
        </w:rPr>
        <w:t>, 20</w:t>
      </w:r>
      <w:r w:rsidR="00D80C5D" w:rsidRPr="00015070">
        <w:rPr>
          <w:rFonts w:ascii="Times New Roman" w:hAnsi="Times New Roman" w:cs="Times New Roman"/>
          <w:color w:val="000000" w:themeColor="text1"/>
          <w:sz w:val="24"/>
          <w:szCs w:val="24"/>
          <w:lang w:val="en-US"/>
        </w:rPr>
        <w:t>20</w:t>
      </w:r>
      <w:r w:rsidRPr="00015070">
        <w:rPr>
          <w:rFonts w:ascii="Times New Roman" w:hAnsi="Times New Roman" w:cs="Times New Roman"/>
          <w:color w:val="000000" w:themeColor="text1"/>
          <w:sz w:val="24"/>
          <w:szCs w:val="24"/>
          <w:lang w:val="en-US"/>
        </w:rPr>
        <w:t>). The same author demonstrated that storage duration is the most influential factor on vitamin A loss (from 50 to 95% depending on conditions) in fortified flours (op. cit.). Furthermore, these issues are linked to uncertainty regarding the actual shelf life under local conditions, the risks of microbiological and physicochemical deterioration, and the challenges faced by producers, distributors, and nutrition programs (</w:t>
      </w:r>
      <w:proofErr w:type="spellStart"/>
      <w:r w:rsidRPr="00015070">
        <w:rPr>
          <w:rFonts w:ascii="Times New Roman" w:hAnsi="Times New Roman" w:cs="Times New Roman"/>
          <w:color w:val="000000" w:themeColor="text1"/>
          <w:sz w:val="24"/>
          <w:szCs w:val="24"/>
          <w:lang w:val="en-US"/>
        </w:rPr>
        <w:t>Forsido</w:t>
      </w:r>
      <w:proofErr w:type="spellEnd"/>
      <w:r w:rsidRPr="00015070">
        <w:rPr>
          <w:rFonts w:ascii="Times New Roman" w:hAnsi="Times New Roman" w:cs="Times New Roman"/>
          <w:color w:val="000000" w:themeColor="text1"/>
          <w:sz w:val="24"/>
          <w:szCs w:val="24"/>
          <w:lang w:val="en-US"/>
        </w:rPr>
        <w:t xml:space="preserve"> et al., 2021; Hemery et al., 2020). It appears that fluctuations in temperature and humidity, variations in locally available packaging materials, and the precise </w:t>
      </w:r>
      <w:r w:rsidR="009F3BA8" w:rsidRPr="00015070">
        <w:rPr>
          <w:rFonts w:ascii="Times New Roman" w:hAnsi="Times New Roman" w:cs="Times New Roman"/>
          <w:color w:val="000000" w:themeColor="text1"/>
          <w:sz w:val="24"/>
          <w:szCs w:val="24"/>
          <w:lang w:val="en-US"/>
        </w:rPr>
        <w:t>shelf-life limit producers, healthcare facilities, and users' ability</w:t>
      </w:r>
      <w:r w:rsidRPr="00015070">
        <w:rPr>
          <w:rFonts w:ascii="Times New Roman" w:hAnsi="Times New Roman" w:cs="Times New Roman"/>
          <w:color w:val="000000" w:themeColor="text1"/>
          <w:sz w:val="24"/>
          <w:szCs w:val="24"/>
          <w:lang w:val="en-US"/>
        </w:rPr>
        <w:t xml:space="preserve"> to determine the safety and nutritional efficacy of fortified flours. It is within this context that the present study is conducted, aiming to </w:t>
      </w:r>
      <w:r w:rsidR="009F3BA8" w:rsidRPr="00015070">
        <w:rPr>
          <w:rFonts w:ascii="Times New Roman" w:hAnsi="Times New Roman" w:cs="Times New Roman"/>
          <w:color w:val="000000" w:themeColor="text1"/>
          <w:sz w:val="24"/>
          <w:szCs w:val="24"/>
          <w:lang w:val="en-US"/>
        </w:rPr>
        <w:t>assess</w:t>
      </w:r>
      <w:r w:rsidRPr="00015070">
        <w:rPr>
          <w:rFonts w:ascii="Times New Roman" w:hAnsi="Times New Roman" w:cs="Times New Roman"/>
          <w:color w:val="000000" w:themeColor="text1"/>
          <w:sz w:val="24"/>
          <w:szCs w:val="24"/>
          <w:lang w:val="en-US"/>
        </w:rPr>
        <w:t xml:space="preserve"> the stability of </w:t>
      </w:r>
      <w:proofErr w:type="spellStart"/>
      <w:r w:rsidRPr="00015070">
        <w:rPr>
          <w:rFonts w:ascii="Times New Roman" w:hAnsi="Times New Roman" w:cs="Times New Roman"/>
          <w:color w:val="000000" w:themeColor="text1"/>
          <w:sz w:val="24"/>
          <w:szCs w:val="24"/>
          <w:lang w:val="en-US"/>
        </w:rPr>
        <w:t>Misola</w:t>
      </w:r>
      <w:proofErr w:type="spellEnd"/>
      <w:r w:rsidRPr="00015070">
        <w:rPr>
          <w:rFonts w:ascii="Times New Roman" w:hAnsi="Times New Roman" w:cs="Times New Roman"/>
          <w:color w:val="000000" w:themeColor="text1"/>
          <w:sz w:val="24"/>
          <w:szCs w:val="24"/>
          <w:lang w:val="en-US"/>
        </w:rPr>
        <w:t>® fortified infant flour and establish the optimal storage conditions.</w:t>
      </w:r>
    </w:p>
    <w:p w14:paraId="63FF6CBA" w14:textId="77777777" w:rsidR="0055528E" w:rsidRPr="00015070" w:rsidRDefault="0055528E" w:rsidP="00A31491">
      <w:pPr>
        <w:spacing w:after="0" w:line="360" w:lineRule="auto"/>
        <w:jc w:val="both"/>
        <w:rPr>
          <w:rFonts w:ascii="Times New Roman" w:hAnsi="Times New Roman" w:cs="Times New Roman"/>
          <w:b/>
          <w:bCs/>
          <w:color w:val="000000" w:themeColor="text1"/>
          <w:sz w:val="24"/>
          <w:szCs w:val="24"/>
          <w:lang w:val="en-US"/>
        </w:rPr>
      </w:pPr>
    </w:p>
    <w:p w14:paraId="38AE7407" w14:textId="77777777" w:rsidR="0055528E" w:rsidRPr="00015070" w:rsidRDefault="0055528E" w:rsidP="00A31491">
      <w:pPr>
        <w:spacing w:after="0" w:line="360" w:lineRule="auto"/>
        <w:jc w:val="both"/>
        <w:rPr>
          <w:rFonts w:ascii="Times New Roman" w:hAnsi="Times New Roman" w:cs="Times New Roman"/>
          <w:b/>
          <w:bCs/>
          <w:color w:val="000000" w:themeColor="text1"/>
          <w:sz w:val="24"/>
          <w:szCs w:val="24"/>
          <w:lang w:val="en-US"/>
        </w:rPr>
      </w:pPr>
      <w:r w:rsidRPr="00015070">
        <w:rPr>
          <w:rFonts w:ascii="Times New Roman" w:hAnsi="Times New Roman" w:cs="Times New Roman"/>
          <w:b/>
          <w:bCs/>
          <w:color w:val="000000" w:themeColor="text1"/>
          <w:sz w:val="24"/>
          <w:szCs w:val="24"/>
          <w:lang w:val="en-US"/>
        </w:rPr>
        <w:t>Materials and Methods</w:t>
      </w:r>
    </w:p>
    <w:p w14:paraId="17A604C4" w14:textId="77777777" w:rsidR="0055528E" w:rsidRPr="00015070" w:rsidRDefault="0055528E" w:rsidP="00A31491">
      <w:pPr>
        <w:spacing w:after="0" w:line="360" w:lineRule="auto"/>
        <w:jc w:val="both"/>
        <w:rPr>
          <w:rFonts w:ascii="Times New Roman" w:hAnsi="Times New Roman" w:cs="Times New Roman"/>
          <w:b/>
          <w:bCs/>
          <w:color w:val="000000" w:themeColor="text1"/>
          <w:sz w:val="24"/>
          <w:szCs w:val="24"/>
          <w:lang w:val="en-US"/>
        </w:rPr>
      </w:pPr>
      <w:r w:rsidRPr="00015070">
        <w:rPr>
          <w:rFonts w:ascii="Times New Roman" w:hAnsi="Times New Roman" w:cs="Times New Roman"/>
          <w:b/>
          <w:bCs/>
          <w:color w:val="000000" w:themeColor="text1"/>
          <w:sz w:val="24"/>
          <w:szCs w:val="24"/>
          <w:lang w:val="en-US"/>
        </w:rPr>
        <w:t>Materials Used</w:t>
      </w:r>
    </w:p>
    <w:p w14:paraId="57118CF9" w14:textId="5C43C13C" w:rsidR="0055528E" w:rsidRPr="00015070" w:rsidRDefault="0055528E" w:rsidP="00A31491">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lang w:val="en-US"/>
        </w:rPr>
        <w:t xml:space="preserve">For this study, </w:t>
      </w:r>
      <w:proofErr w:type="spellStart"/>
      <w:r w:rsidRPr="00015070">
        <w:rPr>
          <w:rFonts w:ascii="Times New Roman" w:hAnsi="Times New Roman" w:cs="Times New Roman"/>
          <w:color w:val="000000" w:themeColor="text1"/>
          <w:sz w:val="24"/>
          <w:szCs w:val="24"/>
          <w:lang w:val="en-US"/>
        </w:rPr>
        <w:t>Misola</w:t>
      </w:r>
      <w:proofErr w:type="spellEnd"/>
      <w:r w:rsidRPr="00015070">
        <w:rPr>
          <w:rFonts w:ascii="Times New Roman" w:hAnsi="Times New Roman" w:cs="Times New Roman"/>
          <w:color w:val="000000" w:themeColor="text1"/>
          <w:sz w:val="24"/>
          <w:szCs w:val="24"/>
          <w:lang w:val="en-US"/>
        </w:rPr>
        <w:t>® fortified infant flour was selected as the material. This flour was made from the following raw materials and ingredients: millet, peanuts, soybeans, refined sugar, iodized salt, and Premix</w:t>
      </w:r>
      <w:r w:rsidR="005432AC" w:rsidRPr="00015070">
        <w:rPr>
          <w:rFonts w:ascii="Times New Roman" w:hAnsi="Times New Roman" w:cs="Times New Roman"/>
          <w:color w:val="000000" w:themeColor="text1"/>
          <w:sz w:val="24"/>
          <w:szCs w:val="24"/>
          <w:lang w:val="en-US"/>
        </w:rPr>
        <w:t xml:space="preserve"> (a complex vitamin additive)</w:t>
      </w:r>
      <w:r w:rsidRPr="00015070">
        <w:rPr>
          <w:rFonts w:ascii="Times New Roman" w:hAnsi="Times New Roman" w:cs="Times New Roman"/>
          <w:color w:val="000000" w:themeColor="text1"/>
          <w:sz w:val="24"/>
          <w:szCs w:val="24"/>
          <w:lang w:val="en-US"/>
        </w:rPr>
        <w:t xml:space="preserve">. </w:t>
      </w:r>
      <w:r w:rsidR="005432AC" w:rsidRPr="00015070">
        <w:rPr>
          <w:rFonts w:ascii="Times New Roman" w:hAnsi="Times New Roman" w:cs="Times New Roman"/>
          <w:color w:val="000000" w:themeColor="text1"/>
          <w:sz w:val="24"/>
          <w:szCs w:val="24"/>
          <w:lang w:val="en-US"/>
        </w:rPr>
        <w:t xml:space="preserve">The proportions were first roasted aseptically to deactivate the antinutrients of each ingredient: </w:t>
      </w:r>
      <w:r w:rsidRPr="00015070">
        <w:rPr>
          <w:rFonts w:ascii="Times New Roman" w:hAnsi="Times New Roman" w:cs="Times New Roman"/>
          <w:color w:val="000000" w:themeColor="text1"/>
          <w:sz w:val="24"/>
          <w:szCs w:val="24"/>
          <w:lang w:val="en-US"/>
        </w:rPr>
        <w:t>58.46%</w:t>
      </w:r>
      <w:r w:rsidR="009F3BA8" w:rsidRPr="00015070">
        <w:rPr>
          <w:rFonts w:ascii="Times New Roman" w:hAnsi="Times New Roman" w:cs="Times New Roman"/>
          <w:color w:val="000000" w:themeColor="text1"/>
          <w:sz w:val="24"/>
          <w:szCs w:val="24"/>
          <w:lang w:val="en-US"/>
        </w:rPr>
        <w:t xml:space="preserve">; peanuts: 9%; soybeans: 18%; refined </w:t>
      </w:r>
      <w:r w:rsidR="009F3BA8" w:rsidRPr="00015070">
        <w:rPr>
          <w:rFonts w:ascii="Times New Roman" w:hAnsi="Times New Roman" w:cs="Times New Roman"/>
          <w:color w:val="000000" w:themeColor="text1"/>
          <w:sz w:val="24"/>
          <w:szCs w:val="24"/>
          <w:lang w:val="en-US"/>
        </w:rPr>
        <w:lastRenderedPageBreak/>
        <w:t>sugar: 13%; iodized salt: 0.78%;</w:t>
      </w:r>
      <w:r w:rsidRPr="00015070">
        <w:rPr>
          <w:rFonts w:ascii="Times New Roman" w:hAnsi="Times New Roman" w:cs="Times New Roman"/>
          <w:color w:val="000000" w:themeColor="text1"/>
          <w:sz w:val="24"/>
          <w:szCs w:val="24"/>
          <w:lang w:val="en-US"/>
        </w:rPr>
        <w:t xml:space="preserve"> and the fortifier (Premix): 0.76%. The flour was packaged in food-grade plastic bags (FIF-EP) and aluminum pouches (FIF-EA). After </w:t>
      </w:r>
      <w:r w:rsidR="009F3BA8" w:rsidRPr="00015070">
        <w:rPr>
          <w:rFonts w:ascii="Times New Roman" w:hAnsi="Times New Roman" w:cs="Times New Roman"/>
          <w:color w:val="000000" w:themeColor="text1"/>
          <w:sz w:val="24"/>
          <w:szCs w:val="24"/>
          <w:lang w:val="en-US"/>
        </w:rPr>
        <w:t>heat sealing</w:t>
      </w:r>
      <w:r w:rsidRPr="00015070">
        <w:rPr>
          <w:rFonts w:ascii="Times New Roman" w:hAnsi="Times New Roman" w:cs="Times New Roman"/>
          <w:color w:val="000000" w:themeColor="text1"/>
          <w:sz w:val="24"/>
          <w:szCs w:val="24"/>
          <w:lang w:val="en-US"/>
        </w:rPr>
        <w:t xml:space="preserve">, two overlapping seals were applied to ensure optimal packaging integrity. The packaged flours in plastic </w:t>
      </w:r>
      <w:r w:rsidR="00372F40" w:rsidRPr="00015070">
        <w:rPr>
          <w:rFonts w:ascii="Times New Roman" w:hAnsi="Times New Roman" w:cs="Times New Roman"/>
          <w:color w:val="000000" w:themeColor="text1"/>
          <w:sz w:val="24"/>
          <w:szCs w:val="24"/>
          <w:lang w:val="en-US"/>
        </w:rPr>
        <w:t xml:space="preserve">were </w:t>
      </w:r>
      <w:r w:rsidRPr="00015070">
        <w:rPr>
          <w:rFonts w:ascii="Times New Roman" w:hAnsi="Times New Roman" w:cs="Times New Roman"/>
          <w:color w:val="000000" w:themeColor="text1"/>
          <w:sz w:val="24"/>
          <w:szCs w:val="24"/>
          <w:lang w:val="en-US"/>
        </w:rPr>
        <w:t xml:space="preserve">stored for </w:t>
      </w:r>
      <w:r w:rsidR="0039510E" w:rsidRPr="00015070">
        <w:rPr>
          <w:rFonts w:ascii="Times New Roman" w:hAnsi="Times New Roman" w:cs="Times New Roman"/>
          <w:color w:val="000000" w:themeColor="text1"/>
          <w:sz w:val="24"/>
          <w:szCs w:val="24"/>
          <w:lang w:val="en-US"/>
        </w:rPr>
        <w:t xml:space="preserve">6 months at room temperature </w:t>
      </w:r>
      <w:r w:rsidRPr="00015070">
        <w:rPr>
          <w:rFonts w:ascii="Times New Roman" w:hAnsi="Times New Roman" w:cs="Times New Roman"/>
          <w:color w:val="000000" w:themeColor="text1"/>
          <w:sz w:val="24"/>
          <w:szCs w:val="24"/>
          <w:lang w:val="en-US"/>
        </w:rPr>
        <w:t xml:space="preserve">in the Research Laboratory at Abdou Moumouni University </w:t>
      </w:r>
      <w:r w:rsidR="0039510E" w:rsidRPr="00015070">
        <w:rPr>
          <w:rFonts w:ascii="Times New Roman" w:hAnsi="Times New Roman" w:cs="Times New Roman"/>
          <w:color w:val="000000" w:themeColor="text1"/>
          <w:sz w:val="24"/>
          <w:szCs w:val="24"/>
          <w:lang w:val="en-US"/>
        </w:rPr>
        <w:t>of</w:t>
      </w:r>
      <w:r w:rsidRPr="00015070">
        <w:rPr>
          <w:rFonts w:ascii="Times New Roman" w:hAnsi="Times New Roman" w:cs="Times New Roman"/>
          <w:color w:val="000000" w:themeColor="text1"/>
          <w:sz w:val="24"/>
          <w:szCs w:val="24"/>
          <w:lang w:val="en-US"/>
        </w:rPr>
        <w:t xml:space="preserve"> Niamey. Throughout the storage period, the temperature (°C) of the immediate environment was measured using a thermometer and recorded on a monthly monitoring sheet, ensuring rigorous control of storage conditions.</w:t>
      </w:r>
    </w:p>
    <w:p w14:paraId="575A0805" w14:textId="77777777" w:rsidR="0055528E" w:rsidRPr="00015070" w:rsidRDefault="0055528E" w:rsidP="00A31491">
      <w:pPr>
        <w:spacing w:after="0" w:line="360" w:lineRule="auto"/>
        <w:jc w:val="both"/>
        <w:rPr>
          <w:rFonts w:ascii="Times New Roman" w:hAnsi="Times New Roman" w:cs="Times New Roman"/>
          <w:color w:val="000000" w:themeColor="text1"/>
          <w:sz w:val="24"/>
          <w:szCs w:val="24"/>
          <w:lang w:val="en-US"/>
        </w:rPr>
      </w:pPr>
    </w:p>
    <w:p w14:paraId="33F2804F" w14:textId="77777777" w:rsidR="0055528E" w:rsidRPr="00015070" w:rsidRDefault="0055528E" w:rsidP="00A31491">
      <w:pPr>
        <w:spacing w:after="0" w:line="360" w:lineRule="auto"/>
        <w:jc w:val="both"/>
        <w:rPr>
          <w:rFonts w:ascii="Times New Roman" w:hAnsi="Times New Roman" w:cs="Times New Roman"/>
          <w:b/>
          <w:bCs/>
          <w:color w:val="000000" w:themeColor="text1"/>
          <w:sz w:val="24"/>
          <w:szCs w:val="24"/>
          <w:lang w:val="en-US"/>
        </w:rPr>
      </w:pPr>
      <w:r w:rsidRPr="00015070">
        <w:rPr>
          <w:rFonts w:ascii="Times New Roman" w:hAnsi="Times New Roman" w:cs="Times New Roman"/>
          <w:b/>
          <w:bCs/>
          <w:color w:val="000000" w:themeColor="text1"/>
          <w:sz w:val="24"/>
          <w:szCs w:val="24"/>
          <w:lang w:val="en-US"/>
        </w:rPr>
        <w:t>Analytical Method</w:t>
      </w:r>
    </w:p>
    <w:p w14:paraId="6C59EFBF" w14:textId="77777777" w:rsidR="0055528E" w:rsidRPr="00015070" w:rsidRDefault="0055528E" w:rsidP="00A31491">
      <w:pPr>
        <w:spacing w:after="0" w:line="360" w:lineRule="auto"/>
        <w:jc w:val="both"/>
        <w:rPr>
          <w:rFonts w:ascii="Times New Roman" w:hAnsi="Times New Roman" w:cs="Times New Roman"/>
          <w:b/>
          <w:bCs/>
          <w:color w:val="000000" w:themeColor="text1"/>
          <w:sz w:val="24"/>
          <w:szCs w:val="24"/>
          <w:lang w:val="en-US"/>
        </w:rPr>
      </w:pPr>
      <w:r w:rsidRPr="00015070">
        <w:rPr>
          <w:rFonts w:ascii="Times New Roman" w:hAnsi="Times New Roman" w:cs="Times New Roman"/>
          <w:b/>
          <w:bCs/>
          <w:color w:val="000000" w:themeColor="text1"/>
          <w:sz w:val="24"/>
          <w:szCs w:val="24"/>
          <w:lang w:val="en-US"/>
        </w:rPr>
        <w:t>Determination of the Physicochemical Parameters of the Flour</w:t>
      </w:r>
    </w:p>
    <w:p w14:paraId="514F604E" w14:textId="668870C8" w:rsidR="0055528E" w:rsidRPr="00015070" w:rsidRDefault="0055528E" w:rsidP="00A31491">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lang w:val="en-US"/>
        </w:rPr>
        <w:t xml:space="preserve">To assess the impact of storage conditions on the physicochemical quality of </w:t>
      </w:r>
      <w:proofErr w:type="spellStart"/>
      <w:r w:rsidRPr="00015070">
        <w:rPr>
          <w:rFonts w:ascii="Times New Roman" w:hAnsi="Times New Roman" w:cs="Times New Roman"/>
          <w:color w:val="000000" w:themeColor="text1"/>
          <w:sz w:val="24"/>
          <w:szCs w:val="24"/>
          <w:lang w:val="en-US"/>
        </w:rPr>
        <w:t>Misola</w:t>
      </w:r>
      <w:proofErr w:type="spellEnd"/>
      <w:r w:rsidRPr="00015070">
        <w:rPr>
          <w:rFonts w:ascii="Times New Roman" w:hAnsi="Times New Roman" w:cs="Times New Roman"/>
          <w:color w:val="000000" w:themeColor="text1"/>
          <w:sz w:val="24"/>
          <w:szCs w:val="24"/>
          <w:lang w:val="en-US"/>
        </w:rPr>
        <w:t xml:space="preserve">® fortified infant flour, several analytical parameters were measured periodically, including moisture content, pH, ash content, and </w:t>
      </w:r>
      <w:r w:rsidR="009F3BA8" w:rsidRPr="00015070">
        <w:rPr>
          <w:rFonts w:ascii="Times New Roman" w:hAnsi="Times New Roman" w:cs="Times New Roman"/>
          <w:color w:val="000000" w:themeColor="text1"/>
          <w:sz w:val="24"/>
          <w:szCs w:val="24"/>
          <w:lang w:val="en-US"/>
        </w:rPr>
        <w:t>free fatty acid content</w:t>
      </w:r>
      <w:r w:rsidRPr="00015070">
        <w:rPr>
          <w:rFonts w:ascii="Times New Roman" w:hAnsi="Times New Roman" w:cs="Times New Roman"/>
          <w:color w:val="000000" w:themeColor="text1"/>
          <w:sz w:val="24"/>
          <w:szCs w:val="24"/>
          <w:lang w:val="en-US"/>
        </w:rPr>
        <w:t>.</w:t>
      </w:r>
    </w:p>
    <w:p w14:paraId="6D2E7C28" w14:textId="77777777" w:rsidR="0055528E" w:rsidRPr="00015070" w:rsidRDefault="0055528E" w:rsidP="00A31491">
      <w:pPr>
        <w:spacing w:after="0" w:line="360" w:lineRule="auto"/>
        <w:jc w:val="both"/>
        <w:rPr>
          <w:rFonts w:ascii="Times New Roman" w:hAnsi="Times New Roman" w:cs="Times New Roman"/>
          <w:b/>
          <w:bCs/>
          <w:color w:val="000000" w:themeColor="text1"/>
          <w:sz w:val="24"/>
          <w:szCs w:val="24"/>
          <w:lang w:val="en-US"/>
        </w:rPr>
      </w:pPr>
    </w:p>
    <w:p w14:paraId="2B5DF2FC" w14:textId="77777777" w:rsidR="0055528E" w:rsidRPr="00015070" w:rsidRDefault="0055528E" w:rsidP="00A31491">
      <w:pPr>
        <w:spacing w:after="0" w:line="360" w:lineRule="auto"/>
        <w:jc w:val="both"/>
        <w:rPr>
          <w:rFonts w:ascii="Times New Roman" w:hAnsi="Times New Roman" w:cs="Times New Roman"/>
          <w:b/>
          <w:bCs/>
          <w:color w:val="000000" w:themeColor="text1"/>
          <w:sz w:val="24"/>
          <w:szCs w:val="24"/>
          <w:lang w:val="en-US"/>
        </w:rPr>
      </w:pPr>
      <w:r w:rsidRPr="00015070">
        <w:rPr>
          <w:rFonts w:ascii="Times New Roman" w:hAnsi="Times New Roman" w:cs="Times New Roman"/>
          <w:b/>
          <w:bCs/>
          <w:color w:val="000000" w:themeColor="text1"/>
          <w:sz w:val="24"/>
          <w:szCs w:val="24"/>
          <w:lang w:val="en-US"/>
        </w:rPr>
        <w:t>Determination of Moisture Content</w:t>
      </w:r>
    </w:p>
    <w:p w14:paraId="4E3F691D" w14:textId="46212E24" w:rsidR="0055528E" w:rsidRPr="00015070" w:rsidRDefault="0055528E" w:rsidP="00A31491">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lang w:val="en-US"/>
        </w:rPr>
        <w:t xml:space="preserve">The moisture content of the flour was determined </w:t>
      </w:r>
      <w:r w:rsidR="00837F12" w:rsidRPr="00015070">
        <w:rPr>
          <w:rFonts w:ascii="Times New Roman" w:hAnsi="Times New Roman" w:cs="Times New Roman"/>
          <w:color w:val="000000" w:themeColor="text1"/>
          <w:sz w:val="24"/>
          <w:szCs w:val="24"/>
          <w:lang w:val="en-US"/>
        </w:rPr>
        <w:t>according to</w:t>
      </w:r>
      <w:r w:rsidRPr="00015070">
        <w:rPr>
          <w:rFonts w:ascii="Times New Roman" w:hAnsi="Times New Roman" w:cs="Times New Roman"/>
          <w:color w:val="000000" w:themeColor="text1"/>
          <w:sz w:val="24"/>
          <w:szCs w:val="24"/>
          <w:lang w:val="en-US"/>
        </w:rPr>
        <w:t xml:space="preserve"> the </w:t>
      </w:r>
      <w:r w:rsidR="00837F12" w:rsidRPr="00015070">
        <w:rPr>
          <w:rFonts w:ascii="Times New Roman" w:hAnsi="Times New Roman" w:cs="Times New Roman"/>
          <w:color w:val="000000" w:themeColor="text1"/>
          <w:sz w:val="24"/>
          <w:szCs w:val="24"/>
          <w:lang w:val="en-US"/>
        </w:rPr>
        <w:t>official method (</w:t>
      </w:r>
      <w:r w:rsidR="00837F12" w:rsidRPr="00015070">
        <w:rPr>
          <w:rFonts w:ascii="Times New Roman" w:hAnsi="Times New Roman"/>
          <w:color w:val="000000" w:themeColor="text1"/>
          <w:sz w:val="24"/>
          <w:szCs w:val="24"/>
          <w:lang w:val="en-US"/>
        </w:rPr>
        <w:t>AOAC, 1990</w:t>
      </w:r>
      <w:r w:rsidR="00837F12" w:rsidRPr="00015070">
        <w:rPr>
          <w:rFonts w:ascii="Times New Roman" w:hAnsi="Times New Roman" w:cs="Times New Roman"/>
          <w:color w:val="000000" w:themeColor="text1"/>
          <w:sz w:val="24"/>
          <w:szCs w:val="24"/>
          <w:lang w:val="en-US"/>
        </w:rPr>
        <w:t>)</w:t>
      </w:r>
      <w:r w:rsidRPr="00015070">
        <w:rPr>
          <w:rFonts w:ascii="Times New Roman" w:hAnsi="Times New Roman" w:cs="Times New Roman"/>
          <w:color w:val="000000" w:themeColor="text1"/>
          <w:sz w:val="24"/>
          <w:szCs w:val="24"/>
          <w:lang w:val="en-US"/>
        </w:rPr>
        <w:t>. This method is based on measuring the mass loss of the sample after heating in an oven at 103 ± 2 °C until a constant weight is reached. The analysis uses a tared crucible in which the test portion is weighed before and after drying. The moisture content is then calculated using the formula:</w:t>
      </w:r>
    </w:p>
    <w:p w14:paraId="71B066E2" w14:textId="77777777" w:rsidR="0055528E" w:rsidRPr="00015070" w:rsidRDefault="0055528E" w:rsidP="00A31491">
      <w:pPr>
        <w:spacing w:after="0" w:line="360" w:lineRule="auto"/>
        <w:jc w:val="both"/>
        <w:rPr>
          <w:rFonts w:ascii="Times New Roman" w:hAnsi="Times New Roman" w:cs="Times New Roman"/>
          <w:color w:val="000000" w:themeColor="text1"/>
          <w:sz w:val="24"/>
          <w:szCs w:val="24"/>
          <w:lang w:val="en-US"/>
        </w:rPr>
      </w:pPr>
      <w:proofErr w:type="spellStart"/>
      <w:r w:rsidRPr="00015070">
        <w:rPr>
          <w:rFonts w:ascii="Times New Roman" w:hAnsi="Times New Roman" w:cs="Times New Roman"/>
          <w:color w:val="000000" w:themeColor="text1"/>
          <w:sz w:val="24"/>
          <w:szCs w:val="24"/>
          <w:lang w:val="en-US"/>
        </w:rPr>
        <w:t>Te</w:t>
      </w:r>
      <w:proofErr w:type="spellEnd"/>
      <w:r w:rsidRPr="00015070">
        <w:rPr>
          <w:rFonts w:ascii="Times New Roman" w:hAnsi="Times New Roman" w:cs="Times New Roman"/>
          <w:color w:val="000000" w:themeColor="text1"/>
          <w:sz w:val="24"/>
          <w:szCs w:val="24"/>
          <w:lang w:val="en-US"/>
        </w:rPr>
        <w:t xml:space="preserve"> = (M2-M0)/(M1-M</w:t>
      </w:r>
      <w:proofErr w:type="gramStart"/>
      <w:r w:rsidRPr="00015070">
        <w:rPr>
          <w:rFonts w:ascii="Times New Roman" w:hAnsi="Times New Roman" w:cs="Times New Roman"/>
          <w:color w:val="000000" w:themeColor="text1"/>
          <w:sz w:val="24"/>
          <w:szCs w:val="24"/>
          <w:lang w:val="en-US"/>
        </w:rPr>
        <w:t>0)×</w:t>
      </w:r>
      <w:proofErr w:type="gramEnd"/>
      <w:r w:rsidRPr="00015070">
        <w:rPr>
          <w:rFonts w:ascii="Times New Roman" w:hAnsi="Times New Roman" w:cs="Times New Roman"/>
          <w:color w:val="000000" w:themeColor="text1"/>
          <w:sz w:val="24"/>
          <w:szCs w:val="24"/>
          <w:lang w:val="en-US"/>
        </w:rPr>
        <w:t>100</w:t>
      </w:r>
    </w:p>
    <w:p w14:paraId="1767D4C7" w14:textId="40D7E630" w:rsidR="0055528E" w:rsidRPr="00015070" w:rsidRDefault="0055528E" w:rsidP="00A31491">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lang w:val="en-US"/>
        </w:rPr>
        <w:t xml:space="preserve">where M0 represents the weight of the empty crucible, M1 the mass of the fresh sample, and M2 the weight of the crucible containing the dry residue. From this value, the dry matter (DM) content is deduced using the formula: DM = 100 − </w:t>
      </w:r>
      <w:proofErr w:type="spellStart"/>
      <w:r w:rsidRPr="00015070">
        <w:rPr>
          <w:rFonts w:ascii="Times New Roman" w:hAnsi="Times New Roman" w:cs="Times New Roman"/>
          <w:color w:val="000000" w:themeColor="text1"/>
          <w:sz w:val="24"/>
          <w:szCs w:val="24"/>
          <w:lang w:val="en-US"/>
        </w:rPr>
        <w:t>Te</w:t>
      </w:r>
      <w:proofErr w:type="spellEnd"/>
      <w:r w:rsidRPr="00015070">
        <w:rPr>
          <w:rFonts w:ascii="Times New Roman" w:hAnsi="Times New Roman" w:cs="Times New Roman"/>
          <w:color w:val="000000" w:themeColor="text1"/>
          <w:sz w:val="24"/>
          <w:szCs w:val="24"/>
          <w:lang w:val="en-US"/>
        </w:rPr>
        <w:t xml:space="preserve">. This procedure allows </w:t>
      </w:r>
      <w:r w:rsidR="005425D3" w:rsidRPr="00015070">
        <w:rPr>
          <w:rFonts w:ascii="Times New Roman" w:hAnsi="Times New Roman" w:cs="Times New Roman"/>
          <w:color w:val="000000" w:themeColor="text1"/>
          <w:sz w:val="24"/>
          <w:szCs w:val="24"/>
          <w:lang w:val="en-US"/>
        </w:rPr>
        <w:t>for the precise evaluation of the moisture content of stored flours at different time points</w:t>
      </w:r>
      <w:r w:rsidRPr="00015070">
        <w:rPr>
          <w:rFonts w:ascii="Times New Roman" w:hAnsi="Times New Roman" w:cs="Times New Roman"/>
          <w:color w:val="000000" w:themeColor="text1"/>
          <w:sz w:val="24"/>
          <w:szCs w:val="24"/>
          <w:lang w:val="en-US"/>
        </w:rPr>
        <w:t xml:space="preserve"> (T0, T2, T4, T6).</w:t>
      </w:r>
    </w:p>
    <w:p w14:paraId="01B9AA53" w14:textId="77777777" w:rsidR="0055528E" w:rsidRPr="00015070" w:rsidRDefault="0055528E" w:rsidP="00A31491">
      <w:pPr>
        <w:spacing w:after="0" w:line="360" w:lineRule="auto"/>
        <w:jc w:val="both"/>
        <w:rPr>
          <w:rFonts w:ascii="Times New Roman" w:hAnsi="Times New Roman" w:cs="Times New Roman"/>
          <w:color w:val="000000" w:themeColor="text1"/>
          <w:sz w:val="24"/>
          <w:szCs w:val="24"/>
          <w:lang w:val="en-US"/>
        </w:rPr>
      </w:pPr>
    </w:p>
    <w:p w14:paraId="4AC7D358" w14:textId="77777777" w:rsidR="0055528E" w:rsidRPr="00015070" w:rsidRDefault="0055528E" w:rsidP="00A31491">
      <w:pPr>
        <w:spacing w:after="0" w:line="360" w:lineRule="auto"/>
        <w:jc w:val="both"/>
        <w:rPr>
          <w:rFonts w:ascii="Times New Roman" w:hAnsi="Times New Roman" w:cs="Times New Roman"/>
          <w:b/>
          <w:bCs/>
          <w:color w:val="000000" w:themeColor="text1"/>
          <w:sz w:val="24"/>
          <w:szCs w:val="24"/>
          <w:lang w:val="en-US"/>
        </w:rPr>
      </w:pPr>
      <w:r w:rsidRPr="00015070">
        <w:rPr>
          <w:rFonts w:ascii="Times New Roman" w:hAnsi="Times New Roman" w:cs="Times New Roman"/>
          <w:b/>
          <w:bCs/>
          <w:color w:val="000000" w:themeColor="text1"/>
          <w:sz w:val="24"/>
          <w:szCs w:val="24"/>
          <w:lang w:val="en-US"/>
        </w:rPr>
        <w:t>Determination of pH</w:t>
      </w:r>
    </w:p>
    <w:p w14:paraId="6F03C2B7" w14:textId="34ABF132" w:rsidR="0055528E" w:rsidRPr="00015070" w:rsidRDefault="0055528E" w:rsidP="00A31491">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lang w:val="en-US"/>
        </w:rPr>
        <w:t>The pH of the flour was measured according to AACC method (</w:t>
      </w:r>
      <w:r w:rsidR="00A41375" w:rsidRPr="00015070">
        <w:rPr>
          <w:rFonts w:ascii="Times New Roman" w:hAnsi="Times New Roman" w:cs="Times New Roman"/>
          <w:color w:val="000000" w:themeColor="text1"/>
          <w:sz w:val="24"/>
          <w:szCs w:val="24"/>
          <w:lang w:val="en-US"/>
        </w:rPr>
        <w:t>20</w:t>
      </w:r>
      <w:r w:rsidR="00062F82" w:rsidRPr="00015070">
        <w:rPr>
          <w:rFonts w:ascii="Times New Roman" w:hAnsi="Times New Roman" w:cs="Times New Roman"/>
          <w:color w:val="000000" w:themeColor="text1"/>
          <w:sz w:val="24"/>
          <w:szCs w:val="24"/>
          <w:lang w:val="en-US"/>
        </w:rPr>
        <w:t>11</w:t>
      </w:r>
      <w:r w:rsidRPr="00015070">
        <w:rPr>
          <w:rFonts w:ascii="Times New Roman" w:hAnsi="Times New Roman" w:cs="Times New Roman"/>
          <w:color w:val="000000" w:themeColor="text1"/>
          <w:sz w:val="24"/>
          <w:szCs w:val="24"/>
          <w:lang w:val="en-US"/>
        </w:rPr>
        <w:t xml:space="preserve">). For each analysis, 10 g of flour </w:t>
      </w:r>
      <w:r w:rsidR="009F3BA8" w:rsidRPr="00015070">
        <w:rPr>
          <w:rFonts w:ascii="Times New Roman" w:hAnsi="Times New Roman" w:cs="Times New Roman"/>
          <w:color w:val="000000" w:themeColor="text1"/>
          <w:sz w:val="24"/>
          <w:szCs w:val="24"/>
          <w:lang w:val="en-US"/>
        </w:rPr>
        <w:t>was</w:t>
      </w:r>
      <w:r w:rsidRPr="00015070">
        <w:rPr>
          <w:rFonts w:ascii="Times New Roman" w:hAnsi="Times New Roman" w:cs="Times New Roman"/>
          <w:color w:val="000000" w:themeColor="text1"/>
          <w:sz w:val="24"/>
          <w:szCs w:val="24"/>
          <w:lang w:val="en-US"/>
        </w:rPr>
        <w:t xml:space="preserve"> weighed into an Erlenmeyer flask and then homogenized with 90 mL of distilled water to obtain a representative suspension. After stirring, the pH was measured using a previously calibrated BIOBASE electronic pH meter. This method allows </w:t>
      </w:r>
      <w:r w:rsidR="009F3BA8" w:rsidRPr="00015070">
        <w:rPr>
          <w:rFonts w:ascii="Times New Roman" w:hAnsi="Times New Roman" w:cs="Times New Roman"/>
          <w:color w:val="000000" w:themeColor="text1"/>
          <w:sz w:val="24"/>
          <w:szCs w:val="24"/>
          <w:lang w:val="en-US"/>
        </w:rPr>
        <w:t>assessment of the evolution of the sample's acidity or alkalinity over 6</w:t>
      </w:r>
      <w:r w:rsidRPr="00015070">
        <w:rPr>
          <w:rFonts w:ascii="Times New Roman" w:hAnsi="Times New Roman" w:cs="Times New Roman"/>
          <w:color w:val="000000" w:themeColor="text1"/>
          <w:sz w:val="24"/>
          <w:szCs w:val="24"/>
          <w:lang w:val="en-US"/>
        </w:rPr>
        <w:t xml:space="preserve"> months of storage.</w:t>
      </w:r>
    </w:p>
    <w:p w14:paraId="7E51DEF6" w14:textId="77777777" w:rsidR="0055528E" w:rsidRPr="00015070" w:rsidRDefault="0055528E" w:rsidP="00A31491">
      <w:pPr>
        <w:spacing w:after="0" w:line="360" w:lineRule="auto"/>
        <w:jc w:val="both"/>
        <w:rPr>
          <w:rFonts w:ascii="Times New Roman" w:hAnsi="Times New Roman" w:cs="Times New Roman"/>
          <w:color w:val="000000" w:themeColor="text1"/>
          <w:sz w:val="24"/>
          <w:szCs w:val="24"/>
          <w:lang w:val="en-US"/>
        </w:rPr>
      </w:pPr>
    </w:p>
    <w:p w14:paraId="25E38692" w14:textId="77777777" w:rsidR="0055528E" w:rsidRPr="00015070" w:rsidRDefault="0055528E" w:rsidP="00A31491">
      <w:pPr>
        <w:spacing w:after="0" w:line="360" w:lineRule="auto"/>
        <w:jc w:val="both"/>
        <w:rPr>
          <w:rFonts w:ascii="Times New Roman" w:hAnsi="Times New Roman" w:cs="Times New Roman"/>
          <w:b/>
          <w:bCs/>
          <w:color w:val="000000" w:themeColor="text1"/>
          <w:sz w:val="24"/>
          <w:szCs w:val="24"/>
          <w:lang w:val="en-US"/>
        </w:rPr>
      </w:pPr>
      <w:r w:rsidRPr="00015070">
        <w:rPr>
          <w:rFonts w:ascii="Times New Roman" w:hAnsi="Times New Roman" w:cs="Times New Roman"/>
          <w:b/>
          <w:bCs/>
          <w:color w:val="000000" w:themeColor="text1"/>
          <w:sz w:val="24"/>
          <w:szCs w:val="24"/>
          <w:lang w:val="en-US"/>
        </w:rPr>
        <w:t>Determination of mineral (ash) content</w:t>
      </w:r>
    </w:p>
    <w:p w14:paraId="24AE449D" w14:textId="114A2193" w:rsidR="0055528E" w:rsidRPr="00015070" w:rsidRDefault="0055528E" w:rsidP="00A31491">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lang w:val="en-US"/>
        </w:rPr>
        <w:t xml:space="preserve">The ash content was determined according to the method of </w:t>
      </w:r>
      <w:r w:rsidR="00A41375" w:rsidRPr="00015070">
        <w:rPr>
          <w:rFonts w:ascii="Times New Roman" w:hAnsi="Times New Roman" w:cs="Times New Roman"/>
          <w:color w:val="000000" w:themeColor="text1"/>
          <w:sz w:val="24"/>
          <w:szCs w:val="24"/>
          <w:lang w:val="en-US"/>
        </w:rPr>
        <w:t>ISO (1994</w:t>
      </w:r>
      <w:r w:rsidRPr="00015070">
        <w:rPr>
          <w:rFonts w:ascii="Times New Roman" w:hAnsi="Times New Roman" w:cs="Times New Roman"/>
          <w:color w:val="000000" w:themeColor="text1"/>
          <w:sz w:val="24"/>
          <w:szCs w:val="24"/>
          <w:lang w:val="en-US"/>
        </w:rPr>
        <w:t xml:space="preserve">). Porcelain crucibles were dried at 105°C for one hour, cooled in a desiccator, and then weighed. Approximately 5 g of sample </w:t>
      </w:r>
      <w:r w:rsidR="009F3BA8" w:rsidRPr="00015070">
        <w:rPr>
          <w:rFonts w:ascii="Times New Roman" w:hAnsi="Times New Roman" w:cs="Times New Roman"/>
          <w:color w:val="000000" w:themeColor="text1"/>
          <w:sz w:val="24"/>
          <w:szCs w:val="24"/>
          <w:lang w:val="en-US"/>
        </w:rPr>
        <w:t>was</w:t>
      </w:r>
      <w:r w:rsidRPr="00015070">
        <w:rPr>
          <w:rFonts w:ascii="Times New Roman" w:hAnsi="Times New Roman" w:cs="Times New Roman"/>
          <w:color w:val="000000" w:themeColor="text1"/>
          <w:sz w:val="24"/>
          <w:szCs w:val="24"/>
          <w:lang w:val="en-US"/>
        </w:rPr>
        <w:t xml:space="preserve"> then introduced into each crucible before being incinerated at 550°C for 24 h in a muffle furnace. After cooling in a desiccator, the crucibles were weighed to determine the amount of residual mineral matter. The ash content (AC) was calculated as follows: AC (%) = ((P2 − P1)</w:t>
      </w:r>
      <w:proofErr w:type="gramStart"/>
      <w:r w:rsidRPr="00015070">
        <w:rPr>
          <w:rFonts w:ascii="Times New Roman" w:hAnsi="Times New Roman" w:cs="Times New Roman"/>
          <w:color w:val="000000" w:themeColor="text1"/>
          <w:sz w:val="24"/>
          <w:szCs w:val="24"/>
          <w:lang w:val="en-US"/>
        </w:rPr>
        <w:t>/(</w:t>
      </w:r>
      <w:proofErr w:type="gramEnd"/>
      <w:r w:rsidRPr="00015070">
        <w:rPr>
          <w:rFonts w:ascii="Times New Roman" w:hAnsi="Times New Roman" w:cs="Times New Roman"/>
          <w:color w:val="000000" w:themeColor="text1"/>
          <w:sz w:val="24"/>
          <w:szCs w:val="24"/>
          <w:lang w:val="en-US"/>
        </w:rPr>
        <w:t>P0 × DM)) × 100,</w:t>
      </w:r>
    </w:p>
    <w:p w14:paraId="4C8B1001" w14:textId="77777777" w:rsidR="0055528E" w:rsidRPr="00015070" w:rsidRDefault="0055528E" w:rsidP="00A31491">
      <w:pPr>
        <w:spacing w:after="0" w:line="360" w:lineRule="auto"/>
        <w:jc w:val="both"/>
        <w:rPr>
          <w:rFonts w:ascii="Times New Roman" w:hAnsi="Times New Roman" w:cs="Times New Roman"/>
          <w:color w:val="000000" w:themeColor="text1"/>
          <w:sz w:val="24"/>
          <w:szCs w:val="24"/>
          <w:lang w:val="en-US"/>
        </w:rPr>
      </w:pPr>
    </w:p>
    <w:p w14:paraId="0DF1CF75" w14:textId="77777777" w:rsidR="0055528E" w:rsidRPr="00015070" w:rsidRDefault="0055528E" w:rsidP="00A31491">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lang w:val="en-US"/>
        </w:rPr>
        <w:t>where P0 is the mass of the sample, P1 the mass of the empty crucible, P2 the mass of the crucible with ash, AC the ash content, and DM the dry matter content. This method allows for the quantification of the mineral content of the flour.</w:t>
      </w:r>
    </w:p>
    <w:p w14:paraId="10B06DDC" w14:textId="77777777" w:rsidR="0055528E" w:rsidRPr="00015070" w:rsidRDefault="0055528E" w:rsidP="00A31491">
      <w:pPr>
        <w:spacing w:after="0" w:line="360" w:lineRule="auto"/>
        <w:jc w:val="both"/>
        <w:rPr>
          <w:rFonts w:ascii="Times New Roman" w:hAnsi="Times New Roman" w:cs="Times New Roman"/>
          <w:color w:val="000000" w:themeColor="text1"/>
          <w:sz w:val="24"/>
          <w:szCs w:val="24"/>
          <w:lang w:val="en-US"/>
        </w:rPr>
      </w:pPr>
    </w:p>
    <w:p w14:paraId="5B7346CB" w14:textId="77777777" w:rsidR="0055528E" w:rsidRPr="00015070" w:rsidRDefault="0055528E" w:rsidP="00A31491">
      <w:pPr>
        <w:spacing w:after="0" w:line="360" w:lineRule="auto"/>
        <w:jc w:val="both"/>
        <w:rPr>
          <w:rFonts w:ascii="Times New Roman" w:hAnsi="Times New Roman" w:cs="Times New Roman"/>
          <w:b/>
          <w:bCs/>
          <w:color w:val="000000" w:themeColor="text1"/>
          <w:sz w:val="24"/>
          <w:szCs w:val="24"/>
          <w:lang w:val="en-US"/>
        </w:rPr>
      </w:pPr>
      <w:r w:rsidRPr="00015070">
        <w:rPr>
          <w:rFonts w:ascii="Times New Roman" w:hAnsi="Times New Roman" w:cs="Times New Roman"/>
          <w:b/>
          <w:bCs/>
          <w:color w:val="000000" w:themeColor="text1"/>
          <w:sz w:val="24"/>
          <w:szCs w:val="24"/>
          <w:lang w:val="en-US"/>
        </w:rPr>
        <w:t>Determination of Fatty Acidity</w:t>
      </w:r>
    </w:p>
    <w:p w14:paraId="706FCA96" w14:textId="60CA636C" w:rsidR="0055528E" w:rsidRPr="00015070" w:rsidRDefault="0055528E" w:rsidP="00A31491">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lang w:val="en-US"/>
        </w:rPr>
        <w:t>Fatty acidity was measured in two steps</w:t>
      </w:r>
      <w:r w:rsidR="00FC660D" w:rsidRPr="00015070">
        <w:rPr>
          <w:rFonts w:ascii="Times New Roman" w:hAnsi="Times New Roman" w:cs="Times New Roman"/>
          <w:color w:val="000000" w:themeColor="text1"/>
          <w:sz w:val="24"/>
          <w:szCs w:val="24"/>
          <w:lang w:val="en-US"/>
        </w:rPr>
        <w:t xml:space="preserve"> (</w:t>
      </w:r>
      <w:proofErr w:type="spellStart"/>
      <w:r w:rsidR="00FC660D" w:rsidRPr="00015070">
        <w:rPr>
          <w:rFonts w:ascii="Times New Roman" w:hAnsi="Times New Roman" w:cs="Times New Roman"/>
          <w:color w:val="000000" w:themeColor="text1"/>
          <w:sz w:val="24"/>
          <w:szCs w:val="24"/>
          <w:lang w:val="en-US"/>
        </w:rPr>
        <w:t>Ermosh</w:t>
      </w:r>
      <w:proofErr w:type="spellEnd"/>
      <w:r w:rsidR="00FC660D" w:rsidRPr="00015070">
        <w:rPr>
          <w:rFonts w:ascii="Times New Roman" w:hAnsi="Times New Roman" w:cs="Times New Roman"/>
          <w:color w:val="000000" w:themeColor="text1"/>
          <w:sz w:val="24"/>
          <w:szCs w:val="24"/>
          <w:lang w:val="en-US"/>
        </w:rPr>
        <w:t xml:space="preserve"> &amp; </w:t>
      </w:r>
      <w:proofErr w:type="spellStart"/>
      <w:r w:rsidR="00FC660D" w:rsidRPr="00015070">
        <w:rPr>
          <w:rFonts w:ascii="Times New Roman" w:hAnsi="Times New Roman" w:cs="Times New Roman"/>
          <w:color w:val="000000" w:themeColor="text1"/>
          <w:sz w:val="24"/>
          <w:szCs w:val="24"/>
          <w:lang w:val="en-US"/>
        </w:rPr>
        <w:t>Prisukhina</w:t>
      </w:r>
      <w:proofErr w:type="spellEnd"/>
      <w:r w:rsidR="00FC660D" w:rsidRPr="00015070">
        <w:rPr>
          <w:rFonts w:ascii="Times New Roman" w:hAnsi="Times New Roman" w:cs="Times New Roman"/>
          <w:color w:val="000000" w:themeColor="text1"/>
          <w:sz w:val="24"/>
          <w:szCs w:val="24"/>
          <w:lang w:val="en-US"/>
        </w:rPr>
        <w:t>, 2025)</w:t>
      </w:r>
      <w:r w:rsidRPr="00015070">
        <w:rPr>
          <w:rFonts w:ascii="Times New Roman" w:hAnsi="Times New Roman" w:cs="Times New Roman"/>
          <w:color w:val="000000" w:themeColor="text1"/>
          <w:sz w:val="24"/>
          <w:szCs w:val="24"/>
          <w:lang w:val="en-US"/>
        </w:rPr>
        <w:t>. First, fatty acids were extracted by macerating 5 g of flour in 30 ml of 95% ethanol</w:t>
      </w:r>
      <w:r w:rsidR="009F3BA8" w:rsidRPr="00015070">
        <w:rPr>
          <w:rFonts w:ascii="Times New Roman" w:hAnsi="Times New Roman" w:cs="Times New Roman"/>
          <w:color w:val="000000" w:themeColor="text1"/>
          <w:sz w:val="24"/>
          <w:szCs w:val="24"/>
          <w:lang w:val="en-US"/>
        </w:rPr>
        <w:t xml:space="preserve"> at 25°C for 30 minutes, then centrifuging</w:t>
      </w:r>
      <w:r w:rsidRPr="00015070">
        <w:rPr>
          <w:rFonts w:ascii="Times New Roman" w:hAnsi="Times New Roman" w:cs="Times New Roman"/>
          <w:color w:val="000000" w:themeColor="text1"/>
          <w:sz w:val="24"/>
          <w:szCs w:val="24"/>
          <w:lang w:val="en-US"/>
        </w:rPr>
        <w:t xml:space="preserve"> to obtain a clear solution. Next, 20 ml of the supernatant </w:t>
      </w:r>
      <w:r w:rsidR="009F3BA8" w:rsidRPr="00015070">
        <w:rPr>
          <w:rFonts w:ascii="Times New Roman" w:hAnsi="Times New Roman" w:cs="Times New Roman"/>
          <w:color w:val="000000" w:themeColor="text1"/>
          <w:sz w:val="24"/>
          <w:szCs w:val="24"/>
          <w:lang w:val="en-US"/>
        </w:rPr>
        <w:t>was</w:t>
      </w:r>
      <w:r w:rsidRPr="00015070">
        <w:rPr>
          <w:rFonts w:ascii="Times New Roman" w:hAnsi="Times New Roman" w:cs="Times New Roman"/>
          <w:color w:val="000000" w:themeColor="text1"/>
          <w:sz w:val="24"/>
          <w:szCs w:val="24"/>
          <w:lang w:val="en-US"/>
        </w:rPr>
        <w:t xml:space="preserve"> taken, and 1 ml of phenolphthalein was added. The mixture was then titrated with a NaOH (N/20) solution until a pale pink color appeared. Fatty acidity was calculated as: N × 100 / P, where N represents the amount of NaOH used and P the amount of fat solution taken. This parameter indicates the degree of lipid hydrolysis that occurred during storage.</w:t>
      </w:r>
    </w:p>
    <w:p w14:paraId="0BBBCB77" w14:textId="77777777" w:rsidR="0055528E" w:rsidRPr="00015070" w:rsidRDefault="0055528E" w:rsidP="00A31491">
      <w:pPr>
        <w:spacing w:after="0" w:line="360" w:lineRule="auto"/>
        <w:jc w:val="both"/>
        <w:rPr>
          <w:rFonts w:ascii="Times New Roman" w:hAnsi="Times New Roman" w:cs="Times New Roman"/>
          <w:color w:val="000000" w:themeColor="text1"/>
          <w:sz w:val="24"/>
          <w:szCs w:val="24"/>
          <w:lang w:val="en-US"/>
        </w:rPr>
      </w:pPr>
    </w:p>
    <w:p w14:paraId="3E794828" w14:textId="77777777" w:rsidR="0055528E" w:rsidRPr="00015070" w:rsidRDefault="0055528E" w:rsidP="00A31491">
      <w:pPr>
        <w:spacing w:after="0" w:line="360" w:lineRule="auto"/>
        <w:jc w:val="both"/>
        <w:rPr>
          <w:rFonts w:ascii="Times New Roman" w:hAnsi="Times New Roman" w:cs="Times New Roman"/>
          <w:b/>
          <w:bCs/>
          <w:color w:val="000000" w:themeColor="text1"/>
          <w:sz w:val="24"/>
          <w:szCs w:val="24"/>
          <w:lang w:val="en-US"/>
        </w:rPr>
      </w:pPr>
      <w:r w:rsidRPr="00015070">
        <w:rPr>
          <w:rFonts w:ascii="Times New Roman" w:hAnsi="Times New Roman" w:cs="Times New Roman"/>
          <w:b/>
          <w:bCs/>
          <w:color w:val="000000" w:themeColor="text1"/>
          <w:sz w:val="24"/>
          <w:szCs w:val="24"/>
          <w:lang w:val="en-US"/>
        </w:rPr>
        <w:t>Microbiological Analyses</w:t>
      </w:r>
    </w:p>
    <w:p w14:paraId="3C890897" w14:textId="69037ECE" w:rsidR="0055528E" w:rsidRPr="00015070" w:rsidRDefault="0038349A" w:rsidP="00A31491">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lang w:val="en-US"/>
        </w:rPr>
        <w:t>Microbiological analyses were carried out at T0, T3, and T6 to assess the conformity and stability of the flours during storage. Samples of locally produced infant formula were aseptically collected from production batches and retail outlets. For each analysis, 10 g of flour was homogenized in 90 mL of sterile peptone water to obtain a 10⁻¹ dilution, followed by preparation of serial decimal dilutions. The microorganisms evaluated included total aerobic mesophilic bacteria, total and fecal coliforms, Escherichia coli, and yeasts and molds.</w:t>
      </w:r>
    </w:p>
    <w:p w14:paraId="39815293" w14:textId="77777777" w:rsidR="0038349A" w:rsidRPr="00015070" w:rsidRDefault="0038349A" w:rsidP="0038349A">
      <w:pPr>
        <w:spacing w:after="0" w:line="360" w:lineRule="auto"/>
        <w:jc w:val="both"/>
        <w:rPr>
          <w:rFonts w:ascii="Times New Roman" w:hAnsi="Times New Roman" w:cs="Times New Roman"/>
          <w:i/>
          <w:iCs/>
          <w:color w:val="000000" w:themeColor="text1"/>
          <w:sz w:val="24"/>
          <w:szCs w:val="24"/>
          <w:lang w:val="en-US"/>
        </w:rPr>
      </w:pPr>
      <w:r w:rsidRPr="00015070">
        <w:rPr>
          <w:rFonts w:ascii="Times New Roman" w:hAnsi="Times New Roman" w:cs="Times New Roman"/>
          <w:i/>
          <w:iCs/>
          <w:color w:val="000000" w:themeColor="text1"/>
          <w:sz w:val="24"/>
          <w:szCs w:val="24"/>
          <w:lang w:val="en-US"/>
        </w:rPr>
        <w:t>Total aerobic mesophilic flora</w:t>
      </w:r>
    </w:p>
    <w:p w14:paraId="3149B043" w14:textId="084EC794" w:rsidR="0038349A" w:rsidRPr="00015070" w:rsidRDefault="0038349A" w:rsidP="0038349A">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lang w:val="en-US"/>
        </w:rPr>
        <w:lastRenderedPageBreak/>
        <w:t xml:space="preserve">Total viable counts were determined by surface or pour plating appropriate dilutions </w:t>
      </w:r>
      <w:r w:rsidR="007019C4" w:rsidRPr="00015070">
        <w:rPr>
          <w:rFonts w:ascii="Times New Roman" w:hAnsi="Times New Roman" w:cs="Times New Roman"/>
          <w:color w:val="000000" w:themeColor="text1"/>
          <w:sz w:val="24"/>
          <w:szCs w:val="24"/>
          <w:lang w:val="en-US"/>
        </w:rPr>
        <w:t>onto Plate Count Agar and incubating</w:t>
      </w:r>
      <w:r w:rsidRPr="00015070">
        <w:rPr>
          <w:rFonts w:ascii="Times New Roman" w:hAnsi="Times New Roman" w:cs="Times New Roman"/>
          <w:color w:val="000000" w:themeColor="text1"/>
          <w:sz w:val="24"/>
          <w:szCs w:val="24"/>
          <w:lang w:val="en-US"/>
        </w:rPr>
        <w:t xml:space="preserve"> at 30–37 °C for 48–72 h. Colonies were counted and results expressed as CFU/g.</w:t>
      </w:r>
    </w:p>
    <w:p w14:paraId="72FBD287" w14:textId="77777777" w:rsidR="0038349A" w:rsidRPr="00015070" w:rsidRDefault="0038349A" w:rsidP="0038349A">
      <w:pPr>
        <w:spacing w:after="0" w:line="360" w:lineRule="auto"/>
        <w:jc w:val="both"/>
        <w:rPr>
          <w:rFonts w:ascii="Times New Roman" w:hAnsi="Times New Roman" w:cs="Times New Roman"/>
          <w:i/>
          <w:iCs/>
          <w:color w:val="000000" w:themeColor="text1"/>
          <w:sz w:val="24"/>
          <w:szCs w:val="24"/>
          <w:lang w:val="en-US"/>
        </w:rPr>
      </w:pPr>
      <w:r w:rsidRPr="00015070">
        <w:rPr>
          <w:rFonts w:ascii="Times New Roman" w:hAnsi="Times New Roman" w:cs="Times New Roman"/>
          <w:i/>
          <w:iCs/>
          <w:color w:val="000000" w:themeColor="text1"/>
          <w:sz w:val="24"/>
          <w:szCs w:val="24"/>
          <w:lang w:val="en-US"/>
        </w:rPr>
        <w:t>Coliforms and Escherichia coli</w:t>
      </w:r>
    </w:p>
    <w:p w14:paraId="41C87D3A" w14:textId="2D86DCE0" w:rsidR="0038349A" w:rsidRPr="00015070" w:rsidRDefault="0038349A" w:rsidP="0038349A">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lang w:val="en-US"/>
        </w:rPr>
        <w:t xml:space="preserve">Total and fecal coliforms were enumerated on Violet Red Bile Agar (VRBA) or MacConkey agar, incubated at 37 °C for 24 h. Standard biochemical tests confirmed suspected colonies; confirmed </w:t>
      </w:r>
      <w:r w:rsidRPr="00015070">
        <w:rPr>
          <w:rFonts w:ascii="Times New Roman" w:hAnsi="Times New Roman" w:cs="Times New Roman"/>
          <w:i/>
          <w:iCs/>
          <w:color w:val="000000" w:themeColor="text1"/>
          <w:sz w:val="24"/>
          <w:szCs w:val="24"/>
          <w:lang w:val="en-US"/>
        </w:rPr>
        <w:t>E. coli</w:t>
      </w:r>
      <w:r w:rsidRPr="00015070">
        <w:rPr>
          <w:rFonts w:ascii="Times New Roman" w:hAnsi="Times New Roman" w:cs="Times New Roman"/>
          <w:color w:val="000000" w:themeColor="text1"/>
          <w:sz w:val="24"/>
          <w:szCs w:val="24"/>
          <w:lang w:val="en-US"/>
        </w:rPr>
        <w:t xml:space="preserve"> counts were expressed as CFU/g.</w:t>
      </w:r>
    </w:p>
    <w:p w14:paraId="43790166" w14:textId="77777777" w:rsidR="0038349A" w:rsidRPr="00015070" w:rsidRDefault="0038349A" w:rsidP="0038349A">
      <w:pPr>
        <w:spacing w:after="0" w:line="360" w:lineRule="auto"/>
        <w:jc w:val="both"/>
        <w:rPr>
          <w:rFonts w:ascii="Times New Roman" w:hAnsi="Times New Roman" w:cs="Times New Roman"/>
          <w:i/>
          <w:iCs/>
          <w:color w:val="000000" w:themeColor="text1"/>
          <w:sz w:val="24"/>
          <w:szCs w:val="24"/>
          <w:lang w:val="en-US"/>
        </w:rPr>
      </w:pPr>
      <w:r w:rsidRPr="00015070">
        <w:rPr>
          <w:rFonts w:ascii="Times New Roman" w:hAnsi="Times New Roman" w:cs="Times New Roman"/>
          <w:i/>
          <w:iCs/>
          <w:color w:val="000000" w:themeColor="text1"/>
          <w:sz w:val="24"/>
          <w:szCs w:val="24"/>
          <w:lang w:val="en-US"/>
        </w:rPr>
        <w:t>Yeasts and molds</w:t>
      </w:r>
    </w:p>
    <w:p w14:paraId="00FF3EA0" w14:textId="131B701B" w:rsidR="0038349A" w:rsidRPr="00015070" w:rsidRDefault="0038349A" w:rsidP="0038349A">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lang w:val="en-US"/>
        </w:rPr>
        <w:t xml:space="preserve">Yeasts and molds were counted on </w:t>
      </w:r>
      <w:proofErr w:type="spellStart"/>
      <w:r w:rsidRPr="00015070">
        <w:rPr>
          <w:rFonts w:ascii="Times New Roman" w:hAnsi="Times New Roman" w:cs="Times New Roman"/>
          <w:color w:val="000000" w:themeColor="text1"/>
          <w:sz w:val="24"/>
          <w:szCs w:val="24"/>
          <w:lang w:val="en-US"/>
        </w:rPr>
        <w:t>Sabouraud</w:t>
      </w:r>
      <w:proofErr w:type="spellEnd"/>
      <w:r w:rsidRPr="00015070">
        <w:rPr>
          <w:rFonts w:ascii="Times New Roman" w:hAnsi="Times New Roman" w:cs="Times New Roman"/>
          <w:color w:val="000000" w:themeColor="text1"/>
          <w:sz w:val="24"/>
          <w:szCs w:val="24"/>
          <w:lang w:val="en-US"/>
        </w:rPr>
        <w:t xml:space="preserve"> Dextrose Agar or Potato Dextrose Agar, acidified to pH ≈ 3.5, and incubated at 25 °C for 3–5 days. Colonies were counted and expressed as CFU/g.</w:t>
      </w:r>
    </w:p>
    <w:p w14:paraId="6CCB6BA5" w14:textId="62F1B27E" w:rsidR="0038349A" w:rsidRPr="00015070" w:rsidRDefault="00183AA5" w:rsidP="0038349A">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lang w:val="en-US"/>
        </w:rPr>
        <w:t>All microbiological results were compared with ISO and national standards for infant foods.</w:t>
      </w:r>
    </w:p>
    <w:p w14:paraId="5F84E9D5" w14:textId="77777777" w:rsidR="00183AA5" w:rsidRPr="00015070" w:rsidRDefault="00183AA5" w:rsidP="0038349A">
      <w:pPr>
        <w:spacing w:after="0" w:line="360" w:lineRule="auto"/>
        <w:jc w:val="both"/>
        <w:rPr>
          <w:rFonts w:ascii="Times New Roman" w:hAnsi="Times New Roman" w:cs="Times New Roman"/>
          <w:color w:val="000000" w:themeColor="text1"/>
          <w:sz w:val="24"/>
          <w:szCs w:val="24"/>
          <w:lang w:val="en-US"/>
        </w:rPr>
      </w:pPr>
    </w:p>
    <w:p w14:paraId="00B9EAF3" w14:textId="52CEB9B6" w:rsidR="0038349A" w:rsidRPr="00015070" w:rsidRDefault="0038349A" w:rsidP="0038349A">
      <w:pPr>
        <w:spacing w:after="0" w:line="360" w:lineRule="auto"/>
        <w:jc w:val="both"/>
        <w:rPr>
          <w:rFonts w:ascii="Times New Roman" w:hAnsi="Times New Roman" w:cs="Times New Roman"/>
          <w:b/>
          <w:bCs/>
          <w:color w:val="000000" w:themeColor="text1"/>
          <w:sz w:val="24"/>
          <w:szCs w:val="24"/>
          <w:lang w:val="en-US"/>
        </w:rPr>
      </w:pPr>
      <w:r w:rsidRPr="00015070">
        <w:rPr>
          <w:rFonts w:ascii="Times New Roman" w:hAnsi="Times New Roman" w:cs="Times New Roman"/>
          <w:b/>
          <w:bCs/>
          <w:color w:val="000000" w:themeColor="text1"/>
          <w:sz w:val="24"/>
          <w:szCs w:val="24"/>
          <w:lang w:val="en-US"/>
        </w:rPr>
        <w:t xml:space="preserve">Statistical analysis </w:t>
      </w:r>
    </w:p>
    <w:p w14:paraId="26212743" w14:textId="12D3FD4F" w:rsidR="0038349A" w:rsidRPr="00015070" w:rsidRDefault="003964D6" w:rsidP="0038349A">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lang w:val="en-US"/>
        </w:rPr>
        <w:t xml:space="preserve">Data were </w:t>
      </w:r>
      <w:r w:rsidR="00810575" w:rsidRPr="00015070">
        <w:rPr>
          <w:rFonts w:ascii="Times New Roman" w:hAnsi="Times New Roman" w:cs="Times New Roman"/>
          <w:color w:val="000000" w:themeColor="text1"/>
          <w:sz w:val="24"/>
          <w:szCs w:val="24"/>
          <w:lang w:val="en-US"/>
        </w:rPr>
        <w:t xml:space="preserve">processed in Microsoft® Excel, and means and percentages were generated for the tables and figures. </w:t>
      </w:r>
    </w:p>
    <w:p w14:paraId="0D2A980F" w14:textId="77777777" w:rsidR="00760DC5" w:rsidRPr="00015070" w:rsidRDefault="00760DC5" w:rsidP="0038349A">
      <w:pPr>
        <w:spacing w:after="0" w:line="360" w:lineRule="auto"/>
        <w:jc w:val="both"/>
        <w:rPr>
          <w:rFonts w:ascii="Times New Roman" w:hAnsi="Times New Roman" w:cs="Times New Roman"/>
          <w:color w:val="000000" w:themeColor="text1"/>
          <w:sz w:val="24"/>
          <w:szCs w:val="24"/>
          <w:lang w:val="en-US"/>
        </w:rPr>
      </w:pPr>
    </w:p>
    <w:p w14:paraId="2404B523" w14:textId="00E61B46" w:rsidR="00810575" w:rsidRPr="00015070" w:rsidRDefault="00760DC5" w:rsidP="0038349A">
      <w:pPr>
        <w:spacing w:after="0" w:line="360" w:lineRule="auto"/>
        <w:jc w:val="both"/>
        <w:rPr>
          <w:rFonts w:ascii="Times New Roman" w:hAnsi="Times New Roman" w:cs="Times New Roman"/>
          <w:b/>
          <w:bCs/>
          <w:color w:val="000000" w:themeColor="text1"/>
          <w:sz w:val="24"/>
          <w:szCs w:val="24"/>
          <w:lang w:val="en-US"/>
        </w:rPr>
      </w:pPr>
      <w:r w:rsidRPr="00015070">
        <w:rPr>
          <w:rFonts w:ascii="Times New Roman" w:hAnsi="Times New Roman" w:cs="Times New Roman"/>
          <w:b/>
          <w:bCs/>
          <w:color w:val="000000" w:themeColor="text1"/>
          <w:sz w:val="24"/>
          <w:szCs w:val="24"/>
          <w:lang w:val="en-US"/>
        </w:rPr>
        <w:t>3. Results and Discussion</w:t>
      </w:r>
    </w:p>
    <w:p w14:paraId="6719229E" w14:textId="16B0F079" w:rsidR="00A87E89" w:rsidRPr="00015070" w:rsidRDefault="00A87E89" w:rsidP="00A31491">
      <w:pPr>
        <w:spacing w:after="0" w:line="360" w:lineRule="auto"/>
        <w:jc w:val="both"/>
        <w:rPr>
          <w:rFonts w:ascii="Times New Roman" w:hAnsi="Times New Roman" w:cs="Times New Roman"/>
          <w:b/>
          <w:bCs/>
          <w:color w:val="000000" w:themeColor="text1"/>
          <w:sz w:val="24"/>
          <w:szCs w:val="24"/>
          <w:lang w:val="en-US"/>
        </w:rPr>
      </w:pPr>
      <w:r w:rsidRPr="00015070">
        <w:rPr>
          <w:rFonts w:ascii="Times New Roman" w:hAnsi="Times New Roman" w:cs="Times New Roman"/>
          <w:b/>
          <w:bCs/>
          <w:color w:val="000000" w:themeColor="text1"/>
          <w:sz w:val="24"/>
          <w:szCs w:val="24"/>
          <w:lang w:val="en-US"/>
        </w:rPr>
        <w:t>3.</w:t>
      </w:r>
      <w:r w:rsidR="00760DC5" w:rsidRPr="00015070">
        <w:rPr>
          <w:rFonts w:ascii="Times New Roman" w:hAnsi="Times New Roman" w:cs="Times New Roman"/>
          <w:b/>
          <w:bCs/>
          <w:color w:val="000000" w:themeColor="text1"/>
          <w:sz w:val="24"/>
          <w:szCs w:val="24"/>
          <w:lang w:val="en-US"/>
        </w:rPr>
        <w:t>1</w:t>
      </w:r>
      <w:r w:rsidRPr="00015070">
        <w:rPr>
          <w:rFonts w:ascii="Times New Roman" w:hAnsi="Times New Roman" w:cs="Times New Roman"/>
          <w:b/>
          <w:bCs/>
          <w:color w:val="000000" w:themeColor="text1"/>
          <w:sz w:val="24"/>
          <w:szCs w:val="24"/>
          <w:lang w:val="en-US"/>
        </w:rPr>
        <w:t xml:space="preserve"> Results</w:t>
      </w:r>
    </w:p>
    <w:p w14:paraId="4A51F9AA" w14:textId="5896C34E" w:rsidR="00A87E89" w:rsidRPr="00015070" w:rsidRDefault="00A87E89" w:rsidP="00A31491">
      <w:pPr>
        <w:spacing w:after="0" w:line="360" w:lineRule="auto"/>
        <w:jc w:val="both"/>
        <w:rPr>
          <w:rFonts w:ascii="Times New Roman" w:hAnsi="Times New Roman" w:cs="Times New Roman"/>
          <w:b/>
          <w:bCs/>
          <w:color w:val="000000" w:themeColor="text1"/>
          <w:sz w:val="24"/>
          <w:szCs w:val="24"/>
          <w:lang w:val="en-US"/>
        </w:rPr>
      </w:pPr>
      <w:r w:rsidRPr="00015070">
        <w:rPr>
          <w:rFonts w:ascii="Times New Roman" w:hAnsi="Times New Roman" w:cs="Times New Roman"/>
          <w:b/>
          <w:bCs/>
          <w:color w:val="000000" w:themeColor="text1"/>
          <w:sz w:val="24"/>
          <w:szCs w:val="24"/>
          <w:lang w:val="en-US"/>
        </w:rPr>
        <w:t>3.1</w:t>
      </w:r>
      <w:r w:rsidR="00760DC5" w:rsidRPr="00015070">
        <w:rPr>
          <w:rFonts w:ascii="Times New Roman" w:hAnsi="Times New Roman" w:cs="Times New Roman"/>
          <w:b/>
          <w:bCs/>
          <w:color w:val="000000" w:themeColor="text1"/>
          <w:sz w:val="24"/>
          <w:szCs w:val="24"/>
          <w:lang w:val="en-US"/>
        </w:rPr>
        <w:t>.1</w:t>
      </w:r>
      <w:r w:rsidRPr="00015070">
        <w:rPr>
          <w:rFonts w:ascii="Times New Roman" w:hAnsi="Times New Roman" w:cs="Times New Roman"/>
          <w:b/>
          <w:bCs/>
          <w:color w:val="000000" w:themeColor="text1"/>
          <w:sz w:val="24"/>
          <w:szCs w:val="24"/>
          <w:lang w:val="en-US"/>
        </w:rPr>
        <w:t xml:space="preserve"> Physical Characteristics of Flour During Storage</w:t>
      </w:r>
    </w:p>
    <w:p w14:paraId="45E3C8AC" w14:textId="2ACF7F39" w:rsidR="00A87E89" w:rsidRPr="00015070" w:rsidRDefault="00A87E89" w:rsidP="00A31491">
      <w:pPr>
        <w:spacing w:after="0" w:line="360" w:lineRule="auto"/>
        <w:jc w:val="both"/>
        <w:rPr>
          <w:rFonts w:ascii="Times New Roman" w:hAnsi="Times New Roman" w:cs="Times New Roman"/>
          <w:b/>
          <w:bCs/>
          <w:color w:val="000000" w:themeColor="text1"/>
          <w:sz w:val="24"/>
          <w:szCs w:val="24"/>
          <w:lang w:val="en-US"/>
        </w:rPr>
      </w:pPr>
      <w:r w:rsidRPr="00015070">
        <w:rPr>
          <w:rFonts w:ascii="Times New Roman" w:hAnsi="Times New Roman" w:cs="Times New Roman"/>
          <w:b/>
          <w:bCs/>
          <w:color w:val="000000" w:themeColor="text1"/>
          <w:sz w:val="24"/>
          <w:szCs w:val="24"/>
          <w:lang w:val="en-US"/>
        </w:rPr>
        <w:t>3.1.1.</w:t>
      </w:r>
      <w:r w:rsidR="00760DC5" w:rsidRPr="00015070">
        <w:rPr>
          <w:rFonts w:ascii="Times New Roman" w:hAnsi="Times New Roman" w:cs="Times New Roman"/>
          <w:b/>
          <w:bCs/>
          <w:color w:val="000000" w:themeColor="text1"/>
          <w:sz w:val="24"/>
          <w:szCs w:val="24"/>
          <w:lang w:val="en-US"/>
        </w:rPr>
        <w:t>1</w:t>
      </w:r>
      <w:r w:rsidRPr="00015070">
        <w:rPr>
          <w:rFonts w:ascii="Times New Roman" w:hAnsi="Times New Roman" w:cs="Times New Roman"/>
          <w:b/>
          <w:bCs/>
          <w:color w:val="000000" w:themeColor="text1"/>
          <w:sz w:val="24"/>
          <w:szCs w:val="24"/>
          <w:lang w:val="en-US"/>
        </w:rPr>
        <w:t xml:space="preserve"> Temperature Monitoring During Storage</w:t>
      </w:r>
    </w:p>
    <w:p w14:paraId="70506721" w14:textId="01658C52" w:rsidR="00A87E89" w:rsidRPr="00015070" w:rsidRDefault="00A87E89" w:rsidP="00A31491">
      <w:pPr>
        <w:spacing w:after="0" w:line="360" w:lineRule="auto"/>
        <w:jc w:val="both"/>
        <w:rPr>
          <w:rFonts w:ascii="Times New Roman" w:hAnsi="Times New Roman" w:cs="Times New Roman"/>
          <w:noProof/>
          <w:color w:val="000000" w:themeColor="text1"/>
          <w:sz w:val="24"/>
          <w:szCs w:val="24"/>
          <w:lang w:val="en-US"/>
        </w:rPr>
      </w:pPr>
      <w:r w:rsidRPr="00015070">
        <w:rPr>
          <w:rFonts w:ascii="Times New Roman" w:hAnsi="Times New Roman" w:cs="Times New Roman"/>
          <w:color w:val="000000" w:themeColor="text1"/>
          <w:sz w:val="24"/>
          <w:szCs w:val="24"/>
          <w:lang w:val="en-US"/>
        </w:rPr>
        <w:t>Figure 1 shows the temperature variation curve of the flour storage medium</w:t>
      </w:r>
    </w:p>
    <w:p w14:paraId="2E934E95" w14:textId="345E6F31" w:rsidR="003A24A8" w:rsidRPr="00015070" w:rsidRDefault="003A24A8" w:rsidP="00A31491">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noProof/>
          <w:color w:val="000000" w:themeColor="text1"/>
          <w:lang w:val="en-US"/>
        </w:rPr>
        <w:drawing>
          <wp:inline distT="0" distB="0" distL="0" distR="0" wp14:anchorId="25DC6D7D" wp14:editId="1AA6872B">
            <wp:extent cx="4572000" cy="2165350"/>
            <wp:effectExtent l="0" t="0" r="0" b="635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507DBAF" w14:textId="77777777" w:rsidR="00A87E89" w:rsidRPr="00015070" w:rsidRDefault="00A87E89" w:rsidP="00A31491">
      <w:pPr>
        <w:tabs>
          <w:tab w:val="left" w:pos="6306"/>
        </w:tabs>
        <w:spacing w:after="0" w:line="360" w:lineRule="auto"/>
        <w:jc w:val="both"/>
        <w:rPr>
          <w:rFonts w:ascii="Times New Roman" w:hAnsi="Times New Roman" w:cs="Times New Roman"/>
          <w:b/>
          <w:color w:val="000000" w:themeColor="text1"/>
          <w:sz w:val="24"/>
          <w:szCs w:val="24"/>
          <w:lang w:val="en-US"/>
        </w:rPr>
      </w:pPr>
      <w:r w:rsidRPr="00015070">
        <w:rPr>
          <w:rFonts w:ascii="Times New Roman" w:hAnsi="Times New Roman" w:cs="Times New Roman"/>
          <w:b/>
          <w:color w:val="000000" w:themeColor="text1"/>
          <w:sz w:val="24"/>
          <w:szCs w:val="24"/>
          <w:lang w:val="en-US"/>
        </w:rPr>
        <w:t xml:space="preserve">Figure 1: </w:t>
      </w:r>
      <w:r w:rsidRPr="00015070">
        <w:rPr>
          <w:rFonts w:ascii="Times New Roman" w:hAnsi="Times New Roman" w:cs="Times New Roman"/>
          <w:bCs/>
          <w:color w:val="000000" w:themeColor="text1"/>
          <w:sz w:val="24"/>
          <w:szCs w:val="24"/>
          <w:lang w:val="en-US"/>
        </w:rPr>
        <w:t>Temperature Variation Curve of the Flour Storage Environment</w:t>
      </w:r>
    </w:p>
    <w:p w14:paraId="16B613D1" w14:textId="3FBA4D9E" w:rsidR="00A87E89" w:rsidRPr="00015070" w:rsidRDefault="00A87E89" w:rsidP="00A31491">
      <w:pPr>
        <w:tabs>
          <w:tab w:val="left" w:pos="6306"/>
        </w:tabs>
        <w:spacing w:after="0"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lastRenderedPageBreak/>
        <w:t>Figure 1 shows the evolution of storage temperatures measured between October and April in two environments: the laboratory and the community environment. In both environments, the storage environment temperatures observed in October are high, around 35–36 °C. In November, they decrease significantly, to approximately 26–27 °C, indicating a marked drop at the onset of the cooler season. The similarity of the values</w:t>
      </w:r>
      <w:r w:rsidR="009F3BA8" w:rsidRPr="00015070">
        <w:rPr>
          <w:rFonts w:ascii="Times New Roman" w:hAnsi="Times New Roman" w:cs="Times New Roman"/>
          <w:bCs/>
          <w:color w:val="000000" w:themeColor="text1"/>
          <w:sz w:val="24"/>
          <w:szCs w:val="24"/>
          <w:lang w:val="en-US"/>
        </w:rPr>
        <w:t xml:space="preserve"> recorded in both environments during these two months suggests that overall thermal conditions were</w:t>
      </w:r>
      <w:r w:rsidRPr="00015070">
        <w:rPr>
          <w:rFonts w:ascii="Times New Roman" w:hAnsi="Times New Roman" w:cs="Times New Roman"/>
          <w:bCs/>
          <w:color w:val="000000" w:themeColor="text1"/>
          <w:sz w:val="24"/>
          <w:szCs w:val="24"/>
          <w:lang w:val="en-US"/>
        </w:rPr>
        <w:t xml:space="preserve"> similar at the beginning of the study period.</w:t>
      </w:r>
    </w:p>
    <w:p w14:paraId="6222F5EA" w14:textId="55FDBFB3" w:rsidR="00A87E89" w:rsidRPr="00015070" w:rsidRDefault="00A87E89" w:rsidP="00A31491">
      <w:pPr>
        <w:tabs>
          <w:tab w:val="left" w:pos="6306"/>
        </w:tabs>
        <w:spacing w:after="0"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From December onward, only laboratory temperatures are available. These show relative stability between December and January, with temperatures </w:t>
      </w:r>
      <w:r w:rsidR="009F3BA8" w:rsidRPr="00015070">
        <w:rPr>
          <w:rFonts w:ascii="Times New Roman" w:hAnsi="Times New Roman" w:cs="Times New Roman"/>
          <w:bCs/>
          <w:color w:val="000000" w:themeColor="text1"/>
          <w:sz w:val="24"/>
          <w:szCs w:val="24"/>
          <w:lang w:val="en-US"/>
        </w:rPr>
        <w:t>ranging from 26 to</w:t>
      </w:r>
      <w:r w:rsidRPr="00015070">
        <w:rPr>
          <w:rFonts w:ascii="Times New Roman" w:hAnsi="Times New Roman" w:cs="Times New Roman"/>
          <w:bCs/>
          <w:color w:val="000000" w:themeColor="text1"/>
          <w:sz w:val="24"/>
          <w:szCs w:val="24"/>
          <w:lang w:val="en-US"/>
        </w:rPr>
        <w:t xml:space="preserve"> 27 °C. From February onward, an upward trend begins. The temperature initially rises slightly, reaching nearly 29°C, then climbs sharply in March and April, peaking between 37 and 38°C. This trend reflects a gradual warming, likely corresponding to a transition to a warmer season.</w:t>
      </w:r>
    </w:p>
    <w:p w14:paraId="72410CAA" w14:textId="1F070E2C" w:rsidR="00A87E89" w:rsidRPr="00015070" w:rsidRDefault="00A87E89" w:rsidP="00A31491">
      <w:pPr>
        <w:tabs>
          <w:tab w:val="left" w:pos="6306"/>
        </w:tabs>
        <w:spacing w:after="0"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The overall analysis of these results highlights a </w:t>
      </w:r>
      <w:r w:rsidR="009F3BA8" w:rsidRPr="00015070">
        <w:rPr>
          <w:rFonts w:ascii="Times New Roman" w:hAnsi="Times New Roman" w:cs="Times New Roman"/>
          <w:bCs/>
          <w:color w:val="000000" w:themeColor="text1"/>
          <w:sz w:val="24"/>
          <w:szCs w:val="24"/>
          <w:lang w:val="en-US"/>
        </w:rPr>
        <w:t>substantial</w:t>
      </w:r>
      <w:r w:rsidRPr="00015070">
        <w:rPr>
          <w:rFonts w:ascii="Times New Roman" w:hAnsi="Times New Roman" w:cs="Times New Roman"/>
          <w:bCs/>
          <w:color w:val="000000" w:themeColor="text1"/>
          <w:sz w:val="24"/>
          <w:szCs w:val="24"/>
          <w:lang w:val="en-US"/>
        </w:rPr>
        <w:t xml:space="preserve"> seasonal variability in storage temperatures. The drop observed in November is followed by a cooler, more stable period during the colder months, then by a rapid warming at the end of the season. This dynamic could have significant implications if the stored products are heat-sensitive, particularly during March and April when temperatures </w:t>
      </w:r>
      <w:r w:rsidR="009F3BA8" w:rsidRPr="00015070">
        <w:rPr>
          <w:rFonts w:ascii="Times New Roman" w:hAnsi="Times New Roman" w:cs="Times New Roman"/>
          <w:bCs/>
          <w:color w:val="000000" w:themeColor="text1"/>
          <w:sz w:val="24"/>
          <w:szCs w:val="24"/>
          <w:lang w:val="en-US"/>
        </w:rPr>
        <w:t xml:space="preserve">frequently exceed the critical thresholds </w:t>
      </w:r>
      <w:r w:rsidRPr="00015070">
        <w:rPr>
          <w:rFonts w:ascii="Times New Roman" w:hAnsi="Times New Roman" w:cs="Times New Roman"/>
          <w:bCs/>
          <w:color w:val="000000" w:themeColor="text1"/>
          <w:sz w:val="24"/>
          <w:szCs w:val="24"/>
          <w:lang w:val="en-US"/>
        </w:rPr>
        <w:t>recommended for storing many temperature-sensitive products. The data also suggest that the laboratory is not a thermally controlled environment; temperatures there follow external climatic variations.</w:t>
      </w:r>
    </w:p>
    <w:p w14:paraId="448FBCDC" w14:textId="77777777" w:rsidR="00A87E89" w:rsidRPr="00015070" w:rsidRDefault="00A87E89" w:rsidP="00A31491">
      <w:pPr>
        <w:tabs>
          <w:tab w:val="left" w:pos="6306"/>
        </w:tabs>
        <w:spacing w:after="0" w:line="360" w:lineRule="auto"/>
        <w:jc w:val="both"/>
        <w:rPr>
          <w:rFonts w:ascii="Times New Roman" w:hAnsi="Times New Roman" w:cs="Times New Roman"/>
          <w:b/>
          <w:color w:val="000000" w:themeColor="text1"/>
          <w:sz w:val="24"/>
          <w:szCs w:val="24"/>
          <w:lang w:val="en-US"/>
        </w:rPr>
      </w:pPr>
    </w:p>
    <w:p w14:paraId="594D1B5D" w14:textId="2B44F05D" w:rsidR="00A87E89" w:rsidRPr="00015070" w:rsidRDefault="00A87E89" w:rsidP="00A31491">
      <w:pPr>
        <w:tabs>
          <w:tab w:val="left" w:pos="6306"/>
        </w:tabs>
        <w:spacing w:after="0" w:line="360" w:lineRule="auto"/>
        <w:jc w:val="both"/>
        <w:rPr>
          <w:rFonts w:ascii="Times New Roman" w:hAnsi="Times New Roman" w:cs="Times New Roman"/>
          <w:b/>
          <w:color w:val="000000" w:themeColor="text1"/>
          <w:sz w:val="24"/>
          <w:szCs w:val="24"/>
          <w:lang w:val="en-US"/>
        </w:rPr>
      </w:pPr>
      <w:r w:rsidRPr="00015070">
        <w:rPr>
          <w:rFonts w:ascii="Times New Roman" w:hAnsi="Times New Roman" w:cs="Times New Roman"/>
          <w:b/>
          <w:color w:val="000000" w:themeColor="text1"/>
          <w:sz w:val="24"/>
          <w:szCs w:val="24"/>
          <w:lang w:val="en-US"/>
        </w:rPr>
        <w:t>3.1</w:t>
      </w:r>
      <w:r w:rsidR="00760DC5" w:rsidRPr="00015070">
        <w:rPr>
          <w:rFonts w:ascii="Times New Roman" w:hAnsi="Times New Roman" w:cs="Times New Roman"/>
          <w:b/>
          <w:color w:val="000000" w:themeColor="text1"/>
          <w:sz w:val="24"/>
          <w:szCs w:val="24"/>
          <w:lang w:val="en-US"/>
        </w:rPr>
        <w:t>.1</w:t>
      </w:r>
      <w:r w:rsidRPr="00015070">
        <w:rPr>
          <w:rFonts w:ascii="Times New Roman" w:hAnsi="Times New Roman" w:cs="Times New Roman"/>
          <w:b/>
          <w:color w:val="000000" w:themeColor="text1"/>
          <w:sz w:val="24"/>
          <w:szCs w:val="24"/>
          <w:lang w:val="en-US"/>
        </w:rPr>
        <w:t>.2. Variation in Moisture Content During Storage</w:t>
      </w:r>
    </w:p>
    <w:p w14:paraId="1AB34A28" w14:textId="394777C3" w:rsidR="00A87E89" w:rsidRPr="00015070" w:rsidRDefault="00A87E89" w:rsidP="00A31491">
      <w:pPr>
        <w:tabs>
          <w:tab w:val="left" w:pos="6306"/>
        </w:tabs>
        <w:spacing w:after="0"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The evolution of the flour's moisture content during storage is shown in Figure 2.</w:t>
      </w:r>
    </w:p>
    <w:p w14:paraId="47FCF9B6" w14:textId="455C988D" w:rsidR="003A24A8" w:rsidRPr="00015070" w:rsidRDefault="003A24A8" w:rsidP="00A31491">
      <w:pPr>
        <w:tabs>
          <w:tab w:val="left" w:pos="6306"/>
        </w:tabs>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noProof/>
          <w:color w:val="000000" w:themeColor="text1"/>
          <w:sz w:val="20"/>
          <w:szCs w:val="20"/>
          <w:lang w:val="en-US"/>
        </w:rPr>
        <w:drawing>
          <wp:inline distT="0" distB="0" distL="0" distR="0" wp14:anchorId="0C5524FB" wp14:editId="5A049636">
            <wp:extent cx="4572000" cy="2127564"/>
            <wp:effectExtent l="0" t="0" r="0" b="6350"/>
            <wp:docPr id="2" name="Image 2" descr="C:\Users\HP\Desktop\Projet Article MISOLA v\First 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rojet Article MISOLA v\First O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9863" cy="2140530"/>
                    </a:xfrm>
                    <a:prstGeom prst="rect">
                      <a:avLst/>
                    </a:prstGeom>
                    <a:noFill/>
                    <a:ln>
                      <a:noFill/>
                    </a:ln>
                  </pic:spPr>
                </pic:pic>
              </a:graphicData>
            </a:graphic>
          </wp:inline>
        </w:drawing>
      </w:r>
    </w:p>
    <w:p w14:paraId="5509ACB7" w14:textId="3DAEE85E" w:rsidR="00A87E89" w:rsidRDefault="00A87E89" w:rsidP="00A31491">
      <w:pPr>
        <w:spacing w:after="0"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
          <w:color w:val="000000" w:themeColor="text1"/>
          <w:sz w:val="24"/>
          <w:szCs w:val="24"/>
          <w:lang w:val="en-US"/>
        </w:rPr>
        <w:t>Figure 2:</w:t>
      </w:r>
      <w:r w:rsidRPr="00015070">
        <w:rPr>
          <w:rFonts w:ascii="Times New Roman" w:hAnsi="Times New Roman" w:cs="Times New Roman"/>
          <w:bCs/>
          <w:color w:val="000000" w:themeColor="text1"/>
          <w:sz w:val="24"/>
          <w:szCs w:val="24"/>
          <w:lang w:val="en-US"/>
        </w:rPr>
        <w:t xml:space="preserve"> Variation in Moisture Content During Storage</w:t>
      </w:r>
    </w:p>
    <w:p w14:paraId="7A1542EC" w14:textId="5B7660BD" w:rsidR="00015070" w:rsidRPr="00015070" w:rsidRDefault="00015070" w:rsidP="00A31491">
      <w:pPr>
        <w:spacing w:after="0" w:line="360" w:lineRule="auto"/>
        <w:jc w:val="both"/>
        <w:rPr>
          <w:rFonts w:ascii="Times New Roman" w:hAnsi="Times New Roman" w:cs="Times New Roman"/>
          <w:bCs/>
          <w:color w:val="000000" w:themeColor="text1"/>
          <w:sz w:val="24"/>
          <w:szCs w:val="24"/>
          <w:lang w:val="en-US"/>
        </w:rPr>
      </w:pPr>
      <w:r w:rsidRPr="00015070">
        <w:lastRenderedPageBreak/>
        <w:t xml:space="preserve"> </w:t>
      </w:r>
      <w:r w:rsidRPr="00015070">
        <w:rPr>
          <w:rFonts w:ascii="Times New Roman" w:hAnsi="Times New Roman" w:cs="Times New Roman"/>
          <w:bCs/>
          <w:color w:val="000000" w:themeColor="text1"/>
          <w:sz w:val="24"/>
          <w:szCs w:val="24"/>
          <w:lang w:val="en-US"/>
        </w:rPr>
        <w:t>FIF: Fortified Infant Flour; T: Time; EA: Aluminum Packaging; EP: Plastic Packaging; C: Community</w:t>
      </w:r>
    </w:p>
    <w:p w14:paraId="461680CE" w14:textId="77777777" w:rsidR="00A31491" w:rsidRPr="00015070" w:rsidRDefault="00A31491" w:rsidP="00A31491">
      <w:pPr>
        <w:spacing w:after="0" w:line="360" w:lineRule="auto"/>
        <w:jc w:val="both"/>
        <w:rPr>
          <w:rFonts w:ascii="Times New Roman" w:hAnsi="Times New Roman" w:cs="Times New Roman"/>
          <w:bCs/>
          <w:color w:val="000000" w:themeColor="text1"/>
          <w:sz w:val="24"/>
          <w:szCs w:val="24"/>
          <w:lang w:val="en-US"/>
        </w:rPr>
      </w:pPr>
    </w:p>
    <w:p w14:paraId="6F33C90F" w14:textId="6B376C3F" w:rsidR="00A87E89" w:rsidRPr="00015070" w:rsidRDefault="00A87E89" w:rsidP="00A31491">
      <w:pPr>
        <w:spacing w:after="0"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The figure illustrates the change in moisture content (%) of a product </w:t>
      </w:r>
      <w:r w:rsidR="005425D3" w:rsidRPr="00015070">
        <w:rPr>
          <w:rFonts w:ascii="Times New Roman" w:hAnsi="Times New Roman" w:cs="Times New Roman"/>
          <w:bCs/>
          <w:color w:val="000000" w:themeColor="text1"/>
          <w:sz w:val="24"/>
          <w:szCs w:val="24"/>
          <w:lang w:val="en-US"/>
        </w:rPr>
        <w:t>from the initial time (T0) to 2 months (T0+2 months), 4 months (T0+4 months), and 6</w:t>
      </w:r>
      <w:r w:rsidRPr="00015070">
        <w:rPr>
          <w:rFonts w:ascii="Times New Roman" w:hAnsi="Times New Roman" w:cs="Times New Roman"/>
          <w:bCs/>
          <w:color w:val="000000" w:themeColor="text1"/>
          <w:sz w:val="24"/>
          <w:szCs w:val="24"/>
          <w:lang w:val="en-US"/>
        </w:rPr>
        <w:t xml:space="preserve"> months (T0+6 months). At time T0, the moisture content is </w:t>
      </w:r>
      <w:r w:rsidR="005425D3" w:rsidRPr="00015070">
        <w:rPr>
          <w:rFonts w:ascii="Times New Roman" w:hAnsi="Times New Roman" w:cs="Times New Roman"/>
          <w:bCs/>
          <w:color w:val="000000" w:themeColor="text1"/>
          <w:sz w:val="24"/>
          <w:szCs w:val="24"/>
          <w:lang w:val="en-US"/>
        </w:rPr>
        <w:t>3.15%, then drops sharply to 0% for the FIF-EA-T2 sample, suggesting</w:t>
      </w:r>
      <w:r w:rsidRPr="00015070">
        <w:rPr>
          <w:rFonts w:ascii="Times New Roman" w:hAnsi="Times New Roman" w:cs="Times New Roman"/>
          <w:bCs/>
          <w:color w:val="000000" w:themeColor="text1"/>
          <w:sz w:val="24"/>
          <w:szCs w:val="24"/>
          <w:lang w:val="en-US"/>
        </w:rPr>
        <w:t xml:space="preserve"> an anomaly or </w:t>
      </w:r>
      <w:r w:rsidR="005425D3" w:rsidRPr="00015070">
        <w:rPr>
          <w:rFonts w:ascii="Times New Roman" w:hAnsi="Times New Roman" w:cs="Times New Roman"/>
          <w:bCs/>
          <w:color w:val="000000" w:themeColor="text1"/>
          <w:sz w:val="24"/>
          <w:szCs w:val="24"/>
          <w:lang w:val="en-US"/>
        </w:rPr>
        <w:t>a dehydrated</w:t>
      </w:r>
      <w:r w:rsidRPr="00015070">
        <w:rPr>
          <w:rFonts w:ascii="Times New Roman" w:hAnsi="Times New Roman" w:cs="Times New Roman"/>
          <w:bCs/>
          <w:color w:val="000000" w:themeColor="text1"/>
          <w:sz w:val="24"/>
          <w:szCs w:val="24"/>
          <w:lang w:val="en-US"/>
        </w:rPr>
        <w:t xml:space="preserve"> sample.</w:t>
      </w:r>
    </w:p>
    <w:p w14:paraId="30B549D3" w14:textId="2AAB70D2" w:rsidR="00A87E89" w:rsidRPr="00015070" w:rsidRDefault="00A87E89" w:rsidP="00A31491">
      <w:pPr>
        <w:spacing w:after="0"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From T0+2 months onward, the moisture content stabilizes between 3.17% and 3.39%, depending on the sample type. This relative stability suggests that the product maintains moderate moisture during the first weeks of storage, without </w:t>
      </w:r>
      <w:r w:rsidR="005425D3" w:rsidRPr="00015070">
        <w:rPr>
          <w:rFonts w:ascii="Times New Roman" w:hAnsi="Times New Roman" w:cs="Times New Roman"/>
          <w:bCs/>
          <w:color w:val="000000" w:themeColor="text1"/>
          <w:sz w:val="24"/>
          <w:szCs w:val="24"/>
          <w:lang w:val="en-US"/>
        </w:rPr>
        <w:t>significant</w:t>
      </w:r>
      <w:r w:rsidRPr="00015070">
        <w:rPr>
          <w:rFonts w:ascii="Times New Roman" w:hAnsi="Times New Roman" w:cs="Times New Roman"/>
          <w:bCs/>
          <w:color w:val="000000" w:themeColor="text1"/>
          <w:sz w:val="24"/>
          <w:szCs w:val="24"/>
          <w:lang w:val="en-US"/>
        </w:rPr>
        <w:t xml:space="preserve"> variations likely to affect its quality. At time T0+4 months, a slight increase was observed, with the content reaching 3.6% for both samples analyzed. This gradual increase continued until T0+6 months, where the values ​​reached 4.16% and then 4.7%, indicating a more pronounced increase in moisture over time.</w:t>
      </w:r>
    </w:p>
    <w:p w14:paraId="1C6A4974" w14:textId="6F5D9FEF" w:rsidR="00A87E89" w:rsidRPr="00015070" w:rsidRDefault="00A87E89" w:rsidP="00A31491">
      <w:pPr>
        <w:spacing w:after="0"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Overall, the results show an upward trend in moisture content after two months of storage, with a more pronounced increase between four and </w:t>
      </w:r>
      <w:r w:rsidR="00661885" w:rsidRPr="00015070">
        <w:rPr>
          <w:rFonts w:ascii="Times New Roman" w:hAnsi="Times New Roman" w:cs="Times New Roman"/>
          <w:bCs/>
          <w:color w:val="000000" w:themeColor="text1"/>
          <w:sz w:val="24"/>
          <w:szCs w:val="24"/>
          <w:lang w:val="en-US"/>
        </w:rPr>
        <w:t>6 months</w:t>
      </w:r>
      <w:r w:rsidRPr="00015070">
        <w:rPr>
          <w:rFonts w:ascii="Times New Roman" w:hAnsi="Times New Roman" w:cs="Times New Roman"/>
          <w:bCs/>
          <w:color w:val="000000" w:themeColor="text1"/>
          <w:sz w:val="24"/>
          <w:szCs w:val="24"/>
          <w:lang w:val="en-US"/>
        </w:rPr>
        <w:t xml:space="preserve">. This trend suggests </w:t>
      </w:r>
      <w:r w:rsidR="005425D3" w:rsidRPr="00015070">
        <w:rPr>
          <w:rFonts w:ascii="Times New Roman" w:hAnsi="Times New Roman" w:cs="Times New Roman"/>
          <w:bCs/>
          <w:color w:val="000000" w:themeColor="text1"/>
          <w:sz w:val="24"/>
          <w:szCs w:val="24"/>
          <w:lang w:val="en-US"/>
        </w:rPr>
        <w:t>progressive moisture absorption by the product during storage, which could affect</w:t>
      </w:r>
      <w:r w:rsidRPr="00015070">
        <w:rPr>
          <w:rFonts w:ascii="Times New Roman" w:hAnsi="Times New Roman" w:cs="Times New Roman"/>
          <w:bCs/>
          <w:color w:val="000000" w:themeColor="text1"/>
          <w:sz w:val="24"/>
          <w:szCs w:val="24"/>
          <w:lang w:val="en-US"/>
        </w:rPr>
        <w:t xml:space="preserve"> its stability, preservation, or functional properties.</w:t>
      </w:r>
    </w:p>
    <w:p w14:paraId="3490A8DB" w14:textId="77777777" w:rsidR="00A87E89" w:rsidRPr="00015070" w:rsidRDefault="00A87E89" w:rsidP="00A31491">
      <w:pPr>
        <w:spacing w:after="0" w:line="360" w:lineRule="auto"/>
        <w:jc w:val="both"/>
        <w:rPr>
          <w:rFonts w:ascii="Times New Roman" w:hAnsi="Times New Roman" w:cs="Times New Roman"/>
          <w:bCs/>
          <w:color w:val="000000" w:themeColor="text1"/>
          <w:sz w:val="24"/>
          <w:szCs w:val="24"/>
          <w:lang w:val="en-US"/>
        </w:rPr>
      </w:pPr>
    </w:p>
    <w:p w14:paraId="2CAA9880" w14:textId="0382B3FD" w:rsidR="00A87E89" w:rsidRPr="00015070" w:rsidRDefault="00A87E89" w:rsidP="00A31491">
      <w:pPr>
        <w:spacing w:after="0" w:line="360" w:lineRule="auto"/>
        <w:jc w:val="both"/>
        <w:rPr>
          <w:rFonts w:ascii="Times New Roman" w:hAnsi="Times New Roman" w:cs="Times New Roman"/>
          <w:b/>
          <w:color w:val="000000" w:themeColor="text1"/>
          <w:sz w:val="24"/>
          <w:szCs w:val="24"/>
          <w:lang w:val="en-US"/>
        </w:rPr>
      </w:pPr>
      <w:r w:rsidRPr="00015070">
        <w:rPr>
          <w:rFonts w:ascii="Times New Roman" w:hAnsi="Times New Roman" w:cs="Times New Roman"/>
          <w:b/>
          <w:color w:val="000000" w:themeColor="text1"/>
          <w:sz w:val="24"/>
          <w:szCs w:val="24"/>
          <w:lang w:val="en-US"/>
        </w:rPr>
        <w:t>3.1.</w:t>
      </w:r>
      <w:r w:rsidR="00760DC5" w:rsidRPr="00015070">
        <w:rPr>
          <w:rFonts w:ascii="Times New Roman" w:hAnsi="Times New Roman" w:cs="Times New Roman"/>
          <w:b/>
          <w:color w:val="000000" w:themeColor="text1"/>
          <w:sz w:val="24"/>
          <w:szCs w:val="24"/>
          <w:lang w:val="en-US"/>
        </w:rPr>
        <w:t>1.</w:t>
      </w:r>
      <w:r w:rsidRPr="00015070">
        <w:rPr>
          <w:rFonts w:ascii="Times New Roman" w:hAnsi="Times New Roman" w:cs="Times New Roman"/>
          <w:b/>
          <w:color w:val="000000" w:themeColor="text1"/>
          <w:sz w:val="24"/>
          <w:szCs w:val="24"/>
          <w:lang w:val="en-US"/>
        </w:rPr>
        <w:t>3. Evolution of the lipid content of stored flours</w:t>
      </w:r>
    </w:p>
    <w:p w14:paraId="2F004F9C" w14:textId="2D25B85B" w:rsidR="00A87E89" w:rsidRPr="00015070" w:rsidRDefault="00A87E89" w:rsidP="00A31491">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b/>
          <w:color w:val="000000" w:themeColor="text1"/>
          <w:sz w:val="24"/>
          <w:szCs w:val="24"/>
          <w:lang w:val="en-US"/>
        </w:rPr>
        <w:t xml:space="preserve">Table </w:t>
      </w:r>
      <w:r w:rsidR="00A57CC3" w:rsidRPr="00015070">
        <w:rPr>
          <w:rFonts w:ascii="Times New Roman" w:hAnsi="Times New Roman" w:cs="Times New Roman"/>
          <w:b/>
          <w:color w:val="000000" w:themeColor="text1"/>
          <w:sz w:val="24"/>
          <w:szCs w:val="24"/>
          <w:lang w:val="en-US"/>
        </w:rPr>
        <w:t>1.</w:t>
      </w:r>
      <w:r w:rsidRPr="00015070">
        <w:rPr>
          <w:rFonts w:ascii="Times New Roman" w:hAnsi="Times New Roman" w:cs="Times New Roman"/>
          <w:bCs/>
          <w:color w:val="000000" w:themeColor="text1"/>
          <w:sz w:val="24"/>
          <w:szCs w:val="24"/>
          <w:lang w:val="en-US"/>
        </w:rPr>
        <w:t xml:space="preserve"> Lipid content of flours during storage</w:t>
      </w:r>
    </w:p>
    <w:tbl>
      <w:tblPr>
        <w:tblStyle w:val="Tableausimple21"/>
        <w:tblpPr w:leftFromText="180" w:rightFromText="180" w:vertAnchor="text" w:horzAnchor="margin" w:tblpXSpec="center" w:tblpY="431"/>
        <w:tblW w:w="5000" w:type="pct"/>
        <w:tblLook w:val="04A0" w:firstRow="1" w:lastRow="0" w:firstColumn="1" w:lastColumn="0" w:noHBand="0" w:noVBand="1"/>
      </w:tblPr>
      <w:tblGrid>
        <w:gridCol w:w="3477"/>
        <w:gridCol w:w="1737"/>
        <w:gridCol w:w="4136"/>
      </w:tblGrid>
      <w:tr w:rsidR="00015070" w:rsidRPr="00015070" w14:paraId="4DC3B64B" w14:textId="77777777" w:rsidTr="005425D3">
        <w:trPr>
          <w:cnfStyle w:val="100000000000" w:firstRow="1" w:lastRow="0" w:firstColumn="0" w:lastColumn="0" w:oddVBand="0" w:evenVBand="0" w:oddHBand="0"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859" w:type="pct"/>
            <w:tcBorders>
              <w:top w:val="single" w:sz="4" w:space="0" w:color="7F7F7F" w:themeColor="text1" w:themeTint="80"/>
              <w:left w:val="single" w:sz="4" w:space="0" w:color="auto"/>
            </w:tcBorders>
          </w:tcPr>
          <w:p w14:paraId="39FADB74" w14:textId="34F439AC" w:rsidR="00A87E89" w:rsidRPr="00015070" w:rsidRDefault="00A87E89" w:rsidP="00A31491">
            <w:pPr>
              <w:jc w:val="both"/>
              <w:rPr>
                <w:rFonts w:ascii="Times New Roman" w:hAnsi="Times New Roman" w:cs="Times New Roman"/>
                <w:b w:val="0"/>
                <w:bCs w:val="0"/>
                <w:color w:val="000000" w:themeColor="text1"/>
                <w:sz w:val="24"/>
                <w:szCs w:val="24"/>
              </w:rPr>
            </w:pPr>
            <w:r w:rsidRPr="00015070">
              <w:rPr>
                <w:rFonts w:ascii="Times New Roman" w:hAnsi="Times New Roman" w:cs="Times New Roman"/>
                <w:color w:val="000000" w:themeColor="text1"/>
                <w:sz w:val="24"/>
                <w:szCs w:val="24"/>
              </w:rPr>
              <w:t>T</w:t>
            </w:r>
            <w:r w:rsidR="005425D3" w:rsidRPr="00015070">
              <w:rPr>
                <w:rFonts w:ascii="Times New Roman" w:hAnsi="Times New Roman" w:cs="Times New Roman"/>
                <w:color w:val="000000" w:themeColor="text1"/>
                <w:sz w:val="24"/>
                <w:szCs w:val="24"/>
              </w:rPr>
              <w:t>imes</w:t>
            </w:r>
          </w:p>
        </w:tc>
        <w:tc>
          <w:tcPr>
            <w:tcW w:w="929" w:type="pct"/>
            <w:tcBorders>
              <w:top w:val="single" w:sz="4" w:space="0" w:color="7F7F7F" w:themeColor="text1" w:themeTint="80"/>
            </w:tcBorders>
          </w:tcPr>
          <w:p w14:paraId="67C1CB6D" w14:textId="1B23ACF4" w:rsidR="00A87E89" w:rsidRPr="00015070" w:rsidRDefault="00A87E89" w:rsidP="00A3149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015070">
              <w:rPr>
                <w:rFonts w:ascii="Times New Roman" w:hAnsi="Times New Roman" w:cs="Times New Roman"/>
                <w:color w:val="000000" w:themeColor="text1"/>
                <w:sz w:val="24"/>
                <w:szCs w:val="24"/>
              </w:rPr>
              <w:t>F</w:t>
            </w:r>
            <w:r w:rsidR="005425D3" w:rsidRPr="00015070">
              <w:rPr>
                <w:rFonts w:ascii="Times New Roman" w:hAnsi="Times New Roman" w:cs="Times New Roman"/>
                <w:color w:val="000000" w:themeColor="text1"/>
                <w:sz w:val="24"/>
                <w:szCs w:val="24"/>
              </w:rPr>
              <w:t>lours</w:t>
            </w:r>
          </w:p>
        </w:tc>
        <w:tc>
          <w:tcPr>
            <w:tcW w:w="2211" w:type="pct"/>
            <w:tcBorders>
              <w:top w:val="single" w:sz="4" w:space="0" w:color="7F7F7F" w:themeColor="text1" w:themeTint="80"/>
              <w:right w:val="single" w:sz="4" w:space="0" w:color="auto"/>
            </w:tcBorders>
          </w:tcPr>
          <w:p w14:paraId="10A61015" w14:textId="53509F16" w:rsidR="00A87E89" w:rsidRPr="00015070" w:rsidRDefault="00A87E89" w:rsidP="00A3149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015070">
              <w:rPr>
                <w:rFonts w:ascii="Times New Roman" w:hAnsi="Times New Roman" w:cs="Times New Roman"/>
                <w:color w:val="000000" w:themeColor="text1"/>
                <w:sz w:val="24"/>
                <w:szCs w:val="24"/>
              </w:rPr>
              <w:t>lipid</w:t>
            </w:r>
            <w:r w:rsidR="005425D3" w:rsidRPr="00015070">
              <w:rPr>
                <w:rFonts w:ascii="Times New Roman" w:hAnsi="Times New Roman" w:cs="Times New Roman"/>
                <w:color w:val="000000" w:themeColor="text1"/>
                <w:sz w:val="24"/>
                <w:szCs w:val="24"/>
              </w:rPr>
              <w:t xml:space="preserve"> content</w:t>
            </w:r>
            <w:r w:rsidRPr="00015070">
              <w:rPr>
                <w:rFonts w:ascii="Times New Roman" w:hAnsi="Times New Roman" w:cs="Times New Roman"/>
                <w:color w:val="000000" w:themeColor="text1"/>
                <w:sz w:val="24"/>
                <w:szCs w:val="24"/>
              </w:rPr>
              <w:t xml:space="preserve"> (%)</w:t>
            </w:r>
          </w:p>
        </w:tc>
      </w:tr>
      <w:tr w:rsidR="00015070" w:rsidRPr="00015070" w14:paraId="1D575689" w14:textId="77777777" w:rsidTr="005425D3">
        <w:trPr>
          <w:trHeight w:val="337"/>
        </w:trPr>
        <w:tc>
          <w:tcPr>
            <w:cnfStyle w:val="001000000000" w:firstRow="0" w:lastRow="0" w:firstColumn="1" w:lastColumn="0" w:oddVBand="0" w:evenVBand="0" w:oddHBand="0" w:evenHBand="0" w:firstRowFirstColumn="0" w:firstRowLastColumn="0" w:lastRowFirstColumn="0" w:lastRowLastColumn="0"/>
            <w:tcW w:w="1859" w:type="pct"/>
            <w:tcBorders>
              <w:top w:val="single" w:sz="4" w:space="0" w:color="7F7F7F" w:themeColor="text1" w:themeTint="80"/>
              <w:left w:val="single" w:sz="4" w:space="0" w:color="auto"/>
              <w:bottom w:val="single" w:sz="4" w:space="0" w:color="7F7F7F" w:themeColor="text1" w:themeTint="80"/>
            </w:tcBorders>
          </w:tcPr>
          <w:p w14:paraId="5ADB0ED4" w14:textId="3148C50C" w:rsidR="00A87E89" w:rsidRPr="00015070" w:rsidRDefault="00A87E89" w:rsidP="00A31491">
            <w:pPr>
              <w:jc w:val="both"/>
              <w:rPr>
                <w:rFonts w:ascii="Times New Roman" w:hAnsi="Times New Roman" w:cs="Times New Roman"/>
                <w:b w:val="0"/>
                <w:color w:val="000000" w:themeColor="text1"/>
                <w:sz w:val="24"/>
                <w:szCs w:val="24"/>
              </w:rPr>
            </w:pPr>
            <w:r w:rsidRPr="00015070">
              <w:rPr>
                <w:rFonts w:ascii="Times New Roman" w:hAnsi="Times New Roman" w:cs="Times New Roman"/>
                <w:b w:val="0"/>
                <w:color w:val="000000" w:themeColor="text1"/>
                <w:sz w:val="24"/>
                <w:szCs w:val="24"/>
              </w:rPr>
              <w:t>T</w:t>
            </w:r>
            <w:r w:rsidR="005425D3" w:rsidRPr="00015070">
              <w:rPr>
                <w:rFonts w:ascii="Times New Roman" w:hAnsi="Times New Roman" w:cs="Times New Roman"/>
                <w:b w:val="0"/>
                <w:color w:val="000000" w:themeColor="text1"/>
                <w:sz w:val="24"/>
                <w:szCs w:val="24"/>
              </w:rPr>
              <w:t>ime</w:t>
            </w:r>
            <w:r w:rsidRPr="00015070">
              <w:rPr>
                <w:rFonts w:ascii="Times New Roman" w:hAnsi="Times New Roman" w:cs="Times New Roman"/>
                <w:b w:val="0"/>
                <w:color w:val="000000" w:themeColor="text1"/>
                <w:sz w:val="24"/>
                <w:szCs w:val="24"/>
              </w:rPr>
              <w:t>-T0</w:t>
            </w:r>
          </w:p>
        </w:tc>
        <w:tc>
          <w:tcPr>
            <w:tcW w:w="929" w:type="pct"/>
            <w:tcBorders>
              <w:top w:val="single" w:sz="4" w:space="0" w:color="7F7F7F" w:themeColor="text1" w:themeTint="80"/>
              <w:bottom w:val="single" w:sz="4" w:space="0" w:color="7F7F7F" w:themeColor="text1" w:themeTint="80"/>
            </w:tcBorders>
          </w:tcPr>
          <w:p w14:paraId="20D4C4D1" w14:textId="77777777" w:rsidR="00A87E89" w:rsidRPr="00015070"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FIF-T0</w:t>
            </w:r>
          </w:p>
        </w:tc>
        <w:tc>
          <w:tcPr>
            <w:tcW w:w="2211" w:type="pct"/>
            <w:tcBorders>
              <w:top w:val="single" w:sz="4" w:space="0" w:color="7F7F7F" w:themeColor="text1" w:themeTint="80"/>
              <w:bottom w:val="single" w:sz="4" w:space="0" w:color="7F7F7F" w:themeColor="text1" w:themeTint="80"/>
              <w:right w:val="single" w:sz="4" w:space="0" w:color="auto"/>
            </w:tcBorders>
          </w:tcPr>
          <w:p w14:paraId="1D8F4BB0" w14:textId="51FDC103" w:rsidR="00A87E89" w:rsidRPr="00015070"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13</w:t>
            </w:r>
            <w:r w:rsidR="003A24A8" w:rsidRPr="00015070">
              <w:rPr>
                <w:rFonts w:ascii="Times New Roman" w:hAnsi="Times New Roman" w:cs="Times New Roman"/>
                <w:bCs/>
                <w:color w:val="000000" w:themeColor="text1"/>
                <w:sz w:val="24"/>
                <w:szCs w:val="24"/>
              </w:rPr>
              <w:t>.</w:t>
            </w:r>
            <w:r w:rsidRPr="00015070">
              <w:rPr>
                <w:rFonts w:ascii="Times New Roman" w:hAnsi="Times New Roman" w:cs="Times New Roman"/>
                <w:bCs/>
                <w:color w:val="000000" w:themeColor="text1"/>
                <w:sz w:val="24"/>
                <w:szCs w:val="24"/>
              </w:rPr>
              <w:t>2</w:t>
            </w:r>
          </w:p>
        </w:tc>
      </w:tr>
      <w:tr w:rsidR="00015070" w:rsidRPr="00015070" w14:paraId="36D77D18"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val="restart"/>
            <w:tcBorders>
              <w:left w:val="single" w:sz="4" w:space="0" w:color="auto"/>
            </w:tcBorders>
          </w:tcPr>
          <w:p w14:paraId="3A9F9711" w14:textId="77777777" w:rsidR="00A87E89" w:rsidRPr="00015070" w:rsidRDefault="00A87E89" w:rsidP="00A31491">
            <w:pPr>
              <w:jc w:val="both"/>
              <w:rPr>
                <w:rFonts w:ascii="Times New Roman" w:hAnsi="Times New Roman" w:cs="Times New Roman"/>
                <w:b w:val="0"/>
                <w:color w:val="000000" w:themeColor="text1"/>
                <w:sz w:val="24"/>
                <w:szCs w:val="24"/>
              </w:rPr>
            </w:pPr>
          </w:p>
          <w:p w14:paraId="17734417" w14:textId="77777777" w:rsidR="00A87E89" w:rsidRPr="00015070" w:rsidRDefault="00A87E89" w:rsidP="00A31491">
            <w:pPr>
              <w:jc w:val="both"/>
              <w:rPr>
                <w:rFonts w:ascii="Times New Roman" w:hAnsi="Times New Roman" w:cs="Times New Roman"/>
                <w:b w:val="0"/>
                <w:color w:val="000000" w:themeColor="text1"/>
                <w:sz w:val="24"/>
                <w:szCs w:val="24"/>
              </w:rPr>
            </w:pPr>
          </w:p>
          <w:p w14:paraId="3C07E2D3" w14:textId="154E0BB6" w:rsidR="00A87E89" w:rsidRPr="00015070" w:rsidRDefault="00A87E89" w:rsidP="00A31491">
            <w:pPr>
              <w:jc w:val="both"/>
              <w:rPr>
                <w:rFonts w:ascii="Times New Roman" w:hAnsi="Times New Roman" w:cs="Times New Roman"/>
                <w:b w:val="0"/>
                <w:color w:val="000000" w:themeColor="text1"/>
                <w:sz w:val="24"/>
                <w:szCs w:val="24"/>
              </w:rPr>
            </w:pPr>
            <w:r w:rsidRPr="00015070">
              <w:rPr>
                <w:rFonts w:ascii="Times New Roman" w:hAnsi="Times New Roman" w:cs="Times New Roman"/>
                <w:b w:val="0"/>
                <w:color w:val="000000" w:themeColor="text1"/>
                <w:sz w:val="24"/>
                <w:szCs w:val="24"/>
              </w:rPr>
              <w:t>T0+2mo</w:t>
            </w:r>
            <w:r w:rsidR="005425D3" w:rsidRPr="00015070">
              <w:rPr>
                <w:rFonts w:ascii="Times New Roman" w:hAnsi="Times New Roman" w:cs="Times New Roman"/>
                <w:b w:val="0"/>
                <w:color w:val="000000" w:themeColor="text1"/>
                <w:sz w:val="24"/>
                <w:szCs w:val="24"/>
              </w:rPr>
              <w:t>nth</w:t>
            </w:r>
            <w:r w:rsidRPr="00015070">
              <w:rPr>
                <w:rFonts w:ascii="Times New Roman" w:hAnsi="Times New Roman" w:cs="Times New Roman"/>
                <w:b w:val="0"/>
                <w:color w:val="000000" w:themeColor="text1"/>
                <w:sz w:val="24"/>
                <w:szCs w:val="24"/>
              </w:rPr>
              <w:t xml:space="preserve">s </w:t>
            </w:r>
          </w:p>
        </w:tc>
        <w:tc>
          <w:tcPr>
            <w:tcW w:w="929" w:type="pct"/>
          </w:tcPr>
          <w:p w14:paraId="15958289" w14:textId="77777777" w:rsidR="00A87E89" w:rsidRPr="00015070"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FIF-EA-T2</w:t>
            </w:r>
          </w:p>
        </w:tc>
        <w:tc>
          <w:tcPr>
            <w:tcW w:w="2211" w:type="pct"/>
            <w:tcBorders>
              <w:right w:val="single" w:sz="4" w:space="0" w:color="auto"/>
            </w:tcBorders>
          </w:tcPr>
          <w:p w14:paraId="23BD78FE" w14:textId="229B97E1" w:rsidR="00A87E89" w:rsidRPr="00015070"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14</w:t>
            </w:r>
            <w:r w:rsidR="003A24A8" w:rsidRPr="00015070">
              <w:rPr>
                <w:rFonts w:ascii="Times New Roman" w:hAnsi="Times New Roman" w:cs="Times New Roman"/>
                <w:bCs/>
                <w:color w:val="000000" w:themeColor="text1"/>
                <w:sz w:val="24"/>
                <w:szCs w:val="24"/>
              </w:rPr>
              <w:t>.</w:t>
            </w:r>
            <w:r w:rsidRPr="00015070">
              <w:rPr>
                <w:rFonts w:ascii="Times New Roman" w:hAnsi="Times New Roman" w:cs="Times New Roman"/>
                <w:bCs/>
                <w:color w:val="000000" w:themeColor="text1"/>
                <w:sz w:val="24"/>
                <w:szCs w:val="24"/>
              </w:rPr>
              <w:t>6</w:t>
            </w:r>
          </w:p>
        </w:tc>
      </w:tr>
      <w:tr w:rsidR="00015070" w:rsidRPr="00015070" w14:paraId="69A6D5A6"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tcBorders>
              <w:top w:val="single" w:sz="4" w:space="0" w:color="7F7F7F" w:themeColor="text1" w:themeTint="80"/>
              <w:left w:val="single" w:sz="4" w:space="0" w:color="auto"/>
              <w:bottom w:val="single" w:sz="4" w:space="0" w:color="7F7F7F" w:themeColor="text1" w:themeTint="80"/>
            </w:tcBorders>
          </w:tcPr>
          <w:p w14:paraId="03E6CCE0" w14:textId="77777777" w:rsidR="00A87E89" w:rsidRPr="00015070" w:rsidRDefault="00A87E89" w:rsidP="00A31491">
            <w:pPr>
              <w:jc w:val="both"/>
              <w:rPr>
                <w:rFonts w:ascii="Times New Roman" w:hAnsi="Times New Roman" w:cs="Times New Roman"/>
                <w:b w:val="0"/>
                <w:color w:val="000000" w:themeColor="text1"/>
                <w:sz w:val="24"/>
                <w:szCs w:val="24"/>
              </w:rPr>
            </w:pPr>
          </w:p>
        </w:tc>
        <w:tc>
          <w:tcPr>
            <w:tcW w:w="929" w:type="pct"/>
            <w:tcBorders>
              <w:top w:val="single" w:sz="4" w:space="0" w:color="7F7F7F" w:themeColor="text1" w:themeTint="80"/>
              <w:bottom w:val="single" w:sz="4" w:space="0" w:color="7F7F7F" w:themeColor="text1" w:themeTint="80"/>
            </w:tcBorders>
          </w:tcPr>
          <w:p w14:paraId="484E67F8" w14:textId="77777777" w:rsidR="00A87E89" w:rsidRPr="00015070"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FIF-EP-T2</w:t>
            </w:r>
          </w:p>
        </w:tc>
        <w:tc>
          <w:tcPr>
            <w:tcW w:w="2211" w:type="pct"/>
            <w:tcBorders>
              <w:top w:val="single" w:sz="4" w:space="0" w:color="7F7F7F" w:themeColor="text1" w:themeTint="80"/>
              <w:bottom w:val="single" w:sz="4" w:space="0" w:color="7F7F7F" w:themeColor="text1" w:themeTint="80"/>
              <w:right w:val="single" w:sz="4" w:space="0" w:color="auto"/>
            </w:tcBorders>
          </w:tcPr>
          <w:p w14:paraId="02F77096" w14:textId="169D2DEF" w:rsidR="00A87E89" w:rsidRPr="00015070"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14</w:t>
            </w:r>
            <w:r w:rsidR="003A24A8" w:rsidRPr="00015070">
              <w:rPr>
                <w:rFonts w:ascii="Times New Roman" w:hAnsi="Times New Roman" w:cs="Times New Roman"/>
                <w:bCs/>
                <w:color w:val="000000" w:themeColor="text1"/>
                <w:sz w:val="24"/>
                <w:szCs w:val="24"/>
              </w:rPr>
              <w:t>.</w:t>
            </w:r>
            <w:r w:rsidRPr="00015070">
              <w:rPr>
                <w:rFonts w:ascii="Times New Roman" w:hAnsi="Times New Roman" w:cs="Times New Roman"/>
                <w:bCs/>
                <w:color w:val="000000" w:themeColor="text1"/>
                <w:sz w:val="24"/>
                <w:szCs w:val="24"/>
              </w:rPr>
              <w:t>4</w:t>
            </w:r>
          </w:p>
        </w:tc>
      </w:tr>
      <w:tr w:rsidR="00015070" w:rsidRPr="00015070" w14:paraId="5E91E8A4"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tcBorders>
              <w:left w:val="single" w:sz="4" w:space="0" w:color="auto"/>
            </w:tcBorders>
          </w:tcPr>
          <w:p w14:paraId="405F3320" w14:textId="77777777" w:rsidR="00A87E89" w:rsidRPr="00015070" w:rsidRDefault="00A87E89" w:rsidP="00A31491">
            <w:pPr>
              <w:jc w:val="both"/>
              <w:rPr>
                <w:rFonts w:ascii="Times New Roman" w:hAnsi="Times New Roman" w:cs="Times New Roman"/>
                <w:b w:val="0"/>
                <w:color w:val="000000" w:themeColor="text1"/>
                <w:sz w:val="24"/>
                <w:szCs w:val="24"/>
              </w:rPr>
            </w:pPr>
          </w:p>
        </w:tc>
        <w:tc>
          <w:tcPr>
            <w:tcW w:w="929" w:type="pct"/>
          </w:tcPr>
          <w:p w14:paraId="1F3919BC" w14:textId="77777777" w:rsidR="00A87E89" w:rsidRPr="00015070"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FIF-EA-T2-C</w:t>
            </w:r>
          </w:p>
        </w:tc>
        <w:tc>
          <w:tcPr>
            <w:tcW w:w="2211" w:type="pct"/>
            <w:tcBorders>
              <w:right w:val="single" w:sz="4" w:space="0" w:color="auto"/>
            </w:tcBorders>
          </w:tcPr>
          <w:p w14:paraId="6C9D033B" w14:textId="0FF42D80" w:rsidR="00A87E89" w:rsidRPr="00015070"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13</w:t>
            </w:r>
            <w:r w:rsidR="003A24A8" w:rsidRPr="00015070">
              <w:rPr>
                <w:rFonts w:ascii="Times New Roman" w:hAnsi="Times New Roman" w:cs="Times New Roman"/>
                <w:bCs/>
                <w:color w:val="000000" w:themeColor="text1"/>
                <w:sz w:val="24"/>
                <w:szCs w:val="24"/>
              </w:rPr>
              <w:t>.</w:t>
            </w:r>
            <w:r w:rsidRPr="00015070">
              <w:rPr>
                <w:rFonts w:ascii="Times New Roman" w:hAnsi="Times New Roman" w:cs="Times New Roman"/>
                <w:bCs/>
                <w:color w:val="000000" w:themeColor="text1"/>
                <w:sz w:val="24"/>
                <w:szCs w:val="24"/>
              </w:rPr>
              <w:t>6</w:t>
            </w:r>
          </w:p>
        </w:tc>
      </w:tr>
      <w:tr w:rsidR="00015070" w:rsidRPr="00015070" w14:paraId="6B64B974"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tcBorders>
              <w:top w:val="single" w:sz="4" w:space="0" w:color="7F7F7F" w:themeColor="text1" w:themeTint="80"/>
              <w:left w:val="single" w:sz="4" w:space="0" w:color="auto"/>
              <w:bottom w:val="single" w:sz="4" w:space="0" w:color="7F7F7F" w:themeColor="text1" w:themeTint="80"/>
            </w:tcBorders>
          </w:tcPr>
          <w:p w14:paraId="1E96BF4F" w14:textId="77777777" w:rsidR="00A87E89" w:rsidRPr="00015070" w:rsidRDefault="00A87E89" w:rsidP="00A31491">
            <w:pPr>
              <w:jc w:val="both"/>
              <w:rPr>
                <w:rFonts w:ascii="Times New Roman" w:hAnsi="Times New Roman" w:cs="Times New Roman"/>
                <w:b w:val="0"/>
                <w:color w:val="000000" w:themeColor="text1"/>
                <w:sz w:val="24"/>
                <w:szCs w:val="24"/>
              </w:rPr>
            </w:pPr>
          </w:p>
        </w:tc>
        <w:tc>
          <w:tcPr>
            <w:tcW w:w="929" w:type="pct"/>
            <w:tcBorders>
              <w:top w:val="single" w:sz="4" w:space="0" w:color="7F7F7F" w:themeColor="text1" w:themeTint="80"/>
              <w:bottom w:val="single" w:sz="4" w:space="0" w:color="7F7F7F" w:themeColor="text1" w:themeTint="80"/>
            </w:tcBorders>
          </w:tcPr>
          <w:p w14:paraId="18360A7A" w14:textId="77777777" w:rsidR="00A87E89" w:rsidRPr="00015070"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FIF-EP-T2-C</w:t>
            </w:r>
          </w:p>
        </w:tc>
        <w:tc>
          <w:tcPr>
            <w:tcW w:w="2211" w:type="pct"/>
            <w:tcBorders>
              <w:top w:val="single" w:sz="4" w:space="0" w:color="7F7F7F" w:themeColor="text1" w:themeTint="80"/>
              <w:bottom w:val="single" w:sz="4" w:space="0" w:color="7F7F7F" w:themeColor="text1" w:themeTint="80"/>
              <w:right w:val="single" w:sz="4" w:space="0" w:color="auto"/>
            </w:tcBorders>
          </w:tcPr>
          <w:p w14:paraId="6C3C9673" w14:textId="0EBBCA67" w:rsidR="00A87E89" w:rsidRPr="00015070"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14</w:t>
            </w:r>
            <w:r w:rsidR="003A24A8" w:rsidRPr="00015070">
              <w:rPr>
                <w:rFonts w:ascii="Times New Roman" w:hAnsi="Times New Roman" w:cs="Times New Roman"/>
                <w:bCs/>
                <w:color w:val="000000" w:themeColor="text1"/>
                <w:sz w:val="24"/>
                <w:szCs w:val="24"/>
              </w:rPr>
              <w:t>.</w:t>
            </w:r>
            <w:r w:rsidRPr="00015070">
              <w:rPr>
                <w:rFonts w:ascii="Times New Roman" w:hAnsi="Times New Roman" w:cs="Times New Roman"/>
                <w:bCs/>
                <w:color w:val="000000" w:themeColor="text1"/>
                <w:sz w:val="24"/>
                <w:szCs w:val="24"/>
              </w:rPr>
              <w:t>5</w:t>
            </w:r>
          </w:p>
        </w:tc>
      </w:tr>
      <w:tr w:rsidR="00015070" w:rsidRPr="00015070" w14:paraId="6E4AF23B"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val="restart"/>
            <w:tcBorders>
              <w:left w:val="single" w:sz="4" w:space="0" w:color="auto"/>
            </w:tcBorders>
          </w:tcPr>
          <w:p w14:paraId="122B84C4" w14:textId="77777777" w:rsidR="00A87E89" w:rsidRPr="00015070" w:rsidRDefault="00A87E89" w:rsidP="00A31491">
            <w:pPr>
              <w:jc w:val="both"/>
              <w:rPr>
                <w:rFonts w:ascii="Times New Roman" w:hAnsi="Times New Roman" w:cs="Times New Roman"/>
                <w:b w:val="0"/>
                <w:color w:val="000000" w:themeColor="text1"/>
                <w:sz w:val="24"/>
                <w:szCs w:val="24"/>
              </w:rPr>
            </w:pPr>
          </w:p>
          <w:p w14:paraId="2A90FCCA" w14:textId="3CD73794" w:rsidR="00A87E89" w:rsidRPr="00015070" w:rsidRDefault="00A87E89" w:rsidP="00A31491">
            <w:pPr>
              <w:jc w:val="both"/>
              <w:rPr>
                <w:rFonts w:ascii="Times New Roman" w:hAnsi="Times New Roman" w:cs="Times New Roman"/>
                <w:b w:val="0"/>
                <w:color w:val="000000" w:themeColor="text1"/>
                <w:sz w:val="24"/>
                <w:szCs w:val="24"/>
              </w:rPr>
            </w:pPr>
            <w:r w:rsidRPr="00015070">
              <w:rPr>
                <w:rFonts w:ascii="Times New Roman" w:hAnsi="Times New Roman" w:cs="Times New Roman"/>
                <w:b w:val="0"/>
                <w:color w:val="000000" w:themeColor="text1"/>
                <w:sz w:val="24"/>
                <w:szCs w:val="24"/>
              </w:rPr>
              <w:t>T0+4mo</w:t>
            </w:r>
            <w:r w:rsidR="005425D3" w:rsidRPr="00015070">
              <w:rPr>
                <w:rFonts w:ascii="Times New Roman" w:hAnsi="Times New Roman" w:cs="Times New Roman"/>
                <w:b w:val="0"/>
                <w:color w:val="000000" w:themeColor="text1"/>
                <w:sz w:val="24"/>
                <w:szCs w:val="24"/>
              </w:rPr>
              <w:t>nths</w:t>
            </w:r>
          </w:p>
        </w:tc>
        <w:tc>
          <w:tcPr>
            <w:tcW w:w="929" w:type="pct"/>
          </w:tcPr>
          <w:p w14:paraId="173EA3F5" w14:textId="77777777" w:rsidR="00A87E89" w:rsidRPr="00015070"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FIF-EA-T4</w:t>
            </w:r>
          </w:p>
        </w:tc>
        <w:tc>
          <w:tcPr>
            <w:tcW w:w="2211" w:type="pct"/>
            <w:tcBorders>
              <w:right w:val="single" w:sz="4" w:space="0" w:color="auto"/>
            </w:tcBorders>
          </w:tcPr>
          <w:p w14:paraId="5924A7EC" w14:textId="0E2F298C" w:rsidR="00A87E89" w:rsidRPr="00015070"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14</w:t>
            </w:r>
            <w:r w:rsidR="003A24A8" w:rsidRPr="00015070">
              <w:rPr>
                <w:rFonts w:ascii="Times New Roman" w:hAnsi="Times New Roman" w:cs="Times New Roman"/>
                <w:bCs/>
                <w:color w:val="000000" w:themeColor="text1"/>
                <w:sz w:val="24"/>
                <w:szCs w:val="24"/>
              </w:rPr>
              <w:t>.</w:t>
            </w:r>
            <w:r w:rsidRPr="00015070">
              <w:rPr>
                <w:rFonts w:ascii="Times New Roman" w:hAnsi="Times New Roman" w:cs="Times New Roman"/>
                <w:bCs/>
                <w:color w:val="000000" w:themeColor="text1"/>
                <w:sz w:val="24"/>
                <w:szCs w:val="24"/>
              </w:rPr>
              <w:t>7</w:t>
            </w:r>
          </w:p>
        </w:tc>
      </w:tr>
      <w:tr w:rsidR="00015070" w:rsidRPr="00015070" w14:paraId="0816ABB9" w14:textId="77777777" w:rsidTr="005425D3">
        <w:trPr>
          <w:trHeight w:val="119"/>
        </w:trPr>
        <w:tc>
          <w:tcPr>
            <w:cnfStyle w:val="001000000000" w:firstRow="0" w:lastRow="0" w:firstColumn="1" w:lastColumn="0" w:oddVBand="0" w:evenVBand="0" w:oddHBand="0" w:evenHBand="0" w:firstRowFirstColumn="0" w:firstRowLastColumn="0" w:lastRowFirstColumn="0" w:lastRowLastColumn="0"/>
            <w:tcW w:w="1859" w:type="pct"/>
            <w:vMerge/>
            <w:tcBorders>
              <w:top w:val="single" w:sz="4" w:space="0" w:color="7F7F7F" w:themeColor="text1" w:themeTint="80"/>
              <w:left w:val="single" w:sz="4" w:space="0" w:color="auto"/>
              <w:bottom w:val="single" w:sz="4" w:space="0" w:color="7F7F7F" w:themeColor="text1" w:themeTint="80"/>
            </w:tcBorders>
          </w:tcPr>
          <w:p w14:paraId="4C3BB80B" w14:textId="77777777" w:rsidR="00A87E89" w:rsidRPr="00015070" w:rsidRDefault="00A87E89" w:rsidP="00A31491">
            <w:pPr>
              <w:jc w:val="both"/>
              <w:rPr>
                <w:rFonts w:ascii="Times New Roman" w:hAnsi="Times New Roman" w:cs="Times New Roman"/>
                <w:b w:val="0"/>
                <w:color w:val="000000" w:themeColor="text1"/>
                <w:sz w:val="24"/>
                <w:szCs w:val="24"/>
              </w:rPr>
            </w:pPr>
          </w:p>
        </w:tc>
        <w:tc>
          <w:tcPr>
            <w:tcW w:w="929" w:type="pct"/>
            <w:tcBorders>
              <w:top w:val="single" w:sz="4" w:space="0" w:color="7F7F7F" w:themeColor="text1" w:themeTint="80"/>
              <w:bottom w:val="single" w:sz="4" w:space="0" w:color="7F7F7F" w:themeColor="text1" w:themeTint="80"/>
            </w:tcBorders>
          </w:tcPr>
          <w:p w14:paraId="2A106C84" w14:textId="77777777" w:rsidR="00A87E89" w:rsidRPr="00015070"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FIF-EP-T4</w:t>
            </w:r>
          </w:p>
        </w:tc>
        <w:tc>
          <w:tcPr>
            <w:tcW w:w="2211" w:type="pct"/>
            <w:tcBorders>
              <w:top w:val="single" w:sz="4" w:space="0" w:color="7F7F7F" w:themeColor="text1" w:themeTint="80"/>
              <w:bottom w:val="single" w:sz="4" w:space="0" w:color="7F7F7F" w:themeColor="text1" w:themeTint="80"/>
              <w:right w:val="single" w:sz="4" w:space="0" w:color="auto"/>
            </w:tcBorders>
          </w:tcPr>
          <w:p w14:paraId="531FDAB8" w14:textId="010600F6" w:rsidR="00A87E89" w:rsidRPr="00015070"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14</w:t>
            </w:r>
            <w:r w:rsidR="003A24A8" w:rsidRPr="00015070">
              <w:rPr>
                <w:rFonts w:ascii="Times New Roman" w:hAnsi="Times New Roman" w:cs="Times New Roman"/>
                <w:bCs/>
                <w:color w:val="000000" w:themeColor="text1"/>
                <w:sz w:val="24"/>
                <w:szCs w:val="24"/>
              </w:rPr>
              <w:t>.</w:t>
            </w:r>
            <w:r w:rsidRPr="00015070">
              <w:rPr>
                <w:rFonts w:ascii="Times New Roman" w:hAnsi="Times New Roman" w:cs="Times New Roman"/>
                <w:bCs/>
                <w:color w:val="000000" w:themeColor="text1"/>
                <w:sz w:val="24"/>
                <w:szCs w:val="24"/>
              </w:rPr>
              <w:t>8</w:t>
            </w:r>
          </w:p>
        </w:tc>
      </w:tr>
      <w:tr w:rsidR="00015070" w:rsidRPr="00015070" w14:paraId="7648DABC"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val="restart"/>
            <w:tcBorders>
              <w:left w:val="single" w:sz="4" w:space="0" w:color="auto"/>
            </w:tcBorders>
          </w:tcPr>
          <w:p w14:paraId="68C69ABE" w14:textId="77777777" w:rsidR="00A87E89" w:rsidRPr="00015070" w:rsidRDefault="00A87E89" w:rsidP="00A31491">
            <w:pPr>
              <w:jc w:val="both"/>
              <w:rPr>
                <w:rFonts w:ascii="Times New Roman" w:hAnsi="Times New Roman" w:cs="Times New Roman"/>
                <w:b w:val="0"/>
                <w:color w:val="000000" w:themeColor="text1"/>
                <w:sz w:val="24"/>
                <w:szCs w:val="24"/>
              </w:rPr>
            </w:pPr>
          </w:p>
          <w:p w14:paraId="262B5041" w14:textId="67789884" w:rsidR="00A87E89" w:rsidRPr="00015070" w:rsidRDefault="00A87E89" w:rsidP="00A31491">
            <w:pPr>
              <w:jc w:val="both"/>
              <w:rPr>
                <w:rFonts w:ascii="Times New Roman" w:hAnsi="Times New Roman" w:cs="Times New Roman"/>
                <w:b w:val="0"/>
                <w:color w:val="000000" w:themeColor="text1"/>
                <w:sz w:val="24"/>
                <w:szCs w:val="24"/>
              </w:rPr>
            </w:pPr>
            <w:r w:rsidRPr="00015070">
              <w:rPr>
                <w:rFonts w:ascii="Times New Roman" w:hAnsi="Times New Roman" w:cs="Times New Roman"/>
                <w:b w:val="0"/>
                <w:color w:val="000000" w:themeColor="text1"/>
                <w:sz w:val="24"/>
                <w:szCs w:val="24"/>
              </w:rPr>
              <w:t>T0+6mo</w:t>
            </w:r>
            <w:r w:rsidR="005425D3" w:rsidRPr="00015070">
              <w:rPr>
                <w:rFonts w:ascii="Times New Roman" w:hAnsi="Times New Roman" w:cs="Times New Roman"/>
                <w:b w:val="0"/>
                <w:color w:val="000000" w:themeColor="text1"/>
                <w:sz w:val="24"/>
                <w:szCs w:val="24"/>
              </w:rPr>
              <w:t>nths</w:t>
            </w:r>
          </w:p>
        </w:tc>
        <w:tc>
          <w:tcPr>
            <w:tcW w:w="929" w:type="pct"/>
          </w:tcPr>
          <w:p w14:paraId="66B2904C" w14:textId="77777777" w:rsidR="00A87E89" w:rsidRPr="00015070"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FIF-EA-T6</w:t>
            </w:r>
          </w:p>
        </w:tc>
        <w:tc>
          <w:tcPr>
            <w:tcW w:w="2211" w:type="pct"/>
            <w:tcBorders>
              <w:right w:val="single" w:sz="4" w:space="0" w:color="auto"/>
            </w:tcBorders>
          </w:tcPr>
          <w:p w14:paraId="6B56A6C6" w14:textId="144A1460" w:rsidR="00A87E89" w:rsidRPr="00015070"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15</w:t>
            </w:r>
            <w:r w:rsidR="003A24A8" w:rsidRPr="00015070">
              <w:rPr>
                <w:rFonts w:ascii="Times New Roman" w:hAnsi="Times New Roman" w:cs="Times New Roman"/>
                <w:bCs/>
                <w:color w:val="000000" w:themeColor="text1"/>
                <w:sz w:val="24"/>
                <w:szCs w:val="24"/>
              </w:rPr>
              <w:t>.</w:t>
            </w:r>
            <w:r w:rsidRPr="00015070">
              <w:rPr>
                <w:rFonts w:ascii="Times New Roman" w:hAnsi="Times New Roman" w:cs="Times New Roman"/>
                <w:bCs/>
                <w:color w:val="000000" w:themeColor="text1"/>
                <w:sz w:val="24"/>
                <w:szCs w:val="24"/>
              </w:rPr>
              <w:t>5</w:t>
            </w:r>
          </w:p>
        </w:tc>
      </w:tr>
      <w:tr w:rsidR="00015070" w:rsidRPr="00015070" w14:paraId="28D21CBD"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tcBorders>
              <w:top w:val="single" w:sz="4" w:space="0" w:color="7F7F7F" w:themeColor="text1" w:themeTint="80"/>
              <w:left w:val="single" w:sz="4" w:space="0" w:color="auto"/>
              <w:bottom w:val="single" w:sz="4" w:space="0" w:color="7F7F7F" w:themeColor="text1" w:themeTint="80"/>
            </w:tcBorders>
          </w:tcPr>
          <w:p w14:paraId="63FC5236" w14:textId="77777777" w:rsidR="00A87E89" w:rsidRPr="00015070" w:rsidRDefault="00A87E89" w:rsidP="00A31491">
            <w:pPr>
              <w:jc w:val="both"/>
              <w:rPr>
                <w:rFonts w:ascii="Times New Roman" w:hAnsi="Times New Roman" w:cs="Times New Roman"/>
                <w:b w:val="0"/>
                <w:color w:val="000000" w:themeColor="text1"/>
                <w:sz w:val="24"/>
                <w:szCs w:val="24"/>
              </w:rPr>
            </w:pPr>
          </w:p>
        </w:tc>
        <w:tc>
          <w:tcPr>
            <w:tcW w:w="929" w:type="pct"/>
            <w:tcBorders>
              <w:top w:val="single" w:sz="4" w:space="0" w:color="7F7F7F" w:themeColor="text1" w:themeTint="80"/>
              <w:bottom w:val="single" w:sz="4" w:space="0" w:color="7F7F7F" w:themeColor="text1" w:themeTint="80"/>
            </w:tcBorders>
          </w:tcPr>
          <w:p w14:paraId="61EABB74" w14:textId="77777777" w:rsidR="00A87E89" w:rsidRPr="00015070"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FIF-EP-T6</w:t>
            </w:r>
          </w:p>
        </w:tc>
        <w:tc>
          <w:tcPr>
            <w:tcW w:w="2211" w:type="pct"/>
            <w:tcBorders>
              <w:top w:val="single" w:sz="4" w:space="0" w:color="7F7F7F" w:themeColor="text1" w:themeTint="80"/>
              <w:bottom w:val="single" w:sz="4" w:space="0" w:color="7F7F7F" w:themeColor="text1" w:themeTint="80"/>
              <w:right w:val="single" w:sz="4" w:space="0" w:color="auto"/>
            </w:tcBorders>
          </w:tcPr>
          <w:p w14:paraId="0526492E" w14:textId="07141E7D" w:rsidR="00A87E89" w:rsidRPr="00015070"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16</w:t>
            </w:r>
            <w:r w:rsidR="003A24A8" w:rsidRPr="00015070">
              <w:rPr>
                <w:rFonts w:ascii="Times New Roman" w:hAnsi="Times New Roman" w:cs="Times New Roman"/>
                <w:bCs/>
                <w:color w:val="000000" w:themeColor="text1"/>
                <w:sz w:val="24"/>
                <w:szCs w:val="24"/>
              </w:rPr>
              <w:t>.</w:t>
            </w:r>
            <w:r w:rsidRPr="00015070">
              <w:rPr>
                <w:rFonts w:ascii="Times New Roman" w:hAnsi="Times New Roman" w:cs="Times New Roman"/>
                <w:bCs/>
                <w:color w:val="000000" w:themeColor="text1"/>
                <w:sz w:val="24"/>
                <w:szCs w:val="24"/>
              </w:rPr>
              <w:t>3</w:t>
            </w:r>
          </w:p>
        </w:tc>
      </w:tr>
      <w:tr w:rsidR="00015070" w:rsidRPr="00015070" w14:paraId="03DB6C53" w14:textId="77777777">
        <w:trPr>
          <w:trHeight w:val="40"/>
        </w:trPr>
        <w:tc>
          <w:tcPr>
            <w:cnfStyle w:val="001000000000" w:firstRow="0" w:lastRow="0" w:firstColumn="1" w:lastColumn="0" w:oddVBand="0" w:evenVBand="0" w:oddHBand="0" w:evenHBand="0" w:firstRowFirstColumn="0" w:firstRowLastColumn="0" w:lastRowFirstColumn="0" w:lastRowLastColumn="0"/>
            <w:tcW w:w="1859" w:type="pct"/>
            <w:tcBorders>
              <w:left w:val="single" w:sz="4" w:space="0" w:color="auto"/>
            </w:tcBorders>
          </w:tcPr>
          <w:p w14:paraId="1FA54CE3" w14:textId="6F487C48" w:rsidR="00A87E89" w:rsidRPr="00015070" w:rsidRDefault="003A24A8" w:rsidP="00A31491">
            <w:pPr>
              <w:jc w:val="both"/>
              <w:rPr>
                <w:rFonts w:ascii="Times New Roman" w:hAnsi="Times New Roman" w:cs="Times New Roman"/>
                <w:b w:val="0"/>
                <w:color w:val="000000" w:themeColor="text1"/>
                <w:sz w:val="24"/>
                <w:szCs w:val="24"/>
              </w:rPr>
            </w:pPr>
            <w:r w:rsidRPr="00015070">
              <w:rPr>
                <w:rFonts w:ascii="Times New Roman" w:hAnsi="Times New Roman" w:cs="Times New Roman"/>
                <w:b w:val="0"/>
                <w:color w:val="000000" w:themeColor="text1"/>
                <w:sz w:val="24"/>
                <w:szCs w:val="24"/>
              </w:rPr>
              <w:t xml:space="preserve">Nigerien Standard </w:t>
            </w:r>
            <w:r w:rsidR="00A87E89" w:rsidRPr="00015070">
              <w:rPr>
                <w:rFonts w:ascii="Times New Roman" w:hAnsi="Times New Roman" w:cs="Times New Roman"/>
                <w:b w:val="0"/>
                <w:color w:val="000000" w:themeColor="text1"/>
                <w:sz w:val="24"/>
                <w:szCs w:val="24"/>
              </w:rPr>
              <w:t>NN 01-010-02</w:t>
            </w:r>
          </w:p>
        </w:tc>
        <w:tc>
          <w:tcPr>
            <w:tcW w:w="3141" w:type="pct"/>
            <w:gridSpan w:val="2"/>
            <w:tcBorders>
              <w:right w:val="single" w:sz="4" w:space="0" w:color="auto"/>
            </w:tcBorders>
          </w:tcPr>
          <w:p w14:paraId="23836C38" w14:textId="77777777" w:rsidR="00A87E89" w:rsidRPr="00015070"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 xml:space="preserve">10&lt;x&lt;25  </w:t>
            </w:r>
          </w:p>
        </w:tc>
      </w:tr>
    </w:tbl>
    <w:p w14:paraId="13D766AD" w14:textId="77777777" w:rsidR="00A87E89" w:rsidRPr="00015070" w:rsidRDefault="00A87E89" w:rsidP="00A31491">
      <w:pPr>
        <w:spacing w:after="0" w:line="360" w:lineRule="auto"/>
        <w:ind w:left="-5"/>
        <w:jc w:val="both"/>
        <w:rPr>
          <w:rFonts w:ascii="Times New Roman" w:hAnsi="Times New Roman" w:cs="Times New Roman"/>
          <w:b/>
          <w:color w:val="000000" w:themeColor="text1"/>
          <w:sz w:val="24"/>
          <w:szCs w:val="24"/>
        </w:rPr>
      </w:pPr>
    </w:p>
    <w:p w14:paraId="2EF8A50A" w14:textId="77777777" w:rsidR="00F306A2" w:rsidRPr="00015070" w:rsidRDefault="00F306A2" w:rsidP="00A31491">
      <w:pPr>
        <w:spacing w:after="0" w:line="360" w:lineRule="auto"/>
        <w:ind w:left="15" w:right="21"/>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FIF: Fortified infant flour; T: Time; EA: Aluminum foil packaging; EP: Plastic packaging; C: Community, % = percentage</w:t>
      </w:r>
    </w:p>
    <w:p w14:paraId="1DCF7E8E" w14:textId="1910C6EF" w:rsidR="00F306A2" w:rsidRPr="00015070" w:rsidRDefault="00F306A2" w:rsidP="00A31491">
      <w:pPr>
        <w:spacing w:after="0" w:line="360" w:lineRule="auto"/>
        <w:ind w:left="15" w:right="21"/>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lastRenderedPageBreak/>
        <w:t xml:space="preserve">The lipid content of the flours was 13.2% at T0. After </w:t>
      </w:r>
      <w:r w:rsidR="00A31491" w:rsidRPr="00015070">
        <w:rPr>
          <w:rFonts w:ascii="Times New Roman" w:hAnsi="Times New Roman" w:cs="Times New Roman"/>
          <w:bCs/>
          <w:color w:val="000000" w:themeColor="text1"/>
          <w:sz w:val="24"/>
          <w:szCs w:val="24"/>
          <w:lang w:val="en-US"/>
        </w:rPr>
        <w:t xml:space="preserve">2 months of storage, the analyzed variants showed a slight increase, with values </w:t>
      </w:r>
      <w:r w:rsidRPr="00015070">
        <w:rPr>
          <w:rFonts w:ascii="Times New Roman" w:hAnsi="Times New Roman" w:cs="Times New Roman"/>
          <w:bCs/>
          <w:color w:val="000000" w:themeColor="text1"/>
          <w:sz w:val="24"/>
          <w:szCs w:val="24"/>
          <w:lang w:val="en-US"/>
        </w:rPr>
        <w:t>ranging from 13.6% to 14.6%. This variability remained moderate</w:t>
      </w:r>
      <w:r w:rsidR="00A31491" w:rsidRPr="00015070">
        <w:rPr>
          <w:rFonts w:ascii="Times New Roman" w:hAnsi="Times New Roman" w:cs="Times New Roman"/>
          <w:bCs/>
          <w:color w:val="000000" w:themeColor="text1"/>
          <w:sz w:val="24"/>
          <w:szCs w:val="24"/>
          <w:lang w:val="en-US"/>
        </w:rPr>
        <w:t>, indicating</w:t>
      </w:r>
      <w:r w:rsidRPr="00015070">
        <w:rPr>
          <w:rFonts w:ascii="Times New Roman" w:hAnsi="Times New Roman" w:cs="Times New Roman"/>
          <w:bCs/>
          <w:color w:val="000000" w:themeColor="text1"/>
          <w:sz w:val="24"/>
          <w:szCs w:val="24"/>
          <w:lang w:val="en-US"/>
        </w:rPr>
        <w:t xml:space="preserve"> relative stability in lipid content at the beginning of storage, despite some fluctuations between samples. At T0+4 months, </w:t>
      </w:r>
      <w:r w:rsidR="007019C4" w:rsidRPr="00015070">
        <w:rPr>
          <w:rFonts w:ascii="Times New Roman" w:hAnsi="Times New Roman" w:cs="Times New Roman"/>
          <w:bCs/>
          <w:color w:val="000000" w:themeColor="text1"/>
          <w:sz w:val="24"/>
          <w:szCs w:val="24"/>
          <w:lang w:val="en-US"/>
        </w:rPr>
        <w:t>lipid content continued to increase slightly</w:t>
      </w:r>
      <w:r w:rsidRPr="00015070">
        <w:rPr>
          <w:rFonts w:ascii="Times New Roman" w:hAnsi="Times New Roman" w:cs="Times New Roman"/>
          <w:bCs/>
          <w:color w:val="000000" w:themeColor="text1"/>
          <w:sz w:val="24"/>
          <w:szCs w:val="24"/>
          <w:lang w:val="en-US"/>
        </w:rPr>
        <w:t xml:space="preserve">, reaching 14.7% and 14.8% </w:t>
      </w:r>
      <w:r w:rsidR="00A31491" w:rsidRPr="00015070">
        <w:rPr>
          <w:rFonts w:ascii="Times New Roman" w:hAnsi="Times New Roman" w:cs="Times New Roman"/>
          <w:bCs/>
          <w:color w:val="000000" w:themeColor="text1"/>
          <w:sz w:val="24"/>
          <w:szCs w:val="24"/>
          <w:lang w:val="en-US"/>
        </w:rPr>
        <w:t>for the two types</w:t>
      </w:r>
      <w:r w:rsidRPr="00015070">
        <w:rPr>
          <w:rFonts w:ascii="Times New Roman" w:hAnsi="Times New Roman" w:cs="Times New Roman"/>
          <w:bCs/>
          <w:color w:val="000000" w:themeColor="text1"/>
          <w:sz w:val="24"/>
          <w:szCs w:val="24"/>
          <w:lang w:val="en-US"/>
        </w:rPr>
        <w:t xml:space="preserve"> of flour. This gradual increase likely reflects a relative concentration due to moisture loss or slight analytical variations rather than true lipid enrichment. After </w:t>
      </w:r>
      <w:r w:rsidR="00661885" w:rsidRPr="00015070">
        <w:rPr>
          <w:rFonts w:ascii="Times New Roman" w:hAnsi="Times New Roman" w:cs="Times New Roman"/>
          <w:bCs/>
          <w:color w:val="000000" w:themeColor="text1"/>
          <w:sz w:val="24"/>
          <w:szCs w:val="24"/>
          <w:lang w:val="en-US"/>
        </w:rPr>
        <w:t>6 months</w:t>
      </w:r>
      <w:r w:rsidRPr="00015070">
        <w:rPr>
          <w:rFonts w:ascii="Times New Roman" w:hAnsi="Times New Roman" w:cs="Times New Roman"/>
          <w:bCs/>
          <w:color w:val="000000" w:themeColor="text1"/>
          <w:sz w:val="24"/>
          <w:szCs w:val="24"/>
          <w:lang w:val="en-US"/>
        </w:rPr>
        <w:t xml:space="preserve"> of storage, the lipid content increased significantly, reaching 15.5% and 16.3%. Although a notable increase </w:t>
      </w:r>
      <w:r w:rsidR="002A25DF" w:rsidRPr="00015070">
        <w:rPr>
          <w:rFonts w:ascii="Times New Roman" w:hAnsi="Times New Roman" w:cs="Times New Roman"/>
          <w:bCs/>
          <w:color w:val="000000" w:themeColor="text1"/>
          <w:sz w:val="24"/>
          <w:szCs w:val="24"/>
          <w:lang w:val="en-US"/>
        </w:rPr>
        <w:t xml:space="preserve">from the initial value, these levels remain </w:t>
      </w:r>
      <w:r w:rsidR="00A31491" w:rsidRPr="00015070">
        <w:rPr>
          <w:rFonts w:ascii="Times New Roman" w:hAnsi="Times New Roman" w:cs="Times New Roman"/>
          <w:bCs/>
          <w:color w:val="000000" w:themeColor="text1"/>
          <w:sz w:val="24"/>
          <w:szCs w:val="24"/>
          <w:lang w:val="en-US"/>
        </w:rPr>
        <w:t>primarily</w:t>
      </w:r>
      <w:r w:rsidR="002A25DF" w:rsidRPr="00015070">
        <w:rPr>
          <w:rFonts w:ascii="Times New Roman" w:hAnsi="Times New Roman" w:cs="Times New Roman"/>
          <w:bCs/>
          <w:color w:val="000000" w:themeColor="text1"/>
          <w:sz w:val="24"/>
          <w:szCs w:val="24"/>
          <w:lang w:val="en-US"/>
        </w:rPr>
        <w:t xml:space="preserve"> within the limits of the Nigerian standard NN 01-010-02, which sets an acceptable range of 10% to</w:t>
      </w:r>
      <w:r w:rsidRPr="00015070">
        <w:rPr>
          <w:rFonts w:ascii="Times New Roman" w:hAnsi="Times New Roman" w:cs="Times New Roman"/>
          <w:bCs/>
          <w:color w:val="000000" w:themeColor="text1"/>
          <w:sz w:val="24"/>
          <w:szCs w:val="24"/>
          <w:lang w:val="en-US"/>
        </w:rPr>
        <w:t xml:space="preserve"> 25%.</w:t>
      </w:r>
    </w:p>
    <w:p w14:paraId="1DE699FA" w14:textId="22CACC60" w:rsidR="00F306A2" w:rsidRPr="00015070" w:rsidRDefault="00F306A2" w:rsidP="00A31491">
      <w:pPr>
        <w:spacing w:after="0" w:line="360" w:lineRule="auto"/>
        <w:ind w:left="15" w:right="21"/>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Overall, the results indicate a slight, progressive increase in lipid content during storage, particularly marked after </w:t>
      </w:r>
      <w:r w:rsidR="00661885" w:rsidRPr="00015070">
        <w:rPr>
          <w:rFonts w:ascii="Times New Roman" w:hAnsi="Times New Roman" w:cs="Times New Roman"/>
          <w:bCs/>
          <w:color w:val="000000" w:themeColor="text1"/>
          <w:sz w:val="24"/>
          <w:szCs w:val="24"/>
          <w:lang w:val="en-US"/>
        </w:rPr>
        <w:t>6 months</w:t>
      </w:r>
      <w:r w:rsidRPr="00015070">
        <w:rPr>
          <w:rFonts w:ascii="Times New Roman" w:hAnsi="Times New Roman" w:cs="Times New Roman"/>
          <w:bCs/>
          <w:color w:val="000000" w:themeColor="text1"/>
          <w:sz w:val="24"/>
          <w:szCs w:val="24"/>
          <w:lang w:val="en-US"/>
        </w:rPr>
        <w:t>, while remaining within the regulatory limits. This change could be linked to a gradual reduction in water content or to oxidation or redistribution of lipid fractions within the product.</w:t>
      </w:r>
    </w:p>
    <w:p w14:paraId="32ADBE06" w14:textId="77777777" w:rsidR="00F306A2" w:rsidRPr="00015070" w:rsidRDefault="00F306A2" w:rsidP="00A31491">
      <w:pPr>
        <w:spacing w:after="0" w:line="360" w:lineRule="auto"/>
        <w:ind w:left="15" w:right="21"/>
        <w:jc w:val="both"/>
        <w:rPr>
          <w:rFonts w:ascii="Times New Roman" w:hAnsi="Times New Roman" w:cs="Times New Roman"/>
          <w:b/>
          <w:color w:val="000000" w:themeColor="text1"/>
          <w:sz w:val="24"/>
          <w:szCs w:val="24"/>
          <w:lang w:val="en-US"/>
        </w:rPr>
      </w:pPr>
    </w:p>
    <w:p w14:paraId="4E5FBA7B" w14:textId="1C75D5B3" w:rsidR="00F306A2" w:rsidRPr="00015070" w:rsidRDefault="00F306A2" w:rsidP="00A31491">
      <w:pPr>
        <w:spacing w:after="0" w:line="360" w:lineRule="auto"/>
        <w:ind w:left="15" w:right="21"/>
        <w:jc w:val="both"/>
        <w:rPr>
          <w:rFonts w:ascii="Times New Roman" w:hAnsi="Times New Roman" w:cs="Times New Roman"/>
          <w:b/>
          <w:color w:val="000000" w:themeColor="text1"/>
          <w:sz w:val="24"/>
          <w:szCs w:val="24"/>
          <w:lang w:val="en-US"/>
        </w:rPr>
      </w:pPr>
      <w:r w:rsidRPr="00015070">
        <w:rPr>
          <w:rFonts w:ascii="Times New Roman" w:hAnsi="Times New Roman" w:cs="Times New Roman"/>
          <w:b/>
          <w:color w:val="000000" w:themeColor="text1"/>
          <w:sz w:val="24"/>
          <w:szCs w:val="24"/>
          <w:lang w:val="en-US"/>
        </w:rPr>
        <w:t>3.1.</w:t>
      </w:r>
      <w:r w:rsidR="00760DC5" w:rsidRPr="00015070">
        <w:rPr>
          <w:rFonts w:ascii="Times New Roman" w:hAnsi="Times New Roman" w:cs="Times New Roman"/>
          <w:b/>
          <w:color w:val="000000" w:themeColor="text1"/>
          <w:sz w:val="24"/>
          <w:szCs w:val="24"/>
          <w:lang w:val="en-US"/>
        </w:rPr>
        <w:t>1.</w:t>
      </w:r>
      <w:r w:rsidRPr="00015070">
        <w:rPr>
          <w:rFonts w:ascii="Times New Roman" w:hAnsi="Times New Roman" w:cs="Times New Roman"/>
          <w:b/>
          <w:color w:val="000000" w:themeColor="text1"/>
          <w:sz w:val="24"/>
          <w:szCs w:val="24"/>
          <w:lang w:val="en-US"/>
        </w:rPr>
        <w:t xml:space="preserve">4. pH Evolution During Storage of </w:t>
      </w:r>
      <w:proofErr w:type="spellStart"/>
      <w:r w:rsidRPr="00015070">
        <w:rPr>
          <w:rFonts w:ascii="Times New Roman" w:hAnsi="Times New Roman" w:cs="Times New Roman"/>
          <w:b/>
          <w:color w:val="000000" w:themeColor="text1"/>
          <w:sz w:val="24"/>
          <w:szCs w:val="24"/>
          <w:lang w:val="en-US"/>
        </w:rPr>
        <w:t>Misola</w:t>
      </w:r>
      <w:proofErr w:type="spellEnd"/>
      <w:r w:rsidR="007019C4" w:rsidRPr="00015070">
        <w:rPr>
          <w:rFonts w:ascii="Times New Roman" w:hAnsi="Times New Roman" w:cs="Times New Roman"/>
          <w:b/>
          <w:color w:val="000000" w:themeColor="text1"/>
          <w:sz w:val="24"/>
          <w:szCs w:val="24"/>
          <w:lang w:val="en-US"/>
        </w:rPr>
        <w:t>®</w:t>
      </w:r>
      <w:r w:rsidRPr="00015070">
        <w:rPr>
          <w:rFonts w:ascii="Times New Roman" w:hAnsi="Times New Roman" w:cs="Times New Roman"/>
          <w:b/>
          <w:color w:val="000000" w:themeColor="text1"/>
          <w:sz w:val="24"/>
          <w:szCs w:val="24"/>
          <w:lang w:val="en-US"/>
        </w:rPr>
        <w:t xml:space="preserve"> Flour</w:t>
      </w:r>
    </w:p>
    <w:p w14:paraId="1A5F3363" w14:textId="5C2FBCAF" w:rsidR="00A87E89" w:rsidRPr="00015070" w:rsidRDefault="00F306A2" w:rsidP="00A31491">
      <w:pPr>
        <w:spacing w:after="0" w:line="360" w:lineRule="auto"/>
        <w:ind w:left="15" w:right="21"/>
        <w:jc w:val="both"/>
        <w:rPr>
          <w:rFonts w:ascii="Times New Roman" w:hAnsi="Times New Roman" w:cs="Times New Roman"/>
          <w:color w:val="000000" w:themeColor="text1"/>
          <w:sz w:val="24"/>
          <w:szCs w:val="24"/>
          <w:lang w:val="en-US"/>
        </w:rPr>
      </w:pPr>
      <w:r w:rsidRPr="00015070">
        <w:rPr>
          <w:rFonts w:ascii="Times New Roman" w:hAnsi="Times New Roman" w:cs="Times New Roman"/>
          <w:b/>
          <w:color w:val="000000" w:themeColor="text1"/>
          <w:sz w:val="24"/>
          <w:szCs w:val="24"/>
          <w:lang w:val="en-US"/>
        </w:rPr>
        <w:t xml:space="preserve">Table </w:t>
      </w:r>
      <w:r w:rsidR="00A57CC3" w:rsidRPr="00015070">
        <w:rPr>
          <w:rFonts w:ascii="Times New Roman" w:hAnsi="Times New Roman" w:cs="Times New Roman"/>
          <w:b/>
          <w:color w:val="000000" w:themeColor="text1"/>
          <w:sz w:val="24"/>
          <w:szCs w:val="24"/>
          <w:lang w:val="en-US"/>
        </w:rPr>
        <w:t>2.</w:t>
      </w:r>
      <w:r w:rsidRPr="00015070">
        <w:rPr>
          <w:rFonts w:ascii="Times New Roman" w:hAnsi="Times New Roman" w:cs="Times New Roman"/>
          <w:b/>
          <w:color w:val="000000" w:themeColor="text1"/>
          <w:sz w:val="24"/>
          <w:szCs w:val="24"/>
          <w:lang w:val="en-US"/>
        </w:rPr>
        <w:t xml:space="preserve"> </w:t>
      </w:r>
      <w:r w:rsidRPr="00015070">
        <w:rPr>
          <w:rFonts w:ascii="Times New Roman" w:hAnsi="Times New Roman" w:cs="Times New Roman"/>
          <w:bCs/>
          <w:color w:val="000000" w:themeColor="text1"/>
          <w:sz w:val="24"/>
          <w:szCs w:val="24"/>
          <w:lang w:val="en-US"/>
        </w:rPr>
        <w:t>pH of Flours During Storage</w:t>
      </w:r>
    </w:p>
    <w:tbl>
      <w:tblPr>
        <w:tblStyle w:val="Tableausimple31"/>
        <w:tblW w:w="9484" w:type="dxa"/>
        <w:tblLook w:val="04A0" w:firstRow="1" w:lastRow="0" w:firstColumn="1" w:lastColumn="0" w:noHBand="0" w:noVBand="1"/>
      </w:tblPr>
      <w:tblGrid>
        <w:gridCol w:w="3867"/>
        <w:gridCol w:w="3983"/>
        <w:gridCol w:w="1634"/>
      </w:tblGrid>
      <w:tr w:rsidR="00015070" w:rsidRPr="00015070" w14:paraId="2107E472" w14:textId="77777777" w:rsidTr="002A25DF">
        <w:trPr>
          <w:cnfStyle w:val="100000000000" w:firstRow="1" w:lastRow="0" w:firstColumn="0" w:lastColumn="0" w:oddVBand="0" w:evenVBand="0" w:oddHBand="0" w:evenHBand="0" w:firstRowFirstColumn="0" w:firstRowLastColumn="0" w:lastRowFirstColumn="0" w:lastRowLastColumn="0"/>
          <w:trHeight w:val="256"/>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left w:val="single" w:sz="4" w:space="0" w:color="auto"/>
              <w:bottom w:val="single" w:sz="4" w:space="0" w:color="auto"/>
            </w:tcBorders>
            <w:shd w:val="clear" w:color="auto" w:fill="E7E6E6" w:themeFill="background2"/>
          </w:tcPr>
          <w:p w14:paraId="514321AC" w14:textId="353D10AB" w:rsidR="00A87E89" w:rsidRPr="00015070" w:rsidRDefault="00A57CC3">
            <w:pPr>
              <w:spacing w:line="360" w:lineRule="auto"/>
              <w:jc w:val="both"/>
              <w:rPr>
                <w:rFonts w:ascii="Times New Roman" w:hAnsi="Times New Roman" w:cs="Times New Roman"/>
                <w:bCs w:val="0"/>
                <w:caps w:val="0"/>
                <w:color w:val="000000" w:themeColor="text1"/>
                <w:sz w:val="24"/>
                <w:szCs w:val="24"/>
              </w:rPr>
            </w:pPr>
            <w:r w:rsidRPr="00015070">
              <w:rPr>
                <w:rFonts w:ascii="Times New Roman" w:hAnsi="Times New Roman" w:cs="Times New Roman"/>
                <w:bCs w:val="0"/>
                <w:caps w:val="0"/>
                <w:color w:val="000000" w:themeColor="text1"/>
                <w:sz w:val="24"/>
                <w:szCs w:val="24"/>
              </w:rPr>
              <w:t>Times</w:t>
            </w:r>
          </w:p>
        </w:tc>
        <w:tc>
          <w:tcPr>
            <w:tcW w:w="0" w:type="auto"/>
            <w:tcBorders>
              <w:top w:val="single" w:sz="4" w:space="0" w:color="auto"/>
              <w:bottom w:val="single" w:sz="4" w:space="0" w:color="auto"/>
            </w:tcBorders>
            <w:shd w:val="clear" w:color="auto" w:fill="E7E6E6" w:themeFill="background2"/>
          </w:tcPr>
          <w:p w14:paraId="176FB2FB" w14:textId="2287A774" w:rsidR="00A87E89" w:rsidRPr="00015070" w:rsidRDefault="00A57CC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aps w:val="0"/>
                <w:color w:val="000000" w:themeColor="text1"/>
                <w:sz w:val="24"/>
                <w:szCs w:val="24"/>
              </w:rPr>
            </w:pPr>
            <w:r w:rsidRPr="00015070">
              <w:rPr>
                <w:rFonts w:ascii="Times New Roman" w:hAnsi="Times New Roman" w:cs="Times New Roman"/>
                <w:bCs w:val="0"/>
                <w:caps w:val="0"/>
                <w:color w:val="000000" w:themeColor="text1"/>
                <w:sz w:val="24"/>
                <w:szCs w:val="24"/>
              </w:rPr>
              <w:t>Flours</w:t>
            </w:r>
          </w:p>
        </w:tc>
        <w:tc>
          <w:tcPr>
            <w:tcW w:w="0" w:type="auto"/>
            <w:tcBorders>
              <w:top w:val="single" w:sz="4" w:space="0" w:color="auto"/>
              <w:bottom w:val="single" w:sz="4" w:space="0" w:color="auto"/>
              <w:right w:val="single" w:sz="4" w:space="0" w:color="auto"/>
            </w:tcBorders>
            <w:shd w:val="clear" w:color="auto" w:fill="E7E6E6" w:themeFill="background2"/>
          </w:tcPr>
          <w:p w14:paraId="33320573" w14:textId="53FCF38C" w:rsidR="00A87E89" w:rsidRPr="00015070" w:rsidRDefault="00A57CC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aps w:val="0"/>
                <w:color w:val="000000" w:themeColor="text1"/>
                <w:sz w:val="24"/>
                <w:szCs w:val="24"/>
              </w:rPr>
            </w:pPr>
            <w:r w:rsidRPr="00015070">
              <w:rPr>
                <w:rFonts w:ascii="Times New Roman" w:hAnsi="Times New Roman" w:cs="Times New Roman"/>
                <w:bCs w:val="0"/>
                <w:caps w:val="0"/>
                <w:color w:val="000000" w:themeColor="text1"/>
                <w:sz w:val="18"/>
                <w:szCs w:val="18"/>
              </w:rPr>
              <w:t>p</w:t>
            </w:r>
            <w:r w:rsidRPr="00015070">
              <w:rPr>
                <w:rFonts w:ascii="Times New Roman" w:hAnsi="Times New Roman" w:cs="Times New Roman"/>
                <w:bCs w:val="0"/>
                <w:color w:val="000000" w:themeColor="text1"/>
                <w:sz w:val="18"/>
                <w:szCs w:val="18"/>
              </w:rPr>
              <w:t>H</w:t>
            </w:r>
          </w:p>
        </w:tc>
      </w:tr>
      <w:tr w:rsidR="00015070" w:rsidRPr="00015070" w14:paraId="68D6E8FD" w14:textId="77777777" w:rsidTr="002A25DF">
        <w:trPr>
          <w:trHeight w:val="44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tcBorders>
            <w:shd w:val="clear" w:color="auto" w:fill="F2F2F2" w:themeFill="background1" w:themeFillShade="F2"/>
          </w:tcPr>
          <w:p w14:paraId="42334619" w14:textId="3DBD964E" w:rsidR="00A87E89" w:rsidRPr="00015070" w:rsidRDefault="00A57CC3">
            <w:pPr>
              <w:spacing w:line="360" w:lineRule="auto"/>
              <w:jc w:val="both"/>
              <w:rPr>
                <w:rFonts w:ascii="Times New Roman" w:hAnsi="Times New Roman" w:cs="Times New Roman"/>
                <w:bCs w:val="0"/>
                <w:caps w:val="0"/>
                <w:color w:val="000000" w:themeColor="text1"/>
                <w:sz w:val="24"/>
                <w:szCs w:val="24"/>
              </w:rPr>
            </w:pPr>
            <w:r w:rsidRPr="00015070">
              <w:rPr>
                <w:rFonts w:ascii="Times New Roman" w:hAnsi="Times New Roman" w:cs="Times New Roman"/>
                <w:b w:val="0"/>
                <w:caps w:val="0"/>
                <w:color w:val="000000" w:themeColor="text1"/>
                <w:sz w:val="24"/>
                <w:szCs w:val="24"/>
              </w:rPr>
              <w:t>Times</w:t>
            </w:r>
            <w:r w:rsidR="00A87E89" w:rsidRPr="00015070">
              <w:rPr>
                <w:rFonts w:ascii="Times New Roman" w:hAnsi="Times New Roman" w:cs="Times New Roman"/>
                <w:b w:val="0"/>
                <w:color w:val="000000" w:themeColor="text1"/>
                <w:sz w:val="24"/>
                <w:szCs w:val="24"/>
              </w:rPr>
              <w:t>-T0</w:t>
            </w:r>
          </w:p>
        </w:tc>
        <w:tc>
          <w:tcPr>
            <w:tcW w:w="0" w:type="auto"/>
            <w:tcBorders>
              <w:top w:val="single" w:sz="4" w:space="0" w:color="auto"/>
              <w:bottom w:val="single" w:sz="4" w:space="0" w:color="auto"/>
            </w:tcBorders>
            <w:shd w:val="clear" w:color="auto" w:fill="F2F2F2" w:themeFill="background1" w:themeFillShade="F2"/>
          </w:tcPr>
          <w:p w14:paraId="441516CE"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FIF-T0</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7818C1FC"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5.3</w:t>
            </w:r>
          </w:p>
        </w:tc>
      </w:tr>
      <w:tr w:rsidR="00015070" w:rsidRPr="00015070" w14:paraId="6E7BCEE4"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single" w:sz="4" w:space="0" w:color="auto"/>
              <w:bottom w:val="single" w:sz="4" w:space="0" w:color="auto"/>
            </w:tcBorders>
          </w:tcPr>
          <w:p w14:paraId="17B52946" w14:textId="77777777" w:rsidR="00A87E89" w:rsidRPr="00015070" w:rsidRDefault="00A87E89">
            <w:pPr>
              <w:spacing w:line="360" w:lineRule="auto"/>
              <w:jc w:val="both"/>
              <w:rPr>
                <w:rFonts w:ascii="Times New Roman" w:hAnsi="Times New Roman" w:cs="Times New Roman"/>
                <w:bCs w:val="0"/>
                <w:caps w:val="0"/>
                <w:color w:val="000000" w:themeColor="text1"/>
                <w:sz w:val="24"/>
                <w:szCs w:val="24"/>
              </w:rPr>
            </w:pPr>
          </w:p>
          <w:p w14:paraId="1BFD2378" w14:textId="77777777" w:rsidR="00A87E89" w:rsidRPr="00015070" w:rsidRDefault="00A87E89">
            <w:pPr>
              <w:spacing w:line="360" w:lineRule="auto"/>
              <w:jc w:val="both"/>
              <w:rPr>
                <w:rFonts w:ascii="Times New Roman" w:hAnsi="Times New Roman" w:cs="Times New Roman"/>
                <w:bCs w:val="0"/>
                <w:caps w:val="0"/>
                <w:color w:val="000000" w:themeColor="text1"/>
                <w:sz w:val="24"/>
                <w:szCs w:val="24"/>
              </w:rPr>
            </w:pPr>
          </w:p>
          <w:p w14:paraId="59467F8B" w14:textId="39C98154" w:rsidR="00A87E89" w:rsidRPr="00015070" w:rsidRDefault="00A87E89">
            <w:pPr>
              <w:spacing w:line="360" w:lineRule="auto"/>
              <w:jc w:val="both"/>
              <w:rPr>
                <w:rFonts w:ascii="Times New Roman" w:hAnsi="Times New Roman" w:cs="Times New Roman"/>
                <w:bCs w:val="0"/>
                <w:caps w:val="0"/>
                <w:color w:val="000000" w:themeColor="text1"/>
                <w:sz w:val="24"/>
                <w:szCs w:val="24"/>
              </w:rPr>
            </w:pPr>
            <w:r w:rsidRPr="00015070">
              <w:rPr>
                <w:rFonts w:ascii="Times New Roman" w:hAnsi="Times New Roman" w:cs="Times New Roman"/>
                <w:b w:val="0"/>
                <w:color w:val="000000" w:themeColor="text1"/>
                <w:sz w:val="24"/>
                <w:szCs w:val="24"/>
              </w:rPr>
              <w:t>T0+</w:t>
            </w:r>
            <w:r w:rsidR="00A57CC3" w:rsidRPr="00015070">
              <w:rPr>
                <w:rFonts w:ascii="Times New Roman" w:hAnsi="Times New Roman" w:cs="Times New Roman"/>
                <w:b w:val="0"/>
                <w:caps w:val="0"/>
                <w:color w:val="000000" w:themeColor="text1"/>
                <w:sz w:val="24"/>
                <w:szCs w:val="24"/>
              </w:rPr>
              <w:t xml:space="preserve">2months </w:t>
            </w:r>
          </w:p>
        </w:tc>
        <w:tc>
          <w:tcPr>
            <w:tcW w:w="0" w:type="auto"/>
            <w:tcBorders>
              <w:top w:val="single" w:sz="4" w:space="0" w:color="auto"/>
              <w:bottom w:val="single" w:sz="4" w:space="0" w:color="auto"/>
            </w:tcBorders>
          </w:tcPr>
          <w:p w14:paraId="0097E63F"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FIF-EA-T2</w:t>
            </w:r>
          </w:p>
        </w:tc>
        <w:tc>
          <w:tcPr>
            <w:tcW w:w="0" w:type="auto"/>
            <w:tcBorders>
              <w:top w:val="single" w:sz="4" w:space="0" w:color="auto"/>
              <w:bottom w:val="single" w:sz="4" w:space="0" w:color="auto"/>
              <w:right w:val="single" w:sz="4" w:space="0" w:color="auto"/>
            </w:tcBorders>
          </w:tcPr>
          <w:p w14:paraId="5E689DD5"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5.28</w:t>
            </w:r>
          </w:p>
        </w:tc>
      </w:tr>
      <w:tr w:rsidR="00015070" w:rsidRPr="00015070" w14:paraId="7AA3B3C2"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shd w:val="clear" w:color="auto" w:fill="F2F2F2" w:themeFill="background1" w:themeFillShade="F2"/>
          </w:tcPr>
          <w:p w14:paraId="1EBCF651" w14:textId="77777777" w:rsidR="00A87E89" w:rsidRPr="00015070" w:rsidRDefault="00A87E89">
            <w:pPr>
              <w:spacing w:line="360" w:lineRule="auto"/>
              <w:jc w:val="both"/>
              <w:rPr>
                <w:rFonts w:ascii="Times New Roman" w:hAnsi="Times New Roman" w:cs="Times New Roman"/>
                <w:bCs w:val="0"/>
                <w:caps w:val="0"/>
                <w:color w:val="000000" w:themeColor="text1"/>
                <w:sz w:val="24"/>
                <w:szCs w:val="24"/>
              </w:rPr>
            </w:pPr>
          </w:p>
        </w:tc>
        <w:tc>
          <w:tcPr>
            <w:tcW w:w="0" w:type="auto"/>
            <w:tcBorders>
              <w:top w:val="single" w:sz="4" w:space="0" w:color="auto"/>
              <w:bottom w:val="single" w:sz="4" w:space="0" w:color="auto"/>
            </w:tcBorders>
            <w:shd w:val="clear" w:color="auto" w:fill="F2F2F2" w:themeFill="background1" w:themeFillShade="F2"/>
          </w:tcPr>
          <w:p w14:paraId="52425412"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FIF-EP-T2</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55A01DCA"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5.21</w:t>
            </w:r>
          </w:p>
        </w:tc>
      </w:tr>
      <w:tr w:rsidR="00015070" w:rsidRPr="00015070" w14:paraId="110402EF"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tcPr>
          <w:p w14:paraId="75341076" w14:textId="77777777" w:rsidR="00A87E89" w:rsidRPr="00015070" w:rsidRDefault="00A87E89">
            <w:pPr>
              <w:spacing w:line="360" w:lineRule="auto"/>
              <w:jc w:val="both"/>
              <w:rPr>
                <w:rFonts w:ascii="Times New Roman" w:hAnsi="Times New Roman" w:cs="Times New Roman"/>
                <w:bCs w:val="0"/>
                <w:caps w:val="0"/>
                <w:color w:val="000000" w:themeColor="text1"/>
                <w:sz w:val="24"/>
                <w:szCs w:val="24"/>
              </w:rPr>
            </w:pPr>
          </w:p>
        </w:tc>
        <w:tc>
          <w:tcPr>
            <w:tcW w:w="0" w:type="auto"/>
            <w:tcBorders>
              <w:top w:val="single" w:sz="4" w:space="0" w:color="auto"/>
              <w:bottom w:val="single" w:sz="4" w:space="0" w:color="auto"/>
            </w:tcBorders>
          </w:tcPr>
          <w:p w14:paraId="696869CA"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FIF-EA-T2-C</w:t>
            </w:r>
          </w:p>
        </w:tc>
        <w:tc>
          <w:tcPr>
            <w:tcW w:w="0" w:type="auto"/>
            <w:tcBorders>
              <w:top w:val="single" w:sz="4" w:space="0" w:color="auto"/>
              <w:bottom w:val="single" w:sz="4" w:space="0" w:color="auto"/>
              <w:right w:val="single" w:sz="4" w:space="0" w:color="auto"/>
            </w:tcBorders>
          </w:tcPr>
          <w:p w14:paraId="65AF4C03"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5.25</w:t>
            </w:r>
          </w:p>
        </w:tc>
      </w:tr>
      <w:tr w:rsidR="00015070" w:rsidRPr="00015070" w14:paraId="7801281E"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shd w:val="clear" w:color="auto" w:fill="F2F2F2" w:themeFill="background1" w:themeFillShade="F2"/>
          </w:tcPr>
          <w:p w14:paraId="61F13741" w14:textId="77777777" w:rsidR="00A87E89" w:rsidRPr="00015070" w:rsidRDefault="00A87E89">
            <w:pPr>
              <w:spacing w:line="360" w:lineRule="auto"/>
              <w:jc w:val="both"/>
              <w:rPr>
                <w:rFonts w:ascii="Times New Roman" w:hAnsi="Times New Roman" w:cs="Times New Roman"/>
                <w:bCs w:val="0"/>
                <w:caps w:val="0"/>
                <w:color w:val="000000" w:themeColor="text1"/>
                <w:sz w:val="24"/>
                <w:szCs w:val="24"/>
              </w:rPr>
            </w:pPr>
          </w:p>
        </w:tc>
        <w:tc>
          <w:tcPr>
            <w:tcW w:w="0" w:type="auto"/>
            <w:tcBorders>
              <w:top w:val="single" w:sz="4" w:space="0" w:color="auto"/>
              <w:bottom w:val="single" w:sz="4" w:space="0" w:color="auto"/>
            </w:tcBorders>
            <w:shd w:val="clear" w:color="auto" w:fill="F2F2F2" w:themeFill="background1" w:themeFillShade="F2"/>
          </w:tcPr>
          <w:p w14:paraId="7DE1ADCC"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FIF-EP-T2-C</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55D56E9C"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5.17</w:t>
            </w:r>
          </w:p>
        </w:tc>
      </w:tr>
      <w:tr w:rsidR="00015070" w:rsidRPr="00015070" w14:paraId="6C012CE8"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single" w:sz="4" w:space="0" w:color="auto"/>
              <w:bottom w:val="single" w:sz="4" w:space="0" w:color="auto"/>
            </w:tcBorders>
          </w:tcPr>
          <w:p w14:paraId="5F6CF1BF" w14:textId="77777777" w:rsidR="00A87E89" w:rsidRPr="00015070" w:rsidRDefault="00A87E89">
            <w:pPr>
              <w:spacing w:line="360" w:lineRule="auto"/>
              <w:jc w:val="both"/>
              <w:rPr>
                <w:rFonts w:ascii="Times New Roman" w:hAnsi="Times New Roman" w:cs="Times New Roman"/>
                <w:bCs w:val="0"/>
                <w:caps w:val="0"/>
                <w:color w:val="000000" w:themeColor="text1"/>
                <w:sz w:val="24"/>
                <w:szCs w:val="24"/>
              </w:rPr>
            </w:pPr>
          </w:p>
          <w:p w14:paraId="7183071F" w14:textId="29943252" w:rsidR="00A87E89" w:rsidRPr="00015070" w:rsidRDefault="00A87E89">
            <w:pPr>
              <w:spacing w:line="360" w:lineRule="auto"/>
              <w:jc w:val="both"/>
              <w:rPr>
                <w:rFonts w:ascii="Times New Roman" w:hAnsi="Times New Roman" w:cs="Times New Roman"/>
                <w:bCs w:val="0"/>
                <w:caps w:val="0"/>
                <w:color w:val="000000" w:themeColor="text1"/>
                <w:sz w:val="24"/>
                <w:szCs w:val="24"/>
              </w:rPr>
            </w:pPr>
            <w:r w:rsidRPr="00015070">
              <w:rPr>
                <w:rFonts w:ascii="Times New Roman" w:hAnsi="Times New Roman" w:cs="Times New Roman"/>
                <w:b w:val="0"/>
                <w:color w:val="000000" w:themeColor="text1"/>
                <w:sz w:val="24"/>
                <w:szCs w:val="24"/>
              </w:rPr>
              <w:t>T0+4</w:t>
            </w:r>
            <w:r w:rsidR="002A25DF" w:rsidRPr="00015070">
              <w:rPr>
                <w:rFonts w:ascii="Times New Roman" w:hAnsi="Times New Roman" w:cs="Times New Roman"/>
                <w:b w:val="0"/>
                <w:color w:val="000000" w:themeColor="text1"/>
                <w:sz w:val="24"/>
                <w:szCs w:val="24"/>
              </w:rPr>
              <w:t xml:space="preserve"> </w:t>
            </w:r>
            <w:r w:rsidR="00A57CC3" w:rsidRPr="00015070">
              <w:rPr>
                <w:rFonts w:ascii="Times New Roman" w:hAnsi="Times New Roman" w:cs="Times New Roman"/>
                <w:b w:val="0"/>
                <w:caps w:val="0"/>
                <w:color w:val="000000" w:themeColor="text1"/>
                <w:sz w:val="24"/>
                <w:szCs w:val="24"/>
              </w:rPr>
              <w:t>months</w:t>
            </w:r>
          </w:p>
        </w:tc>
        <w:tc>
          <w:tcPr>
            <w:tcW w:w="0" w:type="auto"/>
            <w:tcBorders>
              <w:top w:val="single" w:sz="4" w:space="0" w:color="auto"/>
              <w:bottom w:val="single" w:sz="4" w:space="0" w:color="auto"/>
            </w:tcBorders>
          </w:tcPr>
          <w:p w14:paraId="4AB52F31"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FIF-EA-T4</w:t>
            </w:r>
          </w:p>
        </w:tc>
        <w:tc>
          <w:tcPr>
            <w:tcW w:w="0" w:type="auto"/>
            <w:tcBorders>
              <w:top w:val="single" w:sz="4" w:space="0" w:color="auto"/>
              <w:bottom w:val="single" w:sz="4" w:space="0" w:color="auto"/>
              <w:right w:val="single" w:sz="4" w:space="0" w:color="auto"/>
            </w:tcBorders>
          </w:tcPr>
          <w:p w14:paraId="23E03941"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5.24</w:t>
            </w:r>
          </w:p>
        </w:tc>
      </w:tr>
      <w:tr w:rsidR="00015070" w:rsidRPr="00015070" w14:paraId="036AA0F3" w14:textId="77777777">
        <w:trPr>
          <w:trHeight w:val="259"/>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shd w:val="clear" w:color="auto" w:fill="F2F2F2" w:themeFill="background1" w:themeFillShade="F2"/>
          </w:tcPr>
          <w:p w14:paraId="0424A643" w14:textId="77777777" w:rsidR="00A87E89" w:rsidRPr="00015070" w:rsidRDefault="00A87E89">
            <w:pPr>
              <w:spacing w:line="360" w:lineRule="auto"/>
              <w:jc w:val="both"/>
              <w:rPr>
                <w:rFonts w:ascii="Times New Roman" w:hAnsi="Times New Roman" w:cs="Times New Roman"/>
                <w:bCs w:val="0"/>
                <w:caps w:val="0"/>
                <w:color w:val="000000" w:themeColor="text1"/>
                <w:sz w:val="24"/>
                <w:szCs w:val="24"/>
              </w:rPr>
            </w:pPr>
          </w:p>
        </w:tc>
        <w:tc>
          <w:tcPr>
            <w:tcW w:w="0" w:type="auto"/>
            <w:tcBorders>
              <w:top w:val="single" w:sz="4" w:space="0" w:color="auto"/>
              <w:bottom w:val="single" w:sz="4" w:space="0" w:color="auto"/>
            </w:tcBorders>
            <w:shd w:val="clear" w:color="auto" w:fill="F2F2F2" w:themeFill="background1" w:themeFillShade="F2"/>
          </w:tcPr>
          <w:p w14:paraId="0D0B1410"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FIF-EP-T4</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7D0D545E"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5.18</w:t>
            </w:r>
          </w:p>
        </w:tc>
      </w:tr>
      <w:tr w:rsidR="00015070" w:rsidRPr="00015070" w14:paraId="7D5AC975"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single" w:sz="4" w:space="0" w:color="auto"/>
              <w:bottom w:val="single" w:sz="4" w:space="0" w:color="auto"/>
            </w:tcBorders>
          </w:tcPr>
          <w:p w14:paraId="2CAD3510" w14:textId="77777777" w:rsidR="00A87E89" w:rsidRPr="00015070" w:rsidRDefault="00A87E89">
            <w:pPr>
              <w:spacing w:line="360" w:lineRule="auto"/>
              <w:jc w:val="both"/>
              <w:rPr>
                <w:rFonts w:ascii="Times New Roman" w:hAnsi="Times New Roman" w:cs="Times New Roman"/>
                <w:bCs w:val="0"/>
                <w:caps w:val="0"/>
                <w:color w:val="000000" w:themeColor="text1"/>
                <w:sz w:val="24"/>
                <w:szCs w:val="24"/>
              </w:rPr>
            </w:pPr>
          </w:p>
          <w:p w14:paraId="0BD975CA" w14:textId="79029E2C" w:rsidR="00A87E89" w:rsidRPr="00015070" w:rsidRDefault="00A87E89">
            <w:pPr>
              <w:spacing w:line="360" w:lineRule="auto"/>
              <w:jc w:val="both"/>
              <w:rPr>
                <w:rFonts w:ascii="Times New Roman" w:hAnsi="Times New Roman" w:cs="Times New Roman"/>
                <w:bCs w:val="0"/>
                <w:caps w:val="0"/>
                <w:color w:val="000000" w:themeColor="text1"/>
                <w:sz w:val="24"/>
                <w:szCs w:val="24"/>
              </w:rPr>
            </w:pPr>
            <w:r w:rsidRPr="00015070">
              <w:rPr>
                <w:rFonts w:ascii="Times New Roman" w:hAnsi="Times New Roman" w:cs="Times New Roman"/>
                <w:b w:val="0"/>
                <w:color w:val="000000" w:themeColor="text1"/>
                <w:sz w:val="24"/>
                <w:szCs w:val="24"/>
              </w:rPr>
              <w:t>T0+6</w:t>
            </w:r>
            <w:r w:rsidR="002A25DF" w:rsidRPr="00015070">
              <w:rPr>
                <w:rFonts w:ascii="Times New Roman" w:hAnsi="Times New Roman" w:cs="Times New Roman"/>
                <w:b w:val="0"/>
                <w:color w:val="000000" w:themeColor="text1"/>
                <w:sz w:val="24"/>
                <w:szCs w:val="24"/>
              </w:rPr>
              <w:t xml:space="preserve"> </w:t>
            </w:r>
            <w:r w:rsidR="00A57CC3" w:rsidRPr="00015070">
              <w:rPr>
                <w:rFonts w:ascii="Times New Roman" w:hAnsi="Times New Roman" w:cs="Times New Roman"/>
                <w:b w:val="0"/>
                <w:caps w:val="0"/>
                <w:color w:val="000000" w:themeColor="text1"/>
                <w:sz w:val="24"/>
                <w:szCs w:val="24"/>
              </w:rPr>
              <w:t>months</w:t>
            </w:r>
          </w:p>
        </w:tc>
        <w:tc>
          <w:tcPr>
            <w:tcW w:w="0" w:type="auto"/>
            <w:tcBorders>
              <w:top w:val="single" w:sz="4" w:space="0" w:color="auto"/>
              <w:bottom w:val="single" w:sz="4" w:space="0" w:color="auto"/>
            </w:tcBorders>
          </w:tcPr>
          <w:p w14:paraId="30888B18"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FIF-EA-T6</w:t>
            </w:r>
          </w:p>
        </w:tc>
        <w:tc>
          <w:tcPr>
            <w:tcW w:w="0" w:type="auto"/>
            <w:tcBorders>
              <w:top w:val="single" w:sz="4" w:space="0" w:color="auto"/>
              <w:bottom w:val="single" w:sz="4" w:space="0" w:color="auto"/>
              <w:right w:val="single" w:sz="4" w:space="0" w:color="auto"/>
            </w:tcBorders>
          </w:tcPr>
          <w:p w14:paraId="014CE0DA"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5.2</w:t>
            </w:r>
          </w:p>
        </w:tc>
      </w:tr>
      <w:tr w:rsidR="00015070" w:rsidRPr="00015070" w14:paraId="5676056B"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shd w:val="clear" w:color="auto" w:fill="F2F2F2" w:themeFill="background1" w:themeFillShade="F2"/>
          </w:tcPr>
          <w:p w14:paraId="1EEF8B89" w14:textId="77777777" w:rsidR="00A87E89" w:rsidRPr="00015070" w:rsidRDefault="00A87E89">
            <w:pPr>
              <w:spacing w:line="360" w:lineRule="auto"/>
              <w:jc w:val="both"/>
              <w:rPr>
                <w:rFonts w:ascii="Times New Roman" w:hAnsi="Times New Roman" w:cs="Times New Roman"/>
                <w:bCs w:val="0"/>
                <w:caps w:val="0"/>
                <w:color w:val="000000" w:themeColor="text1"/>
                <w:sz w:val="24"/>
                <w:szCs w:val="24"/>
              </w:rPr>
            </w:pPr>
          </w:p>
        </w:tc>
        <w:tc>
          <w:tcPr>
            <w:tcW w:w="0" w:type="auto"/>
            <w:tcBorders>
              <w:top w:val="single" w:sz="4" w:space="0" w:color="auto"/>
              <w:bottom w:val="single" w:sz="4" w:space="0" w:color="auto"/>
            </w:tcBorders>
            <w:shd w:val="clear" w:color="auto" w:fill="F2F2F2" w:themeFill="background1" w:themeFillShade="F2"/>
          </w:tcPr>
          <w:p w14:paraId="66C8D9B7"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FIF-EP-T6</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42551E3E"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5.15</w:t>
            </w:r>
          </w:p>
        </w:tc>
      </w:tr>
    </w:tbl>
    <w:p w14:paraId="1748E152" w14:textId="77777777" w:rsidR="00F306A2" w:rsidRPr="00015070" w:rsidRDefault="00F306A2" w:rsidP="00F306A2">
      <w:pPr>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FIF: Fortified infant flour; T: Time; EA: Aluminum foil packaging; EP: Plastic packaging; C: Community, % = percentage</w:t>
      </w:r>
    </w:p>
    <w:p w14:paraId="61F8CC8C" w14:textId="084C2D6C" w:rsidR="00F306A2" w:rsidRPr="00015070" w:rsidRDefault="00F306A2" w:rsidP="00A31491">
      <w:pPr>
        <w:spacing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The pH of the flours is 5.3 at T0. After </w:t>
      </w:r>
      <w:r w:rsidR="00EB36BA" w:rsidRPr="00015070">
        <w:rPr>
          <w:rFonts w:ascii="Times New Roman" w:hAnsi="Times New Roman" w:cs="Times New Roman"/>
          <w:bCs/>
          <w:color w:val="000000" w:themeColor="text1"/>
          <w:sz w:val="24"/>
          <w:szCs w:val="24"/>
          <w:lang w:val="en-US"/>
        </w:rPr>
        <w:t xml:space="preserve">2 months of storage, the analyzed variants show a slight decrease, with values </w:t>
      </w:r>
      <w:r w:rsidRPr="00015070">
        <w:rPr>
          <w:rFonts w:ascii="Times New Roman" w:hAnsi="Times New Roman" w:cs="Times New Roman"/>
          <w:bCs/>
          <w:color w:val="000000" w:themeColor="text1"/>
          <w:sz w:val="24"/>
          <w:szCs w:val="24"/>
          <w:lang w:val="en-US"/>
        </w:rPr>
        <w:t xml:space="preserve">ranging from 5.17 to 5.28. This moderate variation indicates low </w:t>
      </w:r>
      <w:r w:rsidRPr="00015070">
        <w:rPr>
          <w:rFonts w:ascii="Times New Roman" w:hAnsi="Times New Roman" w:cs="Times New Roman"/>
          <w:bCs/>
          <w:color w:val="000000" w:themeColor="text1"/>
          <w:sz w:val="24"/>
          <w:szCs w:val="24"/>
          <w:lang w:val="en-US"/>
        </w:rPr>
        <w:lastRenderedPageBreak/>
        <w:t>acidification</w:t>
      </w:r>
      <w:r w:rsidR="00EB36BA" w:rsidRPr="00015070">
        <w:rPr>
          <w:rFonts w:ascii="Times New Roman" w:hAnsi="Times New Roman" w:cs="Times New Roman"/>
          <w:bCs/>
          <w:color w:val="000000" w:themeColor="text1"/>
          <w:sz w:val="24"/>
          <w:szCs w:val="24"/>
          <w:lang w:val="en-US"/>
        </w:rPr>
        <w:t xml:space="preserve"> and suggests</w:t>
      </w:r>
      <w:r w:rsidRPr="00015070">
        <w:rPr>
          <w:rFonts w:ascii="Times New Roman" w:hAnsi="Times New Roman" w:cs="Times New Roman"/>
          <w:bCs/>
          <w:color w:val="000000" w:themeColor="text1"/>
          <w:sz w:val="24"/>
          <w:szCs w:val="24"/>
          <w:lang w:val="en-US"/>
        </w:rPr>
        <w:t xml:space="preserve"> good overall pH stability at the beginning of storage, despite some differences between samples.</w:t>
      </w:r>
    </w:p>
    <w:p w14:paraId="20CBF4D2" w14:textId="14B1E95B" w:rsidR="00F306A2" w:rsidRPr="00015070" w:rsidRDefault="00F306A2" w:rsidP="00A31491">
      <w:pPr>
        <w:spacing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At T0+4 months, the pH continues </w:t>
      </w:r>
      <w:r w:rsidR="00EB36BA" w:rsidRPr="00015070">
        <w:rPr>
          <w:rFonts w:ascii="Times New Roman" w:hAnsi="Times New Roman" w:cs="Times New Roman"/>
          <w:bCs/>
          <w:color w:val="000000" w:themeColor="text1"/>
          <w:sz w:val="24"/>
          <w:szCs w:val="24"/>
          <w:lang w:val="en-US"/>
        </w:rPr>
        <w:t>to decrease very slightly</w:t>
      </w:r>
      <w:r w:rsidRPr="00015070">
        <w:rPr>
          <w:rFonts w:ascii="Times New Roman" w:hAnsi="Times New Roman" w:cs="Times New Roman"/>
          <w:bCs/>
          <w:color w:val="000000" w:themeColor="text1"/>
          <w:sz w:val="24"/>
          <w:szCs w:val="24"/>
          <w:lang w:val="en-US"/>
        </w:rPr>
        <w:t xml:space="preserve">, reaching 5.24 for the EA variant and 5.18 for the EP variant. This gradual change likely reflects natural product aging or low residual biological activity, without, however, indicating significant deterioration. After </w:t>
      </w:r>
      <w:r w:rsidR="00EB36BA" w:rsidRPr="00015070">
        <w:rPr>
          <w:rFonts w:ascii="Times New Roman" w:hAnsi="Times New Roman" w:cs="Times New Roman"/>
          <w:bCs/>
          <w:color w:val="000000" w:themeColor="text1"/>
          <w:sz w:val="24"/>
          <w:szCs w:val="24"/>
          <w:lang w:val="en-US"/>
        </w:rPr>
        <w:t>6 months of storage, the pH shows a slightly greater</w:t>
      </w:r>
      <w:r w:rsidRPr="00015070">
        <w:rPr>
          <w:rFonts w:ascii="Times New Roman" w:hAnsi="Times New Roman" w:cs="Times New Roman"/>
          <w:bCs/>
          <w:color w:val="000000" w:themeColor="text1"/>
          <w:sz w:val="24"/>
          <w:szCs w:val="24"/>
          <w:lang w:val="en-US"/>
        </w:rPr>
        <w:t xml:space="preserve"> decrease, reaching 5.20 for the EA flour and 5.15 for the EP flour. Although lower than the initial value, these pH values ​​remain very close to those measured in previous periods, indicating satisfactory stability of the flours over the studied storage period.</w:t>
      </w:r>
    </w:p>
    <w:p w14:paraId="6C567067" w14:textId="3A69D192" w:rsidR="00F306A2" w:rsidRPr="00015070" w:rsidRDefault="00F306A2" w:rsidP="00A31491">
      <w:pPr>
        <w:spacing w:after="0"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Overall, the results highlight a slight, progressive acidification during storage, particularly noticeable after </w:t>
      </w:r>
      <w:r w:rsidR="00661885" w:rsidRPr="00015070">
        <w:rPr>
          <w:rFonts w:ascii="Times New Roman" w:hAnsi="Times New Roman" w:cs="Times New Roman"/>
          <w:bCs/>
          <w:color w:val="000000" w:themeColor="text1"/>
          <w:sz w:val="24"/>
          <w:szCs w:val="24"/>
          <w:lang w:val="en-US"/>
        </w:rPr>
        <w:t>6 months</w:t>
      </w:r>
      <w:r w:rsidRPr="00015070">
        <w:rPr>
          <w:rFonts w:ascii="Times New Roman" w:hAnsi="Times New Roman" w:cs="Times New Roman"/>
          <w:bCs/>
          <w:color w:val="000000" w:themeColor="text1"/>
          <w:sz w:val="24"/>
          <w:szCs w:val="24"/>
          <w:lang w:val="en-US"/>
        </w:rPr>
        <w:t xml:space="preserve">, but remaining within a narrow range and without </w:t>
      </w:r>
      <w:r w:rsidR="00A31491" w:rsidRPr="00015070">
        <w:rPr>
          <w:rFonts w:ascii="Times New Roman" w:hAnsi="Times New Roman" w:cs="Times New Roman"/>
          <w:bCs/>
          <w:color w:val="000000" w:themeColor="text1"/>
          <w:sz w:val="24"/>
          <w:szCs w:val="24"/>
          <w:lang w:val="en-US"/>
        </w:rPr>
        <w:t>significant</w:t>
      </w:r>
      <w:r w:rsidRPr="00015070">
        <w:rPr>
          <w:rFonts w:ascii="Times New Roman" w:hAnsi="Times New Roman" w:cs="Times New Roman"/>
          <w:bCs/>
          <w:color w:val="000000" w:themeColor="text1"/>
          <w:sz w:val="24"/>
          <w:szCs w:val="24"/>
          <w:lang w:val="en-US"/>
        </w:rPr>
        <w:t xml:space="preserve"> impact on product quality. This slow pH evolution could be linked to micro-physicochemical variations, such as the gradual reduction of moisture, the release of organic compounds, or interactions between the flour constituents.</w:t>
      </w:r>
    </w:p>
    <w:p w14:paraId="4B23023F" w14:textId="77777777" w:rsidR="00F306A2" w:rsidRPr="00015070" w:rsidRDefault="00F306A2" w:rsidP="00A31491">
      <w:pPr>
        <w:spacing w:after="0" w:line="360" w:lineRule="auto"/>
        <w:rPr>
          <w:rFonts w:ascii="Times New Roman" w:hAnsi="Times New Roman" w:cs="Times New Roman"/>
          <w:b/>
          <w:color w:val="000000" w:themeColor="text1"/>
          <w:sz w:val="24"/>
          <w:szCs w:val="24"/>
          <w:lang w:val="en-US"/>
        </w:rPr>
      </w:pPr>
    </w:p>
    <w:p w14:paraId="191A1B35" w14:textId="2035A29B" w:rsidR="00F306A2" w:rsidRPr="00015070" w:rsidRDefault="00F306A2" w:rsidP="00A31491">
      <w:pPr>
        <w:spacing w:after="0" w:line="360" w:lineRule="auto"/>
        <w:rPr>
          <w:rFonts w:ascii="Times New Roman" w:hAnsi="Times New Roman" w:cs="Times New Roman"/>
          <w:b/>
          <w:color w:val="000000" w:themeColor="text1"/>
          <w:sz w:val="24"/>
          <w:szCs w:val="24"/>
          <w:lang w:val="en-US"/>
        </w:rPr>
      </w:pPr>
      <w:r w:rsidRPr="00015070">
        <w:rPr>
          <w:rFonts w:ascii="Times New Roman" w:hAnsi="Times New Roman" w:cs="Times New Roman"/>
          <w:b/>
          <w:color w:val="000000" w:themeColor="text1"/>
          <w:sz w:val="24"/>
          <w:szCs w:val="24"/>
          <w:lang w:val="en-US"/>
        </w:rPr>
        <w:t>3.1.</w:t>
      </w:r>
      <w:r w:rsidR="00760DC5" w:rsidRPr="00015070">
        <w:rPr>
          <w:rFonts w:ascii="Times New Roman" w:hAnsi="Times New Roman" w:cs="Times New Roman"/>
          <w:b/>
          <w:color w:val="000000" w:themeColor="text1"/>
          <w:sz w:val="24"/>
          <w:szCs w:val="24"/>
          <w:lang w:val="en-US"/>
        </w:rPr>
        <w:t>1.</w:t>
      </w:r>
      <w:r w:rsidRPr="00015070">
        <w:rPr>
          <w:rFonts w:ascii="Times New Roman" w:hAnsi="Times New Roman" w:cs="Times New Roman"/>
          <w:b/>
          <w:color w:val="000000" w:themeColor="text1"/>
          <w:sz w:val="24"/>
          <w:szCs w:val="24"/>
          <w:lang w:val="en-US"/>
        </w:rPr>
        <w:t>5. Ash Content of Flours During Storage</w:t>
      </w:r>
    </w:p>
    <w:p w14:paraId="19927E72" w14:textId="7CE154C4" w:rsidR="00F306A2" w:rsidRPr="00015070" w:rsidRDefault="00F306A2" w:rsidP="00A31491">
      <w:pPr>
        <w:spacing w:after="0" w:line="360" w:lineRule="auto"/>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The mineral content recorded in the flours during storage is presented in Table </w:t>
      </w:r>
      <w:r w:rsidR="00A57CC3" w:rsidRPr="00015070">
        <w:rPr>
          <w:rFonts w:ascii="Times New Roman" w:hAnsi="Times New Roman" w:cs="Times New Roman"/>
          <w:bCs/>
          <w:color w:val="000000" w:themeColor="text1"/>
          <w:sz w:val="24"/>
          <w:szCs w:val="24"/>
          <w:lang w:val="en-US"/>
        </w:rPr>
        <w:t>3</w:t>
      </w:r>
      <w:r w:rsidRPr="00015070">
        <w:rPr>
          <w:rFonts w:ascii="Times New Roman" w:hAnsi="Times New Roman" w:cs="Times New Roman"/>
          <w:bCs/>
          <w:color w:val="000000" w:themeColor="text1"/>
          <w:sz w:val="24"/>
          <w:szCs w:val="24"/>
          <w:lang w:val="en-US"/>
        </w:rPr>
        <w:t>.</w:t>
      </w:r>
    </w:p>
    <w:p w14:paraId="3EB24293" w14:textId="6856C22B" w:rsidR="00A87E89" w:rsidRPr="00015070" w:rsidRDefault="00F306A2" w:rsidP="00A31491">
      <w:pPr>
        <w:spacing w:after="0" w:line="360" w:lineRule="auto"/>
        <w:rPr>
          <w:rFonts w:ascii="Times New Roman" w:hAnsi="Times New Roman" w:cs="Times New Roman"/>
          <w:bCs/>
          <w:color w:val="000000" w:themeColor="text1"/>
          <w:sz w:val="24"/>
          <w:szCs w:val="24"/>
          <w:lang w:val="en-US"/>
        </w:rPr>
      </w:pPr>
      <w:r w:rsidRPr="00015070">
        <w:rPr>
          <w:rFonts w:ascii="Times New Roman" w:hAnsi="Times New Roman" w:cs="Times New Roman"/>
          <w:b/>
          <w:color w:val="000000" w:themeColor="text1"/>
          <w:sz w:val="24"/>
          <w:szCs w:val="24"/>
          <w:lang w:val="en-US"/>
        </w:rPr>
        <w:t xml:space="preserve">Table </w:t>
      </w:r>
      <w:r w:rsidR="00A57CC3" w:rsidRPr="00015070">
        <w:rPr>
          <w:rFonts w:ascii="Times New Roman" w:hAnsi="Times New Roman" w:cs="Times New Roman"/>
          <w:b/>
          <w:color w:val="000000" w:themeColor="text1"/>
          <w:sz w:val="24"/>
          <w:szCs w:val="24"/>
          <w:lang w:val="en-US"/>
        </w:rPr>
        <w:t>3.</w:t>
      </w:r>
      <w:r w:rsidRPr="00015070">
        <w:rPr>
          <w:rFonts w:ascii="Times New Roman" w:hAnsi="Times New Roman" w:cs="Times New Roman"/>
          <w:b/>
          <w:color w:val="000000" w:themeColor="text1"/>
          <w:sz w:val="24"/>
          <w:szCs w:val="24"/>
          <w:lang w:val="en-US"/>
        </w:rPr>
        <w:t xml:space="preserve"> </w:t>
      </w:r>
      <w:r w:rsidRPr="00015070">
        <w:rPr>
          <w:rFonts w:ascii="Times New Roman" w:hAnsi="Times New Roman" w:cs="Times New Roman"/>
          <w:bCs/>
          <w:color w:val="000000" w:themeColor="text1"/>
          <w:sz w:val="24"/>
          <w:szCs w:val="24"/>
          <w:lang w:val="en-US"/>
        </w:rPr>
        <w:t>Variation in the Ash Content of Flours During Storage</w:t>
      </w:r>
    </w:p>
    <w:p w14:paraId="52D316F6" w14:textId="77777777" w:rsidR="00A31491" w:rsidRPr="00015070" w:rsidRDefault="00A31491" w:rsidP="00A31491">
      <w:pPr>
        <w:spacing w:after="0"/>
        <w:rPr>
          <w:rFonts w:ascii="Times New Roman" w:hAnsi="Times New Roman" w:cs="Times New Roman"/>
          <w:bCs/>
          <w:color w:val="000000" w:themeColor="text1"/>
          <w:lang w:val="en-US"/>
        </w:rPr>
      </w:pPr>
    </w:p>
    <w:tbl>
      <w:tblPr>
        <w:tblStyle w:val="Tableausimp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2746"/>
        <w:gridCol w:w="3235"/>
      </w:tblGrid>
      <w:tr w:rsidR="00015070" w:rsidRPr="00015070" w14:paraId="392C72F2" w14:textId="77777777" w:rsidTr="000A73D6">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226" w:type="dxa"/>
            <w:shd w:val="clear" w:color="auto" w:fill="E7E6E6" w:themeFill="background2"/>
          </w:tcPr>
          <w:p w14:paraId="57B0C92F" w14:textId="6D0D5ABA" w:rsidR="00A87E89" w:rsidRPr="00015070" w:rsidRDefault="00A87E89">
            <w:pPr>
              <w:spacing w:line="360" w:lineRule="auto"/>
              <w:jc w:val="both"/>
              <w:rPr>
                <w:rFonts w:ascii="Times New Roman" w:hAnsi="Times New Roman" w:cs="Times New Roman"/>
                <w:b w:val="0"/>
                <w:bCs w:val="0"/>
                <w:color w:val="000000" w:themeColor="text1"/>
                <w:sz w:val="24"/>
                <w:szCs w:val="24"/>
              </w:rPr>
            </w:pPr>
            <w:r w:rsidRPr="00015070">
              <w:rPr>
                <w:rFonts w:ascii="Times New Roman" w:hAnsi="Times New Roman" w:cs="Times New Roman"/>
                <w:color w:val="000000" w:themeColor="text1"/>
                <w:sz w:val="24"/>
                <w:szCs w:val="24"/>
              </w:rPr>
              <w:t>T</w:t>
            </w:r>
            <w:r w:rsidR="00EB36BA" w:rsidRPr="00015070">
              <w:rPr>
                <w:rFonts w:ascii="Times New Roman" w:hAnsi="Times New Roman" w:cs="Times New Roman"/>
                <w:color w:val="000000" w:themeColor="text1"/>
                <w:sz w:val="24"/>
                <w:szCs w:val="24"/>
              </w:rPr>
              <w:t>imes</w:t>
            </w:r>
          </w:p>
        </w:tc>
        <w:tc>
          <w:tcPr>
            <w:tcW w:w="2746" w:type="dxa"/>
            <w:shd w:val="clear" w:color="auto" w:fill="E7E6E6" w:themeFill="background2"/>
          </w:tcPr>
          <w:p w14:paraId="3422EA5D" w14:textId="2A7FA952" w:rsidR="00A87E89" w:rsidRPr="00015070" w:rsidRDefault="00A87E8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015070">
              <w:rPr>
                <w:rFonts w:ascii="Times New Roman" w:hAnsi="Times New Roman" w:cs="Times New Roman"/>
                <w:color w:val="000000" w:themeColor="text1"/>
                <w:sz w:val="24"/>
                <w:szCs w:val="24"/>
              </w:rPr>
              <w:t>F</w:t>
            </w:r>
            <w:r w:rsidR="00EB36BA" w:rsidRPr="00015070">
              <w:rPr>
                <w:rFonts w:ascii="Times New Roman" w:hAnsi="Times New Roman" w:cs="Times New Roman"/>
                <w:color w:val="000000" w:themeColor="text1"/>
                <w:sz w:val="24"/>
                <w:szCs w:val="24"/>
              </w:rPr>
              <w:t>lours</w:t>
            </w:r>
          </w:p>
        </w:tc>
        <w:tc>
          <w:tcPr>
            <w:tcW w:w="3235" w:type="dxa"/>
            <w:shd w:val="clear" w:color="auto" w:fill="E7E6E6" w:themeFill="background2"/>
          </w:tcPr>
          <w:p w14:paraId="3A85C6E8" w14:textId="0C4065B8" w:rsidR="00A87E89" w:rsidRPr="00015070" w:rsidRDefault="00A87E8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015070">
              <w:rPr>
                <w:rFonts w:ascii="Times New Roman" w:hAnsi="Times New Roman" w:cs="Times New Roman"/>
                <w:color w:val="000000" w:themeColor="text1"/>
                <w:sz w:val="24"/>
                <w:szCs w:val="24"/>
              </w:rPr>
              <w:t xml:space="preserve">             </w:t>
            </w:r>
            <w:r w:rsidR="00EB36BA" w:rsidRPr="00015070">
              <w:rPr>
                <w:rFonts w:ascii="Times New Roman" w:hAnsi="Times New Roman" w:cs="Times New Roman"/>
                <w:color w:val="000000" w:themeColor="text1"/>
                <w:sz w:val="24"/>
                <w:szCs w:val="24"/>
              </w:rPr>
              <w:t xml:space="preserve">Ash content </w:t>
            </w:r>
            <w:r w:rsidRPr="00015070">
              <w:rPr>
                <w:rFonts w:ascii="Times New Roman" w:hAnsi="Times New Roman" w:cs="Times New Roman"/>
                <w:color w:val="000000" w:themeColor="text1"/>
                <w:sz w:val="24"/>
                <w:szCs w:val="24"/>
              </w:rPr>
              <w:t xml:space="preserve">(%)  </w:t>
            </w:r>
          </w:p>
        </w:tc>
      </w:tr>
      <w:tr w:rsidR="00015070" w:rsidRPr="00015070" w14:paraId="06A10B09" w14:textId="77777777">
        <w:trPr>
          <w:trHeight w:val="284"/>
        </w:trPr>
        <w:tc>
          <w:tcPr>
            <w:cnfStyle w:val="001000000000" w:firstRow="0" w:lastRow="0" w:firstColumn="1" w:lastColumn="0" w:oddVBand="0" w:evenVBand="0" w:oddHBand="0" w:evenHBand="0" w:firstRowFirstColumn="0" w:firstRowLastColumn="0" w:lastRowFirstColumn="0" w:lastRowLastColumn="0"/>
            <w:tcW w:w="2226" w:type="dxa"/>
          </w:tcPr>
          <w:p w14:paraId="06F778F4" w14:textId="4323CCD7" w:rsidR="00A87E89" w:rsidRPr="00015070" w:rsidRDefault="00A87E89">
            <w:pPr>
              <w:spacing w:line="360" w:lineRule="auto"/>
              <w:jc w:val="both"/>
              <w:rPr>
                <w:rFonts w:ascii="Times New Roman" w:hAnsi="Times New Roman" w:cs="Times New Roman"/>
                <w:bCs w:val="0"/>
                <w:color w:val="000000" w:themeColor="text1"/>
                <w:sz w:val="24"/>
                <w:szCs w:val="24"/>
              </w:rPr>
            </w:pPr>
            <w:r w:rsidRPr="00015070">
              <w:rPr>
                <w:rFonts w:ascii="Times New Roman" w:hAnsi="Times New Roman" w:cs="Times New Roman"/>
                <w:b w:val="0"/>
                <w:color w:val="000000" w:themeColor="text1"/>
                <w:sz w:val="24"/>
                <w:szCs w:val="24"/>
              </w:rPr>
              <w:t>T</w:t>
            </w:r>
            <w:r w:rsidR="00EB36BA" w:rsidRPr="00015070">
              <w:rPr>
                <w:rFonts w:ascii="Times New Roman" w:hAnsi="Times New Roman" w:cs="Times New Roman"/>
                <w:b w:val="0"/>
                <w:color w:val="000000" w:themeColor="text1"/>
                <w:sz w:val="24"/>
                <w:szCs w:val="24"/>
              </w:rPr>
              <w:t>0</w:t>
            </w:r>
          </w:p>
        </w:tc>
        <w:tc>
          <w:tcPr>
            <w:tcW w:w="2746" w:type="dxa"/>
          </w:tcPr>
          <w:p w14:paraId="5EE7EC26"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FIF-T0</w:t>
            </w:r>
          </w:p>
        </w:tc>
        <w:tc>
          <w:tcPr>
            <w:tcW w:w="3235" w:type="dxa"/>
          </w:tcPr>
          <w:p w14:paraId="025B60E6"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2.98</w:t>
            </w:r>
          </w:p>
        </w:tc>
      </w:tr>
      <w:tr w:rsidR="00015070" w:rsidRPr="00015070" w14:paraId="6D15C9B7"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val="restart"/>
          </w:tcPr>
          <w:p w14:paraId="6B310394" w14:textId="77777777" w:rsidR="00A87E89" w:rsidRPr="00015070" w:rsidRDefault="00A87E89">
            <w:pPr>
              <w:spacing w:line="360" w:lineRule="auto"/>
              <w:jc w:val="both"/>
              <w:rPr>
                <w:rFonts w:ascii="Times New Roman" w:hAnsi="Times New Roman" w:cs="Times New Roman"/>
                <w:bCs w:val="0"/>
                <w:color w:val="000000" w:themeColor="text1"/>
                <w:sz w:val="24"/>
                <w:szCs w:val="24"/>
              </w:rPr>
            </w:pPr>
          </w:p>
          <w:p w14:paraId="52633526" w14:textId="77777777" w:rsidR="00A87E89" w:rsidRPr="00015070" w:rsidRDefault="00A87E89">
            <w:pPr>
              <w:spacing w:line="360" w:lineRule="auto"/>
              <w:jc w:val="both"/>
              <w:rPr>
                <w:rFonts w:ascii="Times New Roman" w:hAnsi="Times New Roman" w:cs="Times New Roman"/>
                <w:bCs w:val="0"/>
                <w:color w:val="000000" w:themeColor="text1"/>
                <w:sz w:val="24"/>
                <w:szCs w:val="24"/>
              </w:rPr>
            </w:pPr>
          </w:p>
          <w:p w14:paraId="42FACF31" w14:textId="6B82F115" w:rsidR="00A87E89" w:rsidRPr="00015070" w:rsidRDefault="00A87E89">
            <w:pPr>
              <w:spacing w:line="360" w:lineRule="auto"/>
              <w:jc w:val="both"/>
              <w:rPr>
                <w:rFonts w:ascii="Times New Roman" w:hAnsi="Times New Roman" w:cs="Times New Roman"/>
                <w:bCs w:val="0"/>
                <w:color w:val="000000" w:themeColor="text1"/>
                <w:sz w:val="24"/>
                <w:szCs w:val="24"/>
              </w:rPr>
            </w:pPr>
            <w:r w:rsidRPr="00015070">
              <w:rPr>
                <w:rFonts w:ascii="Times New Roman" w:hAnsi="Times New Roman" w:cs="Times New Roman"/>
                <w:b w:val="0"/>
                <w:color w:val="000000" w:themeColor="text1"/>
                <w:sz w:val="24"/>
                <w:szCs w:val="24"/>
              </w:rPr>
              <w:t>T0+2mo</w:t>
            </w:r>
            <w:r w:rsidR="00EB36BA" w:rsidRPr="00015070">
              <w:rPr>
                <w:rFonts w:ascii="Times New Roman" w:hAnsi="Times New Roman" w:cs="Times New Roman"/>
                <w:b w:val="0"/>
                <w:color w:val="000000" w:themeColor="text1"/>
                <w:sz w:val="24"/>
                <w:szCs w:val="24"/>
              </w:rPr>
              <w:t>nths</w:t>
            </w:r>
            <w:r w:rsidRPr="00015070">
              <w:rPr>
                <w:rFonts w:ascii="Times New Roman" w:hAnsi="Times New Roman" w:cs="Times New Roman"/>
                <w:b w:val="0"/>
                <w:color w:val="000000" w:themeColor="text1"/>
                <w:sz w:val="24"/>
                <w:szCs w:val="24"/>
              </w:rPr>
              <w:t xml:space="preserve"> </w:t>
            </w:r>
          </w:p>
        </w:tc>
        <w:tc>
          <w:tcPr>
            <w:tcW w:w="2746" w:type="dxa"/>
          </w:tcPr>
          <w:p w14:paraId="2AEB6338"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FIF-EA-T2</w:t>
            </w:r>
          </w:p>
        </w:tc>
        <w:tc>
          <w:tcPr>
            <w:tcW w:w="3235" w:type="dxa"/>
          </w:tcPr>
          <w:p w14:paraId="234A1BB6" w14:textId="1B1DFBC3"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2</w:t>
            </w:r>
            <w:r w:rsidR="00EB36BA" w:rsidRPr="00015070">
              <w:rPr>
                <w:rFonts w:ascii="Times New Roman" w:hAnsi="Times New Roman" w:cs="Times New Roman"/>
                <w:bCs/>
                <w:color w:val="000000" w:themeColor="text1"/>
                <w:sz w:val="24"/>
                <w:szCs w:val="24"/>
              </w:rPr>
              <w:t>.</w:t>
            </w:r>
            <w:r w:rsidRPr="00015070">
              <w:rPr>
                <w:rFonts w:ascii="Times New Roman" w:hAnsi="Times New Roman" w:cs="Times New Roman"/>
                <w:bCs/>
                <w:color w:val="000000" w:themeColor="text1"/>
                <w:sz w:val="24"/>
                <w:szCs w:val="24"/>
              </w:rPr>
              <w:t>99</w:t>
            </w:r>
          </w:p>
        </w:tc>
      </w:tr>
      <w:tr w:rsidR="00015070" w:rsidRPr="00015070" w14:paraId="63882316"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77E85EF3" w14:textId="77777777" w:rsidR="00A87E89" w:rsidRPr="00015070" w:rsidRDefault="00A87E89">
            <w:pPr>
              <w:spacing w:line="360" w:lineRule="auto"/>
              <w:jc w:val="both"/>
              <w:rPr>
                <w:rFonts w:ascii="Times New Roman" w:hAnsi="Times New Roman" w:cs="Times New Roman"/>
                <w:bCs w:val="0"/>
                <w:color w:val="000000" w:themeColor="text1"/>
                <w:sz w:val="24"/>
                <w:szCs w:val="24"/>
              </w:rPr>
            </w:pPr>
          </w:p>
        </w:tc>
        <w:tc>
          <w:tcPr>
            <w:tcW w:w="2746" w:type="dxa"/>
          </w:tcPr>
          <w:p w14:paraId="288F78A7"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FIF-EP-T2</w:t>
            </w:r>
          </w:p>
        </w:tc>
        <w:tc>
          <w:tcPr>
            <w:tcW w:w="3235" w:type="dxa"/>
          </w:tcPr>
          <w:p w14:paraId="2314798F" w14:textId="67DDD9EF"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2</w:t>
            </w:r>
            <w:r w:rsidR="00EB36BA" w:rsidRPr="00015070">
              <w:rPr>
                <w:rFonts w:ascii="Times New Roman" w:hAnsi="Times New Roman" w:cs="Times New Roman"/>
                <w:bCs/>
                <w:color w:val="000000" w:themeColor="text1"/>
                <w:sz w:val="24"/>
                <w:szCs w:val="24"/>
              </w:rPr>
              <w:t>.</w:t>
            </w:r>
            <w:r w:rsidRPr="00015070">
              <w:rPr>
                <w:rFonts w:ascii="Times New Roman" w:hAnsi="Times New Roman" w:cs="Times New Roman"/>
                <w:bCs/>
                <w:color w:val="000000" w:themeColor="text1"/>
                <w:sz w:val="24"/>
                <w:szCs w:val="24"/>
              </w:rPr>
              <w:t>96</w:t>
            </w:r>
          </w:p>
        </w:tc>
      </w:tr>
      <w:tr w:rsidR="00015070" w:rsidRPr="00015070" w14:paraId="3FC865CA"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78B6EF69" w14:textId="77777777" w:rsidR="00A87E89" w:rsidRPr="00015070" w:rsidRDefault="00A87E89">
            <w:pPr>
              <w:spacing w:line="360" w:lineRule="auto"/>
              <w:jc w:val="both"/>
              <w:rPr>
                <w:rFonts w:ascii="Times New Roman" w:hAnsi="Times New Roman" w:cs="Times New Roman"/>
                <w:bCs w:val="0"/>
                <w:color w:val="000000" w:themeColor="text1"/>
                <w:sz w:val="24"/>
                <w:szCs w:val="24"/>
              </w:rPr>
            </w:pPr>
          </w:p>
        </w:tc>
        <w:tc>
          <w:tcPr>
            <w:tcW w:w="2746" w:type="dxa"/>
          </w:tcPr>
          <w:p w14:paraId="1D0B88FB"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FIF-EA-T2-C</w:t>
            </w:r>
          </w:p>
        </w:tc>
        <w:tc>
          <w:tcPr>
            <w:tcW w:w="3235" w:type="dxa"/>
          </w:tcPr>
          <w:p w14:paraId="5E92C625" w14:textId="78062E48"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2</w:t>
            </w:r>
            <w:r w:rsidR="00EB36BA" w:rsidRPr="00015070">
              <w:rPr>
                <w:rFonts w:ascii="Times New Roman" w:hAnsi="Times New Roman" w:cs="Times New Roman"/>
                <w:bCs/>
                <w:color w:val="000000" w:themeColor="text1"/>
                <w:sz w:val="24"/>
                <w:szCs w:val="24"/>
              </w:rPr>
              <w:t>.</w:t>
            </w:r>
            <w:r w:rsidRPr="00015070">
              <w:rPr>
                <w:rFonts w:ascii="Times New Roman" w:hAnsi="Times New Roman" w:cs="Times New Roman"/>
                <w:bCs/>
                <w:color w:val="000000" w:themeColor="text1"/>
                <w:sz w:val="24"/>
                <w:szCs w:val="24"/>
              </w:rPr>
              <w:t>94</w:t>
            </w:r>
          </w:p>
        </w:tc>
      </w:tr>
      <w:tr w:rsidR="00015070" w:rsidRPr="00015070" w14:paraId="7E92109E"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05F5C2E3" w14:textId="77777777" w:rsidR="00A87E89" w:rsidRPr="00015070" w:rsidRDefault="00A87E89">
            <w:pPr>
              <w:spacing w:line="360" w:lineRule="auto"/>
              <w:jc w:val="both"/>
              <w:rPr>
                <w:rFonts w:ascii="Times New Roman" w:hAnsi="Times New Roman" w:cs="Times New Roman"/>
                <w:bCs w:val="0"/>
                <w:color w:val="000000" w:themeColor="text1"/>
                <w:sz w:val="24"/>
                <w:szCs w:val="24"/>
              </w:rPr>
            </w:pPr>
          </w:p>
        </w:tc>
        <w:tc>
          <w:tcPr>
            <w:tcW w:w="2746" w:type="dxa"/>
          </w:tcPr>
          <w:p w14:paraId="40424366"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FIF-EP-T2-C</w:t>
            </w:r>
          </w:p>
        </w:tc>
        <w:tc>
          <w:tcPr>
            <w:tcW w:w="3235" w:type="dxa"/>
          </w:tcPr>
          <w:p w14:paraId="49207E17" w14:textId="17DBEE92"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2</w:t>
            </w:r>
            <w:r w:rsidR="00EB36BA" w:rsidRPr="00015070">
              <w:rPr>
                <w:rFonts w:ascii="Times New Roman" w:hAnsi="Times New Roman" w:cs="Times New Roman"/>
                <w:bCs/>
                <w:color w:val="000000" w:themeColor="text1"/>
                <w:sz w:val="24"/>
                <w:szCs w:val="24"/>
              </w:rPr>
              <w:t>.</w:t>
            </w:r>
            <w:r w:rsidRPr="00015070">
              <w:rPr>
                <w:rFonts w:ascii="Times New Roman" w:hAnsi="Times New Roman" w:cs="Times New Roman"/>
                <w:bCs/>
                <w:color w:val="000000" w:themeColor="text1"/>
                <w:sz w:val="24"/>
                <w:szCs w:val="24"/>
              </w:rPr>
              <w:t>98</w:t>
            </w:r>
          </w:p>
        </w:tc>
      </w:tr>
      <w:tr w:rsidR="00015070" w:rsidRPr="00015070" w14:paraId="72D85889"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val="restart"/>
          </w:tcPr>
          <w:p w14:paraId="44947C8D" w14:textId="77777777" w:rsidR="00A87E89" w:rsidRPr="00015070" w:rsidRDefault="00A87E89">
            <w:pPr>
              <w:spacing w:line="360" w:lineRule="auto"/>
              <w:jc w:val="both"/>
              <w:rPr>
                <w:rFonts w:ascii="Times New Roman" w:hAnsi="Times New Roman" w:cs="Times New Roman"/>
                <w:bCs w:val="0"/>
                <w:color w:val="000000" w:themeColor="text1"/>
                <w:sz w:val="24"/>
                <w:szCs w:val="24"/>
              </w:rPr>
            </w:pPr>
          </w:p>
          <w:p w14:paraId="0F7B1082" w14:textId="3A5126EB" w:rsidR="00A87E89" w:rsidRPr="00015070" w:rsidRDefault="00A87E89">
            <w:pPr>
              <w:spacing w:line="360" w:lineRule="auto"/>
              <w:jc w:val="both"/>
              <w:rPr>
                <w:rFonts w:ascii="Times New Roman" w:hAnsi="Times New Roman" w:cs="Times New Roman"/>
                <w:bCs w:val="0"/>
                <w:color w:val="000000" w:themeColor="text1"/>
                <w:sz w:val="24"/>
                <w:szCs w:val="24"/>
              </w:rPr>
            </w:pPr>
            <w:r w:rsidRPr="00015070">
              <w:rPr>
                <w:rFonts w:ascii="Times New Roman" w:hAnsi="Times New Roman" w:cs="Times New Roman"/>
                <w:b w:val="0"/>
                <w:color w:val="000000" w:themeColor="text1"/>
                <w:sz w:val="24"/>
                <w:szCs w:val="24"/>
              </w:rPr>
              <w:t>T0+4mo</w:t>
            </w:r>
            <w:r w:rsidR="00EB36BA" w:rsidRPr="00015070">
              <w:rPr>
                <w:rFonts w:ascii="Times New Roman" w:hAnsi="Times New Roman" w:cs="Times New Roman"/>
                <w:b w:val="0"/>
                <w:color w:val="000000" w:themeColor="text1"/>
                <w:sz w:val="24"/>
                <w:szCs w:val="24"/>
              </w:rPr>
              <w:t>nths</w:t>
            </w:r>
          </w:p>
        </w:tc>
        <w:tc>
          <w:tcPr>
            <w:tcW w:w="2746" w:type="dxa"/>
          </w:tcPr>
          <w:p w14:paraId="7F34F230"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FIF-EA-T4</w:t>
            </w:r>
          </w:p>
        </w:tc>
        <w:tc>
          <w:tcPr>
            <w:tcW w:w="3235" w:type="dxa"/>
          </w:tcPr>
          <w:p w14:paraId="2D3C06A9" w14:textId="46AD08DF"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2</w:t>
            </w:r>
            <w:r w:rsidR="00EB36BA" w:rsidRPr="00015070">
              <w:rPr>
                <w:rFonts w:ascii="Times New Roman" w:hAnsi="Times New Roman" w:cs="Times New Roman"/>
                <w:bCs/>
                <w:color w:val="000000" w:themeColor="text1"/>
                <w:sz w:val="24"/>
                <w:szCs w:val="24"/>
              </w:rPr>
              <w:t>.</w:t>
            </w:r>
            <w:r w:rsidRPr="00015070">
              <w:rPr>
                <w:rFonts w:ascii="Times New Roman" w:hAnsi="Times New Roman" w:cs="Times New Roman"/>
                <w:bCs/>
                <w:color w:val="000000" w:themeColor="text1"/>
                <w:sz w:val="24"/>
                <w:szCs w:val="24"/>
              </w:rPr>
              <w:t>96</w:t>
            </w:r>
          </w:p>
        </w:tc>
      </w:tr>
      <w:tr w:rsidR="00015070" w:rsidRPr="00015070" w14:paraId="031D5921"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70C9631F" w14:textId="77777777" w:rsidR="00A87E89" w:rsidRPr="00015070" w:rsidRDefault="00A87E89">
            <w:pPr>
              <w:spacing w:line="360" w:lineRule="auto"/>
              <w:jc w:val="both"/>
              <w:rPr>
                <w:rFonts w:ascii="Times New Roman" w:hAnsi="Times New Roman" w:cs="Times New Roman"/>
                <w:bCs w:val="0"/>
                <w:color w:val="000000" w:themeColor="text1"/>
                <w:sz w:val="24"/>
                <w:szCs w:val="24"/>
              </w:rPr>
            </w:pPr>
          </w:p>
        </w:tc>
        <w:tc>
          <w:tcPr>
            <w:tcW w:w="2746" w:type="dxa"/>
          </w:tcPr>
          <w:p w14:paraId="78EC9711"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FIF-EP-T4</w:t>
            </w:r>
          </w:p>
        </w:tc>
        <w:tc>
          <w:tcPr>
            <w:tcW w:w="3235" w:type="dxa"/>
          </w:tcPr>
          <w:p w14:paraId="276C5C4A" w14:textId="1038DD74"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2</w:t>
            </w:r>
            <w:r w:rsidR="00EB36BA" w:rsidRPr="00015070">
              <w:rPr>
                <w:rFonts w:ascii="Times New Roman" w:hAnsi="Times New Roman" w:cs="Times New Roman"/>
                <w:bCs/>
                <w:color w:val="000000" w:themeColor="text1"/>
                <w:sz w:val="24"/>
                <w:szCs w:val="24"/>
              </w:rPr>
              <w:t>.</w:t>
            </w:r>
            <w:r w:rsidRPr="00015070">
              <w:rPr>
                <w:rFonts w:ascii="Times New Roman" w:hAnsi="Times New Roman" w:cs="Times New Roman"/>
                <w:bCs/>
                <w:color w:val="000000" w:themeColor="text1"/>
                <w:sz w:val="24"/>
                <w:szCs w:val="24"/>
              </w:rPr>
              <w:t>98</w:t>
            </w:r>
          </w:p>
        </w:tc>
      </w:tr>
      <w:tr w:rsidR="00015070" w:rsidRPr="00015070" w14:paraId="79A51932"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val="restart"/>
          </w:tcPr>
          <w:p w14:paraId="17F0FD17" w14:textId="77777777" w:rsidR="00A87E89" w:rsidRPr="00015070" w:rsidRDefault="00A87E89">
            <w:pPr>
              <w:spacing w:line="360" w:lineRule="auto"/>
              <w:jc w:val="both"/>
              <w:rPr>
                <w:rFonts w:ascii="Times New Roman" w:hAnsi="Times New Roman" w:cs="Times New Roman"/>
                <w:bCs w:val="0"/>
                <w:color w:val="000000" w:themeColor="text1"/>
                <w:sz w:val="24"/>
                <w:szCs w:val="24"/>
              </w:rPr>
            </w:pPr>
          </w:p>
          <w:p w14:paraId="132A1462" w14:textId="231EA2AD" w:rsidR="00A87E89" w:rsidRPr="00015070" w:rsidRDefault="00A87E89">
            <w:pPr>
              <w:spacing w:line="360" w:lineRule="auto"/>
              <w:jc w:val="both"/>
              <w:rPr>
                <w:rFonts w:ascii="Times New Roman" w:hAnsi="Times New Roman" w:cs="Times New Roman"/>
                <w:bCs w:val="0"/>
                <w:color w:val="000000" w:themeColor="text1"/>
                <w:sz w:val="24"/>
                <w:szCs w:val="24"/>
              </w:rPr>
            </w:pPr>
            <w:r w:rsidRPr="00015070">
              <w:rPr>
                <w:rFonts w:ascii="Times New Roman" w:hAnsi="Times New Roman" w:cs="Times New Roman"/>
                <w:b w:val="0"/>
                <w:color w:val="000000" w:themeColor="text1"/>
                <w:sz w:val="24"/>
                <w:szCs w:val="24"/>
              </w:rPr>
              <w:t>T0+6mo</w:t>
            </w:r>
            <w:r w:rsidR="00EB36BA" w:rsidRPr="00015070">
              <w:rPr>
                <w:rFonts w:ascii="Times New Roman" w:hAnsi="Times New Roman" w:cs="Times New Roman"/>
                <w:b w:val="0"/>
                <w:color w:val="000000" w:themeColor="text1"/>
                <w:sz w:val="24"/>
                <w:szCs w:val="24"/>
              </w:rPr>
              <w:t>nths</w:t>
            </w:r>
          </w:p>
        </w:tc>
        <w:tc>
          <w:tcPr>
            <w:tcW w:w="2746" w:type="dxa"/>
          </w:tcPr>
          <w:p w14:paraId="505CA07C"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FIF-EA-T6</w:t>
            </w:r>
          </w:p>
        </w:tc>
        <w:tc>
          <w:tcPr>
            <w:tcW w:w="3235" w:type="dxa"/>
          </w:tcPr>
          <w:p w14:paraId="0C858752" w14:textId="0840969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2</w:t>
            </w:r>
            <w:r w:rsidR="00EB36BA" w:rsidRPr="00015070">
              <w:rPr>
                <w:rFonts w:ascii="Times New Roman" w:hAnsi="Times New Roman" w:cs="Times New Roman"/>
                <w:bCs/>
                <w:color w:val="000000" w:themeColor="text1"/>
                <w:sz w:val="24"/>
                <w:szCs w:val="24"/>
              </w:rPr>
              <w:t>.</w:t>
            </w:r>
            <w:r w:rsidRPr="00015070">
              <w:rPr>
                <w:rFonts w:ascii="Times New Roman" w:hAnsi="Times New Roman" w:cs="Times New Roman"/>
                <w:bCs/>
                <w:color w:val="000000" w:themeColor="text1"/>
                <w:sz w:val="24"/>
                <w:szCs w:val="24"/>
              </w:rPr>
              <w:t>97</w:t>
            </w:r>
          </w:p>
        </w:tc>
      </w:tr>
      <w:tr w:rsidR="00015070" w:rsidRPr="00015070" w14:paraId="3AE18B9B"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4DC48D26" w14:textId="77777777" w:rsidR="00A87E89" w:rsidRPr="00015070" w:rsidRDefault="00A87E89">
            <w:pPr>
              <w:spacing w:line="360" w:lineRule="auto"/>
              <w:jc w:val="both"/>
              <w:rPr>
                <w:rFonts w:ascii="Times New Roman" w:hAnsi="Times New Roman" w:cs="Times New Roman"/>
                <w:bCs w:val="0"/>
                <w:color w:val="000000" w:themeColor="text1"/>
                <w:sz w:val="24"/>
                <w:szCs w:val="24"/>
              </w:rPr>
            </w:pPr>
          </w:p>
        </w:tc>
        <w:tc>
          <w:tcPr>
            <w:tcW w:w="2746" w:type="dxa"/>
          </w:tcPr>
          <w:p w14:paraId="0867B98F" w14:textId="77777777"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FIF-EP-T6</w:t>
            </w:r>
          </w:p>
        </w:tc>
        <w:tc>
          <w:tcPr>
            <w:tcW w:w="3235" w:type="dxa"/>
          </w:tcPr>
          <w:p w14:paraId="0E4652C2" w14:textId="48A15B23" w:rsidR="00A87E89" w:rsidRPr="00015070"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15070">
              <w:rPr>
                <w:rFonts w:ascii="Times New Roman" w:hAnsi="Times New Roman" w:cs="Times New Roman"/>
                <w:bCs/>
                <w:color w:val="000000" w:themeColor="text1"/>
                <w:sz w:val="24"/>
                <w:szCs w:val="24"/>
              </w:rPr>
              <w:t>3</w:t>
            </w:r>
            <w:r w:rsidR="00EB36BA" w:rsidRPr="00015070">
              <w:rPr>
                <w:rFonts w:ascii="Times New Roman" w:hAnsi="Times New Roman" w:cs="Times New Roman"/>
                <w:bCs/>
                <w:color w:val="000000" w:themeColor="text1"/>
                <w:sz w:val="24"/>
                <w:szCs w:val="24"/>
              </w:rPr>
              <w:t>.</w:t>
            </w:r>
            <w:r w:rsidRPr="00015070">
              <w:rPr>
                <w:rFonts w:ascii="Times New Roman" w:hAnsi="Times New Roman" w:cs="Times New Roman"/>
                <w:bCs/>
                <w:color w:val="000000" w:themeColor="text1"/>
                <w:sz w:val="24"/>
                <w:szCs w:val="24"/>
              </w:rPr>
              <w:t>01</w:t>
            </w:r>
          </w:p>
        </w:tc>
      </w:tr>
    </w:tbl>
    <w:p w14:paraId="79B59CCF" w14:textId="77777777" w:rsidR="00A87E89" w:rsidRPr="00015070" w:rsidRDefault="00A87E89" w:rsidP="00EB36BA">
      <w:pPr>
        <w:spacing w:after="0" w:line="360" w:lineRule="auto"/>
        <w:jc w:val="both"/>
        <w:rPr>
          <w:rFonts w:ascii="Times New Roman" w:hAnsi="Times New Roman" w:cs="Times New Roman"/>
          <w:b/>
          <w:color w:val="000000" w:themeColor="text1"/>
          <w:sz w:val="24"/>
          <w:szCs w:val="24"/>
        </w:rPr>
      </w:pPr>
    </w:p>
    <w:p w14:paraId="5D582D55" w14:textId="77777777" w:rsidR="00973BF0" w:rsidRPr="00015070" w:rsidRDefault="00973BF0" w:rsidP="000A73D6">
      <w:pPr>
        <w:spacing w:after="0"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lastRenderedPageBreak/>
        <w:t>FIF: Fortified infant flour; T: Time; EA: Aluminum foil packaging; EP: Plastic packaging; C: Community, % = percentage</w:t>
      </w:r>
    </w:p>
    <w:p w14:paraId="1AD00407" w14:textId="77777777" w:rsidR="00973BF0" w:rsidRPr="00015070" w:rsidRDefault="00973BF0" w:rsidP="000A73D6">
      <w:pPr>
        <w:spacing w:after="0"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The ash content of the flours is 2.98% at T0. After two months of storage, the different variants show values ​​between 2.94% and 2.99%. These variations remain very small, reflecting the almost complete stability of the mineral fraction at the beginning of storage and indicating that the applied conditions have no significant effect on this parameter.</w:t>
      </w:r>
    </w:p>
    <w:p w14:paraId="39373478" w14:textId="086B8431" w:rsidR="00973BF0" w:rsidRPr="00015070" w:rsidRDefault="00973BF0" w:rsidP="000A73D6">
      <w:pPr>
        <w:spacing w:after="0"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At T0+4 months, the ash content remains stable, with values</w:t>
      </w:r>
      <w:r w:rsidR="00EB36BA" w:rsidRPr="00015070">
        <w:rPr>
          <w:rFonts w:ascii="Times New Roman" w:hAnsi="Times New Roman" w:cs="Times New Roman"/>
          <w:bCs/>
          <w:color w:val="000000" w:themeColor="text1"/>
          <w:sz w:val="24"/>
          <w:szCs w:val="24"/>
          <w:lang w:val="en-US"/>
        </w:rPr>
        <w:t xml:space="preserve"> of 2.96% and 2.98% across samples</w:t>
      </w:r>
      <w:r w:rsidRPr="00015070">
        <w:rPr>
          <w:rFonts w:ascii="Times New Roman" w:hAnsi="Times New Roman" w:cs="Times New Roman"/>
          <w:bCs/>
          <w:color w:val="000000" w:themeColor="text1"/>
          <w:sz w:val="24"/>
          <w:szCs w:val="24"/>
          <w:lang w:val="en-US"/>
        </w:rPr>
        <w:t xml:space="preserve">. This consistency </w:t>
      </w:r>
      <w:r w:rsidR="00EB36BA" w:rsidRPr="00015070">
        <w:rPr>
          <w:rFonts w:ascii="Times New Roman" w:hAnsi="Times New Roman" w:cs="Times New Roman"/>
          <w:bCs/>
          <w:color w:val="000000" w:themeColor="text1"/>
          <w:sz w:val="24"/>
          <w:szCs w:val="24"/>
          <w:lang w:val="en-US"/>
        </w:rPr>
        <w:t>indicates that the mineral composition remains unchanged</w:t>
      </w:r>
      <w:r w:rsidRPr="00015070">
        <w:rPr>
          <w:rFonts w:ascii="Times New Roman" w:hAnsi="Times New Roman" w:cs="Times New Roman"/>
          <w:bCs/>
          <w:color w:val="000000" w:themeColor="text1"/>
          <w:sz w:val="24"/>
          <w:szCs w:val="24"/>
          <w:lang w:val="en-US"/>
        </w:rPr>
        <w:t xml:space="preserve">, suggesting that the flour retains its physicochemical characteristics </w:t>
      </w:r>
      <w:r w:rsidR="000A73D6" w:rsidRPr="00015070">
        <w:rPr>
          <w:rFonts w:ascii="Times New Roman" w:hAnsi="Times New Roman" w:cs="Times New Roman"/>
          <w:bCs/>
          <w:color w:val="000000" w:themeColor="text1"/>
          <w:sz w:val="24"/>
          <w:szCs w:val="24"/>
          <w:lang w:val="en-US"/>
        </w:rPr>
        <w:t>even after extended storage</w:t>
      </w:r>
      <w:r w:rsidRPr="00015070">
        <w:rPr>
          <w:rFonts w:ascii="Times New Roman" w:hAnsi="Times New Roman" w:cs="Times New Roman"/>
          <w:bCs/>
          <w:color w:val="000000" w:themeColor="text1"/>
          <w:sz w:val="24"/>
          <w:szCs w:val="24"/>
          <w:lang w:val="en-US"/>
        </w:rPr>
        <w:t xml:space="preserve">. After </w:t>
      </w:r>
      <w:r w:rsidR="00661885" w:rsidRPr="00015070">
        <w:rPr>
          <w:rFonts w:ascii="Times New Roman" w:hAnsi="Times New Roman" w:cs="Times New Roman"/>
          <w:bCs/>
          <w:color w:val="000000" w:themeColor="text1"/>
          <w:sz w:val="24"/>
          <w:szCs w:val="24"/>
          <w:lang w:val="en-US"/>
        </w:rPr>
        <w:t>6 months</w:t>
      </w:r>
      <w:r w:rsidRPr="00015070">
        <w:rPr>
          <w:rFonts w:ascii="Times New Roman" w:hAnsi="Times New Roman" w:cs="Times New Roman"/>
          <w:bCs/>
          <w:color w:val="000000" w:themeColor="text1"/>
          <w:sz w:val="24"/>
          <w:szCs w:val="24"/>
          <w:lang w:val="en-US"/>
        </w:rPr>
        <w:t xml:space="preserve"> of storage, the ash content fluctuates between 2.97% and 3.01%, </w:t>
      </w:r>
      <w:r w:rsidR="000A73D6" w:rsidRPr="00015070">
        <w:rPr>
          <w:rFonts w:ascii="Times New Roman" w:hAnsi="Times New Roman" w:cs="Times New Roman"/>
          <w:bCs/>
          <w:color w:val="000000" w:themeColor="text1"/>
          <w:sz w:val="24"/>
          <w:szCs w:val="24"/>
          <w:lang w:val="en-US"/>
        </w:rPr>
        <w:t>a minimal</w:t>
      </w:r>
      <w:r w:rsidRPr="00015070">
        <w:rPr>
          <w:rFonts w:ascii="Times New Roman" w:hAnsi="Times New Roman" w:cs="Times New Roman"/>
          <w:bCs/>
          <w:color w:val="000000" w:themeColor="text1"/>
          <w:sz w:val="24"/>
          <w:szCs w:val="24"/>
          <w:lang w:val="en-US"/>
        </w:rPr>
        <w:t xml:space="preserve"> variation compared to the previous values. Although a slight increase was observed in the EP sample, the overall results remained </w:t>
      </w:r>
      <w:r w:rsidR="000A73D6" w:rsidRPr="00015070">
        <w:rPr>
          <w:rFonts w:ascii="Times New Roman" w:hAnsi="Times New Roman" w:cs="Times New Roman"/>
          <w:bCs/>
          <w:color w:val="000000" w:themeColor="text1"/>
          <w:sz w:val="24"/>
          <w:szCs w:val="24"/>
          <w:lang w:val="en-US"/>
        </w:rPr>
        <w:t>within normal analytical ranges, indicating that prolonged storage did not alter the product's mineral content</w:t>
      </w:r>
      <w:r w:rsidRPr="00015070">
        <w:rPr>
          <w:rFonts w:ascii="Times New Roman" w:hAnsi="Times New Roman" w:cs="Times New Roman"/>
          <w:bCs/>
          <w:color w:val="000000" w:themeColor="text1"/>
          <w:sz w:val="24"/>
          <w:szCs w:val="24"/>
          <w:lang w:val="en-US"/>
        </w:rPr>
        <w:t>.</w:t>
      </w:r>
    </w:p>
    <w:p w14:paraId="01F59126" w14:textId="646A1241" w:rsidR="00973BF0" w:rsidRPr="00015070" w:rsidRDefault="00973BF0" w:rsidP="000A73D6">
      <w:pPr>
        <w:spacing w:after="0"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Overall, the results show remarkable stability in ash content throughout the </w:t>
      </w:r>
      <w:r w:rsidR="00661885" w:rsidRPr="00015070">
        <w:rPr>
          <w:rFonts w:ascii="Times New Roman" w:hAnsi="Times New Roman" w:cs="Times New Roman"/>
          <w:bCs/>
          <w:color w:val="000000" w:themeColor="text1"/>
          <w:sz w:val="24"/>
          <w:szCs w:val="24"/>
          <w:lang w:val="en-US"/>
        </w:rPr>
        <w:t>6 months</w:t>
      </w:r>
      <w:r w:rsidRPr="00015070">
        <w:rPr>
          <w:rFonts w:ascii="Times New Roman" w:hAnsi="Times New Roman" w:cs="Times New Roman"/>
          <w:bCs/>
          <w:color w:val="000000" w:themeColor="text1"/>
          <w:sz w:val="24"/>
          <w:szCs w:val="24"/>
          <w:lang w:val="en-US"/>
        </w:rPr>
        <w:t xml:space="preserve"> of storage. The observed variations are minimal and indicate no trend toward concentration or loss of mineral elements. This consistency demonstrates good flour preservation and the absence of phenomena likely to alter its mineral quality.</w:t>
      </w:r>
    </w:p>
    <w:p w14:paraId="55D11A13" w14:textId="77777777" w:rsidR="00A31491" w:rsidRPr="00015070" w:rsidRDefault="00A31491" w:rsidP="000A73D6">
      <w:pPr>
        <w:spacing w:after="0" w:line="360" w:lineRule="auto"/>
        <w:jc w:val="both"/>
        <w:rPr>
          <w:rFonts w:ascii="Times New Roman" w:hAnsi="Times New Roman" w:cs="Times New Roman"/>
          <w:b/>
          <w:color w:val="000000" w:themeColor="text1"/>
          <w:sz w:val="24"/>
          <w:szCs w:val="24"/>
          <w:lang w:val="en-US"/>
        </w:rPr>
      </w:pPr>
    </w:p>
    <w:p w14:paraId="2F38D5FF" w14:textId="0E97AAA0" w:rsidR="00973BF0" w:rsidRPr="00015070" w:rsidRDefault="00973BF0" w:rsidP="000A73D6">
      <w:pPr>
        <w:spacing w:after="0" w:line="360" w:lineRule="auto"/>
        <w:jc w:val="both"/>
        <w:rPr>
          <w:rFonts w:ascii="Times New Roman" w:hAnsi="Times New Roman" w:cs="Times New Roman"/>
          <w:b/>
          <w:color w:val="000000" w:themeColor="text1"/>
          <w:sz w:val="24"/>
          <w:szCs w:val="24"/>
          <w:lang w:val="en-US"/>
        </w:rPr>
      </w:pPr>
      <w:r w:rsidRPr="00015070">
        <w:rPr>
          <w:rFonts w:ascii="Times New Roman" w:hAnsi="Times New Roman" w:cs="Times New Roman"/>
          <w:b/>
          <w:color w:val="000000" w:themeColor="text1"/>
          <w:sz w:val="24"/>
          <w:szCs w:val="24"/>
          <w:lang w:val="en-US"/>
        </w:rPr>
        <w:t>3.</w:t>
      </w:r>
      <w:r w:rsidR="00760DC5" w:rsidRPr="00015070">
        <w:rPr>
          <w:rFonts w:ascii="Times New Roman" w:hAnsi="Times New Roman" w:cs="Times New Roman"/>
          <w:b/>
          <w:color w:val="000000" w:themeColor="text1"/>
          <w:sz w:val="24"/>
          <w:szCs w:val="24"/>
          <w:lang w:val="en-US"/>
        </w:rPr>
        <w:t>1.</w:t>
      </w:r>
      <w:r w:rsidRPr="00015070">
        <w:rPr>
          <w:rFonts w:ascii="Times New Roman" w:hAnsi="Times New Roman" w:cs="Times New Roman"/>
          <w:b/>
          <w:color w:val="000000" w:themeColor="text1"/>
          <w:sz w:val="24"/>
          <w:szCs w:val="24"/>
          <w:lang w:val="en-US"/>
        </w:rPr>
        <w:t>2. Microbiological Profile of Flours During Storage</w:t>
      </w:r>
    </w:p>
    <w:p w14:paraId="32767214" w14:textId="3A710050" w:rsidR="00973BF0" w:rsidRPr="00015070" w:rsidRDefault="00973BF0" w:rsidP="000A73D6">
      <w:pPr>
        <w:spacing w:after="0"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The various </w:t>
      </w:r>
      <w:proofErr w:type="spellStart"/>
      <w:r w:rsidRPr="00015070">
        <w:rPr>
          <w:rFonts w:ascii="Times New Roman" w:hAnsi="Times New Roman" w:cs="Times New Roman"/>
          <w:bCs/>
          <w:color w:val="000000" w:themeColor="text1"/>
          <w:sz w:val="24"/>
          <w:szCs w:val="24"/>
          <w:lang w:val="en-US"/>
        </w:rPr>
        <w:t>Misola</w:t>
      </w:r>
      <w:proofErr w:type="spellEnd"/>
      <w:r w:rsidR="007019C4" w:rsidRPr="00015070">
        <w:rPr>
          <w:rFonts w:ascii="Times New Roman" w:hAnsi="Times New Roman" w:cs="Times New Roman"/>
          <w:bCs/>
          <w:color w:val="000000" w:themeColor="text1"/>
          <w:sz w:val="24"/>
          <w:szCs w:val="24"/>
          <w:lang w:val="en-US"/>
        </w:rPr>
        <w:t>®</w:t>
      </w:r>
      <w:r w:rsidRPr="00015070">
        <w:rPr>
          <w:rFonts w:ascii="Times New Roman" w:hAnsi="Times New Roman" w:cs="Times New Roman"/>
          <w:bCs/>
          <w:color w:val="000000" w:themeColor="text1"/>
          <w:sz w:val="24"/>
          <w:szCs w:val="24"/>
          <w:lang w:val="en-US"/>
        </w:rPr>
        <w:t xml:space="preserve"> flour samples stored exhibit the microbiological profiles shown </w:t>
      </w:r>
      <w:r w:rsidR="00A57CC3" w:rsidRPr="00015070">
        <w:rPr>
          <w:rFonts w:ascii="Times New Roman" w:hAnsi="Times New Roman" w:cs="Times New Roman"/>
          <w:bCs/>
          <w:color w:val="000000" w:themeColor="text1"/>
          <w:sz w:val="24"/>
          <w:szCs w:val="24"/>
          <w:lang w:val="en-US"/>
        </w:rPr>
        <w:t>in Table 4 below</w:t>
      </w:r>
      <w:r w:rsidRPr="00015070">
        <w:rPr>
          <w:rFonts w:ascii="Times New Roman" w:hAnsi="Times New Roman" w:cs="Times New Roman"/>
          <w:bCs/>
          <w:color w:val="000000" w:themeColor="text1"/>
          <w:sz w:val="24"/>
          <w:szCs w:val="24"/>
          <w:lang w:val="en-US"/>
        </w:rPr>
        <w:t>.</w:t>
      </w:r>
    </w:p>
    <w:p w14:paraId="228A5F83" w14:textId="4E21B37A" w:rsidR="00A87E89" w:rsidRPr="00015070" w:rsidRDefault="00973BF0" w:rsidP="000A73D6">
      <w:pPr>
        <w:spacing w:after="0" w:line="36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b/>
          <w:color w:val="000000" w:themeColor="text1"/>
          <w:sz w:val="24"/>
          <w:szCs w:val="24"/>
          <w:lang w:val="en-US"/>
        </w:rPr>
        <w:t xml:space="preserve">Table </w:t>
      </w:r>
      <w:r w:rsidR="00A57CC3" w:rsidRPr="00015070">
        <w:rPr>
          <w:rFonts w:ascii="Times New Roman" w:hAnsi="Times New Roman" w:cs="Times New Roman"/>
          <w:b/>
          <w:color w:val="000000" w:themeColor="text1"/>
          <w:sz w:val="24"/>
          <w:szCs w:val="24"/>
          <w:lang w:val="en-US"/>
        </w:rPr>
        <w:t>4.</w:t>
      </w:r>
      <w:r w:rsidRPr="00015070">
        <w:rPr>
          <w:rFonts w:ascii="Times New Roman" w:hAnsi="Times New Roman" w:cs="Times New Roman"/>
          <w:bCs/>
          <w:color w:val="000000" w:themeColor="text1"/>
          <w:sz w:val="24"/>
          <w:szCs w:val="24"/>
          <w:lang w:val="en-US"/>
        </w:rPr>
        <w:t xml:space="preserve"> Microbiological Load of Flours During Storage</w:t>
      </w:r>
    </w:p>
    <w:tbl>
      <w:tblPr>
        <w:tblStyle w:val="Tableausimple11"/>
        <w:tblW w:w="9918" w:type="dxa"/>
        <w:tblLayout w:type="fixed"/>
        <w:tblLook w:val="04A0" w:firstRow="1" w:lastRow="0" w:firstColumn="1" w:lastColumn="0" w:noHBand="0" w:noVBand="1"/>
      </w:tblPr>
      <w:tblGrid>
        <w:gridCol w:w="1165"/>
        <w:gridCol w:w="1440"/>
        <w:gridCol w:w="1800"/>
        <w:gridCol w:w="1710"/>
        <w:gridCol w:w="1710"/>
        <w:gridCol w:w="2093"/>
      </w:tblGrid>
      <w:tr w:rsidR="00015070" w:rsidRPr="00015070" w14:paraId="7BCA2AFC" w14:textId="77777777" w:rsidTr="00417885">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605" w:type="dxa"/>
            <w:gridSpan w:val="2"/>
            <w:shd w:val="clear" w:color="auto" w:fill="D9E2F3" w:themeFill="accent1" w:themeFillTint="33"/>
          </w:tcPr>
          <w:p w14:paraId="737B87F6" w14:textId="77777777" w:rsidR="00183AA5" w:rsidRPr="00015070" w:rsidRDefault="00183AA5" w:rsidP="00417885">
            <w:pPr>
              <w:jc w:val="both"/>
              <w:rPr>
                <w:rFonts w:ascii="Times New Roman" w:hAnsi="Times New Roman" w:cs="Times New Roman"/>
                <w:b w:val="0"/>
                <w:bCs w:val="0"/>
                <w:color w:val="000000" w:themeColor="text1"/>
                <w:sz w:val="22"/>
                <w:szCs w:val="22"/>
              </w:rPr>
            </w:pPr>
          </w:p>
          <w:p w14:paraId="651BED37" w14:textId="77777777" w:rsidR="00183AA5" w:rsidRPr="00015070" w:rsidRDefault="00183AA5" w:rsidP="00417885">
            <w:pPr>
              <w:jc w:val="both"/>
              <w:rPr>
                <w:rFonts w:ascii="Times New Roman" w:hAnsi="Times New Roman" w:cs="Times New Roman"/>
                <w:b w:val="0"/>
                <w:bCs w:val="0"/>
                <w:color w:val="000000" w:themeColor="text1"/>
                <w:sz w:val="22"/>
                <w:szCs w:val="22"/>
              </w:rPr>
            </w:pPr>
            <w:r w:rsidRPr="00015070">
              <w:rPr>
                <w:rFonts w:ascii="Times New Roman" w:hAnsi="Times New Roman" w:cs="Times New Roman"/>
                <w:color w:val="000000" w:themeColor="text1"/>
                <w:sz w:val="22"/>
                <w:szCs w:val="22"/>
              </w:rPr>
              <w:t>Flours</w:t>
            </w:r>
          </w:p>
        </w:tc>
        <w:tc>
          <w:tcPr>
            <w:tcW w:w="1800" w:type="dxa"/>
            <w:shd w:val="clear" w:color="auto" w:fill="D9E2F3" w:themeFill="accent1" w:themeFillTint="33"/>
          </w:tcPr>
          <w:p w14:paraId="7B6832C4" w14:textId="77777777" w:rsidR="00183AA5" w:rsidRPr="00015070" w:rsidRDefault="00183AA5" w:rsidP="004178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2"/>
                <w:szCs w:val="22"/>
              </w:rPr>
            </w:pPr>
            <w:r w:rsidRPr="00015070">
              <w:rPr>
                <w:rFonts w:ascii="Times New Roman" w:hAnsi="Times New Roman" w:cs="Times New Roman"/>
                <w:color w:val="000000" w:themeColor="text1"/>
                <w:sz w:val="22"/>
                <w:szCs w:val="22"/>
              </w:rPr>
              <w:t>Bacteria Aerobic Mesophilic</w:t>
            </w:r>
          </w:p>
        </w:tc>
        <w:tc>
          <w:tcPr>
            <w:tcW w:w="1710" w:type="dxa"/>
            <w:shd w:val="clear" w:color="auto" w:fill="D9E2F3" w:themeFill="accent1" w:themeFillTint="33"/>
          </w:tcPr>
          <w:p w14:paraId="67707699" w14:textId="77777777" w:rsidR="00183AA5" w:rsidRPr="00015070" w:rsidRDefault="00183AA5" w:rsidP="004178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2"/>
                <w:szCs w:val="22"/>
              </w:rPr>
            </w:pPr>
            <w:r w:rsidRPr="00015070">
              <w:rPr>
                <w:rFonts w:ascii="Times New Roman" w:hAnsi="Times New Roman" w:cs="Times New Roman"/>
                <w:color w:val="000000" w:themeColor="text1"/>
                <w:sz w:val="22"/>
                <w:szCs w:val="22"/>
              </w:rPr>
              <w:t>Fecal coliforms</w:t>
            </w:r>
          </w:p>
        </w:tc>
        <w:tc>
          <w:tcPr>
            <w:tcW w:w="1710" w:type="dxa"/>
            <w:shd w:val="clear" w:color="auto" w:fill="D9E2F3" w:themeFill="accent1" w:themeFillTint="33"/>
          </w:tcPr>
          <w:p w14:paraId="6082ACEA" w14:textId="77777777" w:rsidR="00183AA5" w:rsidRPr="00015070" w:rsidRDefault="00183AA5" w:rsidP="004178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color w:val="000000" w:themeColor="text1"/>
                <w:sz w:val="22"/>
                <w:szCs w:val="22"/>
              </w:rPr>
            </w:pPr>
            <w:r w:rsidRPr="00015070">
              <w:rPr>
                <w:rFonts w:ascii="Times New Roman" w:hAnsi="Times New Roman" w:cs="Times New Roman"/>
                <w:i/>
                <w:iCs/>
                <w:color w:val="000000" w:themeColor="text1"/>
                <w:sz w:val="22"/>
                <w:szCs w:val="22"/>
              </w:rPr>
              <w:t>Escherichia coli</w:t>
            </w:r>
          </w:p>
        </w:tc>
        <w:tc>
          <w:tcPr>
            <w:tcW w:w="2093" w:type="dxa"/>
            <w:shd w:val="clear" w:color="auto" w:fill="D9E2F3" w:themeFill="accent1" w:themeFillTint="33"/>
          </w:tcPr>
          <w:p w14:paraId="103064FA" w14:textId="77777777" w:rsidR="00183AA5" w:rsidRPr="00015070" w:rsidRDefault="00183AA5" w:rsidP="004178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015070">
              <w:rPr>
                <w:rFonts w:ascii="Times New Roman" w:hAnsi="Times New Roman" w:cs="Times New Roman"/>
                <w:color w:val="000000" w:themeColor="text1"/>
                <w:sz w:val="22"/>
                <w:szCs w:val="22"/>
              </w:rPr>
              <w:t>Yeast and</w:t>
            </w:r>
          </w:p>
          <w:p w14:paraId="2B9E87BD" w14:textId="77777777" w:rsidR="00183AA5" w:rsidRPr="00015070" w:rsidRDefault="00183AA5" w:rsidP="004178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2"/>
                <w:szCs w:val="22"/>
              </w:rPr>
            </w:pPr>
            <w:r w:rsidRPr="00015070">
              <w:rPr>
                <w:rFonts w:ascii="Times New Roman" w:hAnsi="Times New Roman" w:cs="Times New Roman"/>
                <w:color w:val="000000" w:themeColor="text1"/>
                <w:sz w:val="22"/>
                <w:szCs w:val="22"/>
              </w:rPr>
              <w:t xml:space="preserve">Mold </w:t>
            </w:r>
          </w:p>
        </w:tc>
      </w:tr>
      <w:tr w:rsidR="00015070" w:rsidRPr="00015070" w14:paraId="79D3AFBA" w14:textId="77777777" w:rsidTr="00417885">
        <w:trPr>
          <w:trHeight w:val="231"/>
        </w:trPr>
        <w:tc>
          <w:tcPr>
            <w:cnfStyle w:val="001000000000" w:firstRow="0" w:lastRow="0" w:firstColumn="1" w:lastColumn="0" w:oddVBand="0" w:evenVBand="0" w:oddHBand="0" w:evenHBand="0" w:firstRowFirstColumn="0" w:firstRowLastColumn="0" w:lastRowFirstColumn="0" w:lastRowLastColumn="0"/>
            <w:tcW w:w="1165" w:type="dxa"/>
            <w:shd w:val="clear" w:color="auto" w:fill="F2F2F2" w:themeFill="background1" w:themeFillShade="F2"/>
          </w:tcPr>
          <w:p w14:paraId="15DFF0C6" w14:textId="77777777" w:rsidR="00183AA5" w:rsidRPr="00015070" w:rsidRDefault="00183AA5" w:rsidP="00417885">
            <w:pPr>
              <w:spacing w:line="360" w:lineRule="auto"/>
              <w:jc w:val="both"/>
              <w:rPr>
                <w:rFonts w:ascii="Times New Roman" w:hAnsi="Times New Roman" w:cs="Times New Roman"/>
                <w:bCs w:val="0"/>
                <w:color w:val="000000" w:themeColor="text1"/>
                <w:sz w:val="22"/>
                <w:szCs w:val="22"/>
              </w:rPr>
            </w:pPr>
            <w:r w:rsidRPr="00015070">
              <w:rPr>
                <w:rFonts w:ascii="Times New Roman" w:hAnsi="Times New Roman" w:cs="Times New Roman"/>
                <w:b w:val="0"/>
                <w:color w:val="000000" w:themeColor="text1"/>
                <w:sz w:val="22"/>
                <w:szCs w:val="22"/>
              </w:rPr>
              <w:t xml:space="preserve">October </w:t>
            </w:r>
          </w:p>
        </w:tc>
        <w:tc>
          <w:tcPr>
            <w:tcW w:w="1440" w:type="dxa"/>
            <w:shd w:val="clear" w:color="auto" w:fill="F2F2F2" w:themeFill="background1" w:themeFillShade="F2"/>
          </w:tcPr>
          <w:p w14:paraId="4B248CB5"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FIF-T0</w:t>
            </w:r>
          </w:p>
        </w:tc>
        <w:tc>
          <w:tcPr>
            <w:tcW w:w="1800" w:type="dxa"/>
            <w:shd w:val="clear" w:color="auto" w:fill="F2F2F2" w:themeFill="background1" w:themeFillShade="F2"/>
          </w:tcPr>
          <w:p w14:paraId="5436DF1C"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1710" w:type="dxa"/>
            <w:shd w:val="clear" w:color="auto" w:fill="F2F2F2" w:themeFill="background1" w:themeFillShade="F2"/>
          </w:tcPr>
          <w:p w14:paraId="581A0977"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1710" w:type="dxa"/>
            <w:shd w:val="clear" w:color="auto" w:fill="F2F2F2" w:themeFill="background1" w:themeFillShade="F2"/>
          </w:tcPr>
          <w:p w14:paraId="79EA0154"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2093" w:type="dxa"/>
            <w:shd w:val="clear" w:color="auto" w:fill="F2F2F2" w:themeFill="background1" w:themeFillShade="F2"/>
          </w:tcPr>
          <w:p w14:paraId="2141F153"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r>
      <w:tr w:rsidR="00015070" w:rsidRPr="00015070" w14:paraId="2BD7EF6F" w14:textId="77777777" w:rsidTr="00417885">
        <w:trPr>
          <w:trHeight w:val="231"/>
        </w:trPr>
        <w:tc>
          <w:tcPr>
            <w:cnfStyle w:val="001000000000" w:firstRow="0" w:lastRow="0" w:firstColumn="1" w:lastColumn="0" w:oddVBand="0" w:evenVBand="0" w:oddHBand="0" w:evenHBand="0" w:firstRowFirstColumn="0" w:firstRowLastColumn="0" w:lastRowFirstColumn="0" w:lastRowLastColumn="0"/>
            <w:tcW w:w="1165" w:type="dxa"/>
            <w:vMerge w:val="restart"/>
          </w:tcPr>
          <w:p w14:paraId="490963B6" w14:textId="77777777" w:rsidR="00183AA5" w:rsidRPr="00015070" w:rsidRDefault="00183AA5" w:rsidP="00417885">
            <w:pPr>
              <w:spacing w:line="360" w:lineRule="auto"/>
              <w:jc w:val="both"/>
              <w:rPr>
                <w:rFonts w:ascii="Times New Roman" w:hAnsi="Times New Roman" w:cs="Times New Roman"/>
                <w:bCs w:val="0"/>
                <w:color w:val="000000" w:themeColor="text1"/>
                <w:sz w:val="22"/>
                <w:szCs w:val="22"/>
              </w:rPr>
            </w:pPr>
          </w:p>
          <w:p w14:paraId="084321C0" w14:textId="77777777" w:rsidR="00183AA5" w:rsidRPr="00015070" w:rsidRDefault="00183AA5" w:rsidP="00417885">
            <w:pPr>
              <w:spacing w:line="360" w:lineRule="auto"/>
              <w:jc w:val="both"/>
              <w:rPr>
                <w:rFonts w:ascii="Times New Roman" w:hAnsi="Times New Roman" w:cs="Times New Roman"/>
                <w:bCs w:val="0"/>
                <w:color w:val="000000" w:themeColor="text1"/>
                <w:sz w:val="22"/>
                <w:szCs w:val="22"/>
              </w:rPr>
            </w:pPr>
          </w:p>
          <w:p w14:paraId="1272740E" w14:textId="77777777" w:rsidR="00183AA5" w:rsidRPr="00015070" w:rsidRDefault="00183AA5" w:rsidP="00417885">
            <w:pPr>
              <w:spacing w:line="360" w:lineRule="auto"/>
              <w:jc w:val="both"/>
              <w:rPr>
                <w:rFonts w:ascii="Times New Roman" w:hAnsi="Times New Roman" w:cs="Times New Roman"/>
                <w:bCs w:val="0"/>
                <w:color w:val="000000" w:themeColor="text1"/>
                <w:sz w:val="22"/>
                <w:szCs w:val="22"/>
              </w:rPr>
            </w:pPr>
            <w:r w:rsidRPr="00015070">
              <w:rPr>
                <w:rFonts w:ascii="Times New Roman" w:hAnsi="Times New Roman" w:cs="Times New Roman"/>
                <w:b w:val="0"/>
                <w:color w:val="000000" w:themeColor="text1"/>
                <w:sz w:val="22"/>
                <w:szCs w:val="22"/>
              </w:rPr>
              <w:t xml:space="preserve">January </w:t>
            </w:r>
          </w:p>
        </w:tc>
        <w:tc>
          <w:tcPr>
            <w:tcW w:w="1440" w:type="dxa"/>
          </w:tcPr>
          <w:p w14:paraId="4BDB047E"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FIF-EA-T3</w:t>
            </w:r>
          </w:p>
        </w:tc>
        <w:tc>
          <w:tcPr>
            <w:tcW w:w="1800" w:type="dxa"/>
          </w:tcPr>
          <w:p w14:paraId="2C483396"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1710" w:type="dxa"/>
          </w:tcPr>
          <w:p w14:paraId="68EFC4DA"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1710" w:type="dxa"/>
          </w:tcPr>
          <w:p w14:paraId="515FC459"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2093" w:type="dxa"/>
          </w:tcPr>
          <w:p w14:paraId="61FC6C69"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r>
      <w:tr w:rsidR="00015070" w:rsidRPr="00015070" w14:paraId="24CDF210" w14:textId="77777777" w:rsidTr="00417885">
        <w:trPr>
          <w:trHeight w:val="231"/>
        </w:trPr>
        <w:tc>
          <w:tcPr>
            <w:cnfStyle w:val="001000000000" w:firstRow="0" w:lastRow="0" w:firstColumn="1" w:lastColumn="0" w:oddVBand="0" w:evenVBand="0" w:oddHBand="0" w:evenHBand="0" w:firstRowFirstColumn="0" w:firstRowLastColumn="0" w:lastRowFirstColumn="0" w:lastRowLastColumn="0"/>
            <w:tcW w:w="1165" w:type="dxa"/>
            <w:vMerge/>
            <w:shd w:val="clear" w:color="auto" w:fill="F2F2F2" w:themeFill="background1" w:themeFillShade="F2"/>
          </w:tcPr>
          <w:p w14:paraId="16092F66" w14:textId="77777777" w:rsidR="00183AA5" w:rsidRPr="00015070" w:rsidRDefault="00183AA5" w:rsidP="00417885">
            <w:pPr>
              <w:spacing w:line="360" w:lineRule="auto"/>
              <w:jc w:val="both"/>
              <w:rPr>
                <w:rFonts w:ascii="Times New Roman" w:hAnsi="Times New Roman" w:cs="Times New Roman"/>
                <w:bCs w:val="0"/>
                <w:color w:val="000000" w:themeColor="text1"/>
                <w:sz w:val="22"/>
                <w:szCs w:val="22"/>
              </w:rPr>
            </w:pPr>
          </w:p>
        </w:tc>
        <w:tc>
          <w:tcPr>
            <w:tcW w:w="1440" w:type="dxa"/>
            <w:shd w:val="clear" w:color="auto" w:fill="F2F2F2" w:themeFill="background1" w:themeFillShade="F2"/>
          </w:tcPr>
          <w:p w14:paraId="796C06C3"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FIF-EP-T3</w:t>
            </w:r>
          </w:p>
        </w:tc>
        <w:tc>
          <w:tcPr>
            <w:tcW w:w="1800" w:type="dxa"/>
            <w:shd w:val="clear" w:color="auto" w:fill="F2F2F2" w:themeFill="background1" w:themeFillShade="F2"/>
          </w:tcPr>
          <w:p w14:paraId="404C5536"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1710" w:type="dxa"/>
            <w:shd w:val="clear" w:color="auto" w:fill="F2F2F2" w:themeFill="background1" w:themeFillShade="F2"/>
          </w:tcPr>
          <w:p w14:paraId="4B6DC186"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1710" w:type="dxa"/>
            <w:shd w:val="clear" w:color="auto" w:fill="F2F2F2" w:themeFill="background1" w:themeFillShade="F2"/>
          </w:tcPr>
          <w:p w14:paraId="4CA60167"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2093" w:type="dxa"/>
            <w:shd w:val="clear" w:color="auto" w:fill="F2F2F2" w:themeFill="background1" w:themeFillShade="F2"/>
          </w:tcPr>
          <w:p w14:paraId="1790B073"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r>
      <w:tr w:rsidR="00015070" w:rsidRPr="00015070" w14:paraId="08971871" w14:textId="77777777" w:rsidTr="00417885">
        <w:trPr>
          <w:trHeight w:val="231"/>
        </w:trPr>
        <w:tc>
          <w:tcPr>
            <w:cnfStyle w:val="001000000000" w:firstRow="0" w:lastRow="0" w:firstColumn="1" w:lastColumn="0" w:oddVBand="0" w:evenVBand="0" w:oddHBand="0" w:evenHBand="0" w:firstRowFirstColumn="0" w:firstRowLastColumn="0" w:lastRowFirstColumn="0" w:lastRowLastColumn="0"/>
            <w:tcW w:w="1165" w:type="dxa"/>
            <w:vMerge/>
          </w:tcPr>
          <w:p w14:paraId="0BCC11D4" w14:textId="77777777" w:rsidR="00183AA5" w:rsidRPr="00015070" w:rsidRDefault="00183AA5" w:rsidP="00417885">
            <w:pPr>
              <w:spacing w:line="360" w:lineRule="auto"/>
              <w:jc w:val="both"/>
              <w:rPr>
                <w:rFonts w:ascii="Times New Roman" w:hAnsi="Times New Roman" w:cs="Times New Roman"/>
                <w:bCs w:val="0"/>
                <w:color w:val="000000" w:themeColor="text1"/>
                <w:sz w:val="22"/>
                <w:szCs w:val="22"/>
              </w:rPr>
            </w:pPr>
          </w:p>
        </w:tc>
        <w:tc>
          <w:tcPr>
            <w:tcW w:w="1440" w:type="dxa"/>
          </w:tcPr>
          <w:p w14:paraId="2ED4A678"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FIF-EA-T3-C</w:t>
            </w:r>
          </w:p>
        </w:tc>
        <w:tc>
          <w:tcPr>
            <w:tcW w:w="1800" w:type="dxa"/>
          </w:tcPr>
          <w:p w14:paraId="2F0302C4"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1710" w:type="dxa"/>
          </w:tcPr>
          <w:p w14:paraId="218DE362"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1710" w:type="dxa"/>
          </w:tcPr>
          <w:p w14:paraId="5B58F9B2"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2093" w:type="dxa"/>
          </w:tcPr>
          <w:p w14:paraId="7F700C5C"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5.58 .10</w:t>
            </w:r>
            <w:r w:rsidRPr="00015070">
              <w:rPr>
                <w:rFonts w:ascii="Times New Roman" w:hAnsi="Times New Roman" w:cs="Times New Roman"/>
                <w:bCs/>
                <w:color w:val="000000" w:themeColor="text1"/>
                <w:sz w:val="22"/>
                <w:szCs w:val="22"/>
                <w:vertAlign w:val="superscript"/>
              </w:rPr>
              <w:t>2</w:t>
            </w:r>
          </w:p>
        </w:tc>
      </w:tr>
      <w:tr w:rsidR="00015070" w:rsidRPr="00015070" w14:paraId="03436118" w14:textId="77777777" w:rsidTr="00417885">
        <w:trPr>
          <w:trHeight w:val="231"/>
        </w:trPr>
        <w:tc>
          <w:tcPr>
            <w:cnfStyle w:val="001000000000" w:firstRow="0" w:lastRow="0" w:firstColumn="1" w:lastColumn="0" w:oddVBand="0" w:evenVBand="0" w:oddHBand="0" w:evenHBand="0" w:firstRowFirstColumn="0" w:firstRowLastColumn="0" w:lastRowFirstColumn="0" w:lastRowLastColumn="0"/>
            <w:tcW w:w="1165" w:type="dxa"/>
            <w:vMerge/>
            <w:shd w:val="clear" w:color="auto" w:fill="F2F2F2" w:themeFill="background1" w:themeFillShade="F2"/>
          </w:tcPr>
          <w:p w14:paraId="279153A3" w14:textId="77777777" w:rsidR="00183AA5" w:rsidRPr="00015070" w:rsidRDefault="00183AA5" w:rsidP="00417885">
            <w:pPr>
              <w:spacing w:line="360" w:lineRule="auto"/>
              <w:jc w:val="both"/>
              <w:rPr>
                <w:rFonts w:ascii="Times New Roman" w:hAnsi="Times New Roman" w:cs="Times New Roman"/>
                <w:bCs w:val="0"/>
                <w:color w:val="000000" w:themeColor="text1"/>
                <w:sz w:val="22"/>
                <w:szCs w:val="22"/>
              </w:rPr>
            </w:pPr>
          </w:p>
        </w:tc>
        <w:tc>
          <w:tcPr>
            <w:tcW w:w="1440" w:type="dxa"/>
            <w:shd w:val="clear" w:color="auto" w:fill="F2F2F2" w:themeFill="background1" w:themeFillShade="F2"/>
          </w:tcPr>
          <w:p w14:paraId="0D424A9E"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FIF-EP-T3-C</w:t>
            </w:r>
          </w:p>
        </w:tc>
        <w:tc>
          <w:tcPr>
            <w:tcW w:w="1800" w:type="dxa"/>
            <w:shd w:val="clear" w:color="auto" w:fill="F2F2F2" w:themeFill="background1" w:themeFillShade="F2"/>
          </w:tcPr>
          <w:p w14:paraId="43353DEE"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1710" w:type="dxa"/>
            <w:shd w:val="clear" w:color="auto" w:fill="F2F2F2" w:themeFill="background1" w:themeFillShade="F2"/>
          </w:tcPr>
          <w:p w14:paraId="6C95A594"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10</w:t>
            </w:r>
          </w:p>
        </w:tc>
        <w:tc>
          <w:tcPr>
            <w:tcW w:w="1710" w:type="dxa"/>
            <w:shd w:val="clear" w:color="auto" w:fill="F2F2F2" w:themeFill="background1" w:themeFillShade="F2"/>
          </w:tcPr>
          <w:p w14:paraId="43FE21F7"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2093" w:type="dxa"/>
            <w:shd w:val="clear" w:color="auto" w:fill="F2F2F2" w:themeFill="background1" w:themeFillShade="F2"/>
          </w:tcPr>
          <w:p w14:paraId="0769DCAC"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10</w:t>
            </w:r>
          </w:p>
        </w:tc>
      </w:tr>
      <w:tr w:rsidR="00015070" w:rsidRPr="00015070" w14:paraId="39076318" w14:textId="77777777" w:rsidTr="00417885">
        <w:trPr>
          <w:trHeight w:val="231"/>
        </w:trPr>
        <w:tc>
          <w:tcPr>
            <w:cnfStyle w:val="001000000000" w:firstRow="0" w:lastRow="0" w:firstColumn="1" w:lastColumn="0" w:oddVBand="0" w:evenVBand="0" w:oddHBand="0" w:evenHBand="0" w:firstRowFirstColumn="0" w:firstRowLastColumn="0" w:lastRowFirstColumn="0" w:lastRowLastColumn="0"/>
            <w:tcW w:w="1165" w:type="dxa"/>
            <w:vMerge w:val="restart"/>
          </w:tcPr>
          <w:p w14:paraId="4AF08872" w14:textId="77777777" w:rsidR="00183AA5" w:rsidRPr="00015070" w:rsidRDefault="00183AA5" w:rsidP="00417885">
            <w:pPr>
              <w:spacing w:line="360" w:lineRule="auto"/>
              <w:jc w:val="both"/>
              <w:rPr>
                <w:rFonts w:ascii="Times New Roman" w:hAnsi="Times New Roman" w:cs="Times New Roman"/>
                <w:bCs w:val="0"/>
                <w:color w:val="000000" w:themeColor="text1"/>
                <w:sz w:val="22"/>
                <w:szCs w:val="22"/>
              </w:rPr>
            </w:pPr>
          </w:p>
          <w:p w14:paraId="08AF5623" w14:textId="77777777" w:rsidR="00183AA5" w:rsidRPr="00015070" w:rsidRDefault="00183AA5" w:rsidP="00417885">
            <w:pPr>
              <w:spacing w:line="360" w:lineRule="auto"/>
              <w:jc w:val="both"/>
              <w:rPr>
                <w:rFonts w:ascii="Times New Roman" w:hAnsi="Times New Roman" w:cs="Times New Roman"/>
                <w:bCs w:val="0"/>
                <w:color w:val="000000" w:themeColor="text1"/>
                <w:sz w:val="22"/>
                <w:szCs w:val="22"/>
              </w:rPr>
            </w:pPr>
            <w:r w:rsidRPr="00015070">
              <w:rPr>
                <w:rFonts w:ascii="Times New Roman" w:hAnsi="Times New Roman" w:cs="Times New Roman"/>
                <w:b w:val="0"/>
                <w:color w:val="000000" w:themeColor="text1"/>
                <w:sz w:val="22"/>
                <w:szCs w:val="22"/>
              </w:rPr>
              <w:t xml:space="preserve">April </w:t>
            </w:r>
          </w:p>
        </w:tc>
        <w:tc>
          <w:tcPr>
            <w:tcW w:w="1440" w:type="dxa"/>
          </w:tcPr>
          <w:p w14:paraId="4988233A"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FIF-EA-T6</w:t>
            </w:r>
          </w:p>
        </w:tc>
        <w:tc>
          <w:tcPr>
            <w:tcW w:w="1800" w:type="dxa"/>
          </w:tcPr>
          <w:p w14:paraId="06BC4FDA"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1710" w:type="dxa"/>
          </w:tcPr>
          <w:p w14:paraId="01500144"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1710" w:type="dxa"/>
          </w:tcPr>
          <w:p w14:paraId="754D417A"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2093" w:type="dxa"/>
          </w:tcPr>
          <w:p w14:paraId="2FD5D2DE"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r>
      <w:tr w:rsidR="00015070" w:rsidRPr="00015070" w14:paraId="01CED7D9" w14:textId="77777777" w:rsidTr="00417885">
        <w:trPr>
          <w:trHeight w:val="231"/>
        </w:trPr>
        <w:tc>
          <w:tcPr>
            <w:cnfStyle w:val="001000000000" w:firstRow="0" w:lastRow="0" w:firstColumn="1" w:lastColumn="0" w:oddVBand="0" w:evenVBand="0" w:oddHBand="0" w:evenHBand="0" w:firstRowFirstColumn="0" w:firstRowLastColumn="0" w:lastRowFirstColumn="0" w:lastRowLastColumn="0"/>
            <w:tcW w:w="1165" w:type="dxa"/>
            <w:vMerge/>
            <w:shd w:val="clear" w:color="auto" w:fill="F2F2F2" w:themeFill="background1" w:themeFillShade="F2"/>
          </w:tcPr>
          <w:p w14:paraId="6B715E64" w14:textId="77777777" w:rsidR="00183AA5" w:rsidRPr="00015070" w:rsidRDefault="00183AA5" w:rsidP="00417885">
            <w:pPr>
              <w:spacing w:line="360" w:lineRule="auto"/>
              <w:jc w:val="both"/>
              <w:rPr>
                <w:rFonts w:ascii="Times New Roman" w:hAnsi="Times New Roman" w:cs="Times New Roman"/>
                <w:bCs w:val="0"/>
                <w:color w:val="000000" w:themeColor="text1"/>
                <w:sz w:val="22"/>
                <w:szCs w:val="22"/>
              </w:rPr>
            </w:pPr>
          </w:p>
        </w:tc>
        <w:tc>
          <w:tcPr>
            <w:tcW w:w="1440" w:type="dxa"/>
            <w:shd w:val="clear" w:color="auto" w:fill="F2F2F2" w:themeFill="background1" w:themeFillShade="F2"/>
          </w:tcPr>
          <w:p w14:paraId="773F17E3"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FIF-EP-T6</w:t>
            </w:r>
          </w:p>
        </w:tc>
        <w:tc>
          <w:tcPr>
            <w:tcW w:w="1800" w:type="dxa"/>
            <w:shd w:val="clear" w:color="auto" w:fill="F2F2F2" w:themeFill="background1" w:themeFillShade="F2"/>
          </w:tcPr>
          <w:p w14:paraId="4A845F84"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1710" w:type="dxa"/>
            <w:shd w:val="clear" w:color="auto" w:fill="F2F2F2" w:themeFill="background1" w:themeFillShade="F2"/>
          </w:tcPr>
          <w:p w14:paraId="53513520"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1710" w:type="dxa"/>
            <w:shd w:val="clear" w:color="auto" w:fill="F2F2F2" w:themeFill="background1" w:themeFillShade="F2"/>
          </w:tcPr>
          <w:p w14:paraId="6D6FF539"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c>
          <w:tcPr>
            <w:tcW w:w="2093" w:type="dxa"/>
            <w:shd w:val="clear" w:color="auto" w:fill="F2F2F2" w:themeFill="background1" w:themeFillShade="F2"/>
          </w:tcPr>
          <w:p w14:paraId="7B1F7B6C"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 xml:space="preserve">none </w:t>
            </w:r>
          </w:p>
        </w:tc>
      </w:tr>
      <w:tr w:rsidR="00015070" w:rsidRPr="00015070" w14:paraId="2F0674F3" w14:textId="77777777" w:rsidTr="00417885">
        <w:trPr>
          <w:trHeight w:val="231"/>
        </w:trPr>
        <w:tc>
          <w:tcPr>
            <w:cnfStyle w:val="001000000000" w:firstRow="0" w:lastRow="0" w:firstColumn="1" w:lastColumn="0" w:oddVBand="0" w:evenVBand="0" w:oddHBand="0" w:evenHBand="0" w:firstRowFirstColumn="0" w:firstRowLastColumn="0" w:lastRowFirstColumn="0" w:lastRowLastColumn="0"/>
            <w:tcW w:w="2605" w:type="dxa"/>
            <w:gridSpan w:val="2"/>
          </w:tcPr>
          <w:p w14:paraId="773B4BD0" w14:textId="77777777" w:rsidR="00183AA5" w:rsidRPr="00015070" w:rsidRDefault="00183AA5" w:rsidP="00417885">
            <w:pPr>
              <w:spacing w:line="360" w:lineRule="auto"/>
              <w:jc w:val="both"/>
              <w:rPr>
                <w:rFonts w:ascii="Times New Roman" w:hAnsi="Times New Roman" w:cs="Times New Roman"/>
                <w:b w:val="0"/>
                <w:color w:val="000000" w:themeColor="text1"/>
                <w:sz w:val="22"/>
                <w:szCs w:val="22"/>
              </w:rPr>
            </w:pPr>
            <w:r w:rsidRPr="00015070">
              <w:rPr>
                <w:rFonts w:ascii="Times New Roman" w:hAnsi="Times New Roman" w:cs="Times New Roman"/>
                <w:b w:val="0"/>
                <w:color w:val="000000" w:themeColor="text1"/>
                <w:sz w:val="22"/>
                <w:szCs w:val="22"/>
              </w:rPr>
              <w:t>Methods</w:t>
            </w:r>
          </w:p>
        </w:tc>
        <w:tc>
          <w:tcPr>
            <w:tcW w:w="1800" w:type="dxa"/>
          </w:tcPr>
          <w:p w14:paraId="38D85C4F"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ISO 48331:2013</w:t>
            </w:r>
          </w:p>
        </w:tc>
        <w:tc>
          <w:tcPr>
            <w:tcW w:w="1710" w:type="dxa"/>
          </w:tcPr>
          <w:p w14:paraId="5F5A02E9"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ISO 4831:2006</w:t>
            </w:r>
          </w:p>
        </w:tc>
        <w:tc>
          <w:tcPr>
            <w:tcW w:w="1710" w:type="dxa"/>
          </w:tcPr>
          <w:p w14:paraId="1B2E9809"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ISO 7251:2005</w:t>
            </w:r>
          </w:p>
        </w:tc>
        <w:tc>
          <w:tcPr>
            <w:tcW w:w="2093" w:type="dxa"/>
          </w:tcPr>
          <w:p w14:paraId="658B609E"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2"/>
                <w:szCs w:val="22"/>
              </w:rPr>
            </w:pPr>
            <w:r w:rsidRPr="00015070">
              <w:rPr>
                <w:rFonts w:ascii="Times New Roman" w:hAnsi="Times New Roman" w:cs="Times New Roman"/>
                <w:bCs/>
                <w:color w:val="000000" w:themeColor="text1"/>
                <w:sz w:val="22"/>
                <w:szCs w:val="22"/>
              </w:rPr>
              <w:t>ISO 21527- 1:2008</w:t>
            </w:r>
          </w:p>
        </w:tc>
      </w:tr>
      <w:tr w:rsidR="00015070" w:rsidRPr="00015070" w14:paraId="19CA6ECB" w14:textId="77777777" w:rsidTr="00417885">
        <w:trPr>
          <w:trHeight w:val="64"/>
        </w:trPr>
        <w:tc>
          <w:tcPr>
            <w:cnfStyle w:val="001000000000" w:firstRow="0" w:lastRow="0" w:firstColumn="1" w:lastColumn="0" w:oddVBand="0" w:evenVBand="0" w:oddHBand="0" w:evenHBand="0" w:firstRowFirstColumn="0" w:firstRowLastColumn="0" w:lastRowFirstColumn="0" w:lastRowLastColumn="0"/>
            <w:tcW w:w="2605" w:type="dxa"/>
            <w:gridSpan w:val="2"/>
            <w:shd w:val="clear" w:color="auto" w:fill="F2F2F2" w:themeFill="background1" w:themeFillShade="F2"/>
          </w:tcPr>
          <w:p w14:paraId="25C1692B" w14:textId="77777777" w:rsidR="00183AA5" w:rsidRPr="00015070" w:rsidRDefault="00183AA5" w:rsidP="00417885">
            <w:pPr>
              <w:spacing w:line="360" w:lineRule="auto"/>
              <w:jc w:val="both"/>
              <w:rPr>
                <w:rFonts w:ascii="Times New Roman" w:hAnsi="Times New Roman" w:cs="Times New Roman"/>
                <w:bCs w:val="0"/>
                <w:color w:val="000000" w:themeColor="text1"/>
                <w:sz w:val="22"/>
                <w:szCs w:val="22"/>
              </w:rPr>
            </w:pPr>
            <w:r w:rsidRPr="00015070">
              <w:rPr>
                <w:rFonts w:ascii="Times New Roman" w:hAnsi="Times New Roman" w:cs="Times New Roman"/>
                <w:b w:val="0"/>
                <w:color w:val="000000" w:themeColor="text1"/>
                <w:sz w:val="22"/>
                <w:szCs w:val="22"/>
              </w:rPr>
              <w:lastRenderedPageBreak/>
              <w:t xml:space="preserve">References/Nigerien standard </w:t>
            </w:r>
            <w:r w:rsidRPr="00015070">
              <w:rPr>
                <w:rFonts w:ascii="Times New Roman" w:hAnsi="Times New Roman" w:cs="Times New Roman"/>
                <w:b w:val="0"/>
                <w:bCs w:val="0"/>
                <w:color w:val="000000" w:themeColor="text1"/>
                <w:sz w:val="22"/>
                <w:szCs w:val="22"/>
              </w:rPr>
              <w:t>NN 01-010-02</w:t>
            </w:r>
          </w:p>
        </w:tc>
        <w:tc>
          <w:tcPr>
            <w:tcW w:w="1800" w:type="dxa"/>
            <w:shd w:val="clear" w:color="auto" w:fill="F2F2F2" w:themeFill="background1" w:themeFillShade="F2"/>
          </w:tcPr>
          <w:p w14:paraId="07EC56C3"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vertAlign w:val="superscript"/>
              </w:rPr>
            </w:pPr>
            <w:r w:rsidRPr="00015070">
              <w:rPr>
                <w:rFonts w:ascii="Times New Roman" w:hAnsi="Times New Roman" w:cs="Times New Roman"/>
                <w:color w:val="000000" w:themeColor="text1"/>
                <w:sz w:val="22"/>
                <w:szCs w:val="22"/>
              </w:rPr>
              <w:t>˂1.10</w:t>
            </w:r>
            <w:r w:rsidRPr="00015070">
              <w:rPr>
                <w:rFonts w:ascii="Times New Roman" w:hAnsi="Times New Roman" w:cs="Times New Roman"/>
                <w:color w:val="000000" w:themeColor="text1"/>
                <w:sz w:val="22"/>
                <w:szCs w:val="22"/>
                <w:vertAlign w:val="superscript"/>
              </w:rPr>
              <w:t>5</w:t>
            </w:r>
          </w:p>
          <w:p w14:paraId="10C93CE7"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015070">
              <w:rPr>
                <w:rFonts w:ascii="Times New Roman" w:hAnsi="Times New Roman" w:cs="Times New Roman"/>
                <w:color w:val="000000" w:themeColor="text1"/>
                <w:sz w:val="22"/>
                <w:szCs w:val="22"/>
              </w:rPr>
              <w:t>CFU/g</w:t>
            </w:r>
          </w:p>
        </w:tc>
        <w:tc>
          <w:tcPr>
            <w:tcW w:w="1710" w:type="dxa"/>
            <w:shd w:val="clear" w:color="auto" w:fill="F2F2F2" w:themeFill="background1" w:themeFillShade="F2"/>
          </w:tcPr>
          <w:p w14:paraId="13321707"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015070">
              <w:rPr>
                <w:rFonts w:ascii="Times New Roman" w:hAnsi="Times New Roman" w:cs="Times New Roman"/>
                <w:color w:val="000000" w:themeColor="text1"/>
                <w:sz w:val="22"/>
                <w:szCs w:val="22"/>
              </w:rPr>
              <w:t>˂1.10</w:t>
            </w:r>
            <w:r w:rsidRPr="00015070">
              <w:rPr>
                <w:rFonts w:ascii="Times New Roman" w:hAnsi="Times New Roman" w:cs="Times New Roman"/>
                <w:color w:val="000000" w:themeColor="text1"/>
                <w:sz w:val="22"/>
                <w:szCs w:val="22"/>
                <w:vertAlign w:val="superscript"/>
              </w:rPr>
              <w:t xml:space="preserve">2 </w:t>
            </w:r>
            <w:r w:rsidRPr="00015070">
              <w:rPr>
                <w:rFonts w:ascii="Times New Roman" w:hAnsi="Times New Roman" w:cs="Times New Roman"/>
                <w:color w:val="000000" w:themeColor="text1"/>
                <w:sz w:val="22"/>
                <w:szCs w:val="22"/>
              </w:rPr>
              <w:t>CFU/g</w:t>
            </w:r>
          </w:p>
        </w:tc>
        <w:tc>
          <w:tcPr>
            <w:tcW w:w="1710" w:type="dxa"/>
            <w:shd w:val="clear" w:color="auto" w:fill="F2F2F2" w:themeFill="background1" w:themeFillShade="F2"/>
          </w:tcPr>
          <w:p w14:paraId="03AA285C"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015070">
              <w:rPr>
                <w:rFonts w:ascii="Times New Roman" w:hAnsi="Times New Roman" w:cs="Times New Roman"/>
                <w:color w:val="000000" w:themeColor="text1"/>
                <w:sz w:val="22"/>
                <w:szCs w:val="22"/>
              </w:rPr>
              <w:t>˂1.10</w:t>
            </w:r>
            <w:r w:rsidRPr="00015070">
              <w:rPr>
                <w:rFonts w:ascii="Times New Roman" w:hAnsi="Times New Roman" w:cs="Times New Roman"/>
                <w:color w:val="000000" w:themeColor="text1"/>
                <w:sz w:val="22"/>
                <w:szCs w:val="22"/>
                <w:vertAlign w:val="superscript"/>
              </w:rPr>
              <w:t>1</w:t>
            </w:r>
            <w:r w:rsidRPr="00015070">
              <w:rPr>
                <w:rFonts w:ascii="Times New Roman" w:hAnsi="Times New Roman" w:cs="Times New Roman"/>
                <w:color w:val="000000" w:themeColor="text1"/>
                <w:sz w:val="22"/>
                <w:szCs w:val="22"/>
              </w:rPr>
              <w:t xml:space="preserve"> CFU/g</w:t>
            </w:r>
          </w:p>
        </w:tc>
        <w:tc>
          <w:tcPr>
            <w:tcW w:w="2093" w:type="dxa"/>
            <w:shd w:val="clear" w:color="auto" w:fill="F2F2F2" w:themeFill="background1" w:themeFillShade="F2"/>
          </w:tcPr>
          <w:p w14:paraId="31DB0978"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r w:rsidRPr="00015070">
              <w:rPr>
                <w:rFonts w:ascii="Times New Roman" w:hAnsi="Times New Roman" w:cs="Times New Roman"/>
                <w:color w:val="000000" w:themeColor="text1"/>
                <w:sz w:val="22"/>
                <w:szCs w:val="22"/>
              </w:rPr>
              <w:t>˂1.10</w:t>
            </w:r>
            <w:r w:rsidRPr="00015070">
              <w:rPr>
                <w:rFonts w:ascii="Times New Roman" w:hAnsi="Times New Roman" w:cs="Times New Roman"/>
                <w:color w:val="000000" w:themeColor="text1"/>
                <w:sz w:val="22"/>
                <w:szCs w:val="22"/>
                <w:vertAlign w:val="superscript"/>
              </w:rPr>
              <w:t>3</w:t>
            </w:r>
            <w:r w:rsidRPr="00015070">
              <w:rPr>
                <w:rFonts w:ascii="Times New Roman" w:hAnsi="Times New Roman" w:cs="Times New Roman"/>
                <w:color w:val="000000" w:themeColor="text1"/>
                <w:sz w:val="22"/>
                <w:szCs w:val="22"/>
              </w:rPr>
              <w:t xml:space="preserve"> </w:t>
            </w:r>
          </w:p>
          <w:p w14:paraId="3B071557" w14:textId="77777777" w:rsidR="00183AA5" w:rsidRPr="00015070"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2"/>
                <w:szCs w:val="22"/>
              </w:rPr>
            </w:pPr>
            <w:r w:rsidRPr="00015070">
              <w:rPr>
                <w:rFonts w:ascii="Times New Roman" w:hAnsi="Times New Roman" w:cs="Times New Roman"/>
                <w:color w:val="000000" w:themeColor="text1"/>
                <w:sz w:val="22"/>
                <w:szCs w:val="22"/>
              </w:rPr>
              <w:t>CFU/g</w:t>
            </w:r>
          </w:p>
        </w:tc>
      </w:tr>
    </w:tbl>
    <w:p w14:paraId="793046E5" w14:textId="6D529F42" w:rsidR="00973BF0" w:rsidRPr="00015070" w:rsidRDefault="00973BF0" w:rsidP="000A73D6">
      <w:pPr>
        <w:spacing w:after="0" w:line="360" w:lineRule="auto"/>
        <w:ind w:right="21"/>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FIF: Fortified Infant Flour; T: Time; EA: Aluminum Packaging; EP: Plastic Packaging; C: Community % = percentage</w:t>
      </w:r>
    </w:p>
    <w:p w14:paraId="4C1CA7A4" w14:textId="7B2F444E" w:rsidR="00973BF0" w:rsidRPr="00015070" w:rsidRDefault="00973BF0" w:rsidP="000A73D6">
      <w:pPr>
        <w:spacing w:after="0" w:line="360" w:lineRule="auto"/>
        <w:ind w:right="21"/>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The microbiological quality of the analyzed flours is generally satisfactory and complies with the requirements of the Nigerian standard NN 01-010-02. At the initial time (October), all </w:t>
      </w:r>
      <w:r w:rsidR="00F325EB" w:rsidRPr="00015070">
        <w:rPr>
          <w:rFonts w:ascii="Times New Roman" w:hAnsi="Times New Roman" w:cs="Times New Roman"/>
          <w:bCs/>
          <w:color w:val="000000" w:themeColor="text1"/>
          <w:sz w:val="24"/>
          <w:szCs w:val="24"/>
          <w:lang w:val="en-US"/>
        </w:rPr>
        <w:t>tested microorganisms, mesophilic aerobic bacteria, fecal coliforms, Escherichia coli, yeasts, and molds were absent, indicating an initially healthy product free of</w:t>
      </w:r>
      <w:r w:rsidRPr="00015070">
        <w:rPr>
          <w:rFonts w:ascii="Times New Roman" w:hAnsi="Times New Roman" w:cs="Times New Roman"/>
          <w:bCs/>
          <w:color w:val="000000" w:themeColor="text1"/>
          <w:sz w:val="24"/>
          <w:szCs w:val="24"/>
          <w:lang w:val="en-US"/>
        </w:rPr>
        <w:t xml:space="preserve"> contamination.</w:t>
      </w:r>
    </w:p>
    <w:p w14:paraId="02582083" w14:textId="49C1C6B2" w:rsidR="00973BF0" w:rsidRPr="00015070" w:rsidRDefault="00973BF0" w:rsidP="000A73D6">
      <w:pPr>
        <w:spacing w:after="0" w:line="360" w:lineRule="auto"/>
        <w:ind w:right="21"/>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After three months of storage (January), the flours stored under EA and EP conditions remained free </w:t>
      </w:r>
      <w:r w:rsidR="009F696B" w:rsidRPr="00015070">
        <w:rPr>
          <w:rFonts w:ascii="Times New Roman" w:hAnsi="Times New Roman" w:cs="Times New Roman"/>
          <w:bCs/>
          <w:color w:val="000000" w:themeColor="text1"/>
          <w:sz w:val="24"/>
          <w:szCs w:val="24"/>
          <w:lang w:val="en-US"/>
        </w:rPr>
        <w:t>of contamination, with no detectable levels of the tested bacteria or</w:t>
      </w:r>
      <w:r w:rsidRPr="00015070">
        <w:rPr>
          <w:rFonts w:ascii="Times New Roman" w:hAnsi="Times New Roman" w:cs="Times New Roman"/>
          <w:bCs/>
          <w:color w:val="000000" w:themeColor="text1"/>
          <w:sz w:val="24"/>
          <w:szCs w:val="24"/>
          <w:lang w:val="en-US"/>
        </w:rPr>
        <w:t xml:space="preserve"> molds. However, two control samples (EA-T3-C and EP-T3-C) showed a slight presence of fungal flora: 5.58 × 10² CFU/g for EA-T3-C and values ​​&lt; 10 CFU/g for EP-T3-C. Despite </w:t>
      </w:r>
      <w:r w:rsidR="009F696B" w:rsidRPr="00015070">
        <w:rPr>
          <w:rFonts w:ascii="Times New Roman" w:hAnsi="Times New Roman" w:cs="Times New Roman"/>
          <w:bCs/>
          <w:color w:val="000000" w:themeColor="text1"/>
          <w:sz w:val="24"/>
          <w:szCs w:val="24"/>
          <w:lang w:val="en-US"/>
        </w:rPr>
        <w:t>the presence of yeasts and molds, the observed levels remained well below the standard's maximum threshold (10³ CFU/g) and did not indicate</w:t>
      </w:r>
      <w:r w:rsidRPr="00015070">
        <w:rPr>
          <w:rFonts w:ascii="Times New Roman" w:hAnsi="Times New Roman" w:cs="Times New Roman"/>
          <w:bCs/>
          <w:color w:val="000000" w:themeColor="text1"/>
          <w:sz w:val="24"/>
          <w:szCs w:val="24"/>
          <w:lang w:val="en-US"/>
        </w:rPr>
        <w:t xml:space="preserve"> any significant degradation. In April (T6), all samples, regardless of storage conditions, showed </w:t>
      </w:r>
      <w:r w:rsidR="009F696B" w:rsidRPr="00015070">
        <w:rPr>
          <w:rFonts w:ascii="Times New Roman" w:hAnsi="Times New Roman" w:cs="Times New Roman"/>
          <w:bCs/>
          <w:color w:val="000000" w:themeColor="text1"/>
          <w:sz w:val="24"/>
          <w:szCs w:val="24"/>
          <w:lang w:val="en-US"/>
        </w:rPr>
        <w:t>no detectable</w:t>
      </w:r>
      <w:r w:rsidRPr="00015070">
        <w:rPr>
          <w:rFonts w:ascii="Times New Roman" w:hAnsi="Times New Roman" w:cs="Times New Roman"/>
          <w:bCs/>
          <w:color w:val="000000" w:themeColor="text1"/>
          <w:sz w:val="24"/>
          <w:szCs w:val="24"/>
          <w:lang w:val="en-US"/>
        </w:rPr>
        <w:t xml:space="preserve"> </w:t>
      </w:r>
      <w:r w:rsidR="007019C4" w:rsidRPr="00015070">
        <w:rPr>
          <w:rFonts w:ascii="Times New Roman" w:hAnsi="Times New Roman" w:cs="Times New Roman"/>
          <w:bCs/>
          <w:color w:val="000000" w:themeColor="text1"/>
          <w:sz w:val="24"/>
          <w:szCs w:val="24"/>
          <w:lang w:val="en-US"/>
        </w:rPr>
        <w:t>levels of mesophilic aerobic bacteria, fecal coliforms, E. coli, yeasts, or</w:t>
      </w:r>
      <w:r w:rsidRPr="00015070">
        <w:rPr>
          <w:rFonts w:ascii="Times New Roman" w:hAnsi="Times New Roman" w:cs="Times New Roman"/>
          <w:bCs/>
          <w:color w:val="000000" w:themeColor="text1"/>
          <w:sz w:val="24"/>
          <w:szCs w:val="24"/>
          <w:lang w:val="en-US"/>
        </w:rPr>
        <w:t xml:space="preserve"> molds. This microbiological stability confirms the effectiveness of the storage conditions and the absence of deterioration over time.</w:t>
      </w:r>
    </w:p>
    <w:p w14:paraId="09E40494" w14:textId="16FB596D" w:rsidR="00973BF0" w:rsidRPr="00015070" w:rsidRDefault="00973BF0" w:rsidP="000A73D6">
      <w:pPr>
        <w:spacing w:after="0" w:line="360" w:lineRule="auto"/>
        <w:ind w:right="21"/>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Overall, the results demonstrate </w:t>
      </w:r>
      <w:r w:rsidR="009F696B" w:rsidRPr="00015070">
        <w:rPr>
          <w:rFonts w:ascii="Times New Roman" w:hAnsi="Times New Roman" w:cs="Times New Roman"/>
          <w:bCs/>
          <w:color w:val="000000" w:themeColor="text1"/>
          <w:sz w:val="24"/>
          <w:szCs w:val="24"/>
          <w:lang w:val="en-US"/>
        </w:rPr>
        <w:t>perfect</w:t>
      </w:r>
      <w:r w:rsidRPr="00015070">
        <w:rPr>
          <w:rFonts w:ascii="Times New Roman" w:hAnsi="Times New Roman" w:cs="Times New Roman"/>
          <w:bCs/>
          <w:color w:val="000000" w:themeColor="text1"/>
          <w:sz w:val="24"/>
          <w:szCs w:val="24"/>
          <w:lang w:val="en-US"/>
        </w:rPr>
        <w:t xml:space="preserve"> control of hygiene and microbiological stability of the flours during </w:t>
      </w:r>
      <w:r w:rsidR="009F696B" w:rsidRPr="00015070">
        <w:rPr>
          <w:rFonts w:ascii="Times New Roman" w:hAnsi="Times New Roman" w:cs="Times New Roman"/>
          <w:bCs/>
          <w:color w:val="000000" w:themeColor="text1"/>
          <w:sz w:val="24"/>
          <w:szCs w:val="24"/>
          <w:lang w:val="en-US"/>
        </w:rPr>
        <w:t>storage</w:t>
      </w:r>
      <w:r w:rsidRPr="00015070">
        <w:rPr>
          <w:rFonts w:ascii="Times New Roman" w:hAnsi="Times New Roman" w:cs="Times New Roman"/>
          <w:bCs/>
          <w:color w:val="000000" w:themeColor="text1"/>
          <w:sz w:val="24"/>
          <w:szCs w:val="24"/>
          <w:lang w:val="en-US"/>
        </w:rPr>
        <w:t xml:space="preserve">. The occasional fungal contamination observed in some control samples remains low and below regulatory thresholds, indicating satisfactory </w:t>
      </w:r>
      <w:r w:rsidR="00A81EF5" w:rsidRPr="00015070">
        <w:rPr>
          <w:rFonts w:ascii="Times New Roman" w:hAnsi="Times New Roman" w:cs="Times New Roman"/>
          <w:bCs/>
          <w:color w:val="000000" w:themeColor="text1"/>
          <w:sz w:val="24"/>
          <w:szCs w:val="24"/>
          <w:lang w:val="en-US"/>
        </w:rPr>
        <w:t>microbiological</w:t>
      </w:r>
      <w:r w:rsidRPr="00015070">
        <w:rPr>
          <w:rFonts w:ascii="Times New Roman" w:hAnsi="Times New Roman" w:cs="Times New Roman"/>
          <w:bCs/>
          <w:color w:val="000000" w:themeColor="text1"/>
          <w:sz w:val="24"/>
          <w:szCs w:val="24"/>
          <w:lang w:val="en-US"/>
        </w:rPr>
        <w:t xml:space="preserve"> quality that complies with current standards.</w:t>
      </w:r>
    </w:p>
    <w:p w14:paraId="0B906415" w14:textId="77777777" w:rsidR="00973BF0" w:rsidRPr="00015070" w:rsidRDefault="00973BF0" w:rsidP="000A73D6">
      <w:pPr>
        <w:spacing w:after="0" w:line="360" w:lineRule="auto"/>
        <w:ind w:right="21"/>
        <w:jc w:val="both"/>
        <w:rPr>
          <w:rFonts w:ascii="Times New Roman" w:hAnsi="Times New Roman" w:cs="Times New Roman"/>
          <w:bCs/>
          <w:color w:val="000000" w:themeColor="text1"/>
          <w:sz w:val="24"/>
          <w:szCs w:val="24"/>
          <w:lang w:val="en-US"/>
        </w:rPr>
      </w:pPr>
    </w:p>
    <w:p w14:paraId="3D5C3A95" w14:textId="72B87B5C" w:rsidR="00973BF0" w:rsidRPr="00015070" w:rsidRDefault="00973BF0" w:rsidP="000A73D6">
      <w:pPr>
        <w:spacing w:after="0" w:line="360" w:lineRule="auto"/>
        <w:ind w:right="21"/>
        <w:jc w:val="both"/>
        <w:rPr>
          <w:rFonts w:ascii="Times New Roman" w:hAnsi="Times New Roman" w:cs="Times New Roman"/>
          <w:b/>
          <w:color w:val="000000" w:themeColor="text1"/>
          <w:sz w:val="24"/>
          <w:szCs w:val="24"/>
          <w:lang w:val="en-US"/>
        </w:rPr>
      </w:pPr>
      <w:r w:rsidRPr="00015070">
        <w:rPr>
          <w:rFonts w:ascii="Times New Roman" w:hAnsi="Times New Roman" w:cs="Times New Roman"/>
          <w:b/>
          <w:color w:val="000000" w:themeColor="text1"/>
          <w:sz w:val="24"/>
          <w:szCs w:val="24"/>
          <w:lang w:val="en-US"/>
        </w:rPr>
        <w:t>3.</w:t>
      </w:r>
      <w:r w:rsidR="00760DC5" w:rsidRPr="00015070">
        <w:rPr>
          <w:rFonts w:ascii="Times New Roman" w:hAnsi="Times New Roman" w:cs="Times New Roman"/>
          <w:b/>
          <w:color w:val="000000" w:themeColor="text1"/>
          <w:sz w:val="24"/>
          <w:szCs w:val="24"/>
          <w:lang w:val="en-US"/>
        </w:rPr>
        <w:t>1.2.</w:t>
      </w:r>
      <w:r w:rsidRPr="00015070">
        <w:rPr>
          <w:rFonts w:ascii="Times New Roman" w:hAnsi="Times New Roman" w:cs="Times New Roman"/>
          <w:b/>
          <w:color w:val="000000" w:themeColor="text1"/>
          <w:sz w:val="24"/>
          <w:szCs w:val="24"/>
          <w:lang w:val="en-US"/>
        </w:rPr>
        <w:t>3. Sensory Profile of the Flours</w:t>
      </w:r>
    </w:p>
    <w:p w14:paraId="16404339" w14:textId="77777777" w:rsidR="00973BF0" w:rsidRPr="00015070" w:rsidRDefault="00973BF0" w:rsidP="000A73D6">
      <w:pPr>
        <w:spacing w:after="0" w:line="360" w:lineRule="auto"/>
        <w:ind w:right="21"/>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The organoleptic characteristics of </w:t>
      </w:r>
      <w:proofErr w:type="spellStart"/>
      <w:r w:rsidRPr="00015070">
        <w:rPr>
          <w:rFonts w:ascii="Times New Roman" w:hAnsi="Times New Roman" w:cs="Times New Roman"/>
          <w:bCs/>
          <w:color w:val="000000" w:themeColor="text1"/>
          <w:sz w:val="24"/>
          <w:szCs w:val="24"/>
          <w:lang w:val="en-US"/>
        </w:rPr>
        <w:t>Misola</w:t>
      </w:r>
      <w:proofErr w:type="spellEnd"/>
      <w:r w:rsidRPr="00015070">
        <w:rPr>
          <w:rFonts w:ascii="Times New Roman" w:hAnsi="Times New Roman" w:cs="Times New Roman"/>
          <w:bCs/>
          <w:color w:val="000000" w:themeColor="text1"/>
          <w:sz w:val="24"/>
          <w:szCs w:val="24"/>
          <w:lang w:val="en-US"/>
        </w:rPr>
        <w:t>® fortified infant flour are shown in Figure 3.</w:t>
      </w:r>
    </w:p>
    <w:p w14:paraId="3E922268" w14:textId="77777777" w:rsidR="002E6615" w:rsidRPr="00015070" w:rsidRDefault="00973BF0" w:rsidP="000A73D6">
      <w:pPr>
        <w:spacing w:after="0" w:line="360" w:lineRule="auto"/>
        <w:ind w:right="21"/>
        <w:jc w:val="both"/>
        <w:rPr>
          <w:rFonts w:ascii="Times New Roman" w:hAnsi="Times New Roman" w:cs="Times New Roman"/>
          <w:noProof/>
          <w:color w:val="000000" w:themeColor="text1"/>
          <w:sz w:val="24"/>
          <w:szCs w:val="24"/>
          <w:lang w:val="en-US"/>
        </w:rPr>
      </w:pPr>
      <w:r w:rsidRPr="00015070">
        <w:rPr>
          <w:rFonts w:ascii="Times New Roman" w:hAnsi="Times New Roman" w:cs="Times New Roman"/>
          <w:bCs/>
          <w:color w:val="000000" w:themeColor="text1"/>
          <w:sz w:val="24"/>
          <w:szCs w:val="24"/>
          <w:lang w:val="en-US"/>
        </w:rPr>
        <w:t>The number of tasters who noted a difference between the flours at times T0, T4 and T0, T6 is shown in Figure 3.</w:t>
      </w:r>
      <w:r w:rsidR="002E6615" w:rsidRPr="00015070">
        <w:rPr>
          <w:rFonts w:ascii="Times New Roman" w:hAnsi="Times New Roman" w:cs="Times New Roman"/>
          <w:noProof/>
          <w:color w:val="000000" w:themeColor="text1"/>
          <w:sz w:val="24"/>
          <w:szCs w:val="24"/>
          <w:lang w:val="en-US"/>
        </w:rPr>
        <w:t>T: Time; % = percentage</w:t>
      </w:r>
    </w:p>
    <w:p w14:paraId="2A24D74D" w14:textId="45A014F6" w:rsidR="00A31491" w:rsidRPr="00015070" w:rsidRDefault="00A31491" w:rsidP="000A73D6">
      <w:pPr>
        <w:spacing w:after="0" w:line="360" w:lineRule="auto"/>
        <w:ind w:right="21"/>
        <w:jc w:val="both"/>
        <w:rPr>
          <w:rFonts w:ascii="Times New Roman" w:hAnsi="Times New Roman" w:cs="Times New Roman"/>
          <w:noProof/>
          <w:color w:val="000000" w:themeColor="text1"/>
          <w:sz w:val="24"/>
          <w:szCs w:val="24"/>
          <w:lang w:val="en-US"/>
        </w:rPr>
      </w:pPr>
      <w:r w:rsidRPr="00015070">
        <w:rPr>
          <w:rFonts w:ascii="Times New Roman" w:hAnsi="Times New Roman" w:cs="Times New Roman"/>
          <w:noProof/>
          <w:color w:val="000000" w:themeColor="text1"/>
          <w:sz w:val="24"/>
          <w:szCs w:val="24"/>
          <w:lang w:val="en-US"/>
        </w:rPr>
        <w:lastRenderedPageBreak/>
        <w:drawing>
          <wp:inline distT="0" distB="0" distL="0" distR="0" wp14:anchorId="521821C8" wp14:editId="6775C3EC">
            <wp:extent cx="4538345" cy="16839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8145" cy="1687580"/>
                    </a:xfrm>
                    <a:prstGeom prst="rect">
                      <a:avLst/>
                    </a:prstGeom>
                    <a:noFill/>
                  </pic:spPr>
                </pic:pic>
              </a:graphicData>
            </a:graphic>
          </wp:inline>
        </w:drawing>
      </w:r>
    </w:p>
    <w:p w14:paraId="0F64E374" w14:textId="4136264D" w:rsidR="002E6615" w:rsidRPr="00015070" w:rsidRDefault="002E6615" w:rsidP="000A73D6">
      <w:pPr>
        <w:spacing w:after="0" w:line="360" w:lineRule="auto"/>
        <w:ind w:right="21"/>
        <w:jc w:val="both"/>
        <w:rPr>
          <w:rFonts w:ascii="Times New Roman" w:hAnsi="Times New Roman" w:cs="Times New Roman"/>
          <w:noProof/>
          <w:color w:val="000000" w:themeColor="text1"/>
          <w:sz w:val="24"/>
          <w:szCs w:val="24"/>
          <w:lang w:val="en-US"/>
        </w:rPr>
      </w:pPr>
      <w:r w:rsidRPr="00015070">
        <w:rPr>
          <w:rFonts w:ascii="Times New Roman" w:hAnsi="Times New Roman" w:cs="Times New Roman"/>
          <w:b/>
          <w:bCs/>
          <w:noProof/>
          <w:color w:val="000000" w:themeColor="text1"/>
          <w:sz w:val="24"/>
          <w:szCs w:val="24"/>
          <w:lang w:val="en-US"/>
        </w:rPr>
        <w:t>Figure 3</w:t>
      </w:r>
      <w:r w:rsidR="00A31491" w:rsidRPr="00015070">
        <w:rPr>
          <w:rFonts w:ascii="Times New Roman" w:hAnsi="Times New Roman" w:cs="Times New Roman"/>
          <w:b/>
          <w:bCs/>
          <w:noProof/>
          <w:color w:val="000000" w:themeColor="text1"/>
          <w:sz w:val="24"/>
          <w:szCs w:val="24"/>
          <w:lang w:val="en-US"/>
        </w:rPr>
        <w:t>.</w:t>
      </w:r>
      <w:r w:rsidRPr="00015070">
        <w:rPr>
          <w:rFonts w:ascii="Times New Roman" w:hAnsi="Times New Roman" w:cs="Times New Roman"/>
          <w:noProof/>
          <w:color w:val="000000" w:themeColor="text1"/>
          <w:sz w:val="24"/>
          <w:szCs w:val="24"/>
          <w:lang w:val="en-US"/>
        </w:rPr>
        <w:t xml:space="preserve"> Organoleptic Characteristics of Misola® Fortified Infant Flour</w:t>
      </w:r>
    </w:p>
    <w:p w14:paraId="2C7693D0" w14:textId="77777777" w:rsidR="002E6615" w:rsidRPr="00015070" w:rsidRDefault="002E6615" w:rsidP="000A73D6">
      <w:pPr>
        <w:spacing w:after="0" w:line="360" w:lineRule="auto"/>
        <w:ind w:right="21"/>
        <w:jc w:val="both"/>
        <w:rPr>
          <w:rFonts w:ascii="Times New Roman" w:hAnsi="Times New Roman" w:cs="Times New Roman"/>
          <w:noProof/>
          <w:color w:val="000000" w:themeColor="text1"/>
          <w:sz w:val="24"/>
          <w:szCs w:val="24"/>
          <w:lang w:val="en-US"/>
        </w:rPr>
      </w:pPr>
      <w:r w:rsidRPr="00015070">
        <w:rPr>
          <w:rFonts w:ascii="Times New Roman" w:hAnsi="Times New Roman" w:cs="Times New Roman"/>
          <w:noProof/>
          <w:color w:val="000000" w:themeColor="text1"/>
          <w:sz w:val="24"/>
          <w:szCs w:val="24"/>
          <w:lang w:val="en-US"/>
        </w:rPr>
        <w:t>Figure 3 presents the perceived evolution of three sensory characteristics of the flours: odor, color, and taste, compared between the initial time (T0) and storage times T4 and T6. The results indicate strong sensory stability over time.</w:t>
      </w:r>
    </w:p>
    <w:p w14:paraId="5C114EA7" w14:textId="24128DE8" w:rsidR="002E6615" w:rsidRPr="00015070" w:rsidRDefault="002E6615" w:rsidP="000A73D6">
      <w:pPr>
        <w:spacing w:after="0" w:line="360" w:lineRule="auto"/>
        <w:ind w:right="21"/>
        <w:jc w:val="both"/>
        <w:rPr>
          <w:rFonts w:ascii="Times New Roman" w:hAnsi="Times New Roman" w:cs="Times New Roman"/>
          <w:noProof/>
          <w:color w:val="000000" w:themeColor="text1"/>
          <w:sz w:val="24"/>
          <w:szCs w:val="24"/>
          <w:lang w:val="en-US"/>
        </w:rPr>
      </w:pPr>
      <w:r w:rsidRPr="00015070">
        <w:rPr>
          <w:rFonts w:ascii="Times New Roman" w:hAnsi="Times New Roman" w:cs="Times New Roman"/>
          <w:noProof/>
          <w:color w:val="000000" w:themeColor="text1"/>
          <w:sz w:val="24"/>
          <w:szCs w:val="24"/>
          <w:lang w:val="en-US"/>
        </w:rPr>
        <w:t xml:space="preserve">For odor, 99% of respondents perceived no change between T0 and T4, and 85% between T0 and T6. Although a slight increase in the number of people reporting a change was observed at T6 (15%), the vast majority considered the odor </w:t>
      </w:r>
      <w:r w:rsidR="00F325EB" w:rsidRPr="00015070">
        <w:rPr>
          <w:rFonts w:ascii="Times New Roman" w:hAnsi="Times New Roman" w:cs="Times New Roman"/>
          <w:noProof/>
          <w:color w:val="000000" w:themeColor="text1"/>
          <w:sz w:val="24"/>
          <w:szCs w:val="24"/>
          <w:lang w:val="en-US"/>
        </w:rPr>
        <w:t>unchanged, demonstrating good olfactory stability even after 6</w:t>
      </w:r>
      <w:r w:rsidRPr="00015070">
        <w:rPr>
          <w:rFonts w:ascii="Times New Roman" w:hAnsi="Times New Roman" w:cs="Times New Roman"/>
          <w:noProof/>
          <w:color w:val="000000" w:themeColor="text1"/>
          <w:sz w:val="24"/>
          <w:szCs w:val="24"/>
          <w:lang w:val="en-US"/>
        </w:rPr>
        <w:t xml:space="preserve"> months. Regarding color, the results show similar consistency: 97% of participants noted no change between T0 and T4, and 96% between T0 and T6. Perceived variations</w:t>
      </w:r>
      <w:r w:rsidR="00F325EB" w:rsidRPr="00015070">
        <w:rPr>
          <w:rFonts w:ascii="Times New Roman" w:hAnsi="Times New Roman" w:cs="Times New Roman"/>
          <w:noProof/>
          <w:color w:val="000000" w:themeColor="text1"/>
          <w:sz w:val="24"/>
          <w:szCs w:val="24"/>
          <w:lang w:val="en-US"/>
        </w:rPr>
        <w:t>, therefore,</w:t>
      </w:r>
      <w:r w:rsidRPr="00015070">
        <w:rPr>
          <w:rFonts w:ascii="Times New Roman" w:hAnsi="Times New Roman" w:cs="Times New Roman"/>
          <w:noProof/>
          <w:color w:val="000000" w:themeColor="text1"/>
          <w:sz w:val="24"/>
          <w:szCs w:val="24"/>
          <w:lang w:val="en-US"/>
        </w:rPr>
        <w:t xml:space="preserve"> remain very limited (3–4%), suggesting that the product's color changes very little during storage. Taste perceptions follow the same trend. Between T0 and T4, 98% of respondents reported no change, and 97% between T0 and T6. This shows that the taste remains very stable, with only 2–3% of people identifying any change.</w:t>
      </w:r>
    </w:p>
    <w:p w14:paraId="1F03506F" w14:textId="40145A2E" w:rsidR="002E6615" w:rsidRPr="00015070" w:rsidRDefault="002E6615" w:rsidP="000A73D6">
      <w:pPr>
        <w:spacing w:after="0" w:line="360" w:lineRule="auto"/>
        <w:ind w:right="21"/>
        <w:jc w:val="both"/>
        <w:rPr>
          <w:rFonts w:ascii="Times New Roman" w:hAnsi="Times New Roman" w:cs="Times New Roman"/>
          <w:noProof/>
          <w:color w:val="000000" w:themeColor="text1"/>
          <w:sz w:val="24"/>
          <w:szCs w:val="24"/>
          <w:lang w:val="en-US"/>
        </w:rPr>
      </w:pPr>
      <w:r w:rsidRPr="00015070">
        <w:rPr>
          <w:rFonts w:ascii="Times New Roman" w:hAnsi="Times New Roman" w:cs="Times New Roman"/>
          <w:noProof/>
          <w:color w:val="000000" w:themeColor="text1"/>
          <w:sz w:val="24"/>
          <w:szCs w:val="24"/>
          <w:lang w:val="en-US"/>
        </w:rPr>
        <w:t xml:space="preserve">Overall, sensory analysis reveals strong stability in the organoleptic properties of the flours </w:t>
      </w:r>
      <w:r w:rsidR="00F325EB" w:rsidRPr="00015070">
        <w:rPr>
          <w:rFonts w:ascii="Times New Roman" w:hAnsi="Times New Roman" w:cs="Times New Roman"/>
          <w:noProof/>
          <w:color w:val="000000" w:themeColor="text1"/>
          <w:sz w:val="24"/>
          <w:szCs w:val="24"/>
          <w:lang w:val="en-US"/>
        </w:rPr>
        <w:t>over the initial storage period and the first 6</w:t>
      </w:r>
      <w:r w:rsidRPr="00015070">
        <w:rPr>
          <w:rFonts w:ascii="Times New Roman" w:hAnsi="Times New Roman" w:cs="Times New Roman"/>
          <w:noProof/>
          <w:color w:val="000000" w:themeColor="text1"/>
          <w:sz w:val="24"/>
          <w:szCs w:val="24"/>
          <w:lang w:val="en-US"/>
        </w:rPr>
        <w:t xml:space="preserve"> months of storage. The small percentages of responses indicating a difference remain marginal and suggest that perceived variations are minimal, even negligible. These results reinforce the idea of ​​good product preservation, both in terms of smell, appearance, and taste.</w:t>
      </w:r>
    </w:p>
    <w:p w14:paraId="348CA778" w14:textId="62738218" w:rsidR="00A57CC3" w:rsidRPr="00015070" w:rsidRDefault="002E6615" w:rsidP="000A73D6">
      <w:pPr>
        <w:spacing w:after="0" w:line="360" w:lineRule="auto"/>
        <w:ind w:right="21"/>
        <w:jc w:val="both"/>
        <w:rPr>
          <w:rFonts w:ascii="Times New Roman" w:hAnsi="Times New Roman" w:cs="Times New Roman"/>
          <w:b/>
          <w:bCs/>
          <w:noProof/>
          <w:color w:val="000000" w:themeColor="text1"/>
          <w:sz w:val="24"/>
          <w:szCs w:val="24"/>
          <w:lang w:val="en-US"/>
        </w:rPr>
      </w:pPr>
      <w:r w:rsidRPr="00015070">
        <w:rPr>
          <w:rFonts w:ascii="Times New Roman" w:hAnsi="Times New Roman" w:cs="Times New Roman"/>
          <w:b/>
          <w:bCs/>
          <w:noProof/>
          <w:color w:val="000000" w:themeColor="text1"/>
          <w:sz w:val="24"/>
          <w:szCs w:val="24"/>
          <w:lang w:val="en-US"/>
        </w:rPr>
        <w:t>3.</w:t>
      </w:r>
      <w:r w:rsidR="00760DC5" w:rsidRPr="00015070">
        <w:rPr>
          <w:rFonts w:ascii="Times New Roman" w:hAnsi="Times New Roman" w:cs="Times New Roman"/>
          <w:b/>
          <w:bCs/>
          <w:noProof/>
          <w:color w:val="000000" w:themeColor="text1"/>
          <w:sz w:val="24"/>
          <w:szCs w:val="24"/>
          <w:lang w:val="en-US"/>
        </w:rPr>
        <w:t>1.2.</w:t>
      </w:r>
      <w:r w:rsidRPr="00015070">
        <w:rPr>
          <w:rFonts w:ascii="Times New Roman" w:hAnsi="Times New Roman" w:cs="Times New Roman"/>
          <w:b/>
          <w:bCs/>
          <w:noProof/>
          <w:color w:val="000000" w:themeColor="text1"/>
          <w:sz w:val="24"/>
          <w:szCs w:val="24"/>
          <w:lang w:val="en-US"/>
        </w:rPr>
        <w:t>4. Appreciation of Flour Tastes</w:t>
      </w:r>
    </w:p>
    <w:p w14:paraId="5F19119D" w14:textId="77777777" w:rsidR="00A57CC3" w:rsidRPr="00015070" w:rsidRDefault="00A57CC3" w:rsidP="000A73D6">
      <w:pPr>
        <w:spacing w:after="0" w:line="360" w:lineRule="auto"/>
        <w:ind w:right="21"/>
        <w:jc w:val="both"/>
        <w:rPr>
          <w:rFonts w:ascii="Times New Roman" w:hAnsi="Times New Roman" w:cs="Times New Roman"/>
          <w:noProof/>
          <w:color w:val="000000" w:themeColor="text1"/>
          <w:sz w:val="24"/>
          <w:szCs w:val="24"/>
          <w:lang w:val="en-US"/>
        </w:rPr>
      </w:pPr>
    </w:p>
    <w:p w14:paraId="38281C59" w14:textId="75D44923" w:rsidR="00A57CC3" w:rsidRPr="00015070" w:rsidRDefault="00A57CC3" w:rsidP="000A73D6">
      <w:pPr>
        <w:spacing w:after="0" w:line="360" w:lineRule="auto"/>
        <w:ind w:right="21"/>
        <w:jc w:val="both"/>
        <w:rPr>
          <w:rFonts w:ascii="Times New Roman" w:hAnsi="Times New Roman" w:cs="Times New Roman"/>
          <w:noProof/>
          <w:color w:val="000000" w:themeColor="text1"/>
          <w:sz w:val="24"/>
          <w:szCs w:val="24"/>
          <w:lang w:val="en-US"/>
        </w:rPr>
      </w:pPr>
      <w:r w:rsidRPr="00015070">
        <w:rPr>
          <w:rFonts w:ascii="Times New Roman" w:hAnsi="Times New Roman" w:cs="Times New Roman"/>
          <w:noProof/>
          <w:color w:val="000000" w:themeColor="text1"/>
          <w:lang w:val="en-US"/>
        </w:rPr>
        <w:lastRenderedPageBreak/>
        <w:drawing>
          <wp:inline distT="0" distB="0" distL="0" distR="0" wp14:anchorId="6C06B681" wp14:editId="58945731">
            <wp:extent cx="5486400" cy="1921397"/>
            <wp:effectExtent l="0" t="0" r="0" b="3175"/>
            <wp:docPr id="3" name="Graphique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A3B349" w14:textId="144A3361" w:rsidR="002E6615" w:rsidRPr="00015070" w:rsidRDefault="00A87E89" w:rsidP="000A73D6">
      <w:pPr>
        <w:spacing w:after="0"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 </w:t>
      </w:r>
      <w:bookmarkStart w:id="0" w:name="_Hlk214977764"/>
      <w:r w:rsidR="002E6615" w:rsidRPr="00015070">
        <w:rPr>
          <w:rFonts w:ascii="Times New Roman" w:hAnsi="Times New Roman" w:cs="Times New Roman"/>
          <w:bCs/>
          <w:color w:val="000000" w:themeColor="text1"/>
          <w:sz w:val="24"/>
          <w:szCs w:val="24"/>
          <w:lang w:val="en-US"/>
        </w:rPr>
        <w:t>T: Time; % = percentage</w:t>
      </w:r>
    </w:p>
    <w:p w14:paraId="5E21F7B8" w14:textId="34F9BF9B" w:rsidR="002E6615" w:rsidRPr="00015070" w:rsidRDefault="002E6615" w:rsidP="000A73D6">
      <w:pPr>
        <w:spacing w:after="0" w:line="360" w:lineRule="auto"/>
        <w:jc w:val="both"/>
        <w:rPr>
          <w:rFonts w:ascii="Times New Roman" w:hAnsi="Times New Roman" w:cs="Times New Roman"/>
          <w:bCs/>
          <w:color w:val="000000" w:themeColor="text1"/>
          <w:sz w:val="24"/>
          <w:szCs w:val="24"/>
          <w:lang w:val="en-US"/>
        </w:rPr>
      </w:pPr>
      <w:bookmarkStart w:id="1" w:name="_GoBack"/>
      <w:r w:rsidRPr="00015070">
        <w:rPr>
          <w:rFonts w:ascii="Times New Roman" w:hAnsi="Times New Roman" w:cs="Times New Roman"/>
          <w:b/>
          <w:color w:val="000000" w:themeColor="text1"/>
          <w:sz w:val="24"/>
          <w:szCs w:val="24"/>
          <w:lang w:val="en-US"/>
        </w:rPr>
        <w:t>Fig</w:t>
      </w:r>
      <w:bookmarkEnd w:id="1"/>
      <w:r w:rsidRPr="00015070">
        <w:rPr>
          <w:rFonts w:ascii="Times New Roman" w:hAnsi="Times New Roman" w:cs="Times New Roman"/>
          <w:b/>
          <w:color w:val="000000" w:themeColor="text1"/>
          <w:sz w:val="24"/>
          <w:szCs w:val="24"/>
          <w:lang w:val="en-US"/>
        </w:rPr>
        <w:t xml:space="preserve">ure </w:t>
      </w:r>
      <w:r w:rsidR="00A31491" w:rsidRPr="00015070">
        <w:rPr>
          <w:rFonts w:ascii="Times New Roman" w:hAnsi="Times New Roman" w:cs="Times New Roman"/>
          <w:b/>
          <w:color w:val="000000" w:themeColor="text1"/>
          <w:sz w:val="24"/>
          <w:szCs w:val="24"/>
          <w:lang w:val="en-US"/>
        </w:rPr>
        <w:t>4</w:t>
      </w:r>
      <w:r w:rsidR="00A57CC3" w:rsidRPr="00015070">
        <w:rPr>
          <w:rFonts w:ascii="Times New Roman" w:hAnsi="Times New Roman" w:cs="Times New Roman"/>
          <w:b/>
          <w:color w:val="000000" w:themeColor="text1"/>
          <w:sz w:val="24"/>
          <w:szCs w:val="24"/>
          <w:lang w:val="en-US"/>
        </w:rPr>
        <w:t>.</w:t>
      </w:r>
      <w:r w:rsidR="00A57CC3" w:rsidRPr="00015070">
        <w:rPr>
          <w:rFonts w:ascii="Times New Roman" w:hAnsi="Times New Roman" w:cs="Times New Roman"/>
          <w:bCs/>
          <w:color w:val="000000" w:themeColor="text1"/>
          <w:sz w:val="24"/>
          <w:szCs w:val="24"/>
          <w:lang w:val="en-US"/>
        </w:rPr>
        <w:t xml:space="preserve"> </w:t>
      </w:r>
      <w:r w:rsidRPr="00015070">
        <w:rPr>
          <w:rFonts w:ascii="Times New Roman" w:hAnsi="Times New Roman" w:cs="Times New Roman"/>
          <w:bCs/>
          <w:color w:val="000000" w:themeColor="text1"/>
          <w:sz w:val="24"/>
          <w:szCs w:val="24"/>
          <w:lang w:val="en-US"/>
        </w:rPr>
        <w:t xml:space="preserve"> Overall Assessment of </w:t>
      </w:r>
      <w:proofErr w:type="spellStart"/>
      <w:r w:rsidRPr="00015070">
        <w:rPr>
          <w:rFonts w:ascii="Times New Roman" w:hAnsi="Times New Roman" w:cs="Times New Roman"/>
          <w:bCs/>
          <w:color w:val="000000" w:themeColor="text1"/>
          <w:sz w:val="24"/>
          <w:szCs w:val="24"/>
          <w:lang w:val="en-US"/>
        </w:rPr>
        <w:t>Misola</w:t>
      </w:r>
      <w:proofErr w:type="spellEnd"/>
      <w:r w:rsidR="007019C4" w:rsidRPr="00015070">
        <w:rPr>
          <w:rFonts w:ascii="Times New Roman" w:hAnsi="Times New Roman" w:cs="Times New Roman"/>
          <w:bCs/>
          <w:color w:val="000000" w:themeColor="text1"/>
          <w:sz w:val="24"/>
          <w:szCs w:val="24"/>
          <w:lang w:val="en-US"/>
        </w:rPr>
        <w:t>®</w:t>
      </w:r>
      <w:r w:rsidRPr="00015070">
        <w:rPr>
          <w:rFonts w:ascii="Times New Roman" w:hAnsi="Times New Roman" w:cs="Times New Roman"/>
          <w:bCs/>
          <w:color w:val="000000" w:themeColor="text1"/>
          <w:sz w:val="24"/>
          <w:szCs w:val="24"/>
          <w:lang w:val="en-US"/>
        </w:rPr>
        <w:t xml:space="preserve"> Flour and Porridge</w:t>
      </w:r>
    </w:p>
    <w:p w14:paraId="582945F4" w14:textId="77777777" w:rsidR="002E6615" w:rsidRPr="00015070" w:rsidRDefault="002E6615" w:rsidP="000A73D6">
      <w:pPr>
        <w:spacing w:after="0" w:line="360" w:lineRule="auto"/>
        <w:jc w:val="both"/>
        <w:rPr>
          <w:rFonts w:ascii="Times New Roman" w:hAnsi="Times New Roman" w:cs="Times New Roman"/>
          <w:bCs/>
          <w:color w:val="000000" w:themeColor="text1"/>
          <w:sz w:val="24"/>
          <w:szCs w:val="24"/>
          <w:lang w:val="en-US"/>
        </w:rPr>
      </w:pPr>
    </w:p>
    <w:p w14:paraId="426D8200" w14:textId="73EFDBF3" w:rsidR="002E6615" w:rsidRPr="00015070" w:rsidRDefault="002E6615" w:rsidP="000A73D6">
      <w:pPr>
        <w:spacing w:after="0"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The graph shows the evolution of the overall acceptability </w:t>
      </w:r>
      <w:r w:rsidR="00A57CC3" w:rsidRPr="00015070">
        <w:rPr>
          <w:rFonts w:ascii="Times New Roman" w:hAnsi="Times New Roman" w:cs="Times New Roman"/>
          <w:bCs/>
          <w:color w:val="000000" w:themeColor="text1"/>
          <w:sz w:val="24"/>
          <w:szCs w:val="24"/>
          <w:lang w:val="en-US"/>
        </w:rPr>
        <w:t>of the flour and the porridge made from it, comparing the initial time (T0) with</w:t>
      </w:r>
      <w:r w:rsidRPr="00015070">
        <w:rPr>
          <w:rFonts w:ascii="Times New Roman" w:hAnsi="Times New Roman" w:cs="Times New Roman"/>
          <w:bCs/>
          <w:color w:val="000000" w:themeColor="text1"/>
          <w:sz w:val="24"/>
          <w:szCs w:val="24"/>
          <w:lang w:val="en-US"/>
        </w:rPr>
        <w:t xml:space="preserve"> the storage periods T4 and T6. The results show high acceptability, </w:t>
      </w:r>
      <w:r w:rsidR="00A57CC3" w:rsidRPr="00015070">
        <w:rPr>
          <w:rFonts w:ascii="Times New Roman" w:hAnsi="Times New Roman" w:cs="Times New Roman"/>
          <w:bCs/>
          <w:color w:val="000000" w:themeColor="text1"/>
          <w:sz w:val="24"/>
          <w:szCs w:val="24"/>
          <w:lang w:val="en-US"/>
        </w:rPr>
        <w:t>though it has decreased slightly</w:t>
      </w:r>
      <w:r w:rsidRPr="00015070">
        <w:rPr>
          <w:rFonts w:ascii="Times New Roman" w:hAnsi="Times New Roman" w:cs="Times New Roman"/>
          <w:bCs/>
          <w:color w:val="000000" w:themeColor="text1"/>
          <w:sz w:val="24"/>
          <w:szCs w:val="24"/>
          <w:lang w:val="en-US"/>
        </w:rPr>
        <w:t xml:space="preserve"> over time. For the flour, 97% of evaluators </w:t>
      </w:r>
      <w:r w:rsidR="00A57CC3" w:rsidRPr="00015070">
        <w:rPr>
          <w:rFonts w:ascii="Times New Roman" w:hAnsi="Times New Roman" w:cs="Times New Roman"/>
          <w:bCs/>
          <w:color w:val="000000" w:themeColor="text1"/>
          <w:sz w:val="24"/>
          <w:szCs w:val="24"/>
          <w:lang w:val="en-US"/>
        </w:rPr>
        <w:t>reported no perceptible difference between T0 and T4, indicating excellent sensory and technological stability after 4</w:t>
      </w:r>
      <w:r w:rsidRPr="00015070">
        <w:rPr>
          <w:rFonts w:ascii="Times New Roman" w:hAnsi="Times New Roman" w:cs="Times New Roman"/>
          <w:bCs/>
          <w:color w:val="000000" w:themeColor="text1"/>
          <w:sz w:val="24"/>
          <w:szCs w:val="24"/>
          <w:lang w:val="en-US"/>
        </w:rPr>
        <w:t xml:space="preserve"> months. At T6, this rate remained very high (94%), indicating that the vast majority of users continued to perceive the flour as generally unchanged, despite a slight decrease in acceptability.</w:t>
      </w:r>
    </w:p>
    <w:p w14:paraId="7E21041A" w14:textId="3ACB0FCD" w:rsidR="002E6615" w:rsidRPr="00015070" w:rsidRDefault="002E6615" w:rsidP="000A73D6">
      <w:pPr>
        <w:spacing w:after="0"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Regarding the porridge, the results follow the same trend. Between T0 and T4, 95% of participants detected no significant changes, confirming good stability of organoleptic properties during culinary processing. At T6, acceptability drops to 91%, but remains predominantly positive, suggesting that any perceived changes are limited and have no </w:t>
      </w:r>
      <w:r w:rsidR="00A57CC3" w:rsidRPr="00015070">
        <w:rPr>
          <w:rFonts w:ascii="Times New Roman" w:hAnsi="Times New Roman" w:cs="Times New Roman"/>
          <w:bCs/>
          <w:color w:val="000000" w:themeColor="text1"/>
          <w:sz w:val="24"/>
          <w:szCs w:val="24"/>
          <w:lang w:val="en-US"/>
        </w:rPr>
        <w:t>significant</w:t>
      </w:r>
      <w:r w:rsidRPr="00015070">
        <w:rPr>
          <w:rFonts w:ascii="Times New Roman" w:hAnsi="Times New Roman" w:cs="Times New Roman"/>
          <w:bCs/>
          <w:color w:val="000000" w:themeColor="text1"/>
          <w:sz w:val="24"/>
          <w:szCs w:val="24"/>
          <w:lang w:val="en-US"/>
        </w:rPr>
        <w:t xml:space="preserve"> impact on consumption. The results indicate satisfactory stability of the flour and porridge for up to </w:t>
      </w:r>
      <w:r w:rsidR="00A57CC3" w:rsidRPr="00015070">
        <w:rPr>
          <w:rFonts w:ascii="Times New Roman" w:hAnsi="Times New Roman" w:cs="Times New Roman"/>
          <w:bCs/>
          <w:color w:val="000000" w:themeColor="text1"/>
          <w:sz w:val="24"/>
          <w:szCs w:val="24"/>
          <w:lang w:val="en-US"/>
        </w:rPr>
        <w:t>6 months of storage, with high acceptance rates and minimal variation</w:t>
      </w:r>
      <w:r w:rsidRPr="00015070">
        <w:rPr>
          <w:rFonts w:ascii="Times New Roman" w:hAnsi="Times New Roman" w:cs="Times New Roman"/>
          <w:bCs/>
          <w:color w:val="000000" w:themeColor="text1"/>
          <w:sz w:val="24"/>
          <w:szCs w:val="24"/>
          <w:lang w:val="en-US"/>
        </w:rPr>
        <w:t>.</w:t>
      </w:r>
    </w:p>
    <w:p w14:paraId="7898CD73" w14:textId="48BD5C87" w:rsidR="00A87E89" w:rsidRPr="00015070" w:rsidRDefault="002E6615" w:rsidP="000A73D6">
      <w:pPr>
        <w:spacing w:after="0" w:line="360" w:lineRule="auto"/>
        <w:jc w:val="both"/>
        <w:rPr>
          <w:rFonts w:ascii="Times New Roman" w:hAnsi="Times New Roman" w:cs="Times New Roman"/>
          <w:bCs/>
          <w:color w:val="000000" w:themeColor="text1"/>
          <w:sz w:val="24"/>
          <w:szCs w:val="24"/>
          <w:lang w:val="en-US"/>
        </w:rPr>
      </w:pPr>
      <w:r w:rsidRPr="00015070">
        <w:rPr>
          <w:rFonts w:ascii="Times New Roman" w:hAnsi="Times New Roman" w:cs="Times New Roman"/>
          <w:bCs/>
          <w:color w:val="000000" w:themeColor="text1"/>
          <w:sz w:val="24"/>
          <w:szCs w:val="24"/>
          <w:lang w:val="en-US"/>
        </w:rPr>
        <w:t xml:space="preserve">In summary, </w:t>
      </w:r>
      <w:proofErr w:type="spellStart"/>
      <w:r w:rsidRPr="00015070">
        <w:rPr>
          <w:rFonts w:ascii="Times New Roman" w:hAnsi="Times New Roman" w:cs="Times New Roman"/>
          <w:bCs/>
          <w:color w:val="000000" w:themeColor="text1"/>
          <w:sz w:val="24"/>
          <w:szCs w:val="24"/>
          <w:lang w:val="en-US"/>
        </w:rPr>
        <w:t>Misola</w:t>
      </w:r>
      <w:proofErr w:type="spellEnd"/>
      <w:r w:rsidR="00A57CC3" w:rsidRPr="00015070">
        <w:rPr>
          <w:rFonts w:ascii="Times New Roman" w:hAnsi="Times New Roman" w:cs="Times New Roman"/>
          <w:bCs/>
          <w:color w:val="000000" w:themeColor="text1"/>
          <w:sz w:val="24"/>
          <w:szCs w:val="24"/>
          <w:lang w:val="en-US"/>
        </w:rPr>
        <w:t xml:space="preserve">® </w:t>
      </w:r>
      <w:r w:rsidRPr="00015070">
        <w:rPr>
          <w:rFonts w:ascii="Times New Roman" w:hAnsi="Times New Roman" w:cs="Times New Roman"/>
          <w:bCs/>
          <w:color w:val="000000" w:themeColor="text1"/>
          <w:sz w:val="24"/>
          <w:szCs w:val="24"/>
          <w:lang w:val="en-US"/>
        </w:rPr>
        <w:t xml:space="preserve">flour exhibits satisfactory microbiological and sensory stability, as well as taste, for up to </w:t>
      </w:r>
      <w:r w:rsidR="00661885" w:rsidRPr="00015070">
        <w:rPr>
          <w:rFonts w:ascii="Times New Roman" w:hAnsi="Times New Roman" w:cs="Times New Roman"/>
          <w:bCs/>
          <w:color w:val="000000" w:themeColor="text1"/>
          <w:sz w:val="24"/>
          <w:szCs w:val="24"/>
          <w:lang w:val="en-US"/>
        </w:rPr>
        <w:t>6 months</w:t>
      </w:r>
      <w:r w:rsidRPr="00015070">
        <w:rPr>
          <w:rFonts w:ascii="Times New Roman" w:hAnsi="Times New Roman" w:cs="Times New Roman"/>
          <w:bCs/>
          <w:color w:val="000000" w:themeColor="text1"/>
          <w:sz w:val="24"/>
          <w:szCs w:val="24"/>
          <w:lang w:val="en-US"/>
        </w:rPr>
        <w:t xml:space="preserve">, without exceeding standards or </w:t>
      </w:r>
      <w:r w:rsidR="009F696B" w:rsidRPr="00015070">
        <w:rPr>
          <w:rFonts w:ascii="Times New Roman" w:hAnsi="Times New Roman" w:cs="Times New Roman"/>
          <w:bCs/>
          <w:color w:val="000000" w:themeColor="text1"/>
          <w:sz w:val="24"/>
          <w:szCs w:val="24"/>
          <w:lang w:val="en-US"/>
        </w:rPr>
        <w:t>causing any significant degradation perceptible to</w:t>
      </w:r>
      <w:r w:rsidRPr="00015070">
        <w:rPr>
          <w:rFonts w:ascii="Times New Roman" w:hAnsi="Times New Roman" w:cs="Times New Roman"/>
          <w:bCs/>
          <w:color w:val="000000" w:themeColor="text1"/>
          <w:sz w:val="24"/>
          <w:szCs w:val="24"/>
          <w:lang w:val="en-US"/>
        </w:rPr>
        <w:t xml:space="preserve"> consumers.</w:t>
      </w:r>
    </w:p>
    <w:p w14:paraId="4E927FBB" w14:textId="77777777" w:rsidR="002E6615" w:rsidRPr="00015070" w:rsidRDefault="002E6615" w:rsidP="000A73D6">
      <w:pPr>
        <w:spacing w:after="0" w:line="360" w:lineRule="auto"/>
        <w:jc w:val="both"/>
        <w:rPr>
          <w:rFonts w:ascii="Times New Roman" w:hAnsi="Times New Roman" w:cs="Times New Roman"/>
          <w:color w:val="000000" w:themeColor="text1"/>
          <w:lang w:val="en-US"/>
        </w:rPr>
      </w:pPr>
    </w:p>
    <w:bookmarkEnd w:id="0"/>
    <w:p w14:paraId="00D1C69C" w14:textId="65EF48FA" w:rsidR="002E6615" w:rsidRPr="00015070" w:rsidRDefault="00760DC5" w:rsidP="000A73D6">
      <w:pPr>
        <w:spacing w:after="0" w:line="360" w:lineRule="auto"/>
        <w:jc w:val="both"/>
        <w:rPr>
          <w:rFonts w:ascii="Times New Roman" w:eastAsia="Times New Roman" w:hAnsi="Times New Roman" w:cs="Times New Roman"/>
          <w:b/>
          <w:color w:val="000000" w:themeColor="text1"/>
          <w:sz w:val="24"/>
          <w:szCs w:val="24"/>
          <w:lang w:val="en-US" w:eastAsia="fr-FR"/>
          <w14:ligatures w14:val="none"/>
        </w:rPr>
      </w:pPr>
      <w:r w:rsidRPr="00015070">
        <w:rPr>
          <w:rFonts w:ascii="Times New Roman" w:eastAsia="Times New Roman" w:hAnsi="Times New Roman" w:cs="Times New Roman"/>
          <w:b/>
          <w:color w:val="000000" w:themeColor="text1"/>
          <w:sz w:val="24"/>
          <w:szCs w:val="24"/>
          <w:lang w:val="en-US" w:eastAsia="fr-FR"/>
          <w14:ligatures w14:val="none"/>
        </w:rPr>
        <w:t>3.2</w:t>
      </w:r>
      <w:r w:rsidR="002E6615" w:rsidRPr="00015070">
        <w:rPr>
          <w:rFonts w:ascii="Times New Roman" w:eastAsia="Times New Roman" w:hAnsi="Times New Roman" w:cs="Times New Roman"/>
          <w:b/>
          <w:color w:val="000000" w:themeColor="text1"/>
          <w:sz w:val="24"/>
          <w:szCs w:val="24"/>
          <w:lang w:val="en-US" w:eastAsia="fr-FR"/>
          <w14:ligatures w14:val="none"/>
        </w:rPr>
        <w:t>. Discussion</w:t>
      </w:r>
    </w:p>
    <w:p w14:paraId="0ABCED19" w14:textId="2CD78D40" w:rsidR="002E6615" w:rsidRPr="00015070" w:rsidRDefault="002E6615" w:rsidP="000A73D6">
      <w:pPr>
        <w:spacing w:after="0" w:line="360" w:lineRule="auto"/>
        <w:jc w:val="both"/>
        <w:rPr>
          <w:rFonts w:ascii="Times New Roman" w:eastAsia="Times New Roman" w:hAnsi="Times New Roman" w:cs="Times New Roman"/>
          <w:bCs/>
          <w:color w:val="000000" w:themeColor="text1"/>
          <w:sz w:val="24"/>
          <w:szCs w:val="24"/>
          <w:lang w:val="en-US" w:eastAsia="fr-FR"/>
          <w14:ligatures w14:val="none"/>
        </w:rPr>
      </w:pPr>
      <w:r w:rsidRPr="00015070">
        <w:rPr>
          <w:rFonts w:ascii="Times New Roman" w:eastAsia="Times New Roman" w:hAnsi="Times New Roman" w:cs="Times New Roman"/>
          <w:bCs/>
          <w:color w:val="000000" w:themeColor="text1"/>
          <w:sz w:val="24"/>
          <w:szCs w:val="24"/>
          <w:lang w:val="en-US" w:eastAsia="fr-FR"/>
          <w14:ligatures w14:val="none"/>
        </w:rPr>
        <w:t xml:space="preserve">The stability of </w:t>
      </w:r>
      <w:proofErr w:type="spellStart"/>
      <w:r w:rsidRPr="00015070">
        <w:rPr>
          <w:rFonts w:ascii="Times New Roman" w:eastAsia="Times New Roman" w:hAnsi="Times New Roman" w:cs="Times New Roman"/>
          <w:bCs/>
          <w:color w:val="000000" w:themeColor="text1"/>
          <w:sz w:val="24"/>
          <w:szCs w:val="24"/>
          <w:lang w:val="en-US" w:eastAsia="fr-FR"/>
          <w14:ligatures w14:val="none"/>
        </w:rPr>
        <w:t>Misola</w:t>
      </w:r>
      <w:proofErr w:type="spellEnd"/>
      <w:r w:rsidR="007019C4" w:rsidRPr="00015070">
        <w:rPr>
          <w:rFonts w:ascii="Times New Roman" w:eastAsia="Times New Roman" w:hAnsi="Times New Roman" w:cs="Times New Roman"/>
          <w:bCs/>
          <w:color w:val="000000" w:themeColor="text1"/>
          <w:sz w:val="24"/>
          <w:szCs w:val="24"/>
          <w:lang w:val="en-US" w:eastAsia="fr-FR"/>
          <w14:ligatures w14:val="none"/>
        </w:rPr>
        <w:t>®</w:t>
      </w:r>
      <w:r w:rsidRPr="00015070">
        <w:rPr>
          <w:rFonts w:ascii="Times New Roman" w:eastAsia="Times New Roman" w:hAnsi="Times New Roman" w:cs="Times New Roman"/>
          <w:bCs/>
          <w:color w:val="000000" w:themeColor="text1"/>
          <w:sz w:val="24"/>
          <w:szCs w:val="24"/>
          <w:lang w:val="en-US" w:eastAsia="fr-FR"/>
          <w14:ligatures w14:val="none"/>
        </w:rPr>
        <w:t xml:space="preserve"> fortified infant flour is a </w:t>
      </w:r>
      <w:r w:rsidR="00A57CC3" w:rsidRPr="00015070">
        <w:rPr>
          <w:rFonts w:ascii="Times New Roman" w:eastAsia="Times New Roman" w:hAnsi="Times New Roman" w:cs="Times New Roman"/>
          <w:bCs/>
          <w:color w:val="000000" w:themeColor="text1"/>
          <w:sz w:val="24"/>
          <w:szCs w:val="24"/>
          <w:lang w:val="en-US" w:eastAsia="fr-FR"/>
          <w14:ligatures w14:val="none"/>
        </w:rPr>
        <w:t>significant</w:t>
      </w:r>
      <w:r w:rsidRPr="00015070">
        <w:rPr>
          <w:rFonts w:ascii="Times New Roman" w:eastAsia="Times New Roman" w:hAnsi="Times New Roman" w:cs="Times New Roman"/>
          <w:bCs/>
          <w:color w:val="000000" w:themeColor="text1"/>
          <w:sz w:val="24"/>
          <w:szCs w:val="24"/>
          <w:lang w:val="en-US" w:eastAsia="fr-FR"/>
          <w14:ligatures w14:val="none"/>
        </w:rPr>
        <w:t xml:space="preserve"> issue in the Nigerien context, where protein-energy malnutrition and micronutrient deficiencies affect a </w:t>
      </w:r>
      <w:r w:rsidR="00A57CC3" w:rsidRPr="00015070">
        <w:rPr>
          <w:rFonts w:ascii="Times New Roman" w:eastAsia="Times New Roman" w:hAnsi="Times New Roman" w:cs="Times New Roman"/>
          <w:bCs/>
          <w:color w:val="000000" w:themeColor="text1"/>
          <w:sz w:val="24"/>
          <w:szCs w:val="24"/>
          <w:lang w:val="en-US" w:eastAsia="fr-FR"/>
          <w14:ligatures w14:val="none"/>
        </w:rPr>
        <w:t>substantial</w:t>
      </w:r>
      <w:r w:rsidRPr="00015070">
        <w:rPr>
          <w:rFonts w:ascii="Times New Roman" w:eastAsia="Times New Roman" w:hAnsi="Times New Roman" w:cs="Times New Roman"/>
          <w:bCs/>
          <w:color w:val="000000" w:themeColor="text1"/>
          <w:sz w:val="24"/>
          <w:szCs w:val="24"/>
          <w:lang w:val="en-US" w:eastAsia="fr-FR"/>
          <w14:ligatures w14:val="none"/>
        </w:rPr>
        <w:t xml:space="preserve"> proportion of children under five. The results obtained show good physicochemical stability of the flour when </w:t>
      </w:r>
      <w:r w:rsidRPr="00015070">
        <w:rPr>
          <w:rFonts w:ascii="Times New Roman" w:eastAsia="Times New Roman" w:hAnsi="Times New Roman" w:cs="Times New Roman"/>
          <w:bCs/>
          <w:color w:val="000000" w:themeColor="text1"/>
          <w:sz w:val="24"/>
          <w:szCs w:val="24"/>
          <w:lang w:val="en-US" w:eastAsia="fr-FR"/>
          <w14:ligatures w14:val="none"/>
        </w:rPr>
        <w:lastRenderedPageBreak/>
        <w:t xml:space="preserve">optimal storage conditions are met, particularly by avoiding increased humidity, the main factor in degradation. These observations support the conclusions of Zakaria et al. (2025), according to which moderate temperatures (30–40 °C) promote an increase in microbial and fungal loads in infant flours, while storage at higher temperatures can, paradoxically, reduce microbial activity, probably due to a decrease in water activity and an inhibition of heat-sensitive organisms. The work of </w:t>
      </w:r>
      <w:proofErr w:type="spellStart"/>
      <w:r w:rsidRPr="00015070">
        <w:rPr>
          <w:rFonts w:ascii="Times New Roman" w:eastAsia="Times New Roman" w:hAnsi="Times New Roman" w:cs="Times New Roman"/>
          <w:bCs/>
          <w:color w:val="000000" w:themeColor="text1"/>
          <w:sz w:val="24"/>
          <w:szCs w:val="24"/>
          <w:lang w:val="en-US" w:eastAsia="fr-FR"/>
          <w14:ligatures w14:val="none"/>
        </w:rPr>
        <w:t>Forsido</w:t>
      </w:r>
      <w:proofErr w:type="spellEnd"/>
      <w:r w:rsidRPr="00015070">
        <w:rPr>
          <w:rFonts w:ascii="Times New Roman" w:eastAsia="Times New Roman" w:hAnsi="Times New Roman" w:cs="Times New Roman"/>
          <w:bCs/>
          <w:color w:val="000000" w:themeColor="text1"/>
          <w:sz w:val="24"/>
          <w:szCs w:val="24"/>
          <w:lang w:val="en-US" w:eastAsia="fr-FR"/>
          <w14:ligatures w14:val="none"/>
        </w:rPr>
        <w:t xml:space="preserve"> et al. (2021) also </w:t>
      </w:r>
      <w:r w:rsidR="00A57CC3" w:rsidRPr="00015070">
        <w:rPr>
          <w:rFonts w:ascii="Times New Roman" w:eastAsia="Times New Roman" w:hAnsi="Times New Roman" w:cs="Times New Roman"/>
          <w:bCs/>
          <w:color w:val="000000" w:themeColor="text1"/>
          <w:sz w:val="24"/>
          <w:szCs w:val="24"/>
          <w:lang w:val="en-US" w:eastAsia="fr-FR"/>
          <w14:ligatures w14:val="none"/>
        </w:rPr>
        <w:t>confirms</w:t>
      </w:r>
      <w:r w:rsidRPr="00015070">
        <w:rPr>
          <w:rFonts w:ascii="Times New Roman" w:eastAsia="Times New Roman" w:hAnsi="Times New Roman" w:cs="Times New Roman"/>
          <w:bCs/>
          <w:color w:val="000000" w:themeColor="text1"/>
          <w:sz w:val="24"/>
          <w:szCs w:val="24"/>
          <w:lang w:val="en-US" w:eastAsia="fr-FR"/>
          <w14:ligatures w14:val="none"/>
        </w:rPr>
        <w:t xml:space="preserve"> that storage temperature strongly influences the physicochemical properties of flours, with high temperatures accelerating the degradation of nutritional and functional qualities. These results reinforce the importance of temperature control in Sahelian regions where climatic conditions can compromise the preservation of infant flours. The role of packaging is equally crucial: materials </w:t>
      </w:r>
      <w:r w:rsidR="00A57CC3" w:rsidRPr="00015070">
        <w:rPr>
          <w:rFonts w:ascii="Times New Roman" w:eastAsia="Times New Roman" w:hAnsi="Times New Roman" w:cs="Times New Roman"/>
          <w:bCs/>
          <w:color w:val="000000" w:themeColor="text1"/>
          <w:sz w:val="24"/>
          <w:szCs w:val="24"/>
          <w:lang w:val="en-US" w:eastAsia="fr-FR"/>
          <w14:ligatures w14:val="none"/>
        </w:rPr>
        <w:t>that provide a sound barrier to</w:t>
      </w:r>
      <w:r w:rsidRPr="00015070">
        <w:rPr>
          <w:rFonts w:ascii="Times New Roman" w:eastAsia="Times New Roman" w:hAnsi="Times New Roman" w:cs="Times New Roman"/>
          <w:bCs/>
          <w:color w:val="000000" w:themeColor="text1"/>
          <w:sz w:val="24"/>
          <w:szCs w:val="24"/>
          <w:lang w:val="en-US" w:eastAsia="fr-FR"/>
          <w14:ligatures w14:val="none"/>
        </w:rPr>
        <w:t xml:space="preserve"> moisture and oxygen significantly improve product stability, as demonstrated by </w:t>
      </w:r>
      <w:proofErr w:type="spellStart"/>
      <w:r w:rsidRPr="00015070">
        <w:rPr>
          <w:rFonts w:ascii="Times New Roman" w:eastAsia="Times New Roman" w:hAnsi="Times New Roman" w:cs="Times New Roman"/>
          <w:bCs/>
          <w:color w:val="000000" w:themeColor="text1"/>
          <w:sz w:val="24"/>
          <w:szCs w:val="24"/>
          <w:lang w:val="en-US" w:eastAsia="fr-FR"/>
          <w14:ligatures w14:val="none"/>
        </w:rPr>
        <w:t>Forsido</w:t>
      </w:r>
      <w:proofErr w:type="spellEnd"/>
      <w:r w:rsidRPr="00015070">
        <w:rPr>
          <w:rFonts w:ascii="Times New Roman" w:eastAsia="Times New Roman" w:hAnsi="Times New Roman" w:cs="Times New Roman"/>
          <w:bCs/>
          <w:color w:val="000000" w:themeColor="text1"/>
          <w:sz w:val="24"/>
          <w:szCs w:val="24"/>
          <w:lang w:val="en-US" w:eastAsia="fr-FR"/>
          <w14:ligatures w14:val="none"/>
        </w:rPr>
        <w:t xml:space="preserve"> et al. (2021). In this context, the use of suitable airtight packaging is essential to prevent spoilage during storage.</w:t>
      </w:r>
    </w:p>
    <w:p w14:paraId="30C65B09" w14:textId="5AB2FE8C" w:rsidR="00A57CC3" w:rsidRPr="00015070" w:rsidRDefault="002E6615" w:rsidP="000A73D6">
      <w:pPr>
        <w:spacing w:after="0" w:line="360" w:lineRule="auto"/>
        <w:jc w:val="both"/>
        <w:rPr>
          <w:rFonts w:ascii="Times New Roman" w:eastAsia="Times New Roman" w:hAnsi="Times New Roman" w:cs="Times New Roman"/>
          <w:bCs/>
          <w:color w:val="000000" w:themeColor="text1"/>
          <w:sz w:val="24"/>
          <w:szCs w:val="24"/>
          <w:lang w:val="en-US" w:eastAsia="fr-FR"/>
          <w14:ligatures w14:val="none"/>
        </w:rPr>
      </w:pPr>
      <w:r w:rsidRPr="00015070">
        <w:rPr>
          <w:rFonts w:ascii="Times New Roman" w:eastAsia="Times New Roman" w:hAnsi="Times New Roman" w:cs="Times New Roman"/>
          <w:bCs/>
          <w:color w:val="000000" w:themeColor="text1"/>
          <w:sz w:val="24"/>
          <w:szCs w:val="24"/>
          <w:lang w:val="en-US" w:eastAsia="fr-FR"/>
          <w14:ligatures w14:val="none"/>
        </w:rPr>
        <w:t xml:space="preserve">Regarding microbiological quality, the results indicate that </w:t>
      </w:r>
      <w:proofErr w:type="spellStart"/>
      <w:r w:rsidRPr="00015070">
        <w:rPr>
          <w:rFonts w:ascii="Times New Roman" w:eastAsia="Times New Roman" w:hAnsi="Times New Roman" w:cs="Times New Roman"/>
          <w:bCs/>
          <w:color w:val="000000" w:themeColor="text1"/>
          <w:sz w:val="24"/>
          <w:szCs w:val="24"/>
          <w:lang w:val="en-US" w:eastAsia="fr-FR"/>
          <w14:ligatures w14:val="none"/>
        </w:rPr>
        <w:t>Misola</w:t>
      </w:r>
      <w:proofErr w:type="spellEnd"/>
      <w:r w:rsidR="007019C4" w:rsidRPr="00015070">
        <w:rPr>
          <w:rFonts w:ascii="Times New Roman" w:eastAsia="Times New Roman" w:hAnsi="Times New Roman" w:cs="Times New Roman"/>
          <w:bCs/>
          <w:color w:val="000000" w:themeColor="text1"/>
          <w:sz w:val="24"/>
          <w:szCs w:val="24"/>
          <w:lang w:val="en-US" w:eastAsia="fr-FR"/>
          <w14:ligatures w14:val="none"/>
        </w:rPr>
        <w:t>®</w:t>
      </w:r>
      <w:r w:rsidRPr="00015070">
        <w:rPr>
          <w:rFonts w:ascii="Times New Roman" w:eastAsia="Times New Roman" w:hAnsi="Times New Roman" w:cs="Times New Roman"/>
          <w:bCs/>
          <w:color w:val="000000" w:themeColor="text1"/>
          <w:sz w:val="24"/>
          <w:szCs w:val="24"/>
          <w:lang w:val="en-US" w:eastAsia="fr-FR"/>
          <w14:ligatures w14:val="none"/>
        </w:rPr>
        <w:t xml:space="preserve"> remains stable for up to </w:t>
      </w:r>
      <w:r w:rsidR="00A57CC3" w:rsidRPr="00015070">
        <w:rPr>
          <w:rFonts w:ascii="Times New Roman" w:eastAsia="Times New Roman" w:hAnsi="Times New Roman" w:cs="Times New Roman"/>
          <w:bCs/>
          <w:color w:val="000000" w:themeColor="text1"/>
          <w:sz w:val="24"/>
          <w:szCs w:val="24"/>
          <w:lang w:val="en-US" w:eastAsia="fr-FR"/>
          <w14:ligatures w14:val="none"/>
        </w:rPr>
        <w:t xml:space="preserve">6 months without exceeding standards, </w:t>
      </w:r>
      <w:r w:rsidRPr="00015070">
        <w:rPr>
          <w:rFonts w:ascii="Times New Roman" w:eastAsia="Times New Roman" w:hAnsi="Times New Roman" w:cs="Times New Roman"/>
          <w:bCs/>
          <w:color w:val="000000" w:themeColor="text1"/>
          <w:sz w:val="24"/>
          <w:szCs w:val="24"/>
          <w:lang w:val="en-US" w:eastAsia="fr-FR"/>
          <w14:ligatures w14:val="none"/>
        </w:rPr>
        <w:t xml:space="preserve">consistent with observations from other studies on fortified or composite infant flours. For example, </w:t>
      </w:r>
      <w:proofErr w:type="spellStart"/>
      <w:r w:rsidRPr="00015070">
        <w:rPr>
          <w:rFonts w:ascii="Times New Roman" w:eastAsia="Times New Roman" w:hAnsi="Times New Roman" w:cs="Times New Roman"/>
          <w:bCs/>
          <w:color w:val="000000" w:themeColor="text1"/>
          <w:sz w:val="24"/>
          <w:szCs w:val="24"/>
          <w:lang w:val="en-US" w:eastAsia="fr-FR"/>
          <w14:ligatures w14:val="none"/>
        </w:rPr>
        <w:t>Castenmiller</w:t>
      </w:r>
      <w:proofErr w:type="spellEnd"/>
      <w:r w:rsidRPr="00015070">
        <w:rPr>
          <w:rFonts w:ascii="Times New Roman" w:eastAsia="Times New Roman" w:hAnsi="Times New Roman" w:cs="Times New Roman"/>
          <w:bCs/>
          <w:color w:val="000000" w:themeColor="text1"/>
          <w:sz w:val="24"/>
          <w:szCs w:val="24"/>
          <w:lang w:val="en-US" w:eastAsia="fr-FR"/>
          <w14:ligatures w14:val="none"/>
        </w:rPr>
        <w:t xml:space="preserve"> et al. (2024) and Kaunda et al. (2025) report satisfactory microbiological profiles and shelf lives of up to 11 months for flours formulated from cereals, legumes, or fish. This convergence confirms that the technological processes (roasting, precooking, drying) used for these flours help limit microbial growth. Sensory-wise, the good acceptability of porridges prepared with </w:t>
      </w:r>
      <w:proofErr w:type="spellStart"/>
      <w:r w:rsidRPr="00015070">
        <w:rPr>
          <w:rFonts w:ascii="Times New Roman" w:eastAsia="Times New Roman" w:hAnsi="Times New Roman" w:cs="Times New Roman"/>
          <w:bCs/>
          <w:color w:val="000000" w:themeColor="text1"/>
          <w:sz w:val="24"/>
          <w:szCs w:val="24"/>
          <w:lang w:val="en-US" w:eastAsia="fr-FR"/>
          <w14:ligatures w14:val="none"/>
        </w:rPr>
        <w:t>Misola</w:t>
      </w:r>
      <w:proofErr w:type="spellEnd"/>
      <w:r w:rsidR="009F696B" w:rsidRPr="00015070">
        <w:rPr>
          <w:rFonts w:ascii="Times New Roman" w:eastAsia="Times New Roman" w:hAnsi="Times New Roman" w:cs="Times New Roman"/>
          <w:bCs/>
          <w:color w:val="000000" w:themeColor="text1"/>
          <w:sz w:val="24"/>
          <w:szCs w:val="24"/>
          <w:lang w:val="en-US" w:eastAsia="fr-FR"/>
          <w14:ligatures w14:val="none"/>
        </w:rPr>
        <w:t>®</w:t>
      </w:r>
      <w:r w:rsidRPr="00015070">
        <w:rPr>
          <w:rFonts w:ascii="Times New Roman" w:eastAsia="Times New Roman" w:hAnsi="Times New Roman" w:cs="Times New Roman"/>
          <w:bCs/>
          <w:color w:val="000000" w:themeColor="text1"/>
          <w:sz w:val="24"/>
          <w:szCs w:val="24"/>
          <w:lang w:val="en-US" w:eastAsia="fr-FR"/>
          <w14:ligatures w14:val="none"/>
        </w:rPr>
        <w:t xml:space="preserve"> is consistent with the results obtained for other composite flours, which remain highly appreciated by consumers, as reported by </w:t>
      </w:r>
      <w:proofErr w:type="spellStart"/>
      <w:r w:rsidRPr="00015070">
        <w:rPr>
          <w:rFonts w:ascii="Times New Roman" w:eastAsia="Times New Roman" w:hAnsi="Times New Roman" w:cs="Times New Roman"/>
          <w:bCs/>
          <w:color w:val="000000" w:themeColor="text1"/>
          <w:sz w:val="24"/>
          <w:szCs w:val="24"/>
          <w:lang w:val="en-US" w:eastAsia="fr-FR"/>
          <w14:ligatures w14:val="none"/>
        </w:rPr>
        <w:t>Forsido</w:t>
      </w:r>
      <w:proofErr w:type="spellEnd"/>
      <w:r w:rsidRPr="00015070">
        <w:rPr>
          <w:rFonts w:ascii="Times New Roman" w:eastAsia="Times New Roman" w:hAnsi="Times New Roman" w:cs="Times New Roman"/>
          <w:bCs/>
          <w:color w:val="000000" w:themeColor="text1"/>
          <w:sz w:val="24"/>
          <w:szCs w:val="24"/>
          <w:lang w:val="en-US" w:eastAsia="fr-FR"/>
          <w14:ligatures w14:val="none"/>
        </w:rPr>
        <w:t xml:space="preserve"> et al. (2021). The absence of perceptible degradation for up to </w:t>
      </w:r>
      <w:r w:rsidR="00661885" w:rsidRPr="00015070">
        <w:rPr>
          <w:rFonts w:ascii="Times New Roman" w:eastAsia="Times New Roman" w:hAnsi="Times New Roman" w:cs="Times New Roman"/>
          <w:bCs/>
          <w:color w:val="000000" w:themeColor="text1"/>
          <w:sz w:val="24"/>
          <w:szCs w:val="24"/>
          <w:lang w:val="en-US" w:eastAsia="fr-FR"/>
          <w14:ligatures w14:val="none"/>
        </w:rPr>
        <w:t>6 months</w:t>
      </w:r>
      <w:r w:rsidRPr="00015070">
        <w:rPr>
          <w:rFonts w:ascii="Times New Roman" w:eastAsia="Times New Roman" w:hAnsi="Times New Roman" w:cs="Times New Roman"/>
          <w:bCs/>
          <w:color w:val="000000" w:themeColor="text1"/>
          <w:sz w:val="24"/>
          <w:szCs w:val="24"/>
          <w:lang w:val="en-US" w:eastAsia="fr-FR"/>
          <w14:ligatures w14:val="none"/>
        </w:rPr>
        <w:t xml:space="preserve"> is an advantage for community nutrition programs, where family acceptance largely depends on the product's sensory appeal.</w:t>
      </w:r>
      <w:r w:rsidR="00A57CC3" w:rsidRPr="00015070">
        <w:rPr>
          <w:rFonts w:ascii="Times New Roman" w:eastAsia="Times New Roman" w:hAnsi="Times New Roman" w:cs="Times New Roman"/>
          <w:bCs/>
          <w:color w:val="000000" w:themeColor="text1"/>
          <w:sz w:val="24"/>
          <w:szCs w:val="24"/>
          <w:lang w:val="en-US" w:eastAsia="fr-FR"/>
          <w14:ligatures w14:val="none"/>
        </w:rPr>
        <w:t xml:space="preserve"> </w:t>
      </w:r>
    </w:p>
    <w:p w14:paraId="606A01E9" w14:textId="032E6B37" w:rsidR="00A87E89" w:rsidRPr="00015070" w:rsidRDefault="002E6615" w:rsidP="000A73D6">
      <w:pPr>
        <w:spacing w:after="0" w:line="360" w:lineRule="auto"/>
        <w:jc w:val="both"/>
        <w:rPr>
          <w:rFonts w:ascii="Times New Roman" w:eastAsia="Times New Roman" w:hAnsi="Times New Roman" w:cs="Times New Roman"/>
          <w:bCs/>
          <w:color w:val="000000" w:themeColor="text1"/>
          <w:sz w:val="24"/>
          <w:szCs w:val="24"/>
          <w:lang w:val="en-US" w:eastAsia="fr-FR"/>
          <w14:ligatures w14:val="none"/>
        </w:rPr>
      </w:pPr>
      <w:r w:rsidRPr="00015070">
        <w:rPr>
          <w:rFonts w:ascii="Times New Roman" w:eastAsia="Times New Roman" w:hAnsi="Times New Roman" w:cs="Times New Roman"/>
          <w:bCs/>
          <w:color w:val="000000" w:themeColor="text1"/>
          <w:sz w:val="24"/>
          <w:szCs w:val="24"/>
          <w:lang w:val="en-US" w:eastAsia="fr-FR"/>
          <w14:ligatures w14:val="none"/>
        </w:rPr>
        <w:t xml:space="preserve">The results demonstrate that </w:t>
      </w:r>
      <w:proofErr w:type="spellStart"/>
      <w:r w:rsidRPr="00015070">
        <w:rPr>
          <w:rFonts w:ascii="Times New Roman" w:eastAsia="Times New Roman" w:hAnsi="Times New Roman" w:cs="Times New Roman"/>
          <w:bCs/>
          <w:color w:val="000000" w:themeColor="text1"/>
          <w:sz w:val="24"/>
          <w:szCs w:val="24"/>
          <w:lang w:val="en-US" w:eastAsia="fr-FR"/>
          <w14:ligatures w14:val="none"/>
        </w:rPr>
        <w:t>Misola</w:t>
      </w:r>
      <w:proofErr w:type="spellEnd"/>
      <w:r w:rsidR="009F696B" w:rsidRPr="00015070">
        <w:rPr>
          <w:rFonts w:ascii="Times New Roman" w:eastAsia="Times New Roman" w:hAnsi="Times New Roman" w:cs="Times New Roman"/>
          <w:bCs/>
          <w:color w:val="000000" w:themeColor="text1"/>
          <w:sz w:val="24"/>
          <w:szCs w:val="24"/>
          <w:lang w:val="en-US" w:eastAsia="fr-FR"/>
          <w14:ligatures w14:val="none"/>
        </w:rPr>
        <w:t>®</w:t>
      </w:r>
      <w:r w:rsidRPr="00015070">
        <w:rPr>
          <w:rFonts w:ascii="Times New Roman" w:eastAsia="Times New Roman" w:hAnsi="Times New Roman" w:cs="Times New Roman"/>
          <w:bCs/>
          <w:color w:val="000000" w:themeColor="text1"/>
          <w:sz w:val="24"/>
          <w:szCs w:val="24"/>
          <w:lang w:val="en-US" w:eastAsia="fr-FR"/>
          <w14:ligatures w14:val="none"/>
        </w:rPr>
        <w:t xml:space="preserve"> flour exhibits physicochemical, microbiological, and sensory stability compatible with safe and effective use in malnutrition prevention strategies in Niger. These results are consistent with the data reported by </w:t>
      </w:r>
      <w:proofErr w:type="spellStart"/>
      <w:r w:rsidRPr="00015070">
        <w:rPr>
          <w:rFonts w:ascii="Times New Roman" w:eastAsia="Times New Roman" w:hAnsi="Times New Roman" w:cs="Times New Roman"/>
          <w:bCs/>
          <w:color w:val="000000" w:themeColor="text1"/>
          <w:sz w:val="24"/>
          <w:szCs w:val="24"/>
          <w:lang w:val="en-US" w:eastAsia="fr-FR"/>
          <w14:ligatures w14:val="none"/>
        </w:rPr>
        <w:t>Oumarou</w:t>
      </w:r>
      <w:proofErr w:type="spellEnd"/>
      <w:r w:rsidRPr="00015070">
        <w:rPr>
          <w:rFonts w:ascii="Times New Roman" w:eastAsia="Times New Roman" w:hAnsi="Times New Roman" w:cs="Times New Roman"/>
          <w:bCs/>
          <w:color w:val="000000" w:themeColor="text1"/>
          <w:sz w:val="24"/>
          <w:szCs w:val="24"/>
          <w:lang w:val="en-US" w:eastAsia="fr-FR"/>
          <w14:ligatures w14:val="none"/>
        </w:rPr>
        <w:t xml:space="preserve"> et al. (2012) concerning CSB flour in Niger.</w:t>
      </w:r>
      <w:r w:rsidR="00A57CC3" w:rsidRPr="00015070">
        <w:rPr>
          <w:rFonts w:ascii="Times New Roman" w:eastAsia="Times New Roman" w:hAnsi="Times New Roman" w:cs="Times New Roman"/>
          <w:bCs/>
          <w:color w:val="000000" w:themeColor="text1"/>
          <w:sz w:val="24"/>
          <w:szCs w:val="24"/>
          <w:lang w:val="en-US" w:eastAsia="fr-FR"/>
          <w14:ligatures w14:val="none"/>
        </w:rPr>
        <w:t xml:space="preserve"> </w:t>
      </w:r>
      <w:r w:rsidRPr="00015070">
        <w:rPr>
          <w:rFonts w:ascii="Times New Roman" w:eastAsia="Times New Roman" w:hAnsi="Times New Roman" w:cs="Times New Roman"/>
          <w:bCs/>
          <w:color w:val="000000" w:themeColor="text1"/>
          <w:sz w:val="24"/>
          <w:szCs w:val="24"/>
          <w:lang w:val="en-US" w:eastAsia="fr-FR"/>
          <w14:ligatures w14:val="none"/>
        </w:rPr>
        <w:t xml:space="preserve">However, the product's sensitivity to </w:t>
      </w:r>
      <w:r w:rsidR="00A57CC3" w:rsidRPr="00015070">
        <w:rPr>
          <w:rFonts w:ascii="Times New Roman" w:eastAsia="Times New Roman" w:hAnsi="Times New Roman" w:cs="Times New Roman"/>
          <w:bCs/>
          <w:color w:val="000000" w:themeColor="text1"/>
          <w:sz w:val="24"/>
          <w:szCs w:val="24"/>
          <w:lang w:val="en-US" w:eastAsia="fr-FR"/>
          <w14:ligatures w14:val="none"/>
        </w:rPr>
        <w:t xml:space="preserve">temperature and humidity variations </w:t>
      </w:r>
      <w:r w:rsidRPr="00015070">
        <w:rPr>
          <w:rFonts w:ascii="Times New Roman" w:eastAsia="Times New Roman" w:hAnsi="Times New Roman" w:cs="Times New Roman"/>
          <w:bCs/>
          <w:color w:val="000000" w:themeColor="text1"/>
          <w:sz w:val="24"/>
          <w:szCs w:val="24"/>
          <w:lang w:val="en-US" w:eastAsia="fr-FR"/>
          <w14:ligatures w14:val="none"/>
        </w:rPr>
        <w:t xml:space="preserve">underscores the need to strengthen storage practices, particularly in rural areas where storage infrastructure is limited. </w:t>
      </w:r>
      <w:r w:rsidR="00A57CC3" w:rsidRPr="00015070">
        <w:rPr>
          <w:rFonts w:ascii="Times New Roman" w:eastAsia="Times New Roman" w:hAnsi="Times New Roman" w:cs="Times New Roman"/>
          <w:bCs/>
          <w:color w:val="000000" w:themeColor="text1"/>
          <w:sz w:val="24"/>
          <w:szCs w:val="24"/>
          <w:lang w:val="en-US" w:eastAsia="fr-FR"/>
          <w14:ligatures w14:val="none"/>
        </w:rPr>
        <w:t xml:space="preserve">Implementing improved packaging, ventilated storage spaces, and household awareness campaigns could optimize the preservation of </w:t>
      </w:r>
      <w:proofErr w:type="spellStart"/>
      <w:r w:rsidR="00A57CC3" w:rsidRPr="00015070">
        <w:rPr>
          <w:rFonts w:ascii="Times New Roman" w:eastAsia="Times New Roman" w:hAnsi="Times New Roman" w:cs="Times New Roman"/>
          <w:bCs/>
          <w:color w:val="000000" w:themeColor="text1"/>
          <w:sz w:val="24"/>
          <w:szCs w:val="24"/>
          <w:lang w:val="en-US" w:eastAsia="fr-FR"/>
          <w14:ligatures w14:val="none"/>
        </w:rPr>
        <w:t>Misola</w:t>
      </w:r>
      <w:proofErr w:type="spellEnd"/>
      <w:r w:rsidR="00A57CC3" w:rsidRPr="00015070">
        <w:rPr>
          <w:rFonts w:ascii="Times New Roman" w:eastAsia="Times New Roman" w:hAnsi="Times New Roman" w:cs="Times New Roman"/>
          <w:bCs/>
          <w:color w:val="000000" w:themeColor="text1"/>
          <w:sz w:val="24"/>
          <w:szCs w:val="24"/>
          <w:lang w:val="en-US" w:eastAsia="fr-FR"/>
          <w14:ligatures w14:val="none"/>
        </w:rPr>
        <w:t>® and ensure</w:t>
      </w:r>
      <w:r w:rsidRPr="00015070">
        <w:rPr>
          <w:rFonts w:ascii="Times New Roman" w:eastAsia="Times New Roman" w:hAnsi="Times New Roman" w:cs="Times New Roman"/>
          <w:bCs/>
          <w:color w:val="000000" w:themeColor="text1"/>
          <w:sz w:val="24"/>
          <w:szCs w:val="24"/>
          <w:lang w:val="en-US" w:eastAsia="fr-FR"/>
          <w14:ligatures w14:val="none"/>
        </w:rPr>
        <w:t xml:space="preserve"> its quality throughout the distribution chain</w:t>
      </w:r>
      <w:r w:rsidR="009F696B" w:rsidRPr="00015070">
        <w:rPr>
          <w:rFonts w:ascii="Times New Roman" w:eastAsia="Times New Roman" w:hAnsi="Times New Roman" w:cs="Times New Roman"/>
          <w:bCs/>
          <w:color w:val="000000" w:themeColor="text1"/>
          <w:sz w:val="24"/>
          <w:szCs w:val="24"/>
          <w:lang w:val="en-US" w:eastAsia="fr-FR"/>
          <w14:ligatures w14:val="none"/>
        </w:rPr>
        <w:t xml:space="preserve"> (Jiang &amp; Guo, 2021; Hughes et al., 2017)</w:t>
      </w:r>
      <w:r w:rsidRPr="00015070">
        <w:rPr>
          <w:rFonts w:ascii="Times New Roman" w:eastAsia="Times New Roman" w:hAnsi="Times New Roman" w:cs="Times New Roman"/>
          <w:bCs/>
          <w:color w:val="000000" w:themeColor="text1"/>
          <w:sz w:val="24"/>
          <w:szCs w:val="24"/>
          <w:lang w:val="en-US" w:eastAsia="fr-FR"/>
          <w14:ligatures w14:val="none"/>
        </w:rPr>
        <w:t>.</w:t>
      </w:r>
    </w:p>
    <w:p w14:paraId="63CE0883" w14:textId="77777777" w:rsidR="00BA0B88" w:rsidRPr="00015070" w:rsidRDefault="00BA0B88" w:rsidP="000A73D6">
      <w:pPr>
        <w:spacing w:after="0" w:line="360" w:lineRule="auto"/>
        <w:jc w:val="both"/>
        <w:rPr>
          <w:rFonts w:ascii="Times New Roman" w:eastAsia="Times New Roman" w:hAnsi="Times New Roman" w:cs="Times New Roman"/>
          <w:bCs/>
          <w:color w:val="000000" w:themeColor="text1"/>
          <w:sz w:val="24"/>
          <w:szCs w:val="24"/>
          <w:lang w:val="en-US" w:eastAsia="fr-FR"/>
          <w14:ligatures w14:val="none"/>
        </w:rPr>
      </w:pPr>
    </w:p>
    <w:p w14:paraId="2E25EBC2" w14:textId="770FF2DF" w:rsidR="00BA0B88" w:rsidRPr="00015070" w:rsidRDefault="00BA0B88" w:rsidP="00BA0B88">
      <w:pPr>
        <w:spacing w:after="0" w:line="360" w:lineRule="auto"/>
        <w:jc w:val="both"/>
        <w:rPr>
          <w:rFonts w:ascii="Times New Roman" w:eastAsia="Times New Roman" w:hAnsi="Times New Roman" w:cs="Times New Roman"/>
          <w:b/>
          <w:color w:val="000000" w:themeColor="text1"/>
          <w:sz w:val="24"/>
          <w:szCs w:val="24"/>
          <w:lang w:val="en-US" w:eastAsia="fr-FR"/>
          <w14:ligatures w14:val="none"/>
        </w:rPr>
      </w:pPr>
      <w:r w:rsidRPr="00015070">
        <w:rPr>
          <w:rFonts w:ascii="Times New Roman" w:eastAsia="Times New Roman" w:hAnsi="Times New Roman" w:cs="Times New Roman"/>
          <w:b/>
          <w:color w:val="000000" w:themeColor="text1"/>
          <w:sz w:val="24"/>
          <w:szCs w:val="24"/>
          <w:lang w:val="en-US" w:eastAsia="fr-FR"/>
          <w14:ligatures w14:val="none"/>
        </w:rPr>
        <w:lastRenderedPageBreak/>
        <w:t xml:space="preserve"> </w:t>
      </w:r>
      <w:r w:rsidR="00760DC5" w:rsidRPr="00015070">
        <w:rPr>
          <w:rFonts w:ascii="Times New Roman" w:eastAsia="Times New Roman" w:hAnsi="Times New Roman" w:cs="Times New Roman"/>
          <w:b/>
          <w:color w:val="000000" w:themeColor="text1"/>
          <w:sz w:val="24"/>
          <w:szCs w:val="24"/>
          <w:lang w:val="en-US" w:eastAsia="fr-FR"/>
          <w14:ligatures w14:val="none"/>
        </w:rPr>
        <w:t>4</w:t>
      </w:r>
      <w:r w:rsidRPr="00015070">
        <w:rPr>
          <w:rFonts w:ascii="Times New Roman" w:eastAsia="Times New Roman" w:hAnsi="Times New Roman" w:cs="Times New Roman"/>
          <w:b/>
          <w:color w:val="000000" w:themeColor="text1"/>
          <w:sz w:val="24"/>
          <w:szCs w:val="24"/>
          <w:lang w:val="en-US" w:eastAsia="fr-FR"/>
          <w14:ligatures w14:val="none"/>
        </w:rPr>
        <w:t>. Conclusion</w:t>
      </w:r>
    </w:p>
    <w:p w14:paraId="48371617" w14:textId="7BD717A0" w:rsidR="002A3ED7" w:rsidRPr="00015070" w:rsidRDefault="00BA0B88" w:rsidP="00BA0B88">
      <w:pPr>
        <w:spacing w:after="0" w:line="360" w:lineRule="auto"/>
        <w:jc w:val="both"/>
        <w:rPr>
          <w:rFonts w:ascii="Times New Roman" w:eastAsia="Times New Roman" w:hAnsi="Times New Roman" w:cs="Times New Roman"/>
          <w:bCs/>
          <w:color w:val="000000" w:themeColor="text1"/>
          <w:sz w:val="24"/>
          <w:szCs w:val="24"/>
          <w:lang w:val="en-US" w:eastAsia="fr-FR"/>
          <w14:ligatures w14:val="none"/>
        </w:rPr>
      </w:pPr>
      <w:proofErr w:type="spellStart"/>
      <w:r w:rsidRPr="00015070">
        <w:rPr>
          <w:rFonts w:ascii="Times New Roman" w:eastAsia="Times New Roman" w:hAnsi="Times New Roman" w:cs="Times New Roman"/>
          <w:bCs/>
          <w:color w:val="000000" w:themeColor="text1"/>
          <w:sz w:val="24"/>
          <w:szCs w:val="24"/>
          <w:lang w:val="en-US" w:eastAsia="fr-FR"/>
          <w14:ligatures w14:val="none"/>
        </w:rPr>
        <w:t>Misola</w:t>
      </w:r>
      <w:proofErr w:type="spellEnd"/>
      <w:r w:rsidRPr="00015070">
        <w:rPr>
          <w:rFonts w:ascii="Times New Roman" w:eastAsia="Times New Roman" w:hAnsi="Times New Roman" w:cs="Times New Roman"/>
          <w:bCs/>
          <w:color w:val="000000" w:themeColor="text1"/>
          <w:sz w:val="24"/>
          <w:szCs w:val="24"/>
          <w:lang w:val="en-US" w:eastAsia="fr-FR"/>
          <w14:ligatures w14:val="none"/>
        </w:rPr>
        <w:t>® fortified infant flour shows satisfactory physicochemical, microbiological, and sensory stability for up to 6 months under appropriate storage conditions, confirming its suitability for use in community nutrition programs in Niger. However, its sensitivity to humidity and temperature highlights the need for improved packaging and storage practices to maintain quality throughout distribution. Strengthening these measures would enhance the product’s reliability and contribute more effectively to malnutrition‑prevention efforts under Sahelian climatic conditions in Niger.</w:t>
      </w:r>
    </w:p>
    <w:p w14:paraId="2422FEC8" w14:textId="77777777" w:rsidR="00BA0B88" w:rsidRPr="00015070" w:rsidRDefault="00BA0B88" w:rsidP="00BA0B88">
      <w:pPr>
        <w:spacing w:after="0" w:line="360" w:lineRule="auto"/>
        <w:jc w:val="both"/>
        <w:rPr>
          <w:rFonts w:ascii="Times New Roman" w:eastAsia="Times New Roman" w:hAnsi="Times New Roman" w:cs="Times New Roman"/>
          <w:b/>
          <w:color w:val="000000" w:themeColor="text1"/>
          <w:sz w:val="24"/>
          <w:szCs w:val="24"/>
          <w:lang w:val="en-US" w:eastAsia="fr-FR"/>
          <w14:ligatures w14:val="none"/>
        </w:rPr>
      </w:pPr>
    </w:p>
    <w:p w14:paraId="34DCAFA7" w14:textId="77777777" w:rsidR="002A3ED7" w:rsidRPr="00015070" w:rsidRDefault="002A3ED7" w:rsidP="002A3ED7">
      <w:pPr>
        <w:rPr>
          <w:rFonts w:ascii="Times New Roman" w:eastAsia="Times New Roman" w:hAnsi="Times New Roman" w:cs="Times New Roman"/>
          <w:b/>
          <w:color w:val="000000" w:themeColor="text1"/>
          <w:sz w:val="24"/>
          <w:szCs w:val="24"/>
          <w:lang w:val="en-US" w:eastAsia="fr-FR"/>
          <w14:ligatures w14:val="none"/>
        </w:rPr>
      </w:pPr>
      <w:bookmarkStart w:id="2" w:name="_Hlk204003461"/>
      <w:bookmarkStart w:id="3" w:name="_Hlk213070710"/>
      <w:r w:rsidRPr="00015070">
        <w:rPr>
          <w:rFonts w:ascii="Times New Roman" w:eastAsia="Times New Roman" w:hAnsi="Times New Roman" w:cs="Times New Roman"/>
          <w:b/>
          <w:color w:val="000000" w:themeColor="text1"/>
          <w:sz w:val="24"/>
          <w:szCs w:val="24"/>
          <w:lang w:val="en-US" w:eastAsia="fr-FR"/>
          <w14:ligatures w14:val="none"/>
        </w:rPr>
        <w:t>Disclaimer (Artificial intelligence)</w:t>
      </w:r>
    </w:p>
    <w:p w14:paraId="22E48C07" w14:textId="6B6B0487" w:rsidR="002A3ED7" w:rsidRPr="00015070" w:rsidRDefault="008D1172" w:rsidP="008D1172">
      <w:pPr>
        <w:rPr>
          <w:rFonts w:ascii="Times New Roman" w:eastAsia="Times New Roman" w:hAnsi="Times New Roman" w:cs="Times New Roman"/>
          <w:bCs/>
          <w:color w:val="000000" w:themeColor="text1"/>
          <w:sz w:val="24"/>
          <w:szCs w:val="24"/>
          <w:lang w:val="en-US" w:eastAsia="fr-FR"/>
          <w14:ligatures w14:val="none"/>
        </w:rPr>
      </w:pPr>
      <w:r w:rsidRPr="00015070">
        <w:rPr>
          <w:rFonts w:ascii="Times New Roman" w:eastAsia="Times New Roman" w:hAnsi="Times New Roman" w:cs="Times New Roman"/>
          <w:bCs/>
          <w:color w:val="000000" w:themeColor="text1"/>
          <w:sz w:val="24"/>
          <w:szCs w:val="24"/>
          <w:lang w:val="en-US" w:eastAsia="fr-FR"/>
          <w14:ligatures w14:val="none"/>
        </w:rPr>
        <w:t xml:space="preserve">The authors </w:t>
      </w:r>
      <w:r w:rsidR="002A3ED7" w:rsidRPr="00015070">
        <w:rPr>
          <w:rFonts w:ascii="Times New Roman" w:eastAsia="Times New Roman" w:hAnsi="Times New Roman" w:cs="Times New Roman"/>
          <w:bCs/>
          <w:color w:val="000000" w:themeColor="text1"/>
          <w:sz w:val="24"/>
          <w:szCs w:val="24"/>
          <w:lang w:val="en-US" w:eastAsia="fr-FR"/>
          <w14:ligatures w14:val="none"/>
        </w:rPr>
        <w:t>hereby declare that generative AI technologies</w:t>
      </w:r>
      <w:r w:rsidRPr="00015070">
        <w:rPr>
          <w:rFonts w:ascii="Times New Roman" w:eastAsia="Times New Roman" w:hAnsi="Times New Roman" w:cs="Times New Roman"/>
          <w:bCs/>
          <w:color w:val="000000" w:themeColor="text1"/>
          <w:sz w:val="24"/>
          <w:szCs w:val="24"/>
          <w:lang w:val="en-US" w:eastAsia="fr-FR"/>
          <w14:ligatures w14:val="none"/>
        </w:rPr>
        <w:t xml:space="preserve">, such as </w:t>
      </w:r>
      <w:r w:rsidRPr="00015070">
        <w:rPr>
          <w:rFonts w:ascii="Times New Roman" w:eastAsia="Times New Roman" w:hAnsi="Times New Roman" w:cs="Times New Roman"/>
          <w:bCs/>
          <w:color w:val="000000" w:themeColor="text1"/>
          <w:sz w:val="24"/>
          <w:szCs w:val="24"/>
          <w:u w:val="single"/>
          <w:lang w:val="en-US" w:eastAsia="fr-FR"/>
          <w14:ligatures w14:val="none"/>
        </w:rPr>
        <w:t>Grammarly</w:t>
      </w:r>
      <w:r w:rsidRPr="00015070">
        <w:rPr>
          <w:rFonts w:ascii="Times New Roman" w:eastAsia="Times New Roman" w:hAnsi="Times New Roman" w:cs="Times New Roman"/>
          <w:bCs/>
          <w:color w:val="000000" w:themeColor="text1"/>
          <w:sz w:val="24"/>
          <w:szCs w:val="24"/>
          <w:lang w:val="en-US" w:eastAsia="fr-FR"/>
          <w14:ligatures w14:val="none"/>
        </w:rPr>
        <w:t xml:space="preserve">, can correct sentence orthography. And </w:t>
      </w:r>
      <w:r w:rsidRPr="00015070">
        <w:rPr>
          <w:rFonts w:ascii="Times New Roman" w:eastAsia="Times New Roman" w:hAnsi="Times New Roman" w:cs="Times New Roman"/>
          <w:bCs/>
          <w:color w:val="000000" w:themeColor="text1"/>
          <w:sz w:val="24"/>
          <w:szCs w:val="24"/>
          <w:u w:val="single"/>
          <w:lang w:val="en-US" w:eastAsia="fr-FR"/>
          <w14:ligatures w14:val="none"/>
        </w:rPr>
        <w:t>Copilot</w:t>
      </w:r>
      <w:r w:rsidRPr="00015070">
        <w:rPr>
          <w:rFonts w:ascii="Times New Roman" w:eastAsia="Times New Roman" w:hAnsi="Times New Roman" w:cs="Times New Roman"/>
          <w:bCs/>
          <w:color w:val="000000" w:themeColor="text1"/>
          <w:sz w:val="24"/>
          <w:szCs w:val="24"/>
          <w:lang w:val="en-US" w:eastAsia="fr-FR"/>
          <w14:ligatures w14:val="none"/>
        </w:rPr>
        <w:t xml:space="preserve"> to improve some English statements in sentences. </w:t>
      </w:r>
      <w:bookmarkEnd w:id="2"/>
      <w:bookmarkEnd w:id="3"/>
    </w:p>
    <w:p w14:paraId="3912E337" w14:textId="77777777" w:rsidR="00527FBD" w:rsidRPr="00015070" w:rsidRDefault="00527FBD" w:rsidP="000A73D6">
      <w:pPr>
        <w:spacing w:after="0" w:line="360" w:lineRule="auto"/>
        <w:jc w:val="both"/>
        <w:rPr>
          <w:rFonts w:ascii="Times New Roman" w:eastAsia="Times New Roman" w:hAnsi="Times New Roman" w:cs="Times New Roman"/>
          <w:bCs/>
          <w:color w:val="000000" w:themeColor="text1"/>
          <w:sz w:val="24"/>
          <w:szCs w:val="24"/>
          <w:lang w:val="en-US" w:eastAsia="fr-FR"/>
          <w14:ligatures w14:val="none"/>
        </w:rPr>
      </w:pPr>
    </w:p>
    <w:p w14:paraId="720493AD" w14:textId="77777777" w:rsidR="00527FBD" w:rsidRPr="00015070" w:rsidRDefault="00527FBD" w:rsidP="00527FBD">
      <w:pPr>
        <w:spacing w:after="0" w:line="240" w:lineRule="auto"/>
        <w:jc w:val="both"/>
        <w:rPr>
          <w:rFonts w:ascii="Times New Roman" w:hAnsi="Times New Roman" w:cs="Times New Roman"/>
          <w:color w:val="000000" w:themeColor="text1"/>
          <w:sz w:val="24"/>
          <w:szCs w:val="24"/>
          <w:lang w:val="en-US"/>
        </w:rPr>
      </w:pPr>
      <w:r w:rsidRPr="00015070">
        <w:rPr>
          <w:rFonts w:ascii="Times New Roman" w:hAnsi="Times New Roman" w:cs="Times New Roman"/>
          <w:b/>
          <w:bCs/>
          <w:color w:val="000000" w:themeColor="text1"/>
          <w:sz w:val="24"/>
          <w:szCs w:val="24"/>
          <w:lang w:val="en-US"/>
        </w:rPr>
        <w:t xml:space="preserve">References </w:t>
      </w:r>
    </w:p>
    <w:p w14:paraId="23A84007" w14:textId="77777777" w:rsidR="0079167C" w:rsidRPr="00015070" w:rsidRDefault="0079167C" w:rsidP="00797E3F">
      <w:pPr>
        <w:pStyle w:val="ListParagraph"/>
        <w:numPr>
          <w:ilvl w:val="0"/>
          <w:numId w:val="2"/>
        </w:numPr>
        <w:spacing w:after="0" w:line="360" w:lineRule="auto"/>
        <w:jc w:val="both"/>
        <w:rPr>
          <w:rStyle w:val="Hyperlink"/>
          <w:rFonts w:ascii="Times New Roman" w:hAnsi="Times New Roman" w:cs="Times New Roman"/>
          <w:color w:val="000000" w:themeColor="text1"/>
          <w:sz w:val="24"/>
          <w:szCs w:val="24"/>
          <w:lang w:val="de-DE"/>
        </w:rPr>
      </w:pPr>
      <w:r w:rsidRPr="00015070">
        <w:rPr>
          <w:rFonts w:ascii="Times New Roman" w:hAnsi="Times New Roman" w:cs="Times New Roman"/>
          <w:color w:val="000000" w:themeColor="text1"/>
          <w:sz w:val="24"/>
          <w:szCs w:val="24"/>
          <w:lang w:val="en-US"/>
        </w:rPr>
        <w:t xml:space="preserve">AACC International. (2011). </w:t>
      </w:r>
      <w:proofErr w:type="spellStart"/>
      <w:r w:rsidRPr="00015070">
        <w:rPr>
          <w:rFonts w:ascii="Times New Roman" w:hAnsi="Times New Roman" w:cs="Times New Roman"/>
          <w:color w:val="000000" w:themeColor="text1"/>
          <w:sz w:val="24"/>
          <w:szCs w:val="24"/>
          <w:lang w:val="en-US"/>
        </w:rPr>
        <w:t>Extensigraph</w:t>
      </w:r>
      <w:proofErr w:type="spellEnd"/>
      <w:r w:rsidRPr="00015070">
        <w:rPr>
          <w:rFonts w:ascii="Times New Roman" w:hAnsi="Times New Roman" w:cs="Times New Roman"/>
          <w:color w:val="000000" w:themeColor="text1"/>
          <w:sz w:val="24"/>
          <w:szCs w:val="24"/>
          <w:lang w:val="en-US"/>
        </w:rPr>
        <w:t xml:space="preserve"> Method, General. In Approved Methods of Analysis. </w:t>
      </w:r>
      <w:hyperlink r:id="rId11" w:history="1">
        <w:r w:rsidRPr="00015070">
          <w:rPr>
            <w:rStyle w:val="Hyperlink"/>
            <w:rFonts w:ascii="Times New Roman" w:hAnsi="Times New Roman" w:cs="Times New Roman"/>
            <w:color w:val="000000" w:themeColor="text1"/>
            <w:sz w:val="24"/>
            <w:szCs w:val="24"/>
            <w:lang w:val="de-DE"/>
          </w:rPr>
          <w:t>https://doi.org/10.1094/aaccintmethod-54-10.01</w:t>
        </w:r>
      </w:hyperlink>
    </w:p>
    <w:p w14:paraId="08AD0079" w14:textId="77777777" w:rsidR="0079167C" w:rsidRPr="00015070" w:rsidRDefault="0079167C" w:rsidP="00797E3F">
      <w:pPr>
        <w:pStyle w:val="ListParagraph"/>
        <w:numPr>
          <w:ilvl w:val="0"/>
          <w:numId w:val="2"/>
        </w:numPr>
        <w:spacing w:after="0" w:line="360" w:lineRule="auto"/>
        <w:jc w:val="both"/>
        <w:rPr>
          <w:rStyle w:val="Hyperlink"/>
          <w:rFonts w:ascii="Times New Roman" w:hAnsi="Times New Roman"/>
          <w:color w:val="000000" w:themeColor="text1"/>
          <w:sz w:val="24"/>
          <w:szCs w:val="24"/>
          <w:lang w:val="de-DE"/>
        </w:rPr>
      </w:pPr>
      <w:r w:rsidRPr="00015070">
        <w:rPr>
          <w:rFonts w:ascii="Times New Roman" w:hAnsi="Times New Roman"/>
          <w:color w:val="000000" w:themeColor="text1"/>
          <w:sz w:val="24"/>
          <w:szCs w:val="24"/>
          <w:lang w:val="en-US"/>
        </w:rPr>
        <w:t xml:space="preserve">Ahmad, S., &amp; Guo, M. R. (2021). Infant formula quality control. Human Milk Biochemistry and Infant Formula Manufacturing Technology, 255–280. </w:t>
      </w:r>
      <w:hyperlink r:id="rId12" w:history="1">
        <w:r w:rsidRPr="00015070">
          <w:rPr>
            <w:rStyle w:val="Hyperlink"/>
            <w:rFonts w:ascii="Times New Roman" w:hAnsi="Times New Roman"/>
            <w:color w:val="000000" w:themeColor="text1"/>
            <w:sz w:val="24"/>
            <w:szCs w:val="24"/>
            <w:lang w:val="en-US"/>
          </w:rPr>
          <w:t>https://doi.org/10.1016/b978-0-08-102898-8.00010-6</w:t>
        </w:r>
      </w:hyperlink>
    </w:p>
    <w:p w14:paraId="6FF7D0B6" w14:textId="77777777" w:rsidR="0079167C" w:rsidRPr="00015070" w:rsidRDefault="0079167C" w:rsidP="00797E3F">
      <w:pPr>
        <w:pStyle w:val="ListParagraph"/>
        <w:numPr>
          <w:ilvl w:val="0"/>
          <w:numId w:val="2"/>
        </w:numPr>
        <w:spacing w:after="0" w:line="360" w:lineRule="auto"/>
        <w:jc w:val="both"/>
        <w:rPr>
          <w:rStyle w:val="Hyperlink"/>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lang w:val="en-US"/>
        </w:rPr>
        <w:t xml:space="preserve">Amadou, I., &amp; </w:t>
      </w:r>
      <w:proofErr w:type="spellStart"/>
      <w:r w:rsidRPr="00015070">
        <w:rPr>
          <w:rFonts w:ascii="Times New Roman" w:hAnsi="Times New Roman" w:cs="Times New Roman"/>
          <w:color w:val="000000" w:themeColor="text1"/>
          <w:sz w:val="24"/>
          <w:szCs w:val="24"/>
          <w:lang w:val="en-US"/>
        </w:rPr>
        <w:t>Lawali</w:t>
      </w:r>
      <w:proofErr w:type="spellEnd"/>
      <w:r w:rsidRPr="00015070">
        <w:rPr>
          <w:rFonts w:ascii="Times New Roman" w:hAnsi="Times New Roman" w:cs="Times New Roman"/>
          <w:color w:val="000000" w:themeColor="text1"/>
          <w:sz w:val="24"/>
          <w:szCs w:val="24"/>
          <w:lang w:val="en-US"/>
        </w:rPr>
        <w:t xml:space="preserve">, S. (2022). Smart management of malnutrition using local foods: A Sustainable Initiative for Developing Countries. Frontiers in Sustainable Food Systems </w:t>
      </w:r>
      <w:hyperlink r:id="rId13" w:history="1">
        <w:r w:rsidRPr="00015070">
          <w:rPr>
            <w:rStyle w:val="Hyperlink"/>
            <w:rFonts w:ascii="Times New Roman" w:hAnsi="Times New Roman" w:cs="Times New Roman"/>
            <w:color w:val="000000" w:themeColor="text1"/>
            <w:sz w:val="24"/>
            <w:szCs w:val="24"/>
            <w:lang w:val="en-US"/>
          </w:rPr>
          <w:t>https://doi.org/10.3389/fsufs.2022.725536</w:t>
        </w:r>
      </w:hyperlink>
    </w:p>
    <w:p w14:paraId="110EBD26" w14:textId="77777777" w:rsidR="0079167C" w:rsidRPr="00015070" w:rsidRDefault="0079167C" w:rsidP="00797E3F">
      <w:pPr>
        <w:pStyle w:val="ListParagraph"/>
        <w:numPr>
          <w:ilvl w:val="0"/>
          <w:numId w:val="2"/>
        </w:numPr>
        <w:spacing w:after="0" w:line="360" w:lineRule="auto"/>
        <w:jc w:val="both"/>
        <w:rPr>
          <w:rFonts w:ascii="Times New Roman" w:hAnsi="Times New Roman"/>
          <w:color w:val="000000" w:themeColor="text1"/>
          <w:sz w:val="24"/>
          <w:szCs w:val="24"/>
          <w:lang w:val="en-US"/>
        </w:rPr>
      </w:pPr>
      <w:r w:rsidRPr="00015070">
        <w:rPr>
          <w:rFonts w:ascii="Times New Roman" w:hAnsi="Times New Roman"/>
          <w:color w:val="000000" w:themeColor="text1"/>
          <w:sz w:val="24"/>
          <w:szCs w:val="24"/>
          <w:lang w:val="en-US"/>
        </w:rPr>
        <w:t>AOAC. (1990). Official Methods of Analysis. 15th Edition. Association of Official Analytical Chemists, Washington, DC.</w:t>
      </w:r>
    </w:p>
    <w:p w14:paraId="7D7B04FC" w14:textId="77777777" w:rsidR="0079167C" w:rsidRPr="00015070" w:rsidRDefault="0079167C" w:rsidP="00797E3F">
      <w:pPr>
        <w:pStyle w:val="ListParagraph"/>
        <w:numPr>
          <w:ilvl w:val="0"/>
          <w:numId w:val="2"/>
        </w:numPr>
        <w:spacing w:after="0" w:line="360" w:lineRule="auto"/>
        <w:jc w:val="both"/>
        <w:rPr>
          <w:rStyle w:val="Hyperlink"/>
          <w:rFonts w:ascii="Times New Roman" w:hAnsi="Times New Roman" w:cs="Times New Roman"/>
          <w:color w:val="000000" w:themeColor="text1"/>
          <w:sz w:val="24"/>
          <w:szCs w:val="24"/>
          <w:lang w:val="en-US"/>
        </w:rPr>
      </w:pPr>
      <w:proofErr w:type="spellStart"/>
      <w:r w:rsidRPr="00015070">
        <w:rPr>
          <w:rFonts w:ascii="Times New Roman" w:hAnsi="Times New Roman" w:cs="Times New Roman"/>
          <w:color w:val="000000" w:themeColor="text1"/>
          <w:sz w:val="24"/>
          <w:szCs w:val="24"/>
          <w:lang w:val="en-US"/>
        </w:rPr>
        <w:t>Castenmiller</w:t>
      </w:r>
      <w:proofErr w:type="spellEnd"/>
      <w:r w:rsidRPr="00015070">
        <w:rPr>
          <w:rFonts w:ascii="Times New Roman" w:hAnsi="Times New Roman" w:cs="Times New Roman"/>
          <w:color w:val="000000" w:themeColor="text1"/>
          <w:sz w:val="24"/>
          <w:szCs w:val="24"/>
          <w:lang w:val="en-US"/>
        </w:rPr>
        <w:t xml:space="preserve">, J., de </w:t>
      </w:r>
      <w:proofErr w:type="spellStart"/>
      <w:r w:rsidRPr="00015070">
        <w:rPr>
          <w:rFonts w:ascii="Times New Roman" w:hAnsi="Times New Roman" w:cs="Times New Roman"/>
          <w:color w:val="000000" w:themeColor="text1"/>
          <w:sz w:val="24"/>
          <w:szCs w:val="24"/>
          <w:lang w:val="en-US"/>
        </w:rPr>
        <w:t>Henauw</w:t>
      </w:r>
      <w:proofErr w:type="spellEnd"/>
      <w:r w:rsidRPr="00015070">
        <w:rPr>
          <w:rFonts w:ascii="Times New Roman" w:hAnsi="Times New Roman" w:cs="Times New Roman"/>
          <w:color w:val="000000" w:themeColor="text1"/>
          <w:sz w:val="24"/>
          <w:szCs w:val="24"/>
          <w:lang w:val="en-US"/>
        </w:rPr>
        <w:t xml:space="preserve">, S., Hirsch-Ernst, K.-I., Kearney, J., </w:t>
      </w:r>
      <w:proofErr w:type="spellStart"/>
      <w:r w:rsidRPr="00015070">
        <w:rPr>
          <w:rFonts w:ascii="Times New Roman" w:hAnsi="Times New Roman" w:cs="Times New Roman"/>
          <w:color w:val="000000" w:themeColor="text1"/>
          <w:sz w:val="24"/>
          <w:szCs w:val="24"/>
          <w:lang w:val="en-US"/>
        </w:rPr>
        <w:t>Knutsen</w:t>
      </w:r>
      <w:proofErr w:type="spellEnd"/>
      <w:r w:rsidRPr="00015070">
        <w:rPr>
          <w:rFonts w:ascii="Times New Roman" w:hAnsi="Times New Roman" w:cs="Times New Roman"/>
          <w:color w:val="000000" w:themeColor="text1"/>
          <w:sz w:val="24"/>
          <w:szCs w:val="24"/>
          <w:lang w:val="en-US"/>
        </w:rPr>
        <w:t xml:space="preserve">, H. K., </w:t>
      </w:r>
      <w:proofErr w:type="spellStart"/>
      <w:r w:rsidRPr="00015070">
        <w:rPr>
          <w:rFonts w:ascii="Times New Roman" w:hAnsi="Times New Roman" w:cs="Times New Roman"/>
          <w:color w:val="000000" w:themeColor="text1"/>
          <w:sz w:val="24"/>
          <w:szCs w:val="24"/>
          <w:lang w:val="en-US"/>
        </w:rPr>
        <w:t>Maciuk</w:t>
      </w:r>
      <w:proofErr w:type="spellEnd"/>
      <w:r w:rsidRPr="00015070">
        <w:rPr>
          <w:rFonts w:ascii="Times New Roman" w:hAnsi="Times New Roman" w:cs="Times New Roman"/>
          <w:color w:val="000000" w:themeColor="text1"/>
          <w:sz w:val="24"/>
          <w:szCs w:val="24"/>
          <w:lang w:val="en-US"/>
        </w:rPr>
        <w:t xml:space="preserve">, A., Mangelsdorf, I., McArdle, H. J., </w:t>
      </w:r>
      <w:proofErr w:type="spellStart"/>
      <w:r w:rsidRPr="00015070">
        <w:rPr>
          <w:rFonts w:ascii="Times New Roman" w:hAnsi="Times New Roman" w:cs="Times New Roman"/>
          <w:color w:val="000000" w:themeColor="text1"/>
          <w:sz w:val="24"/>
          <w:szCs w:val="24"/>
          <w:lang w:val="en-US"/>
        </w:rPr>
        <w:t>Naska</w:t>
      </w:r>
      <w:proofErr w:type="spellEnd"/>
      <w:r w:rsidRPr="00015070">
        <w:rPr>
          <w:rFonts w:ascii="Times New Roman" w:hAnsi="Times New Roman" w:cs="Times New Roman"/>
          <w:color w:val="000000" w:themeColor="text1"/>
          <w:sz w:val="24"/>
          <w:szCs w:val="24"/>
          <w:lang w:val="en-US"/>
        </w:rPr>
        <w:t xml:space="preserve">, A., </w:t>
      </w:r>
      <w:proofErr w:type="spellStart"/>
      <w:r w:rsidRPr="00015070">
        <w:rPr>
          <w:rFonts w:ascii="Times New Roman" w:hAnsi="Times New Roman" w:cs="Times New Roman"/>
          <w:color w:val="000000" w:themeColor="text1"/>
          <w:sz w:val="24"/>
          <w:szCs w:val="24"/>
          <w:lang w:val="en-US"/>
        </w:rPr>
        <w:t>Pelaez</w:t>
      </w:r>
      <w:proofErr w:type="spellEnd"/>
      <w:r w:rsidRPr="00015070">
        <w:rPr>
          <w:rFonts w:ascii="Times New Roman" w:hAnsi="Times New Roman" w:cs="Times New Roman"/>
          <w:color w:val="000000" w:themeColor="text1"/>
          <w:sz w:val="24"/>
          <w:szCs w:val="24"/>
          <w:lang w:val="en-US"/>
        </w:rPr>
        <w:t xml:space="preserve">, C., </w:t>
      </w:r>
      <w:proofErr w:type="spellStart"/>
      <w:r w:rsidRPr="00015070">
        <w:rPr>
          <w:rFonts w:ascii="Times New Roman" w:hAnsi="Times New Roman" w:cs="Times New Roman"/>
          <w:color w:val="000000" w:themeColor="text1"/>
          <w:sz w:val="24"/>
          <w:szCs w:val="24"/>
          <w:lang w:val="en-US"/>
        </w:rPr>
        <w:t>Pentieva</w:t>
      </w:r>
      <w:proofErr w:type="spellEnd"/>
      <w:r w:rsidRPr="00015070">
        <w:rPr>
          <w:rFonts w:ascii="Times New Roman" w:hAnsi="Times New Roman" w:cs="Times New Roman"/>
          <w:color w:val="000000" w:themeColor="text1"/>
          <w:sz w:val="24"/>
          <w:szCs w:val="24"/>
          <w:lang w:val="en-US"/>
        </w:rPr>
        <w:t xml:space="preserve">, K., </w:t>
      </w:r>
      <w:proofErr w:type="spellStart"/>
      <w:r w:rsidRPr="00015070">
        <w:rPr>
          <w:rFonts w:ascii="Times New Roman" w:hAnsi="Times New Roman" w:cs="Times New Roman"/>
          <w:color w:val="000000" w:themeColor="text1"/>
          <w:sz w:val="24"/>
          <w:szCs w:val="24"/>
          <w:lang w:val="en-US"/>
        </w:rPr>
        <w:t>Siani</w:t>
      </w:r>
      <w:proofErr w:type="spellEnd"/>
      <w:r w:rsidRPr="00015070">
        <w:rPr>
          <w:rFonts w:ascii="Times New Roman" w:hAnsi="Times New Roman" w:cs="Times New Roman"/>
          <w:color w:val="000000" w:themeColor="text1"/>
          <w:sz w:val="24"/>
          <w:szCs w:val="24"/>
          <w:lang w:val="en-US"/>
        </w:rPr>
        <w:t xml:space="preserve">, A., Thies, F., </w:t>
      </w:r>
      <w:proofErr w:type="spellStart"/>
      <w:r w:rsidRPr="00015070">
        <w:rPr>
          <w:rFonts w:ascii="Times New Roman" w:hAnsi="Times New Roman" w:cs="Times New Roman"/>
          <w:color w:val="000000" w:themeColor="text1"/>
          <w:sz w:val="24"/>
          <w:szCs w:val="24"/>
          <w:lang w:val="en-US"/>
        </w:rPr>
        <w:t>Tsabouri</w:t>
      </w:r>
      <w:proofErr w:type="spellEnd"/>
      <w:r w:rsidRPr="00015070">
        <w:rPr>
          <w:rFonts w:ascii="Times New Roman" w:hAnsi="Times New Roman" w:cs="Times New Roman"/>
          <w:color w:val="000000" w:themeColor="text1"/>
          <w:sz w:val="24"/>
          <w:szCs w:val="24"/>
          <w:lang w:val="en-US"/>
        </w:rPr>
        <w:t xml:space="preserve">, S., </w:t>
      </w:r>
      <w:proofErr w:type="spellStart"/>
      <w:r w:rsidRPr="00015070">
        <w:rPr>
          <w:rFonts w:ascii="Times New Roman" w:hAnsi="Times New Roman" w:cs="Times New Roman"/>
          <w:color w:val="000000" w:themeColor="text1"/>
          <w:sz w:val="24"/>
          <w:szCs w:val="24"/>
          <w:lang w:val="en-US"/>
        </w:rPr>
        <w:t>Vinceti</w:t>
      </w:r>
      <w:proofErr w:type="spellEnd"/>
      <w:r w:rsidRPr="00015070">
        <w:rPr>
          <w:rFonts w:ascii="Times New Roman" w:hAnsi="Times New Roman" w:cs="Times New Roman"/>
          <w:color w:val="000000" w:themeColor="text1"/>
          <w:sz w:val="24"/>
          <w:szCs w:val="24"/>
          <w:lang w:val="en-US"/>
        </w:rPr>
        <w:t xml:space="preserve">, M., Bresson, J.-L., </w:t>
      </w:r>
      <w:proofErr w:type="spellStart"/>
      <w:r w:rsidRPr="00015070">
        <w:rPr>
          <w:rFonts w:ascii="Times New Roman" w:hAnsi="Times New Roman" w:cs="Times New Roman"/>
          <w:color w:val="000000" w:themeColor="text1"/>
          <w:sz w:val="24"/>
          <w:szCs w:val="24"/>
          <w:lang w:val="en-US"/>
        </w:rPr>
        <w:t>Fewtrell</w:t>
      </w:r>
      <w:proofErr w:type="spellEnd"/>
      <w:r w:rsidRPr="00015070">
        <w:rPr>
          <w:rFonts w:ascii="Times New Roman" w:hAnsi="Times New Roman" w:cs="Times New Roman"/>
          <w:color w:val="000000" w:themeColor="text1"/>
          <w:sz w:val="24"/>
          <w:szCs w:val="24"/>
          <w:lang w:val="en-US"/>
        </w:rPr>
        <w:t xml:space="preserve">, M., </w:t>
      </w:r>
      <w:proofErr w:type="spellStart"/>
      <w:r w:rsidRPr="00015070">
        <w:rPr>
          <w:rFonts w:ascii="Times New Roman" w:hAnsi="Times New Roman" w:cs="Times New Roman"/>
          <w:color w:val="000000" w:themeColor="text1"/>
          <w:sz w:val="24"/>
          <w:szCs w:val="24"/>
          <w:lang w:val="en-US"/>
        </w:rPr>
        <w:t>Kersting</w:t>
      </w:r>
      <w:proofErr w:type="spellEnd"/>
      <w:r w:rsidRPr="00015070">
        <w:rPr>
          <w:rFonts w:ascii="Times New Roman" w:hAnsi="Times New Roman" w:cs="Times New Roman"/>
          <w:color w:val="000000" w:themeColor="text1"/>
          <w:sz w:val="24"/>
          <w:szCs w:val="24"/>
          <w:lang w:val="en-US"/>
        </w:rPr>
        <w:t xml:space="preserve">, M., </w:t>
      </w:r>
      <w:proofErr w:type="spellStart"/>
      <w:r w:rsidRPr="00015070">
        <w:rPr>
          <w:rFonts w:ascii="Times New Roman" w:hAnsi="Times New Roman" w:cs="Times New Roman"/>
          <w:color w:val="000000" w:themeColor="text1"/>
          <w:sz w:val="24"/>
          <w:szCs w:val="24"/>
          <w:lang w:val="en-US"/>
        </w:rPr>
        <w:t>Przyrembel</w:t>
      </w:r>
      <w:proofErr w:type="spellEnd"/>
      <w:r w:rsidRPr="00015070">
        <w:rPr>
          <w:rFonts w:ascii="Times New Roman" w:hAnsi="Times New Roman" w:cs="Times New Roman"/>
          <w:color w:val="000000" w:themeColor="text1"/>
          <w:sz w:val="24"/>
          <w:szCs w:val="24"/>
          <w:lang w:val="en-US"/>
        </w:rPr>
        <w:t xml:space="preserve">, H., Dumas, C., </w:t>
      </w:r>
      <w:proofErr w:type="spellStart"/>
      <w:r w:rsidRPr="00015070">
        <w:rPr>
          <w:rFonts w:ascii="Times New Roman" w:hAnsi="Times New Roman" w:cs="Times New Roman"/>
          <w:color w:val="000000" w:themeColor="text1"/>
          <w:sz w:val="24"/>
          <w:szCs w:val="24"/>
          <w:lang w:val="en-US"/>
        </w:rPr>
        <w:t>Titz</w:t>
      </w:r>
      <w:proofErr w:type="spellEnd"/>
      <w:r w:rsidRPr="00015070">
        <w:rPr>
          <w:rFonts w:ascii="Times New Roman" w:hAnsi="Times New Roman" w:cs="Times New Roman"/>
          <w:color w:val="000000" w:themeColor="text1"/>
          <w:sz w:val="24"/>
          <w:szCs w:val="24"/>
          <w:lang w:val="en-US"/>
        </w:rPr>
        <w:t xml:space="preserve">, A., &amp; </w:t>
      </w:r>
      <w:proofErr w:type="spellStart"/>
      <w:r w:rsidRPr="00015070">
        <w:rPr>
          <w:rFonts w:ascii="Times New Roman" w:hAnsi="Times New Roman" w:cs="Times New Roman"/>
          <w:color w:val="000000" w:themeColor="text1"/>
          <w:sz w:val="24"/>
          <w:szCs w:val="24"/>
          <w:lang w:val="en-US"/>
        </w:rPr>
        <w:t>Turck</w:t>
      </w:r>
      <w:proofErr w:type="spellEnd"/>
      <w:r w:rsidRPr="00015070">
        <w:rPr>
          <w:rFonts w:ascii="Times New Roman" w:hAnsi="Times New Roman" w:cs="Times New Roman"/>
          <w:color w:val="000000" w:themeColor="text1"/>
          <w:sz w:val="24"/>
          <w:szCs w:val="24"/>
          <w:lang w:val="en-US"/>
        </w:rPr>
        <w:t xml:space="preserve">, D. (2019). Appropriate age range for introduction of complementary feeding into an infant’s diet. EFSA Journal, 17(9) </w:t>
      </w:r>
      <w:hyperlink r:id="rId14" w:history="1">
        <w:r w:rsidRPr="00015070">
          <w:rPr>
            <w:rStyle w:val="Hyperlink"/>
            <w:rFonts w:ascii="Times New Roman" w:hAnsi="Times New Roman" w:cs="Times New Roman"/>
            <w:color w:val="000000" w:themeColor="text1"/>
            <w:sz w:val="24"/>
            <w:szCs w:val="24"/>
            <w:lang w:val="en-US"/>
          </w:rPr>
          <w:t>https://doi.org/10.2903/j.efsa.2019.5780</w:t>
        </w:r>
      </w:hyperlink>
    </w:p>
    <w:p w14:paraId="737B41DD" w14:textId="77777777" w:rsidR="0079167C" w:rsidRPr="00015070" w:rsidRDefault="0079167C" w:rsidP="00797E3F">
      <w:pPr>
        <w:pStyle w:val="ListParagraph"/>
        <w:numPr>
          <w:ilvl w:val="0"/>
          <w:numId w:val="2"/>
        </w:numPr>
        <w:spacing w:after="0" w:line="360" w:lineRule="auto"/>
        <w:jc w:val="both"/>
        <w:rPr>
          <w:rStyle w:val="Hyperlink"/>
          <w:rFonts w:ascii="Times New Roman" w:hAnsi="Times New Roman" w:cs="Times New Roman"/>
          <w:color w:val="000000" w:themeColor="text1"/>
          <w:sz w:val="24"/>
          <w:szCs w:val="24"/>
          <w:lang w:val="en-US"/>
        </w:rPr>
      </w:pPr>
      <w:proofErr w:type="spellStart"/>
      <w:r w:rsidRPr="00015070">
        <w:rPr>
          <w:rFonts w:ascii="Times New Roman" w:hAnsi="Times New Roman" w:cs="Times New Roman"/>
          <w:color w:val="000000" w:themeColor="text1"/>
          <w:sz w:val="24"/>
          <w:szCs w:val="24"/>
          <w:lang w:val="en-US"/>
        </w:rPr>
        <w:t>Ermosh</w:t>
      </w:r>
      <w:proofErr w:type="spellEnd"/>
      <w:r w:rsidRPr="00015070">
        <w:rPr>
          <w:rFonts w:ascii="Times New Roman" w:hAnsi="Times New Roman" w:cs="Times New Roman"/>
          <w:color w:val="000000" w:themeColor="text1"/>
          <w:sz w:val="24"/>
          <w:szCs w:val="24"/>
          <w:lang w:val="en-US"/>
        </w:rPr>
        <w:t xml:space="preserve">, L. G., &amp; </w:t>
      </w:r>
      <w:proofErr w:type="spellStart"/>
      <w:r w:rsidRPr="00015070">
        <w:rPr>
          <w:rFonts w:ascii="Times New Roman" w:hAnsi="Times New Roman" w:cs="Times New Roman"/>
          <w:color w:val="000000" w:themeColor="text1"/>
          <w:sz w:val="24"/>
          <w:szCs w:val="24"/>
          <w:lang w:val="en-US"/>
        </w:rPr>
        <w:t>Prisukhina</w:t>
      </w:r>
      <w:proofErr w:type="spellEnd"/>
      <w:r w:rsidRPr="00015070">
        <w:rPr>
          <w:rFonts w:ascii="Times New Roman" w:hAnsi="Times New Roman" w:cs="Times New Roman"/>
          <w:color w:val="000000" w:themeColor="text1"/>
          <w:sz w:val="24"/>
          <w:szCs w:val="24"/>
          <w:lang w:val="en-US"/>
        </w:rPr>
        <w:t xml:space="preserve">, N. V. (2023). Determination and analysis of the hemp flour fatty acid composition. Bulletin of </w:t>
      </w:r>
      <w:proofErr w:type="spellStart"/>
      <w:r w:rsidRPr="00015070">
        <w:rPr>
          <w:rFonts w:ascii="Times New Roman" w:hAnsi="Times New Roman" w:cs="Times New Roman"/>
          <w:color w:val="000000" w:themeColor="text1"/>
          <w:sz w:val="24"/>
          <w:szCs w:val="24"/>
          <w:lang w:val="en-US"/>
        </w:rPr>
        <w:t>KrasSAU</w:t>
      </w:r>
      <w:proofErr w:type="spellEnd"/>
      <w:r w:rsidRPr="00015070">
        <w:rPr>
          <w:rFonts w:ascii="Times New Roman" w:hAnsi="Times New Roman" w:cs="Times New Roman"/>
          <w:color w:val="000000" w:themeColor="text1"/>
          <w:sz w:val="24"/>
          <w:szCs w:val="24"/>
          <w:lang w:val="en-US"/>
        </w:rPr>
        <w:t xml:space="preserve"> </w:t>
      </w:r>
      <w:hyperlink r:id="rId15" w:history="1">
        <w:r w:rsidRPr="00015070">
          <w:rPr>
            <w:rStyle w:val="Hyperlink"/>
            <w:rFonts w:ascii="Times New Roman" w:hAnsi="Times New Roman" w:cs="Times New Roman"/>
            <w:color w:val="000000" w:themeColor="text1"/>
            <w:sz w:val="24"/>
            <w:szCs w:val="24"/>
            <w:lang w:val="en-US"/>
          </w:rPr>
          <w:t>https://doi.org/10.36718/1819-4036-2023-9-207-212</w:t>
        </w:r>
      </w:hyperlink>
    </w:p>
    <w:p w14:paraId="5A9AA11D" w14:textId="77777777" w:rsidR="0079167C" w:rsidRPr="00015070" w:rsidRDefault="0079167C" w:rsidP="00797E3F">
      <w:pPr>
        <w:pStyle w:val="ListParagraph"/>
        <w:numPr>
          <w:ilvl w:val="0"/>
          <w:numId w:val="2"/>
        </w:numPr>
        <w:spacing w:after="0" w:line="360" w:lineRule="auto"/>
        <w:jc w:val="both"/>
        <w:rPr>
          <w:rStyle w:val="Hyperlink"/>
          <w:rFonts w:ascii="Times New Roman" w:hAnsi="Times New Roman" w:cs="Times New Roman"/>
          <w:color w:val="000000" w:themeColor="text1"/>
          <w:sz w:val="24"/>
          <w:szCs w:val="24"/>
        </w:rPr>
      </w:pPr>
      <w:r w:rsidRPr="00015070">
        <w:rPr>
          <w:rFonts w:ascii="Times New Roman" w:hAnsi="Times New Roman" w:cs="Times New Roman"/>
          <w:color w:val="000000" w:themeColor="text1"/>
          <w:sz w:val="24"/>
          <w:szCs w:val="24"/>
          <w:lang w:val="de-DE"/>
        </w:rPr>
        <w:lastRenderedPageBreak/>
        <w:t xml:space="preserve">Forsido, S. F., Welelaw, E., Belachew, T., &amp; Hensel, O. (2021). </w:t>
      </w:r>
      <w:r w:rsidRPr="00015070">
        <w:rPr>
          <w:rFonts w:ascii="Times New Roman" w:hAnsi="Times New Roman" w:cs="Times New Roman"/>
          <w:color w:val="000000" w:themeColor="text1"/>
          <w:sz w:val="24"/>
          <w:szCs w:val="24"/>
          <w:lang w:val="en-US"/>
        </w:rPr>
        <w:t xml:space="preserve">Effects of storage temperature and packaging material on </w:t>
      </w:r>
      <w:proofErr w:type="spellStart"/>
      <w:r w:rsidRPr="00015070">
        <w:rPr>
          <w:rFonts w:ascii="Times New Roman" w:hAnsi="Times New Roman" w:cs="Times New Roman"/>
          <w:color w:val="000000" w:themeColor="text1"/>
          <w:sz w:val="24"/>
          <w:szCs w:val="24"/>
          <w:lang w:val="en-US"/>
        </w:rPr>
        <w:t>physico</w:t>
      </w:r>
      <w:proofErr w:type="spellEnd"/>
      <w:r w:rsidRPr="00015070">
        <w:rPr>
          <w:rFonts w:ascii="Times New Roman" w:hAnsi="Times New Roman" w:cs="Times New Roman"/>
          <w:color w:val="000000" w:themeColor="text1"/>
          <w:sz w:val="24"/>
          <w:szCs w:val="24"/>
          <w:lang w:val="en-US"/>
        </w:rPr>
        <w:t xml:space="preserve">-chemical, microbial and sensory properties and shelf life of extruded composite baby food flour. </w:t>
      </w:r>
      <w:proofErr w:type="spellStart"/>
      <w:r w:rsidRPr="00015070">
        <w:rPr>
          <w:rFonts w:ascii="Times New Roman" w:hAnsi="Times New Roman" w:cs="Times New Roman"/>
          <w:color w:val="000000" w:themeColor="text1"/>
          <w:sz w:val="24"/>
          <w:szCs w:val="24"/>
        </w:rPr>
        <w:t>Heliyon</w:t>
      </w:r>
      <w:proofErr w:type="spellEnd"/>
      <w:r w:rsidRPr="00015070">
        <w:rPr>
          <w:rFonts w:ascii="Times New Roman" w:hAnsi="Times New Roman" w:cs="Times New Roman"/>
          <w:color w:val="000000" w:themeColor="text1"/>
          <w:sz w:val="24"/>
          <w:szCs w:val="24"/>
        </w:rPr>
        <w:t xml:space="preserve">, 7(4) </w:t>
      </w:r>
      <w:hyperlink r:id="rId16" w:history="1">
        <w:r w:rsidRPr="00015070">
          <w:rPr>
            <w:rStyle w:val="Hyperlink"/>
            <w:rFonts w:ascii="Times New Roman" w:hAnsi="Times New Roman" w:cs="Times New Roman"/>
            <w:color w:val="000000" w:themeColor="text1"/>
            <w:sz w:val="24"/>
            <w:szCs w:val="24"/>
          </w:rPr>
          <w:t>https://doi.org/10.1016/j.heliyon.2021.e06821</w:t>
        </w:r>
      </w:hyperlink>
    </w:p>
    <w:p w14:paraId="7923A9AD" w14:textId="77777777" w:rsidR="0079167C" w:rsidRPr="00015070" w:rsidRDefault="0079167C" w:rsidP="00797E3F">
      <w:pPr>
        <w:pStyle w:val="ListParagraph"/>
        <w:numPr>
          <w:ilvl w:val="0"/>
          <w:numId w:val="2"/>
        </w:numPr>
        <w:spacing w:after="0" w:line="360" w:lineRule="auto"/>
        <w:jc w:val="both"/>
        <w:rPr>
          <w:rStyle w:val="Hyperlink"/>
          <w:rFonts w:ascii="Times New Roman" w:hAnsi="Times New Roman"/>
          <w:color w:val="000000" w:themeColor="text1"/>
          <w:sz w:val="24"/>
          <w:szCs w:val="24"/>
          <w:lang w:val="de-DE"/>
        </w:rPr>
      </w:pPr>
      <w:r w:rsidRPr="00015070">
        <w:rPr>
          <w:rFonts w:ascii="Times New Roman" w:hAnsi="Times New Roman"/>
          <w:color w:val="000000" w:themeColor="text1"/>
          <w:sz w:val="24"/>
          <w:szCs w:val="24"/>
          <w:lang w:val="en-US"/>
        </w:rPr>
        <w:t xml:space="preserve">Guo, M. R. (2021). Formulation guidelines for infant formula. Human Milk Biochemistry and Infant Formula Manufacturing Technology, 155–183. </w:t>
      </w:r>
      <w:hyperlink r:id="rId17" w:history="1">
        <w:r w:rsidRPr="00015070">
          <w:rPr>
            <w:rStyle w:val="Hyperlink"/>
            <w:rFonts w:ascii="Times New Roman" w:hAnsi="Times New Roman"/>
            <w:color w:val="000000" w:themeColor="text1"/>
            <w:sz w:val="24"/>
            <w:szCs w:val="24"/>
            <w:lang w:val="de-DE"/>
          </w:rPr>
          <w:t>https://doi.org/10.1016/b978-0-08-102898-8.00006-4</w:t>
        </w:r>
      </w:hyperlink>
    </w:p>
    <w:p w14:paraId="68315160" w14:textId="77777777" w:rsidR="0079167C" w:rsidRPr="00015070" w:rsidRDefault="0079167C" w:rsidP="00797E3F">
      <w:pPr>
        <w:pStyle w:val="ListParagraph"/>
        <w:numPr>
          <w:ilvl w:val="0"/>
          <w:numId w:val="2"/>
        </w:numPr>
        <w:spacing w:after="0" w:line="360" w:lineRule="auto"/>
        <w:jc w:val="both"/>
        <w:rPr>
          <w:rStyle w:val="Hyperlink"/>
          <w:rFonts w:ascii="Times New Roman" w:hAnsi="Times New Roman" w:cs="Times New Roman"/>
          <w:color w:val="000000" w:themeColor="text1"/>
          <w:sz w:val="24"/>
          <w:szCs w:val="24"/>
          <w:lang w:val="en-US"/>
        </w:rPr>
      </w:pPr>
      <w:proofErr w:type="spellStart"/>
      <w:r w:rsidRPr="00015070">
        <w:rPr>
          <w:rFonts w:ascii="Times New Roman" w:hAnsi="Times New Roman" w:cs="Times New Roman"/>
          <w:color w:val="000000" w:themeColor="text1"/>
          <w:sz w:val="24"/>
          <w:szCs w:val="24"/>
        </w:rPr>
        <w:t>Hemery</w:t>
      </w:r>
      <w:proofErr w:type="spellEnd"/>
      <w:r w:rsidRPr="00015070">
        <w:rPr>
          <w:rFonts w:ascii="Times New Roman" w:hAnsi="Times New Roman" w:cs="Times New Roman"/>
          <w:color w:val="000000" w:themeColor="text1"/>
          <w:sz w:val="24"/>
          <w:szCs w:val="24"/>
        </w:rPr>
        <w:t xml:space="preserve">, Y. M., Fontan, L., </w:t>
      </w:r>
      <w:proofErr w:type="spellStart"/>
      <w:r w:rsidRPr="00015070">
        <w:rPr>
          <w:rFonts w:ascii="Times New Roman" w:hAnsi="Times New Roman" w:cs="Times New Roman"/>
          <w:color w:val="000000" w:themeColor="text1"/>
          <w:sz w:val="24"/>
          <w:szCs w:val="24"/>
        </w:rPr>
        <w:t>Laillou</w:t>
      </w:r>
      <w:proofErr w:type="spellEnd"/>
      <w:r w:rsidRPr="00015070">
        <w:rPr>
          <w:rFonts w:ascii="Times New Roman" w:hAnsi="Times New Roman" w:cs="Times New Roman"/>
          <w:color w:val="000000" w:themeColor="text1"/>
          <w:sz w:val="24"/>
          <w:szCs w:val="24"/>
        </w:rPr>
        <w:t xml:space="preserve">, A., </w:t>
      </w:r>
      <w:proofErr w:type="spellStart"/>
      <w:r w:rsidRPr="00015070">
        <w:rPr>
          <w:rFonts w:ascii="Times New Roman" w:hAnsi="Times New Roman" w:cs="Times New Roman"/>
          <w:color w:val="000000" w:themeColor="text1"/>
          <w:sz w:val="24"/>
          <w:szCs w:val="24"/>
        </w:rPr>
        <w:t>Jallier</w:t>
      </w:r>
      <w:proofErr w:type="spellEnd"/>
      <w:r w:rsidRPr="00015070">
        <w:rPr>
          <w:rFonts w:ascii="Times New Roman" w:hAnsi="Times New Roman" w:cs="Times New Roman"/>
          <w:color w:val="000000" w:themeColor="text1"/>
          <w:sz w:val="24"/>
          <w:szCs w:val="24"/>
        </w:rPr>
        <w:t xml:space="preserve">, V., </w:t>
      </w:r>
      <w:proofErr w:type="spellStart"/>
      <w:r w:rsidRPr="00015070">
        <w:rPr>
          <w:rFonts w:ascii="Times New Roman" w:hAnsi="Times New Roman" w:cs="Times New Roman"/>
          <w:color w:val="000000" w:themeColor="text1"/>
          <w:sz w:val="24"/>
          <w:szCs w:val="24"/>
        </w:rPr>
        <w:t>Moench-Pfanner</w:t>
      </w:r>
      <w:proofErr w:type="spellEnd"/>
      <w:r w:rsidRPr="00015070">
        <w:rPr>
          <w:rFonts w:ascii="Times New Roman" w:hAnsi="Times New Roman" w:cs="Times New Roman"/>
          <w:color w:val="000000" w:themeColor="text1"/>
          <w:sz w:val="24"/>
          <w:szCs w:val="24"/>
        </w:rPr>
        <w:t xml:space="preserve">, R., </w:t>
      </w:r>
      <w:proofErr w:type="spellStart"/>
      <w:r w:rsidRPr="00015070">
        <w:rPr>
          <w:rFonts w:ascii="Times New Roman" w:hAnsi="Times New Roman" w:cs="Times New Roman"/>
          <w:color w:val="000000" w:themeColor="text1"/>
          <w:sz w:val="24"/>
          <w:szCs w:val="24"/>
        </w:rPr>
        <w:t>Avallone</w:t>
      </w:r>
      <w:proofErr w:type="spellEnd"/>
      <w:r w:rsidRPr="00015070">
        <w:rPr>
          <w:rFonts w:ascii="Times New Roman" w:hAnsi="Times New Roman" w:cs="Times New Roman"/>
          <w:color w:val="000000" w:themeColor="text1"/>
          <w:sz w:val="24"/>
          <w:szCs w:val="24"/>
        </w:rPr>
        <w:t xml:space="preserve">, S., &amp; Berger, J. (2020). </w:t>
      </w:r>
      <w:r w:rsidRPr="00015070">
        <w:rPr>
          <w:rFonts w:ascii="Times New Roman" w:hAnsi="Times New Roman" w:cs="Times New Roman"/>
          <w:color w:val="000000" w:themeColor="text1"/>
          <w:sz w:val="24"/>
          <w:szCs w:val="24"/>
          <w:lang w:val="en-US"/>
        </w:rPr>
        <w:t xml:space="preserve">Influence of storage conditions and packaging of fortified wheat flour on microbial load and stability of folate and vitamin B12. Food Chemistry: X, 5, 100076. </w:t>
      </w:r>
      <w:hyperlink r:id="rId18" w:history="1">
        <w:r w:rsidRPr="00015070">
          <w:rPr>
            <w:rStyle w:val="Hyperlink"/>
            <w:rFonts w:ascii="Times New Roman" w:hAnsi="Times New Roman" w:cs="Times New Roman"/>
            <w:color w:val="000000" w:themeColor="text1"/>
            <w:sz w:val="24"/>
            <w:szCs w:val="24"/>
            <w:lang w:val="en-US"/>
          </w:rPr>
          <w:t>https://doi.org/10.1016/j.fochx.2019.100076</w:t>
        </w:r>
      </w:hyperlink>
    </w:p>
    <w:p w14:paraId="470BAFB5" w14:textId="77777777" w:rsidR="0079167C" w:rsidRPr="00015070" w:rsidRDefault="0079167C" w:rsidP="00797E3F">
      <w:pPr>
        <w:pStyle w:val="ListParagraph"/>
        <w:numPr>
          <w:ilvl w:val="0"/>
          <w:numId w:val="2"/>
        </w:numPr>
        <w:spacing w:after="0" w:line="360" w:lineRule="auto"/>
        <w:jc w:val="both"/>
        <w:rPr>
          <w:rStyle w:val="Hyperlink"/>
          <w:rFonts w:ascii="Times New Roman" w:hAnsi="Times New Roman"/>
          <w:color w:val="000000" w:themeColor="text1"/>
          <w:sz w:val="24"/>
          <w:szCs w:val="24"/>
          <w:lang w:val="en-US"/>
        </w:rPr>
      </w:pPr>
      <w:r w:rsidRPr="00015070">
        <w:rPr>
          <w:rFonts w:ascii="Times New Roman" w:hAnsi="Times New Roman"/>
          <w:color w:val="000000" w:themeColor="text1"/>
          <w:sz w:val="24"/>
          <w:szCs w:val="24"/>
          <w:lang w:val="de-DE"/>
        </w:rPr>
        <w:t xml:space="preserve">Hughes, H. K., Landa, M. M., &amp; Sharfstein, J. M. (2017). </w:t>
      </w:r>
      <w:r w:rsidRPr="00015070">
        <w:rPr>
          <w:rFonts w:ascii="Times New Roman" w:hAnsi="Times New Roman"/>
          <w:color w:val="000000" w:themeColor="text1"/>
          <w:sz w:val="24"/>
          <w:szCs w:val="24"/>
          <w:lang w:val="en-US"/>
        </w:rPr>
        <w:t xml:space="preserve">Marketing Claims for Infant Formula Additives and Infant Formula—Reply. JAMA Pediatrics, 171(8), 811. </w:t>
      </w:r>
      <w:hyperlink r:id="rId19" w:history="1">
        <w:r w:rsidRPr="00015070">
          <w:rPr>
            <w:rStyle w:val="Hyperlink"/>
            <w:rFonts w:ascii="Times New Roman" w:hAnsi="Times New Roman"/>
            <w:color w:val="000000" w:themeColor="text1"/>
            <w:sz w:val="24"/>
            <w:szCs w:val="24"/>
            <w:lang w:val="en-US"/>
          </w:rPr>
          <w:t>https://doi.org/10.1001/jamapediatrics.2017.1573</w:t>
        </w:r>
      </w:hyperlink>
    </w:p>
    <w:p w14:paraId="266098CF" w14:textId="77777777" w:rsidR="0079167C" w:rsidRPr="00015070" w:rsidRDefault="0079167C" w:rsidP="00797E3F">
      <w:pPr>
        <w:pStyle w:val="ListParagraph"/>
        <w:numPr>
          <w:ilvl w:val="0"/>
          <w:numId w:val="2"/>
        </w:numPr>
        <w:spacing w:after="0" w:line="360" w:lineRule="auto"/>
        <w:jc w:val="both"/>
        <w:rPr>
          <w:rStyle w:val="Hyperlink"/>
          <w:rFonts w:ascii="Times New Roman" w:hAnsi="Times New Roman" w:cs="Times New Roman"/>
          <w:color w:val="000000" w:themeColor="text1"/>
          <w:sz w:val="24"/>
          <w:szCs w:val="24"/>
        </w:rPr>
      </w:pPr>
      <w:r w:rsidRPr="00015070">
        <w:rPr>
          <w:rFonts w:ascii="Times New Roman" w:hAnsi="Times New Roman" w:cs="Times New Roman"/>
          <w:color w:val="000000" w:themeColor="text1"/>
          <w:sz w:val="24"/>
          <w:szCs w:val="24"/>
          <w:lang w:val="en-US"/>
        </w:rPr>
        <w:t xml:space="preserve">International Organization for Standardization. (1994). ISO 11052:1994 – Durum wheat flour and semolina: Determination of yellow pigment content. </w:t>
      </w:r>
      <w:hyperlink r:id="rId20" w:history="1">
        <w:r w:rsidRPr="00015070">
          <w:rPr>
            <w:rStyle w:val="Hyperlink"/>
            <w:rFonts w:ascii="Times New Roman" w:hAnsi="Times New Roman" w:cs="Times New Roman"/>
            <w:color w:val="000000" w:themeColor="text1"/>
            <w:sz w:val="24"/>
            <w:szCs w:val="24"/>
          </w:rPr>
          <w:t>https://doi.org/10.3403/30146123u</w:t>
        </w:r>
      </w:hyperlink>
    </w:p>
    <w:p w14:paraId="62D2FFCF" w14:textId="77777777" w:rsidR="0079167C" w:rsidRPr="00015070" w:rsidRDefault="0079167C" w:rsidP="00797E3F">
      <w:pPr>
        <w:pStyle w:val="ListParagraph"/>
        <w:numPr>
          <w:ilvl w:val="0"/>
          <w:numId w:val="2"/>
        </w:numPr>
        <w:spacing w:after="0" w:line="360" w:lineRule="auto"/>
        <w:jc w:val="both"/>
        <w:rPr>
          <w:rFonts w:ascii="Times New Roman" w:hAnsi="Times New Roman"/>
          <w:color w:val="000000" w:themeColor="text1"/>
        </w:rPr>
      </w:pPr>
      <w:r w:rsidRPr="00015070">
        <w:rPr>
          <w:rFonts w:ascii="Times New Roman" w:hAnsi="Times New Roman"/>
          <w:color w:val="000000" w:themeColor="text1"/>
          <w:lang w:val="de-DE"/>
        </w:rPr>
        <w:t xml:space="preserve">Jiang, Y. J., &amp; Guo, M. R. (2021). </w:t>
      </w:r>
      <w:r w:rsidRPr="00015070">
        <w:rPr>
          <w:rFonts w:ascii="Times New Roman" w:hAnsi="Times New Roman"/>
          <w:color w:val="000000" w:themeColor="text1"/>
          <w:lang w:val="en-US"/>
        </w:rPr>
        <w:t xml:space="preserve">Infant formula product regulation. Human Milk Biochemistry and Infant Formula Manufacturing Technology, 281–316. </w:t>
      </w:r>
      <w:hyperlink r:id="rId21" w:history="1">
        <w:r w:rsidRPr="00015070">
          <w:rPr>
            <w:rStyle w:val="Hyperlink"/>
            <w:rFonts w:ascii="Times New Roman" w:hAnsi="Times New Roman"/>
            <w:color w:val="000000" w:themeColor="text1"/>
          </w:rPr>
          <w:t>https://doi.org/10.1016/b978-0-08-102898-8.00011-8</w:t>
        </w:r>
      </w:hyperlink>
    </w:p>
    <w:p w14:paraId="53AC9465" w14:textId="77777777" w:rsidR="0079167C" w:rsidRPr="00015070" w:rsidRDefault="0079167C" w:rsidP="00797E3F">
      <w:pPr>
        <w:pStyle w:val="ListParagraph"/>
        <w:numPr>
          <w:ilvl w:val="0"/>
          <w:numId w:val="2"/>
        </w:numPr>
        <w:spacing w:after="0" w:line="360" w:lineRule="auto"/>
        <w:jc w:val="both"/>
        <w:rPr>
          <w:rStyle w:val="Hyperlink"/>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rPr>
        <w:t xml:space="preserve">Joséphine, T. N., </w:t>
      </w:r>
      <w:proofErr w:type="spellStart"/>
      <w:r w:rsidRPr="00015070">
        <w:rPr>
          <w:rFonts w:ascii="Times New Roman" w:hAnsi="Times New Roman" w:cs="Times New Roman"/>
          <w:color w:val="000000" w:themeColor="text1"/>
          <w:sz w:val="24"/>
          <w:szCs w:val="24"/>
        </w:rPr>
        <w:t>Nguele</w:t>
      </w:r>
      <w:proofErr w:type="spellEnd"/>
      <w:r w:rsidRPr="00015070">
        <w:rPr>
          <w:rFonts w:ascii="Times New Roman" w:hAnsi="Times New Roman" w:cs="Times New Roman"/>
          <w:color w:val="000000" w:themeColor="text1"/>
          <w:sz w:val="24"/>
          <w:szCs w:val="24"/>
        </w:rPr>
        <w:t xml:space="preserve">, S. S., </w:t>
      </w:r>
      <w:proofErr w:type="spellStart"/>
      <w:r w:rsidRPr="00015070">
        <w:rPr>
          <w:rFonts w:ascii="Times New Roman" w:hAnsi="Times New Roman" w:cs="Times New Roman"/>
          <w:color w:val="000000" w:themeColor="text1"/>
          <w:sz w:val="24"/>
          <w:szCs w:val="24"/>
        </w:rPr>
        <w:t>Hagre</w:t>
      </w:r>
      <w:proofErr w:type="spellEnd"/>
      <w:r w:rsidRPr="00015070">
        <w:rPr>
          <w:rFonts w:ascii="Times New Roman" w:hAnsi="Times New Roman" w:cs="Times New Roman"/>
          <w:color w:val="000000" w:themeColor="text1"/>
          <w:sz w:val="24"/>
          <w:szCs w:val="24"/>
        </w:rPr>
        <w:t xml:space="preserve">, D., </w:t>
      </w:r>
      <w:proofErr w:type="spellStart"/>
      <w:r w:rsidRPr="00015070">
        <w:rPr>
          <w:rFonts w:ascii="Times New Roman" w:hAnsi="Times New Roman" w:cs="Times New Roman"/>
          <w:color w:val="000000" w:themeColor="text1"/>
          <w:sz w:val="24"/>
          <w:szCs w:val="24"/>
        </w:rPr>
        <w:t>Granga</w:t>
      </w:r>
      <w:proofErr w:type="spellEnd"/>
      <w:r w:rsidRPr="00015070">
        <w:rPr>
          <w:rFonts w:ascii="Times New Roman" w:hAnsi="Times New Roman" w:cs="Times New Roman"/>
          <w:color w:val="000000" w:themeColor="text1"/>
          <w:sz w:val="24"/>
          <w:szCs w:val="24"/>
        </w:rPr>
        <w:t xml:space="preserve">, D. D., </w:t>
      </w:r>
      <w:proofErr w:type="spellStart"/>
      <w:r w:rsidRPr="00015070">
        <w:rPr>
          <w:rFonts w:ascii="Times New Roman" w:hAnsi="Times New Roman" w:cs="Times New Roman"/>
          <w:color w:val="000000" w:themeColor="text1"/>
          <w:sz w:val="24"/>
          <w:szCs w:val="24"/>
        </w:rPr>
        <w:t>Abdelsalam</w:t>
      </w:r>
      <w:proofErr w:type="spellEnd"/>
      <w:r w:rsidRPr="00015070">
        <w:rPr>
          <w:rFonts w:ascii="Times New Roman" w:hAnsi="Times New Roman" w:cs="Times New Roman"/>
          <w:color w:val="000000" w:themeColor="text1"/>
          <w:sz w:val="24"/>
          <w:szCs w:val="24"/>
        </w:rPr>
        <w:t xml:space="preserve">, T., &amp; Boy, B. O. (2022). </w:t>
      </w:r>
      <w:r w:rsidRPr="00015070">
        <w:rPr>
          <w:rFonts w:ascii="Times New Roman" w:hAnsi="Times New Roman" w:cs="Times New Roman"/>
          <w:color w:val="000000" w:themeColor="text1"/>
          <w:sz w:val="24"/>
          <w:szCs w:val="24"/>
          <w:lang w:val="en-US"/>
        </w:rPr>
        <w:t xml:space="preserve">Determinants of Severe Acute Malnutrition in Children Aged 0-59 Months. </w:t>
      </w:r>
      <w:proofErr w:type="spellStart"/>
      <w:r w:rsidRPr="00015070">
        <w:rPr>
          <w:rFonts w:ascii="Times New Roman" w:hAnsi="Times New Roman" w:cs="Times New Roman"/>
          <w:color w:val="000000" w:themeColor="text1"/>
          <w:sz w:val="24"/>
          <w:szCs w:val="24"/>
          <w:lang w:val="en-US"/>
        </w:rPr>
        <w:t>Medicon</w:t>
      </w:r>
      <w:proofErr w:type="spellEnd"/>
      <w:r w:rsidRPr="00015070">
        <w:rPr>
          <w:rFonts w:ascii="Times New Roman" w:hAnsi="Times New Roman" w:cs="Times New Roman"/>
          <w:color w:val="000000" w:themeColor="text1"/>
          <w:sz w:val="24"/>
          <w:szCs w:val="24"/>
          <w:lang w:val="en-US"/>
        </w:rPr>
        <w:t xml:space="preserve"> Medical Sciences. </w:t>
      </w:r>
      <w:hyperlink r:id="rId22" w:history="1">
        <w:r w:rsidRPr="00015070">
          <w:rPr>
            <w:rStyle w:val="Hyperlink"/>
            <w:rFonts w:ascii="Times New Roman" w:hAnsi="Times New Roman" w:cs="Times New Roman"/>
            <w:color w:val="000000" w:themeColor="text1"/>
            <w:sz w:val="24"/>
            <w:szCs w:val="24"/>
            <w:lang w:val="en-US"/>
          </w:rPr>
          <w:t>https://doi.org/10.55162/mcms.03.069</w:t>
        </w:r>
      </w:hyperlink>
    </w:p>
    <w:p w14:paraId="1EC5CB9F" w14:textId="77777777" w:rsidR="0079167C" w:rsidRPr="00015070" w:rsidRDefault="0079167C" w:rsidP="00797E3F">
      <w:pPr>
        <w:pStyle w:val="ListParagraph"/>
        <w:numPr>
          <w:ilvl w:val="0"/>
          <w:numId w:val="2"/>
        </w:numPr>
        <w:spacing w:after="0" w:line="360" w:lineRule="auto"/>
        <w:jc w:val="both"/>
        <w:rPr>
          <w:rStyle w:val="Hyperlink"/>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lang w:val="en-US"/>
        </w:rPr>
        <w:t xml:space="preserve">Kaunda, G., </w:t>
      </w:r>
      <w:proofErr w:type="spellStart"/>
      <w:r w:rsidRPr="00015070">
        <w:rPr>
          <w:rFonts w:ascii="Times New Roman" w:hAnsi="Times New Roman" w:cs="Times New Roman"/>
          <w:color w:val="000000" w:themeColor="text1"/>
          <w:sz w:val="24"/>
          <w:szCs w:val="24"/>
          <w:lang w:val="en-US"/>
        </w:rPr>
        <w:t>Mwangwela</w:t>
      </w:r>
      <w:proofErr w:type="spellEnd"/>
      <w:r w:rsidRPr="00015070">
        <w:rPr>
          <w:rFonts w:ascii="Times New Roman" w:hAnsi="Times New Roman" w:cs="Times New Roman"/>
          <w:color w:val="000000" w:themeColor="text1"/>
          <w:sz w:val="24"/>
          <w:szCs w:val="24"/>
          <w:lang w:val="en-US"/>
        </w:rPr>
        <w:t xml:space="preserve">, A., </w:t>
      </w:r>
      <w:proofErr w:type="spellStart"/>
      <w:r w:rsidRPr="00015070">
        <w:rPr>
          <w:rFonts w:ascii="Times New Roman" w:hAnsi="Times New Roman" w:cs="Times New Roman"/>
          <w:color w:val="000000" w:themeColor="text1"/>
          <w:sz w:val="24"/>
          <w:szCs w:val="24"/>
          <w:lang w:val="en-US"/>
        </w:rPr>
        <w:t>Geresomo</w:t>
      </w:r>
      <w:proofErr w:type="spellEnd"/>
      <w:r w:rsidRPr="00015070">
        <w:rPr>
          <w:rFonts w:ascii="Times New Roman" w:hAnsi="Times New Roman" w:cs="Times New Roman"/>
          <w:color w:val="000000" w:themeColor="text1"/>
          <w:sz w:val="24"/>
          <w:szCs w:val="24"/>
          <w:lang w:val="en-US"/>
        </w:rPr>
        <w:t xml:space="preserve">, N., Kaunda, E., &amp; </w:t>
      </w:r>
      <w:proofErr w:type="spellStart"/>
      <w:r w:rsidRPr="00015070">
        <w:rPr>
          <w:rFonts w:ascii="Times New Roman" w:hAnsi="Times New Roman" w:cs="Times New Roman"/>
          <w:color w:val="000000" w:themeColor="text1"/>
          <w:sz w:val="24"/>
          <w:szCs w:val="24"/>
          <w:lang w:val="en-US"/>
        </w:rPr>
        <w:t>Simfukwe</w:t>
      </w:r>
      <w:proofErr w:type="spellEnd"/>
      <w:r w:rsidRPr="00015070">
        <w:rPr>
          <w:rFonts w:ascii="Times New Roman" w:hAnsi="Times New Roman" w:cs="Times New Roman"/>
          <w:color w:val="000000" w:themeColor="text1"/>
          <w:sz w:val="24"/>
          <w:szCs w:val="24"/>
          <w:lang w:val="en-US"/>
        </w:rPr>
        <w:t xml:space="preserve">, K. (2025). Proximate composition, acceptability, and shelf life of complementary foods developed from blends of staple grains, maize, soybeans, and fish in Malawi. Cogent Food &amp; Agriculture, 11(1). </w:t>
      </w:r>
      <w:hyperlink r:id="rId23" w:history="1">
        <w:r w:rsidRPr="00015070">
          <w:rPr>
            <w:rStyle w:val="Hyperlink"/>
            <w:rFonts w:ascii="Times New Roman" w:hAnsi="Times New Roman" w:cs="Times New Roman"/>
            <w:color w:val="000000" w:themeColor="text1"/>
            <w:sz w:val="24"/>
            <w:szCs w:val="24"/>
            <w:lang w:val="en-US"/>
          </w:rPr>
          <w:t>https://doi.org/10.1080/23311932.2025.2544957</w:t>
        </w:r>
      </w:hyperlink>
    </w:p>
    <w:p w14:paraId="25215FF1" w14:textId="77777777" w:rsidR="0079167C" w:rsidRPr="00015070" w:rsidRDefault="0079167C" w:rsidP="00797E3F">
      <w:pPr>
        <w:pStyle w:val="ListParagraph"/>
        <w:numPr>
          <w:ilvl w:val="0"/>
          <w:numId w:val="2"/>
        </w:numPr>
        <w:spacing w:after="0" w:line="360" w:lineRule="auto"/>
        <w:jc w:val="both"/>
        <w:rPr>
          <w:rFonts w:ascii="Times New Roman" w:hAnsi="Times New Roman"/>
          <w:color w:val="000000" w:themeColor="text1"/>
        </w:rPr>
      </w:pPr>
      <w:proofErr w:type="spellStart"/>
      <w:r w:rsidRPr="00015070">
        <w:rPr>
          <w:rFonts w:ascii="Times New Roman" w:hAnsi="Times New Roman"/>
          <w:color w:val="000000" w:themeColor="text1"/>
        </w:rPr>
        <w:t>Oladiran</w:t>
      </w:r>
      <w:proofErr w:type="spellEnd"/>
      <w:r w:rsidRPr="00015070">
        <w:rPr>
          <w:rFonts w:ascii="Times New Roman" w:hAnsi="Times New Roman"/>
          <w:color w:val="000000" w:themeColor="text1"/>
        </w:rPr>
        <w:t xml:space="preserve">, D. A., </w:t>
      </w:r>
      <w:proofErr w:type="spellStart"/>
      <w:r w:rsidRPr="00015070">
        <w:rPr>
          <w:rFonts w:ascii="Times New Roman" w:hAnsi="Times New Roman"/>
          <w:color w:val="000000" w:themeColor="text1"/>
        </w:rPr>
        <w:t>Emmambux</w:t>
      </w:r>
      <w:proofErr w:type="spellEnd"/>
      <w:r w:rsidRPr="00015070">
        <w:rPr>
          <w:rFonts w:ascii="Times New Roman" w:hAnsi="Times New Roman"/>
          <w:color w:val="000000" w:themeColor="text1"/>
        </w:rPr>
        <w:t xml:space="preserve">, M. N., &amp; de Kock, H. L. (2018). </w:t>
      </w:r>
      <w:r w:rsidRPr="00015070">
        <w:rPr>
          <w:rFonts w:ascii="Times New Roman" w:hAnsi="Times New Roman"/>
          <w:color w:val="000000" w:themeColor="text1"/>
          <w:lang w:val="en-US"/>
        </w:rPr>
        <w:t xml:space="preserve">Extrusion cooking of cassava-soy flour with 200 g/kg wheat bran promotes slower oral processing during consumption of the instant porridge and higher derived satiety. LWT - Food Science and Technology, 97, 778–786. </w:t>
      </w:r>
      <w:hyperlink r:id="rId24" w:history="1">
        <w:r w:rsidRPr="00015070">
          <w:rPr>
            <w:rStyle w:val="Hyperlink"/>
            <w:rFonts w:ascii="Times New Roman" w:hAnsi="Times New Roman"/>
            <w:color w:val="000000" w:themeColor="text1"/>
            <w:lang w:val="en-US"/>
          </w:rPr>
          <w:t>https://doi.org/10.1016/j.lwt.2018.07.068</w:t>
        </w:r>
      </w:hyperlink>
    </w:p>
    <w:p w14:paraId="0C6A577A" w14:textId="77777777" w:rsidR="0079167C" w:rsidRPr="00015070" w:rsidRDefault="0079167C" w:rsidP="00797E3F">
      <w:pPr>
        <w:pStyle w:val="ListParagraph"/>
        <w:numPr>
          <w:ilvl w:val="0"/>
          <w:numId w:val="2"/>
        </w:numPr>
        <w:spacing w:after="0" w:line="360" w:lineRule="auto"/>
        <w:jc w:val="both"/>
        <w:rPr>
          <w:rStyle w:val="Hyperlink"/>
          <w:rFonts w:ascii="Times New Roman" w:hAnsi="Times New Roman" w:cs="Times New Roman"/>
          <w:color w:val="000000" w:themeColor="text1"/>
          <w:sz w:val="24"/>
          <w:szCs w:val="24"/>
        </w:rPr>
      </w:pPr>
      <w:r w:rsidRPr="00015070">
        <w:rPr>
          <w:rFonts w:ascii="Times New Roman" w:hAnsi="Times New Roman" w:cs="Times New Roman"/>
          <w:color w:val="000000" w:themeColor="text1"/>
          <w:sz w:val="24"/>
          <w:szCs w:val="24"/>
        </w:rPr>
        <w:lastRenderedPageBreak/>
        <w:t xml:space="preserve">Oumarou Diadie, H., Doudou </w:t>
      </w:r>
      <w:proofErr w:type="spellStart"/>
      <w:r w:rsidRPr="00015070">
        <w:rPr>
          <w:rFonts w:ascii="Times New Roman" w:hAnsi="Times New Roman" w:cs="Times New Roman"/>
          <w:color w:val="000000" w:themeColor="text1"/>
          <w:sz w:val="24"/>
          <w:szCs w:val="24"/>
        </w:rPr>
        <w:t>Halidou</w:t>
      </w:r>
      <w:proofErr w:type="spellEnd"/>
      <w:r w:rsidRPr="00015070">
        <w:rPr>
          <w:rFonts w:ascii="Times New Roman" w:hAnsi="Times New Roman" w:cs="Times New Roman"/>
          <w:color w:val="000000" w:themeColor="text1"/>
          <w:sz w:val="24"/>
          <w:szCs w:val="24"/>
        </w:rPr>
        <w:t xml:space="preserve">, M., &amp; Balla, A. (2012). Etude de la stabilité et de l’acceptabilité du CSB ++ (Corn-Soya Blend) au Niger. </w:t>
      </w:r>
      <w:r w:rsidRPr="00015070">
        <w:rPr>
          <w:rFonts w:ascii="Times New Roman" w:hAnsi="Times New Roman" w:cs="Times New Roman"/>
          <w:color w:val="000000" w:themeColor="text1"/>
          <w:sz w:val="24"/>
          <w:szCs w:val="24"/>
          <w:lang w:val="en-US"/>
        </w:rPr>
        <w:t xml:space="preserve">International Journal of Biological and Chemical Sciences, 6(6), 4080-4093. </w:t>
      </w:r>
      <w:hyperlink r:id="rId25" w:history="1">
        <w:r w:rsidRPr="00015070">
          <w:rPr>
            <w:rStyle w:val="Hyperlink"/>
            <w:rFonts w:ascii="Times New Roman" w:hAnsi="Times New Roman" w:cs="Times New Roman"/>
            <w:color w:val="000000" w:themeColor="text1"/>
            <w:sz w:val="24"/>
            <w:szCs w:val="24"/>
          </w:rPr>
          <w:t>https://doi.org/10.4314/ijbcs.v6i6.18</w:t>
        </w:r>
      </w:hyperlink>
    </w:p>
    <w:p w14:paraId="66AA9C44" w14:textId="77777777" w:rsidR="0079167C" w:rsidRPr="00015070" w:rsidRDefault="0079167C" w:rsidP="00797E3F">
      <w:pPr>
        <w:pStyle w:val="ListParagraph"/>
        <w:numPr>
          <w:ilvl w:val="0"/>
          <w:numId w:val="2"/>
        </w:numPr>
        <w:spacing w:after="0" w:line="360" w:lineRule="auto"/>
        <w:jc w:val="both"/>
        <w:rPr>
          <w:rStyle w:val="Hyperlink"/>
          <w:rFonts w:ascii="Times New Roman" w:hAnsi="Times New Roman" w:cs="Times New Roman"/>
          <w:color w:val="000000" w:themeColor="text1"/>
          <w:sz w:val="24"/>
          <w:szCs w:val="24"/>
          <w:lang w:val="de-DE"/>
        </w:rPr>
      </w:pPr>
      <w:r w:rsidRPr="00015070">
        <w:rPr>
          <w:rFonts w:ascii="Times New Roman" w:hAnsi="Times New Roman" w:cs="Times New Roman"/>
          <w:color w:val="000000" w:themeColor="text1"/>
          <w:sz w:val="24"/>
          <w:szCs w:val="24"/>
        </w:rPr>
        <w:t xml:space="preserve">Paré, B. C., </w:t>
      </w:r>
      <w:proofErr w:type="spellStart"/>
      <w:r w:rsidRPr="00015070">
        <w:rPr>
          <w:rFonts w:ascii="Times New Roman" w:hAnsi="Times New Roman" w:cs="Times New Roman"/>
          <w:color w:val="000000" w:themeColor="text1"/>
          <w:sz w:val="24"/>
          <w:szCs w:val="24"/>
        </w:rPr>
        <w:t>Dahourou</w:t>
      </w:r>
      <w:proofErr w:type="spellEnd"/>
      <w:r w:rsidRPr="00015070">
        <w:rPr>
          <w:rFonts w:ascii="Times New Roman" w:hAnsi="Times New Roman" w:cs="Times New Roman"/>
          <w:color w:val="000000" w:themeColor="text1"/>
          <w:sz w:val="24"/>
          <w:szCs w:val="24"/>
        </w:rPr>
        <w:t xml:space="preserve">, D. L., Kabore, A., Sana, A., </w:t>
      </w:r>
      <w:proofErr w:type="spellStart"/>
      <w:r w:rsidRPr="00015070">
        <w:rPr>
          <w:rFonts w:ascii="Times New Roman" w:hAnsi="Times New Roman" w:cs="Times New Roman"/>
          <w:color w:val="000000" w:themeColor="text1"/>
          <w:sz w:val="24"/>
          <w:szCs w:val="24"/>
        </w:rPr>
        <w:t>Kinda</w:t>
      </w:r>
      <w:proofErr w:type="spellEnd"/>
      <w:r w:rsidRPr="00015070">
        <w:rPr>
          <w:rFonts w:ascii="Times New Roman" w:hAnsi="Times New Roman" w:cs="Times New Roman"/>
          <w:color w:val="000000" w:themeColor="text1"/>
          <w:sz w:val="24"/>
          <w:szCs w:val="24"/>
        </w:rPr>
        <w:t xml:space="preserve">, R., </w:t>
      </w:r>
      <w:proofErr w:type="spellStart"/>
      <w:r w:rsidRPr="00015070">
        <w:rPr>
          <w:rFonts w:ascii="Times New Roman" w:hAnsi="Times New Roman" w:cs="Times New Roman"/>
          <w:color w:val="000000" w:themeColor="text1"/>
          <w:sz w:val="24"/>
          <w:szCs w:val="24"/>
        </w:rPr>
        <w:t>Ouaro</w:t>
      </w:r>
      <w:proofErr w:type="spellEnd"/>
      <w:r w:rsidRPr="00015070">
        <w:rPr>
          <w:rFonts w:ascii="Times New Roman" w:hAnsi="Times New Roman" w:cs="Times New Roman"/>
          <w:color w:val="000000" w:themeColor="text1"/>
          <w:sz w:val="24"/>
          <w:szCs w:val="24"/>
        </w:rPr>
        <w:t xml:space="preserve">, B., </w:t>
      </w:r>
      <w:proofErr w:type="spellStart"/>
      <w:r w:rsidRPr="00015070">
        <w:rPr>
          <w:rFonts w:ascii="Times New Roman" w:hAnsi="Times New Roman" w:cs="Times New Roman"/>
          <w:color w:val="000000" w:themeColor="text1"/>
          <w:sz w:val="24"/>
          <w:szCs w:val="24"/>
        </w:rPr>
        <w:t>Dahany</w:t>
      </w:r>
      <w:proofErr w:type="spellEnd"/>
      <w:r w:rsidRPr="00015070">
        <w:rPr>
          <w:rFonts w:ascii="Times New Roman" w:hAnsi="Times New Roman" w:cs="Times New Roman"/>
          <w:color w:val="000000" w:themeColor="text1"/>
          <w:sz w:val="24"/>
          <w:szCs w:val="24"/>
        </w:rPr>
        <w:t xml:space="preserve">, M. M., Hien, H., &amp; Méda, N. (2022). Prévalence et facteurs associés à l’émaciation des nourrissons de 6 à 23 mois dans la région du Sahel du Burkina Faso. Revue d’Épidémiologie et de Santé Publique, 70, S216. </w:t>
      </w:r>
      <w:hyperlink r:id="rId26" w:history="1">
        <w:r w:rsidRPr="00015070">
          <w:rPr>
            <w:rStyle w:val="Hyperlink"/>
            <w:rFonts w:ascii="Times New Roman" w:hAnsi="Times New Roman" w:cs="Times New Roman"/>
            <w:color w:val="000000" w:themeColor="text1"/>
            <w:sz w:val="24"/>
            <w:szCs w:val="24"/>
            <w:lang w:val="de-DE"/>
          </w:rPr>
          <w:t>https://doi.org/10.1016/j.respe.2022.06.034</w:t>
        </w:r>
      </w:hyperlink>
    </w:p>
    <w:p w14:paraId="3A39B857" w14:textId="77777777" w:rsidR="0079167C" w:rsidRPr="00015070" w:rsidRDefault="0079167C" w:rsidP="00797E3F">
      <w:pPr>
        <w:pStyle w:val="ListParagraph"/>
        <w:numPr>
          <w:ilvl w:val="0"/>
          <w:numId w:val="2"/>
        </w:numPr>
        <w:spacing w:after="0" w:line="360" w:lineRule="auto"/>
        <w:jc w:val="both"/>
        <w:rPr>
          <w:rStyle w:val="Hyperlink"/>
          <w:rFonts w:ascii="Times New Roman" w:hAnsi="Times New Roman" w:cs="Times New Roman"/>
          <w:color w:val="000000" w:themeColor="text1"/>
          <w:sz w:val="24"/>
          <w:szCs w:val="24"/>
        </w:rPr>
      </w:pPr>
      <w:r w:rsidRPr="00015070">
        <w:rPr>
          <w:rFonts w:ascii="Times New Roman" w:hAnsi="Times New Roman" w:cs="Times New Roman"/>
          <w:color w:val="000000" w:themeColor="text1"/>
          <w:sz w:val="24"/>
          <w:szCs w:val="24"/>
          <w:lang w:val="de-DE"/>
        </w:rPr>
        <w:t xml:space="preserve">Sombie, O. O., Hien, A., Traore, S., Kelle, H., Garanet, F., Ky, D. A., Kpoda, H., &amp; Zeba, N. A. (2023). </w:t>
      </w:r>
      <w:r w:rsidRPr="00015070">
        <w:rPr>
          <w:rFonts w:ascii="Times New Roman" w:hAnsi="Times New Roman" w:cs="Times New Roman"/>
          <w:color w:val="000000" w:themeColor="text1"/>
          <w:sz w:val="24"/>
          <w:szCs w:val="24"/>
        </w:rPr>
        <w:t xml:space="preserve">Connaissances et utilisation des aliments fortifiés en vitamine A des femmes de la ville de Bobo-Dioulasso, Burkina Faso. Sciences Naturelles et Appliquées, 42(1), 125-140. </w:t>
      </w:r>
      <w:hyperlink r:id="rId27" w:history="1">
        <w:r w:rsidRPr="00015070">
          <w:rPr>
            <w:rStyle w:val="Hyperlink"/>
            <w:rFonts w:ascii="Times New Roman" w:hAnsi="Times New Roman" w:cs="Times New Roman"/>
            <w:color w:val="000000" w:themeColor="text1"/>
            <w:sz w:val="24"/>
            <w:szCs w:val="24"/>
          </w:rPr>
          <w:t>https://revuesciences-techniquesburkina.org/index.php/sciences_naturelles_et_appliquee/article/view/1272</w:t>
        </w:r>
      </w:hyperlink>
    </w:p>
    <w:p w14:paraId="5361C110" w14:textId="77777777" w:rsidR="0079167C" w:rsidRPr="00015070" w:rsidRDefault="0079167C" w:rsidP="00797E3F">
      <w:pPr>
        <w:pStyle w:val="ListParagraph"/>
        <w:numPr>
          <w:ilvl w:val="0"/>
          <w:numId w:val="2"/>
        </w:numPr>
        <w:spacing w:after="0" w:line="360" w:lineRule="auto"/>
        <w:jc w:val="both"/>
        <w:rPr>
          <w:rStyle w:val="Hyperlink"/>
          <w:rFonts w:ascii="Times New Roman" w:hAnsi="Times New Roman" w:cs="Times New Roman"/>
          <w:color w:val="000000" w:themeColor="text1"/>
          <w:sz w:val="24"/>
          <w:szCs w:val="24"/>
          <w:lang w:val="en-US"/>
        </w:rPr>
      </w:pPr>
      <w:proofErr w:type="spellStart"/>
      <w:r w:rsidRPr="00015070">
        <w:rPr>
          <w:rFonts w:ascii="Times New Roman" w:hAnsi="Times New Roman" w:cs="Times New Roman"/>
          <w:color w:val="000000" w:themeColor="text1"/>
          <w:sz w:val="24"/>
          <w:szCs w:val="24"/>
        </w:rPr>
        <w:t>Tapsoba</w:t>
      </w:r>
      <w:proofErr w:type="spellEnd"/>
      <w:r w:rsidRPr="00015070">
        <w:rPr>
          <w:rFonts w:ascii="Times New Roman" w:hAnsi="Times New Roman" w:cs="Times New Roman"/>
          <w:color w:val="000000" w:themeColor="text1"/>
          <w:sz w:val="24"/>
          <w:szCs w:val="24"/>
        </w:rPr>
        <w:t xml:space="preserve">, H., </w:t>
      </w:r>
      <w:proofErr w:type="spellStart"/>
      <w:r w:rsidRPr="00015070">
        <w:rPr>
          <w:rFonts w:ascii="Times New Roman" w:hAnsi="Times New Roman" w:cs="Times New Roman"/>
          <w:color w:val="000000" w:themeColor="text1"/>
          <w:sz w:val="24"/>
          <w:szCs w:val="24"/>
        </w:rPr>
        <w:t>Yameogo</w:t>
      </w:r>
      <w:proofErr w:type="spellEnd"/>
      <w:r w:rsidRPr="00015070">
        <w:rPr>
          <w:rFonts w:ascii="Times New Roman" w:hAnsi="Times New Roman" w:cs="Times New Roman"/>
          <w:color w:val="000000" w:themeColor="text1"/>
          <w:sz w:val="24"/>
          <w:szCs w:val="24"/>
        </w:rPr>
        <w:t xml:space="preserve">, P. S. A., </w:t>
      </w:r>
      <w:proofErr w:type="spellStart"/>
      <w:r w:rsidRPr="00015070">
        <w:rPr>
          <w:rFonts w:ascii="Times New Roman" w:hAnsi="Times New Roman" w:cs="Times New Roman"/>
          <w:color w:val="000000" w:themeColor="text1"/>
          <w:sz w:val="24"/>
          <w:szCs w:val="24"/>
        </w:rPr>
        <w:t>Bougoum</w:t>
      </w:r>
      <w:proofErr w:type="spellEnd"/>
      <w:r w:rsidRPr="00015070">
        <w:rPr>
          <w:rFonts w:ascii="Times New Roman" w:hAnsi="Times New Roman" w:cs="Times New Roman"/>
          <w:color w:val="000000" w:themeColor="text1"/>
          <w:sz w:val="24"/>
          <w:szCs w:val="24"/>
        </w:rPr>
        <w:t xml:space="preserve">, S., &amp; </w:t>
      </w:r>
      <w:proofErr w:type="spellStart"/>
      <w:r w:rsidRPr="00015070">
        <w:rPr>
          <w:rFonts w:ascii="Times New Roman" w:hAnsi="Times New Roman" w:cs="Times New Roman"/>
          <w:color w:val="000000" w:themeColor="text1"/>
          <w:sz w:val="24"/>
          <w:szCs w:val="24"/>
        </w:rPr>
        <w:t>Ilboudo</w:t>
      </w:r>
      <w:proofErr w:type="spellEnd"/>
      <w:r w:rsidRPr="00015070">
        <w:rPr>
          <w:rFonts w:ascii="Times New Roman" w:hAnsi="Times New Roman" w:cs="Times New Roman"/>
          <w:color w:val="000000" w:themeColor="text1"/>
          <w:sz w:val="24"/>
          <w:szCs w:val="24"/>
        </w:rPr>
        <w:t xml:space="preserve">, A. (2025). </w:t>
      </w:r>
      <w:proofErr w:type="spellStart"/>
      <w:r w:rsidRPr="00015070">
        <w:rPr>
          <w:rFonts w:ascii="Times New Roman" w:hAnsi="Times New Roman" w:cs="Times New Roman"/>
          <w:color w:val="000000" w:themeColor="text1"/>
          <w:sz w:val="24"/>
          <w:szCs w:val="24"/>
        </w:rPr>
        <w:t>Promoting</w:t>
      </w:r>
      <w:proofErr w:type="spellEnd"/>
      <w:r w:rsidRPr="00015070">
        <w:rPr>
          <w:rFonts w:ascii="Times New Roman" w:hAnsi="Times New Roman" w:cs="Times New Roman"/>
          <w:color w:val="000000" w:themeColor="text1"/>
          <w:sz w:val="24"/>
          <w:szCs w:val="24"/>
        </w:rPr>
        <w:t xml:space="preserve"> oral </w:t>
      </w:r>
      <w:proofErr w:type="spellStart"/>
      <w:r w:rsidRPr="00015070">
        <w:rPr>
          <w:rFonts w:ascii="Times New Roman" w:hAnsi="Times New Roman" w:cs="Times New Roman"/>
          <w:color w:val="000000" w:themeColor="text1"/>
          <w:sz w:val="24"/>
          <w:szCs w:val="24"/>
        </w:rPr>
        <w:t>health</w:t>
      </w:r>
      <w:proofErr w:type="spellEnd"/>
      <w:r w:rsidRPr="00015070">
        <w:rPr>
          <w:rFonts w:ascii="Times New Roman" w:hAnsi="Times New Roman" w:cs="Times New Roman"/>
          <w:color w:val="000000" w:themeColor="text1"/>
          <w:sz w:val="24"/>
          <w:szCs w:val="24"/>
        </w:rPr>
        <w:t xml:space="preserve"> and </w:t>
      </w:r>
      <w:proofErr w:type="spellStart"/>
      <w:r w:rsidRPr="00015070">
        <w:rPr>
          <w:rFonts w:ascii="Times New Roman" w:hAnsi="Times New Roman" w:cs="Times New Roman"/>
          <w:color w:val="000000" w:themeColor="text1"/>
          <w:sz w:val="24"/>
          <w:szCs w:val="24"/>
        </w:rPr>
        <w:t>fighting</w:t>
      </w:r>
      <w:proofErr w:type="spellEnd"/>
      <w:r w:rsidRPr="00015070">
        <w:rPr>
          <w:rFonts w:ascii="Times New Roman" w:hAnsi="Times New Roman" w:cs="Times New Roman"/>
          <w:color w:val="000000" w:themeColor="text1"/>
          <w:sz w:val="24"/>
          <w:szCs w:val="24"/>
        </w:rPr>
        <w:t xml:space="preserve"> malnutrition in the Sahel </w:t>
      </w:r>
      <w:proofErr w:type="spellStart"/>
      <w:r w:rsidRPr="00015070">
        <w:rPr>
          <w:rFonts w:ascii="Times New Roman" w:hAnsi="Times New Roman" w:cs="Times New Roman"/>
          <w:color w:val="000000" w:themeColor="text1"/>
          <w:sz w:val="24"/>
          <w:szCs w:val="24"/>
        </w:rPr>
        <w:t>region</w:t>
      </w:r>
      <w:proofErr w:type="spellEnd"/>
      <w:r w:rsidRPr="00015070">
        <w:rPr>
          <w:rFonts w:ascii="Times New Roman" w:hAnsi="Times New Roman" w:cs="Times New Roman"/>
          <w:color w:val="000000" w:themeColor="text1"/>
          <w:sz w:val="24"/>
          <w:szCs w:val="24"/>
        </w:rPr>
        <w:t xml:space="preserve"> of Burkina </w:t>
      </w:r>
      <w:proofErr w:type="gramStart"/>
      <w:r w:rsidRPr="00015070">
        <w:rPr>
          <w:rFonts w:ascii="Times New Roman" w:hAnsi="Times New Roman" w:cs="Times New Roman"/>
          <w:color w:val="000000" w:themeColor="text1"/>
          <w:sz w:val="24"/>
          <w:szCs w:val="24"/>
        </w:rPr>
        <w:t>Faso:</w:t>
      </w:r>
      <w:proofErr w:type="gramEnd"/>
      <w:r w:rsidRPr="00015070">
        <w:rPr>
          <w:rFonts w:ascii="Times New Roman" w:hAnsi="Times New Roman" w:cs="Times New Roman"/>
          <w:color w:val="000000" w:themeColor="text1"/>
          <w:sz w:val="24"/>
          <w:szCs w:val="24"/>
        </w:rPr>
        <w:t xml:space="preserve"> the </w:t>
      </w:r>
      <w:proofErr w:type="spellStart"/>
      <w:r w:rsidRPr="00015070">
        <w:rPr>
          <w:rFonts w:ascii="Times New Roman" w:hAnsi="Times New Roman" w:cs="Times New Roman"/>
          <w:color w:val="000000" w:themeColor="text1"/>
          <w:sz w:val="24"/>
          <w:szCs w:val="24"/>
        </w:rPr>
        <w:t>integrated</w:t>
      </w:r>
      <w:proofErr w:type="spellEnd"/>
      <w:r w:rsidRPr="00015070">
        <w:rPr>
          <w:rFonts w:ascii="Times New Roman" w:hAnsi="Times New Roman" w:cs="Times New Roman"/>
          <w:color w:val="000000" w:themeColor="text1"/>
          <w:sz w:val="24"/>
          <w:szCs w:val="24"/>
        </w:rPr>
        <w:t xml:space="preserve"> nutrition </w:t>
      </w:r>
      <w:proofErr w:type="spellStart"/>
      <w:r w:rsidRPr="00015070">
        <w:rPr>
          <w:rFonts w:ascii="Times New Roman" w:hAnsi="Times New Roman" w:cs="Times New Roman"/>
          <w:color w:val="000000" w:themeColor="text1"/>
          <w:sz w:val="24"/>
          <w:szCs w:val="24"/>
        </w:rPr>
        <w:t>strategy</w:t>
      </w:r>
      <w:proofErr w:type="spellEnd"/>
      <w:r w:rsidRPr="00015070">
        <w:rPr>
          <w:rFonts w:ascii="Times New Roman" w:hAnsi="Times New Roman" w:cs="Times New Roman"/>
          <w:color w:val="000000" w:themeColor="text1"/>
          <w:sz w:val="24"/>
          <w:szCs w:val="24"/>
        </w:rPr>
        <w:t xml:space="preserve"> of the ‘projet de sensibilisation et de renforcement des capacités pour La prévention du </w:t>
      </w:r>
      <w:proofErr w:type="spellStart"/>
      <w:r w:rsidRPr="00015070">
        <w:rPr>
          <w:rFonts w:ascii="Times New Roman" w:hAnsi="Times New Roman" w:cs="Times New Roman"/>
          <w:color w:val="000000" w:themeColor="text1"/>
          <w:sz w:val="24"/>
          <w:szCs w:val="24"/>
        </w:rPr>
        <w:t>Noma</w:t>
      </w:r>
      <w:proofErr w:type="spellEnd"/>
      <w:r w:rsidRPr="00015070">
        <w:rPr>
          <w:rFonts w:ascii="Times New Roman" w:hAnsi="Times New Roman" w:cs="Times New Roman"/>
          <w:color w:val="000000" w:themeColor="text1"/>
          <w:sz w:val="24"/>
          <w:szCs w:val="24"/>
        </w:rPr>
        <w:t xml:space="preserve"> Au Burkina Faso’ (PSRCPN/BF). </w:t>
      </w:r>
      <w:r w:rsidRPr="00015070">
        <w:rPr>
          <w:rFonts w:ascii="Times New Roman" w:hAnsi="Times New Roman" w:cs="Times New Roman"/>
          <w:color w:val="000000" w:themeColor="text1"/>
          <w:sz w:val="24"/>
          <w:szCs w:val="24"/>
          <w:lang w:val="en-US"/>
        </w:rPr>
        <w:t xml:space="preserve">BMC Public Health, 25(1). </w:t>
      </w:r>
      <w:hyperlink r:id="rId28" w:history="1">
        <w:r w:rsidRPr="00015070">
          <w:rPr>
            <w:rStyle w:val="Hyperlink"/>
            <w:rFonts w:ascii="Times New Roman" w:hAnsi="Times New Roman" w:cs="Times New Roman"/>
            <w:color w:val="000000" w:themeColor="text1"/>
            <w:sz w:val="24"/>
            <w:szCs w:val="24"/>
            <w:lang w:val="en-US"/>
          </w:rPr>
          <w:t>https://doi.org/10.1186/s12889-025-23943-2</w:t>
        </w:r>
      </w:hyperlink>
    </w:p>
    <w:p w14:paraId="68386C62" w14:textId="77777777" w:rsidR="0079167C" w:rsidRPr="00015070" w:rsidRDefault="0079167C" w:rsidP="00797E3F">
      <w:pPr>
        <w:pStyle w:val="ListParagraph"/>
        <w:numPr>
          <w:ilvl w:val="0"/>
          <w:numId w:val="2"/>
        </w:numPr>
        <w:spacing w:after="0" w:line="360" w:lineRule="auto"/>
        <w:jc w:val="both"/>
        <w:rPr>
          <w:rStyle w:val="Hyperlink"/>
          <w:rFonts w:ascii="Times New Roman" w:hAnsi="Times New Roman" w:cs="Times New Roman"/>
          <w:color w:val="000000" w:themeColor="text1"/>
          <w:sz w:val="24"/>
          <w:szCs w:val="24"/>
          <w:lang w:val="en-US"/>
        </w:rPr>
      </w:pPr>
      <w:r w:rsidRPr="00015070">
        <w:rPr>
          <w:rFonts w:ascii="Times New Roman" w:hAnsi="Times New Roman" w:cs="Times New Roman"/>
          <w:color w:val="000000" w:themeColor="text1"/>
          <w:sz w:val="24"/>
          <w:szCs w:val="24"/>
          <w:lang w:val="pl-PL"/>
        </w:rPr>
        <w:t xml:space="preserve">Zakaria, Z., Nursalim, N., &amp; Titi ZA, A. T. (2025). </w:t>
      </w:r>
      <w:r w:rsidRPr="00015070">
        <w:rPr>
          <w:rFonts w:ascii="Times New Roman" w:hAnsi="Times New Roman" w:cs="Times New Roman"/>
          <w:color w:val="000000" w:themeColor="text1"/>
          <w:sz w:val="24"/>
          <w:szCs w:val="24"/>
          <w:lang w:val="en-US"/>
        </w:rPr>
        <w:t xml:space="preserve">Accelerated shelf-life assessment of moringa-fortified instant complementary food for infants aged 6-11 months based on microbial parameters. Italian Journal of Food Safety, 14(3). </w:t>
      </w:r>
      <w:hyperlink r:id="rId29" w:history="1">
        <w:r w:rsidRPr="00015070">
          <w:rPr>
            <w:rStyle w:val="Hyperlink"/>
            <w:rFonts w:ascii="Times New Roman" w:hAnsi="Times New Roman" w:cs="Times New Roman"/>
            <w:color w:val="000000" w:themeColor="text1"/>
            <w:sz w:val="24"/>
            <w:szCs w:val="24"/>
            <w:lang w:val="en-US"/>
          </w:rPr>
          <w:t>https://doi.org/10.4081/ijfs.2025.13608</w:t>
        </w:r>
      </w:hyperlink>
    </w:p>
    <w:p w14:paraId="78A04CF9" w14:textId="77777777" w:rsidR="0079167C" w:rsidRPr="00015070" w:rsidRDefault="0079167C" w:rsidP="0079167C">
      <w:pPr>
        <w:spacing w:after="0" w:line="360" w:lineRule="auto"/>
        <w:ind w:left="540" w:hanging="540"/>
        <w:jc w:val="both"/>
        <w:rPr>
          <w:rFonts w:ascii="Times New Roman" w:hAnsi="Times New Roman"/>
          <w:color w:val="000000" w:themeColor="text1"/>
        </w:rPr>
      </w:pPr>
    </w:p>
    <w:p w14:paraId="0346B507" w14:textId="77777777" w:rsidR="0079167C" w:rsidRPr="00015070" w:rsidRDefault="0079167C" w:rsidP="0079167C">
      <w:pPr>
        <w:spacing w:after="0" w:line="360" w:lineRule="auto"/>
        <w:ind w:left="540" w:hanging="540"/>
        <w:jc w:val="both"/>
        <w:rPr>
          <w:rFonts w:ascii="Times New Roman" w:hAnsi="Times New Roman"/>
          <w:color w:val="000000" w:themeColor="text1"/>
        </w:rPr>
      </w:pPr>
    </w:p>
    <w:p w14:paraId="751C11EC" w14:textId="77777777" w:rsidR="0079167C" w:rsidRPr="00015070" w:rsidRDefault="0079167C" w:rsidP="0079167C">
      <w:pPr>
        <w:spacing w:after="0" w:line="360" w:lineRule="auto"/>
        <w:ind w:left="540" w:hanging="540"/>
        <w:jc w:val="both"/>
        <w:rPr>
          <w:rFonts w:ascii="Times New Roman" w:hAnsi="Times New Roman"/>
          <w:color w:val="000000" w:themeColor="text1"/>
        </w:rPr>
      </w:pPr>
    </w:p>
    <w:p w14:paraId="2BB96BB5" w14:textId="77777777" w:rsidR="0079167C" w:rsidRPr="00015070" w:rsidRDefault="0079167C" w:rsidP="0079167C">
      <w:pPr>
        <w:spacing w:after="0" w:line="360" w:lineRule="auto"/>
        <w:ind w:left="540" w:hanging="540"/>
        <w:jc w:val="both"/>
        <w:rPr>
          <w:rFonts w:ascii="Times New Roman" w:hAnsi="Times New Roman" w:cs="Times New Roman"/>
          <w:color w:val="000000" w:themeColor="text1"/>
          <w:sz w:val="24"/>
          <w:szCs w:val="24"/>
          <w:lang w:val="en-US"/>
        </w:rPr>
      </w:pPr>
    </w:p>
    <w:p w14:paraId="08156389" w14:textId="77777777" w:rsidR="006F5A19" w:rsidRPr="00015070" w:rsidRDefault="006F5A19" w:rsidP="006F5A19">
      <w:pPr>
        <w:spacing w:after="0" w:line="360" w:lineRule="auto"/>
        <w:jc w:val="both"/>
        <w:rPr>
          <w:rFonts w:ascii="Times New Roman" w:hAnsi="Times New Roman" w:cs="Times New Roman"/>
          <w:color w:val="000000" w:themeColor="text1"/>
          <w:sz w:val="24"/>
          <w:szCs w:val="24"/>
          <w:lang w:val="en-US"/>
        </w:rPr>
      </w:pPr>
    </w:p>
    <w:sectPr w:rsidR="006F5A19" w:rsidRPr="00015070" w:rsidSect="00604E49">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955D5" w14:textId="77777777" w:rsidR="0014343D" w:rsidRDefault="0014343D" w:rsidP="00E749F6">
      <w:pPr>
        <w:spacing w:after="0" w:line="240" w:lineRule="auto"/>
      </w:pPr>
      <w:r>
        <w:separator/>
      </w:r>
    </w:p>
  </w:endnote>
  <w:endnote w:type="continuationSeparator" w:id="0">
    <w:p w14:paraId="1301E57F" w14:textId="77777777" w:rsidR="0014343D" w:rsidRDefault="0014343D" w:rsidP="00E7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2ADD" w14:textId="77777777" w:rsidR="00E749F6" w:rsidRDefault="00E74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D7D2" w14:textId="77777777" w:rsidR="00E749F6" w:rsidRDefault="00E74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1B3C6" w14:textId="77777777" w:rsidR="00E749F6" w:rsidRDefault="00E7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359C5" w14:textId="77777777" w:rsidR="0014343D" w:rsidRDefault="0014343D" w:rsidP="00E749F6">
      <w:pPr>
        <w:spacing w:after="0" w:line="240" w:lineRule="auto"/>
      </w:pPr>
      <w:r>
        <w:separator/>
      </w:r>
    </w:p>
  </w:footnote>
  <w:footnote w:type="continuationSeparator" w:id="0">
    <w:p w14:paraId="03D3E764" w14:textId="77777777" w:rsidR="0014343D" w:rsidRDefault="0014343D" w:rsidP="00E7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C6868" w14:textId="3DC8D689" w:rsidR="00E749F6" w:rsidRDefault="0014343D">
    <w:pPr>
      <w:pStyle w:val="Header"/>
    </w:pPr>
    <w:r>
      <w:rPr>
        <w:noProof/>
      </w:rPr>
      <w:pict w14:anchorId="7B491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7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09E4F" w14:textId="17EF0098" w:rsidR="00E749F6" w:rsidRDefault="0014343D">
    <w:pPr>
      <w:pStyle w:val="Header"/>
    </w:pPr>
    <w:r>
      <w:rPr>
        <w:noProof/>
      </w:rPr>
      <w:pict w14:anchorId="5BEC6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7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2A514" w14:textId="2A52E01F" w:rsidR="00E749F6" w:rsidRDefault="0014343D">
    <w:pPr>
      <w:pStyle w:val="Header"/>
    </w:pPr>
    <w:r>
      <w:rPr>
        <w:noProof/>
      </w:rPr>
      <w:pict w14:anchorId="543C5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7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D7E31"/>
    <w:multiLevelType w:val="hybridMultilevel"/>
    <w:tmpl w:val="BD7A7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F713A"/>
    <w:multiLevelType w:val="hybridMultilevel"/>
    <w:tmpl w:val="39224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1C8"/>
    <w:rsid w:val="00015070"/>
    <w:rsid w:val="00036E6C"/>
    <w:rsid w:val="00062F82"/>
    <w:rsid w:val="000A73D6"/>
    <w:rsid w:val="000D6EF8"/>
    <w:rsid w:val="0014343D"/>
    <w:rsid w:val="00183AA5"/>
    <w:rsid w:val="001A46E6"/>
    <w:rsid w:val="001B4AE3"/>
    <w:rsid w:val="001D3EBA"/>
    <w:rsid w:val="00245CCA"/>
    <w:rsid w:val="002A07A2"/>
    <w:rsid w:val="002A25DF"/>
    <w:rsid w:val="002A3ED7"/>
    <w:rsid w:val="002E6615"/>
    <w:rsid w:val="003224F1"/>
    <w:rsid w:val="00372F40"/>
    <w:rsid w:val="0038349A"/>
    <w:rsid w:val="0039510E"/>
    <w:rsid w:val="003964D6"/>
    <w:rsid w:val="003A24A8"/>
    <w:rsid w:val="004367EF"/>
    <w:rsid w:val="004577CE"/>
    <w:rsid w:val="005040F1"/>
    <w:rsid w:val="00504253"/>
    <w:rsid w:val="00504D8A"/>
    <w:rsid w:val="005179F1"/>
    <w:rsid w:val="005271AD"/>
    <w:rsid w:val="00527FBD"/>
    <w:rsid w:val="005425D3"/>
    <w:rsid w:val="005432AC"/>
    <w:rsid w:val="00551AA5"/>
    <w:rsid w:val="0055528E"/>
    <w:rsid w:val="00582F1E"/>
    <w:rsid w:val="0058371E"/>
    <w:rsid w:val="005B2FAB"/>
    <w:rsid w:val="005C3FAC"/>
    <w:rsid w:val="00604E49"/>
    <w:rsid w:val="00661885"/>
    <w:rsid w:val="00686C1F"/>
    <w:rsid w:val="0069214D"/>
    <w:rsid w:val="006C1DD3"/>
    <w:rsid w:val="006F5A19"/>
    <w:rsid w:val="007011B2"/>
    <w:rsid w:val="007019C4"/>
    <w:rsid w:val="00760DC5"/>
    <w:rsid w:val="00786B0D"/>
    <w:rsid w:val="0079167C"/>
    <w:rsid w:val="00797E3F"/>
    <w:rsid w:val="007E11E9"/>
    <w:rsid w:val="00810575"/>
    <w:rsid w:val="00837F12"/>
    <w:rsid w:val="0085219D"/>
    <w:rsid w:val="008C64B1"/>
    <w:rsid w:val="008D1172"/>
    <w:rsid w:val="00905FD5"/>
    <w:rsid w:val="00930F34"/>
    <w:rsid w:val="00972F05"/>
    <w:rsid w:val="00973BF0"/>
    <w:rsid w:val="009F3BA8"/>
    <w:rsid w:val="009F696B"/>
    <w:rsid w:val="00A31491"/>
    <w:rsid w:val="00A41375"/>
    <w:rsid w:val="00A57CC3"/>
    <w:rsid w:val="00A64DED"/>
    <w:rsid w:val="00A81EF5"/>
    <w:rsid w:val="00A87E89"/>
    <w:rsid w:val="00A90983"/>
    <w:rsid w:val="00AA31C8"/>
    <w:rsid w:val="00B548C4"/>
    <w:rsid w:val="00B55CDF"/>
    <w:rsid w:val="00B67CE1"/>
    <w:rsid w:val="00BA0B88"/>
    <w:rsid w:val="00C22E68"/>
    <w:rsid w:val="00C875F2"/>
    <w:rsid w:val="00CE5700"/>
    <w:rsid w:val="00D17952"/>
    <w:rsid w:val="00D419D4"/>
    <w:rsid w:val="00D4646C"/>
    <w:rsid w:val="00D63A15"/>
    <w:rsid w:val="00D80C5D"/>
    <w:rsid w:val="00E131AE"/>
    <w:rsid w:val="00E418A4"/>
    <w:rsid w:val="00E749F6"/>
    <w:rsid w:val="00E916B9"/>
    <w:rsid w:val="00EB36BA"/>
    <w:rsid w:val="00ED3D6C"/>
    <w:rsid w:val="00F16A2A"/>
    <w:rsid w:val="00F306A2"/>
    <w:rsid w:val="00F31ACE"/>
    <w:rsid w:val="00F325EB"/>
    <w:rsid w:val="00F4019C"/>
    <w:rsid w:val="00F50F1D"/>
    <w:rsid w:val="00F81072"/>
    <w:rsid w:val="00FA2147"/>
    <w:rsid w:val="00FB5B17"/>
    <w:rsid w:val="00FC66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6B9638"/>
  <w15:chartTrackingRefBased/>
  <w15:docId w15:val="{5B16BA82-85DD-4C65-8115-F68FE8D2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1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31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31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31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31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3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1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31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AA31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31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31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3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1C8"/>
    <w:rPr>
      <w:rFonts w:eastAsiaTheme="majorEastAsia" w:cstheme="majorBidi"/>
      <w:color w:val="272727" w:themeColor="text1" w:themeTint="D8"/>
    </w:rPr>
  </w:style>
  <w:style w:type="paragraph" w:styleId="Title">
    <w:name w:val="Title"/>
    <w:basedOn w:val="Normal"/>
    <w:next w:val="Normal"/>
    <w:link w:val="TitleChar"/>
    <w:uiPriority w:val="10"/>
    <w:qFormat/>
    <w:rsid w:val="00AA3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1C8"/>
    <w:pPr>
      <w:spacing w:before="160"/>
      <w:jc w:val="center"/>
    </w:pPr>
    <w:rPr>
      <w:i/>
      <w:iCs/>
      <w:color w:val="404040" w:themeColor="text1" w:themeTint="BF"/>
    </w:rPr>
  </w:style>
  <w:style w:type="character" w:customStyle="1" w:styleId="QuoteChar">
    <w:name w:val="Quote Char"/>
    <w:basedOn w:val="DefaultParagraphFont"/>
    <w:link w:val="Quote"/>
    <w:uiPriority w:val="29"/>
    <w:rsid w:val="00AA31C8"/>
    <w:rPr>
      <w:i/>
      <w:iCs/>
      <w:color w:val="404040" w:themeColor="text1" w:themeTint="BF"/>
    </w:rPr>
  </w:style>
  <w:style w:type="paragraph" w:styleId="ListParagraph">
    <w:name w:val="List Paragraph"/>
    <w:basedOn w:val="Normal"/>
    <w:uiPriority w:val="34"/>
    <w:qFormat/>
    <w:rsid w:val="00AA31C8"/>
    <w:pPr>
      <w:ind w:left="720"/>
      <w:contextualSpacing/>
    </w:pPr>
  </w:style>
  <w:style w:type="character" w:styleId="IntenseEmphasis">
    <w:name w:val="Intense Emphasis"/>
    <w:basedOn w:val="DefaultParagraphFont"/>
    <w:uiPriority w:val="21"/>
    <w:qFormat/>
    <w:rsid w:val="00AA31C8"/>
    <w:rPr>
      <w:i/>
      <w:iCs/>
      <w:color w:val="2F5496" w:themeColor="accent1" w:themeShade="BF"/>
    </w:rPr>
  </w:style>
  <w:style w:type="paragraph" w:styleId="IntenseQuote">
    <w:name w:val="Intense Quote"/>
    <w:basedOn w:val="Normal"/>
    <w:next w:val="Normal"/>
    <w:link w:val="IntenseQuoteChar"/>
    <w:uiPriority w:val="30"/>
    <w:qFormat/>
    <w:rsid w:val="00AA3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31C8"/>
    <w:rPr>
      <w:i/>
      <w:iCs/>
      <w:color w:val="2F5496" w:themeColor="accent1" w:themeShade="BF"/>
    </w:rPr>
  </w:style>
  <w:style w:type="character" w:styleId="IntenseReference">
    <w:name w:val="Intense Reference"/>
    <w:basedOn w:val="DefaultParagraphFont"/>
    <w:uiPriority w:val="32"/>
    <w:qFormat/>
    <w:rsid w:val="00AA31C8"/>
    <w:rPr>
      <w:b/>
      <w:bCs/>
      <w:smallCaps/>
      <w:color w:val="2F5496" w:themeColor="accent1" w:themeShade="BF"/>
      <w:spacing w:val="5"/>
    </w:rPr>
  </w:style>
  <w:style w:type="table" w:customStyle="1" w:styleId="Tableausimple21">
    <w:name w:val="Tableau simple 21"/>
    <w:basedOn w:val="TableNormal"/>
    <w:uiPriority w:val="42"/>
    <w:qFormat/>
    <w:rsid w:val="00A87E89"/>
    <w:pPr>
      <w:spacing w:after="0" w:line="240" w:lineRule="auto"/>
    </w:pPr>
    <w:rPr>
      <w:sz w:val="20"/>
      <w:szCs w:val="20"/>
      <w:lang w:val="en-US" w:eastAsia="zh-CN"/>
      <w14:ligatures w14:val="non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31">
    <w:name w:val="Tableau simple 31"/>
    <w:basedOn w:val="TableNormal"/>
    <w:uiPriority w:val="43"/>
    <w:qFormat/>
    <w:rsid w:val="00A87E89"/>
    <w:pPr>
      <w:spacing w:after="0" w:line="240" w:lineRule="auto"/>
    </w:pPr>
    <w:rPr>
      <w:sz w:val="20"/>
      <w:szCs w:val="20"/>
      <w:lang w:val="en-US" w:eastAsia="zh-CN"/>
      <w14:ligatures w14:val="non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11">
    <w:name w:val="Tableau simple 11"/>
    <w:basedOn w:val="TableNormal"/>
    <w:uiPriority w:val="41"/>
    <w:qFormat/>
    <w:rsid w:val="00A87E89"/>
    <w:pPr>
      <w:spacing w:after="0" w:line="240" w:lineRule="auto"/>
    </w:pPr>
    <w:rPr>
      <w:sz w:val="20"/>
      <w:szCs w:val="20"/>
      <w:lang w:val="en-US" w:eastAsia="zh-CN"/>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A87E89"/>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Strong">
    <w:name w:val="Strong"/>
    <w:basedOn w:val="DefaultParagraphFont"/>
    <w:uiPriority w:val="22"/>
    <w:qFormat/>
    <w:rsid w:val="00A87E89"/>
    <w:rPr>
      <w:b/>
      <w:bCs/>
    </w:rPr>
  </w:style>
  <w:style w:type="character" w:styleId="Hyperlink">
    <w:name w:val="Hyperlink"/>
    <w:basedOn w:val="DefaultParagraphFont"/>
    <w:uiPriority w:val="99"/>
    <w:unhideWhenUsed/>
    <w:rsid w:val="00527FBD"/>
    <w:rPr>
      <w:color w:val="0563C1" w:themeColor="hyperlink"/>
      <w:u w:val="single"/>
    </w:rPr>
  </w:style>
  <w:style w:type="character" w:customStyle="1" w:styleId="UnresolvedMention1">
    <w:name w:val="Unresolved Mention1"/>
    <w:basedOn w:val="DefaultParagraphFont"/>
    <w:uiPriority w:val="99"/>
    <w:semiHidden/>
    <w:unhideWhenUsed/>
    <w:rsid w:val="00CE5700"/>
    <w:rPr>
      <w:color w:val="605E5C"/>
      <w:shd w:val="clear" w:color="auto" w:fill="E1DFDD"/>
    </w:rPr>
  </w:style>
  <w:style w:type="paragraph" w:styleId="Header">
    <w:name w:val="header"/>
    <w:basedOn w:val="Normal"/>
    <w:link w:val="HeaderChar"/>
    <w:uiPriority w:val="99"/>
    <w:unhideWhenUsed/>
    <w:rsid w:val="00E74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9F6"/>
  </w:style>
  <w:style w:type="paragraph" w:styleId="Footer">
    <w:name w:val="footer"/>
    <w:basedOn w:val="Normal"/>
    <w:link w:val="FooterChar"/>
    <w:uiPriority w:val="99"/>
    <w:unhideWhenUsed/>
    <w:rsid w:val="00E74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9F6"/>
  </w:style>
  <w:style w:type="character" w:styleId="CommentReference">
    <w:name w:val="annotation reference"/>
    <w:basedOn w:val="DefaultParagraphFont"/>
    <w:uiPriority w:val="99"/>
    <w:semiHidden/>
    <w:unhideWhenUsed/>
    <w:rsid w:val="00183AA5"/>
    <w:rPr>
      <w:sz w:val="16"/>
      <w:szCs w:val="16"/>
    </w:rPr>
  </w:style>
  <w:style w:type="paragraph" w:styleId="CommentText">
    <w:name w:val="annotation text"/>
    <w:basedOn w:val="Normal"/>
    <w:link w:val="CommentTextChar"/>
    <w:uiPriority w:val="99"/>
    <w:unhideWhenUsed/>
    <w:rsid w:val="00183AA5"/>
    <w:pPr>
      <w:spacing w:line="240" w:lineRule="auto"/>
    </w:pPr>
    <w:rPr>
      <w:sz w:val="20"/>
      <w:szCs w:val="20"/>
    </w:rPr>
  </w:style>
  <w:style w:type="character" w:customStyle="1" w:styleId="CommentTextChar">
    <w:name w:val="Comment Text Char"/>
    <w:basedOn w:val="DefaultParagraphFont"/>
    <w:link w:val="CommentText"/>
    <w:uiPriority w:val="99"/>
    <w:rsid w:val="00183AA5"/>
    <w:rPr>
      <w:sz w:val="20"/>
      <w:szCs w:val="20"/>
    </w:rPr>
  </w:style>
  <w:style w:type="character" w:styleId="UnresolvedMention">
    <w:name w:val="Unresolved Mention"/>
    <w:basedOn w:val="DefaultParagraphFont"/>
    <w:uiPriority w:val="99"/>
    <w:semiHidden/>
    <w:unhideWhenUsed/>
    <w:rsid w:val="00583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669368">
      <w:bodyDiv w:val="1"/>
      <w:marLeft w:val="0"/>
      <w:marRight w:val="0"/>
      <w:marTop w:val="0"/>
      <w:marBottom w:val="0"/>
      <w:divBdr>
        <w:top w:val="none" w:sz="0" w:space="0" w:color="auto"/>
        <w:left w:val="none" w:sz="0" w:space="0" w:color="auto"/>
        <w:bottom w:val="none" w:sz="0" w:space="0" w:color="auto"/>
        <w:right w:val="none" w:sz="0" w:space="0" w:color="auto"/>
      </w:divBdr>
    </w:div>
    <w:div w:id="184674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sufs.2022.725536" TargetMode="External"/><Relationship Id="rId18" Type="http://schemas.openxmlformats.org/officeDocument/2006/relationships/hyperlink" Target="https://doi.org/10.1016/j.fochx.2019.100076" TargetMode="External"/><Relationship Id="rId26" Type="http://schemas.openxmlformats.org/officeDocument/2006/relationships/hyperlink" Target="https://doi.org/10.1016/j.respe.2022.06.034" TargetMode="External"/><Relationship Id="rId21" Type="http://schemas.openxmlformats.org/officeDocument/2006/relationships/hyperlink" Target="https://doi.org/10.1016/b978-0-08-102898-8.00011-8" TargetMode="External"/><Relationship Id="rId34"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doi.org/10.1016/b978-0-08-102898-8.00010-6" TargetMode="External"/><Relationship Id="rId17" Type="http://schemas.openxmlformats.org/officeDocument/2006/relationships/hyperlink" Target="https://doi.org/10.1016/b978-0-08-102898-8.00006-4" TargetMode="External"/><Relationship Id="rId25" Type="http://schemas.openxmlformats.org/officeDocument/2006/relationships/hyperlink" Target="https://doi.org/10.4314/ijbcs.v6i6.18"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heliyon.2021.e06821" TargetMode="External"/><Relationship Id="rId20" Type="http://schemas.openxmlformats.org/officeDocument/2006/relationships/hyperlink" Target="https://doi.org/10.3403/30146123u" TargetMode="External"/><Relationship Id="rId29" Type="http://schemas.openxmlformats.org/officeDocument/2006/relationships/hyperlink" Target="https://doi.org/10.4081/ijfs.2025.136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4/aaccintmethod-54-10.01" TargetMode="External"/><Relationship Id="rId24" Type="http://schemas.openxmlformats.org/officeDocument/2006/relationships/hyperlink" Target="https://doi.org/10.1016/j.lwt.2018.07.068"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6718/1819-4036-2023-9-207-212" TargetMode="External"/><Relationship Id="rId23" Type="http://schemas.openxmlformats.org/officeDocument/2006/relationships/hyperlink" Target="https://doi.org/10.1080/23311932.2025.2544957" TargetMode="External"/><Relationship Id="rId28" Type="http://schemas.openxmlformats.org/officeDocument/2006/relationships/hyperlink" Target="https://doi.org/10.1186/s12889-025-23943-2" TargetMode="External"/><Relationship Id="rId36"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doi.org/10.1001/jamapediatrics.2017.1573"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2903/j.efsa.2019.5780" TargetMode="External"/><Relationship Id="rId22" Type="http://schemas.openxmlformats.org/officeDocument/2006/relationships/hyperlink" Target="https://doi.org/10.55162/mcms.03.069" TargetMode="External"/><Relationship Id="rId27" Type="http://schemas.openxmlformats.org/officeDocument/2006/relationships/hyperlink" Target="https://revuesciences-techniquesburkina.org/index.php/sciences_naturelles_et_appliquee/article/view/127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Projet%20Article%20MISOLA%20v\analyse%20des%20donne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Suite%20de%20ma%20these\Article%20scientifique\Stabilit&#233;%20de%20la%20farine%20CHAP%202\Nouveau%20Feuille%20de%20calcul%20Microsoft%20Exce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Feuil2!$B$10</c:f>
              <c:strCache>
                <c:ptCount val="1"/>
                <c:pt idx="0">
                  <c:v>Laboratory storage temperature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Feuil2!$C$9:$I$9</c:f>
              <c:strCache>
                <c:ptCount val="7"/>
                <c:pt idx="0">
                  <c:v>October</c:v>
                </c:pt>
                <c:pt idx="1">
                  <c:v>November </c:v>
                </c:pt>
                <c:pt idx="2">
                  <c:v>December</c:v>
                </c:pt>
                <c:pt idx="3">
                  <c:v>january</c:v>
                </c:pt>
                <c:pt idx="4">
                  <c:v>February</c:v>
                </c:pt>
                <c:pt idx="5">
                  <c:v>March</c:v>
                </c:pt>
                <c:pt idx="6">
                  <c:v>April</c:v>
                </c:pt>
              </c:strCache>
            </c:strRef>
          </c:cat>
          <c:val>
            <c:numRef>
              <c:f>Feuil2!$C$10:$I$10</c:f>
              <c:numCache>
                <c:formatCode>General</c:formatCode>
                <c:ptCount val="7"/>
                <c:pt idx="0">
                  <c:v>35</c:v>
                </c:pt>
                <c:pt idx="1">
                  <c:v>26.2</c:v>
                </c:pt>
                <c:pt idx="2">
                  <c:v>27</c:v>
                </c:pt>
                <c:pt idx="3">
                  <c:v>26</c:v>
                </c:pt>
                <c:pt idx="4">
                  <c:v>28.8</c:v>
                </c:pt>
                <c:pt idx="5">
                  <c:v>37</c:v>
                </c:pt>
                <c:pt idx="6">
                  <c:v>38</c:v>
                </c:pt>
              </c:numCache>
            </c:numRef>
          </c:val>
          <c:smooth val="0"/>
          <c:extLst>
            <c:ext xmlns:c16="http://schemas.microsoft.com/office/drawing/2014/chart" uri="{C3380CC4-5D6E-409C-BE32-E72D297353CC}">
              <c16:uniqueId val="{00000000-C67D-4E19-A0E2-4B3C7BE398B6}"/>
            </c:ext>
          </c:extLst>
        </c:ser>
        <c:ser>
          <c:idx val="1"/>
          <c:order val="1"/>
          <c:tx>
            <c:strRef>
              <c:f>Feuil2!$B$11</c:f>
              <c:strCache>
                <c:ptCount val="1"/>
                <c:pt idx="0">
                  <c:v>Storage temperature in the community environment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Feuil2!$C$9:$I$9</c:f>
              <c:strCache>
                <c:ptCount val="7"/>
                <c:pt idx="0">
                  <c:v>October</c:v>
                </c:pt>
                <c:pt idx="1">
                  <c:v>November </c:v>
                </c:pt>
                <c:pt idx="2">
                  <c:v>December</c:v>
                </c:pt>
                <c:pt idx="3">
                  <c:v>january</c:v>
                </c:pt>
                <c:pt idx="4">
                  <c:v>February</c:v>
                </c:pt>
                <c:pt idx="5">
                  <c:v>March</c:v>
                </c:pt>
                <c:pt idx="6">
                  <c:v>April</c:v>
                </c:pt>
              </c:strCache>
            </c:strRef>
          </c:cat>
          <c:val>
            <c:numRef>
              <c:f>Feuil2!$C$11:$I$11</c:f>
              <c:numCache>
                <c:formatCode>General</c:formatCode>
                <c:ptCount val="7"/>
                <c:pt idx="0">
                  <c:v>35.700000000000003</c:v>
                </c:pt>
                <c:pt idx="1">
                  <c:v>27.1</c:v>
                </c:pt>
              </c:numCache>
            </c:numRef>
          </c:val>
          <c:smooth val="0"/>
          <c:extLst>
            <c:ext xmlns:c16="http://schemas.microsoft.com/office/drawing/2014/chart" uri="{C3380CC4-5D6E-409C-BE32-E72D297353CC}">
              <c16:uniqueId val="{00000001-C67D-4E19-A0E2-4B3C7BE398B6}"/>
            </c:ext>
          </c:extLst>
        </c:ser>
        <c:dLbls>
          <c:showLegendKey val="0"/>
          <c:showVal val="0"/>
          <c:showCatName val="0"/>
          <c:showSerName val="0"/>
          <c:showPercent val="0"/>
          <c:showBubbleSize val="0"/>
        </c:dLbls>
        <c:marker val="1"/>
        <c:smooth val="0"/>
        <c:axId val="489768448"/>
        <c:axId val="489771072"/>
      </c:lineChart>
      <c:catAx>
        <c:axId val="48976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9771072"/>
        <c:crosses val="autoZero"/>
        <c:auto val="1"/>
        <c:lblAlgn val="ctr"/>
        <c:lblOffset val="100"/>
        <c:noMultiLvlLbl val="0"/>
      </c:catAx>
      <c:valAx>
        <c:axId val="4897710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97684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Feuil1!$G$46</c:f>
              <c:strCache>
                <c:ptCount val="1"/>
                <c:pt idx="0">
                  <c:v>Acceptable and very acceptable</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Feuil1!$H$44:$K$45</c:f>
              <c:multiLvlStrCache>
                <c:ptCount val="4"/>
                <c:lvl>
                  <c:pt idx="0">
                    <c:v>T0/T4</c:v>
                  </c:pt>
                  <c:pt idx="1">
                    <c:v>T0/T6</c:v>
                  </c:pt>
                  <c:pt idx="2">
                    <c:v>T0/T4</c:v>
                  </c:pt>
                  <c:pt idx="3">
                    <c:v>T0/T6</c:v>
                  </c:pt>
                </c:lvl>
                <c:lvl>
                  <c:pt idx="0">
                    <c:v>Flour</c:v>
                  </c:pt>
                  <c:pt idx="2">
                    <c:v>Porridge</c:v>
                  </c:pt>
                </c:lvl>
              </c:multiLvlStrCache>
            </c:multiLvlStrRef>
          </c:cat>
          <c:val>
            <c:numRef>
              <c:f>Feuil1!$H$46:$K$46</c:f>
              <c:numCache>
                <c:formatCode>0%</c:formatCode>
                <c:ptCount val="4"/>
                <c:pt idx="0">
                  <c:v>0.97</c:v>
                </c:pt>
                <c:pt idx="1">
                  <c:v>0.94</c:v>
                </c:pt>
                <c:pt idx="2">
                  <c:v>0.95</c:v>
                </c:pt>
                <c:pt idx="3">
                  <c:v>0.91</c:v>
                </c:pt>
              </c:numCache>
            </c:numRef>
          </c:val>
          <c:extLst>
            <c:ext xmlns:c16="http://schemas.microsoft.com/office/drawing/2014/chart" uri="{C3380CC4-5D6E-409C-BE32-E72D297353CC}">
              <c16:uniqueId val="{00000000-F9F7-42C9-B0F4-533A24D10B84}"/>
            </c:ext>
          </c:extLst>
        </c:ser>
        <c:dLbls>
          <c:dLblPos val="outEnd"/>
          <c:showLegendKey val="0"/>
          <c:showVal val="1"/>
          <c:showCatName val="0"/>
          <c:showSerName val="0"/>
          <c:showPercent val="0"/>
          <c:showBubbleSize val="0"/>
        </c:dLbls>
        <c:gapWidth val="164"/>
        <c:overlap val="-22"/>
        <c:axId val="428317944"/>
        <c:axId val="428310728"/>
      </c:barChart>
      <c:catAx>
        <c:axId val="42831794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310728"/>
        <c:crosses val="autoZero"/>
        <c:auto val="1"/>
        <c:lblAlgn val="ctr"/>
        <c:lblOffset val="100"/>
        <c:noMultiLvlLbl val="0"/>
      </c:catAx>
      <c:valAx>
        <c:axId val="42831072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317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17</Pages>
  <Words>5224</Words>
  <Characters>29783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SARA_PC</dc:creator>
  <cp:keywords/>
  <dc:description/>
  <cp:lastModifiedBy>Editor-1183</cp:lastModifiedBy>
  <cp:revision>65</cp:revision>
  <dcterms:created xsi:type="dcterms:W3CDTF">2025-12-03T10:55:00Z</dcterms:created>
  <dcterms:modified xsi:type="dcterms:W3CDTF">2025-12-16T12:28:00Z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314f3a7f-6c44-49d2-8312-dfc1b842c9fe</vt:lpwstr>
  </property>
</Properties>
</file>