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4653">
      <w:pPr>
        <w:rPr>
          <w:rFonts w:ascii="Times New Roman" w:hAnsi="Times New Roman" w:cs="Times New Roman"/>
          <w:color w:val="auto"/>
          <w:sz w:val="32"/>
          <w:szCs w:val="32"/>
          <w:u w:val="single"/>
        </w:rPr>
      </w:pPr>
    </w:p>
    <w:p w14:paraId="32474654">
      <w:pPr>
        <w:rPr>
          <w:rFonts w:ascii="Times New Roman" w:hAnsi="Times New Roman" w:cs="Times New Roman"/>
          <w:b/>
          <w:bCs/>
          <w:color w:val="auto"/>
          <w:sz w:val="28"/>
          <w:szCs w:val="28"/>
        </w:rPr>
      </w:pPr>
      <w:r>
        <w:rPr>
          <w:rFonts w:ascii="Times New Roman" w:hAnsi="Times New Roman" w:cs="Times New Roman"/>
          <w:b/>
          <w:bCs/>
          <w:color w:val="auto"/>
          <w:sz w:val="28"/>
          <w:szCs w:val="28"/>
        </w:rPr>
        <w:t>Review Article</w:t>
      </w:r>
    </w:p>
    <w:p w14:paraId="32474655">
      <w:pPr>
        <w:jc w:val="center"/>
        <w:rPr>
          <w:rFonts w:ascii="Times New Roman" w:hAnsi="Times New Roman" w:cs="Times New Roman"/>
          <w:b/>
          <w:bCs/>
          <w:color w:val="auto"/>
          <w:sz w:val="28"/>
          <w:szCs w:val="28"/>
          <w:u w:val="single"/>
        </w:rPr>
      </w:pPr>
    </w:p>
    <w:p w14:paraId="32474656">
      <w:pPr>
        <w:jc w:val="center"/>
        <w:rPr>
          <w:rFonts w:hint="default" w:ascii="Times New Roman" w:hAnsi="Times New Roman" w:cs="Times New Roman"/>
          <w:b/>
          <w:bCs/>
          <w:color w:val="auto"/>
          <w:sz w:val="28"/>
          <w:szCs w:val="28"/>
        </w:rPr>
      </w:pPr>
      <w:r>
        <w:rPr>
          <w:rFonts w:hint="default" w:ascii="Times New Roman" w:hAnsi="Times New Roman" w:eastAsia="SimSun" w:cs="Times New Roman"/>
          <w:b/>
          <w:bCs/>
          <w:color w:val="auto"/>
          <w:sz w:val="28"/>
          <w:szCs w:val="28"/>
        </w:rPr>
        <w:t>The Role of Low-Protein and Very-Low-Protein Diets in the Nutritional Management of Chronic Kidney Disease and Dialysis: A Comprehensive Review</w:t>
      </w:r>
    </w:p>
    <w:p w14:paraId="32474657">
      <w:pPr>
        <w:jc w:val="center"/>
        <w:rPr>
          <w:rFonts w:hint="default" w:ascii="Times New Roman" w:hAnsi="Times New Roman" w:cs="Times New Roman"/>
          <w:b/>
          <w:bCs/>
          <w:color w:val="auto"/>
          <w:sz w:val="28"/>
          <w:szCs w:val="28"/>
        </w:rPr>
      </w:pPr>
    </w:p>
    <w:p w14:paraId="3247465B">
      <w:pPr>
        <w:pStyle w:val="12"/>
        <w:ind w:left="0"/>
        <w:jc w:val="center"/>
        <w:rPr>
          <w:rFonts w:ascii="Times New Roman" w:hAnsi="Times New Roman" w:cs="Times New Roman"/>
          <w:b/>
          <w:bCs/>
          <w:color w:val="auto"/>
          <w:sz w:val="28"/>
          <w:szCs w:val="28"/>
        </w:rPr>
      </w:pPr>
    </w:p>
    <w:p w14:paraId="3247465C">
      <w:pPr>
        <w:pStyle w:val="12"/>
        <w:ind w:left="0"/>
        <w:jc w:val="center"/>
        <w:rPr>
          <w:rFonts w:ascii="Times New Roman" w:hAnsi="Times New Roman" w:cs="Times New Roman"/>
          <w:b/>
          <w:bCs/>
          <w:color w:val="auto"/>
          <w:sz w:val="28"/>
          <w:szCs w:val="28"/>
        </w:rPr>
      </w:pPr>
    </w:p>
    <w:p w14:paraId="32474661">
      <w:pPr>
        <w:rPr>
          <w:rFonts w:ascii="Times New Roman" w:hAnsi="Times New Roman" w:cs="Times New Roman"/>
          <w:color w:val="auto"/>
          <w:sz w:val="32"/>
          <w:szCs w:val="32"/>
          <w:u w:val="single"/>
        </w:rPr>
      </w:pPr>
    </w:p>
    <w:p w14:paraId="32474662">
      <w:pPr>
        <w:rPr>
          <w:rFonts w:ascii="Times New Roman" w:hAnsi="Times New Roman" w:cs="Times New Roman"/>
          <w:color w:val="auto"/>
          <w:sz w:val="32"/>
          <w:szCs w:val="32"/>
          <w:u w:val="single"/>
        </w:rPr>
      </w:pPr>
    </w:p>
    <w:p w14:paraId="32474663">
      <w:pPr>
        <w:rPr>
          <w:rFonts w:ascii="Times New Roman" w:hAnsi="Times New Roman" w:cs="Times New Roman"/>
          <w:b/>
          <w:bCs/>
          <w:color w:val="auto"/>
          <w:sz w:val="28"/>
          <w:szCs w:val="28"/>
        </w:rPr>
      </w:pPr>
      <w:r>
        <w:rPr>
          <w:rFonts w:ascii="Times New Roman" w:hAnsi="Times New Roman" w:cs="Times New Roman"/>
          <w:b/>
          <w:bCs/>
          <w:color w:val="auto"/>
          <w:sz w:val="28"/>
          <w:szCs w:val="28"/>
        </w:rPr>
        <w:t>Abstract:</w:t>
      </w:r>
    </w:p>
    <w:p w14:paraId="32474664">
      <w:pPr>
        <w:rPr>
          <w:rFonts w:ascii="Times New Roman" w:hAnsi="Times New Roman" w:cs="Times New Roman"/>
          <w:b/>
          <w:bCs/>
          <w:color w:val="auto"/>
          <w:sz w:val="28"/>
          <w:szCs w:val="28"/>
        </w:rPr>
      </w:pPr>
    </w:p>
    <w:p w14:paraId="32474665">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IN"/>
        </w:rPr>
        <w:t>Background:</w:t>
      </w:r>
      <w:r>
        <w:rPr>
          <w:rFonts w:ascii="Times New Roman" w:hAnsi="Times New Roman" w:cs="Times New Roman"/>
          <w:b/>
          <w:bCs/>
          <w:color w:val="auto"/>
          <w:sz w:val="28"/>
          <w:szCs w:val="28"/>
        </w:rPr>
        <w:t xml:space="preserve"> </w:t>
      </w:r>
      <w:r>
        <w:rPr>
          <w:rFonts w:hint="default" w:ascii="Times New Roman" w:hAnsi="Times New Roman" w:eastAsia="SimSun" w:cs="Times New Roman"/>
          <w:color w:val="auto"/>
          <w:sz w:val="24"/>
          <w:szCs w:val="24"/>
        </w:rPr>
        <w:t>Limiting protein intake remains a fundamental approach in the management of chronic kidney disease (CKD), intended to lessen renal stress and metabolic disturbances. Nonetheless, achieving an appropriate balance between minimizing disease progression and avoiding malnutrition continues to be challengin</w:t>
      </w:r>
      <w:r>
        <w:rPr>
          <w:rFonts w:hint="default" w:ascii="Times New Roman" w:hAnsi="Times New Roman" w:eastAsia="SimSun" w:cs="Times New Roman"/>
          <w:color w:val="auto"/>
          <w:sz w:val="24"/>
          <w:szCs w:val="24"/>
          <w:lang w:val="en-US"/>
        </w:rPr>
        <w:t>g</w:t>
      </w:r>
      <w:r>
        <w:rPr>
          <w:rFonts w:ascii="Times New Roman" w:hAnsi="Times New Roman" w:eastAsia="SimSun" w:cs="Times New Roman"/>
          <w:color w:val="auto"/>
          <w:sz w:val="24"/>
          <w:szCs w:val="24"/>
          <w:lang w:bidi="ar"/>
        </w:rPr>
        <w:t>, particularly in dialysis patients</w:t>
      </w:r>
      <w:r>
        <w:rPr>
          <w:rFonts w:ascii="SimSun" w:hAnsi="SimSun" w:eastAsia="SimSun" w:cs="SimSun"/>
          <w:color w:val="auto"/>
          <w:sz w:val="24"/>
          <w:szCs w:val="24"/>
          <w:lang w:bidi="ar"/>
        </w:rPr>
        <w:t>.</w:t>
      </w:r>
    </w:p>
    <w:p w14:paraId="32474666">
      <w:pPr>
        <w:pStyle w:val="9"/>
        <w:jc w:val="both"/>
        <w:rPr>
          <w:rFonts w:ascii="SimSun" w:hAnsi="SimSun" w:cs="SimSun"/>
          <w:color w:val="auto"/>
        </w:rPr>
      </w:pPr>
      <w:r>
        <w:rPr>
          <w:b/>
          <w:bCs/>
          <w:color w:val="auto"/>
          <w:sz w:val="28"/>
          <w:szCs w:val="28"/>
          <w:lang w:val="en-IN"/>
        </w:rPr>
        <w:t xml:space="preserve">Objectives: </w:t>
      </w:r>
      <w:r>
        <w:rPr>
          <w:color w:val="auto"/>
        </w:rPr>
        <w:t>To evaluate why and how low-protein diets (LPD) and very-low-protein diets (VLPD) influence renal outcomes, nutritional status, and overall safety in CKD and dialysis populations.</w:t>
      </w:r>
    </w:p>
    <w:p w14:paraId="32474667">
      <w:pPr>
        <w:pStyle w:val="9"/>
        <w:jc w:val="both"/>
        <w:rPr>
          <w:color w:val="auto"/>
          <w:sz w:val="28"/>
          <w:szCs w:val="28"/>
          <w:lang w:val="en-IN"/>
        </w:rPr>
      </w:pPr>
      <w:r>
        <w:rPr>
          <w:b/>
          <w:bCs/>
          <w:color w:val="auto"/>
          <w:sz w:val="28"/>
          <w:szCs w:val="28"/>
          <w:lang w:val="en-IN"/>
        </w:rPr>
        <w:t xml:space="preserve">Methods: </w:t>
      </w:r>
      <w:r>
        <w:rPr>
          <w:rFonts w:hint="default"/>
          <w:b w:val="0"/>
          <w:bCs w:val="0"/>
          <w:color w:val="auto"/>
          <w:sz w:val="24"/>
          <w:szCs w:val="24"/>
          <w:lang w:val="en-US"/>
        </w:rPr>
        <w:t xml:space="preserve">The </w:t>
      </w:r>
      <w:r>
        <w:rPr>
          <w:rFonts w:hint="default" w:ascii="Times New Roman" w:hAnsi="Times New Roman" w:eastAsia="SimSun" w:cs="Times New Roman"/>
          <w:b w:val="0"/>
          <w:bCs w:val="0"/>
          <w:color w:val="auto"/>
          <w:sz w:val="24"/>
          <w:szCs w:val="24"/>
        </w:rPr>
        <w:t xml:space="preserve">review </w:t>
      </w:r>
      <w:r>
        <w:rPr>
          <w:rFonts w:hint="default" w:ascii="Times New Roman" w:hAnsi="Times New Roman" w:eastAsia="SimSun" w:cs="Times New Roman"/>
          <w:b w:val="0"/>
          <w:bCs w:val="0"/>
          <w:color w:val="auto"/>
          <w:sz w:val="24"/>
          <w:szCs w:val="24"/>
        </w:rPr>
        <w:t xml:space="preserve">covers </w:t>
      </w:r>
      <w:r>
        <w:rPr>
          <w:rStyle w:val="10"/>
          <w:rFonts w:hint="default" w:ascii="Times New Roman" w:hAnsi="Times New Roman" w:eastAsia="SimSun" w:cs="Times New Roman"/>
          <w:b w:val="0"/>
          <w:bCs w:val="0"/>
          <w:color w:val="auto"/>
          <w:sz w:val="24"/>
          <w:szCs w:val="24"/>
        </w:rPr>
        <w:t>the last decade (2014–2025)</w:t>
      </w:r>
      <w:r>
        <w:rPr>
          <w:rFonts w:hint="default" w:ascii="Times New Roman" w:hAnsi="Times New Roman" w:cs="Times New Roman"/>
          <w:b w:val="0"/>
          <w:bCs w:val="0"/>
          <w:color w:val="auto"/>
        </w:rPr>
        <w:t xml:space="preserve"> of </w:t>
      </w:r>
      <w:r>
        <w:rPr>
          <w:rFonts w:hint="default"/>
          <w:color w:val="auto"/>
          <w:lang w:val="en-US"/>
        </w:rPr>
        <w:t xml:space="preserve"> 60 peer-reviewed</w:t>
      </w:r>
      <w:r>
        <w:rPr>
          <w:color w:val="auto"/>
        </w:rPr>
        <w:t xml:space="preserve"> clinical and review studies was conducted, comparing outcomes of LPD/VLPD interventions with varying protein targets, supplementation strategies, and patient populations. Similarities and differences among study results were identified and thematically analyzed.</w:t>
      </w:r>
    </w:p>
    <w:p w14:paraId="32474668">
      <w:pPr>
        <w:pStyle w:val="9"/>
        <w:jc w:val="both"/>
        <w:rPr>
          <w:color w:val="auto"/>
          <w:sz w:val="28"/>
          <w:szCs w:val="28"/>
          <w:lang w:val="en-IN"/>
        </w:rPr>
      </w:pPr>
      <w:r>
        <w:rPr>
          <w:b/>
          <w:bCs/>
          <w:color w:val="auto"/>
          <w:sz w:val="28"/>
          <w:szCs w:val="28"/>
          <w:lang w:val="en-IN"/>
        </w:rPr>
        <w:t xml:space="preserve">Results: </w:t>
      </w:r>
      <w:r>
        <w:rPr>
          <w:color w:val="auto"/>
        </w:rPr>
        <w:t>Most studies demonstrated that well-monitored LPD/VLPD regimens, particularly when supplemented with ketoanalogues or emphasizing plant-based proteins, slowed CKD progression and delayed dialysis initiation</w:t>
      </w:r>
      <w:r>
        <w:rPr>
          <w:rFonts w:hint="default"/>
          <w:color w:val="auto"/>
          <w:lang w:val="en-US"/>
        </w:rPr>
        <w:t xml:space="preserve"> by approximately 6-12 months.</w:t>
      </w:r>
      <w:r>
        <w:rPr>
          <w:color w:val="auto"/>
        </w:rPr>
        <w:t xml:space="preserve"> </w:t>
      </w:r>
      <w:r>
        <w:rPr>
          <w:rFonts w:hint="default"/>
          <w:color w:val="auto"/>
          <w:lang w:val="en-US"/>
        </w:rPr>
        <w:t xml:space="preserve">Several studies also reported improvements in serum urea, creatinine, and albumin levels, indicating preserved nutritional status. Under dietitian supervision,  </w:t>
      </w:r>
      <w:r>
        <w:rPr>
          <w:color w:val="auto"/>
        </w:rPr>
        <w:t xml:space="preserve"> Adequate caloric intake, individualized monito</w:t>
      </w:r>
      <w:r>
        <w:rPr>
          <w:color w:val="auto"/>
        </w:rPr>
        <w:t>ring, and supplementation were key to preventing protein-energy wasting.</w:t>
      </w:r>
    </w:p>
    <w:p w14:paraId="32474669">
      <w:pPr>
        <w:pStyle w:val="9"/>
        <w:jc w:val="both"/>
        <w:rPr>
          <w:color w:val="auto"/>
          <w:sz w:val="28"/>
          <w:szCs w:val="28"/>
          <w:lang w:val="en-IN"/>
        </w:rPr>
      </w:pPr>
      <w:r>
        <w:rPr>
          <w:b/>
          <w:bCs/>
          <w:color w:val="auto"/>
          <w:sz w:val="28"/>
          <w:szCs w:val="28"/>
          <w:lang w:val="en-IN"/>
        </w:rPr>
        <w:t xml:space="preserve">Conclusion: </w:t>
      </w:r>
      <w:r>
        <w:rPr>
          <w:color w:val="auto"/>
        </w:rPr>
        <w:t>Low-protein diets are effective and safe when properly supervised, offering metabolic, clinical, and economic benefits. Individualized, plant-dominant, and supplement-supported approaches should be integrated into CKD nutrition care to delay dialysis and maintain patient well-being.</w:t>
      </w:r>
    </w:p>
    <w:p w14:paraId="3247466A">
      <w:pPr>
        <w:pStyle w:val="9"/>
        <w:spacing w:line="360" w:lineRule="auto"/>
        <w:rPr>
          <w:b/>
          <w:bCs/>
          <w:color w:val="auto"/>
          <w:sz w:val="28"/>
          <w:szCs w:val="28"/>
        </w:rPr>
      </w:pPr>
      <w:r>
        <w:rPr>
          <w:b/>
          <w:bCs/>
          <w:color w:val="auto"/>
          <w:sz w:val="28"/>
          <w:szCs w:val="28"/>
          <w:lang w:val="en-IN"/>
        </w:rPr>
        <w:t>Keywords</w:t>
      </w:r>
      <w:r>
        <w:rPr>
          <w:b/>
          <w:bCs/>
          <w:color w:val="auto"/>
          <w:lang w:val="en-IN"/>
        </w:rPr>
        <w:t xml:space="preserve">: </w:t>
      </w:r>
      <w:r>
        <w:rPr>
          <w:color w:val="auto"/>
          <w:sz w:val="28"/>
          <w:szCs w:val="28"/>
        </w:rPr>
        <w:t>Low Protein</w:t>
      </w:r>
      <w:r>
        <w:rPr>
          <w:color w:val="auto"/>
          <w:sz w:val="28"/>
          <w:szCs w:val="28"/>
          <w:lang w:val="en-IN"/>
        </w:rPr>
        <w:t xml:space="preserve"> diet, </w:t>
      </w:r>
      <w:r>
        <w:rPr>
          <w:color w:val="auto"/>
          <w:sz w:val="28"/>
          <w:szCs w:val="28"/>
        </w:rPr>
        <w:t>Nutritional Management, Dialysis.</w:t>
      </w:r>
    </w:p>
    <w:p w14:paraId="788448F1">
      <w:pPr>
        <w:rPr>
          <w:rFonts w:ascii="Times New Roman" w:hAnsi="Times New Roman" w:cs="Times New Roman"/>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pPr>
    </w:p>
    <w:p w14:paraId="3247466B">
      <w:pPr>
        <w:rPr>
          <w:rFonts w:ascii="Times New Roman" w:hAnsi="Times New Roman" w:cs="Times New Roman"/>
          <w:b/>
          <w:bCs/>
          <w:color w:val="auto"/>
          <w:sz w:val="28"/>
          <w:szCs w:val="28"/>
        </w:rPr>
      </w:pPr>
    </w:p>
    <w:p w14:paraId="3247466C">
      <w:pPr>
        <w:rPr>
          <w:rFonts w:ascii="Times New Roman" w:hAnsi="Times New Roman" w:cs="Times New Roman"/>
          <w:b/>
          <w:bCs/>
          <w:color w:val="auto"/>
          <w:sz w:val="24"/>
          <w:szCs w:val="24"/>
        </w:rPr>
      </w:pPr>
      <w:r>
        <w:rPr>
          <w:rFonts w:ascii="Times New Roman" w:hAnsi="Times New Roman" w:cs="Times New Roman"/>
          <w:b/>
          <w:bCs/>
          <w:color w:val="auto"/>
          <w:sz w:val="24"/>
          <w:szCs w:val="24"/>
        </w:rPr>
        <w:t>1. INTRODUCTION</w:t>
      </w:r>
    </w:p>
    <w:p w14:paraId="3247466D">
      <w:pPr>
        <w:rPr>
          <w:rFonts w:ascii="Times New Roman" w:hAnsi="Times New Roman" w:cs="Times New Roman"/>
          <w:b/>
          <w:bCs/>
          <w:color w:val="auto"/>
          <w:sz w:val="28"/>
          <w:szCs w:val="28"/>
        </w:rPr>
      </w:pPr>
    </w:p>
    <w:p w14:paraId="3247466E">
      <w:pPr>
        <w:spacing w:line="360" w:lineRule="auto"/>
        <w:jc w:val="both"/>
        <w:rPr>
          <w:rFonts w:ascii="Times New Roman" w:hAnsi="Times New Roman" w:eastAsia="sans-serif" w:cs="Times New Roman"/>
          <w:color w:val="auto"/>
          <w:sz w:val="24"/>
          <w:szCs w:val="24"/>
          <w:shd w:val="clear" w:color="auto" w:fill="FFFFFF"/>
        </w:rPr>
        <w:sectPr>
          <w:type w:val="continuous"/>
          <w:pgSz w:w="11906" w:h="16838"/>
          <w:pgMar w:top="1440" w:right="1800" w:bottom="1440" w:left="1800" w:header="720" w:footer="720" w:gutter="0"/>
          <w:cols w:space="720" w:num="2"/>
          <w:docGrid w:linePitch="360" w:charSpace="0"/>
        </w:sectPr>
      </w:pPr>
    </w:p>
    <w:p w14:paraId="3247466F">
      <w:pPr>
        <w:spacing w:line="360" w:lineRule="auto"/>
        <w:jc w:val="both"/>
        <w:rPr>
          <w:rFonts w:ascii="Times New Roman" w:hAnsi="Times New Roman" w:eastAsia="serif" w:cs="Times New Roman"/>
          <w:color w:val="auto"/>
          <w:sz w:val="24"/>
          <w:szCs w:val="24"/>
          <w:shd w:val="clear" w:color="auto" w:fill="FFFFFF"/>
        </w:rPr>
      </w:pPr>
      <w:r>
        <w:rPr>
          <w:rFonts w:hint="default" w:ascii="Times New Roman" w:hAnsi="Times New Roman" w:eastAsia="SimSun" w:cs="Times New Roman"/>
          <w:color w:val="auto"/>
          <w:sz w:val="24"/>
          <w:szCs w:val="24"/>
        </w:rPr>
        <w:t>Chronic kidney disease (CKD) represents a major worldwide health concern, and its management frequently involves restricting dietary protein intake to decrease glomerular filtration rate (GFR) and help slow the progression of renal impairment (Bawazir et al., 2025)</w:t>
      </w:r>
      <w:r>
        <w:rPr>
          <w:rFonts w:hint="default" w:ascii="SimSun" w:hAnsi="SimSun" w:eastAsia="SimSun" w:cs="SimSun"/>
          <w:color w:val="auto"/>
          <w:sz w:val="24"/>
          <w:szCs w:val="24"/>
          <w:lang w:val="en-US"/>
        </w:rPr>
        <w:t>.</w:t>
      </w:r>
      <w:r>
        <w:rPr>
          <w:rFonts w:ascii="Times New Roman" w:hAnsi="Times New Roman" w:eastAsia="sans-serif" w:cs="Times New Roman"/>
          <w:color w:val="auto"/>
          <w:sz w:val="24"/>
          <w:szCs w:val="24"/>
          <w:shd w:val="clear" w:color="auto" w:fill="FFFFFF"/>
        </w:rPr>
        <w:t xml:space="preserve"> </w:t>
      </w:r>
      <w:r>
        <w:rPr>
          <w:rFonts w:ascii="Times New Roman" w:hAnsi="Times New Roman" w:eastAsia="serif" w:cs="Times New Roman"/>
          <w:color w:val="auto"/>
          <w:sz w:val="24"/>
          <w:szCs w:val="24"/>
          <w:shd w:val="clear" w:color="auto" w:fill="FFFFFF"/>
        </w:rPr>
        <w:t>Chronic kidney disease is a metabolic disease mainly characterized by renal waste excretion and moderate loss of endocrine system function (</w:t>
      </w:r>
      <w:r>
        <w:rPr>
          <w:rFonts w:ascii="Times New Roman" w:hAnsi="Times New Roman" w:eastAsia="Segoe UI" w:cs="Times New Roman"/>
          <w:color w:val="auto"/>
          <w:sz w:val="24"/>
          <w:szCs w:val="24"/>
          <w:shd w:val="clear" w:color="auto" w:fill="FFFFFF"/>
        </w:rPr>
        <w:t>Du and Dai, 2024)</w:t>
      </w:r>
      <w:r>
        <w:rPr>
          <w:rFonts w:ascii="Times New Roman" w:hAnsi="Times New Roman" w:eastAsia="serif" w:cs="Times New Roman"/>
          <w:color w:val="auto"/>
          <w:sz w:val="24"/>
          <w:szCs w:val="24"/>
          <w:shd w:val="clear" w:color="auto" w:fill="FFFFFF"/>
        </w:rPr>
        <w:t>.</w:t>
      </w:r>
      <w:r>
        <w:rPr>
          <w:rFonts w:ascii="Times New Roman" w:hAnsi="Times New Roman" w:eastAsia="sans-serif" w:cs="Times New Roman"/>
          <w:color w:val="auto"/>
          <w:sz w:val="24"/>
          <w:szCs w:val="24"/>
          <w:shd w:val="clear" w:color="auto" w:fill="FFFFFF"/>
        </w:rPr>
        <w:t xml:space="preserve"> </w:t>
      </w:r>
      <w:r>
        <w:rPr>
          <w:rFonts w:ascii="Times New Roman" w:hAnsi="Times New Roman" w:eastAsia="sans-serif" w:cs="Times New Roman"/>
          <w:color w:val="auto"/>
          <w:sz w:val="24"/>
          <w:szCs w:val="24"/>
          <w:shd w:val="clear" w:color="auto" w:fill="FFFFFF"/>
        </w:rPr>
        <w:t>Regarding protein intake, the recommended daily intake for healthy adults is 0.8 g/kg/day. The term “low-protein diet”</w:t>
      </w:r>
      <w:r>
        <w:rPr>
          <w:rFonts w:hint="default" w:ascii="Times New Roman" w:hAnsi="Times New Roman" w:eastAsia="SimSun" w:cs="Times New Roman"/>
          <w:color w:val="auto"/>
          <w:sz w:val="24"/>
          <w:szCs w:val="24"/>
        </w:rPr>
        <w:t>The term low-protein diet (LPD) refers to an intake of approximately 0.6 g protein per kilogram of body weight per day, representing about a 25% reduction from the standard recommendation of 0.8 g/kg/day (Mafra et al., 2025). According to the most recent K-DOQI guidelines on nutritional therapy, protein restriction is now advised even for individuals with stage 3 chronic kidney disease (CKD), irrespective of age.</w:t>
      </w:r>
      <w:r>
        <w:rPr>
          <w:rFonts w:hint="default" w:ascii="Times New Roman" w:hAnsi="Times New Roman" w:eastAsia="Helvetica" w:cs="Times New Roman"/>
          <w:color w:val="auto"/>
          <w:sz w:val="24"/>
          <w:szCs w:val="24"/>
          <w:shd w:val="clear" w:color="auto" w:fill="F7F7F7"/>
        </w:rPr>
        <w:t xml:space="preserve"> </w:t>
      </w:r>
      <w:r>
        <w:rPr>
          <w:rFonts w:ascii="Times New Roman" w:hAnsi="Times New Roman" w:eastAsia="Helvetica" w:cs="Times New Roman"/>
          <w:color w:val="auto"/>
          <w:sz w:val="24"/>
          <w:szCs w:val="24"/>
          <w:shd w:val="clear" w:color="auto" w:fill="F7F7F7"/>
        </w:rPr>
        <w:t>(</w:t>
      </w:r>
      <w:r>
        <w:rPr>
          <w:rFonts w:ascii="Times New Roman" w:hAnsi="Times New Roman" w:eastAsia="Segoe UI" w:cs="Times New Roman"/>
          <w:color w:val="auto"/>
          <w:sz w:val="24"/>
          <w:szCs w:val="24"/>
          <w:shd w:val="clear" w:color="auto" w:fill="FFFFFF"/>
        </w:rPr>
        <w:t>Vettoretti, et al., 2024)</w:t>
      </w:r>
      <w:r>
        <w:rPr>
          <w:rFonts w:ascii="Times New Roman" w:hAnsi="Times New Roman" w:eastAsia="Helvetica" w:cs="Times New Roman"/>
          <w:color w:val="auto"/>
          <w:sz w:val="24"/>
          <w:szCs w:val="24"/>
          <w:shd w:val="clear" w:color="auto" w:fill="F7F7F7"/>
        </w:rPr>
        <w:t xml:space="preserve">. </w:t>
      </w:r>
      <w:r>
        <w:rPr>
          <w:rFonts w:ascii="Times New Roman" w:hAnsi="Times New Roman" w:eastAsia="SimSun" w:cs="Times New Roman"/>
          <w:color w:val="auto"/>
          <w:sz w:val="24"/>
          <w:szCs w:val="24"/>
          <w:shd w:val="clear" w:color="auto" w:fill="FFFFFF"/>
        </w:rPr>
        <w:t>Moreover, there is some evidence supporting adverse effects of long-term high-protein diets (above the recommendations and particularly from animal origin), namely disorders of bone and calcium homeostasis and of renal and liver function, as well as increased cancer risk and accelerated progression of coronary artery disease</w:t>
      </w:r>
      <w:r>
        <w:rPr>
          <w:rFonts w:ascii="Times New Roman" w:hAnsi="Times New Roman" w:eastAsia="SimSun" w:cs="Times New Roman"/>
          <w:b/>
          <w:bCs/>
          <w:color w:val="auto"/>
          <w:sz w:val="24"/>
          <w:szCs w:val="24"/>
          <w:shd w:val="clear" w:color="auto" w:fill="FFFFFF"/>
        </w:rPr>
        <w:t xml:space="preserve"> (</w:t>
      </w:r>
      <w:r>
        <w:rPr>
          <w:rFonts w:ascii="Times New Roman" w:hAnsi="Times New Roman" w:eastAsia="Segoe UI" w:cs="Times New Roman"/>
          <w:color w:val="auto"/>
          <w:sz w:val="24"/>
          <w:szCs w:val="24"/>
          <w:shd w:val="clear" w:color="auto" w:fill="FFFFFF"/>
        </w:rPr>
        <w:t>Windahl,</w:t>
      </w:r>
      <w:r>
        <w:rPr>
          <w:rFonts w:ascii="Times New Roman" w:hAnsi="Times New Roman" w:eastAsia="SimSun" w:cs="Times New Roman"/>
          <w:b/>
          <w:bCs/>
          <w:color w:val="auto"/>
          <w:sz w:val="24"/>
          <w:szCs w:val="24"/>
          <w:shd w:val="clear" w:color="auto" w:fill="FFFFFF"/>
        </w:rPr>
        <w:t xml:space="preserve"> </w:t>
      </w:r>
      <w:r>
        <w:rPr>
          <w:rFonts w:ascii="Times New Roman" w:hAnsi="Times New Roman" w:eastAsia="SimSun" w:cs="Times New Roman"/>
          <w:color w:val="auto"/>
          <w:sz w:val="24"/>
          <w:szCs w:val="24"/>
          <w:shd w:val="clear" w:color="auto" w:fill="FFFFFF"/>
        </w:rPr>
        <w:t xml:space="preserve">et al., 2024). </w:t>
      </w:r>
      <w:r>
        <w:rPr>
          <w:rFonts w:ascii="Times New Roman" w:hAnsi="Times New Roman" w:eastAsia="serif" w:cs="Times New Roman"/>
          <w:color w:val="auto"/>
          <w:sz w:val="24"/>
          <w:szCs w:val="24"/>
          <w:shd w:val="clear" w:color="auto" w:fill="FFFFFF"/>
        </w:rPr>
        <w:t xml:space="preserve">The use of a LPD differs between countries and in regions in the same country, </w:t>
      </w:r>
      <w:r>
        <w:rPr>
          <w:rFonts w:hint="default" w:ascii="Times New Roman" w:hAnsi="Times New Roman" w:eastAsia="SimSun" w:cs="Times New Roman"/>
          <w:color w:val="auto"/>
          <w:sz w:val="24"/>
          <w:szCs w:val="24"/>
        </w:rPr>
        <w:t>Very-low-protein diets, providing about 0.3–0.4 g of protein per kilogram of body weight daily, should be accompanied by ketoacid or amino acid supplements to fulfill essential amino acid needs (Tanaka et al., 2023). In contrast, consumption of a high-protein diet (HPD) may worsen renal impairment in individuals with chronic kidney disease</w:t>
      </w:r>
      <w:r>
        <w:rPr>
          <w:rFonts w:ascii="SimSun" w:hAnsi="SimSun" w:eastAsia="SimSun" w:cs="SimSun"/>
          <w:color w:val="auto"/>
          <w:sz w:val="24"/>
          <w:szCs w:val="24"/>
        </w:rPr>
        <w:t>.</w:t>
      </w:r>
      <w:r>
        <w:rPr>
          <w:rFonts w:ascii="Times New Roman" w:hAnsi="Times New Roman" w:eastAsia="SimSun" w:cs="Times New Roman"/>
          <w:color w:val="auto"/>
          <w:sz w:val="24"/>
          <w:szCs w:val="24"/>
          <w:shd w:val="clear" w:color="auto" w:fill="FFFFFF"/>
        </w:rPr>
        <w:t>HPD intake results in the dilation of afferent arterioles in the glomeruli, which increases intraglomerular pressure and leads to glomerular hyperfiltration</w:t>
      </w:r>
      <w:r>
        <w:rPr>
          <w:rFonts w:ascii="Times New Roman" w:hAnsi="Times New Roman" w:eastAsia="serif" w:cs="Times New Roman"/>
          <w:color w:val="auto"/>
          <w:sz w:val="24"/>
          <w:szCs w:val="24"/>
          <w:shd w:val="clear" w:color="auto" w:fill="FFFFFF"/>
        </w:rPr>
        <w:t xml:space="preserve"> (</w:t>
      </w:r>
      <w:r>
        <w:rPr>
          <w:rFonts w:ascii="Times New Roman" w:hAnsi="Times New Roman" w:eastAsia="Segoe UI" w:cs="Times New Roman"/>
          <w:color w:val="auto"/>
          <w:sz w:val="24"/>
          <w:szCs w:val="24"/>
          <w:shd w:val="clear" w:color="auto" w:fill="FFFFFF"/>
        </w:rPr>
        <w:t>Lee, et al., 2023)</w:t>
      </w:r>
      <w:r>
        <w:rPr>
          <w:rFonts w:ascii="Times New Roman" w:hAnsi="Times New Roman" w:eastAsia="serif" w:cs="Times New Roman"/>
          <w:color w:val="auto"/>
          <w:sz w:val="24"/>
          <w:szCs w:val="24"/>
          <w:shd w:val="clear" w:color="auto" w:fill="FFFFFF"/>
        </w:rPr>
        <w:t xml:space="preserve">. </w:t>
      </w:r>
      <w:r>
        <w:rPr>
          <w:rFonts w:ascii="Times New Roman" w:hAnsi="Times New Roman" w:eastAsia="Georgia" w:cs="Times New Roman"/>
          <w:color w:val="auto"/>
          <w:sz w:val="24"/>
          <w:szCs w:val="24"/>
        </w:rPr>
        <w:t>A meta-analysis about an LPD on CKD reported that an LPD was associated not only with improvement in CKD, but also with increased risk of malnutrition</w:t>
      </w:r>
      <w:r>
        <w:rPr>
          <w:rFonts w:ascii="Times New Roman" w:hAnsi="Times New Roman" w:eastAsia="Georgia" w:cs="Times New Roman"/>
          <w:b/>
          <w:bCs/>
          <w:color w:val="auto"/>
          <w:sz w:val="24"/>
          <w:szCs w:val="24"/>
        </w:rPr>
        <w:t> (</w:t>
      </w:r>
      <w:r>
        <w:rPr>
          <w:rFonts w:ascii="Times New Roman" w:hAnsi="Times New Roman" w:eastAsia="Segoe UI" w:cs="Times New Roman"/>
          <w:color w:val="auto"/>
          <w:sz w:val="24"/>
          <w:szCs w:val="24"/>
          <w:shd w:val="clear" w:color="auto" w:fill="FFFFFF"/>
        </w:rPr>
        <w:t>Massimiliano</w:t>
      </w:r>
      <w:r>
        <w:rPr>
          <w:rFonts w:ascii="Times New Roman" w:hAnsi="Times New Roman" w:eastAsia="serif" w:cs="Times New Roman"/>
          <w:color w:val="auto"/>
          <w:sz w:val="24"/>
          <w:szCs w:val="24"/>
          <w:shd w:val="clear" w:color="auto" w:fill="FFFFFF"/>
        </w:rPr>
        <w:t xml:space="preserve"> et al., 2023).</w:t>
      </w:r>
    </w:p>
    <w:p w14:paraId="32474670">
      <w:pPr>
        <w:pStyle w:val="2"/>
        <w:numPr>
          <w:ilvl w:val="0"/>
          <w:numId w:val="1"/>
        </w:numPr>
        <w:shd w:val="clear" w:color="auto" w:fill="FFFFFF"/>
        <w:spacing w:before="360" w:beforeAutospacing="0" w:after="120" w:afterAutospacing="0" w:line="18" w:lineRule="atLeast"/>
        <w:ind w:left="360" w:leftChars="0" w:firstLineChars="0"/>
        <w:rPr>
          <w:rFonts w:hint="default" w:ascii="Times New Roman" w:hAnsi="Times New Roman"/>
          <w:color w:val="auto"/>
          <w:sz w:val="24"/>
          <w:szCs w:val="24"/>
        </w:rPr>
      </w:pPr>
      <w:r>
        <w:rPr>
          <w:rFonts w:hint="default" w:ascii="Times New Roman" w:hAnsi="Times New Roman"/>
          <w:color w:val="auto"/>
          <w:sz w:val="24"/>
          <w:szCs w:val="24"/>
          <w:shd w:val="clear" w:color="auto" w:fill="FFFFFF"/>
        </w:rPr>
        <w:t>MATERIALS AND METHODS</w:t>
      </w:r>
    </w:p>
    <w:p w14:paraId="05EF4CF3">
      <w:pPr>
        <w:spacing w:line="360" w:lineRule="auto"/>
        <w:jc w:val="both"/>
        <w:rPr>
          <w:rFonts w:ascii="Times New Roman" w:hAnsi="Times New Roman" w:cs="Times New Roman"/>
          <w:color w:val="auto"/>
          <w:sz w:val="24"/>
          <w:szCs w:val="24"/>
        </w:rPr>
        <w:sectPr>
          <w:type w:val="continuous"/>
          <w:pgSz w:w="11906" w:h="16838"/>
          <w:pgMar w:top="1440" w:right="1800" w:bottom="1440" w:left="1800" w:header="720" w:footer="720" w:gutter="0"/>
          <w:cols w:space="720" w:num="2"/>
          <w:docGrid w:linePitch="360" w:charSpace="0"/>
        </w:sectPr>
      </w:pPr>
      <w:r>
        <w:rPr>
          <w:rFonts w:ascii="Times New Roman" w:hAnsi="Times New Roman" w:cs="Times New Roman"/>
          <w:color w:val="auto"/>
          <w:sz w:val="24"/>
          <w:szCs w:val="24"/>
        </w:rPr>
        <w:t xml:space="preserve">A total of </w:t>
      </w:r>
      <w:r>
        <w:rPr>
          <w:rFonts w:hint="default" w:ascii="Times New Roman" w:hAnsi="Times New Roman" w:cs="Times New Roman"/>
          <w:color w:val="auto"/>
          <w:sz w:val="24"/>
          <w:szCs w:val="24"/>
          <w:lang w:val="en-US"/>
        </w:rPr>
        <w:t>60</w:t>
      </w:r>
      <w:r>
        <w:rPr>
          <w:rFonts w:ascii="Times New Roman" w:hAnsi="Times New Roman" w:cs="Times New Roman"/>
          <w:color w:val="auto"/>
          <w:sz w:val="24"/>
          <w:szCs w:val="24"/>
        </w:rPr>
        <w:t xml:space="preserve"> references were reviewed which were closely dietary status and quality of life in patients with CKD (Fig. 1). These articles were consulted from databases such as PubMed, MEDLINE, EMBASE, Google Scholar, Cochrane databases. The inclusion criteria were as followed: (1) articles containing the dietary patterns of patients </w:t>
      </w:r>
      <w:r>
        <w:rPr>
          <w:rFonts w:ascii="Times New Roman" w:hAnsi="Times New Roman" w:cs="Times New Roman"/>
          <w:bCs/>
          <w:color w:val="auto"/>
          <w:sz w:val="24"/>
          <w:szCs w:val="24"/>
        </w:rPr>
        <w:t>of CKD undergoing hemodialysis</w:t>
      </w:r>
      <w:r>
        <w:rPr>
          <w:rFonts w:ascii="Times New Roman" w:hAnsi="Times New Roman" w:cs="Times New Roman"/>
          <w:color w:val="auto"/>
          <w:sz w:val="24"/>
          <w:szCs w:val="24"/>
        </w:rPr>
        <w:t xml:space="preserve"> (2) Articles reviewed critically with the prescribed an</w:t>
      </w:r>
      <w:r>
        <w:rPr>
          <w:rFonts w:hint="default" w:ascii="Times New Roman" w:hAnsi="Times New Roman" w:cs="Times New Roman"/>
          <w:color w:val="auto"/>
          <w:sz w:val="24"/>
          <w:szCs w:val="24"/>
          <w:lang w:val="en-US"/>
        </w:rPr>
        <w:t>d</w:t>
      </w:r>
      <w:r>
        <w:rPr>
          <w:rFonts w:ascii="Times New Roman" w:hAnsi="Times New Roman" w:cs="Times New Roman"/>
          <w:color w:val="auto"/>
          <w:sz w:val="24"/>
          <w:szCs w:val="24"/>
        </w:rPr>
        <w:t xml:space="preserve"> practiced diet programs for CKD patients. Of those 58 articles were scree</w:t>
      </w:r>
      <w:r>
        <w:rPr>
          <w:rFonts w:hint="default" w:ascii="Times New Roman" w:hAnsi="Times New Roman" w:cs="Times New Roman"/>
          <w:color w:val="auto"/>
          <w:sz w:val="24"/>
          <w:szCs w:val="24"/>
          <w:lang w:val="en-US"/>
        </w:rPr>
        <w:t>ne</w:t>
      </w:r>
      <w:r>
        <w:rPr>
          <w:rFonts w:ascii="Times New Roman" w:hAnsi="Times New Roman" w:cs="Times New Roman"/>
          <w:color w:val="auto"/>
          <w:sz w:val="24"/>
          <w:szCs w:val="24"/>
        </w:rPr>
        <w:t>d for meta-analysis c</w:t>
      </w:r>
      <w:r>
        <w:rPr>
          <w:rFonts w:ascii="Times New Roman" w:hAnsi="Times New Roman" w:cs="Times New Roman"/>
          <w:color w:val="auto"/>
          <w:sz w:val="24"/>
          <w:szCs w:val="24"/>
        </w:rPr>
        <w:t>onsidering their complete information.</w:t>
      </w:r>
    </w:p>
    <w:p w14:paraId="3247467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p>
    <w:p w14:paraId="32474672">
      <w:pPr>
        <w:rPr>
          <w:rFonts w:ascii="Times New Roman" w:hAnsi="Times New Roman" w:cs="Times New Roman"/>
          <w:color w:val="auto"/>
          <w:sz w:val="32"/>
          <w:szCs w:val="32"/>
        </w:rPr>
        <w:sectPr>
          <w:type w:val="continuous"/>
          <w:pgSz w:w="11906" w:h="16838"/>
          <w:pgMar w:top="1440" w:right="1800" w:bottom="1440" w:left="1800" w:header="720" w:footer="720" w:gutter="0"/>
          <w:cols w:equalWidth="0" w:num="2">
            <w:col w:w="3940" w:space="425"/>
            <w:col w:w="3940"/>
          </w:cols>
          <w:docGrid w:linePitch="360" w:charSpace="0"/>
        </w:sectPr>
      </w:pPr>
    </w:p>
    <w:p w14:paraId="32474673">
      <w:pPr>
        <w:rPr>
          <w:rFonts w:ascii="Times New Roman" w:hAnsi="Times New Roman" w:cs="Times New Roman"/>
          <w:color w:val="auto"/>
          <w:sz w:val="32"/>
          <w:szCs w:val="32"/>
          <w:u w:val="single"/>
        </w:rPr>
      </w:pPr>
      <w:r>
        <w:rPr>
          <w:rFonts w:ascii="Times New Roman" w:hAnsi="Times New Roman" w:cs="Times New Roman"/>
          <w:color w:val="auto"/>
          <w:sz w:val="32"/>
          <w:szCs w:val="32"/>
        </w:rPr>
        <w:drawing>
          <wp:inline distT="0" distB="0" distL="114300" distR="114300">
            <wp:extent cx="4956810" cy="5965825"/>
            <wp:effectExtent l="0" t="0" r="11430" b="8255"/>
            <wp:docPr id="1" name="Picture 1"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1)"/>
                    <pic:cNvPicPr>
                      <a:picLocks noChangeAspect="1"/>
                    </pic:cNvPicPr>
                  </pic:nvPicPr>
                  <pic:blipFill>
                    <a:blip r:embed="rId10"/>
                    <a:srcRect l="7385" t="12082" r="17914" b="24344"/>
                    <a:stretch>
                      <a:fillRect/>
                    </a:stretch>
                  </pic:blipFill>
                  <pic:spPr>
                    <a:xfrm>
                      <a:off x="0" y="0"/>
                      <a:ext cx="4956810" cy="5965825"/>
                    </a:xfrm>
                    <a:prstGeom prst="rect">
                      <a:avLst/>
                    </a:prstGeom>
                    <a:ln>
                      <a:noFill/>
                    </a:ln>
                  </pic:spPr>
                </pic:pic>
              </a:graphicData>
            </a:graphic>
          </wp:inline>
        </w:drawing>
      </w:r>
    </w:p>
    <w:p w14:paraId="32474674">
      <w:pPr>
        <w:rPr>
          <w:rFonts w:ascii="Times New Roman" w:hAnsi="Times New Roman" w:cs="Times New Roman"/>
          <w:color w:val="auto"/>
          <w:sz w:val="32"/>
          <w:szCs w:val="32"/>
          <w:u w:val="single"/>
        </w:rPr>
      </w:pPr>
    </w:p>
    <w:p w14:paraId="32474675">
      <w:pPr>
        <w:rPr>
          <w:rFonts w:ascii="Times New Roman" w:hAnsi="Times New Roman" w:cs="Times New Roman"/>
          <w:color w:val="auto"/>
          <w:sz w:val="32"/>
          <w:szCs w:val="32"/>
          <w:u w:val="single"/>
        </w:rPr>
      </w:pPr>
    </w:p>
    <w:p w14:paraId="32474676">
      <w:pPr>
        <w:rPr>
          <w:rFonts w:ascii="Times New Roman" w:hAnsi="Times New Roman" w:cs="Times New Roman"/>
          <w:b/>
          <w:color w:val="auto"/>
          <w:sz w:val="28"/>
          <w:szCs w:val="28"/>
        </w:rPr>
      </w:pPr>
      <w:r>
        <w:rPr>
          <w:rFonts w:ascii="Times New Roman" w:hAnsi="Times New Roman" w:cs="Times New Roman"/>
          <w:b/>
          <w:color w:val="auto"/>
          <w:sz w:val="28"/>
          <w:szCs w:val="28"/>
        </w:rPr>
        <w:t>Fig. 1: Flowchart for preferred reporting items for Review</w:t>
      </w:r>
    </w:p>
    <w:p w14:paraId="401EDD85">
      <w:pPr>
        <w:pStyle w:val="9"/>
        <w:numPr>
          <w:ilvl w:val="0"/>
          <w:numId w:val="1"/>
        </w:numPr>
        <w:shd w:val="clear" w:color="auto" w:fill="FFFFFF"/>
        <w:spacing w:before="450" w:beforeAutospacing="0" w:afterAutospacing="0"/>
        <w:rPr>
          <w:b/>
          <w:color w:val="auto"/>
        </w:rPr>
        <w:sectPr>
          <w:type w:val="continuous"/>
          <w:pgSz w:w="11906" w:h="16838"/>
          <w:pgMar w:top="1440" w:right="1800" w:bottom="1440" w:left="1800" w:header="720" w:footer="720" w:gutter="0"/>
          <w:cols w:space="720" w:num="1"/>
          <w:docGrid w:linePitch="360" w:charSpace="0"/>
        </w:sectPr>
      </w:pPr>
    </w:p>
    <w:p w14:paraId="790ECF4D">
      <w:pPr>
        <w:pStyle w:val="9"/>
        <w:numPr>
          <w:ilvl w:val="0"/>
          <w:numId w:val="1"/>
        </w:numPr>
        <w:shd w:val="clear" w:color="auto" w:fill="FFFFFF"/>
        <w:spacing w:before="450" w:beforeAutospacing="0" w:afterAutospacing="0"/>
        <w:ind w:left="360" w:leftChars="0" w:firstLineChars="0"/>
        <w:rPr>
          <w:b/>
          <w:color w:val="auto"/>
          <w:sz w:val="24"/>
          <w:szCs w:val="24"/>
        </w:rPr>
      </w:pPr>
      <w:r>
        <w:rPr>
          <w:b/>
          <w:color w:val="auto"/>
          <w:sz w:val="24"/>
          <w:szCs w:val="24"/>
        </w:rPr>
        <w:t xml:space="preserve">RESULTS AND </w:t>
      </w:r>
      <w:r>
        <w:rPr>
          <w:rFonts w:hint="default"/>
          <w:b/>
          <w:color w:val="auto"/>
          <w:sz w:val="24"/>
          <w:szCs w:val="24"/>
          <w:lang w:val="en-US"/>
        </w:rPr>
        <w:t xml:space="preserve">EVIDENCE SUMMARY </w:t>
      </w:r>
    </w:p>
    <w:p w14:paraId="428AAE53">
      <w:pPr>
        <w:pStyle w:val="9"/>
        <w:shd w:val="clear" w:color="auto" w:fill="FFFFFF"/>
        <w:spacing w:before="450" w:beforeAutospacing="0" w:afterAutospacing="0"/>
        <w:rPr>
          <w:bCs/>
          <w:color w:val="auto"/>
          <w:sz w:val="28"/>
          <w:szCs w:val="28"/>
        </w:rPr>
      </w:pPr>
      <w:r>
        <w:rPr>
          <w:bCs/>
          <w:color w:val="auto"/>
          <w:sz w:val="28"/>
          <w:szCs w:val="28"/>
        </w:rPr>
        <w:t xml:space="preserve">Table 1 showed the findings of </w:t>
      </w:r>
      <w:r>
        <w:rPr>
          <w:rFonts w:hint="default"/>
          <w:bCs/>
          <w:color w:val="auto"/>
          <w:sz w:val="28"/>
          <w:szCs w:val="28"/>
          <w:lang w:val="en-US"/>
        </w:rPr>
        <w:t>60</w:t>
      </w:r>
      <w:r>
        <w:rPr>
          <w:bCs/>
          <w:color w:val="auto"/>
          <w:sz w:val="28"/>
          <w:szCs w:val="28"/>
        </w:rPr>
        <w:t xml:space="preserve"> closely related article published chronologically between 2014-2025. </w:t>
      </w:r>
    </w:p>
    <w:p w14:paraId="7B2513A0">
      <w:pPr>
        <w:pStyle w:val="9"/>
        <w:shd w:val="clear" w:color="auto" w:fill="FFFFFF"/>
        <w:spacing w:before="450" w:beforeAutospacing="0" w:afterAutospacing="0"/>
        <w:rPr>
          <w:b/>
          <w:color w:val="auto"/>
          <w:sz w:val="28"/>
          <w:szCs w:val="28"/>
        </w:rPr>
        <w:sectPr>
          <w:type w:val="continuous"/>
          <w:pgSz w:w="11906" w:h="16838"/>
          <w:pgMar w:top="1440" w:right="1800" w:bottom="1440" w:left="1800" w:header="720" w:footer="720" w:gutter="0"/>
          <w:cols w:space="720" w:num="2"/>
          <w:docGrid w:linePitch="360" w:charSpace="0"/>
        </w:sectPr>
      </w:pPr>
    </w:p>
    <w:p w14:paraId="3247467C">
      <w:pPr>
        <w:pStyle w:val="9"/>
        <w:shd w:val="clear" w:color="auto" w:fill="FFFFFF"/>
        <w:spacing w:before="450" w:beforeAutospacing="0" w:afterAutospacing="0"/>
        <w:rPr>
          <w:b/>
          <w:color w:val="auto"/>
        </w:rPr>
      </w:pPr>
      <w:r>
        <w:rPr>
          <w:b/>
          <w:color w:val="auto"/>
          <w:sz w:val="28"/>
          <w:szCs w:val="28"/>
        </w:rPr>
        <w:t>Table 1. Analysis o</w:t>
      </w:r>
      <w:r>
        <w:rPr>
          <w:b/>
          <w:color w:val="auto"/>
        </w:rPr>
        <w:t>f the related articles reported between 2014 and 2025</w:t>
      </w:r>
    </w:p>
    <w:tbl>
      <w:tblPr>
        <w:tblStyle w:val="11"/>
        <w:tblpPr w:leftFromText="180" w:rightFromText="180" w:vertAnchor="text" w:horzAnchor="page" w:tblpX="900" w:tblpY="184"/>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57"/>
        <w:gridCol w:w="2094"/>
        <w:gridCol w:w="2149"/>
        <w:gridCol w:w="2286"/>
        <w:gridCol w:w="2119"/>
      </w:tblGrid>
      <w:tr w14:paraId="3247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tcPr>
          <w:p w14:paraId="3247467D">
            <w:pPr>
              <w:widowControl/>
              <w:jc w:val="left"/>
              <w:rPr>
                <w:rFonts w:ascii="Times New Roman" w:hAnsi="Times New Roman" w:cs="Times New Roman"/>
                <w:color w:val="auto"/>
                <w:sz w:val="24"/>
                <w:szCs w:val="24"/>
              </w:rPr>
            </w:pPr>
            <w:r>
              <w:rPr>
                <w:rFonts w:ascii="Times New Roman" w:hAnsi="Times New Roman" w:cs="Times New Roman"/>
                <w:color w:val="auto"/>
                <w:sz w:val="16"/>
                <w:szCs w:val="16"/>
              </w:rPr>
              <w:t>Sl. No</w:t>
            </w:r>
            <w:r>
              <w:rPr>
                <w:rFonts w:ascii="Times New Roman" w:hAnsi="Times New Roman" w:cs="Times New Roman"/>
                <w:color w:val="auto"/>
                <w:sz w:val="24"/>
                <w:szCs w:val="24"/>
              </w:rPr>
              <w:t>.</w:t>
            </w:r>
          </w:p>
        </w:tc>
        <w:tc>
          <w:tcPr>
            <w:tcW w:w="1557" w:type="dxa"/>
          </w:tcPr>
          <w:p w14:paraId="3247467E">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t>Sources</w:t>
            </w:r>
          </w:p>
          <w:p w14:paraId="3247467F">
            <w:pPr>
              <w:widowControl/>
              <w:jc w:val="left"/>
              <w:rPr>
                <w:rFonts w:ascii="Times New Roman" w:hAnsi="Times New Roman" w:cs="Times New Roman"/>
                <w:color w:val="auto"/>
                <w:sz w:val="24"/>
                <w:szCs w:val="24"/>
              </w:rPr>
            </w:pPr>
          </w:p>
        </w:tc>
        <w:tc>
          <w:tcPr>
            <w:tcW w:w="2094" w:type="dxa"/>
          </w:tcPr>
          <w:p w14:paraId="32474680">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t>Study Type,</w:t>
            </w:r>
          </w:p>
          <w:p w14:paraId="32474681">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t>No of Patients</w:t>
            </w:r>
          </w:p>
        </w:tc>
        <w:tc>
          <w:tcPr>
            <w:tcW w:w="2149" w:type="dxa"/>
          </w:tcPr>
          <w:p w14:paraId="32474682">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t>Dietary Intervention</w:t>
            </w:r>
          </w:p>
        </w:tc>
        <w:tc>
          <w:tcPr>
            <w:tcW w:w="2286" w:type="dxa"/>
          </w:tcPr>
          <w:p w14:paraId="32474683">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t>Specific Findings</w:t>
            </w:r>
          </w:p>
        </w:tc>
        <w:tc>
          <w:tcPr>
            <w:tcW w:w="2119" w:type="dxa"/>
          </w:tcPr>
          <w:p w14:paraId="32474684">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Remarks</w:t>
            </w:r>
          </w:p>
        </w:tc>
      </w:tr>
      <w:tr w14:paraId="3247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Pr>
          <w:p w14:paraId="32474686">
            <w:pPr>
              <w:widowControl/>
              <w:numPr>
                <w:ilvl w:val="0"/>
                <w:numId w:val="2"/>
              </w:numPr>
              <w:jc w:val="left"/>
              <w:rPr>
                <w:rFonts w:ascii="Times New Roman" w:hAnsi="Times New Roman" w:cs="Times New Roman"/>
                <w:color w:val="auto"/>
                <w:sz w:val="24"/>
                <w:szCs w:val="24"/>
              </w:rPr>
            </w:pPr>
          </w:p>
        </w:tc>
        <w:tc>
          <w:tcPr>
            <w:tcW w:w="1557" w:type="dxa"/>
          </w:tcPr>
          <w:p w14:paraId="32474687">
            <w:pPr>
              <w:pStyle w:val="9"/>
              <w:widowControl/>
              <w:spacing w:beforeAutospacing="0" w:afterAutospacing="0"/>
              <w:jc w:val="both"/>
              <w:rPr>
                <w:color w:val="auto"/>
              </w:rPr>
            </w:pPr>
            <w:r>
              <w:rPr>
                <w:rFonts w:eastAsia="Segoe UI"/>
                <w:color w:val="auto"/>
                <w:shd w:val="clear" w:color="auto" w:fill="FFFFFF"/>
              </w:rPr>
              <w:t>Massimiliano, et al., (2025)</w:t>
            </w:r>
          </w:p>
        </w:tc>
        <w:tc>
          <w:tcPr>
            <w:tcW w:w="2094" w:type="dxa"/>
          </w:tcPr>
          <w:p w14:paraId="32474688">
            <w:pPr>
              <w:pStyle w:val="9"/>
              <w:widowControl/>
              <w:spacing w:beforeAutospacing="0" w:afterAutospacing="0"/>
              <w:jc w:val="both"/>
              <w:rPr>
                <w:color w:val="auto"/>
              </w:rPr>
            </w:pPr>
            <w:r>
              <w:rPr>
                <w:color w:val="auto"/>
              </w:rPr>
              <w:t>Economic evaluation (Markov model simulation)</w:t>
            </w:r>
          </w:p>
          <w:p w14:paraId="32474689">
            <w:pPr>
              <w:pStyle w:val="9"/>
              <w:widowControl/>
              <w:spacing w:beforeAutospacing="0" w:afterAutospacing="0"/>
              <w:jc w:val="both"/>
              <w:rPr>
                <w:color w:val="auto"/>
              </w:rPr>
            </w:pPr>
            <w:r>
              <w:rPr>
                <w:color w:val="auto"/>
              </w:rPr>
              <w:t xml:space="preserve">Simulated cohort of CKD stage 4–5 </w:t>
            </w:r>
          </w:p>
        </w:tc>
        <w:tc>
          <w:tcPr>
            <w:tcW w:w="2149" w:type="dxa"/>
          </w:tcPr>
          <w:p w14:paraId="3247468A">
            <w:pPr>
              <w:pStyle w:val="9"/>
              <w:widowControl/>
              <w:spacing w:beforeAutospacing="0" w:afterAutospacing="0"/>
              <w:jc w:val="both"/>
              <w:rPr>
                <w:color w:val="auto"/>
              </w:rPr>
            </w:pPr>
            <w:r>
              <w:rPr>
                <w:color w:val="auto"/>
              </w:rPr>
              <w:t>s-VLPD (vegetarian very low-protein diet with ketoanalogues) vs. conventional LPD</w:t>
            </w:r>
          </w:p>
        </w:tc>
        <w:tc>
          <w:tcPr>
            <w:tcW w:w="2286" w:type="dxa"/>
          </w:tcPr>
          <w:p w14:paraId="3247468B">
            <w:pPr>
              <w:pStyle w:val="9"/>
              <w:widowControl/>
              <w:spacing w:beforeAutospacing="0" w:afterAutospacing="0"/>
              <w:jc w:val="both"/>
              <w:rPr>
                <w:color w:val="auto"/>
              </w:rPr>
            </w:pPr>
            <w:r>
              <w:rPr>
                <w:color w:val="auto"/>
              </w:rPr>
              <w:t>Improved survival (+0.60 years), QALYs (+0.49), cost savings (€34,000 NHS; €59,147 societal); remained cost-effective in all analyses</w:t>
            </w:r>
          </w:p>
        </w:tc>
        <w:tc>
          <w:tcPr>
            <w:tcW w:w="2119" w:type="dxa"/>
          </w:tcPr>
          <w:p w14:paraId="3247468C">
            <w:pPr>
              <w:pStyle w:val="9"/>
              <w:widowControl/>
              <w:spacing w:beforeAutospacing="0" w:afterAutospacing="0"/>
              <w:jc w:val="both"/>
              <w:rPr>
                <w:color w:val="auto"/>
              </w:rPr>
            </w:pPr>
            <w:r>
              <w:rPr>
                <w:color w:val="auto"/>
              </w:rPr>
              <w:t>Clinically effective, delays dialysis, reduces healthcare costs — recommended for CKD management</w:t>
            </w:r>
          </w:p>
        </w:tc>
      </w:tr>
      <w:tr w14:paraId="3247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97">
            <w:pPr>
              <w:widowControl/>
              <w:numPr>
                <w:ilvl w:val="0"/>
                <w:numId w:val="2"/>
              </w:numPr>
              <w:jc w:val="left"/>
              <w:rPr>
                <w:rFonts w:ascii="Times New Roman" w:hAnsi="Times New Roman" w:cs="Times New Roman"/>
                <w:color w:val="auto"/>
                <w:sz w:val="24"/>
                <w:szCs w:val="24"/>
              </w:rPr>
            </w:pPr>
          </w:p>
        </w:tc>
        <w:tc>
          <w:tcPr>
            <w:tcW w:w="1557" w:type="dxa"/>
          </w:tcPr>
          <w:p w14:paraId="1B8A6EB9">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Bawazir, et al., (2024)</w:t>
            </w:r>
          </w:p>
          <w:p w14:paraId="32474698">
            <w:pPr>
              <w:pStyle w:val="9"/>
              <w:widowControl/>
              <w:spacing w:beforeAutospacing="0" w:afterAutospacing="0"/>
              <w:jc w:val="both"/>
              <w:rPr>
                <w:color w:val="auto"/>
              </w:rPr>
            </w:pPr>
          </w:p>
        </w:tc>
        <w:tc>
          <w:tcPr>
            <w:tcW w:w="2094" w:type="dxa"/>
          </w:tcPr>
          <w:p w14:paraId="3247469A">
            <w:pPr>
              <w:pStyle w:val="9"/>
              <w:widowControl/>
              <w:spacing w:beforeAutospacing="0" w:afterAutospacing="0"/>
              <w:jc w:val="both"/>
              <w:rPr>
                <w:color w:val="auto"/>
              </w:rPr>
            </w:pPr>
            <w:r>
              <w:rPr>
                <w:rStyle w:val="10"/>
                <w:b w:val="0"/>
                <w:bCs w:val="0"/>
                <w:color w:val="auto"/>
              </w:rPr>
              <w:t>Type:</w:t>
            </w:r>
            <w:r>
              <w:rPr>
                <w:color w:val="auto"/>
              </w:rPr>
              <w:t xml:space="preserve"> Narrative </w:t>
            </w:r>
            <w:r>
              <w:rPr>
                <w:rStyle w:val="10"/>
                <w:b w:val="0"/>
                <w:bCs w:val="0"/>
                <w:color w:val="auto"/>
              </w:rPr>
              <w:t xml:space="preserve">review </w:t>
            </w:r>
            <w:r>
              <w:rPr>
                <w:color w:val="auto"/>
              </w:rPr>
              <w:t>(evidence-based discussion)</w:t>
            </w:r>
          </w:p>
        </w:tc>
        <w:tc>
          <w:tcPr>
            <w:tcW w:w="2149" w:type="dxa"/>
          </w:tcPr>
          <w:p w14:paraId="3247469B">
            <w:pPr>
              <w:pStyle w:val="9"/>
              <w:widowControl/>
              <w:spacing w:beforeAutospacing="0" w:afterAutospacing="0"/>
              <w:jc w:val="both"/>
              <w:rPr>
                <w:color w:val="auto"/>
              </w:rPr>
            </w:pPr>
            <w:r>
              <w:rPr>
                <w:color w:val="auto"/>
              </w:rPr>
              <w:t>Traditional protein-restricted diet vs. personalized, nutritionally adequate approach</w:t>
            </w:r>
          </w:p>
        </w:tc>
        <w:tc>
          <w:tcPr>
            <w:tcW w:w="2286" w:type="dxa"/>
          </w:tcPr>
          <w:p w14:paraId="3247469C">
            <w:pPr>
              <w:pStyle w:val="9"/>
              <w:widowControl/>
              <w:spacing w:beforeAutospacing="0" w:afterAutospacing="0"/>
              <w:jc w:val="both"/>
              <w:rPr>
                <w:color w:val="auto"/>
              </w:rPr>
            </w:pPr>
            <w:r>
              <w:rPr>
                <w:color w:val="auto"/>
              </w:rPr>
              <w:t>Protein restriction alone may not slow CKD progression; risk of malnutrition and poor quality of life; newer drugs (ACEi, SGLT2i, GLP-1 RA) improve outcomes</w:t>
            </w:r>
          </w:p>
        </w:tc>
        <w:tc>
          <w:tcPr>
            <w:tcW w:w="2119" w:type="dxa"/>
          </w:tcPr>
          <w:p w14:paraId="3247469D">
            <w:pPr>
              <w:pStyle w:val="9"/>
              <w:widowControl/>
              <w:spacing w:beforeAutospacing="0" w:afterAutospacing="0"/>
              <w:jc w:val="both"/>
              <w:rPr>
                <w:color w:val="auto"/>
              </w:rPr>
            </w:pPr>
            <w:r>
              <w:rPr>
                <w:color w:val="auto"/>
              </w:rPr>
              <w:t>Recommends personalized, balanced care integrating diet with modern pharmacotherapy for better CKD management</w:t>
            </w:r>
          </w:p>
        </w:tc>
      </w:tr>
      <w:tr w14:paraId="3247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9F">
            <w:pPr>
              <w:widowControl/>
              <w:numPr>
                <w:ilvl w:val="0"/>
                <w:numId w:val="2"/>
              </w:numPr>
              <w:jc w:val="left"/>
              <w:rPr>
                <w:rFonts w:ascii="Times New Roman" w:hAnsi="Times New Roman" w:cs="Times New Roman"/>
                <w:color w:val="auto"/>
                <w:sz w:val="24"/>
                <w:szCs w:val="24"/>
              </w:rPr>
            </w:pPr>
          </w:p>
        </w:tc>
        <w:tc>
          <w:tcPr>
            <w:tcW w:w="1557" w:type="dxa"/>
          </w:tcPr>
          <w:p w14:paraId="324746A0">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Vettoretti, et al., (2024)</w:t>
            </w:r>
          </w:p>
          <w:p w14:paraId="324746A1">
            <w:pPr>
              <w:pStyle w:val="9"/>
              <w:widowControl/>
              <w:spacing w:beforeAutospacing="0" w:afterAutospacing="0"/>
              <w:jc w:val="both"/>
              <w:rPr>
                <w:color w:val="auto"/>
              </w:rPr>
            </w:pPr>
          </w:p>
        </w:tc>
        <w:tc>
          <w:tcPr>
            <w:tcW w:w="2094" w:type="dxa"/>
          </w:tcPr>
          <w:p w14:paraId="324746A3">
            <w:pPr>
              <w:pStyle w:val="9"/>
              <w:widowControl/>
              <w:spacing w:beforeAutospacing="0" w:afterAutospacing="0"/>
              <w:jc w:val="both"/>
              <w:rPr>
                <w:color w:val="auto"/>
              </w:rPr>
            </w:pPr>
            <w:r>
              <w:rPr>
                <w:rStyle w:val="10"/>
                <w:b w:val="0"/>
                <w:bCs w:val="0"/>
                <w:color w:val="auto"/>
              </w:rPr>
              <w:t>Type:</w:t>
            </w:r>
            <w:r>
              <w:rPr>
                <w:color w:val="auto"/>
              </w:rPr>
              <w:t xml:space="preserve"> Cross-sectional observational study; s</w:t>
            </w:r>
            <w:r>
              <w:rPr>
                <w:rStyle w:val="10"/>
                <w:b w:val="0"/>
                <w:bCs w:val="0"/>
                <w:color w:val="auto"/>
              </w:rPr>
              <w:t>ample size:</w:t>
            </w:r>
            <w:r>
              <w:rPr>
                <w:color w:val="auto"/>
              </w:rPr>
              <w:t xml:space="preserve"> 123 elderly CKD patients.</w:t>
            </w:r>
          </w:p>
        </w:tc>
        <w:tc>
          <w:tcPr>
            <w:tcW w:w="2149" w:type="dxa"/>
          </w:tcPr>
          <w:p w14:paraId="324746A4">
            <w:pPr>
              <w:pStyle w:val="9"/>
              <w:widowControl/>
              <w:spacing w:beforeAutospacing="0" w:afterAutospacing="0"/>
              <w:jc w:val="both"/>
              <w:rPr>
                <w:color w:val="auto"/>
              </w:rPr>
            </w:pPr>
            <w:r>
              <w:rPr>
                <w:color w:val="auto"/>
              </w:rPr>
              <w:t>Comparison between spontaneous low-protein intake (sLPI) and normal protein intake (NPI) in elderly CKD patients without intentional restriction.</w:t>
            </w:r>
          </w:p>
        </w:tc>
        <w:tc>
          <w:tcPr>
            <w:tcW w:w="2286" w:type="dxa"/>
          </w:tcPr>
          <w:p w14:paraId="324746A5">
            <w:pPr>
              <w:pStyle w:val="9"/>
              <w:widowControl/>
              <w:spacing w:beforeAutospacing="0" w:afterAutospacing="0"/>
              <w:jc w:val="both"/>
              <w:rPr>
                <w:color w:val="auto"/>
              </w:rPr>
            </w:pPr>
            <w:r>
              <w:rPr>
                <w:color w:val="auto"/>
              </w:rPr>
              <w:t>sLPI observed in 68% of patients; associated with higher malnutrition, protein-energy wasting, elevated IL-6, and reduced muscle mass and physical performance.</w:t>
            </w:r>
          </w:p>
        </w:tc>
        <w:tc>
          <w:tcPr>
            <w:tcW w:w="2119" w:type="dxa"/>
          </w:tcPr>
          <w:p w14:paraId="324746A6">
            <w:pPr>
              <w:pStyle w:val="9"/>
              <w:widowControl/>
              <w:spacing w:beforeAutospacing="0" w:afterAutospacing="0"/>
              <w:jc w:val="both"/>
              <w:rPr>
                <w:color w:val="auto"/>
              </w:rPr>
            </w:pPr>
            <w:r>
              <w:rPr>
                <w:color w:val="auto"/>
              </w:rPr>
              <w:t>sLPI leads to frailty and poor nutrition; emphasizes individualized dietary assessment and balancing protein restriction with adequate nutrition.</w:t>
            </w:r>
          </w:p>
        </w:tc>
      </w:tr>
      <w:tr w14:paraId="3247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A8">
            <w:pPr>
              <w:widowControl/>
              <w:numPr>
                <w:ilvl w:val="0"/>
                <w:numId w:val="2"/>
              </w:numPr>
              <w:jc w:val="left"/>
              <w:rPr>
                <w:rFonts w:ascii="Times New Roman" w:hAnsi="Times New Roman" w:cs="Times New Roman"/>
                <w:color w:val="auto"/>
                <w:sz w:val="24"/>
                <w:szCs w:val="24"/>
              </w:rPr>
            </w:pPr>
          </w:p>
        </w:tc>
        <w:tc>
          <w:tcPr>
            <w:tcW w:w="1557" w:type="dxa"/>
          </w:tcPr>
          <w:p w14:paraId="324746A9">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Garneata, et al., (2024)</w:t>
            </w:r>
          </w:p>
          <w:p w14:paraId="324746AA">
            <w:pPr>
              <w:pStyle w:val="9"/>
              <w:widowControl/>
              <w:spacing w:beforeAutospacing="0" w:afterAutospacing="0"/>
              <w:jc w:val="both"/>
              <w:rPr>
                <w:color w:val="auto"/>
              </w:rPr>
            </w:pPr>
          </w:p>
        </w:tc>
        <w:tc>
          <w:tcPr>
            <w:tcW w:w="2094" w:type="dxa"/>
          </w:tcPr>
          <w:p w14:paraId="324746AC">
            <w:pPr>
              <w:pStyle w:val="9"/>
              <w:widowControl/>
              <w:spacing w:beforeAutospacing="0" w:afterAutospacing="0"/>
              <w:jc w:val="both"/>
              <w:rPr>
                <w:color w:val="auto"/>
              </w:rPr>
            </w:pPr>
            <w:r>
              <w:rPr>
                <w:rStyle w:val="10"/>
                <w:b w:val="0"/>
                <w:bCs w:val="0"/>
                <w:color w:val="auto"/>
              </w:rPr>
              <w:t>Type:</w:t>
            </w:r>
            <w:r>
              <w:rPr>
                <w:color w:val="auto"/>
              </w:rPr>
              <w:t xml:space="preserve"> Prospective interventional sub-analysis; s</w:t>
            </w:r>
            <w:r>
              <w:rPr>
                <w:rStyle w:val="10"/>
                <w:b w:val="0"/>
                <w:bCs w:val="0"/>
                <w:color w:val="auto"/>
              </w:rPr>
              <w:t>ample size:</w:t>
            </w:r>
            <w:r>
              <w:rPr>
                <w:color w:val="auto"/>
              </w:rPr>
              <w:t xml:space="preserve"> 92 DKD patients (42% elderly) with CKD stage 4+</w:t>
            </w:r>
          </w:p>
        </w:tc>
        <w:tc>
          <w:tcPr>
            <w:tcW w:w="2149" w:type="dxa"/>
          </w:tcPr>
          <w:p w14:paraId="324746AD">
            <w:pPr>
              <w:pStyle w:val="9"/>
              <w:widowControl/>
              <w:spacing w:beforeAutospacing="0" w:afterAutospacing="0"/>
              <w:jc w:val="both"/>
              <w:rPr>
                <w:color w:val="auto"/>
              </w:rPr>
            </w:pPr>
            <w:r>
              <w:rPr>
                <w:color w:val="auto"/>
              </w:rPr>
              <w:t>Low-protein diet (0.6 g/kg/day) with ketoanalogue supplementation for 12 months in elderly DKD patients.</w:t>
            </w:r>
          </w:p>
        </w:tc>
        <w:tc>
          <w:tcPr>
            <w:tcW w:w="2286" w:type="dxa"/>
          </w:tcPr>
          <w:p w14:paraId="324746AE">
            <w:pPr>
              <w:pStyle w:val="9"/>
              <w:widowControl/>
              <w:spacing w:beforeAutospacing="0" w:afterAutospacing="0"/>
              <w:jc w:val="both"/>
              <w:rPr>
                <w:color w:val="auto"/>
              </w:rPr>
            </w:pPr>
            <w:r>
              <w:rPr>
                <w:color w:val="auto"/>
              </w:rPr>
              <w:t>Proteinuria reduced by 70%; kidney function decline slowed (0.5 → 0.1 mL/min/month); vascular events linked to CKD severity; nutrition maintained.</w:t>
            </w:r>
          </w:p>
        </w:tc>
        <w:tc>
          <w:tcPr>
            <w:tcW w:w="2119" w:type="dxa"/>
          </w:tcPr>
          <w:p w14:paraId="324746AF">
            <w:pPr>
              <w:pStyle w:val="9"/>
              <w:widowControl/>
              <w:spacing w:beforeAutospacing="0" w:afterAutospacing="0"/>
              <w:jc w:val="both"/>
              <w:rPr>
                <w:color w:val="auto"/>
              </w:rPr>
            </w:pPr>
            <w:r>
              <w:rPr>
                <w:color w:val="auto"/>
              </w:rPr>
              <w:t>LPD with ketoanalogues is safe and effective, delays KRT, preserves nutrition, and requires individualized monitoring.</w:t>
            </w:r>
          </w:p>
        </w:tc>
      </w:tr>
      <w:tr w14:paraId="3247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B1">
            <w:pPr>
              <w:widowControl/>
              <w:numPr>
                <w:ilvl w:val="0"/>
                <w:numId w:val="2"/>
              </w:numPr>
              <w:jc w:val="left"/>
              <w:rPr>
                <w:rFonts w:ascii="Times New Roman" w:hAnsi="Times New Roman" w:cs="Times New Roman"/>
                <w:color w:val="auto"/>
                <w:sz w:val="24"/>
                <w:szCs w:val="24"/>
              </w:rPr>
            </w:pPr>
          </w:p>
        </w:tc>
        <w:tc>
          <w:tcPr>
            <w:tcW w:w="1557" w:type="dxa"/>
          </w:tcPr>
          <w:p w14:paraId="324746B2">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 xml:space="preserve">Pereira, et al., (2024) </w:t>
            </w:r>
          </w:p>
          <w:p w14:paraId="324746B3">
            <w:pPr>
              <w:pStyle w:val="9"/>
              <w:widowControl/>
              <w:spacing w:beforeAutospacing="0" w:afterAutospacing="0"/>
              <w:jc w:val="both"/>
              <w:rPr>
                <w:color w:val="auto"/>
              </w:rPr>
            </w:pPr>
          </w:p>
        </w:tc>
        <w:tc>
          <w:tcPr>
            <w:tcW w:w="2094" w:type="dxa"/>
          </w:tcPr>
          <w:p w14:paraId="324746B4">
            <w:pPr>
              <w:pStyle w:val="9"/>
              <w:widowControl/>
              <w:spacing w:beforeAutospacing="0" w:afterAutospacing="0"/>
              <w:jc w:val="both"/>
              <w:rPr>
                <w:color w:val="auto"/>
              </w:rPr>
            </w:pPr>
            <w:r>
              <w:rPr>
                <w:rStyle w:val="10"/>
                <w:b w:val="0"/>
                <w:bCs w:val="0"/>
                <w:color w:val="auto"/>
              </w:rPr>
              <w:t>Type:</w:t>
            </w:r>
            <w:r>
              <w:rPr>
                <w:color w:val="auto"/>
              </w:rPr>
              <w:t xml:space="preserve"> Narrative </w:t>
            </w:r>
            <w:r>
              <w:rPr>
                <w:rStyle w:val="10"/>
                <w:b w:val="0"/>
                <w:bCs w:val="0"/>
                <w:color w:val="auto"/>
              </w:rPr>
              <w:t>review article;</w:t>
            </w:r>
          </w:p>
          <w:p w14:paraId="324746B5">
            <w:pPr>
              <w:pStyle w:val="9"/>
              <w:widowControl/>
              <w:spacing w:beforeAutospacing="0" w:afterAutospacing="0"/>
              <w:jc w:val="both"/>
              <w:rPr>
                <w:color w:val="auto"/>
              </w:rPr>
            </w:pPr>
            <w:r>
              <w:rPr>
                <w:color w:val="auto"/>
              </w:rPr>
              <w:t>(based on recent evidence and literature)</w:t>
            </w:r>
          </w:p>
          <w:p w14:paraId="324746B6">
            <w:pPr>
              <w:widowControl/>
              <w:jc w:val="left"/>
              <w:rPr>
                <w:rFonts w:ascii="Times New Roman" w:hAnsi="Times New Roman" w:cs="Times New Roman"/>
                <w:color w:val="auto"/>
                <w:sz w:val="24"/>
                <w:szCs w:val="24"/>
              </w:rPr>
            </w:pPr>
          </w:p>
        </w:tc>
        <w:tc>
          <w:tcPr>
            <w:tcW w:w="2149" w:type="dxa"/>
          </w:tcPr>
          <w:p w14:paraId="324746B7">
            <w:pPr>
              <w:pStyle w:val="9"/>
              <w:widowControl/>
              <w:spacing w:beforeAutospacing="0" w:afterAutospacing="0"/>
              <w:jc w:val="both"/>
              <w:rPr>
                <w:color w:val="auto"/>
              </w:rPr>
            </w:pPr>
            <w:r>
              <w:rPr>
                <w:color w:val="auto"/>
              </w:rPr>
              <w:t>Protein-restricted diets with or without ketoanalogue supplementation to assess nutritional and metabolic safety.</w:t>
            </w:r>
          </w:p>
        </w:tc>
        <w:tc>
          <w:tcPr>
            <w:tcW w:w="2286" w:type="dxa"/>
          </w:tcPr>
          <w:p w14:paraId="324746B8">
            <w:pPr>
              <w:pStyle w:val="9"/>
              <w:widowControl/>
              <w:spacing w:beforeAutospacing="0" w:afterAutospacing="0"/>
              <w:jc w:val="both"/>
              <w:rPr>
                <w:color w:val="auto"/>
              </w:rPr>
            </w:pPr>
            <w:r>
              <w:rPr>
                <w:color w:val="auto"/>
              </w:rPr>
              <w:t>Well-monitored, personalized restriction (especially with ketoanalogues) not linked to malnutrition.</w:t>
            </w:r>
          </w:p>
        </w:tc>
        <w:tc>
          <w:tcPr>
            <w:tcW w:w="2119" w:type="dxa"/>
          </w:tcPr>
          <w:p w14:paraId="324746B9">
            <w:pPr>
              <w:pStyle w:val="9"/>
              <w:widowControl/>
              <w:spacing w:beforeAutospacing="0" w:afterAutospacing="0"/>
              <w:jc w:val="both"/>
              <w:rPr>
                <w:color w:val="auto"/>
              </w:rPr>
            </w:pPr>
            <w:r>
              <w:rPr>
                <w:color w:val="auto"/>
              </w:rPr>
              <w:t>Protein restriction is a useful non-pharmacological CKD strategy; should be individualized and supervised.</w:t>
            </w:r>
          </w:p>
        </w:tc>
      </w:tr>
      <w:tr w14:paraId="3247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BB">
            <w:pPr>
              <w:widowControl/>
              <w:numPr>
                <w:ilvl w:val="0"/>
                <w:numId w:val="2"/>
              </w:numPr>
              <w:jc w:val="left"/>
              <w:rPr>
                <w:rFonts w:ascii="Times New Roman" w:hAnsi="Times New Roman" w:cs="Times New Roman"/>
                <w:color w:val="auto"/>
                <w:sz w:val="24"/>
                <w:szCs w:val="24"/>
              </w:rPr>
            </w:pPr>
          </w:p>
        </w:tc>
        <w:tc>
          <w:tcPr>
            <w:tcW w:w="1557" w:type="dxa"/>
          </w:tcPr>
          <w:p w14:paraId="324746BC">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 xml:space="preserve">Windahl, et al., (2024)  </w:t>
            </w:r>
          </w:p>
          <w:p w14:paraId="324746BD">
            <w:pPr>
              <w:pStyle w:val="9"/>
              <w:widowControl/>
              <w:spacing w:beforeAutospacing="0" w:afterAutospacing="0"/>
              <w:jc w:val="both"/>
              <w:rPr>
                <w:color w:val="auto"/>
              </w:rPr>
            </w:pPr>
          </w:p>
        </w:tc>
        <w:tc>
          <w:tcPr>
            <w:tcW w:w="2094" w:type="dxa"/>
          </w:tcPr>
          <w:p w14:paraId="324746BF">
            <w:pPr>
              <w:pStyle w:val="9"/>
              <w:widowControl/>
              <w:spacing w:beforeAutospacing="0" w:afterAutospacing="0"/>
              <w:jc w:val="both"/>
              <w:rPr>
                <w:color w:val="auto"/>
              </w:rPr>
            </w:pPr>
            <w:r>
              <w:rPr>
                <w:rStyle w:val="10"/>
                <w:b w:val="0"/>
                <w:bCs w:val="0"/>
                <w:color w:val="auto"/>
              </w:rPr>
              <w:t>Type:</w:t>
            </w:r>
            <w:r>
              <w:rPr>
                <w:color w:val="auto"/>
              </w:rPr>
              <w:t xml:space="preserve"> Prospective, multicenter </w:t>
            </w:r>
            <w:r>
              <w:rPr>
                <w:rStyle w:val="10"/>
                <w:b w:val="0"/>
                <w:bCs w:val="0"/>
                <w:color w:val="auto"/>
              </w:rPr>
              <w:t>observational study; sample size:</w:t>
            </w:r>
            <w:r>
              <w:rPr>
                <w:color w:val="auto"/>
              </w:rPr>
              <w:t xml:space="preserve"> 1,738 adults (≥65 years old) with eGFR &lt;20 ml/min/1.73 m²</w:t>
            </w:r>
          </w:p>
          <w:p w14:paraId="324746C0">
            <w:pPr>
              <w:pStyle w:val="9"/>
              <w:widowControl/>
              <w:spacing w:beforeAutospacing="0" w:afterAutospacing="0"/>
              <w:jc w:val="both"/>
              <w:rPr>
                <w:color w:val="auto"/>
              </w:rPr>
            </w:pPr>
            <w:r>
              <w:rPr>
                <w:rStyle w:val="10"/>
                <w:b w:val="0"/>
                <w:bCs w:val="0"/>
                <w:color w:val="auto"/>
              </w:rPr>
              <w:t>Follow-up:</w:t>
            </w:r>
            <w:r>
              <w:rPr>
                <w:color w:val="auto"/>
              </w:rPr>
              <w:t xml:space="preserve"> Up to 6 years</w:t>
            </w:r>
          </w:p>
        </w:tc>
        <w:tc>
          <w:tcPr>
            <w:tcW w:w="2149" w:type="dxa"/>
          </w:tcPr>
          <w:p w14:paraId="324746C1">
            <w:pPr>
              <w:pStyle w:val="9"/>
              <w:widowControl/>
              <w:spacing w:beforeAutospacing="0" w:afterAutospacing="0"/>
              <w:jc w:val="both"/>
              <w:rPr>
                <w:color w:val="auto"/>
              </w:rPr>
            </w:pPr>
            <w:r>
              <w:rPr>
                <w:color w:val="auto"/>
              </w:rPr>
              <w:t>Prescribed low-protein diet (≤0.8 g/kg, &lt;0.6 g/kg subgroup) with regular dietary records and SGA-based nutritional monitoring across three countries.</w:t>
            </w:r>
          </w:p>
        </w:tc>
        <w:tc>
          <w:tcPr>
            <w:tcW w:w="2286" w:type="dxa"/>
          </w:tcPr>
          <w:p w14:paraId="324746C2">
            <w:pPr>
              <w:pStyle w:val="9"/>
              <w:widowControl/>
              <w:spacing w:beforeAutospacing="0" w:afterAutospacing="0"/>
              <w:jc w:val="both"/>
              <w:rPr>
                <w:color w:val="auto"/>
              </w:rPr>
            </w:pPr>
            <w:r>
              <w:rPr>
                <w:color w:val="auto"/>
              </w:rPr>
              <w:t>No increase in mortality or nutritional decline; consistent results even with &lt;0.6 g/kg intake; higher risk only in patients &gt;75 years with frailty or comorbidities.</w:t>
            </w:r>
          </w:p>
        </w:tc>
        <w:tc>
          <w:tcPr>
            <w:tcW w:w="2119" w:type="dxa"/>
          </w:tcPr>
          <w:p w14:paraId="324746C3">
            <w:pPr>
              <w:pStyle w:val="9"/>
              <w:widowControl/>
              <w:spacing w:beforeAutospacing="0" w:afterAutospacing="0"/>
              <w:jc w:val="both"/>
              <w:rPr>
                <w:color w:val="auto"/>
              </w:rPr>
            </w:pPr>
            <w:r>
              <w:rPr>
                <w:color w:val="auto"/>
              </w:rPr>
              <w:t>LPD is safe and well-tolerated in elderly CKD patients when closely monitored; feasible for clinical use with individualized follow-up for vulnerable patients.</w:t>
            </w:r>
          </w:p>
        </w:tc>
      </w:tr>
      <w:tr w14:paraId="3247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C5">
            <w:pPr>
              <w:widowControl/>
              <w:numPr>
                <w:ilvl w:val="0"/>
                <w:numId w:val="2"/>
              </w:numPr>
              <w:jc w:val="left"/>
              <w:rPr>
                <w:rFonts w:ascii="Times New Roman" w:hAnsi="Times New Roman" w:cs="Times New Roman"/>
                <w:color w:val="auto"/>
                <w:sz w:val="24"/>
                <w:szCs w:val="24"/>
              </w:rPr>
            </w:pPr>
          </w:p>
        </w:tc>
        <w:tc>
          <w:tcPr>
            <w:tcW w:w="1557" w:type="dxa"/>
          </w:tcPr>
          <w:p w14:paraId="324746C6">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Du and Dai, (2024)</w:t>
            </w:r>
          </w:p>
          <w:p w14:paraId="324746C7">
            <w:pPr>
              <w:pStyle w:val="9"/>
              <w:widowControl/>
              <w:spacing w:beforeAutospacing="0" w:afterAutospacing="0"/>
              <w:jc w:val="both"/>
              <w:rPr>
                <w:color w:val="auto"/>
              </w:rPr>
            </w:pPr>
          </w:p>
        </w:tc>
        <w:tc>
          <w:tcPr>
            <w:tcW w:w="2094" w:type="dxa"/>
          </w:tcPr>
          <w:p w14:paraId="324746C9">
            <w:pPr>
              <w:pStyle w:val="9"/>
              <w:widowControl/>
              <w:spacing w:beforeAutospacing="0" w:afterAutospacing="0"/>
              <w:jc w:val="both"/>
              <w:rPr>
                <w:color w:val="auto"/>
              </w:rPr>
            </w:pPr>
            <w:r>
              <w:rPr>
                <w:rStyle w:val="10"/>
                <w:b w:val="0"/>
                <w:bCs w:val="0"/>
                <w:color w:val="auto"/>
              </w:rPr>
              <w:t>Type:</w:t>
            </w:r>
            <w:r>
              <w:rPr>
                <w:color w:val="auto"/>
              </w:rPr>
              <w:t xml:space="preserve"> </w:t>
            </w:r>
            <w:r>
              <w:rPr>
                <w:rStyle w:val="10"/>
                <w:b w:val="0"/>
                <w:bCs w:val="0"/>
                <w:color w:val="auto"/>
              </w:rPr>
              <w:t xml:space="preserve">Narrative review </w:t>
            </w:r>
            <w:r>
              <w:rPr>
                <w:color w:val="auto"/>
              </w:rPr>
              <w:t>(evidence synthesis from literature).</w:t>
            </w:r>
          </w:p>
        </w:tc>
        <w:tc>
          <w:tcPr>
            <w:tcW w:w="2149" w:type="dxa"/>
          </w:tcPr>
          <w:p w14:paraId="324746CA">
            <w:pPr>
              <w:pStyle w:val="9"/>
              <w:widowControl/>
              <w:spacing w:beforeAutospacing="0" w:afterAutospacing="0"/>
              <w:jc w:val="both"/>
              <w:rPr>
                <w:color w:val="auto"/>
              </w:rPr>
            </w:pPr>
            <w:r>
              <w:rPr>
                <w:color w:val="auto"/>
              </w:rPr>
              <w:t>LPD with inclusion of artificial low-protein foods (e.g., wheat starch) to ensure adequate energy and protein quality.</w:t>
            </w:r>
          </w:p>
        </w:tc>
        <w:tc>
          <w:tcPr>
            <w:tcW w:w="2286" w:type="dxa"/>
          </w:tcPr>
          <w:p w14:paraId="324746CB">
            <w:pPr>
              <w:pStyle w:val="9"/>
              <w:widowControl/>
              <w:spacing w:beforeAutospacing="0" w:afterAutospacing="0"/>
              <w:jc w:val="both"/>
              <w:rPr>
                <w:color w:val="auto"/>
              </w:rPr>
            </w:pPr>
            <w:r>
              <w:rPr>
                <w:color w:val="auto"/>
              </w:rPr>
              <w:t>LPD delays CKD progression and lowers renal burden; artificial low-protein foods support energy balance and improve protein quality.</w:t>
            </w:r>
          </w:p>
        </w:tc>
        <w:tc>
          <w:tcPr>
            <w:tcW w:w="2119" w:type="dxa"/>
          </w:tcPr>
          <w:p w14:paraId="324746CC">
            <w:pPr>
              <w:pStyle w:val="9"/>
              <w:widowControl/>
              <w:spacing w:beforeAutospacing="0" w:afterAutospacing="0"/>
              <w:jc w:val="both"/>
              <w:rPr>
                <w:color w:val="auto"/>
              </w:rPr>
            </w:pPr>
            <w:r>
              <w:rPr>
                <w:color w:val="auto"/>
              </w:rPr>
              <w:t>LPD is an effective non-pharmacological CKD strategy; requires balanced nutrition and individualized planning to prevent malnutrition.</w:t>
            </w:r>
          </w:p>
        </w:tc>
      </w:tr>
      <w:tr w14:paraId="3247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CE">
            <w:pPr>
              <w:widowControl/>
              <w:numPr>
                <w:ilvl w:val="0"/>
                <w:numId w:val="2"/>
              </w:numPr>
              <w:jc w:val="left"/>
              <w:rPr>
                <w:rFonts w:ascii="Times New Roman" w:hAnsi="Times New Roman" w:cs="Times New Roman"/>
                <w:color w:val="auto"/>
                <w:sz w:val="24"/>
                <w:szCs w:val="24"/>
              </w:rPr>
            </w:pPr>
          </w:p>
        </w:tc>
        <w:tc>
          <w:tcPr>
            <w:tcW w:w="1557" w:type="dxa"/>
          </w:tcPr>
          <w:p w14:paraId="324746D0">
            <w:pPr>
              <w:pStyle w:val="9"/>
              <w:widowControl/>
              <w:spacing w:beforeAutospacing="0" w:afterAutospacing="0"/>
              <w:jc w:val="both"/>
              <w:rPr>
                <w:color w:val="auto"/>
              </w:rPr>
            </w:pPr>
            <w:r>
              <w:rPr>
                <w:rFonts w:eastAsia="Segoe UI"/>
                <w:color w:val="auto"/>
                <w:shd w:val="clear" w:color="auto" w:fill="FFFFFF"/>
              </w:rPr>
              <w:t>Garneata et al., (2024)</w:t>
            </w:r>
          </w:p>
          <w:p w14:paraId="324746D1">
            <w:pPr>
              <w:widowControl/>
              <w:jc w:val="left"/>
              <w:rPr>
                <w:rFonts w:ascii="Times New Roman" w:hAnsi="Times New Roman" w:cs="Times New Roman"/>
                <w:color w:val="auto"/>
                <w:sz w:val="24"/>
                <w:szCs w:val="24"/>
              </w:rPr>
            </w:pPr>
          </w:p>
        </w:tc>
        <w:tc>
          <w:tcPr>
            <w:tcW w:w="2094" w:type="dxa"/>
          </w:tcPr>
          <w:p w14:paraId="324746D3">
            <w:pPr>
              <w:pStyle w:val="9"/>
              <w:widowControl/>
              <w:spacing w:beforeAutospacing="0" w:afterAutospacing="0"/>
              <w:jc w:val="both"/>
              <w:rPr>
                <w:color w:val="auto"/>
              </w:rPr>
            </w:pPr>
            <w:r>
              <w:rPr>
                <w:color w:val="auto"/>
              </w:rPr>
              <w:t>Prospective, interventional study; s</w:t>
            </w:r>
            <w:r>
              <w:rPr>
                <w:rStyle w:val="10"/>
                <w:b w:val="0"/>
                <w:bCs w:val="0"/>
                <w:color w:val="auto"/>
              </w:rPr>
              <w:t>ample size:</w:t>
            </w:r>
            <w:r>
              <w:rPr>
                <w:color w:val="auto"/>
              </w:rPr>
              <w:t xml:space="preserve"> 92 out of 452 screened patients, advanced DKD with eGFR &lt;30 mL/min and proteinuria &gt;3.</w:t>
            </w:r>
          </w:p>
        </w:tc>
        <w:tc>
          <w:tcPr>
            <w:tcW w:w="2149" w:type="dxa"/>
          </w:tcPr>
          <w:p w14:paraId="324746D4">
            <w:pPr>
              <w:pStyle w:val="9"/>
              <w:widowControl/>
              <w:spacing w:beforeAutospacing="0" w:afterAutospacing="0"/>
              <w:jc w:val="both"/>
              <w:rPr>
                <w:color w:val="auto"/>
              </w:rPr>
            </w:pPr>
            <w:r>
              <w:rPr>
                <w:color w:val="auto"/>
              </w:rPr>
              <w:t>LPD (0.6 g/kg/day) supplemented with ketoanalogues alongside standard nephroprotective therapy.</w:t>
            </w:r>
          </w:p>
        </w:tc>
        <w:tc>
          <w:tcPr>
            <w:tcW w:w="2286" w:type="dxa"/>
          </w:tcPr>
          <w:p w14:paraId="324746D5">
            <w:pPr>
              <w:pStyle w:val="9"/>
              <w:widowControl/>
              <w:spacing w:beforeAutospacing="0" w:afterAutospacing="0"/>
              <w:jc w:val="both"/>
              <w:rPr>
                <w:color w:val="auto"/>
              </w:rPr>
            </w:pPr>
            <w:r>
              <w:rPr>
                <w:color w:val="auto"/>
              </w:rPr>
              <w:t>Proteinuria reduced threefold; eGFR decline slowed fivefold; no KRT or deaths; nutritional status maintained.</w:t>
            </w:r>
          </w:p>
        </w:tc>
        <w:tc>
          <w:tcPr>
            <w:tcW w:w="2119" w:type="dxa"/>
          </w:tcPr>
          <w:p w14:paraId="324746D6">
            <w:pPr>
              <w:pStyle w:val="9"/>
              <w:widowControl/>
              <w:spacing w:beforeAutospacing="0" w:afterAutospacing="0"/>
              <w:jc w:val="both"/>
              <w:rPr>
                <w:color w:val="auto"/>
              </w:rPr>
            </w:pPr>
            <w:r>
              <w:rPr>
                <w:color w:val="auto"/>
              </w:rPr>
              <w:t>LPD with ketoanalogues is safe, effective, and delays CKD progression; supports individualized, nutritionally adequate diet therapy in DKD.</w:t>
            </w:r>
          </w:p>
        </w:tc>
      </w:tr>
      <w:tr w14:paraId="3247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D8">
            <w:pPr>
              <w:widowControl/>
              <w:numPr>
                <w:ilvl w:val="0"/>
                <w:numId w:val="2"/>
              </w:numPr>
              <w:jc w:val="left"/>
              <w:rPr>
                <w:rFonts w:ascii="Times New Roman" w:hAnsi="Times New Roman" w:cs="Times New Roman"/>
                <w:color w:val="auto"/>
                <w:sz w:val="24"/>
                <w:szCs w:val="24"/>
              </w:rPr>
            </w:pPr>
          </w:p>
        </w:tc>
        <w:tc>
          <w:tcPr>
            <w:tcW w:w="1557" w:type="dxa"/>
          </w:tcPr>
          <w:p w14:paraId="324746D9">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Spahia, et al., (2023)</w:t>
            </w:r>
          </w:p>
          <w:p w14:paraId="324746DA">
            <w:pPr>
              <w:pStyle w:val="9"/>
              <w:widowControl/>
              <w:spacing w:beforeAutospacing="0" w:afterAutospacing="0"/>
              <w:jc w:val="both"/>
              <w:rPr>
                <w:color w:val="auto"/>
              </w:rPr>
            </w:pPr>
          </w:p>
        </w:tc>
        <w:tc>
          <w:tcPr>
            <w:tcW w:w="2094" w:type="dxa"/>
          </w:tcPr>
          <w:p w14:paraId="324746DB">
            <w:pPr>
              <w:pStyle w:val="9"/>
              <w:widowControl/>
              <w:spacing w:beforeAutospacing="0" w:afterAutospacing="0"/>
              <w:jc w:val="both"/>
              <w:rPr>
                <w:color w:val="auto"/>
              </w:rPr>
            </w:pPr>
            <w:r>
              <w:rPr>
                <w:rStyle w:val="10"/>
                <w:b w:val="0"/>
                <w:bCs w:val="0"/>
                <w:color w:val="auto"/>
              </w:rPr>
              <w:t>Type:</w:t>
            </w:r>
            <w:r>
              <w:rPr>
                <w:color w:val="auto"/>
              </w:rPr>
              <w:t xml:space="preserve"> </w:t>
            </w:r>
            <w:r>
              <w:rPr>
                <w:rStyle w:val="10"/>
                <w:b w:val="0"/>
                <w:bCs w:val="0"/>
                <w:color w:val="auto"/>
              </w:rPr>
              <w:t>Mini-review</w:t>
            </w:r>
          </w:p>
          <w:p w14:paraId="324746DC">
            <w:pPr>
              <w:pStyle w:val="9"/>
              <w:widowControl/>
              <w:spacing w:beforeAutospacing="0" w:afterAutospacing="0"/>
              <w:jc w:val="both"/>
              <w:rPr>
                <w:color w:val="auto"/>
              </w:rPr>
            </w:pPr>
            <w:r>
              <w:rPr>
                <w:color w:val="auto"/>
              </w:rPr>
              <w:t>(literature-based synthesis).</w:t>
            </w:r>
          </w:p>
        </w:tc>
        <w:tc>
          <w:tcPr>
            <w:tcW w:w="2149" w:type="dxa"/>
          </w:tcPr>
          <w:p w14:paraId="324746DD">
            <w:pPr>
              <w:pStyle w:val="9"/>
              <w:widowControl/>
              <w:spacing w:beforeAutospacing="0" w:afterAutospacing="0"/>
              <w:jc w:val="both"/>
              <w:rPr>
                <w:color w:val="auto"/>
              </w:rPr>
            </w:pPr>
            <w:r>
              <w:rPr>
                <w:color w:val="auto"/>
              </w:rPr>
              <w:t>Protein-restricted diet aimed at reducing nitrogen waste and metabolic complications in CKD.</w:t>
            </w:r>
          </w:p>
        </w:tc>
        <w:tc>
          <w:tcPr>
            <w:tcW w:w="2286" w:type="dxa"/>
          </w:tcPr>
          <w:p w14:paraId="324746DE">
            <w:pPr>
              <w:pStyle w:val="9"/>
              <w:widowControl/>
              <w:spacing w:beforeAutospacing="0" w:afterAutospacing="0"/>
              <w:jc w:val="both"/>
              <w:rPr>
                <w:color w:val="auto"/>
              </w:rPr>
            </w:pPr>
            <w:r>
              <w:rPr>
                <w:color w:val="auto"/>
              </w:rPr>
              <w:t>Lowers urea and oxidative stress, improves acidosis, reduces blood pressure and proteinuria, and alleviates uremic symptoms—helping slow CKD progression.</w:t>
            </w:r>
          </w:p>
        </w:tc>
        <w:tc>
          <w:tcPr>
            <w:tcW w:w="2119" w:type="dxa"/>
          </w:tcPr>
          <w:p w14:paraId="324746DF">
            <w:pPr>
              <w:pStyle w:val="9"/>
              <w:widowControl/>
              <w:spacing w:beforeAutospacing="0" w:afterAutospacing="0"/>
              <w:jc w:val="both"/>
              <w:rPr>
                <w:color w:val="auto"/>
              </w:rPr>
            </w:pPr>
            <w:r>
              <w:rPr>
                <w:color w:val="auto"/>
              </w:rPr>
              <w:t>Confirms LPD as a cornerstone of CKD management with metabolic, cardiovascular, and renal benefits; supports ongoing clinical use and research on optimal restriction levels.</w:t>
            </w:r>
          </w:p>
        </w:tc>
      </w:tr>
      <w:tr w14:paraId="3247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E1">
            <w:pPr>
              <w:widowControl/>
              <w:numPr>
                <w:ilvl w:val="0"/>
                <w:numId w:val="2"/>
              </w:numPr>
              <w:jc w:val="left"/>
              <w:rPr>
                <w:rFonts w:ascii="Times New Roman" w:hAnsi="Times New Roman" w:cs="Times New Roman"/>
                <w:color w:val="auto"/>
                <w:sz w:val="24"/>
                <w:szCs w:val="24"/>
              </w:rPr>
            </w:pPr>
          </w:p>
        </w:tc>
        <w:tc>
          <w:tcPr>
            <w:tcW w:w="1557" w:type="dxa"/>
          </w:tcPr>
          <w:p w14:paraId="324746E2">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Tanaka, et al., (2023)</w:t>
            </w:r>
          </w:p>
          <w:p w14:paraId="7C6D67DC">
            <w:pPr>
              <w:pStyle w:val="9"/>
              <w:widowControl/>
              <w:spacing w:beforeAutospacing="0" w:afterAutospacing="0"/>
              <w:jc w:val="both"/>
              <w:rPr>
                <w:rFonts w:eastAsia="Segoe UI"/>
                <w:color w:val="auto"/>
                <w:shd w:val="clear" w:color="auto" w:fill="FFFFFF"/>
              </w:rPr>
            </w:pPr>
          </w:p>
          <w:p w14:paraId="324746E3">
            <w:pPr>
              <w:pStyle w:val="9"/>
              <w:widowControl/>
              <w:spacing w:beforeAutospacing="0" w:afterAutospacing="0"/>
              <w:jc w:val="both"/>
              <w:rPr>
                <w:color w:val="auto"/>
              </w:rPr>
            </w:pPr>
          </w:p>
        </w:tc>
        <w:tc>
          <w:tcPr>
            <w:tcW w:w="2094" w:type="dxa"/>
          </w:tcPr>
          <w:p w14:paraId="324746E5">
            <w:pPr>
              <w:pStyle w:val="9"/>
              <w:widowControl/>
              <w:spacing w:beforeAutospacing="0" w:afterAutospacing="0"/>
              <w:jc w:val="both"/>
              <w:rPr>
                <w:color w:val="auto"/>
              </w:rPr>
            </w:pPr>
            <w:r>
              <w:rPr>
                <w:rStyle w:val="10"/>
                <w:b w:val="0"/>
                <w:bCs w:val="0"/>
                <w:color w:val="auto"/>
              </w:rPr>
              <w:t>Experimental animal study; subjects:</w:t>
            </w:r>
            <w:r>
              <w:rPr>
                <w:color w:val="auto"/>
              </w:rPr>
              <w:t xml:space="preserve"> Mice divided into 4 groups (Sham + ND, Sham + HPD, 5/6 Nx + ND, 5/6 Nx + HPD)</w:t>
            </w:r>
          </w:p>
          <w:p w14:paraId="324746E6">
            <w:pPr>
              <w:pStyle w:val="9"/>
              <w:widowControl/>
              <w:spacing w:beforeAutospacing="0" w:afterAutospacing="0"/>
              <w:jc w:val="both"/>
              <w:rPr>
                <w:color w:val="auto"/>
              </w:rPr>
            </w:pPr>
            <w:r>
              <w:rPr>
                <w:rStyle w:val="10"/>
                <w:b w:val="0"/>
                <w:bCs w:val="0"/>
                <w:color w:val="auto"/>
              </w:rPr>
              <w:t>Duration:</w:t>
            </w:r>
            <w:r>
              <w:rPr>
                <w:color w:val="auto"/>
              </w:rPr>
              <w:t xml:space="preserve"> 12 weeks.</w:t>
            </w:r>
          </w:p>
        </w:tc>
        <w:tc>
          <w:tcPr>
            <w:tcW w:w="2149" w:type="dxa"/>
          </w:tcPr>
          <w:p w14:paraId="324746E7">
            <w:pPr>
              <w:pStyle w:val="9"/>
              <w:widowControl/>
              <w:spacing w:beforeAutospacing="0" w:afterAutospacing="0"/>
              <w:jc w:val="both"/>
              <w:rPr>
                <w:color w:val="auto"/>
              </w:rPr>
            </w:pPr>
            <w:r>
              <w:rPr>
                <w:color w:val="auto"/>
              </w:rPr>
              <w:t>High-protein diet HPD compared with normal diet (ND) in healthy and CKD (5/6 nephrectomized) mice.</w:t>
            </w:r>
          </w:p>
        </w:tc>
        <w:tc>
          <w:tcPr>
            <w:tcW w:w="2286" w:type="dxa"/>
          </w:tcPr>
          <w:p w14:paraId="324746E8">
            <w:pPr>
              <w:pStyle w:val="9"/>
              <w:widowControl/>
              <w:spacing w:beforeAutospacing="0" w:afterAutospacing="0"/>
              <w:jc w:val="both"/>
              <w:rPr>
                <w:color w:val="auto"/>
              </w:rPr>
            </w:pPr>
            <w:r>
              <w:rPr>
                <w:color w:val="auto"/>
              </w:rPr>
              <w:t>HPD caused elevated BP, reduced renal function, and kidney injury in CKD mice but not in healthy ones.</w:t>
            </w:r>
          </w:p>
        </w:tc>
        <w:tc>
          <w:tcPr>
            <w:tcW w:w="2119" w:type="dxa"/>
          </w:tcPr>
          <w:p w14:paraId="324746E9">
            <w:pPr>
              <w:pStyle w:val="9"/>
              <w:widowControl/>
              <w:spacing w:beforeAutospacing="0" w:afterAutospacing="0"/>
              <w:jc w:val="both"/>
              <w:rPr>
                <w:color w:val="auto"/>
              </w:rPr>
            </w:pPr>
            <w:r>
              <w:rPr>
                <w:color w:val="auto"/>
              </w:rPr>
              <w:t>HPD aggravates renal damage in CKD but is safe in healthy subjects; reinforces the need for protein restriction to prevent CKD progression.</w:t>
            </w:r>
          </w:p>
        </w:tc>
      </w:tr>
      <w:tr w14:paraId="324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EB">
            <w:pPr>
              <w:widowControl/>
              <w:numPr>
                <w:ilvl w:val="0"/>
                <w:numId w:val="2"/>
              </w:numPr>
              <w:jc w:val="left"/>
              <w:rPr>
                <w:rFonts w:ascii="Times New Roman" w:hAnsi="Times New Roman" w:cs="Times New Roman"/>
                <w:color w:val="auto"/>
                <w:sz w:val="24"/>
                <w:szCs w:val="24"/>
              </w:rPr>
            </w:pPr>
          </w:p>
        </w:tc>
        <w:tc>
          <w:tcPr>
            <w:tcW w:w="1557" w:type="dxa"/>
          </w:tcPr>
          <w:p w14:paraId="324746EC">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Vincent-Johnson, et al., (2023)</w:t>
            </w:r>
          </w:p>
          <w:p w14:paraId="324746ED">
            <w:pPr>
              <w:pStyle w:val="9"/>
              <w:widowControl/>
              <w:spacing w:beforeAutospacing="0" w:afterAutospacing="0"/>
              <w:jc w:val="both"/>
              <w:rPr>
                <w:color w:val="auto"/>
              </w:rPr>
            </w:pPr>
          </w:p>
        </w:tc>
        <w:tc>
          <w:tcPr>
            <w:tcW w:w="2094" w:type="dxa"/>
          </w:tcPr>
          <w:p w14:paraId="324746EF">
            <w:pPr>
              <w:pStyle w:val="9"/>
              <w:widowControl/>
              <w:spacing w:beforeAutospacing="0" w:afterAutospacing="0"/>
              <w:jc w:val="both"/>
              <w:rPr>
                <w:color w:val="auto"/>
              </w:rPr>
            </w:pPr>
            <w:r>
              <w:rPr>
                <w:rStyle w:val="10"/>
                <w:b w:val="0"/>
                <w:bCs w:val="0"/>
                <w:color w:val="auto"/>
              </w:rPr>
              <w:t xml:space="preserve">Narrative review; </w:t>
            </w:r>
            <w:r>
              <w:rPr>
                <w:color w:val="auto"/>
              </w:rPr>
              <w:t>relationship between dietary composition and metabolic acidosis in CKD.</w:t>
            </w:r>
          </w:p>
        </w:tc>
        <w:tc>
          <w:tcPr>
            <w:tcW w:w="2149" w:type="dxa"/>
          </w:tcPr>
          <w:p w14:paraId="324746F0">
            <w:pPr>
              <w:pStyle w:val="9"/>
              <w:widowControl/>
              <w:spacing w:beforeAutospacing="0" w:afterAutospacing="0"/>
              <w:jc w:val="both"/>
              <w:rPr>
                <w:color w:val="auto"/>
              </w:rPr>
            </w:pPr>
            <w:r>
              <w:rPr>
                <w:color w:val="auto"/>
              </w:rPr>
              <w:t>Assessment of dietary acid load using NEAP and PRAL equations; comparison of high acid-producing (protein, grains, dairy) vs. low acid-producing (fruits, vegetables) foods.</w:t>
            </w:r>
          </w:p>
        </w:tc>
        <w:tc>
          <w:tcPr>
            <w:tcW w:w="2286" w:type="dxa"/>
          </w:tcPr>
          <w:p w14:paraId="324746F1">
            <w:pPr>
              <w:pStyle w:val="9"/>
              <w:widowControl/>
              <w:spacing w:beforeAutospacing="0" w:afterAutospacing="0"/>
              <w:jc w:val="both"/>
              <w:rPr>
                <w:color w:val="auto"/>
              </w:rPr>
            </w:pPr>
            <w:r>
              <w:rPr>
                <w:color w:val="auto"/>
              </w:rPr>
              <w:t>High-protein and grain-based diets increase acid load, while fruits and vegetables reduce it and improve acid–base balance.</w:t>
            </w:r>
          </w:p>
        </w:tc>
        <w:tc>
          <w:tcPr>
            <w:tcW w:w="2119" w:type="dxa"/>
          </w:tcPr>
          <w:p w14:paraId="324746F2">
            <w:pPr>
              <w:pStyle w:val="9"/>
              <w:widowControl/>
              <w:spacing w:beforeAutospacing="0" w:afterAutospacing="0"/>
              <w:jc w:val="both"/>
              <w:rPr>
                <w:color w:val="auto"/>
              </w:rPr>
            </w:pPr>
            <w:r>
              <w:rPr>
                <w:color w:val="auto"/>
              </w:rPr>
              <w:t>Dietary modification helps manage CKD-related acidosis; alkali-rich foods may be therapeutic; long-term studies on acid load reduction are needed.</w:t>
            </w:r>
          </w:p>
        </w:tc>
      </w:tr>
      <w:tr w14:paraId="3247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F4">
            <w:pPr>
              <w:widowControl/>
              <w:numPr>
                <w:ilvl w:val="0"/>
                <w:numId w:val="2"/>
              </w:numPr>
              <w:jc w:val="left"/>
              <w:rPr>
                <w:rFonts w:ascii="Times New Roman" w:hAnsi="Times New Roman" w:cs="Times New Roman"/>
                <w:color w:val="auto"/>
                <w:sz w:val="24"/>
                <w:szCs w:val="24"/>
              </w:rPr>
            </w:pPr>
          </w:p>
        </w:tc>
        <w:tc>
          <w:tcPr>
            <w:tcW w:w="1557" w:type="dxa"/>
          </w:tcPr>
          <w:p w14:paraId="324746F5">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Torreggiani, et al.,</w:t>
            </w:r>
            <w:r>
              <w:rPr>
                <w:rFonts w:ascii="Times New Roman" w:hAnsi="Times New Roman" w:eastAsia="Segoe UI" w:cs="Times New Roman"/>
                <w:color w:val="auto"/>
                <w:sz w:val="24"/>
                <w:szCs w:val="24"/>
                <w:shd w:val="clear" w:color="auto" w:fill="FFFFFF"/>
              </w:rPr>
              <w:t xml:space="preserve"> </w:t>
            </w:r>
            <w:r>
              <w:rPr>
                <w:rFonts w:ascii="Times New Roman" w:hAnsi="Times New Roman" w:eastAsia="Segoe UI" w:cs="Times New Roman"/>
                <w:color w:val="auto"/>
                <w:sz w:val="24"/>
                <w:szCs w:val="24"/>
                <w:shd w:val="clear" w:color="auto" w:fill="FFFFFF"/>
              </w:rPr>
              <w:t>(2023)</w:t>
            </w:r>
          </w:p>
          <w:p w14:paraId="324746F6">
            <w:pPr>
              <w:widowControl/>
              <w:jc w:val="left"/>
              <w:rPr>
                <w:rFonts w:ascii="Times New Roman" w:hAnsi="Times New Roman" w:cs="Times New Roman"/>
                <w:color w:val="auto"/>
                <w:sz w:val="24"/>
                <w:szCs w:val="24"/>
              </w:rPr>
            </w:pPr>
          </w:p>
        </w:tc>
        <w:tc>
          <w:tcPr>
            <w:tcW w:w="2094" w:type="dxa"/>
          </w:tcPr>
          <w:p w14:paraId="324746F8">
            <w:pPr>
              <w:pStyle w:val="9"/>
              <w:widowControl/>
              <w:spacing w:beforeAutospacing="0" w:afterAutospacing="0"/>
              <w:jc w:val="both"/>
              <w:rPr>
                <w:color w:val="auto"/>
              </w:rPr>
            </w:pPr>
            <w:r>
              <w:rPr>
                <w:rStyle w:val="10"/>
                <w:b w:val="0"/>
                <w:bCs w:val="0"/>
                <w:color w:val="auto"/>
              </w:rPr>
              <w:t xml:space="preserve">Review comparing RCTs and observational studies; </w:t>
            </w:r>
            <w:r>
              <w:rPr>
                <w:color w:val="auto"/>
              </w:rPr>
              <w:t>(focuses on general CKD population and subgroups).</w:t>
            </w:r>
          </w:p>
        </w:tc>
        <w:tc>
          <w:tcPr>
            <w:tcW w:w="2149" w:type="dxa"/>
          </w:tcPr>
          <w:p w14:paraId="324746F9">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LPD and VLPD, recommended from CKD stage 3 onward.</w:t>
            </w:r>
          </w:p>
        </w:tc>
        <w:tc>
          <w:tcPr>
            <w:tcW w:w="2286" w:type="dxa"/>
          </w:tcPr>
          <w:p w14:paraId="324746FA">
            <w:pPr>
              <w:pStyle w:val="9"/>
              <w:widowControl/>
              <w:spacing w:beforeAutospacing="0" w:afterAutospacing="0"/>
              <w:jc w:val="both"/>
              <w:rPr>
                <w:color w:val="auto"/>
              </w:rPr>
            </w:pPr>
            <w:r>
              <w:rPr>
                <w:color w:val="auto"/>
              </w:rPr>
              <w:t>RCTs show limited benefit due to short duration and strict criteria, while observational studies report consistent improvement with flexible, individualized diets; evidence remains limited in special CKD populations.</w:t>
            </w:r>
          </w:p>
        </w:tc>
        <w:tc>
          <w:tcPr>
            <w:tcW w:w="2119" w:type="dxa"/>
          </w:tcPr>
          <w:p w14:paraId="324746FB">
            <w:pPr>
              <w:pStyle w:val="9"/>
              <w:widowControl/>
              <w:spacing w:beforeAutospacing="0" w:afterAutospacing="0"/>
              <w:jc w:val="both"/>
              <w:rPr>
                <w:color w:val="auto"/>
              </w:rPr>
            </w:pPr>
            <w:r>
              <w:rPr>
                <w:color w:val="auto"/>
              </w:rPr>
              <w:t>Supports early, personalized, and adaptable LPD use; integration of RCT and observational evidence is key for effective clinical application.</w:t>
            </w:r>
          </w:p>
        </w:tc>
      </w:tr>
      <w:tr w14:paraId="3247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6FD">
            <w:pPr>
              <w:widowControl/>
              <w:numPr>
                <w:ilvl w:val="0"/>
                <w:numId w:val="2"/>
              </w:numPr>
              <w:jc w:val="left"/>
              <w:rPr>
                <w:rFonts w:ascii="Times New Roman" w:hAnsi="Times New Roman" w:cs="Times New Roman"/>
                <w:color w:val="auto"/>
                <w:sz w:val="24"/>
                <w:szCs w:val="24"/>
              </w:rPr>
            </w:pPr>
          </w:p>
        </w:tc>
        <w:tc>
          <w:tcPr>
            <w:tcW w:w="1557" w:type="dxa"/>
          </w:tcPr>
          <w:p w14:paraId="324746FE">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Piccoli, et al., (2023)</w:t>
            </w:r>
          </w:p>
          <w:p w14:paraId="324746FF">
            <w:pPr>
              <w:pStyle w:val="9"/>
              <w:widowControl/>
              <w:spacing w:beforeAutospacing="0" w:afterAutospacing="0"/>
              <w:jc w:val="both"/>
              <w:rPr>
                <w:color w:val="auto"/>
              </w:rPr>
            </w:pPr>
          </w:p>
        </w:tc>
        <w:tc>
          <w:tcPr>
            <w:tcW w:w="2094" w:type="dxa"/>
          </w:tcPr>
          <w:p w14:paraId="32474701">
            <w:pPr>
              <w:pStyle w:val="9"/>
              <w:widowControl/>
              <w:spacing w:beforeAutospacing="0" w:afterAutospacing="0"/>
              <w:jc w:val="both"/>
              <w:rPr>
                <w:color w:val="auto"/>
              </w:rPr>
            </w:pPr>
            <w:r>
              <w:rPr>
                <w:color w:val="auto"/>
              </w:rPr>
              <w:t>Review study f</w:t>
            </w:r>
            <w:r>
              <w:rPr>
                <w:rStyle w:val="10"/>
                <w:b w:val="0"/>
                <w:bCs w:val="0"/>
                <w:color w:val="auto"/>
              </w:rPr>
              <w:t>ocusing</w:t>
            </w:r>
            <w:r>
              <w:rPr>
                <w:color w:val="auto"/>
              </w:rPr>
              <w:t xml:space="preserve"> older adults with varying CKD stages.</w:t>
            </w:r>
          </w:p>
        </w:tc>
        <w:tc>
          <w:tcPr>
            <w:tcW w:w="2149" w:type="dxa"/>
          </w:tcPr>
          <w:p w14:paraId="32474702">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Protein intake individualized according to nutritional status and CKD severity, balancing geriatric (≥1.0 g/kg/day) and nephrology (restricted intake) guidelines.</w:t>
            </w:r>
          </w:p>
        </w:tc>
        <w:tc>
          <w:tcPr>
            <w:tcW w:w="2286" w:type="dxa"/>
          </w:tcPr>
          <w:p w14:paraId="32474703">
            <w:pPr>
              <w:pStyle w:val="9"/>
              <w:widowControl/>
              <w:spacing w:beforeAutospacing="0" w:afterAutospacing="0"/>
              <w:jc w:val="both"/>
              <w:rPr>
                <w:color w:val="auto"/>
              </w:rPr>
            </w:pPr>
            <w:r>
              <w:rPr>
                <w:color w:val="auto"/>
              </w:rPr>
              <w:t>Protein restriction avoided in malnourished or PEW patients; applied when nutrition is stable and CKD progressing; requires patient-centered decisions.</w:t>
            </w:r>
          </w:p>
        </w:tc>
        <w:tc>
          <w:tcPr>
            <w:tcW w:w="2119" w:type="dxa"/>
          </w:tcPr>
          <w:p w14:paraId="32474704">
            <w:pPr>
              <w:pStyle w:val="9"/>
              <w:widowControl/>
              <w:spacing w:beforeAutospacing="0" w:afterAutospacing="0"/>
              <w:jc w:val="both"/>
              <w:rPr>
                <w:color w:val="auto"/>
              </w:rPr>
            </w:pPr>
            <w:r>
              <w:rPr>
                <w:color w:val="auto"/>
              </w:rPr>
              <w:t>Emphasizes the balance between preventing malnutrition and slowing CKD; recommends flexible, monitored plans for elderly CKD dietary guidelines.</w:t>
            </w:r>
          </w:p>
        </w:tc>
      </w:tr>
      <w:tr w14:paraId="3247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06">
            <w:pPr>
              <w:widowControl/>
              <w:numPr>
                <w:ilvl w:val="0"/>
                <w:numId w:val="2"/>
              </w:numPr>
              <w:jc w:val="left"/>
              <w:rPr>
                <w:rFonts w:ascii="Times New Roman" w:hAnsi="Times New Roman" w:cs="Times New Roman"/>
                <w:color w:val="auto"/>
                <w:sz w:val="24"/>
                <w:szCs w:val="24"/>
              </w:rPr>
            </w:pPr>
          </w:p>
        </w:tc>
        <w:tc>
          <w:tcPr>
            <w:tcW w:w="1557" w:type="dxa"/>
          </w:tcPr>
          <w:p w14:paraId="32474707">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Sakaguchi, et al., (2023)</w:t>
            </w:r>
          </w:p>
          <w:p w14:paraId="32474708">
            <w:pPr>
              <w:pStyle w:val="9"/>
              <w:widowControl/>
              <w:spacing w:beforeAutospacing="0" w:afterAutospacing="0"/>
              <w:jc w:val="both"/>
              <w:rPr>
                <w:color w:val="auto"/>
              </w:rPr>
            </w:pPr>
          </w:p>
        </w:tc>
        <w:tc>
          <w:tcPr>
            <w:tcW w:w="2094" w:type="dxa"/>
          </w:tcPr>
          <w:p w14:paraId="3247470A">
            <w:pPr>
              <w:pStyle w:val="9"/>
              <w:widowControl/>
              <w:spacing w:beforeAutospacing="0" w:afterAutospacing="0"/>
              <w:jc w:val="both"/>
              <w:rPr>
                <w:color w:val="auto"/>
              </w:rPr>
            </w:pPr>
            <w:r>
              <w:rPr>
                <w:color w:val="auto"/>
              </w:rPr>
              <w:t>Review study focusing CKD patients under different protein-restricted dietary patterns.</w:t>
            </w:r>
          </w:p>
        </w:tc>
        <w:tc>
          <w:tcPr>
            <w:tcW w:w="2149" w:type="dxa"/>
          </w:tcPr>
          <w:p w14:paraId="3247470B">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LPD or VLPDs emphasizing plant-based sources—vegetarian VLPD and plant-dominant low-protein diet (PLADO).</w:t>
            </w:r>
          </w:p>
        </w:tc>
        <w:tc>
          <w:tcPr>
            <w:tcW w:w="2286" w:type="dxa"/>
          </w:tcPr>
          <w:p w14:paraId="3247470C">
            <w:pPr>
              <w:pStyle w:val="9"/>
              <w:widowControl/>
              <w:spacing w:beforeAutospacing="0" w:afterAutospacing="0"/>
              <w:jc w:val="both"/>
              <w:rPr>
                <w:color w:val="auto"/>
              </w:rPr>
            </w:pPr>
            <w:r>
              <w:rPr>
                <w:color w:val="auto"/>
              </w:rPr>
              <w:t>Plant-based diets reduce uremic toxins, acidosis, and hyperphosphatemia; lower glomerular hyperfiltration; and increase magnesium, preventing vascular calcification.</w:t>
            </w:r>
          </w:p>
        </w:tc>
        <w:tc>
          <w:tcPr>
            <w:tcW w:w="2119" w:type="dxa"/>
          </w:tcPr>
          <w:p w14:paraId="3247470D">
            <w:pPr>
              <w:pStyle w:val="9"/>
              <w:widowControl/>
              <w:spacing w:beforeAutospacing="0" w:afterAutospacing="0"/>
              <w:jc w:val="both"/>
              <w:rPr>
                <w:color w:val="auto"/>
              </w:rPr>
            </w:pPr>
            <w:r>
              <w:rPr>
                <w:color w:val="auto"/>
              </w:rPr>
              <w:t>Protein source strongly influences kidney outcomes; PLADO is safe and beneficial.</w:t>
            </w:r>
          </w:p>
        </w:tc>
      </w:tr>
      <w:tr w14:paraId="3247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0F">
            <w:pPr>
              <w:widowControl/>
              <w:numPr>
                <w:ilvl w:val="0"/>
                <w:numId w:val="2"/>
              </w:numPr>
              <w:jc w:val="left"/>
              <w:rPr>
                <w:rFonts w:ascii="Times New Roman" w:hAnsi="Times New Roman" w:cs="Times New Roman"/>
                <w:color w:val="auto"/>
                <w:sz w:val="24"/>
                <w:szCs w:val="24"/>
              </w:rPr>
            </w:pPr>
          </w:p>
        </w:tc>
        <w:tc>
          <w:tcPr>
            <w:tcW w:w="1557" w:type="dxa"/>
          </w:tcPr>
          <w:p w14:paraId="3247471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 xml:space="preserve">Yang, et al., (2023) </w:t>
            </w:r>
          </w:p>
          <w:p w14:paraId="32474711">
            <w:pPr>
              <w:widowControl/>
              <w:jc w:val="left"/>
              <w:rPr>
                <w:rFonts w:ascii="Times New Roman" w:hAnsi="Times New Roman" w:cs="Times New Roman"/>
                <w:color w:val="auto"/>
                <w:sz w:val="24"/>
                <w:szCs w:val="24"/>
              </w:rPr>
            </w:pPr>
          </w:p>
        </w:tc>
        <w:tc>
          <w:tcPr>
            <w:tcW w:w="2094" w:type="dxa"/>
          </w:tcPr>
          <w:p w14:paraId="32474713">
            <w:pPr>
              <w:pStyle w:val="9"/>
              <w:widowControl/>
              <w:spacing w:beforeAutospacing="0" w:afterAutospacing="0"/>
              <w:jc w:val="both"/>
              <w:rPr>
                <w:color w:val="auto"/>
              </w:rPr>
            </w:pPr>
            <w:r>
              <w:rPr>
                <w:color w:val="auto"/>
              </w:rPr>
              <w:t>3-month randomized controlled trial; s</w:t>
            </w:r>
            <w:r>
              <w:rPr>
                <w:rStyle w:val="10"/>
                <w:b w:val="0"/>
                <w:bCs w:val="0"/>
                <w:color w:val="auto"/>
              </w:rPr>
              <w:t>ample size:</w:t>
            </w:r>
            <w:r>
              <w:rPr>
                <w:color w:val="auto"/>
              </w:rPr>
              <w:t xml:space="preserve"> 66 patients (47 completed; median age 73 years; </w:t>
            </w:r>
            <w:r>
              <w:rPr>
                <w:rStyle w:val="10"/>
                <w:color w:val="auto"/>
              </w:rPr>
              <w:t>p</w:t>
            </w:r>
            <w:r>
              <w:rPr>
                <w:rStyle w:val="10"/>
                <w:b w:val="0"/>
                <w:bCs w:val="0"/>
                <w:color w:val="auto"/>
              </w:rPr>
              <w:t>opulation:</w:t>
            </w:r>
            <w:r>
              <w:rPr>
                <w:color w:val="auto"/>
              </w:rPr>
              <w:t xml:space="preserve"> older adults with CKD stages 3–5, non-dialysis</w:t>
            </w:r>
          </w:p>
        </w:tc>
        <w:tc>
          <w:tcPr>
            <w:tcW w:w="2149" w:type="dxa"/>
          </w:tcPr>
          <w:p w14:paraId="32474714">
            <w:pPr>
              <w:pStyle w:val="9"/>
              <w:widowControl/>
              <w:spacing w:beforeAutospacing="0" w:afterAutospacing="0"/>
              <w:jc w:val="both"/>
              <w:rPr>
                <w:color w:val="auto"/>
              </w:rPr>
            </w:pPr>
            <w:r>
              <w:rPr>
                <w:color w:val="auto"/>
              </w:rPr>
              <w:t>LPD with or without low-protein formula (6% LPF: 400 kcal, 6 g protein, EPA, DHA, micronutrients) plus dietary counseling.</w:t>
            </w:r>
          </w:p>
        </w:tc>
        <w:tc>
          <w:tcPr>
            <w:tcW w:w="2286" w:type="dxa"/>
          </w:tcPr>
          <w:p w14:paraId="32474715">
            <w:pPr>
              <w:pStyle w:val="9"/>
              <w:widowControl/>
              <w:spacing w:beforeAutospacing="0" w:afterAutospacing="0"/>
              <w:jc w:val="both"/>
              <w:rPr>
                <w:color w:val="auto"/>
              </w:rPr>
            </w:pPr>
            <w:r>
              <w:rPr>
                <w:color w:val="auto"/>
              </w:rPr>
              <w:t>Supplementation improved physical performance and micronutrient intake but showed no significant change in body composition or overall nutrition in 3 months.</w:t>
            </w:r>
          </w:p>
        </w:tc>
        <w:tc>
          <w:tcPr>
            <w:tcW w:w="2119" w:type="dxa"/>
          </w:tcPr>
          <w:p w14:paraId="32474716">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LPD + LPF is safe and supports physical function and nutrient adequacy in older CKD patients; may improve adherence and diet quality without causing malnutrition.</w:t>
            </w:r>
          </w:p>
        </w:tc>
      </w:tr>
      <w:tr w14:paraId="3247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18">
            <w:pPr>
              <w:widowControl/>
              <w:numPr>
                <w:ilvl w:val="0"/>
                <w:numId w:val="2"/>
              </w:numPr>
              <w:jc w:val="left"/>
              <w:rPr>
                <w:rFonts w:ascii="Times New Roman" w:hAnsi="Times New Roman" w:cs="Times New Roman"/>
                <w:color w:val="auto"/>
                <w:sz w:val="24"/>
                <w:szCs w:val="24"/>
              </w:rPr>
            </w:pPr>
          </w:p>
        </w:tc>
        <w:tc>
          <w:tcPr>
            <w:tcW w:w="1557" w:type="dxa"/>
          </w:tcPr>
          <w:p w14:paraId="32474719">
            <w:pPr>
              <w:pStyle w:val="9"/>
              <w:widowControl/>
              <w:spacing w:beforeAutospacing="0" w:afterAutospacing="0"/>
              <w:jc w:val="both"/>
              <w:rPr>
                <w:color w:val="auto"/>
              </w:rPr>
            </w:pPr>
            <w:r>
              <w:rPr>
                <w:rFonts w:eastAsia="Segoe UI"/>
                <w:color w:val="auto"/>
                <w:shd w:val="clear" w:color="auto" w:fill="FFFFFF"/>
              </w:rPr>
              <w:t>Lee, et al., (2023)</w:t>
            </w:r>
          </w:p>
        </w:tc>
        <w:tc>
          <w:tcPr>
            <w:tcW w:w="2094" w:type="dxa"/>
          </w:tcPr>
          <w:p w14:paraId="3247471C">
            <w:pPr>
              <w:pStyle w:val="9"/>
              <w:widowControl/>
              <w:spacing w:beforeAutospacing="0" w:afterAutospacing="0"/>
              <w:jc w:val="both"/>
              <w:rPr>
                <w:color w:val="auto"/>
              </w:rPr>
            </w:pPr>
            <w:r>
              <w:rPr>
                <w:color w:val="auto"/>
              </w:rPr>
              <w:t>Cross-sectional study; s</w:t>
            </w:r>
            <w:r>
              <w:rPr>
                <w:rStyle w:val="10"/>
                <w:b w:val="0"/>
                <w:bCs w:val="0"/>
                <w:color w:val="auto"/>
              </w:rPr>
              <w:t>ample size:</w:t>
            </w:r>
            <w:r>
              <w:rPr>
                <w:color w:val="auto"/>
              </w:rPr>
              <w:t xml:space="preserve"> 571 CKD patients. </w:t>
            </w:r>
          </w:p>
        </w:tc>
        <w:tc>
          <w:tcPr>
            <w:tcW w:w="2149" w:type="dxa"/>
          </w:tcPr>
          <w:p w14:paraId="3247471D">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LPD defined as ≤0.8 g/kg/day compared with normal or higher protein intake.</w:t>
            </w:r>
          </w:p>
        </w:tc>
        <w:tc>
          <w:tcPr>
            <w:tcW w:w="2286" w:type="dxa"/>
          </w:tcPr>
          <w:p w14:paraId="3247471E">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DKD and advanced CKD patients on LPD had higher risk of depressive symptoms and reduced QoL, indicating psychological burden from dietary restriction.</w:t>
            </w:r>
          </w:p>
        </w:tc>
        <w:tc>
          <w:tcPr>
            <w:tcW w:w="2119" w:type="dxa"/>
          </w:tcPr>
          <w:p w14:paraId="3247471F">
            <w:pPr>
              <w:pStyle w:val="9"/>
              <w:widowControl/>
              <w:spacing w:beforeAutospacing="0" w:afterAutospacing="0"/>
              <w:jc w:val="both"/>
              <w:rPr>
                <w:color w:val="auto"/>
              </w:rPr>
            </w:pPr>
            <w:r>
              <w:rPr>
                <w:color w:val="auto"/>
              </w:rPr>
              <w:t>LPD may impact mental health and HRQOL; highlights the importance of psychological support and personalized nutrition planning in CKD management.</w:t>
            </w:r>
          </w:p>
        </w:tc>
      </w:tr>
      <w:tr w14:paraId="3247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21">
            <w:pPr>
              <w:widowControl/>
              <w:numPr>
                <w:ilvl w:val="0"/>
                <w:numId w:val="2"/>
              </w:numPr>
              <w:jc w:val="left"/>
              <w:rPr>
                <w:rFonts w:ascii="Times New Roman" w:hAnsi="Times New Roman" w:cs="Times New Roman"/>
                <w:color w:val="auto"/>
                <w:sz w:val="24"/>
                <w:szCs w:val="24"/>
              </w:rPr>
            </w:pPr>
          </w:p>
        </w:tc>
        <w:tc>
          <w:tcPr>
            <w:tcW w:w="1557" w:type="dxa"/>
          </w:tcPr>
          <w:p w14:paraId="32474722">
            <w:pPr>
              <w:pStyle w:val="9"/>
              <w:widowControl/>
              <w:spacing w:beforeAutospacing="0" w:afterAutospacing="0"/>
              <w:jc w:val="both"/>
              <w:rPr>
                <w:color w:val="auto"/>
              </w:rPr>
            </w:pPr>
            <w:r>
              <w:rPr>
                <w:rFonts w:eastAsia="Segoe UI"/>
                <w:color w:val="auto"/>
                <w:shd w:val="clear" w:color="auto" w:fill="FFFFFF"/>
              </w:rPr>
              <w:t>Jiang, et al., (2023)</w:t>
            </w:r>
          </w:p>
        </w:tc>
        <w:tc>
          <w:tcPr>
            <w:tcW w:w="2094" w:type="dxa"/>
          </w:tcPr>
          <w:p w14:paraId="32474724">
            <w:pPr>
              <w:pStyle w:val="9"/>
              <w:widowControl/>
              <w:spacing w:beforeAutospacing="0" w:afterAutospacing="0"/>
              <w:jc w:val="both"/>
              <w:rPr>
                <w:color w:val="auto"/>
              </w:rPr>
            </w:pPr>
            <w:r>
              <w:rPr>
                <w:color w:val="auto"/>
              </w:rPr>
              <w:t>Review study f</w:t>
            </w:r>
            <w:r>
              <w:rPr>
                <w:rStyle w:val="10"/>
                <w:b w:val="0"/>
                <w:bCs w:val="0"/>
                <w:color w:val="auto"/>
              </w:rPr>
              <w:t>ocusing</w:t>
            </w:r>
            <w:r>
              <w:rPr>
                <w:color w:val="auto"/>
              </w:rPr>
              <w:t xml:space="preserve"> DKD population - global perspective.</w:t>
            </w:r>
          </w:p>
        </w:tc>
        <w:tc>
          <w:tcPr>
            <w:tcW w:w="2149" w:type="dxa"/>
          </w:tcPr>
          <w:p w14:paraId="32474726">
            <w:pPr>
              <w:pStyle w:val="9"/>
              <w:widowControl/>
              <w:spacing w:beforeAutospacing="0" w:afterAutospacing="0"/>
              <w:jc w:val="both"/>
              <w:rPr>
                <w:color w:val="auto"/>
              </w:rPr>
            </w:pPr>
            <w:r>
              <w:rPr>
                <w:rStyle w:val="10"/>
                <w:b w:val="0"/>
                <w:bCs w:val="0"/>
                <w:color w:val="auto"/>
              </w:rPr>
              <w:t>Intervention:</w:t>
            </w:r>
            <w:r>
              <w:rPr>
                <w:color w:val="auto"/>
              </w:rPr>
              <w:t xml:space="preserve"> dietary protein restriction proposed to slow CKD progression in DKD; c</w:t>
            </w:r>
            <w:r>
              <w:rPr>
                <w:rStyle w:val="10"/>
                <w:b w:val="0"/>
                <w:bCs w:val="0"/>
                <w:color w:val="auto"/>
              </w:rPr>
              <w:t>omparison:</w:t>
            </w:r>
            <w:r>
              <w:rPr>
                <w:color w:val="auto"/>
              </w:rPr>
              <w:t xml:space="preserve"> standard or unrestricted protein intake.</w:t>
            </w:r>
          </w:p>
        </w:tc>
        <w:tc>
          <w:tcPr>
            <w:tcW w:w="2286" w:type="dxa"/>
          </w:tcPr>
          <w:p w14:paraId="32474728">
            <w:pPr>
              <w:pStyle w:val="9"/>
              <w:widowControl/>
              <w:spacing w:beforeAutospacing="0" w:afterAutospacing="0"/>
              <w:jc w:val="both"/>
              <w:rPr>
                <w:color w:val="auto"/>
              </w:rPr>
            </w:pPr>
            <w:r>
              <w:rPr>
                <w:color w:val="auto"/>
              </w:rPr>
              <w:t xml:space="preserve">Despite long-standing use, the </w:t>
            </w:r>
            <w:r>
              <w:rPr>
                <w:rStyle w:val="10"/>
                <w:b w:val="0"/>
                <w:bCs w:val="0"/>
                <w:color w:val="auto"/>
              </w:rPr>
              <w:t>relative benefits and harms</w:t>
            </w:r>
            <w:r>
              <w:rPr>
                <w:color w:val="auto"/>
              </w:rPr>
              <w:t xml:space="preserve"> of protein restriction in DKD </w:t>
            </w:r>
            <w:r>
              <w:rPr>
                <w:rStyle w:val="10"/>
                <w:b w:val="0"/>
                <w:bCs w:val="0"/>
                <w:color w:val="auto"/>
              </w:rPr>
              <w:t xml:space="preserve">remain uncertain; </w:t>
            </w:r>
            <w:r>
              <w:rPr>
                <w:color w:val="auto"/>
              </w:rPr>
              <w:t>lack of conclusive evidence from robust studies.</w:t>
            </w:r>
          </w:p>
        </w:tc>
        <w:tc>
          <w:tcPr>
            <w:tcW w:w="2119" w:type="dxa"/>
          </w:tcPr>
          <w:p w14:paraId="32474729">
            <w:pPr>
              <w:pStyle w:val="9"/>
              <w:widowControl/>
              <w:spacing w:beforeAutospacing="0" w:afterAutospacing="0"/>
              <w:jc w:val="both"/>
              <w:rPr>
                <w:color w:val="auto"/>
              </w:rPr>
            </w:pPr>
            <w:r>
              <w:rPr>
                <w:color w:val="auto"/>
              </w:rPr>
              <w:t xml:space="preserve">Highlights a </w:t>
            </w:r>
            <w:r>
              <w:rPr>
                <w:rStyle w:val="10"/>
                <w:b w:val="0"/>
                <w:bCs w:val="0"/>
                <w:color w:val="auto"/>
              </w:rPr>
              <w:t>critical research gap</w:t>
            </w:r>
            <w:r>
              <w:rPr>
                <w:color w:val="auto"/>
              </w:rPr>
              <w:t xml:space="preserve"> in determining the efficacy and safety of protein restriction for DKD</w:t>
            </w:r>
          </w:p>
          <w:p w14:paraId="3247472A">
            <w:pPr>
              <w:pStyle w:val="9"/>
              <w:widowControl/>
              <w:spacing w:beforeAutospacing="0" w:afterAutospacing="0"/>
              <w:jc w:val="both"/>
              <w:rPr>
                <w:color w:val="auto"/>
              </w:rPr>
            </w:pPr>
            <w:r>
              <w:rPr>
                <w:color w:val="auto"/>
              </w:rPr>
              <w:t xml:space="preserve">Calls for </w:t>
            </w:r>
            <w:r>
              <w:rPr>
                <w:rStyle w:val="10"/>
                <w:b w:val="0"/>
                <w:bCs w:val="0"/>
                <w:color w:val="auto"/>
              </w:rPr>
              <w:t>well-designed studies</w:t>
            </w:r>
            <w:r>
              <w:rPr>
                <w:color w:val="auto"/>
              </w:rPr>
              <w:t xml:space="preserve"> to clarify clinical impact and guide dietary recommendations</w:t>
            </w:r>
          </w:p>
        </w:tc>
      </w:tr>
      <w:tr w14:paraId="3247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2C">
            <w:pPr>
              <w:widowControl/>
              <w:numPr>
                <w:ilvl w:val="0"/>
                <w:numId w:val="2"/>
              </w:numPr>
              <w:jc w:val="left"/>
              <w:rPr>
                <w:rFonts w:ascii="Times New Roman" w:hAnsi="Times New Roman" w:cs="Times New Roman"/>
                <w:color w:val="auto"/>
                <w:sz w:val="24"/>
                <w:szCs w:val="24"/>
              </w:rPr>
            </w:pPr>
          </w:p>
        </w:tc>
        <w:tc>
          <w:tcPr>
            <w:tcW w:w="1557" w:type="dxa"/>
          </w:tcPr>
          <w:p w14:paraId="3247472D">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Aghwana, et al., (2023)</w:t>
            </w:r>
          </w:p>
          <w:p w14:paraId="3247472E">
            <w:pPr>
              <w:pStyle w:val="9"/>
              <w:widowControl/>
              <w:spacing w:beforeAutospacing="0" w:afterAutospacing="0"/>
              <w:jc w:val="both"/>
              <w:rPr>
                <w:color w:val="auto"/>
              </w:rPr>
            </w:pPr>
          </w:p>
        </w:tc>
        <w:tc>
          <w:tcPr>
            <w:tcW w:w="2094" w:type="dxa"/>
          </w:tcPr>
          <w:p w14:paraId="32474731">
            <w:pPr>
              <w:pStyle w:val="9"/>
              <w:widowControl/>
              <w:spacing w:beforeAutospacing="0" w:afterAutospacing="0"/>
              <w:jc w:val="both"/>
              <w:rPr>
                <w:color w:val="auto"/>
              </w:rPr>
            </w:pPr>
            <w:r>
              <w:rPr>
                <w:rStyle w:val="10"/>
                <w:b w:val="0"/>
                <w:bCs w:val="0"/>
                <w:color w:val="auto"/>
              </w:rPr>
              <w:t>Design:</w:t>
            </w:r>
            <w:r>
              <w:rPr>
                <w:color w:val="auto"/>
              </w:rPr>
              <w:t xml:space="preserve"> RCT; s</w:t>
            </w:r>
            <w:r>
              <w:rPr>
                <w:rStyle w:val="10"/>
                <w:b w:val="0"/>
                <w:bCs w:val="0"/>
                <w:color w:val="auto"/>
              </w:rPr>
              <w:t>ample size:</w:t>
            </w:r>
            <w:r>
              <w:rPr>
                <w:color w:val="auto"/>
              </w:rPr>
              <w:t xml:space="preserve"> 60 patients with CKD stages 3–5 (30 intervention, 30 control); p</w:t>
            </w:r>
            <w:r>
              <w:rPr>
                <w:rStyle w:val="10"/>
                <w:b w:val="0"/>
                <w:bCs w:val="0"/>
                <w:color w:val="auto"/>
              </w:rPr>
              <w:t>opulation:</w:t>
            </w:r>
            <w:r>
              <w:rPr>
                <w:color w:val="auto"/>
              </w:rPr>
              <w:t xml:space="preserve"> predialysis adults (&gt;18 years).</w:t>
            </w:r>
          </w:p>
        </w:tc>
        <w:tc>
          <w:tcPr>
            <w:tcW w:w="2149" w:type="dxa"/>
          </w:tcPr>
          <w:p w14:paraId="32474734">
            <w:pPr>
              <w:pStyle w:val="9"/>
              <w:widowControl/>
              <w:spacing w:beforeAutospacing="0" w:afterAutospacing="0"/>
              <w:jc w:val="both"/>
              <w:rPr>
                <w:color w:val="auto"/>
              </w:rPr>
            </w:pPr>
            <w:r>
              <w:rPr>
                <w:rStyle w:val="10"/>
                <w:b w:val="0"/>
                <w:bCs w:val="0"/>
                <w:color w:val="auto"/>
              </w:rPr>
              <w:t>Intervention Group:</w:t>
            </w:r>
            <w:r>
              <w:rPr>
                <w:color w:val="auto"/>
              </w:rPr>
              <w:t xml:space="preserve"> LPD + </w:t>
            </w:r>
            <w:r>
              <w:rPr>
                <w:rStyle w:val="10"/>
                <w:b w:val="0"/>
                <w:bCs w:val="0"/>
                <w:color w:val="auto"/>
              </w:rPr>
              <w:t>ketoacid supplementation; control group:</w:t>
            </w:r>
            <w:r>
              <w:rPr>
                <w:color w:val="auto"/>
              </w:rPr>
              <w:t xml:space="preserve"> LPD + </w:t>
            </w:r>
            <w:r>
              <w:rPr>
                <w:rStyle w:val="10"/>
                <w:b w:val="0"/>
                <w:bCs w:val="0"/>
                <w:color w:val="auto"/>
              </w:rPr>
              <w:t>placebo.</w:t>
            </w:r>
          </w:p>
        </w:tc>
        <w:tc>
          <w:tcPr>
            <w:tcW w:w="2286" w:type="dxa"/>
          </w:tcPr>
          <w:p w14:paraId="32474735">
            <w:pPr>
              <w:pStyle w:val="9"/>
              <w:widowControl/>
              <w:spacing w:beforeAutospacing="0" w:afterAutospacing="0"/>
              <w:jc w:val="both"/>
              <w:rPr>
                <w:color w:val="auto"/>
              </w:rPr>
            </w:pPr>
            <w:r>
              <w:rPr>
                <w:color w:val="auto"/>
              </w:rPr>
              <w:t xml:space="preserve">Serum total protein: </w:t>
            </w:r>
            <w:r>
              <w:rPr>
                <w:rStyle w:val="10"/>
                <w:b w:val="0"/>
                <w:bCs w:val="0"/>
                <w:color w:val="auto"/>
              </w:rPr>
              <w:t>+1.1 ± 1.1 g/dL vs +0.1 ± 1.1 g/dL</w:t>
            </w:r>
            <w:r>
              <w:rPr>
                <w:color w:val="auto"/>
              </w:rPr>
              <w:t xml:space="preserve"> (p&lt;0.001);</w:t>
            </w:r>
          </w:p>
          <w:p w14:paraId="32474736">
            <w:pPr>
              <w:pStyle w:val="9"/>
              <w:widowControl/>
              <w:spacing w:beforeAutospacing="0" w:afterAutospacing="0"/>
              <w:jc w:val="both"/>
              <w:rPr>
                <w:color w:val="auto"/>
              </w:rPr>
            </w:pPr>
            <w:r>
              <w:rPr>
                <w:color w:val="auto"/>
              </w:rPr>
              <w:t xml:space="preserve">Serum albumin: </w:t>
            </w:r>
            <w:r>
              <w:rPr>
                <w:rStyle w:val="10"/>
                <w:b w:val="0"/>
                <w:bCs w:val="0"/>
                <w:color w:val="auto"/>
              </w:rPr>
              <w:t>+0.2 ± 0.9 g/dL vs −0.3 ± 0.8 g/dL</w:t>
            </w:r>
            <w:r>
              <w:rPr>
                <w:color w:val="auto"/>
              </w:rPr>
              <w:t xml:space="preserve"> (p&lt;0.001);</w:t>
            </w:r>
          </w:p>
          <w:p w14:paraId="32474738">
            <w:pPr>
              <w:pStyle w:val="9"/>
              <w:widowControl/>
              <w:spacing w:beforeAutospacing="0" w:afterAutospacing="0"/>
              <w:jc w:val="both"/>
              <w:rPr>
                <w:color w:val="auto"/>
              </w:rPr>
            </w:pPr>
            <w:r>
              <w:rPr>
                <w:color w:val="auto"/>
              </w:rPr>
              <w:t xml:space="preserve">Triglycerides: </w:t>
            </w:r>
            <w:r>
              <w:rPr>
                <w:rStyle w:val="10"/>
                <w:b w:val="0"/>
                <w:bCs w:val="0"/>
                <w:color w:val="auto"/>
              </w:rPr>
              <w:t>+3.0 ± 3.5 g/dL vs +1.8 ± 3.7 g/dL; i</w:t>
            </w:r>
            <w:r>
              <w:rPr>
                <w:color w:val="auto"/>
              </w:rPr>
              <w:t xml:space="preserve">mproved overall </w:t>
            </w:r>
            <w:r>
              <w:rPr>
                <w:rStyle w:val="10"/>
                <w:b w:val="0"/>
                <w:bCs w:val="0"/>
                <w:color w:val="auto"/>
              </w:rPr>
              <w:t>nutritional and anthropometric indices.</w:t>
            </w:r>
          </w:p>
        </w:tc>
        <w:tc>
          <w:tcPr>
            <w:tcW w:w="2119" w:type="dxa"/>
          </w:tcPr>
          <w:p w14:paraId="32474739">
            <w:pPr>
              <w:pStyle w:val="9"/>
              <w:widowControl/>
              <w:spacing w:beforeAutospacing="0" w:afterAutospacing="0"/>
              <w:jc w:val="both"/>
              <w:rPr>
                <w:color w:val="auto"/>
              </w:rPr>
            </w:pPr>
            <w:r>
              <w:rPr>
                <w:color w:val="auto"/>
              </w:rPr>
              <w:t xml:space="preserve">LPD supplemented with ketoacids is </w:t>
            </w:r>
            <w:r>
              <w:rPr>
                <w:rStyle w:val="10"/>
                <w:b w:val="0"/>
                <w:bCs w:val="0"/>
                <w:color w:val="auto"/>
              </w:rPr>
              <w:t>nutritionally beneficial</w:t>
            </w:r>
            <w:r>
              <w:rPr>
                <w:color w:val="auto"/>
              </w:rPr>
              <w:t xml:space="preserve"> for CKD stage 3–5 patients;</w:t>
            </w:r>
          </w:p>
          <w:p w14:paraId="3247473B">
            <w:pPr>
              <w:pStyle w:val="9"/>
              <w:widowControl/>
              <w:spacing w:beforeAutospacing="0" w:afterAutospacing="0"/>
              <w:jc w:val="both"/>
              <w:rPr>
                <w:color w:val="auto"/>
              </w:rPr>
            </w:pPr>
            <w:r>
              <w:rPr>
                <w:color w:val="auto"/>
              </w:rPr>
              <w:t xml:space="preserve">suggests </w:t>
            </w:r>
            <w:r>
              <w:rPr>
                <w:rStyle w:val="10"/>
                <w:b w:val="0"/>
                <w:bCs w:val="0"/>
                <w:color w:val="auto"/>
              </w:rPr>
              <w:t>improved nutritional status and potential delay in dialysis need; r</w:t>
            </w:r>
            <w:r>
              <w:rPr>
                <w:color w:val="auto"/>
              </w:rPr>
              <w:t xml:space="preserve">ecommends inclusion of </w:t>
            </w:r>
            <w:r>
              <w:rPr>
                <w:rStyle w:val="10"/>
                <w:b w:val="0"/>
                <w:bCs w:val="0"/>
                <w:color w:val="auto"/>
              </w:rPr>
              <w:t>ketoacid supplementation</w:t>
            </w:r>
            <w:r>
              <w:rPr>
                <w:color w:val="auto"/>
              </w:rPr>
              <w:t xml:space="preserve"> in pre-dialysis CKD management.</w:t>
            </w:r>
          </w:p>
        </w:tc>
      </w:tr>
      <w:tr w14:paraId="3247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3D">
            <w:pPr>
              <w:widowControl/>
              <w:numPr>
                <w:ilvl w:val="0"/>
                <w:numId w:val="2"/>
              </w:numPr>
              <w:jc w:val="left"/>
              <w:rPr>
                <w:rFonts w:ascii="Times New Roman" w:hAnsi="Times New Roman" w:cs="Times New Roman"/>
                <w:color w:val="auto"/>
                <w:sz w:val="24"/>
                <w:szCs w:val="24"/>
              </w:rPr>
            </w:pPr>
          </w:p>
        </w:tc>
        <w:tc>
          <w:tcPr>
            <w:tcW w:w="1557" w:type="dxa"/>
          </w:tcPr>
          <w:p w14:paraId="3247473E">
            <w:pPr>
              <w:pStyle w:val="9"/>
              <w:widowControl/>
              <w:spacing w:beforeAutospacing="0" w:afterAutospacing="0"/>
              <w:jc w:val="both"/>
              <w:rPr>
                <w:color w:val="auto"/>
              </w:rPr>
            </w:pPr>
            <w:r>
              <w:rPr>
                <w:rFonts w:eastAsia="Segoe UI"/>
                <w:color w:val="auto"/>
                <w:shd w:val="clear" w:color="auto" w:fill="FFFFFF"/>
              </w:rPr>
              <w:t>Patel, et al., (2023)</w:t>
            </w:r>
          </w:p>
        </w:tc>
        <w:tc>
          <w:tcPr>
            <w:tcW w:w="2094" w:type="dxa"/>
          </w:tcPr>
          <w:p w14:paraId="32474740">
            <w:pPr>
              <w:pStyle w:val="9"/>
              <w:widowControl/>
              <w:spacing w:beforeAutospacing="0" w:afterAutospacing="0"/>
              <w:jc w:val="both"/>
              <w:rPr>
                <w:color w:val="auto"/>
              </w:rPr>
            </w:pPr>
            <w:r>
              <w:rPr>
                <w:rStyle w:val="10"/>
                <w:b w:val="0"/>
                <w:bCs w:val="0"/>
                <w:color w:val="auto"/>
              </w:rPr>
              <w:t>Design:</w:t>
            </w:r>
            <w:r>
              <w:rPr>
                <w:color w:val="auto"/>
              </w:rPr>
              <w:t xml:space="preserve"> review f</w:t>
            </w:r>
            <w:r>
              <w:rPr>
                <w:rStyle w:val="10"/>
                <w:b w:val="0"/>
                <w:bCs w:val="0"/>
                <w:color w:val="auto"/>
              </w:rPr>
              <w:t>ocusing m</w:t>
            </w:r>
            <w:r>
              <w:rPr>
                <w:color w:val="auto"/>
              </w:rPr>
              <w:t>echanistic and therapeutic overview of LPDs in CKD, including combination with modern drugs (e.g., SGLT2 inhibitors).</w:t>
            </w:r>
          </w:p>
        </w:tc>
        <w:tc>
          <w:tcPr>
            <w:tcW w:w="2149" w:type="dxa"/>
          </w:tcPr>
          <w:p w14:paraId="32474743">
            <w:pPr>
              <w:pStyle w:val="9"/>
              <w:widowControl/>
              <w:spacing w:beforeAutospacing="0" w:afterAutospacing="0"/>
              <w:jc w:val="both"/>
              <w:rPr>
                <w:color w:val="auto"/>
              </w:rPr>
            </w:pPr>
            <w:r>
              <w:rPr>
                <w:rStyle w:val="10"/>
                <w:b w:val="0"/>
                <w:bCs w:val="0"/>
                <w:color w:val="auto"/>
              </w:rPr>
              <w:t>LPD:</w:t>
            </w:r>
            <w:r>
              <w:rPr>
                <w:color w:val="auto"/>
              </w:rPr>
              <w:t xml:space="preserve"> 0.6–0.8 g/kg/day; v</w:t>
            </w:r>
            <w:r>
              <w:rPr>
                <w:rStyle w:val="10"/>
                <w:b w:val="0"/>
                <w:bCs w:val="0"/>
                <w:color w:val="auto"/>
              </w:rPr>
              <w:t>ariants:</w:t>
            </w:r>
            <w:r>
              <w:rPr>
                <w:color w:val="auto"/>
              </w:rPr>
              <w:t xml:space="preserve"> plant-dominant LPDs; a</w:t>
            </w:r>
            <w:r>
              <w:rPr>
                <w:rStyle w:val="10"/>
                <w:b w:val="0"/>
                <w:bCs w:val="0"/>
                <w:color w:val="auto"/>
              </w:rPr>
              <w:t>djuncts:</w:t>
            </w:r>
            <w:r>
              <w:rPr>
                <w:color w:val="auto"/>
              </w:rPr>
              <w:t xml:space="preserve"> combination with ACE inhibitors, ARBs, or SGLT2 inhibitors.</w:t>
            </w:r>
          </w:p>
        </w:tc>
        <w:tc>
          <w:tcPr>
            <w:tcW w:w="2286" w:type="dxa"/>
          </w:tcPr>
          <w:p w14:paraId="32474745">
            <w:pPr>
              <w:pStyle w:val="9"/>
              <w:widowControl/>
              <w:spacing w:beforeAutospacing="0" w:afterAutospacing="0"/>
              <w:jc w:val="both"/>
              <w:rPr>
                <w:color w:val="auto"/>
              </w:rPr>
            </w:pPr>
            <w:r>
              <w:rPr>
                <w:color w:val="auto"/>
              </w:rPr>
              <w:t>Mechanism: t</w:t>
            </w:r>
            <w:r>
              <w:rPr>
                <w:rStyle w:val="10"/>
                <w:b w:val="0"/>
                <w:bCs w:val="0"/>
                <w:color w:val="auto"/>
              </w:rPr>
              <w:t>ubuloglomerular feedback</w:t>
            </w:r>
            <w:r>
              <w:rPr>
                <w:color w:val="auto"/>
              </w:rPr>
              <w:t xml:space="preserve"> and </w:t>
            </w:r>
            <w:r>
              <w:rPr>
                <w:rStyle w:val="10"/>
                <w:b w:val="0"/>
                <w:bCs w:val="0"/>
                <w:color w:val="auto"/>
              </w:rPr>
              <w:t>afferent arteriole contraction</w:t>
            </w:r>
            <w:r>
              <w:rPr>
                <w:color w:val="auto"/>
              </w:rPr>
              <w:t xml:space="preserve"> reduce intraglomerular pressure; p</w:t>
            </w:r>
            <w:r>
              <w:rPr>
                <w:rStyle w:val="10"/>
                <w:b w:val="0"/>
                <w:bCs w:val="0"/>
                <w:color w:val="auto"/>
              </w:rPr>
              <w:t>lant-based LPDs</w:t>
            </w:r>
            <w:r>
              <w:rPr>
                <w:color w:val="auto"/>
              </w:rPr>
              <w:t xml:space="preserve"> offer extra protection via improved protein quality</w:t>
            </w:r>
          </w:p>
          <w:p w14:paraId="32474746">
            <w:pPr>
              <w:pStyle w:val="9"/>
              <w:widowControl/>
              <w:spacing w:beforeAutospacing="0" w:afterAutospacing="0"/>
              <w:jc w:val="both"/>
              <w:rPr>
                <w:color w:val="auto"/>
              </w:rPr>
            </w:pPr>
            <w:r>
              <w:rPr>
                <w:rStyle w:val="10"/>
                <w:b w:val="0"/>
                <w:bCs w:val="0"/>
                <w:color w:val="auto"/>
              </w:rPr>
              <w:t>SGLT2 inhibitors + LPDs</w:t>
            </w:r>
            <w:r>
              <w:rPr>
                <w:color w:val="auto"/>
              </w:rPr>
              <w:t xml:space="preserve"> may have </w:t>
            </w:r>
            <w:r>
              <w:rPr>
                <w:rStyle w:val="10"/>
                <w:b w:val="0"/>
                <w:bCs w:val="0"/>
                <w:color w:val="auto"/>
              </w:rPr>
              <w:t>synergistic, additive effects</w:t>
            </w:r>
            <w:r>
              <w:rPr>
                <w:color w:val="auto"/>
              </w:rPr>
              <w:t xml:space="preserve"> on kidney protection</w:t>
            </w:r>
          </w:p>
        </w:tc>
        <w:tc>
          <w:tcPr>
            <w:tcW w:w="2119" w:type="dxa"/>
          </w:tcPr>
          <w:p w14:paraId="32474749">
            <w:pPr>
              <w:pStyle w:val="9"/>
              <w:widowControl/>
              <w:spacing w:beforeAutospacing="0" w:afterAutospacing="0"/>
              <w:jc w:val="both"/>
              <w:rPr>
                <w:color w:val="auto"/>
              </w:rPr>
            </w:pPr>
            <w:r>
              <w:rPr>
                <w:color w:val="auto"/>
              </w:rPr>
              <w:t xml:space="preserve">LPDs remain a </w:t>
            </w:r>
            <w:r>
              <w:rPr>
                <w:rStyle w:val="10"/>
                <w:b w:val="0"/>
                <w:bCs w:val="0"/>
                <w:color w:val="auto"/>
              </w:rPr>
              <w:t>cornerstone of CKD management; c</w:t>
            </w:r>
            <w:r>
              <w:rPr>
                <w:color w:val="auto"/>
              </w:rPr>
              <w:t xml:space="preserve">ombining </w:t>
            </w:r>
            <w:r>
              <w:rPr>
                <w:rStyle w:val="10"/>
                <w:b w:val="0"/>
                <w:bCs w:val="0"/>
                <w:color w:val="auto"/>
              </w:rPr>
              <w:t>tailored dietary approaches</w:t>
            </w:r>
            <w:r>
              <w:rPr>
                <w:color w:val="auto"/>
              </w:rPr>
              <w:t xml:space="preserve"> with pharmacologic therapies maximizes benefits.</w:t>
            </w:r>
          </w:p>
        </w:tc>
      </w:tr>
      <w:tr w14:paraId="324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4B">
            <w:pPr>
              <w:widowControl/>
              <w:numPr>
                <w:ilvl w:val="0"/>
                <w:numId w:val="2"/>
              </w:numPr>
              <w:jc w:val="left"/>
              <w:rPr>
                <w:rFonts w:ascii="Times New Roman" w:hAnsi="Times New Roman" w:cs="Times New Roman"/>
                <w:color w:val="auto"/>
                <w:sz w:val="24"/>
                <w:szCs w:val="24"/>
              </w:rPr>
            </w:pPr>
          </w:p>
        </w:tc>
        <w:tc>
          <w:tcPr>
            <w:tcW w:w="1557" w:type="dxa"/>
          </w:tcPr>
          <w:p w14:paraId="3247474C">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Yang, et al., (2023)</w:t>
            </w:r>
          </w:p>
          <w:p w14:paraId="3247474D">
            <w:pPr>
              <w:pStyle w:val="9"/>
              <w:widowControl/>
              <w:spacing w:beforeAutospacing="0" w:afterAutospacing="0"/>
              <w:jc w:val="both"/>
              <w:rPr>
                <w:color w:val="auto"/>
              </w:rPr>
            </w:pPr>
          </w:p>
        </w:tc>
        <w:tc>
          <w:tcPr>
            <w:tcW w:w="2094" w:type="dxa"/>
          </w:tcPr>
          <w:p w14:paraId="3247474F">
            <w:pPr>
              <w:pStyle w:val="9"/>
              <w:widowControl/>
              <w:spacing w:beforeAutospacing="0" w:afterAutospacing="0"/>
              <w:jc w:val="both"/>
              <w:rPr>
                <w:color w:val="auto"/>
              </w:rPr>
            </w:pPr>
            <w:r>
              <w:rPr>
                <w:rStyle w:val="10"/>
                <w:b w:val="0"/>
                <w:bCs w:val="0"/>
                <w:color w:val="auto"/>
              </w:rPr>
              <w:t>Design:</w:t>
            </w:r>
            <w:r>
              <w:rPr>
                <w:color w:val="auto"/>
              </w:rPr>
              <w:t xml:space="preserve"> RCT; p</w:t>
            </w:r>
            <w:r>
              <w:rPr>
                <w:rStyle w:val="10"/>
                <w:b w:val="0"/>
                <w:bCs w:val="0"/>
                <w:color w:val="auto"/>
              </w:rPr>
              <w:t>articipants:</w:t>
            </w:r>
            <w:r>
              <w:rPr>
                <w:color w:val="auto"/>
              </w:rPr>
              <w:t xml:space="preserve"> 73 pre-dialysis CKD patients (Stage 4–5).</w:t>
            </w:r>
          </w:p>
          <w:p w14:paraId="32474750">
            <w:pPr>
              <w:widowControl/>
              <w:jc w:val="left"/>
              <w:rPr>
                <w:rFonts w:ascii="Times New Roman" w:hAnsi="Times New Roman" w:cs="Times New Roman"/>
                <w:color w:val="auto"/>
                <w:sz w:val="24"/>
                <w:szCs w:val="24"/>
              </w:rPr>
            </w:pPr>
          </w:p>
        </w:tc>
        <w:tc>
          <w:tcPr>
            <w:tcW w:w="2149" w:type="dxa"/>
          </w:tcPr>
          <w:p w14:paraId="32474751">
            <w:pPr>
              <w:pStyle w:val="9"/>
              <w:widowControl/>
              <w:spacing w:beforeAutospacing="0" w:afterAutospacing="0"/>
              <w:jc w:val="both"/>
              <w:rPr>
                <w:color w:val="auto"/>
              </w:rPr>
            </w:pPr>
            <w:r>
              <w:rPr>
                <w:rStyle w:val="10"/>
                <w:b w:val="0"/>
                <w:bCs w:val="0"/>
                <w:color w:val="auto"/>
              </w:rPr>
              <w:t>Intervention group:</w:t>
            </w:r>
            <w:r>
              <w:rPr>
                <w:color w:val="auto"/>
              </w:rPr>
              <w:t xml:space="preserve"> once-daily </w:t>
            </w:r>
            <w:r>
              <w:rPr>
                <w:rStyle w:val="10"/>
                <w:b w:val="0"/>
                <w:bCs w:val="0"/>
                <w:color w:val="auto"/>
              </w:rPr>
              <w:t>HE-LPF</w:t>
            </w:r>
            <w:r>
              <w:rPr>
                <w:color w:val="auto"/>
              </w:rPr>
              <w:t xml:space="preserve"> (as partial or total meal replacement);</w:t>
            </w:r>
          </w:p>
          <w:p w14:paraId="32474753">
            <w:pPr>
              <w:pStyle w:val="9"/>
              <w:widowControl/>
              <w:spacing w:beforeAutospacing="0" w:afterAutospacing="0"/>
              <w:jc w:val="both"/>
              <w:rPr>
                <w:color w:val="auto"/>
              </w:rPr>
            </w:pPr>
            <w:r>
              <w:rPr>
                <w:rStyle w:val="10"/>
                <w:b w:val="0"/>
                <w:bCs w:val="0"/>
                <w:color w:val="auto"/>
              </w:rPr>
              <w:t>control group:</w:t>
            </w:r>
            <w:r>
              <w:rPr>
                <w:color w:val="auto"/>
              </w:rPr>
              <w:t xml:space="preserve"> normal food while maintaining a </w:t>
            </w:r>
            <w:r>
              <w:rPr>
                <w:rStyle w:val="10"/>
                <w:b w:val="0"/>
                <w:bCs w:val="0"/>
                <w:color w:val="auto"/>
              </w:rPr>
              <w:t>LPD; duration:</w:t>
            </w:r>
            <w:r>
              <w:rPr>
                <w:color w:val="auto"/>
              </w:rPr>
              <w:t xml:space="preserve"> 4 weeks.</w:t>
            </w:r>
          </w:p>
        </w:tc>
        <w:tc>
          <w:tcPr>
            <w:tcW w:w="2286" w:type="dxa"/>
          </w:tcPr>
          <w:p w14:paraId="32474755">
            <w:pPr>
              <w:pStyle w:val="9"/>
              <w:widowControl/>
              <w:spacing w:beforeAutospacing="0" w:afterAutospacing="0"/>
              <w:jc w:val="both"/>
              <w:rPr>
                <w:color w:val="auto"/>
              </w:rPr>
            </w:pPr>
            <w:r>
              <w:rPr>
                <w:rStyle w:val="10"/>
                <w:b w:val="0"/>
                <w:bCs w:val="0"/>
                <w:color w:val="auto"/>
              </w:rPr>
              <w:t>High adherence:</w:t>
            </w:r>
            <w:r>
              <w:rPr>
                <w:color w:val="auto"/>
              </w:rPr>
              <w:t xml:space="preserve"> 94.9% at week 4; n</w:t>
            </w:r>
            <w:r>
              <w:rPr>
                <w:rStyle w:val="10"/>
                <w:b w:val="0"/>
                <w:bCs w:val="0"/>
                <w:color w:val="auto"/>
              </w:rPr>
              <w:t>o adverse effects</w:t>
            </w:r>
            <w:r>
              <w:rPr>
                <w:color w:val="auto"/>
              </w:rPr>
              <w:t xml:space="preserve"> reported;</w:t>
            </w:r>
          </w:p>
          <w:p w14:paraId="32474756">
            <w:pPr>
              <w:pStyle w:val="9"/>
              <w:widowControl/>
              <w:spacing w:beforeAutospacing="0" w:afterAutospacing="0"/>
              <w:jc w:val="both"/>
              <w:rPr>
                <w:color w:val="auto"/>
              </w:rPr>
            </w:pPr>
            <w:r>
              <w:rPr>
                <w:color w:val="auto"/>
              </w:rPr>
              <w:t>HE-LPF effectively modified macronutrient intake without compromising health or nutrition.</w:t>
            </w:r>
          </w:p>
        </w:tc>
        <w:tc>
          <w:tcPr>
            <w:tcW w:w="2119" w:type="dxa"/>
          </w:tcPr>
          <w:p w14:paraId="32474757">
            <w:pPr>
              <w:pStyle w:val="9"/>
              <w:widowControl/>
              <w:spacing w:beforeAutospacing="0" w:afterAutospacing="0"/>
              <w:jc w:val="both"/>
              <w:rPr>
                <w:color w:val="auto"/>
              </w:rPr>
            </w:pPr>
            <w:r>
              <w:rPr>
                <w:color w:val="auto"/>
              </w:rPr>
              <w:t xml:space="preserve">HE-LPFs are </w:t>
            </w:r>
            <w:r>
              <w:rPr>
                <w:rStyle w:val="10"/>
                <w:b w:val="0"/>
                <w:bCs w:val="0"/>
                <w:color w:val="auto"/>
              </w:rPr>
              <w:t>safe and feasible</w:t>
            </w:r>
            <w:r>
              <w:rPr>
                <w:color w:val="auto"/>
              </w:rPr>
              <w:t xml:space="preserve"> for meal replacement in CKD patients following an LPD;</w:t>
            </w:r>
          </w:p>
          <w:p w14:paraId="32474759">
            <w:pPr>
              <w:pStyle w:val="9"/>
              <w:widowControl/>
              <w:spacing w:beforeAutospacing="0" w:afterAutospacing="0"/>
              <w:jc w:val="both"/>
              <w:rPr>
                <w:color w:val="auto"/>
              </w:rPr>
            </w:pPr>
            <w:r>
              <w:rPr>
                <w:color w:val="auto"/>
              </w:rPr>
              <w:t xml:space="preserve">Useful to </w:t>
            </w:r>
            <w:r>
              <w:rPr>
                <w:rStyle w:val="10"/>
                <w:b w:val="0"/>
                <w:bCs w:val="0"/>
                <w:color w:val="auto"/>
              </w:rPr>
              <w:t>maintain calorie intake</w:t>
            </w:r>
            <w:r>
              <w:rPr>
                <w:color w:val="auto"/>
              </w:rPr>
              <w:t xml:space="preserve"> while limiting protein load.</w:t>
            </w:r>
          </w:p>
        </w:tc>
      </w:tr>
      <w:tr w14:paraId="3247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5B">
            <w:pPr>
              <w:widowControl/>
              <w:numPr>
                <w:ilvl w:val="0"/>
                <w:numId w:val="2"/>
              </w:numPr>
              <w:jc w:val="left"/>
              <w:rPr>
                <w:rFonts w:ascii="Times New Roman" w:hAnsi="Times New Roman" w:cs="Times New Roman"/>
                <w:color w:val="auto"/>
                <w:sz w:val="24"/>
                <w:szCs w:val="24"/>
              </w:rPr>
            </w:pPr>
          </w:p>
        </w:tc>
        <w:tc>
          <w:tcPr>
            <w:tcW w:w="1557" w:type="dxa"/>
          </w:tcPr>
          <w:p w14:paraId="3247475C">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Cecchi, et al., (2023)</w:t>
            </w:r>
          </w:p>
          <w:p w14:paraId="3247475D">
            <w:pPr>
              <w:pStyle w:val="9"/>
              <w:widowControl/>
              <w:spacing w:beforeAutospacing="0" w:afterAutospacing="0"/>
              <w:jc w:val="both"/>
              <w:rPr>
                <w:color w:val="auto"/>
              </w:rPr>
            </w:pPr>
          </w:p>
        </w:tc>
        <w:tc>
          <w:tcPr>
            <w:tcW w:w="2094" w:type="dxa"/>
          </w:tcPr>
          <w:p w14:paraId="32474760">
            <w:pPr>
              <w:pStyle w:val="9"/>
              <w:widowControl/>
              <w:spacing w:beforeAutospacing="0" w:afterAutospacing="0"/>
              <w:jc w:val="both"/>
              <w:rPr>
                <w:color w:val="auto"/>
              </w:rPr>
            </w:pPr>
            <w:r>
              <w:rPr>
                <w:rStyle w:val="10"/>
                <w:b w:val="0"/>
                <w:bCs w:val="0"/>
                <w:color w:val="auto"/>
              </w:rPr>
              <w:t>Design:</w:t>
            </w:r>
            <w:r>
              <w:rPr>
                <w:color w:val="auto"/>
              </w:rPr>
              <w:t xml:space="preserve"> longitudinal observational (clinical practice-based); p</w:t>
            </w:r>
            <w:r>
              <w:rPr>
                <w:rStyle w:val="10"/>
                <w:b w:val="0"/>
                <w:bCs w:val="0"/>
                <w:color w:val="auto"/>
              </w:rPr>
              <w:t>opulation:</w:t>
            </w:r>
            <w:r>
              <w:rPr>
                <w:color w:val="auto"/>
              </w:rPr>
              <w:t xml:space="preserve"> stage-5 CKD patients; d</w:t>
            </w:r>
            <w:r>
              <w:rPr>
                <w:rStyle w:val="10"/>
                <w:b w:val="0"/>
                <w:bCs w:val="0"/>
                <w:color w:val="auto"/>
              </w:rPr>
              <w:t>uration:</w:t>
            </w:r>
            <w:r>
              <w:rPr>
                <w:color w:val="auto"/>
              </w:rPr>
              <w:t xml:space="preserve"> 24 months.</w:t>
            </w:r>
          </w:p>
        </w:tc>
        <w:tc>
          <w:tcPr>
            <w:tcW w:w="2149" w:type="dxa"/>
          </w:tcPr>
          <w:p w14:paraId="32474763">
            <w:pPr>
              <w:pStyle w:val="9"/>
              <w:widowControl/>
              <w:spacing w:beforeAutospacing="0" w:afterAutospacing="0"/>
              <w:jc w:val="both"/>
              <w:rPr>
                <w:color w:val="auto"/>
              </w:rPr>
            </w:pPr>
            <w:r>
              <w:rPr>
                <w:rStyle w:val="10"/>
                <w:b w:val="0"/>
                <w:bCs w:val="0"/>
                <w:color w:val="auto"/>
              </w:rPr>
              <w:t>Diet Type:</w:t>
            </w:r>
            <w:r>
              <w:rPr>
                <w:color w:val="auto"/>
              </w:rPr>
              <w:t xml:space="preserve"> sVLPD - 0.3g protein/kg/day; s</w:t>
            </w:r>
            <w:r>
              <w:rPr>
                <w:rStyle w:val="10"/>
                <w:b w:val="0"/>
                <w:bCs w:val="0"/>
                <w:color w:val="auto"/>
              </w:rPr>
              <w:t>upplement: e</w:t>
            </w:r>
            <w:r>
              <w:rPr>
                <w:color w:val="auto"/>
              </w:rPr>
              <w:t>ssential amino acids (no ketoanalogues); c</w:t>
            </w:r>
            <w:r>
              <w:rPr>
                <w:rStyle w:val="10"/>
                <w:b w:val="0"/>
                <w:bCs w:val="0"/>
                <w:color w:val="auto"/>
              </w:rPr>
              <w:t>omparison: c</w:t>
            </w:r>
            <w:r>
              <w:rPr>
                <w:color w:val="auto"/>
              </w:rPr>
              <w:t>ompliant vs. non-compliant patients.</w:t>
            </w:r>
          </w:p>
        </w:tc>
        <w:tc>
          <w:tcPr>
            <w:tcW w:w="2286" w:type="dxa"/>
          </w:tcPr>
          <w:p w14:paraId="32474766">
            <w:pPr>
              <w:pStyle w:val="9"/>
              <w:widowControl/>
              <w:spacing w:beforeAutospacing="0" w:afterAutospacing="0"/>
              <w:jc w:val="both"/>
              <w:rPr>
                <w:color w:val="auto"/>
              </w:rPr>
            </w:pPr>
            <w:r>
              <w:rPr>
                <w:color w:val="auto"/>
              </w:rPr>
              <w:t xml:space="preserve">No evidence of </w:t>
            </w:r>
            <w:r>
              <w:rPr>
                <w:rStyle w:val="10"/>
                <w:b w:val="0"/>
                <w:bCs w:val="0"/>
                <w:color w:val="auto"/>
              </w:rPr>
              <w:t>malnutrition</w:t>
            </w:r>
            <w:r>
              <w:rPr>
                <w:color w:val="auto"/>
              </w:rPr>
              <w:t xml:space="preserve"> in compliant patients; e</w:t>
            </w:r>
            <w:r>
              <w:rPr>
                <w:rStyle w:val="10"/>
                <w:b w:val="0"/>
                <w:bCs w:val="0"/>
                <w:color w:val="auto"/>
              </w:rPr>
              <w:t>conomic benefit:</w:t>
            </w:r>
            <w:r>
              <w:rPr>
                <w:color w:val="auto"/>
              </w:rPr>
              <w:t xml:space="preserve"> significant cost reduction for the National Health System.</w:t>
            </w:r>
          </w:p>
        </w:tc>
        <w:tc>
          <w:tcPr>
            <w:tcW w:w="2119" w:type="dxa"/>
          </w:tcPr>
          <w:p w14:paraId="32474769">
            <w:pPr>
              <w:pStyle w:val="9"/>
              <w:widowControl/>
              <w:spacing w:beforeAutospacing="0" w:afterAutospacing="0"/>
              <w:jc w:val="both"/>
              <w:rPr>
                <w:color w:val="auto"/>
              </w:rPr>
            </w:pPr>
            <w:r>
              <w:rPr>
                <w:color w:val="auto"/>
              </w:rPr>
              <w:t xml:space="preserve">sVLPD supplemented with essential amino acids is </w:t>
            </w:r>
            <w:r>
              <w:rPr>
                <w:rStyle w:val="10"/>
                <w:b w:val="0"/>
                <w:bCs w:val="0"/>
                <w:color w:val="auto"/>
              </w:rPr>
              <w:t>safe, effective, and economical; c</w:t>
            </w:r>
            <w:r>
              <w:rPr>
                <w:color w:val="auto"/>
              </w:rPr>
              <w:t xml:space="preserve">an </w:t>
            </w:r>
            <w:r>
              <w:rPr>
                <w:rStyle w:val="10"/>
                <w:b w:val="0"/>
                <w:bCs w:val="0"/>
                <w:color w:val="auto"/>
              </w:rPr>
              <w:t>delay dialysis</w:t>
            </w:r>
            <w:r>
              <w:rPr>
                <w:color w:val="auto"/>
              </w:rPr>
              <w:t xml:space="preserve"> and </w:t>
            </w:r>
            <w:r>
              <w:rPr>
                <w:rStyle w:val="10"/>
                <w:b w:val="0"/>
                <w:bCs w:val="0"/>
                <w:color w:val="auto"/>
              </w:rPr>
              <w:t>reduce healthcare costs.</w:t>
            </w:r>
          </w:p>
        </w:tc>
      </w:tr>
      <w:tr w14:paraId="3247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6B">
            <w:pPr>
              <w:widowControl/>
              <w:numPr>
                <w:ilvl w:val="0"/>
                <w:numId w:val="2"/>
              </w:numPr>
              <w:jc w:val="left"/>
              <w:rPr>
                <w:rFonts w:ascii="Times New Roman" w:hAnsi="Times New Roman" w:cs="Times New Roman"/>
                <w:color w:val="auto"/>
                <w:sz w:val="24"/>
                <w:szCs w:val="24"/>
              </w:rPr>
            </w:pPr>
          </w:p>
        </w:tc>
        <w:tc>
          <w:tcPr>
            <w:tcW w:w="1557" w:type="dxa"/>
          </w:tcPr>
          <w:p w14:paraId="3247476C">
            <w:pPr>
              <w:pStyle w:val="9"/>
              <w:widowControl/>
              <w:spacing w:beforeAutospacing="0" w:afterAutospacing="0"/>
              <w:jc w:val="both"/>
              <w:rPr>
                <w:color w:val="auto"/>
              </w:rPr>
            </w:pPr>
            <w:r>
              <w:rPr>
                <w:rFonts w:eastAsia="Segoe UI"/>
                <w:color w:val="auto"/>
                <w:shd w:val="clear" w:color="auto" w:fill="FFFFFF"/>
              </w:rPr>
              <w:t>Joshi, et al.,</w:t>
            </w:r>
            <w:r>
              <w:rPr>
                <w:color w:val="auto"/>
              </w:rPr>
              <w:t xml:space="preserve"> (2023)</w:t>
            </w:r>
          </w:p>
        </w:tc>
        <w:tc>
          <w:tcPr>
            <w:tcW w:w="2094" w:type="dxa"/>
          </w:tcPr>
          <w:p w14:paraId="3247476E">
            <w:pPr>
              <w:pStyle w:val="9"/>
              <w:widowControl/>
              <w:spacing w:beforeAutospacing="0" w:afterAutospacing="0"/>
              <w:jc w:val="both"/>
              <w:rPr>
                <w:color w:val="auto"/>
              </w:rPr>
            </w:pPr>
            <w:r>
              <w:rPr>
                <w:rStyle w:val="10"/>
                <w:b w:val="0"/>
                <w:bCs w:val="0"/>
                <w:color w:val="auto"/>
              </w:rPr>
              <w:t>Design:</w:t>
            </w:r>
            <w:r>
              <w:rPr>
                <w:color w:val="auto"/>
              </w:rPr>
              <w:t xml:space="preserve"> perspective /  comparative review article.</w:t>
            </w:r>
          </w:p>
        </w:tc>
        <w:tc>
          <w:tcPr>
            <w:tcW w:w="2149" w:type="dxa"/>
          </w:tcPr>
          <w:p w14:paraId="3247476F">
            <w:pPr>
              <w:pStyle w:val="9"/>
              <w:widowControl/>
              <w:spacing w:beforeAutospacing="0" w:afterAutospacing="0"/>
              <w:jc w:val="both"/>
              <w:rPr>
                <w:color w:val="auto"/>
              </w:rPr>
            </w:pPr>
            <w:r>
              <w:rPr>
                <w:color w:val="auto"/>
              </w:rPr>
              <w:t>Comparison of low-carbohydrate /ketogenic, Mediterranean, intermittent fasting, and plant-based/low-protein diets in CKD management.</w:t>
            </w:r>
          </w:p>
        </w:tc>
        <w:tc>
          <w:tcPr>
            <w:tcW w:w="2286" w:type="dxa"/>
          </w:tcPr>
          <w:p w14:paraId="32474770">
            <w:pPr>
              <w:pStyle w:val="9"/>
              <w:widowControl/>
              <w:spacing w:beforeAutospacing="0" w:afterAutospacing="0"/>
              <w:jc w:val="both"/>
              <w:rPr>
                <w:color w:val="auto"/>
              </w:rPr>
            </w:pPr>
            <w:r>
              <w:rPr>
                <w:color w:val="auto"/>
              </w:rPr>
              <w:t>Low-carb diets show no major harm; Mediterranean and plant-based diets offer strong renal and cardiovascular benefits; evidence for intermittent fasting remains limited.</w:t>
            </w:r>
          </w:p>
        </w:tc>
        <w:tc>
          <w:tcPr>
            <w:tcW w:w="2119" w:type="dxa"/>
          </w:tcPr>
          <w:p w14:paraId="32474771">
            <w:pPr>
              <w:pStyle w:val="9"/>
              <w:widowControl/>
              <w:spacing w:beforeAutospacing="0" w:afterAutospacing="0"/>
              <w:jc w:val="both"/>
              <w:rPr>
                <w:color w:val="auto"/>
              </w:rPr>
            </w:pPr>
            <w:r>
              <w:rPr>
                <w:color w:val="auto"/>
              </w:rPr>
              <w:t>Diet strongly influences kidney health; individualized, plant-forward, balanced diets guided by professionals are key for effective CKD management.</w:t>
            </w:r>
          </w:p>
        </w:tc>
      </w:tr>
      <w:tr w14:paraId="3910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0107C7E4">
            <w:pPr>
              <w:widowControl w:val="0"/>
              <w:numPr>
                <w:ilvl w:val="0"/>
                <w:numId w:val="2"/>
              </w:numPr>
              <w:jc w:val="both"/>
              <w:rPr>
                <w:rFonts w:ascii="Times New Roman" w:hAnsi="Times New Roman" w:cs="Times New Roman"/>
                <w:color w:val="auto"/>
                <w:sz w:val="24"/>
                <w:szCs w:val="24"/>
              </w:rPr>
            </w:pPr>
          </w:p>
        </w:tc>
        <w:tc>
          <w:tcPr>
            <w:tcW w:w="1557" w:type="dxa"/>
          </w:tcPr>
          <w:p w14:paraId="228C1779">
            <w:pPr>
              <w:pStyle w:val="9"/>
              <w:widowControl w:val="0"/>
              <w:spacing w:beforeAutospacing="0" w:afterAutospacing="0"/>
              <w:jc w:val="both"/>
              <w:rPr>
                <w:rFonts w:eastAsia="Segoe UI"/>
                <w:color w:val="auto"/>
                <w:shd w:val="clear" w:color="auto" w:fill="FFFFFF"/>
              </w:rPr>
            </w:pPr>
            <w:r>
              <w:rPr>
                <w:rFonts w:eastAsia="Segoe UI"/>
                <w:color w:val="auto"/>
                <w:shd w:val="clear" w:color="auto" w:fill="FFFFFF"/>
              </w:rPr>
              <w:t>Piccoli, et al., (2023)</w:t>
            </w:r>
          </w:p>
        </w:tc>
        <w:tc>
          <w:tcPr>
            <w:tcW w:w="2094" w:type="dxa"/>
          </w:tcPr>
          <w:p w14:paraId="736D45C9">
            <w:pPr>
              <w:pStyle w:val="9"/>
              <w:widowControl w:val="0"/>
              <w:spacing w:beforeAutospacing="0" w:afterAutospacing="0"/>
              <w:jc w:val="both"/>
              <w:rPr>
                <w:rStyle w:val="10"/>
                <w:b w:val="0"/>
                <w:bCs w:val="0"/>
                <w:color w:val="auto"/>
              </w:rPr>
            </w:pPr>
            <w:r>
              <w:rPr>
                <w:rStyle w:val="10"/>
                <w:b w:val="0"/>
                <w:bCs w:val="0"/>
                <w:color w:val="auto"/>
              </w:rPr>
              <w:t>Prospective observational study;</w:t>
            </w:r>
            <w:r>
              <w:rPr>
                <w:color w:val="auto"/>
              </w:rPr>
              <w:t xml:space="preserve"> sample size; </w:t>
            </w:r>
            <w:r>
              <w:rPr>
                <w:rStyle w:val="10"/>
                <w:b w:val="0"/>
                <w:bCs w:val="0"/>
                <w:color w:val="auto"/>
              </w:rPr>
              <w:t>185 (LPD-KA)</w:t>
            </w:r>
            <w:r>
              <w:rPr>
                <w:color w:val="auto"/>
              </w:rPr>
              <w:t xml:space="preserve"> and </w:t>
            </w:r>
            <w:r>
              <w:rPr>
                <w:rStyle w:val="10"/>
                <w:b w:val="0"/>
                <w:bCs w:val="0"/>
                <w:color w:val="auto"/>
              </w:rPr>
              <w:t>122 (LPD-ACF).</w:t>
            </w:r>
          </w:p>
        </w:tc>
        <w:tc>
          <w:tcPr>
            <w:tcW w:w="2149" w:type="dxa"/>
          </w:tcPr>
          <w:p w14:paraId="0F7DED79">
            <w:pPr>
              <w:pStyle w:val="9"/>
              <w:widowControl/>
              <w:spacing w:beforeAutospacing="0" w:afterAutospacing="0"/>
              <w:jc w:val="both"/>
              <w:rPr>
                <w:rStyle w:val="10"/>
                <w:b w:val="0"/>
                <w:bCs w:val="0"/>
                <w:color w:val="auto"/>
              </w:rPr>
            </w:pPr>
            <w:r>
              <w:rPr>
                <w:rStyle w:val="10"/>
                <w:b w:val="0"/>
                <w:bCs w:val="0"/>
                <w:color w:val="auto"/>
              </w:rPr>
              <w:t>Protein intake:</w:t>
            </w:r>
            <w:r>
              <w:rPr>
                <w:color w:val="auto"/>
              </w:rPr>
              <w:t xml:space="preserve"> 0.6 g/kg/day;  o</w:t>
            </w:r>
            <w:r>
              <w:rPr>
                <w:rStyle w:val="10"/>
                <w:b w:val="0"/>
                <w:bCs w:val="0"/>
                <w:color w:val="auto"/>
              </w:rPr>
              <w:t>ptions</w:t>
            </w:r>
          </w:p>
          <w:p w14:paraId="6D0C056F">
            <w:pPr>
              <w:pStyle w:val="9"/>
              <w:widowControl/>
              <w:spacing w:beforeAutospacing="0" w:afterAutospacing="0"/>
              <w:jc w:val="both"/>
              <w:rPr>
                <w:color w:val="auto"/>
              </w:rPr>
            </w:pPr>
            <w:r>
              <w:rPr>
                <w:color w:val="auto"/>
              </w:rPr>
              <w:t>LPD-KA (vegan + ketoanalogues),</w:t>
            </w:r>
          </w:p>
          <w:p w14:paraId="421B2AA4">
            <w:pPr>
              <w:pStyle w:val="9"/>
              <w:widowControl/>
              <w:spacing w:beforeAutospacing="0" w:afterAutospacing="0"/>
              <w:jc w:val="both"/>
              <w:rPr>
                <w:color w:val="auto"/>
              </w:rPr>
            </w:pPr>
            <w:r>
              <w:rPr>
                <w:color w:val="auto"/>
              </w:rPr>
              <w:t>LPD-ACF (with aproteic foods).</w:t>
            </w:r>
          </w:p>
        </w:tc>
        <w:tc>
          <w:tcPr>
            <w:tcW w:w="2286" w:type="dxa"/>
          </w:tcPr>
          <w:p w14:paraId="273FA621">
            <w:pPr>
              <w:pStyle w:val="9"/>
              <w:widowControl w:val="0"/>
              <w:spacing w:beforeAutospacing="0" w:afterAutospacing="0"/>
              <w:jc w:val="both"/>
              <w:rPr>
                <w:color w:val="auto"/>
              </w:rPr>
            </w:pPr>
            <w:r>
              <w:rPr>
                <w:color w:val="auto"/>
              </w:rPr>
              <w:t>Protein intake remained stable at 0.7 g/kg/day; diet type did not affect survival or dialysis onset; mortality was 50–70% lower than registry data, and LPD proved far more cost-effective than dialysis.</w:t>
            </w:r>
          </w:p>
        </w:tc>
        <w:tc>
          <w:tcPr>
            <w:tcW w:w="2119" w:type="dxa"/>
          </w:tcPr>
          <w:p w14:paraId="4FD4FD94">
            <w:pPr>
              <w:pStyle w:val="9"/>
              <w:widowControl w:val="0"/>
              <w:spacing w:beforeAutospacing="0" w:afterAutospacing="0"/>
              <w:jc w:val="both"/>
              <w:rPr>
                <w:color w:val="auto"/>
              </w:rPr>
            </w:pPr>
            <w:r>
              <w:rPr>
                <w:color w:val="auto"/>
              </w:rPr>
              <w:t xml:space="preserve">Both </w:t>
            </w:r>
            <w:r>
              <w:rPr>
                <w:rStyle w:val="10"/>
                <w:b w:val="0"/>
                <w:bCs w:val="0"/>
                <w:color w:val="auto"/>
              </w:rPr>
              <w:t>LPD-KA and LPD-ACF were feasible and safe</w:t>
            </w:r>
            <w:r>
              <w:rPr>
                <w:color w:val="auto"/>
              </w:rPr>
              <w:t xml:space="preserve">, showing survival comparable to dialysis but at a </w:t>
            </w:r>
            <w:r>
              <w:rPr>
                <w:rStyle w:val="10"/>
                <w:b w:val="0"/>
                <w:bCs w:val="0"/>
                <w:color w:val="auto"/>
              </w:rPr>
              <w:t>much lower cost</w:t>
            </w:r>
            <w:r>
              <w:rPr>
                <w:color w:val="auto"/>
              </w:rPr>
              <w:t xml:space="preserve">. </w:t>
            </w:r>
          </w:p>
        </w:tc>
      </w:tr>
      <w:tr w14:paraId="3247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73">
            <w:pPr>
              <w:widowControl/>
              <w:numPr>
                <w:ilvl w:val="0"/>
                <w:numId w:val="2"/>
              </w:numPr>
              <w:jc w:val="left"/>
              <w:rPr>
                <w:rFonts w:ascii="Times New Roman" w:hAnsi="Times New Roman" w:cs="Times New Roman"/>
                <w:color w:val="auto"/>
                <w:sz w:val="24"/>
                <w:szCs w:val="24"/>
              </w:rPr>
            </w:pPr>
          </w:p>
        </w:tc>
        <w:tc>
          <w:tcPr>
            <w:tcW w:w="1557" w:type="dxa"/>
          </w:tcPr>
          <w:p w14:paraId="32474774">
            <w:pPr>
              <w:pStyle w:val="9"/>
              <w:widowControl/>
              <w:spacing w:beforeAutospacing="0" w:afterAutospacing="0"/>
              <w:jc w:val="both"/>
              <w:rPr>
                <w:rFonts w:eastAsia="Segoe UI"/>
                <w:color w:val="auto"/>
                <w:shd w:val="clear" w:color="auto" w:fill="FFFFFF"/>
              </w:rPr>
            </w:pPr>
            <w:r>
              <w:rPr>
                <w:rFonts w:eastAsia="Segoe UI"/>
                <w:color w:val="auto"/>
                <w:shd w:val="clear" w:color="auto" w:fill="FFFFFF"/>
              </w:rPr>
              <w:t>Bellizzi, et al., (2022)</w:t>
            </w:r>
          </w:p>
          <w:p w14:paraId="32474775">
            <w:pPr>
              <w:pStyle w:val="9"/>
              <w:widowControl/>
              <w:spacing w:beforeAutospacing="0" w:afterAutospacing="0"/>
              <w:jc w:val="both"/>
              <w:rPr>
                <w:color w:val="auto"/>
              </w:rPr>
            </w:pPr>
          </w:p>
        </w:tc>
        <w:tc>
          <w:tcPr>
            <w:tcW w:w="2094" w:type="dxa"/>
          </w:tcPr>
          <w:p w14:paraId="32474777">
            <w:pPr>
              <w:pStyle w:val="9"/>
              <w:widowControl/>
              <w:spacing w:beforeAutospacing="0" w:afterAutospacing="0"/>
              <w:jc w:val="both"/>
              <w:rPr>
                <w:color w:val="auto"/>
              </w:rPr>
            </w:pPr>
            <w:r>
              <w:rPr>
                <w:rStyle w:val="10"/>
                <w:b w:val="0"/>
                <w:bCs w:val="0"/>
                <w:color w:val="auto"/>
              </w:rPr>
              <w:t>Design:</w:t>
            </w:r>
            <w:r>
              <w:rPr>
                <w:color w:val="auto"/>
              </w:rPr>
              <w:t xml:space="preserve"> comparative/interv-entional research question; p</w:t>
            </w:r>
            <w:r>
              <w:rPr>
                <w:rStyle w:val="10"/>
                <w:b w:val="0"/>
                <w:bCs w:val="0"/>
                <w:color w:val="auto"/>
              </w:rPr>
              <w:t>opulation:</w:t>
            </w:r>
            <w:r>
              <w:rPr>
                <w:color w:val="auto"/>
              </w:rPr>
              <w:t xml:space="preserve"> CKD patients under regular nephrology supervision.</w:t>
            </w:r>
          </w:p>
        </w:tc>
        <w:tc>
          <w:tcPr>
            <w:tcW w:w="2149" w:type="dxa"/>
          </w:tcPr>
          <w:p w14:paraId="32474779">
            <w:pPr>
              <w:pStyle w:val="9"/>
              <w:widowControl/>
              <w:spacing w:beforeAutospacing="0" w:afterAutospacing="0"/>
              <w:jc w:val="both"/>
              <w:rPr>
                <w:color w:val="auto"/>
              </w:rPr>
            </w:pPr>
            <w:r>
              <w:rPr>
                <w:rStyle w:val="10"/>
                <w:b w:val="0"/>
                <w:bCs w:val="0"/>
                <w:color w:val="auto"/>
              </w:rPr>
              <w:t>Experimental group:</w:t>
            </w:r>
            <w:r>
              <w:rPr>
                <w:color w:val="auto"/>
              </w:rPr>
              <w:t xml:space="preserve"> VLPD supplemented with ketoanalogues, c</w:t>
            </w:r>
            <w:r>
              <w:rPr>
                <w:rStyle w:val="10"/>
                <w:b w:val="0"/>
                <w:bCs w:val="0"/>
                <w:color w:val="auto"/>
              </w:rPr>
              <w:t>ontrol group:</w:t>
            </w:r>
            <w:r>
              <w:rPr>
                <w:color w:val="auto"/>
              </w:rPr>
              <w:t xml:space="preserve"> standard LPD.</w:t>
            </w:r>
          </w:p>
          <w:p w14:paraId="3247477A">
            <w:pPr>
              <w:widowControl/>
              <w:jc w:val="left"/>
              <w:rPr>
                <w:rFonts w:ascii="Times New Roman" w:hAnsi="Times New Roman" w:cs="Times New Roman"/>
                <w:color w:val="auto"/>
                <w:sz w:val="24"/>
                <w:szCs w:val="24"/>
              </w:rPr>
            </w:pPr>
          </w:p>
        </w:tc>
        <w:tc>
          <w:tcPr>
            <w:tcW w:w="2286" w:type="dxa"/>
          </w:tcPr>
          <w:p w14:paraId="3247477B">
            <w:pPr>
              <w:pStyle w:val="9"/>
              <w:widowControl/>
              <w:spacing w:beforeAutospacing="0" w:afterAutospacing="0"/>
              <w:jc w:val="both"/>
              <w:rPr>
                <w:color w:val="auto"/>
              </w:rPr>
            </w:pPr>
            <w:r>
              <w:rPr>
                <w:color w:val="auto"/>
              </w:rPr>
              <w:t xml:space="preserve">Although sVLPD is believed to delay dialysis and preserve kidney function, </w:t>
            </w:r>
            <w:r>
              <w:rPr>
                <w:rStyle w:val="10"/>
                <w:b w:val="0"/>
                <w:bCs w:val="0"/>
                <w:color w:val="auto"/>
              </w:rPr>
              <w:t>its superiority over LPD remains uncertain</w:t>
            </w:r>
            <w:r>
              <w:rPr>
                <w:color w:val="auto"/>
              </w:rPr>
              <w:t xml:space="preserve"> in real-world nephrology practice.</w:t>
            </w:r>
          </w:p>
          <w:p w14:paraId="3247477C">
            <w:pPr>
              <w:widowControl/>
              <w:jc w:val="left"/>
              <w:rPr>
                <w:rFonts w:ascii="Times New Roman" w:hAnsi="Times New Roman" w:cs="Times New Roman"/>
                <w:color w:val="auto"/>
                <w:sz w:val="24"/>
                <w:szCs w:val="24"/>
              </w:rPr>
            </w:pPr>
          </w:p>
        </w:tc>
        <w:tc>
          <w:tcPr>
            <w:tcW w:w="2119" w:type="dxa"/>
          </w:tcPr>
          <w:p w14:paraId="3247477D">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Clarifying this comparison could help </w:t>
            </w:r>
            <w:r>
              <w:rPr>
                <w:rStyle w:val="10"/>
                <w:rFonts w:ascii="Times New Roman" w:hAnsi="Times New Roman" w:eastAsia="SimSun" w:cs="Times New Roman"/>
                <w:b w:val="0"/>
                <w:bCs w:val="0"/>
                <w:color w:val="auto"/>
                <w:sz w:val="24"/>
                <w:szCs w:val="24"/>
              </w:rPr>
              <w:t>optimize dietary protein targets</w:t>
            </w:r>
            <w:r>
              <w:rPr>
                <w:rFonts w:ascii="Times New Roman" w:hAnsi="Times New Roman" w:eastAsia="SimSun" w:cs="Times New Roman"/>
                <w:color w:val="auto"/>
                <w:sz w:val="24"/>
                <w:szCs w:val="24"/>
              </w:rPr>
              <w:t xml:space="preserve"> for CKD patients and </w:t>
            </w:r>
            <w:r>
              <w:rPr>
                <w:rStyle w:val="10"/>
                <w:rFonts w:ascii="Times New Roman" w:hAnsi="Times New Roman" w:eastAsia="SimSun" w:cs="Times New Roman"/>
                <w:b w:val="0"/>
                <w:bCs w:val="0"/>
                <w:color w:val="auto"/>
                <w:sz w:val="24"/>
                <w:szCs w:val="24"/>
              </w:rPr>
              <w:t>balance nutritional safety with renal protection.</w:t>
            </w:r>
          </w:p>
        </w:tc>
      </w:tr>
      <w:tr w14:paraId="324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7F">
            <w:pPr>
              <w:widowControl/>
              <w:numPr>
                <w:ilvl w:val="0"/>
                <w:numId w:val="2"/>
              </w:numPr>
              <w:jc w:val="left"/>
              <w:rPr>
                <w:rFonts w:ascii="Times New Roman" w:hAnsi="Times New Roman" w:cs="Times New Roman"/>
                <w:color w:val="auto"/>
                <w:sz w:val="24"/>
                <w:szCs w:val="24"/>
              </w:rPr>
            </w:pPr>
          </w:p>
        </w:tc>
        <w:tc>
          <w:tcPr>
            <w:tcW w:w="1557" w:type="dxa"/>
          </w:tcPr>
          <w:p w14:paraId="3247478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De-Mauri, et al., (2022)</w:t>
            </w:r>
          </w:p>
        </w:tc>
        <w:tc>
          <w:tcPr>
            <w:tcW w:w="2094" w:type="dxa"/>
          </w:tcPr>
          <w:p w14:paraId="32474781">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Single-center, double-blind, placebo-controlled, RCT; sample size:</w:t>
            </w:r>
            <w:r>
              <w:rPr>
                <w:rStyle w:val="5"/>
                <w:rFonts w:ascii="Times New Roman" w:hAnsi="Times New Roman" w:eastAsia="SimSun" w:cs="Times New Roman"/>
                <w:color w:val="auto"/>
                <w:sz w:val="24"/>
                <w:szCs w:val="24"/>
              </w:rPr>
              <w:t xml:space="preserve"> </w:t>
            </w:r>
            <w:r>
              <w:rPr>
                <w:rStyle w:val="5"/>
                <w:rFonts w:ascii="Times New Roman" w:hAnsi="Times New Roman" w:eastAsia="SimSun" w:cs="Times New Roman"/>
                <w:i w:val="0"/>
                <w:iCs w:val="0"/>
                <w:color w:val="auto"/>
                <w:sz w:val="24"/>
                <w:szCs w:val="24"/>
              </w:rPr>
              <w:t>60</w:t>
            </w:r>
            <w:r>
              <w:rPr>
                <w:rFonts w:ascii="Times New Roman" w:hAnsi="Times New Roman" w:eastAsia="SimSun" w:cs="Times New Roman"/>
                <w:i/>
                <w:iCs/>
                <w:color w:val="auto"/>
                <w:sz w:val="24"/>
                <w:szCs w:val="24"/>
              </w:rPr>
              <w:t xml:space="preserve"> </w:t>
            </w:r>
            <w:r>
              <w:rPr>
                <w:rFonts w:ascii="Times New Roman" w:hAnsi="Times New Roman" w:eastAsia="SimSun" w:cs="Times New Roman"/>
                <w:color w:val="auto"/>
                <w:sz w:val="24"/>
                <w:szCs w:val="24"/>
              </w:rPr>
              <w:t>advanced CKD patients.</w:t>
            </w:r>
          </w:p>
        </w:tc>
        <w:tc>
          <w:tcPr>
            <w:tcW w:w="2149" w:type="dxa"/>
          </w:tcPr>
          <w:p w14:paraId="32474782">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LPD combined with probiotics (</w:t>
            </w:r>
            <w:r>
              <w:rPr>
                <w:rStyle w:val="5"/>
                <w:rFonts w:ascii="Times New Roman" w:hAnsi="Times New Roman" w:eastAsia="SimSun" w:cs="Times New Roman"/>
                <w:color w:val="auto"/>
                <w:sz w:val="24"/>
                <w:szCs w:val="24"/>
              </w:rPr>
              <w:t>Bifidobacterium longum</w:t>
            </w:r>
            <w:r>
              <w:rPr>
                <w:rFonts w:ascii="Times New Roman" w:hAnsi="Times New Roman" w:eastAsia="SimSun" w:cs="Times New Roman"/>
                <w:color w:val="auto"/>
                <w:sz w:val="24"/>
                <w:szCs w:val="24"/>
              </w:rPr>
              <w:t xml:space="preserve"> and </w:t>
            </w:r>
            <w:r>
              <w:rPr>
                <w:rStyle w:val="5"/>
                <w:rFonts w:ascii="Times New Roman" w:hAnsi="Times New Roman" w:eastAsia="SimSun" w:cs="Times New Roman"/>
                <w:color w:val="auto"/>
                <w:sz w:val="24"/>
                <w:szCs w:val="24"/>
              </w:rPr>
              <w:t>Lactobacillus reuteri</w:t>
            </w:r>
            <w:r>
              <w:rPr>
                <w:rFonts w:ascii="Times New Roman" w:hAnsi="Times New Roman" w:eastAsia="SimSun" w:cs="Times New Roman"/>
                <w:color w:val="auto"/>
                <w:sz w:val="24"/>
                <w:szCs w:val="24"/>
              </w:rPr>
              <w:t>) vs. LPD + placebo for 3 months.</w:t>
            </w:r>
          </w:p>
        </w:tc>
        <w:tc>
          <w:tcPr>
            <w:tcW w:w="2286" w:type="dxa"/>
          </w:tcPr>
          <w:p w14:paraId="32474785">
            <w:pPr>
              <w:pStyle w:val="9"/>
              <w:widowControl/>
              <w:spacing w:beforeAutospacing="0" w:afterAutospacing="0"/>
              <w:jc w:val="both"/>
              <w:rPr>
                <w:color w:val="auto"/>
              </w:rPr>
            </w:pPr>
            <w:r>
              <w:rPr>
                <w:color w:val="auto"/>
              </w:rPr>
              <w:t>Probiotics group showed trends of reduced microbiota-derived toxins;PPlacebo group had increased total and LDL cholesterol, LP-PLA₂, and indoxyl sulfate; decrease in need for antihypertensive and diuretic medications in probiotics group.</w:t>
            </w:r>
          </w:p>
        </w:tc>
        <w:tc>
          <w:tcPr>
            <w:tcW w:w="2119" w:type="dxa"/>
          </w:tcPr>
          <w:p w14:paraId="32474786">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Adding probiotics to an LPD may enhance metabolic control and reduce gut-derived uremic toxins in CKD patients without adverse effects.</w:t>
            </w:r>
          </w:p>
        </w:tc>
      </w:tr>
      <w:tr w14:paraId="3247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88">
            <w:pPr>
              <w:widowControl/>
              <w:numPr>
                <w:ilvl w:val="0"/>
                <w:numId w:val="2"/>
              </w:numPr>
              <w:jc w:val="left"/>
              <w:rPr>
                <w:rFonts w:ascii="Times New Roman" w:hAnsi="Times New Roman" w:cs="Times New Roman"/>
                <w:color w:val="auto"/>
                <w:sz w:val="24"/>
                <w:szCs w:val="24"/>
              </w:rPr>
            </w:pPr>
          </w:p>
        </w:tc>
        <w:tc>
          <w:tcPr>
            <w:tcW w:w="1557" w:type="dxa"/>
          </w:tcPr>
          <w:p w14:paraId="32474789">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Hosojima, et al., (2022)</w:t>
            </w:r>
          </w:p>
        </w:tc>
        <w:tc>
          <w:tcPr>
            <w:tcW w:w="2094" w:type="dxa"/>
          </w:tcPr>
          <w:p w14:paraId="3247478A">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RCT (patients with chronic kidney disease).</w:t>
            </w:r>
          </w:p>
        </w:tc>
        <w:tc>
          <w:tcPr>
            <w:tcW w:w="2149" w:type="dxa"/>
          </w:tcPr>
          <w:p w14:paraId="3247478B">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Substitution of regular rice with </w:t>
            </w:r>
            <w:r>
              <w:rPr>
                <w:rStyle w:val="10"/>
                <w:rFonts w:ascii="Times New Roman" w:hAnsi="Times New Roman" w:eastAsia="SimSun" w:cs="Times New Roman"/>
                <w:b w:val="0"/>
                <w:bCs w:val="0"/>
                <w:color w:val="auto"/>
                <w:sz w:val="24"/>
                <w:szCs w:val="24"/>
              </w:rPr>
              <w:t>low-protein rice (LPR)</w:t>
            </w:r>
            <w:r>
              <w:rPr>
                <w:rFonts w:ascii="Times New Roman" w:hAnsi="Times New Roman" w:eastAsia="SimSun" w:cs="Times New Roman"/>
                <w:color w:val="auto"/>
                <w:sz w:val="24"/>
                <w:szCs w:val="24"/>
              </w:rPr>
              <w:t xml:space="preserve"> as a staple food in a LPD.</w:t>
            </w:r>
          </w:p>
        </w:tc>
        <w:tc>
          <w:tcPr>
            <w:tcW w:w="2286" w:type="dxa"/>
          </w:tcPr>
          <w:p w14:paraId="3247478C">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LPR helped patients better adhere to prescribed protein restriction without compromising energy intake or nutritional balance.</w:t>
            </w:r>
          </w:p>
        </w:tc>
        <w:tc>
          <w:tcPr>
            <w:tcW w:w="2119" w:type="dxa"/>
          </w:tcPr>
          <w:p w14:paraId="3247478D">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Adding LPR as a staple may be a practical and culturally acceptable strategy to improve compliance with LPD in CKD management.</w:t>
            </w:r>
          </w:p>
        </w:tc>
      </w:tr>
      <w:tr w14:paraId="324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8F">
            <w:pPr>
              <w:widowControl/>
              <w:numPr>
                <w:ilvl w:val="0"/>
                <w:numId w:val="2"/>
              </w:numPr>
              <w:jc w:val="left"/>
              <w:rPr>
                <w:rFonts w:ascii="Times New Roman" w:hAnsi="Times New Roman" w:cs="Times New Roman"/>
                <w:color w:val="auto"/>
                <w:sz w:val="24"/>
                <w:szCs w:val="24"/>
              </w:rPr>
            </w:pPr>
          </w:p>
        </w:tc>
        <w:tc>
          <w:tcPr>
            <w:tcW w:w="1557" w:type="dxa"/>
          </w:tcPr>
          <w:p w14:paraId="3247479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 xml:space="preserve">Yen, et al., </w:t>
            </w:r>
            <w:r>
              <w:rPr>
                <w:rFonts w:ascii="Times New Roman" w:hAnsi="Times New Roman" w:eastAsia="Segoe UI" w:cs="Times New Roman"/>
                <w:color w:val="auto"/>
                <w:sz w:val="24"/>
                <w:szCs w:val="24"/>
                <w:shd w:val="clear" w:color="auto" w:fill="FFFFFF"/>
              </w:rPr>
              <w:t>(</w:t>
            </w:r>
            <w:r>
              <w:rPr>
                <w:rFonts w:ascii="Times New Roman" w:hAnsi="Times New Roman" w:eastAsia="Segoe UI" w:cs="Times New Roman"/>
                <w:color w:val="auto"/>
                <w:sz w:val="24"/>
                <w:szCs w:val="24"/>
                <w:shd w:val="clear" w:color="auto" w:fill="FFFFFF"/>
              </w:rPr>
              <w:t>2022</w:t>
            </w:r>
          </w:p>
        </w:tc>
        <w:tc>
          <w:tcPr>
            <w:tcW w:w="2094" w:type="dxa"/>
          </w:tcPr>
          <w:p w14:paraId="32474791">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Retrospective cohort study; sample size:</w:t>
            </w:r>
            <w:r>
              <w:rPr>
                <w:rStyle w:val="10"/>
                <w:rFonts w:ascii="Times New Roman" w:hAnsi="Times New Roman" w:eastAsia="SimSun" w:cs="Times New Roman"/>
                <w:b w:val="0"/>
                <w:bCs w:val="0"/>
                <w:color w:val="auto"/>
                <w:sz w:val="24"/>
                <w:szCs w:val="24"/>
              </w:rPr>
              <w:t xml:space="preserve"> 541</w:t>
            </w:r>
            <w:r>
              <w:rPr>
                <w:rFonts w:ascii="Times New Roman" w:hAnsi="Times New Roman" w:eastAsia="SimSun" w:cs="Times New Roman"/>
                <w:color w:val="auto"/>
                <w:sz w:val="24"/>
                <w:szCs w:val="24"/>
              </w:rPr>
              <w:t xml:space="preserve"> (303 continuation vs. 238 discontinuation of ketosteril).</w:t>
            </w:r>
          </w:p>
        </w:tc>
        <w:tc>
          <w:tcPr>
            <w:tcW w:w="2149" w:type="dxa"/>
          </w:tcPr>
          <w:p w14:paraId="32474792">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sLPD (0.6 g/kg/day)</w:t>
            </w:r>
            <w:r>
              <w:rPr>
                <w:rFonts w:ascii="Times New Roman" w:hAnsi="Times New Roman" w:eastAsia="SimSun" w:cs="Times New Roman"/>
                <w:color w:val="auto"/>
                <w:sz w:val="24"/>
                <w:szCs w:val="24"/>
              </w:rPr>
              <w:t xml:space="preserve"> supplemented with </w:t>
            </w:r>
            <w:r>
              <w:rPr>
                <w:rStyle w:val="10"/>
                <w:rFonts w:ascii="Times New Roman" w:hAnsi="Times New Roman" w:eastAsia="SimSun" w:cs="Times New Roman"/>
                <w:b w:val="0"/>
                <w:bCs w:val="0"/>
                <w:color w:val="auto"/>
                <w:sz w:val="24"/>
                <w:szCs w:val="24"/>
              </w:rPr>
              <w:t>ketoanalogues of essential amino acids (ketosteril)</w:t>
            </w:r>
            <w:r>
              <w:rPr>
                <w:color w:val="auto"/>
              </w:rPr>
              <w:t>.</w:t>
            </w:r>
          </w:p>
        </w:tc>
        <w:tc>
          <w:tcPr>
            <w:tcW w:w="2286" w:type="dxa"/>
          </w:tcPr>
          <w:p w14:paraId="32474793">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Continuation group had </w:t>
            </w:r>
            <w:r>
              <w:rPr>
                <w:rStyle w:val="10"/>
                <w:rFonts w:ascii="Times New Roman" w:hAnsi="Times New Roman" w:eastAsia="SimSun" w:cs="Times New Roman"/>
                <w:b w:val="0"/>
                <w:bCs w:val="0"/>
                <w:color w:val="auto"/>
                <w:sz w:val="24"/>
                <w:szCs w:val="24"/>
              </w:rPr>
              <w:t>significantly lower ESKD incidence</w:t>
            </w:r>
            <w:r>
              <w:rPr>
                <w:rFonts w:ascii="Times New Roman" w:hAnsi="Times New Roman" w:eastAsia="SimSun" w:cs="Times New Roman"/>
                <w:color w:val="auto"/>
                <w:sz w:val="24"/>
                <w:szCs w:val="24"/>
              </w:rPr>
              <w:t xml:space="preserve"> (6.8% vs. 10.4%; HR = 0.62;  no increase in CV events, infections, or deaths.</w:t>
            </w:r>
          </w:p>
        </w:tc>
        <w:tc>
          <w:tcPr>
            <w:tcW w:w="2119" w:type="dxa"/>
          </w:tcPr>
          <w:p w14:paraId="32474794">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Starting </w:t>
            </w:r>
            <w:r>
              <w:rPr>
                <w:rStyle w:val="10"/>
                <w:rFonts w:ascii="Times New Roman" w:hAnsi="Times New Roman" w:eastAsia="SimSun" w:cs="Times New Roman"/>
                <w:b w:val="0"/>
                <w:bCs w:val="0"/>
                <w:color w:val="auto"/>
                <w:sz w:val="24"/>
                <w:szCs w:val="24"/>
              </w:rPr>
              <w:t>ketoanalogue-supplemented LPD</w:t>
            </w:r>
            <w:r>
              <w:rPr>
                <w:rFonts w:ascii="Times New Roman" w:hAnsi="Times New Roman" w:eastAsia="SimSun" w:cs="Times New Roman"/>
                <w:color w:val="auto"/>
                <w:sz w:val="24"/>
                <w:szCs w:val="24"/>
              </w:rPr>
              <w:t xml:space="preserve"> in </w:t>
            </w:r>
            <w:r>
              <w:rPr>
                <w:rStyle w:val="10"/>
                <w:rFonts w:ascii="Times New Roman" w:hAnsi="Times New Roman" w:eastAsia="SimSun" w:cs="Times New Roman"/>
                <w:b w:val="0"/>
                <w:bCs w:val="0"/>
                <w:color w:val="auto"/>
                <w:sz w:val="24"/>
                <w:szCs w:val="24"/>
              </w:rPr>
              <w:t>CKD stage-4</w:t>
            </w:r>
            <w:r>
              <w:rPr>
                <w:rFonts w:ascii="Times New Roman" w:hAnsi="Times New Roman" w:eastAsia="SimSun" w:cs="Times New Roman"/>
                <w:color w:val="auto"/>
                <w:sz w:val="24"/>
                <w:szCs w:val="24"/>
              </w:rPr>
              <w:t xml:space="preserve"> patients can delay dialysis initiation safely and effectively without added risks.</w:t>
            </w:r>
          </w:p>
        </w:tc>
      </w:tr>
      <w:tr w14:paraId="3247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96">
            <w:pPr>
              <w:widowControl/>
              <w:numPr>
                <w:ilvl w:val="0"/>
                <w:numId w:val="2"/>
              </w:numPr>
              <w:jc w:val="left"/>
              <w:rPr>
                <w:rFonts w:ascii="Times New Roman" w:hAnsi="Times New Roman" w:cs="Times New Roman"/>
                <w:color w:val="auto"/>
                <w:sz w:val="24"/>
                <w:szCs w:val="24"/>
              </w:rPr>
            </w:pPr>
          </w:p>
        </w:tc>
        <w:tc>
          <w:tcPr>
            <w:tcW w:w="1557" w:type="dxa"/>
          </w:tcPr>
          <w:p w14:paraId="32474797">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Caldiroli, et al.,</w:t>
            </w:r>
            <w:r>
              <w:rPr>
                <w:rFonts w:ascii="Times New Roman" w:hAnsi="Times New Roman" w:eastAsia="Segoe UI" w:cs="Times New Roman"/>
                <w:color w:val="auto"/>
                <w:sz w:val="24"/>
                <w:szCs w:val="24"/>
                <w:shd w:val="clear" w:color="auto" w:fill="FFFFFF"/>
              </w:rPr>
              <w:t xml:space="preserve"> (</w:t>
            </w:r>
            <w:r>
              <w:rPr>
                <w:rFonts w:ascii="Times New Roman" w:hAnsi="Times New Roman" w:eastAsia="Segoe UI" w:cs="Times New Roman"/>
                <w:color w:val="auto"/>
                <w:sz w:val="24"/>
                <w:szCs w:val="24"/>
                <w:shd w:val="clear" w:color="auto" w:fill="FFFFFF"/>
              </w:rPr>
              <w:t>2022)</w:t>
            </w:r>
          </w:p>
        </w:tc>
        <w:tc>
          <w:tcPr>
            <w:tcW w:w="2094" w:type="dxa"/>
          </w:tcPr>
          <w:p w14:paraId="32474798">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Pilot RCT</w:t>
            </w:r>
            <w:r>
              <w:rPr>
                <w:rFonts w:ascii="Times New Roman" w:hAnsi="Times New Roman" w:eastAsia="SimSun" w:cs="Times New Roman"/>
                <w:color w:val="auto"/>
                <w:sz w:val="24"/>
                <w:szCs w:val="24"/>
              </w:rPr>
              <w:t>; sample size:</w:t>
            </w:r>
            <w:r>
              <w:rPr>
                <w:rStyle w:val="10"/>
                <w:rFonts w:ascii="Times New Roman" w:hAnsi="Times New Roman" w:eastAsia="SimSun" w:cs="Times New Roman"/>
                <w:b w:val="0"/>
                <w:bCs w:val="0"/>
                <w:color w:val="auto"/>
                <w:sz w:val="24"/>
                <w:szCs w:val="24"/>
              </w:rPr>
              <w:t xml:space="preserve"> 35</w:t>
            </w:r>
            <w:r>
              <w:rPr>
                <w:rFonts w:ascii="Times New Roman" w:hAnsi="Times New Roman" w:eastAsia="SimSun" w:cs="Times New Roman"/>
                <w:color w:val="auto"/>
                <w:sz w:val="24"/>
                <w:szCs w:val="24"/>
              </w:rPr>
              <w:t xml:space="preserve"> older CKD patients at risk of malnutrition.</w:t>
            </w:r>
          </w:p>
        </w:tc>
        <w:tc>
          <w:tcPr>
            <w:tcW w:w="2149" w:type="dxa"/>
          </w:tcPr>
          <w:p w14:paraId="32474799">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LPD</w:t>
            </w:r>
            <w:r>
              <w:rPr>
                <w:rFonts w:ascii="Times New Roman" w:hAnsi="Times New Roman" w:eastAsia="SimSun" w:cs="Times New Roman"/>
                <w:color w:val="auto"/>
                <w:sz w:val="24"/>
                <w:szCs w:val="24"/>
              </w:rPr>
              <w:t xml:space="preserve"> ~0.6 g/kg/day vs. </w:t>
            </w:r>
            <w:r>
              <w:rPr>
                <w:rStyle w:val="10"/>
                <w:rFonts w:ascii="Times New Roman" w:hAnsi="Times New Roman" w:eastAsia="SimSun" w:cs="Times New Roman"/>
                <w:b w:val="0"/>
                <w:bCs w:val="0"/>
                <w:color w:val="auto"/>
                <w:sz w:val="24"/>
                <w:szCs w:val="24"/>
              </w:rPr>
              <w:t>free diet</w:t>
            </w:r>
            <w:r>
              <w:rPr>
                <w:rFonts w:ascii="Times New Roman" w:hAnsi="Times New Roman" w:eastAsia="SimSun" w:cs="Times New Roman"/>
                <w:color w:val="auto"/>
                <w:sz w:val="24"/>
                <w:szCs w:val="24"/>
              </w:rPr>
              <w:t xml:space="preserve"> (no restriction), individualized and monitored for 6 months.</w:t>
            </w:r>
          </w:p>
        </w:tc>
        <w:tc>
          <w:tcPr>
            <w:tcW w:w="2286" w:type="dxa"/>
          </w:tcPr>
          <w:p w14:paraId="3247479A">
            <w:pPr>
              <w:pStyle w:val="9"/>
              <w:widowControl/>
              <w:spacing w:beforeAutospacing="0" w:afterAutospacing="0"/>
              <w:jc w:val="both"/>
              <w:rPr>
                <w:color w:val="auto"/>
              </w:rPr>
            </w:pPr>
            <w:r>
              <w:rPr>
                <w:color w:val="auto"/>
              </w:rPr>
              <w:t xml:space="preserve">LPD was </w:t>
            </w:r>
            <w:r>
              <w:rPr>
                <w:rStyle w:val="10"/>
                <w:b w:val="0"/>
                <w:bCs w:val="0"/>
                <w:color w:val="auto"/>
              </w:rPr>
              <w:t>well tolerated</w:t>
            </w:r>
            <w:r>
              <w:rPr>
                <w:color w:val="auto"/>
              </w:rPr>
              <w:t xml:space="preserve"> and did </w:t>
            </w:r>
            <w:r>
              <w:rPr>
                <w:rStyle w:val="10"/>
                <w:b w:val="0"/>
                <w:bCs w:val="0"/>
                <w:color w:val="auto"/>
              </w:rPr>
              <w:t>not worsen malnutrition</w:t>
            </w:r>
            <w:r>
              <w:rPr>
                <w:color w:val="auto"/>
              </w:rPr>
              <w:t>.</w:t>
            </w:r>
          </w:p>
          <w:p w14:paraId="3247479B">
            <w:pPr>
              <w:pStyle w:val="9"/>
              <w:widowControl/>
              <w:spacing w:beforeAutospacing="0" w:afterAutospacing="0"/>
              <w:jc w:val="both"/>
              <w:rPr>
                <w:color w:val="auto"/>
              </w:rPr>
            </w:pPr>
            <w:r>
              <w:rPr>
                <w:color w:val="auto"/>
              </w:rPr>
              <w:t xml:space="preserve">Showed </w:t>
            </w:r>
            <w:r>
              <w:rPr>
                <w:rStyle w:val="10"/>
                <w:b w:val="0"/>
                <w:bCs w:val="0"/>
                <w:color w:val="auto"/>
              </w:rPr>
              <w:t>improved metabolic control</w:t>
            </w:r>
            <w:r>
              <w:rPr>
                <w:color w:val="auto"/>
              </w:rPr>
              <w:t xml:space="preserve"> (urea, phosphate, acid-base balance).</w:t>
            </w:r>
          </w:p>
          <w:p w14:paraId="3247479C">
            <w:pPr>
              <w:pStyle w:val="9"/>
              <w:widowControl/>
              <w:spacing w:beforeAutospacing="0" w:afterAutospacing="0"/>
              <w:jc w:val="both"/>
              <w:rPr>
                <w:color w:val="auto"/>
              </w:rPr>
            </w:pPr>
            <w:r>
              <w:rPr>
                <w:rStyle w:val="10"/>
                <w:b w:val="0"/>
                <w:bCs w:val="0"/>
                <w:color w:val="auto"/>
              </w:rPr>
              <w:t>Renal function remained stable</w:t>
            </w:r>
            <w:r>
              <w:rPr>
                <w:color w:val="auto"/>
              </w:rPr>
              <w:t>.</w:t>
            </w:r>
          </w:p>
        </w:tc>
        <w:tc>
          <w:tcPr>
            <w:tcW w:w="2119" w:type="dxa"/>
          </w:tcPr>
          <w:p w14:paraId="3247479D">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Even in </w:t>
            </w:r>
            <w:r>
              <w:rPr>
                <w:rStyle w:val="10"/>
                <w:rFonts w:ascii="Times New Roman" w:hAnsi="Times New Roman" w:eastAsia="SimSun" w:cs="Times New Roman"/>
                <w:b w:val="0"/>
                <w:bCs w:val="0"/>
                <w:color w:val="auto"/>
                <w:sz w:val="24"/>
                <w:szCs w:val="24"/>
              </w:rPr>
              <w:t>older CKD patients at malnutrition risk</w:t>
            </w:r>
            <w:r>
              <w:rPr>
                <w:rFonts w:ascii="Times New Roman" w:hAnsi="Times New Roman" w:eastAsia="SimSun" w:cs="Times New Roman"/>
                <w:color w:val="auto"/>
                <w:sz w:val="24"/>
                <w:szCs w:val="24"/>
              </w:rPr>
              <w:t xml:space="preserve">, a </w:t>
            </w:r>
            <w:r>
              <w:rPr>
                <w:rStyle w:val="10"/>
                <w:rFonts w:ascii="Times New Roman" w:hAnsi="Times New Roman" w:eastAsia="SimSun" w:cs="Times New Roman"/>
                <w:b w:val="0"/>
                <w:bCs w:val="0"/>
                <w:color w:val="auto"/>
                <w:sz w:val="24"/>
                <w:szCs w:val="24"/>
              </w:rPr>
              <w:t>carefully personalized and supervised LPD</w:t>
            </w:r>
            <w:r>
              <w:rPr>
                <w:rFonts w:ascii="Times New Roman" w:hAnsi="Times New Roman" w:eastAsia="SimSun" w:cs="Times New Roman"/>
                <w:color w:val="auto"/>
                <w:sz w:val="24"/>
                <w:szCs w:val="24"/>
              </w:rPr>
              <w:t xml:space="preserve"> can be safe and beneficial -supporting its use with close monitoring.</w:t>
            </w:r>
          </w:p>
        </w:tc>
      </w:tr>
      <w:tr w14:paraId="324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9F">
            <w:pPr>
              <w:widowControl/>
              <w:numPr>
                <w:ilvl w:val="0"/>
                <w:numId w:val="2"/>
              </w:numPr>
              <w:jc w:val="left"/>
              <w:rPr>
                <w:rFonts w:ascii="Times New Roman" w:hAnsi="Times New Roman" w:cs="Times New Roman"/>
                <w:color w:val="auto"/>
                <w:sz w:val="24"/>
                <w:szCs w:val="24"/>
              </w:rPr>
            </w:pPr>
          </w:p>
        </w:tc>
        <w:tc>
          <w:tcPr>
            <w:tcW w:w="1557" w:type="dxa"/>
          </w:tcPr>
          <w:p w14:paraId="324747A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Zhang, et al., (2022)</w:t>
            </w:r>
          </w:p>
        </w:tc>
        <w:tc>
          <w:tcPr>
            <w:tcW w:w="2094" w:type="dxa"/>
          </w:tcPr>
          <w:p w14:paraId="324747A1">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Non-blind, parallel-group RCT</w:t>
            </w:r>
            <w:r>
              <w:rPr>
                <w:rFonts w:ascii="Times New Roman" w:hAnsi="Times New Roman" w:eastAsia="SimSun" w:cs="Times New Roman"/>
                <w:color w:val="auto"/>
                <w:sz w:val="24"/>
                <w:szCs w:val="24"/>
              </w:rPr>
              <w:t>; sample size:</w:t>
            </w:r>
            <w:r>
              <w:rPr>
                <w:rStyle w:val="10"/>
                <w:rFonts w:ascii="Times New Roman" w:hAnsi="Times New Roman" w:eastAsia="SimSun" w:cs="Times New Roman"/>
                <w:b w:val="0"/>
                <w:bCs w:val="0"/>
                <w:color w:val="auto"/>
                <w:sz w:val="24"/>
                <w:szCs w:val="24"/>
              </w:rPr>
              <w:t xml:space="preserve"> 58</w:t>
            </w:r>
            <w:r>
              <w:rPr>
                <w:rFonts w:ascii="Times New Roman" w:hAnsi="Times New Roman" w:eastAsia="SimSun" w:cs="Times New Roman"/>
                <w:color w:val="auto"/>
                <w:sz w:val="24"/>
                <w:szCs w:val="24"/>
              </w:rPr>
              <w:t xml:space="preserve"> CKD patients.</w:t>
            </w:r>
          </w:p>
        </w:tc>
        <w:tc>
          <w:tcPr>
            <w:tcW w:w="2149" w:type="dxa"/>
          </w:tcPr>
          <w:p w14:paraId="324747A3">
            <w:pPr>
              <w:pStyle w:val="9"/>
              <w:widowControl/>
              <w:spacing w:beforeAutospacing="0" w:afterAutospacing="0"/>
              <w:jc w:val="both"/>
              <w:rPr>
                <w:color w:val="auto"/>
              </w:rPr>
            </w:pPr>
            <w:r>
              <w:rPr>
                <w:rStyle w:val="10"/>
                <w:b w:val="0"/>
                <w:bCs w:val="0"/>
                <w:color w:val="auto"/>
              </w:rPr>
              <w:t>LPD + KA group</w:t>
            </w:r>
            <w:r>
              <w:rPr>
                <w:color w:val="auto"/>
              </w:rPr>
              <w:t xml:space="preserve"> vs. </w:t>
            </w:r>
            <w:r>
              <w:rPr>
                <w:rStyle w:val="10"/>
                <w:b w:val="0"/>
                <w:bCs w:val="0"/>
                <w:color w:val="auto"/>
              </w:rPr>
              <w:t>conventional LPD group; i</w:t>
            </w:r>
            <w:r>
              <w:rPr>
                <w:color w:val="auto"/>
              </w:rPr>
              <w:t xml:space="preserve">ntervention duration: </w:t>
            </w:r>
            <w:r>
              <w:rPr>
                <w:rStyle w:val="10"/>
                <w:b w:val="0"/>
                <w:bCs w:val="0"/>
                <w:color w:val="auto"/>
              </w:rPr>
              <w:t>12 months.</w:t>
            </w:r>
          </w:p>
          <w:p w14:paraId="324747A4">
            <w:pPr>
              <w:widowControl/>
              <w:jc w:val="both"/>
              <w:rPr>
                <w:rFonts w:ascii="Times New Roman" w:hAnsi="Times New Roman" w:cs="Times New Roman"/>
                <w:color w:val="auto"/>
                <w:sz w:val="24"/>
                <w:szCs w:val="24"/>
              </w:rPr>
            </w:pPr>
          </w:p>
        </w:tc>
        <w:tc>
          <w:tcPr>
            <w:tcW w:w="2286" w:type="dxa"/>
          </w:tcPr>
          <w:p w14:paraId="324747A5">
            <w:pPr>
              <w:pStyle w:val="9"/>
              <w:widowControl/>
              <w:spacing w:beforeAutospacing="0" w:afterAutospacing="0"/>
              <w:jc w:val="both"/>
              <w:rPr>
                <w:color w:val="auto"/>
              </w:rPr>
            </w:pPr>
            <w:r>
              <w:rPr>
                <w:rStyle w:val="10"/>
                <w:b w:val="0"/>
                <w:bCs w:val="0"/>
                <w:color w:val="auto"/>
              </w:rPr>
              <w:t>Hb and albumin</w:t>
            </w:r>
            <w:r>
              <w:rPr>
                <w:color w:val="auto"/>
              </w:rPr>
              <w:t xml:space="preserve"> improved significantly in the LPD + KA group.</w:t>
            </w:r>
          </w:p>
          <w:p w14:paraId="324747A6">
            <w:pPr>
              <w:pStyle w:val="9"/>
              <w:widowControl/>
              <w:spacing w:beforeAutospacing="0" w:afterAutospacing="0"/>
              <w:jc w:val="both"/>
              <w:rPr>
                <w:color w:val="auto"/>
              </w:rPr>
            </w:pPr>
            <w:r>
              <w:rPr>
                <w:rStyle w:val="10"/>
                <w:b w:val="0"/>
                <w:bCs w:val="0"/>
                <w:color w:val="auto"/>
              </w:rPr>
              <w:t>BMI and total body water</w:t>
            </w:r>
            <w:r>
              <w:rPr>
                <w:color w:val="auto"/>
              </w:rPr>
              <w:t xml:space="preserve"> increased more in the LPD + KA group.</w:t>
            </w:r>
          </w:p>
          <w:p w14:paraId="324747A7">
            <w:pPr>
              <w:pStyle w:val="9"/>
              <w:widowControl/>
              <w:spacing w:beforeAutospacing="0" w:afterAutospacing="0"/>
              <w:jc w:val="both"/>
              <w:rPr>
                <w:color w:val="auto"/>
              </w:rPr>
            </w:pPr>
          </w:p>
        </w:tc>
        <w:tc>
          <w:tcPr>
            <w:tcW w:w="2119" w:type="dxa"/>
          </w:tcPr>
          <w:p w14:paraId="324747A8">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While </w:t>
            </w:r>
            <w:r>
              <w:rPr>
                <w:rStyle w:val="10"/>
                <w:rFonts w:ascii="Times New Roman" w:hAnsi="Times New Roman" w:eastAsia="SimSun" w:cs="Times New Roman"/>
                <w:b w:val="0"/>
                <w:bCs w:val="0"/>
                <w:color w:val="auto"/>
                <w:sz w:val="24"/>
                <w:szCs w:val="24"/>
              </w:rPr>
              <w:t>LPD + KA improved hematologic and nutritional parameters</w:t>
            </w:r>
            <w:r>
              <w:rPr>
                <w:rFonts w:ascii="Times New Roman" w:hAnsi="Times New Roman" w:eastAsia="SimSun" w:cs="Times New Roman"/>
                <w:color w:val="auto"/>
                <w:sz w:val="24"/>
                <w:szCs w:val="24"/>
              </w:rPr>
              <w:t xml:space="preserve">, it </w:t>
            </w:r>
            <w:r>
              <w:rPr>
                <w:rStyle w:val="10"/>
                <w:rFonts w:ascii="Times New Roman" w:hAnsi="Times New Roman" w:eastAsia="SimSun" w:cs="Times New Roman"/>
                <w:b w:val="0"/>
                <w:bCs w:val="0"/>
                <w:color w:val="auto"/>
                <w:sz w:val="24"/>
                <w:szCs w:val="24"/>
              </w:rPr>
              <w:t>did not significantly improve muscle mass</w:t>
            </w:r>
          </w:p>
        </w:tc>
      </w:tr>
      <w:tr w14:paraId="3247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426" w:type="dxa"/>
          </w:tcPr>
          <w:p w14:paraId="324747AA">
            <w:pPr>
              <w:widowControl/>
              <w:numPr>
                <w:ilvl w:val="0"/>
                <w:numId w:val="2"/>
              </w:numPr>
              <w:jc w:val="left"/>
              <w:rPr>
                <w:rFonts w:ascii="Times New Roman" w:hAnsi="Times New Roman" w:cs="Times New Roman"/>
                <w:color w:val="auto"/>
                <w:sz w:val="24"/>
                <w:szCs w:val="24"/>
              </w:rPr>
            </w:pPr>
          </w:p>
        </w:tc>
        <w:tc>
          <w:tcPr>
            <w:tcW w:w="1557" w:type="dxa"/>
          </w:tcPr>
          <w:p w14:paraId="324747AB">
            <w:pPr>
              <w:pStyle w:val="9"/>
              <w:widowControl/>
              <w:spacing w:beforeAutospacing="0" w:afterAutospacing="0"/>
              <w:jc w:val="both"/>
              <w:rPr>
                <w:color w:val="auto"/>
              </w:rPr>
            </w:pPr>
            <w:r>
              <w:rPr>
                <w:rFonts w:eastAsia="Segoe UI"/>
                <w:color w:val="auto"/>
                <w:shd w:val="clear" w:color="auto" w:fill="FFFFFF"/>
              </w:rPr>
              <w:t>Hsu, et al., (2021)</w:t>
            </w:r>
          </w:p>
        </w:tc>
        <w:tc>
          <w:tcPr>
            <w:tcW w:w="2094" w:type="dxa"/>
          </w:tcPr>
          <w:p w14:paraId="324747AC">
            <w:pPr>
              <w:pStyle w:val="9"/>
              <w:widowControl/>
              <w:spacing w:beforeAutospacing="0" w:afterAutospacing="0"/>
              <w:jc w:val="both"/>
              <w:rPr>
                <w:color w:val="auto"/>
              </w:rPr>
            </w:pPr>
            <w:r>
              <w:rPr>
                <w:color w:val="auto"/>
              </w:rPr>
              <w:t>Systematic review and meta-analysis following PRISMA guidelines.</w:t>
            </w:r>
          </w:p>
          <w:p w14:paraId="324747AD">
            <w:pPr>
              <w:pStyle w:val="9"/>
              <w:widowControl/>
              <w:spacing w:beforeAutospacing="0" w:afterAutospacing="0"/>
              <w:jc w:val="both"/>
              <w:rPr>
                <w:color w:val="auto"/>
              </w:rPr>
            </w:pPr>
            <w:r>
              <w:rPr>
                <w:color w:val="auto"/>
              </w:rPr>
              <w:t>Total patients: derived from 5 included studies (exact number not specified)</w:t>
            </w:r>
          </w:p>
        </w:tc>
        <w:tc>
          <w:tcPr>
            <w:tcW w:w="2149" w:type="dxa"/>
          </w:tcPr>
          <w:p w14:paraId="324747AE">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Low Protein Diet (LPD)</w:t>
            </w:r>
            <w:r>
              <w:rPr>
                <w:rFonts w:ascii="Times New Roman" w:hAnsi="Times New Roman" w:eastAsia="SimSun" w:cs="Times New Roman"/>
                <w:color w:val="auto"/>
                <w:sz w:val="24"/>
                <w:szCs w:val="24"/>
              </w:rPr>
              <w:t xml:space="preserve"> compared </w:t>
            </w:r>
            <w:r>
              <w:rPr>
                <w:rStyle w:val="10"/>
                <w:rFonts w:ascii="Times New Roman" w:hAnsi="Times New Roman" w:eastAsia="SimSun" w:cs="Times New Roman"/>
                <w:b w:val="0"/>
                <w:bCs w:val="0"/>
                <w:color w:val="auto"/>
                <w:sz w:val="24"/>
                <w:szCs w:val="24"/>
              </w:rPr>
              <w:t>NPD</w:t>
            </w:r>
            <w:r>
              <w:rPr>
                <w:rFonts w:ascii="Times New Roman" w:hAnsi="Times New Roman" w:eastAsia="SimSun" w:cs="Times New Roman"/>
                <w:color w:val="auto"/>
                <w:sz w:val="24"/>
                <w:szCs w:val="24"/>
              </w:rPr>
              <w:t xml:space="preserve"> in CKD patients.</w:t>
            </w:r>
          </w:p>
        </w:tc>
        <w:tc>
          <w:tcPr>
            <w:tcW w:w="2286" w:type="dxa"/>
          </w:tcPr>
          <w:p w14:paraId="324747AF">
            <w:pPr>
              <w:pStyle w:val="9"/>
              <w:widowControl/>
              <w:spacing w:beforeAutospacing="0" w:afterAutospacing="0"/>
              <w:jc w:val="both"/>
              <w:rPr>
                <w:color w:val="auto"/>
              </w:rPr>
            </w:pPr>
            <w:r>
              <w:rPr>
                <w:color w:val="auto"/>
              </w:rPr>
              <w:t xml:space="preserve">Enrichment: </w:t>
            </w:r>
            <w:r>
              <w:rPr>
                <w:rStyle w:val="5"/>
                <w:color w:val="auto"/>
              </w:rPr>
              <w:t>Lactobacillaceae</w:t>
            </w:r>
            <w:r>
              <w:rPr>
                <w:color w:val="auto"/>
              </w:rPr>
              <w:t xml:space="preserve">, </w:t>
            </w:r>
            <w:r>
              <w:rPr>
                <w:rStyle w:val="5"/>
                <w:color w:val="auto"/>
              </w:rPr>
              <w:t>Bacteroidaceae</w:t>
            </w:r>
            <w:r>
              <w:rPr>
                <w:color w:val="auto"/>
              </w:rPr>
              <w:t xml:space="preserve">, </w:t>
            </w:r>
            <w:r>
              <w:rPr>
                <w:rStyle w:val="5"/>
                <w:color w:val="auto"/>
              </w:rPr>
              <w:t>Streptococcus anginosus</w:t>
            </w:r>
            <w:r>
              <w:rPr>
                <w:color w:val="auto"/>
              </w:rPr>
              <w:t xml:space="preserve">. Depletion: </w:t>
            </w:r>
            <w:r>
              <w:rPr>
                <w:rStyle w:val="5"/>
                <w:color w:val="auto"/>
              </w:rPr>
              <w:t>Bacteroides eggerthii</w:t>
            </w:r>
            <w:r>
              <w:rPr>
                <w:color w:val="auto"/>
              </w:rPr>
              <w:t xml:space="preserve">, </w:t>
            </w:r>
            <w:r>
              <w:rPr>
                <w:rStyle w:val="5"/>
                <w:color w:val="auto"/>
              </w:rPr>
              <w:t>Roseburia faecis</w:t>
            </w:r>
            <w:r>
              <w:rPr>
                <w:color w:val="auto"/>
              </w:rPr>
              <w:t xml:space="preserve">. No significant changes in IS, PCS, renal function, or other biochemical measures. </w:t>
            </w:r>
          </w:p>
        </w:tc>
        <w:tc>
          <w:tcPr>
            <w:tcW w:w="2119" w:type="dxa"/>
          </w:tcPr>
          <w:p w14:paraId="324747B0">
            <w:pPr>
              <w:pStyle w:val="9"/>
              <w:widowControl/>
              <w:spacing w:beforeAutospacing="0" w:afterAutospacing="0"/>
              <w:jc w:val="both"/>
              <w:rPr>
                <w:color w:val="auto"/>
              </w:rPr>
            </w:pPr>
            <w:r>
              <w:rPr>
                <w:color w:val="auto"/>
              </w:rPr>
              <w:t xml:space="preserve">LPD alters specific bacterial families/species but not overall microbiota composition. No evident improvement in metabolic or clinical outcomes. </w:t>
            </w:r>
          </w:p>
        </w:tc>
      </w:tr>
      <w:tr w14:paraId="3247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B2">
            <w:pPr>
              <w:widowControl/>
              <w:numPr>
                <w:ilvl w:val="0"/>
                <w:numId w:val="2"/>
              </w:numPr>
              <w:jc w:val="left"/>
              <w:rPr>
                <w:rFonts w:ascii="Times New Roman" w:hAnsi="Times New Roman" w:cs="Times New Roman"/>
                <w:color w:val="auto"/>
                <w:sz w:val="24"/>
                <w:szCs w:val="24"/>
              </w:rPr>
            </w:pPr>
          </w:p>
        </w:tc>
        <w:tc>
          <w:tcPr>
            <w:tcW w:w="1557" w:type="dxa"/>
          </w:tcPr>
          <w:p w14:paraId="324747B3">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Fois, et al., (2021)</w:t>
            </w:r>
          </w:p>
        </w:tc>
        <w:tc>
          <w:tcPr>
            <w:tcW w:w="2094" w:type="dxa"/>
          </w:tcPr>
          <w:p w14:paraId="324747B5">
            <w:pPr>
              <w:pStyle w:val="9"/>
              <w:widowControl/>
              <w:spacing w:beforeAutospacing="0" w:afterAutospacing="0"/>
              <w:jc w:val="both"/>
              <w:rPr>
                <w:color w:val="auto"/>
              </w:rPr>
            </w:pPr>
            <w:r>
              <w:rPr>
                <w:rStyle w:val="10"/>
                <w:b w:val="0"/>
                <w:bCs w:val="0"/>
                <w:color w:val="auto"/>
              </w:rPr>
              <w:t xml:space="preserve">Comparative observational cohort study; sample size: </w:t>
            </w:r>
            <w:r>
              <w:rPr>
                <w:color w:val="auto"/>
              </w:rPr>
              <w:t>281 (</w:t>
            </w:r>
            <w:r>
              <w:rPr>
                <w:rStyle w:val="10"/>
                <w:b w:val="0"/>
                <w:bCs w:val="0"/>
                <w:color w:val="auto"/>
              </w:rPr>
              <w:t>153 French</w:t>
            </w:r>
            <w:r>
              <w:rPr>
                <w:color w:val="auto"/>
              </w:rPr>
              <w:t xml:space="preserve"> CKD stage 3–5 patients vs. </w:t>
            </w:r>
            <w:r>
              <w:rPr>
                <w:rStyle w:val="10"/>
                <w:b w:val="0"/>
                <w:bCs w:val="0"/>
                <w:color w:val="auto"/>
              </w:rPr>
              <w:t>128 Italian</w:t>
            </w:r>
            <w:r>
              <w:rPr>
                <w:color w:val="auto"/>
              </w:rPr>
              <w:t xml:space="preserve"> patients.</w:t>
            </w:r>
          </w:p>
          <w:p w14:paraId="324747B6">
            <w:pPr>
              <w:widowControl/>
              <w:jc w:val="left"/>
              <w:rPr>
                <w:rFonts w:ascii="Times New Roman" w:hAnsi="Times New Roman" w:cs="Times New Roman"/>
                <w:color w:val="auto"/>
                <w:sz w:val="24"/>
                <w:szCs w:val="24"/>
              </w:rPr>
            </w:pPr>
            <w:r>
              <w:rPr>
                <w:rFonts w:ascii="Times New Roman" w:hAnsi="Times New Roman" w:eastAsia="Symbol" w:cs="Times New Roman"/>
                <w:color w:val="auto"/>
                <w:sz w:val="24"/>
              </w:rPr>
              <w:t>·</w:t>
            </w:r>
          </w:p>
        </w:tc>
        <w:tc>
          <w:tcPr>
            <w:tcW w:w="2149" w:type="dxa"/>
          </w:tcPr>
          <w:p w14:paraId="324747B8">
            <w:pPr>
              <w:pStyle w:val="9"/>
              <w:widowControl/>
              <w:spacing w:beforeAutospacing="0" w:afterAutospacing="0"/>
              <w:jc w:val="both"/>
              <w:rPr>
                <w:color w:val="auto"/>
              </w:rPr>
            </w:pPr>
            <w:r>
              <w:rPr>
                <w:rStyle w:val="10"/>
                <w:b w:val="0"/>
                <w:bCs w:val="0"/>
                <w:color w:val="auto"/>
              </w:rPr>
              <w:t>LPD</w:t>
            </w:r>
            <w:r>
              <w:rPr>
                <w:color w:val="auto"/>
              </w:rPr>
              <w:t xml:space="preserve"> with </w:t>
            </w:r>
            <w:r>
              <w:rPr>
                <w:rStyle w:val="10"/>
                <w:b w:val="0"/>
                <w:bCs w:val="0"/>
                <w:color w:val="auto"/>
              </w:rPr>
              <w:t>multiple-choice, tailored protein restriction</w:t>
            </w:r>
            <w:r>
              <w:rPr>
                <w:color w:val="auto"/>
              </w:rPr>
              <w:t xml:space="preserve"> approach; baseline protein intake in France: </w:t>
            </w:r>
            <w:r>
              <w:rPr>
                <w:rStyle w:val="10"/>
                <w:b w:val="0"/>
                <w:bCs w:val="0"/>
                <w:color w:val="auto"/>
              </w:rPr>
              <w:t>1.2 g/kg/day</w:t>
            </w:r>
            <w:r>
              <w:rPr>
                <w:color w:val="auto"/>
              </w:rPr>
              <w:t>, above target level.</w:t>
            </w:r>
          </w:p>
          <w:p w14:paraId="324747B9">
            <w:pPr>
              <w:widowControl/>
              <w:jc w:val="left"/>
              <w:rPr>
                <w:rFonts w:ascii="Times New Roman" w:hAnsi="Times New Roman" w:cs="Times New Roman"/>
                <w:color w:val="auto"/>
                <w:sz w:val="24"/>
                <w:szCs w:val="24"/>
              </w:rPr>
            </w:pPr>
            <w:r>
              <w:rPr>
                <w:rFonts w:ascii="Times New Roman" w:hAnsi="Times New Roman" w:eastAsia="Symbol" w:cs="Times New Roman"/>
                <w:color w:val="auto"/>
                <w:sz w:val="24"/>
              </w:rPr>
              <w:t>·</w:t>
            </w:r>
          </w:p>
        </w:tc>
        <w:tc>
          <w:tcPr>
            <w:tcW w:w="2286" w:type="dxa"/>
          </w:tcPr>
          <w:p w14:paraId="324747BA">
            <w:pPr>
              <w:pStyle w:val="9"/>
              <w:widowControl/>
              <w:spacing w:beforeAutospacing="0" w:afterAutospacing="0"/>
              <w:jc w:val="both"/>
              <w:rPr>
                <w:color w:val="auto"/>
              </w:rPr>
            </w:pPr>
            <w:r>
              <w:rPr>
                <w:color w:val="auto"/>
              </w:rPr>
              <w:t xml:space="preserve">No significant differences in QoL between French and Italian cohorts. </w:t>
            </w:r>
          </w:p>
        </w:tc>
        <w:tc>
          <w:tcPr>
            <w:tcW w:w="2119" w:type="dxa"/>
          </w:tcPr>
          <w:p w14:paraId="324747BB">
            <w:pPr>
              <w:pStyle w:val="9"/>
              <w:widowControl/>
              <w:spacing w:beforeAutospacing="0" w:afterAutospacing="0"/>
              <w:jc w:val="both"/>
              <w:rPr>
                <w:color w:val="auto"/>
              </w:rPr>
            </w:pPr>
            <w:r>
              <w:rPr>
                <w:rStyle w:val="10"/>
                <w:b w:val="0"/>
                <w:bCs w:val="0"/>
                <w:color w:val="auto"/>
              </w:rPr>
              <w:t>Personalized LPD</w:t>
            </w:r>
            <w:r>
              <w:rPr>
                <w:color w:val="auto"/>
              </w:rPr>
              <w:t xml:space="preserve"> is feasible and does </w:t>
            </w:r>
            <w:r>
              <w:rPr>
                <w:rStyle w:val="10"/>
                <w:b w:val="0"/>
                <w:bCs w:val="0"/>
                <w:color w:val="auto"/>
              </w:rPr>
              <w:t>not impair QoL</w:t>
            </w:r>
            <w:r>
              <w:rPr>
                <w:color w:val="auto"/>
              </w:rPr>
              <w:t>, even in elderly CKD patients.</w:t>
            </w:r>
          </w:p>
          <w:p w14:paraId="324747BD">
            <w:pPr>
              <w:widowControl/>
              <w:jc w:val="left"/>
              <w:rPr>
                <w:rFonts w:ascii="Times New Roman" w:hAnsi="Times New Roman" w:cs="Times New Roman"/>
                <w:color w:val="auto"/>
                <w:sz w:val="24"/>
                <w:szCs w:val="24"/>
              </w:rPr>
            </w:pPr>
          </w:p>
        </w:tc>
      </w:tr>
      <w:tr w14:paraId="3247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BF">
            <w:pPr>
              <w:widowControl/>
              <w:numPr>
                <w:ilvl w:val="0"/>
                <w:numId w:val="2"/>
              </w:numPr>
              <w:jc w:val="left"/>
              <w:rPr>
                <w:rFonts w:ascii="Times New Roman" w:hAnsi="Times New Roman" w:cs="Times New Roman"/>
                <w:color w:val="auto"/>
                <w:sz w:val="24"/>
                <w:szCs w:val="24"/>
              </w:rPr>
            </w:pPr>
          </w:p>
        </w:tc>
        <w:tc>
          <w:tcPr>
            <w:tcW w:w="1557" w:type="dxa"/>
          </w:tcPr>
          <w:p w14:paraId="324747C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Narasaki, et al., (</w:t>
            </w:r>
            <w:r>
              <w:rPr>
                <w:rFonts w:ascii="Times New Roman" w:hAnsi="Times New Roman" w:eastAsia="Segoe UI" w:cs="Times New Roman"/>
                <w:color w:val="auto"/>
                <w:sz w:val="24"/>
                <w:szCs w:val="24"/>
                <w:shd w:val="clear" w:color="auto" w:fill="FFFFFF"/>
              </w:rPr>
              <w:t>2021)</w:t>
            </w:r>
          </w:p>
        </w:tc>
        <w:tc>
          <w:tcPr>
            <w:tcW w:w="2094" w:type="dxa"/>
          </w:tcPr>
          <w:p w14:paraId="324747C1">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w:t>
            </w:r>
            <w:r>
              <w:rPr>
                <w:rFonts w:ascii="Times New Roman" w:hAnsi="Times New Roman" w:eastAsia="SimSun" w:cs="Times New Roman"/>
                <w:color w:val="auto"/>
                <w:sz w:val="24"/>
                <w:szCs w:val="24"/>
              </w:rPr>
              <w:t xml:space="preserve"> (literature-based synthesis).</w:t>
            </w:r>
          </w:p>
        </w:tc>
        <w:tc>
          <w:tcPr>
            <w:tcW w:w="2149" w:type="dxa"/>
          </w:tcPr>
          <w:p w14:paraId="324747C2">
            <w:pPr>
              <w:pStyle w:val="9"/>
              <w:widowControl/>
              <w:spacing w:beforeAutospacing="0" w:afterAutospacing="0"/>
              <w:jc w:val="both"/>
              <w:rPr>
                <w:color w:val="auto"/>
              </w:rPr>
            </w:pPr>
            <w:r>
              <w:rPr>
                <w:color w:val="auto"/>
              </w:rPr>
              <w:t>Plant dominant LPD and VLPD with essential amino acids or ketoanalogue supplementation.</w:t>
            </w:r>
          </w:p>
        </w:tc>
        <w:tc>
          <w:tcPr>
            <w:tcW w:w="2286" w:type="dxa"/>
          </w:tcPr>
          <w:p w14:paraId="324747C3">
            <w:pPr>
              <w:pStyle w:val="9"/>
              <w:widowControl/>
              <w:spacing w:beforeAutospacing="0" w:afterAutospacing="0"/>
              <w:jc w:val="both"/>
              <w:rPr>
                <w:color w:val="auto"/>
              </w:rPr>
            </w:pPr>
            <w:r>
              <w:rPr>
                <w:color w:val="auto"/>
              </w:rPr>
              <w:t>Renal compensatory response to protein load maintained until ~80 years; low or plant-based diets preserve kidney function with proper monitoring.</w:t>
            </w:r>
          </w:p>
        </w:tc>
        <w:tc>
          <w:tcPr>
            <w:tcW w:w="2119" w:type="dxa"/>
          </w:tcPr>
          <w:p w14:paraId="324747C4">
            <w:pPr>
              <w:pStyle w:val="9"/>
              <w:widowControl/>
              <w:spacing w:beforeAutospacing="0" w:afterAutospacing="0"/>
              <w:jc w:val="both"/>
              <w:rPr>
                <w:color w:val="auto"/>
              </w:rPr>
            </w:pPr>
            <w:r>
              <w:rPr>
                <w:color w:val="auto"/>
              </w:rPr>
              <w:t>PD-LPD promotes kidney protection and metabolic stability; balance protein restriction with adequate energy to prevent malnutrition.</w:t>
            </w:r>
          </w:p>
        </w:tc>
      </w:tr>
      <w:tr w14:paraId="3247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CE">
            <w:pPr>
              <w:widowControl/>
              <w:numPr>
                <w:ilvl w:val="0"/>
                <w:numId w:val="2"/>
              </w:numPr>
              <w:jc w:val="left"/>
              <w:rPr>
                <w:rFonts w:ascii="Times New Roman" w:hAnsi="Times New Roman" w:cs="Times New Roman"/>
                <w:color w:val="auto"/>
                <w:sz w:val="24"/>
                <w:szCs w:val="24"/>
              </w:rPr>
            </w:pPr>
          </w:p>
        </w:tc>
        <w:tc>
          <w:tcPr>
            <w:tcW w:w="1557" w:type="dxa"/>
          </w:tcPr>
          <w:p w14:paraId="324747CF">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Narasaki, et al., (2021)</w:t>
            </w:r>
          </w:p>
        </w:tc>
        <w:tc>
          <w:tcPr>
            <w:tcW w:w="2094" w:type="dxa"/>
          </w:tcPr>
          <w:p w14:paraId="324747D0">
            <w:pPr>
              <w:pStyle w:val="9"/>
              <w:widowControl/>
              <w:spacing w:beforeAutospacing="0" w:afterAutospacing="0"/>
              <w:jc w:val="both"/>
              <w:rPr>
                <w:color w:val="auto"/>
              </w:rPr>
            </w:pPr>
            <w:r>
              <w:rPr>
                <w:color w:val="auto"/>
              </w:rPr>
              <w:t xml:space="preserve">Observational evidence and literature-based review. </w:t>
            </w:r>
          </w:p>
        </w:tc>
        <w:tc>
          <w:tcPr>
            <w:tcW w:w="2149" w:type="dxa"/>
          </w:tcPr>
          <w:p w14:paraId="324747D1">
            <w:pPr>
              <w:pStyle w:val="9"/>
              <w:widowControl/>
              <w:spacing w:beforeAutospacing="0" w:afterAutospacing="0"/>
              <w:jc w:val="both"/>
              <w:rPr>
                <w:color w:val="auto"/>
              </w:rPr>
            </w:pPr>
            <w:r>
              <w:rPr>
                <w:rStyle w:val="10"/>
                <w:b w:val="0"/>
                <w:bCs w:val="0"/>
                <w:color w:val="auto"/>
              </w:rPr>
              <w:t>HPD:</w:t>
            </w:r>
            <w:r>
              <w:rPr>
                <w:color w:val="auto"/>
              </w:rPr>
              <w:t xml:space="preserve"> paleo, atkins, south beach, ketogenic; </w:t>
            </w:r>
            <w:r>
              <w:rPr>
                <w:rStyle w:val="10"/>
                <w:b w:val="0"/>
                <w:bCs w:val="0"/>
                <w:color w:val="auto"/>
              </w:rPr>
              <w:t>LPD:</w:t>
            </w:r>
            <w:r>
              <w:rPr>
                <w:color w:val="auto"/>
              </w:rPr>
              <w:t xml:space="preserve"> reduced dietary protein intake for CKD management.</w:t>
            </w:r>
          </w:p>
        </w:tc>
        <w:tc>
          <w:tcPr>
            <w:tcW w:w="2286" w:type="dxa"/>
          </w:tcPr>
          <w:p w14:paraId="324747D2">
            <w:pPr>
              <w:pStyle w:val="9"/>
              <w:widowControl/>
              <w:spacing w:beforeAutospacing="0" w:afterAutospacing="0"/>
              <w:jc w:val="both"/>
              <w:rPr>
                <w:color w:val="auto"/>
              </w:rPr>
            </w:pPr>
            <w:r>
              <w:rPr>
                <w:color w:val="auto"/>
              </w:rPr>
              <w:t xml:space="preserve">Evidence supports LPD in slowing decline of kidney function. HPD can increase risk of CKD progression. Main concern with LPD: potential </w:t>
            </w:r>
            <w:r>
              <w:rPr>
                <w:rStyle w:val="10"/>
                <w:b w:val="0"/>
                <w:bCs w:val="0"/>
                <w:color w:val="auto"/>
              </w:rPr>
              <w:t>protein-energy wasting</w:t>
            </w:r>
            <w:r>
              <w:rPr>
                <w:color w:val="auto"/>
              </w:rPr>
              <w:t xml:space="preserve"> if not carefully managed.</w:t>
            </w:r>
          </w:p>
        </w:tc>
        <w:tc>
          <w:tcPr>
            <w:tcW w:w="2119" w:type="dxa"/>
          </w:tcPr>
          <w:p w14:paraId="324747D3">
            <w:pPr>
              <w:pStyle w:val="9"/>
              <w:widowControl/>
              <w:spacing w:beforeAutospacing="0" w:afterAutospacing="0"/>
              <w:jc w:val="both"/>
              <w:rPr>
                <w:color w:val="auto"/>
              </w:rPr>
            </w:pPr>
            <w:r>
              <w:rPr>
                <w:color w:val="auto"/>
              </w:rPr>
              <w:t>LPD remains a recommended strategy in CKD for renal protection. Careful monitoring of nutritional status is essential to avoid malnutrition while restricting protein.</w:t>
            </w:r>
          </w:p>
        </w:tc>
      </w:tr>
      <w:tr w14:paraId="3247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D5">
            <w:pPr>
              <w:widowControl/>
              <w:numPr>
                <w:ilvl w:val="0"/>
                <w:numId w:val="2"/>
              </w:numPr>
              <w:jc w:val="left"/>
              <w:rPr>
                <w:rFonts w:ascii="Times New Roman" w:hAnsi="Times New Roman" w:cs="Times New Roman"/>
                <w:color w:val="auto"/>
                <w:sz w:val="24"/>
                <w:szCs w:val="24"/>
              </w:rPr>
            </w:pPr>
          </w:p>
        </w:tc>
        <w:tc>
          <w:tcPr>
            <w:tcW w:w="1557" w:type="dxa"/>
          </w:tcPr>
          <w:p w14:paraId="324747D6">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Kelly, et al., (2021)</w:t>
            </w:r>
          </w:p>
        </w:tc>
        <w:tc>
          <w:tcPr>
            <w:tcW w:w="2094" w:type="dxa"/>
          </w:tcPr>
          <w:p w14:paraId="324747D8">
            <w:pPr>
              <w:pStyle w:val="9"/>
              <w:widowControl/>
              <w:spacing w:beforeAutospacing="0" w:afterAutospacing="0"/>
              <w:jc w:val="both"/>
              <w:rPr>
                <w:color w:val="auto"/>
              </w:rPr>
            </w:pPr>
            <w:r>
              <w:rPr>
                <w:color w:val="auto"/>
              </w:rPr>
              <w:t>Open-label interventional study; sample size: 35.</w:t>
            </w:r>
          </w:p>
        </w:tc>
        <w:tc>
          <w:tcPr>
            <w:tcW w:w="2149" w:type="dxa"/>
          </w:tcPr>
          <w:p w14:paraId="324747D9">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combined with </w:t>
            </w:r>
            <w:r>
              <w:rPr>
                <w:rStyle w:val="10"/>
                <w:rFonts w:ascii="Times New Roman" w:hAnsi="Times New Roman" w:eastAsia="SimSun" w:cs="Times New Roman"/>
                <w:b w:val="0"/>
                <w:bCs w:val="0"/>
                <w:color w:val="auto"/>
                <w:sz w:val="24"/>
                <w:szCs w:val="24"/>
              </w:rPr>
              <w:t>one serving of renal-specific oral nutrition supplement (RONS) daily</w:t>
            </w:r>
            <w:r>
              <w:rPr>
                <w:rFonts w:ascii="Times New Roman" w:hAnsi="Times New Roman" w:eastAsia="SimSun" w:cs="Times New Roman"/>
                <w:color w:val="auto"/>
                <w:sz w:val="24"/>
                <w:szCs w:val="24"/>
              </w:rPr>
              <w:t xml:space="preserve"> for 6 months.</w:t>
            </w:r>
          </w:p>
        </w:tc>
        <w:tc>
          <w:tcPr>
            <w:tcW w:w="2286" w:type="dxa"/>
          </w:tcPr>
          <w:p w14:paraId="324747DA">
            <w:pPr>
              <w:pStyle w:val="9"/>
              <w:widowControl/>
              <w:spacing w:beforeAutospacing="0" w:afterAutospacing="0"/>
              <w:jc w:val="both"/>
              <w:rPr>
                <w:color w:val="auto"/>
              </w:rPr>
            </w:pPr>
            <w:r>
              <w:rPr>
                <w:color w:val="auto"/>
              </w:rPr>
              <w:t xml:space="preserve">RONS effectively supplemented calories without compromising protein restriction. Improvements in body composition and muscle strength observed. </w:t>
            </w:r>
          </w:p>
        </w:tc>
        <w:tc>
          <w:tcPr>
            <w:tcW w:w="2119" w:type="dxa"/>
          </w:tcPr>
          <w:p w14:paraId="324747DB">
            <w:pPr>
              <w:pStyle w:val="9"/>
              <w:widowControl/>
              <w:spacing w:beforeAutospacing="0" w:afterAutospacing="0"/>
              <w:jc w:val="both"/>
              <w:rPr>
                <w:color w:val="auto"/>
              </w:rPr>
            </w:pPr>
            <w:r>
              <w:rPr>
                <w:color w:val="auto"/>
              </w:rPr>
              <w:t>Targeted supplementation with RONS supports LPD adherence, preserves nutrition and function, and may delay dialysis in advanced CKD.</w:t>
            </w:r>
          </w:p>
        </w:tc>
      </w:tr>
      <w:tr w14:paraId="3247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DD">
            <w:pPr>
              <w:widowControl/>
              <w:numPr>
                <w:ilvl w:val="0"/>
                <w:numId w:val="2"/>
              </w:numPr>
              <w:jc w:val="left"/>
              <w:rPr>
                <w:rFonts w:ascii="Times New Roman" w:hAnsi="Times New Roman" w:cs="Times New Roman"/>
                <w:color w:val="auto"/>
                <w:sz w:val="24"/>
                <w:szCs w:val="24"/>
              </w:rPr>
            </w:pPr>
          </w:p>
        </w:tc>
        <w:tc>
          <w:tcPr>
            <w:tcW w:w="1557" w:type="dxa"/>
          </w:tcPr>
          <w:p w14:paraId="324747DE">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Ko, et al., (2021)</w:t>
            </w:r>
          </w:p>
        </w:tc>
        <w:tc>
          <w:tcPr>
            <w:tcW w:w="2094" w:type="dxa"/>
          </w:tcPr>
          <w:p w14:paraId="324747DF">
            <w:pPr>
              <w:pStyle w:val="9"/>
              <w:widowControl/>
              <w:spacing w:beforeAutospacing="0" w:afterAutospacing="0"/>
              <w:jc w:val="both"/>
              <w:rPr>
                <w:color w:val="auto"/>
              </w:rPr>
            </w:pPr>
            <w:r>
              <w:rPr>
                <w:color w:val="auto"/>
              </w:rPr>
              <w:t>Narrative and systematic reviews (observational and clinical studies on LPD and PLADO).</w:t>
            </w:r>
          </w:p>
        </w:tc>
        <w:tc>
          <w:tcPr>
            <w:tcW w:w="2149" w:type="dxa"/>
          </w:tcPr>
          <w:p w14:paraId="324747E0">
            <w:pPr>
              <w:pStyle w:val="9"/>
              <w:widowControl/>
              <w:spacing w:beforeAutospacing="0" w:afterAutospacing="0"/>
              <w:jc w:val="both"/>
              <w:rPr>
                <w:color w:val="auto"/>
              </w:rPr>
            </w:pPr>
            <w:r>
              <w:rPr>
                <w:color w:val="auto"/>
              </w:rPr>
              <w:t>LPD (0.6–0.8 g/kg/day): PD-LPD (PLADO: &gt;50% plant-based protein).</w:t>
            </w:r>
          </w:p>
        </w:tc>
        <w:tc>
          <w:tcPr>
            <w:tcW w:w="2286" w:type="dxa"/>
          </w:tcPr>
          <w:p w14:paraId="324747E1">
            <w:pPr>
              <w:pStyle w:val="9"/>
              <w:widowControl/>
              <w:spacing w:beforeAutospacing="0" w:afterAutospacing="0"/>
              <w:jc w:val="both"/>
              <w:rPr>
                <w:color w:val="auto"/>
              </w:rPr>
            </w:pPr>
            <w:r>
              <w:rPr>
                <w:color w:val="auto"/>
              </w:rPr>
              <w:t>HPD intake raises intraglomerular pressure and hyperfiltration, while PLADO supports gut health, reduces uremic toxins, and lowers constipation and hyperkalemia risk.</w:t>
            </w:r>
          </w:p>
        </w:tc>
        <w:tc>
          <w:tcPr>
            <w:tcW w:w="2119" w:type="dxa"/>
          </w:tcPr>
          <w:p w14:paraId="324747E2">
            <w:pPr>
              <w:pStyle w:val="9"/>
              <w:widowControl/>
              <w:spacing w:beforeAutospacing="0" w:afterAutospacing="0"/>
              <w:jc w:val="both"/>
              <w:rPr>
                <w:color w:val="auto"/>
              </w:rPr>
            </w:pPr>
            <w:r>
              <w:rPr>
                <w:color w:val="auto"/>
              </w:rPr>
              <w:t>PLADO is a safe, kidney- and heart-protective approach requiring individualized planning and regular nutritional monitoring.</w:t>
            </w:r>
          </w:p>
        </w:tc>
      </w:tr>
      <w:tr w14:paraId="62F8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761DD949">
            <w:pPr>
              <w:widowControl w:val="0"/>
              <w:numPr>
                <w:ilvl w:val="0"/>
                <w:numId w:val="2"/>
              </w:numPr>
              <w:jc w:val="both"/>
              <w:rPr>
                <w:rFonts w:ascii="Times New Roman" w:hAnsi="Times New Roman" w:cs="Times New Roman"/>
                <w:color w:val="auto"/>
                <w:sz w:val="24"/>
                <w:szCs w:val="24"/>
              </w:rPr>
            </w:pPr>
          </w:p>
        </w:tc>
        <w:tc>
          <w:tcPr>
            <w:tcW w:w="1557" w:type="dxa"/>
          </w:tcPr>
          <w:p w14:paraId="7225C99E">
            <w:pPr>
              <w:widowControl w:val="0"/>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Watanabe, et al., (2021)</w:t>
            </w:r>
          </w:p>
        </w:tc>
        <w:tc>
          <w:tcPr>
            <w:tcW w:w="2094" w:type="dxa"/>
          </w:tcPr>
          <w:p w14:paraId="2EB4953B">
            <w:pPr>
              <w:pStyle w:val="9"/>
              <w:widowControl w:val="0"/>
              <w:spacing w:beforeAutospacing="0" w:afterAutospacing="0"/>
              <w:jc w:val="both"/>
              <w:rPr>
                <w:color w:val="auto"/>
              </w:rPr>
            </w:pPr>
            <w:r>
              <w:rPr>
                <w:rStyle w:val="10"/>
                <w:b w:val="0"/>
                <w:bCs w:val="0"/>
                <w:color w:val="auto"/>
              </w:rPr>
              <w:t>Epidemiological and nutritional review</w:t>
            </w:r>
            <w:r>
              <w:rPr>
                <w:color w:val="auto"/>
              </w:rPr>
              <w:t xml:space="preserve"> .</w:t>
            </w:r>
          </w:p>
        </w:tc>
        <w:tc>
          <w:tcPr>
            <w:tcW w:w="2149" w:type="dxa"/>
          </w:tcPr>
          <w:p w14:paraId="60CDC263">
            <w:pPr>
              <w:pStyle w:val="9"/>
              <w:widowControl/>
              <w:spacing w:beforeAutospacing="0" w:afterAutospacing="0"/>
              <w:jc w:val="both"/>
              <w:rPr>
                <w:color w:val="auto"/>
              </w:rPr>
            </w:pPr>
            <w:r>
              <w:rPr>
                <w:rStyle w:val="10"/>
                <w:b w:val="0"/>
                <w:bCs w:val="0"/>
                <w:color w:val="auto"/>
              </w:rPr>
              <w:t>LPD:</w:t>
            </w:r>
            <w:r>
              <w:rPr>
                <w:color w:val="auto"/>
              </w:rPr>
              <w:t xml:space="preserve"> &lt;0.5 g/kg body weight/day. </w:t>
            </w:r>
            <w:r>
              <w:rPr>
                <w:rStyle w:val="10"/>
                <w:b w:val="0"/>
                <w:bCs w:val="0"/>
                <w:color w:val="auto"/>
              </w:rPr>
              <w:t>LPR:</w:t>
            </w:r>
            <w:r>
              <w:rPr>
                <w:color w:val="auto"/>
              </w:rPr>
              <w:t xml:space="preserve"> 1/10–1/25 of normal protein content; also reduces </w:t>
            </w:r>
            <w:r>
              <w:rPr>
                <w:rStyle w:val="10"/>
                <w:b w:val="0"/>
                <w:bCs w:val="0"/>
                <w:color w:val="auto"/>
              </w:rPr>
              <w:t>potassium and phosphate</w:t>
            </w:r>
            <w:r>
              <w:rPr>
                <w:color w:val="auto"/>
              </w:rPr>
              <w:t xml:space="preserve"> intake.</w:t>
            </w:r>
          </w:p>
        </w:tc>
        <w:tc>
          <w:tcPr>
            <w:tcW w:w="2286" w:type="dxa"/>
          </w:tcPr>
          <w:p w14:paraId="50A73485">
            <w:pPr>
              <w:pStyle w:val="9"/>
              <w:widowControl w:val="0"/>
              <w:spacing w:beforeAutospacing="0" w:afterAutospacing="0"/>
              <w:jc w:val="both"/>
              <w:rPr>
                <w:color w:val="auto"/>
              </w:rPr>
            </w:pPr>
            <w:r>
              <w:rPr>
                <w:color w:val="auto"/>
              </w:rPr>
              <w:t>Eearly protein restriction is recommended when eGFR falls below 60 mL/min/1.73 m².</w:t>
            </w:r>
          </w:p>
        </w:tc>
        <w:tc>
          <w:tcPr>
            <w:tcW w:w="2119" w:type="dxa"/>
          </w:tcPr>
          <w:p w14:paraId="3996A304">
            <w:pPr>
              <w:pStyle w:val="9"/>
              <w:widowControl w:val="0"/>
              <w:spacing w:beforeAutospacing="0" w:afterAutospacing="0"/>
              <w:jc w:val="both"/>
              <w:rPr>
                <w:color w:val="auto"/>
              </w:rPr>
            </w:pPr>
            <w:r>
              <w:rPr>
                <w:color w:val="auto"/>
              </w:rPr>
              <w:t xml:space="preserve">LPR is a </w:t>
            </w:r>
            <w:r>
              <w:rPr>
                <w:rStyle w:val="10"/>
                <w:b w:val="0"/>
                <w:bCs w:val="0"/>
                <w:color w:val="auto"/>
              </w:rPr>
              <w:t>practical innovation</w:t>
            </w:r>
            <w:r>
              <w:rPr>
                <w:color w:val="auto"/>
              </w:rPr>
              <w:t xml:space="preserve"> for improving adherence to dietary protein restriction in </w:t>
            </w:r>
            <w:r>
              <w:rPr>
                <w:rStyle w:val="10"/>
                <w:b w:val="0"/>
                <w:bCs w:val="0"/>
                <w:color w:val="auto"/>
              </w:rPr>
              <w:t>Asian CKD populations</w:t>
            </w:r>
            <w:r>
              <w:rPr>
                <w:color w:val="auto"/>
              </w:rPr>
              <w:t>.</w:t>
            </w:r>
          </w:p>
        </w:tc>
      </w:tr>
      <w:tr w14:paraId="324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E4">
            <w:pPr>
              <w:widowControl/>
              <w:numPr>
                <w:ilvl w:val="0"/>
                <w:numId w:val="2"/>
              </w:numPr>
              <w:jc w:val="left"/>
              <w:rPr>
                <w:rFonts w:ascii="Times New Roman" w:hAnsi="Times New Roman" w:cs="Times New Roman"/>
                <w:color w:val="auto"/>
                <w:sz w:val="24"/>
                <w:szCs w:val="24"/>
              </w:rPr>
            </w:pPr>
          </w:p>
        </w:tc>
        <w:tc>
          <w:tcPr>
            <w:tcW w:w="1557" w:type="dxa"/>
          </w:tcPr>
          <w:p w14:paraId="324747E5">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Cupisti, et al., (2020)</w:t>
            </w:r>
          </w:p>
        </w:tc>
        <w:tc>
          <w:tcPr>
            <w:tcW w:w="2094" w:type="dxa"/>
          </w:tcPr>
          <w:p w14:paraId="324747E6">
            <w:pPr>
              <w:pStyle w:val="9"/>
              <w:widowControl/>
              <w:spacing w:beforeAutospacing="0" w:afterAutospacing="0"/>
              <w:jc w:val="both"/>
              <w:rPr>
                <w:color w:val="auto"/>
              </w:rPr>
            </w:pPr>
            <w:r>
              <w:rPr>
                <w:color w:val="auto"/>
              </w:rPr>
              <w:t>Large RCT for SGLT2i, observational and guideline-based recommendations for LPD.</w:t>
            </w:r>
          </w:p>
        </w:tc>
        <w:tc>
          <w:tcPr>
            <w:tcW w:w="2149" w:type="dxa"/>
          </w:tcPr>
          <w:p w14:paraId="324747E7">
            <w:pPr>
              <w:pStyle w:val="9"/>
              <w:widowControl/>
              <w:spacing w:beforeAutospacing="0" w:afterAutospacing="0"/>
              <w:jc w:val="both"/>
              <w:rPr>
                <w:color w:val="auto"/>
              </w:rPr>
            </w:pPr>
            <w:r>
              <w:rPr>
                <w:color w:val="auto"/>
              </w:rPr>
              <w:t>LPD; plant-based or vegan dietary regimens.</w:t>
            </w:r>
          </w:p>
        </w:tc>
        <w:tc>
          <w:tcPr>
            <w:tcW w:w="2286" w:type="dxa"/>
          </w:tcPr>
          <w:p w14:paraId="324747E8">
            <w:pPr>
              <w:pStyle w:val="9"/>
              <w:widowControl/>
              <w:spacing w:beforeAutospacing="0" w:afterAutospacing="0"/>
              <w:jc w:val="both"/>
              <w:rPr>
                <w:color w:val="auto"/>
              </w:rPr>
            </w:pPr>
            <w:r>
              <w:rPr>
                <w:color w:val="auto"/>
              </w:rPr>
              <w:t>SGLT2 inhibitors and LPD/PBD both reduce hyperfiltration and proteinuria and may restore autophagy, offering nephroprotective effects.</w:t>
            </w:r>
          </w:p>
        </w:tc>
        <w:tc>
          <w:tcPr>
            <w:tcW w:w="2119" w:type="dxa"/>
          </w:tcPr>
          <w:p w14:paraId="324747E9">
            <w:pPr>
              <w:pStyle w:val="9"/>
              <w:widowControl/>
              <w:spacing w:beforeAutospacing="0" w:afterAutospacing="0"/>
              <w:jc w:val="both"/>
              <w:rPr>
                <w:color w:val="auto"/>
              </w:rPr>
            </w:pPr>
            <w:r>
              <w:rPr>
                <w:color w:val="auto"/>
              </w:rPr>
              <w:t>Diet may modulate the nephroprotective effects of SGLT2i in CKD.</w:t>
            </w:r>
          </w:p>
          <w:p w14:paraId="324747EA">
            <w:pPr>
              <w:pStyle w:val="9"/>
              <w:widowControl/>
              <w:spacing w:beforeAutospacing="0" w:afterAutospacing="0"/>
              <w:jc w:val="both"/>
              <w:rPr>
                <w:color w:val="auto"/>
              </w:rPr>
            </w:pPr>
          </w:p>
        </w:tc>
      </w:tr>
      <w:tr w14:paraId="3247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EC">
            <w:pPr>
              <w:widowControl/>
              <w:numPr>
                <w:ilvl w:val="0"/>
                <w:numId w:val="2"/>
              </w:numPr>
              <w:jc w:val="left"/>
              <w:rPr>
                <w:rFonts w:ascii="Times New Roman" w:hAnsi="Times New Roman" w:cs="Times New Roman"/>
                <w:color w:val="auto"/>
                <w:sz w:val="24"/>
                <w:szCs w:val="24"/>
              </w:rPr>
            </w:pPr>
          </w:p>
        </w:tc>
        <w:tc>
          <w:tcPr>
            <w:tcW w:w="1557" w:type="dxa"/>
          </w:tcPr>
          <w:p w14:paraId="324747ED">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Kim, et al., (2020)</w:t>
            </w:r>
          </w:p>
        </w:tc>
        <w:tc>
          <w:tcPr>
            <w:tcW w:w="2094" w:type="dxa"/>
          </w:tcPr>
          <w:p w14:paraId="324747EE">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Narrative review : encompasses worldwide CKD population trends.</w:t>
            </w:r>
          </w:p>
        </w:tc>
        <w:tc>
          <w:tcPr>
            <w:tcW w:w="2149" w:type="dxa"/>
          </w:tcPr>
          <w:p w14:paraId="324747EF">
            <w:pPr>
              <w:pStyle w:val="9"/>
              <w:widowControl/>
              <w:spacing w:beforeAutospacing="0" w:afterAutospacing="0"/>
              <w:jc w:val="both"/>
              <w:rPr>
                <w:color w:val="auto"/>
              </w:rPr>
            </w:pPr>
            <w:r>
              <w:rPr>
                <w:color w:val="auto"/>
              </w:rPr>
              <w:t>Protein restriction reduces renal workload and uremic toxins; sodium control slows CKD progression and lowers mortality; potassium and calcium intake should be individualized to maintain electrolyte balance in CKD.</w:t>
            </w:r>
          </w:p>
        </w:tc>
        <w:tc>
          <w:tcPr>
            <w:tcW w:w="2286" w:type="dxa"/>
          </w:tcPr>
          <w:p w14:paraId="324747F0">
            <w:pPr>
              <w:pStyle w:val="9"/>
              <w:widowControl/>
              <w:spacing w:beforeAutospacing="0" w:afterAutospacing="0"/>
              <w:jc w:val="both"/>
              <w:rPr>
                <w:color w:val="auto"/>
              </w:rPr>
            </w:pPr>
            <w:r>
              <w:rPr>
                <w:color w:val="auto"/>
              </w:rPr>
              <w:t>HPD worsen kidney function. Excess sodium is linked to CKD progression and mortality. Both low and high potassium have clinical risks; individualized intake is necessary; adequate calcium intake prevents mineral imbalance in moderate CKD.</w:t>
            </w:r>
          </w:p>
        </w:tc>
        <w:tc>
          <w:tcPr>
            <w:tcW w:w="2119" w:type="dxa"/>
          </w:tcPr>
          <w:p w14:paraId="324747F1">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Individualized dietary strategies are essential for optimizing outcomes and preventing complications in patients with declining kidney function.</w:t>
            </w:r>
          </w:p>
        </w:tc>
      </w:tr>
      <w:tr w14:paraId="324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7F3">
            <w:pPr>
              <w:widowControl/>
              <w:numPr>
                <w:ilvl w:val="0"/>
                <w:numId w:val="2"/>
              </w:numPr>
              <w:jc w:val="left"/>
              <w:rPr>
                <w:rFonts w:ascii="Times New Roman" w:hAnsi="Times New Roman" w:cs="Times New Roman"/>
                <w:color w:val="auto"/>
                <w:sz w:val="24"/>
                <w:szCs w:val="24"/>
              </w:rPr>
            </w:pPr>
          </w:p>
        </w:tc>
        <w:tc>
          <w:tcPr>
            <w:tcW w:w="1557" w:type="dxa"/>
          </w:tcPr>
          <w:p w14:paraId="324747F4">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Ikizler, et al., (2020)</w:t>
            </w:r>
          </w:p>
        </w:tc>
        <w:tc>
          <w:tcPr>
            <w:tcW w:w="2094" w:type="dxa"/>
          </w:tcPr>
          <w:p w14:paraId="324747F5">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Clinical practice guideline; evidence-based synthesis from multiple studies and systematic reviews; not a single patient cohort.</w:t>
            </w:r>
          </w:p>
        </w:tc>
        <w:tc>
          <w:tcPr>
            <w:tcW w:w="2149" w:type="dxa"/>
          </w:tcPr>
          <w:p w14:paraId="324747F6">
            <w:pPr>
              <w:pStyle w:val="9"/>
              <w:widowControl/>
              <w:spacing w:beforeAutospacing="0" w:afterAutospacing="0"/>
              <w:jc w:val="both"/>
              <w:rPr>
                <w:color w:val="auto"/>
              </w:rPr>
            </w:pPr>
            <w:r>
              <w:rPr>
                <w:color w:val="auto"/>
              </w:rPr>
              <w:t>Medical Nutrition Therapy (MNT) for CKD stages 1–5 and post-transplant, emphasizing controlled protein and energy intake, balanced micronutrients and electrolytes, and protein restriction in stable stage 3–5 patients.</w:t>
            </w:r>
          </w:p>
          <w:p w14:paraId="324747F7">
            <w:pPr>
              <w:pStyle w:val="9"/>
              <w:widowControl/>
              <w:spacing w:beforeAutospacing="0" w:afterAutospacing="0"/>
              <w:jc w:val="both"/>
              <w:rPr>
                <w:color w:val="auto"/>
              </w:rPr>
            </w:pPr>
          </w:p>
        </w:tc>
        <w:tc>
          <w:tcPr>
            <w:tcW w:w="2286" w:type="dxa"/>
          </w:tcPr>
          <w:p w14:paraId="324747F8">
            <w:pPr>
              <w:pStyle w:val="9"/>
              <w:widowControl/>
              <w:spacing w:beforeAutospacing="0" w:afterAutospacing="0"/>
              <w:jc w:val="both"/>
              <w:rPr>
                <w:color w:val="auto"/>
              </w:rPr>
            </w:pPr>
            <w:r>
              <w:rPr>
                <w:color w:val="auto"/>
              </w:rPr>
              <w:t>Nutritional assessment is foundational.</w:t>
            </w:r>
          </w:p>
          <w:p w14:paraId="324747F9">
            <w:pPr>
              <w:pStyle w:val="9"/>
              <w:widowControl/>
              <w:spacing w:beforeAutospacing="0" w:afterAutospacing="0"/>
              <w:jc w:val="both"/>
              <w:rPr>
                <w:color w:val="auto"/>
              </w:rPr>
            </w:pPr>
            <w:r>
              <w:rPr>
                <w:color w:val="auto"/>
              </w:rPr>
              <w:t>Protein restriction can be safely implemented under dietitian supervision.</w:t>
            </w:r>
          </w:p>
          <w:p w14:paraId="324747FA">
            <w:pPr>
              <w:pStyle w:val="9"/>
              <w:widowControl/>
              <w:spacing w:beforeAutospacing="0" w:afterAutospacing="0"/>
              <w:jc w:val="both"/>
              <w:rPr>
                <w:color w:val="auto"/>
              </w:rPr>
            </w:pPr>
            <w:r>
              <w:rPr>
                <w:color w:val="auto"/>
              </w:rPr>
              <w:t xml:space="preserve">Evidence graded using </w:t>
            </w:r>
            <w:r>
              <w:rPr>
                <w:rStyle w:val="10"/>
                <w:b w:val="0"/>
                <w:bCs w:val="0"/>
                <w:color w:val="auto"/>
              </w:rPr>
              <w:t>GRADE criteria</w:t>
            </w:r>
            <w:r>
              <w:rPr>
                <w:color w:val="auto"/>
              </w:rPr>
              <w:t xml:space="preserve"> to guide recommendations.</w:t>
            </w:r>
          </w:p>
          <w:p w14:paraId="324747FB">
            <w:pPr>
              <w:pStyle w:val="9"/>
              <w:widowControl/>
              <w:spacing w:beforeAutospacing="0" w:afterAutospacing="0"/>
              <w:jc w:val="both"/>
              <w:rPr>
                <w:color w:val="auto"/>
              </w:rPr>
            </w:pPr>
            <w:r>
              <w:rPr>
                <w:color w:val="auto"/>
              </w:rPr>
              <w:t>Includes rationale, monitoring, implementation, and research priorities for each statement.</w:t>
            </w:r>
          </w:p>
        </w:tc>
        <w:tc>
          <w:tcPr>
            <w:tcW w:w="2119" w:type="dxa"/>
          </w:tcPr>
          <w:p w14:paraId="324747FC">
            <w:pPr>
              <w:pStyle w:val="9"/>
              <w:widowControl/>
              <w:spacing w:beforeAutospacing="0" w:afterAutospacing="0"/>
              <w:jc w:val="both"/>
              <w:rPr>
                <w:color w:val="auto"/>
              </w:rPr>
            </w:pPr>
            <w:r>
              <w:rPr>
                <w:color w:val="auto"/>
              </w:rPr>
              <w:t>The 2020 KDOQI guideline provides a comprehensive, structured framework for individualized nutrition care in CKD, emphasizing patient-centered low-protein diets, MNT, and careful monitoring to prevent malnutrition while slowing CKD progression.</w:t>
            </w:r>
          </w:p>
        </w:tc>
      </w:tr>
      <w:tr w14:paraId="3247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05">
            <w:pPr>
              <w:widowControl/>
              <w:numPr>
                <w:ilvl w:val="0"/>
                <w:numId w:val="2"/>
              </w:numPr>
              <w:jc w:val="left"/>
              <w:rPr>
                <w:rFonts w:ascii="Times New Roman" w:hAnsi="Times New Roman" w:cs="Times New Roman"/>
                <w:color w:val="auto"/>
                <w:sz w:val="24"/>
                <w:szCs w:val="24"/>
              </w:rPr>
            </w:pPr>
          </w:p>
        </w:tc>
        <w:tc>
          <w:tcPr>
            <w:tcW w:w="1557" w:type="dxa"/>
          </w:tcPr>
          <w:p w14:paraId="32474806">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Garibotto, et al., (2020)</w:t>
            </w:r>
          </w:p>
        </w:tc>
        <w:tc>
          <w:tcPr>
            <w:tcW w:w="2094" w:type="dxa"/>
          </w:tcPr>
          <w:p w14:paraId="32474807">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Short-term and long-term </w:t>
            </w:r>
            <w:r>
              <w:rPr>
                <w:rStyle w:val="10"/>
                <w:rFonts w:ascii="Times New Roman" w:hAnsi="Times New Roman" w:cs="Times New Roman"/>
                <w:b w:val="0"/>
                <w:bCs w:val="0"/>
                <w:color w:val="auto"/>
                <w:sz w:val="24"/>
                <w:szCs w:val="24"/>
              </w:rPr>
              <w:t>RCT.</w:t>
            </w:r>
          </w:p>
        </w:tc>
        <w:tc>
          <w:tcPr>
            <w:tcW w:w="2149" w:type="dxa"/>
          </w:tcPr>
          <w:p w14:paraId="32474808">
            <w:pPr>
              <w:pStyle w:val="9"/>
              <w:widowControl/>
              <w:spacing w:beforeAutospacing="0" w:afterAutospacing="0"/>
              <w:jc w:val="both"/>
              <w:rPr>
                <w:color w:val="auto"/>
              </w:rPr>
            </w:pPr>
            <w:r>
              <w:rPr>
                <w:rStyle w:val="10"/>
                <w:b w:val="0"/>
                <w:bCs w:val="0"/>
                <w:color w:val="auto"/>
              </w:rPr>
              <w:t>LPD:</w:t>
            </w:r>
            <w:r>
              <w:rPr>
                <w:color w:val="auto"/>
              </w:rPr>
              <w:t xml:space="preserve"> 0.55–0.6 g/kg/day; </w:t>
            </w:r>
            <w:r>
              <w:rPr>
                <w:rStyle w:val="10"/>
                <w:color w:val="auto"/>
              </w:rPr>
              <w:t>s</w:t>
            </w:r>
            <w:r>
              <w:rPr>
                <w:rStyle w:val="10"/>
                <w:b w:val="0"/>
                <w:bCs w:val="0"/>
                <w:color w:val="auto"/>
              </w:rPr>
              <w:t>upplemented VLPD.</w:t>
            </w:r>
          </w:p>
        </w:tc>
        <w:tc>
          <w:tcPr>
            <w:tcW w:w="2286" w:type="dxa"/>
          </w:tcPr>
          <w:p w14:paraId="32474809">
            <w:pPr>
              <w:pStyle w:val="9"/>
              <w:widowControl/>
              <w:spacing w:beforeAutospacing="0" w:afterAutospacing="0"/>
              <w:jc w:val="both"/>
              <w:rPr>
                <w:color w:val="auto"/>
              </w:rPr>
            </w:pPr>
            <w:r>
              <w:rPr>
                <w:color w:val="auto"/>
              </w:rPr>
              <w:t>LPD enhances amino acid utilization by reducing oxidation; long-term supplemented VLPDs are safe and preserve muscle protein turnover.</w:t>
            </w:r>
          </w:p>
        </w:tc>
        <w:tc>
          <w:tcPr>
            <w:tcW w:w="2119" w:type="dxa"/>
          </w:tcPr>
          <w:p w14:paraId="3247480A">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CKD patients can safely adapt to LPD/VLPD.</w:t>
            </w:r>
          </w:p>
        </w:tc>
      </w:tr>
      <w:tr w14:paraId="3247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0C">
            <w:pPr>
              <w:widowControl/>
              <w:numPr>
                <w:ilvl w:val="0"/>
                <w:numId w:val="2"/>
              </w:numPr>
              <w:jc w:val="left"/>
              <w:rPr>
                <w:rFonts w:ascii="Times New Roman" w:hAnsi="Times New Roman" w:cs="Times New Roman"/>
                <w:color w:val="auto"/>
                <w:sz w:val="24"/>
                <w:szCs w:val="24"/>
              </w:rPr>
            </w:pPr>
          </w:p>
        </w:tc>
        <w:tc>
          <w:tcPr>
            <w:tcW w:w="1557" w:type="dxa"/>
          </w:tcPr>
          <w:p w14:paraId="3247480D">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Cupisti, et al., (2020)</w:t>
            </w:r>
          </w:p>
        </w:tc>
        <w:tc>
          <w:tcPr>
            <w:tcW w:w="2094" w:type="dxa"/>
          </w:tcPr>
          <w:p w14:paraId="3247480E">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 xml:space="preserve">Guideline review (expert </w:t>
            </w:r>
            <w:r>
              <w:rPr>
                <w:rFonts w:ascii="Times New Roman" w:hAnsi="Times New Roman" w:eastAsia="SimSun" w:cs="Times New Roman"/>
                <w:color w:val="auto"/>
                <w:sz w:val="24"/>
                <w:szCs w:val="24"/>
              </w:rPr>
              <w:t>draws from multiple clinical studies).</w:t>
            </w:r>
          </w:p>
        </w:tc>
        <w:tc>
          <w:tcPr>
            <w:tcW w:w="2149" w:type="dxa"/>
          </w:tcPr>
          <w:p w14:paraId="3247480F">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LPD</w:t>
            </w:r>
            <w:r>
              <w:rPr>
                <w:rFonts w:ascii="Times New Roman" w:hAnsi="Times New Roman" w:eastAsia="SimSun" w:cs="Times New Roman"/>
                <w:color w:val="auto"/>
                <w:sz w:val="24"/>
                <w:szCs w:val="24"/>
              </w:rPr>
              <w:t xml:space="preserve"> for CKD stages 3–5 (non-dialysis), with tailored, patient-centered approaches; dosage individualized based on metabolic stability.</w:t>
            </w:r>
          </w:p>
        </w:tc>
        <w:tc>
          <w:tcPr>
            <w:tcW w:w="2286" w:type="dxa"/>
          </w:tcPr>
          <w:p w14:paraId="32474810">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LPDs should be implemented like </w:t>
            </w:r>
            <w:r>
              <w:rPr>
                <w:rStyle w:val="10"/>
                <w:rFonts w:ascii="Times New Roman" w:hAnsi="Times New Roman" w:eastAsia="SimSun" w:cs="Times New Roman"/>
                <w:b w:val="0"/>
                <w:bCs w:val="0"/>
                <w:color w:val="auto"/>
                <w:sz w:val="24"/>
                <w:szCs w:val="24"/>
              </w:rPr>
              <w:t>drug prescriptions</w:t>
            </w:r>
            <w:r>
              <w:rPr>
                <w:rFonts w:ascii="Times New Roman" w:hAnsi="Times New Roman" w:eastAsia="SimSun" w:cs="Times New Roman"/>
                <w:color w:val="auto"/>
                <w:sz w:val="24"/>
                <w:szCs w:val="24"/>
              </w:rPr>
              <w:t xml:space="preserve">: consider indications, contraindications, mechanisms, dosages, side effects, and warnings. </w:t>
            </w:r>
          </w:p>
        </w:tc>
        <w:tc>
          <w:tcPr>
            <w:tcW w:w="2119" w:type="dxa"/>
          </w:tcPr>
          <w:p w14:paraId="32474811">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LPDs are </w:t>
            </w:r>
            <w:r>
              <w:rPr>
                <w:rStyle w:val="10"/>
                <w:rFonts w:ascii="Times New Roman" w:hAnsi="Times New Roman" w:eastAsia="SimSun" w:cs="Times New Roman"/>
                <w:b w:val="0"/>
                <w:bCs w:val="0"/>
                <w:color w:val="auto"/>
                <w:sz w:val="24"/>
                <w:szCs w:val="24"/>
              </w:rPr>
              <w:t>recommended as a core therapy</w:t>
            </w:r>
            <w:r>
              <w:rPr>
                <w:rFonts w:ascii="Times New Roman" w:hAnsi="Times New Roman" w:eastAsia="SimSun" w:cs="Times New Roman"/>
                <w:color w:val="auto"/>
                <w:sz w:val="24"/>
                <w:szCs w:val="24"/>
              </w:rPr>
              <w:t xml:space="preserve"> in CKD management, not optional. </w:t>
            </w:r>
          </w:p>
        </w:tc>
      </w:tr>
      <w:tr w14:paraId="3247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13">
            <w:pPr>
              <w:widowControl/>
              <w:numPr>
                <w:ilvl w:val="0"/>
                <w:numId w:val="2"/>
              </w:numPr>
              <w:jc w:val="left"/>
              <w:rPr>
                <w:rFonts w:ascii="Times New Roman" w:hAnsi="Times New Roman" w:cs="Times New Roman"/>
                <w:color w:val="auto"/>
                <w:sz w:val="24"/>
                <w:szCs w:val="24"/>
              </w:rPr>
            </w:pPr>
          </w:p>
        </w:tc>
        <w:tc>
          <w:tcPr>
            <w:tcW w:w="1557" w:type="dxa"/>
          </w:tcPr>
          <w:p w14:paraId="32474814">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Di-Micco, et al., (2019)</w:t>
            </w:r>
          </w:p>
        </w:tc>
        <w:tc>
          <w:tcPr>
            <w:tcW w:w="2094" w:type="dxa"/>
          </w:tcPr>
          <w:p w14:paraId="32474815">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Review article;</w:t>
            </w:r>
            <w:r>
              <w:rPr>
                <w:rFonts w:ascii="Times New Roman" w:hAnsi="Times New Roman" w:eastAsia="SimSun" w:cs="Times New Roman"/>
                <w:color w:val="auto"/>
                <w:sz w:val="24"/>
                <w:szCs w:val="24"/>
              </w:rPr>
              <w:t xml:space="preserve"> summarizes evidence and clinical experience on NT in CKD.</w:t>
            </w:r>
          </w:p>
        </w:tc>
        <w:tc>
          <w:tcPr>
            <w:tcW w:w="2149" w:type="dxa"/>
          </w:tcPr>
          <w:p w14:paraId="32474816">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Low sodium diet</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low phosphate diet</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bicarbonate-rich vegetable diet</w:t>
            </w:r>
            <w:r>
              <w:rPr>
                <w:rFonts w:ascii="Times New Roman" w:hAnsi="Times New Roman" w:eastAsia="SimSun" w:cs="Times New Roman"/>
                <w:color w:val="auto"/>
                <w:sz w:val="24"/>
                <w:szCs w:val="24"/>
              </w:rPr>
              <w:t xml:space="preserve">, and </w:t>
            </w:r>
            <w:r>
              <w:rPr>
                <w:rStyle w:val="10"/>
                <w:rFonts w:ascii="Times New Roman" w:hAnsi="Times New Roman" w:eastAsia="SimSun" w:cs="Times New Roman"/>
                <w:b w:val="0"/>
                <w:bCs w:val="0"/>
                <w:color w:val="auto"/>
                <w:sz w:val="24"/>
                <w:szCs w:val="24"/>
              </w:rPr>
              <w:t>VLPD</w:t>
            </w:r>
            <w:r>
              <w:rPr>
                <w:rFonts w:ascii="Times New Roman" w:hAnsi="Times New Roman" w:eastAsia="SimSun" w:cs="Times New Roman"/>
                <w:color w:val="auto"/>
                <w:sz w:val="24"/>
                <w:szCs w:val="24"/>
              </w:rPr>
              <w:t xml:space="preserve"> as part of nutritional therapy.</w:t>
            </w:r>
          </w:p>
        </w:tc>
        <w:tc>
          <w:tcPr>
            <w:tcW w:w="2286" w:type="dxa"/>
          </w:tcPr>
          <w:p w14:paraId="32474817">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VLPD and other NT components can </w:t>
            </w:r>
            <w:r>
              <w:rPr>
                <w:rStyle w:val="10"/>
                <w:rFonts w:ascii="Times New Roman" w:hAnsi="Times New Roman" w:eastAsia="SimSun" w:cs="Times New Roman"/>
                <w:b w:val="0"/>
                <w:bCs w:val="0"/>
                <w:color w:val="auto"/>
                <w:sz w:val="24"/>
                <w:szCs w:val="24"/>
              </w:rPr>
              <w:t>reduce drug dependence</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 xml:space="preserve">decrease toxin </w:t>
            </w:r>
            <w:r>
              <w:rPr>
                <w:rFonts w:ascii="Times New Roman" w:hAnsi="Times New Roman" w:eastAsia="SimSun" w:cs="Times New Roman"/>
                <w:color w:val="auto"/>
                <w:sz w:val="24"/>
                <w:szCs w:val="24"/>
              </w:rPr>
              <w:t xml:space="preserve">and </w:t>
            </w:r>
            <w:r>
              <w:rPr>
                <w:rStyle w:val="10"/>
                <w:rFonts w:ascii="Times New Roman" w:hAnsi="Times New Roman" w:eastAsia="SimSun" w:cs="Times New Roman"/>
                <w:b w:val="0"/>
                <w:bCs w:val="0"/>
                <w:color w:val="auto"/>
                <w:sz w:val="24"/>
                <w:szCs w:val="24"/>
              </w:rPr>
              <w:t>delay CKD progression</w:t>
            </w:r>
            <w:r>
              <w:rPr>
                <w:rFonts w:ascii="Times New Roman" w:hAnsi="Times New Roman" w:eastAsia="SimSun" w:cs="Times New Roman"/>
                <w:color w:val="auto"/>
                <w:sz w:val="24"/>
                <w:szCs w:val="24"/>
              </w:rPr>
              <w:t xml:space="preserve"> while improving </w:t>
            </w:r>
            <w:r>
              <w:rPr>
                <w:rStyle w:val="10"/>
                <w:rFonts w:ascii="Times New Roman" w:hAnsi="Times New Roman" w:eastAsia="SimSun" w:cs="Times New Roman"/>
                <w:b w:val="0"/>
                <w:bCs w:val="0"/>
                <w:color w:val="auto"/>
                <w:sz w:val="24"/>
                <w:szCs w:val="24"/>
              </w:rPr>
              <w:t>metabolic stability</w:t>
            </w:r>
            <w:r>
              <w:rPr>
                <w:rFonts w:ascii="Times New Roman" w:hAnsi="Times New Roman" w:eastAsia="SimSun" w:cs="Times New Roman"/>
                <w:color w:val="auto"/>
                <w:sz w:val="24"/>
                <w:szCs w:val="24"/>
              </w:rPr>
              <w:t>.</w:t>
            </w:r>
          </w:p>
        </w:tc>
        <w:tc>
          <w:tcPr>
            <w:tcW w:w="2119" w:type="dxa"/>
          </w:tcPr>
          <w:p w14:paraId="32474818">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Nutritional therapy, especially VLPD, is a cornerstone of conservative CKD management</w:t>
            </w:r>
            <w:r>
              <w:rPr>
                <w:rFonts w:ascii="Times New Roman" w:hAnsi="Times New Roman" w:eastAsia="SimSun" w:cs="Times New Roman"/>
                <w:color w:val="auto"/>
                <w:sz w:val="24"/>
                <w:szCs w:val="24"/>
              </w:rPr>
              <w:t>, offering multiple systemic benefits beyond protein restriction alone.</w:t>
            </w:r>
          </w:p>
        </w:tc>
      </w:tr>
      <w:tr w14:paraId="3247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1A">
            <w:pPr>
              <w:widowControl/>
              <w:numPr>
                <w:ilvl w:val="0"/>
                <w:numId w:val="2"/>
              </w:numPr>
              <w:jc w:val="left"/>
              <w:rPr>
                <w:rFonts w:ascii="Times New Roman" w:hAnsi="Times New Roman" w:cs="Times New Roman"/>
                <w:color w:val="auto"/>
                <w:sz w:val="24"/>
                <w:szCs w:val="24"/>
              </w:rPr>
            </w:pPr>
          </w:p>
        </w:tc>
        <w:tc>
          <w:tcPr>
            <w:tcW w:w="1557" w:type="dxa"/>
          </w:tcPr>
          <w:p w14:paraId="3247481B">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 xml:space="preserve">Rhee, et al., (2018) </w:t>
            </w:r>
          </w:p>
        </w:tc>
        <w:tc>
          <w:tcPr>
            <w:tcW w:w="2094" w:type="dxa"/>
          </w:tcPr>
          <w:p w14:paraId="3247481C">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Systematic review and meta-analysis</w:t>
            </w:r>
            <w:r>
              <w:rPr>
                <w:rFonts w:ascii="Times New Roman" w:hAnsi="Times New Roman" w:eastAsia="SimSun" w:cs="Times New Roman"/>
                <w:color w:val="auto"/>
                <w:sz w:val="24"/>
                <w:szCs w:val="24"/>
              </w:rPr>
              <w:t xml:space="preserve"> of RCT.</w:t>
            </w:r>
          </w:p>
        </w:tc>
        <w:tc>
          <w:tcPr>
            <w:tcW w:w="2149" w:type="dxa"/>
          </w:tcPr>
          <w:p w14:paraId="3247481D">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 xml:space="preserve">LPD </w:t>
            </w:r>
            <w:r>
              <w:rPr>
                <w:rFonts w:ascii="Times New Roman" w:hAnsi="Times New Roman" w:eastAsia="SimSun" w:cs="Times New Roman"/>
                <w:color w:val="auto"/>
                <w:sz w:val="24"/>
                <w:szCs w:val="24"/>
              </w:rPr>
              <w:t xml:space="preserve">evaluated for its role in delaying the need for </w:t>
            </w:r>
            <w:r>
              <w:rPr>
                <w:rStyle w:val="10"/>
                <w:rFonts w:ascii="Times New Roman" w:hAnsi="Times New Roman" w:eastAsia="SimSun" w:cs="Times New Roman"/>
                <w:b w:val="0"/>
                <w:bCs w:val="0"/>
                <w:color w:val="auto"/>
                <w:sz w:val="24"/>
                <w:szCs w:val="24"/>
              </w:rPr>
              <w:t>dialysis</w:t>
            </w:r>
            <w:r>
              <w:rPr>
                <w:rFonts w:ascii="Times New Roman" w:hAnsi="Times New Roman" w:eastAsia="SimSun" w:cs="Times New Roman"/>
                <w:color w:val="auto"/>
                <w:sz w:val="24"/>
                <w:szCs w:val="24"/>
              </w:rPr>
              <w:t xml:space="preserve"> and managing </w:t>
            </w:r>
            <w:r>
              <w:rPr>
                <w:rStyle w:val="10"/>
                <w:rFonts w:ascii="Times New Roman" w:hAnsi="Times New Roman" w:eastAsia="SimSun" w:cs="Times New Roman"/>
                <w:b w:val="0"/>
                <w:bCs w:val="0"/>
                <w:color w:val="auto"/>
                <w:sz w:val="24"/>
                <w:szCs w:val="24"/>
              </w:rPr>
              <w:t>uraemia</w:t>
            </w:r>
            <w:r>
              <w:rPr>
                <w:rFonts w:ascii="Times New Roman" w:hAnsi="Times New Roman" w:eastAsia="SimSun" w:cs="Times New Roman"/>
                <w:color w:val="auto"/>
                <w:sz w:val="24"/>
                <w:szCs w:val="24"/>
              </w:rPr>
              <w:t xml:space="preserve"> and its complications.</w:t>
            </w:r>
          </w:p>
        </w:tc>
        <w:tc>
          <w:tcPr>
            <w:tcW w:w="2286" w:type="dxa"/>
          </w:tcPr>
          <w:p w14:paraId="3247481E">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was found to be </w:t>
            </w:r>
            <w:r>
              <w:rPr>
                <w:rStyle w:val="10"/>
                <w:rFonts w:ascii="Times New Roman" w:hAnsi="Times New Roman" w:eastAsia="SimSun" w:cs="Times New Roman"/>
                <w:b w:val="0"/>
                <w:bCs w:val="0"/>
                <w:color w:val="auto"/>
                <w:sz w:val="24"/>
                <w:szCs w:val="24"/>
              </w:rPr>
              <w:t>effective in delaying dialysis initiation</w:t>
            </w:r>
            <w:r>
              <w:rPr>
                <w:rFonts w:ascii="Times New Roman" w:hAnsi="Times New Roman" w:eastAsia="SimSun" w:cs="Times New Roman"/>
                <w:color w:val="auto"/>
                <w:sz w:val="24"/>
                <w:szCs w:val="24"/>
              </w:rPr>
              <w:t xml:space="preserve"> and </w:t>
            </w:r>
            <w:r>
              <w:rPr>
                <w:rStyle w:val="10"/>
                <w:rFonts w:ascii="Times New Roman" w:hAnsi="Times New Roman" w:eastAsia="SimSun" w:cs="Times New Roman"/>
                <w:b w:val="0"/>
                <w:bCs w:val="0"/>
                <w:color w:val="auto"/>
                <w:sz w:val="24"/>
                <w:szCs w:val="24"/>
              </w:rPr>
              <w:t>managing uremic symptoms</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without significant adverse nutritional effects.</w:t>
            </w:r>
          </w:p>
        </w:tc>
        <w:tc>
          <w:tcPr>
            <w:tcW w:w="2119" w:type="dxa"/>
          </w:tcPr>
          <w:p w14:paraId="3247481F">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Evidence supports </w:t>
            </w:r>
            <w:r>
              <w:rPr>
                <w:rStyle w:val="10"/>
                <w:rFonts w:ascii="Times New Roman" w:hAnsi="Times New Roman" w:eastAsia="SimSun" w:cs="Times New Roman"/>
                <w:b w:val="0"/>
                <w:bCs w:val="0"/>
                <w:color w:val="auto"/>
                <w:sz w:val="24"/>
                <w:szCs w:val="24"/>
              </w:rPr>
              <w:t>LPD as a safe and effective conservative therapy</w:t>
            </w:r>
            <w:r>
              <w:rPr>
                <w:rFonts w:ascii="Times New Roman" w:hAnsi="Times New Roman" w:eastAsia="SimSun" w:cs="Times New Roman"/>
                <w:color w:val="auto"/>
                <w:sz w:val="24"/>
                <w:szCs w:val="24"/>
              </w:rPr>
              <w:t xml:space="preserve"> in CKD management. </w:t>
            </w:r>
          </w:p>
        </w:tc>
      </w:tr>
      <w:tr w14:paraId="324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21">
            <w:pPr>
              <w:widowControl/>
              <w:numPr>
                <w:ilvl w:val="0"/>
                <w:numId w:val="2"/>
              </w:numPr>
              <w:jc w:val="left"/>
              <w:rPr>
                <w:rFonts w:ascii="Times New Roman" w:hAnsi="Times New Roman" w:cs="Times New Roman"/>
                <w:color w:val="auto"/>
                <w:sz w:val="24"/>
                <w:szCs w:val="24"/>
              </w:rPr>
            </w:pPr>
          </w:p>
        </w:tc>
        <w:tc>
          <w:tcPr>
            <w:tcW w:w="1557" w:type="dxa"/>
          </w:tcPr>
          <w:p w14:paraId="32474822">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Anjos, et al., (2018)</w:t>
            </w:r>
          </w:p>
        </w:tc>
        <w:tc>
          <w:tcPr>
            <w:tcW w:w="2094" w:type="dxa"/>
          </w:tcPr>
          <w:p w14:paraId="32474823">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w:t>
            </w:r>
            <w:r>
              <w:rPr>
                <w:color w:val="auto"/>
              </w:rPr>
              <w:t xml:space="preserve"> (</w:t>
            </w:r>
            <w:r>
              <w:rPr>
                <w:rFonts w:ascii="Times New Roman" w:hAnsi="Times New Roman" w:eastAsia="SimSun" w:cs="Times New Roman"/>
                <w:color w:val="auto"/>
                <w:sz w:val="24"/>
                <w:szCs w:val="24"/>
              </w:rPr>
              <w:t>analysis based on existing experimental and clinical literature).</w:t>
            </w:r>
          </w:p>
        </w:tc>
        <w:tc>
          <w:tcPr>
            <w:tcW w:w="2149" w:type="dxa"/>
          </w:tcPr>
          <w:p w14:paraId="32474824">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Focuses on </w:t>
            </w:r>
            <w:r>
              <w:rPr>
                <w:rStyle w:val="10"/>
                <w:rFonts w:ascii="Times New Roman" w:hAnsi="Times New Roman" w:eastAsia="SimSun" w:cs="Times New Roman"/>
                <w:b w:val="0"/>
                <w:bCs w:val="0"/>
                <w:color w:val="auto"/>
                <w:sz w:val="24"/>
                <w:szCs w:val="24"/>
              </w:rPr>
              <w:t>LPD</w:t>
            </w:r>
            <w:r>
              <w:rPr>
                <w:rFonts w:ascii="Times New Roman" w:hAnsi="Times New Roman" w:eastAsia="SimSun" w:cs="Times New Roman"/>
                <w:color w:val="auto"/>
                <w:sz w:val="24"/>
                <w:szCs w:val="24"/>
              </w:rPr>
              <w:t xml:space="preserve"> as a dietary approach in </w:t>
            </w:r>
            <w:r>
              <w:rPr>
                <w:rStyle w:val="10"/>
                <w:rFonts w:ascii="Times New Roman" w:hAnsi="Times New Roman" w:eastAsia="SimSun" w:cs="Times New Roman"/>
                <w:b w:val="0"/>
                <w:bCs w:val="0"/>
                <w:color w:val="auto"/>
                <w:sz w:val="24"/>
                <w:szCs w:val="24"/>
              </w:rPr>
              <w:t>non-dialysis CKD</w:t>
            </w:r>
            <w:r>
              <w:rPr>
                <w:rFonts w:ascii="Times New Roman" w:hAnsi="Times New Roman" w:eastAsia="SimSun" w:cs="Times New Roman"/>
                <w:color w:val="auto"/>
                <w:sz w:val="24"/>
                <w:szCs w:val="24"/>
              </w:rPr>
              <w:t xml:space="preserve"> patients.</w:t>
            </w:r>
          </w:p>
        </w:tc>
        <w:tc>
          <w:tcPr>
            <w:tcW w:w="2286" w:type="dxa"/>
          </w:tcPr>
          <w:p w14:paraId="32474825">
            <w:pPr>
              <w:pStyle w:val="9"/>
              <w:widowControl/>
              <w:spacing w:beforeAutospacing="0" w:afterAutospacing="0"/>
              <w:jc w:val="both"/>
              <w:rPr>
                <w:color w:val="auto"/>
              </w:rPr>
            </w:pPr>
            <w:r>
              <w:rPr>
                <w:color w:val="auto"/>
              </w:rPr>
              <w:t xml:space="preserve">LPD is known to </w:t>
            </w:r>
            <w:r>
              <w:rPr>
                <w:rStyle w:val="10"/>
                <w:b w:val="0"/>
                <w:bCs w:val="0"/>
                <w:color w:val="auto"/>
              </w:rPr>
              <w:t>reduce inflammation and oxidative stress</w:t>
            </w:r>
            <w:r>
              <w:rPr>
                <w:color w:val="auto"/>
              </w:rPr>
              <w:t xml:space="preserve"> in CKD; </w:t>
            </w:r>
            <w:r>
              <w:rPr>
                <w:rStyle w:val="10"/>
                <w:b w:val="0"/>
                <w:bCs w:val="0"/>
                <w:color w:val="auto"/>
              </w:rPr>
              <w:t>Nrf2</w:t>
            </w:r>
            <w:r>
              <w:rPr>
                <w:color w:val="auto"/>
              </w:rPr>
              <w:t xml:space="preserve"> is a key regulator of antioxidant and anti-inflammatory responses. </w:t>
            </w:r>
          </w:p>
        </w:tc>
        <w:tc>
          <w:tcPr>
            <w:tcW w:w="2119" w:type="dxa"/>
          </w:tcPr>
          <w:p w14:paraId="32474826">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While LPD offers proven benefits in reducing inflammation and oxidative stress, its </w:t>
            </w:r>
            <w:r>
              <w:rPr>
                <w:rStyle w:val="10"/>
                <w:rFonts w:ascii="Times New Roman" w:hAnsi="Times New Roman" w:eastAsia="SimSun" w:cs="Times New Roman"/>
                <w:b w:val="0"/>
                <w:bCs w:val="0"/>
                <w:color w:val="auto"/>
                <w:sz w:val="24"/>
                <w:szCs w:val="24"/>
              </w:rPr>
              <w:t>effect on Nrf2 modulation remains unexplored.</w:t>
            </w:r>
          </w:p>
        </w:tc>
      </w:tr>
      <w:tr w14:paraId="3247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28">
            <w:pPr>
              <w:widowControl/>
              <w:numPr>
                <w:ilvl w:val="0"/>
                <w:numId w:val="2"/>
              </w:numPr>
              <w:jc w:val="left"/>
              <w:rPr>
                <w:rFonts w:ascii="Times New Roman" w:hAnsi="Times New Roman" w:cs="Times New Roman"/>
                <w:color w:val="auto"/>
                <w:sz w:val="24"/>
                <w:szCs w:val="24"/>
              </w:rPr>
            </w:pPr>
          </w:p>
        </w:tc>
        <w:tc>
          <w:tcPr>
            <w:tcW w:w="1557" w:type="dxa"/>
          </w:tcPr>
          <w:p w14:paraId="32474829">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Metzger, et al., (2017)</w:t>
            </w:r>
          </w:p>
        </w:tc>
        <w:tc>
          <w:tcPr>
            <w:tcW w:w="2094" w:type="dxa"/>
          </w:tcPr>
          <w:p w14:paraId="3247482A">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Prospective </w:t>
            </w:r>
            <w:r>
              <w:rPr>
                <w:rStyle w:val="10"/>
                <w:rFonts w:ascii="Times New Roman" w:hAnsi="Times New Roman" w:eastAsia="SimSun" w:cs="Times New Roman"/>
                <w:b w:val="0"/>
                <w:bCs w:val="0"/>
                <w:color w:val="auto"/>
                <w:sz w:val="24"/>
                <w:szCs w:val="24"/>
              </w:rPr>
              <w:t>observational study</w:t>
            </w:r>
            <w:r>
              <w:rPr>
                <w:rFonts w:ascii="Times New Roman" w:hAnsi="Times New Roman" w:eastAsia="SimSun" w:cs="Times New Roman"/>
                <w:color w:val="auto"/>
                <w:sz w:val="24"/>
                <w:szCs w:val="24"/>
              </w:rPr>
              <w:t xml:space="preserve"> of </w:t>
            </w:r>
            <w:r>
              <w:rPr>
                <w:rStyle w:val="10"/>
                <w:rFonts w:ascii="Times New Roman" w:hAnsi="Times New Roman" w:eastAsia="SimSun" w:cs="Times New Roman"/>
                <w:b w:val="0"/>
                <w:bCs w:val="0"/>
                <w:color w:val="auto"/>
                <w:sz w:val="24"/>
                <w:szCs w:val="24"/>
              </w:rPr>
              <w:t>1,594 CKD patients</w:t>
            </w:r>
            <w:r>
              <w:rPr>
                <w:rFonts w:ascii="Times New Roman" w:hAnsi="Times New Roman" w:eastAsia="SimSun" w:cs="Times New Roman"/>
                <w:color w:val="auto"/>
                <w:sz w:val="24"/>
                <w:szCs w:val="24"/>
              </w:rPr>
              <w:t xml:space="preserve"> (67% men, 33% women); </w:t>
            </w:r>
            <w:r>
              <w:rPr>
                <w:rStyle w:val="10"/>
                <w:rFonts w:ascii="Times New Roman" w:hAnsi="Times New Roman" w:eastAsia="SimSun" w:cs="Times New Roman"/>
                <w:b w:val="0"/>
                <w:bCs w:val="0"/>
                <w:color w:val="auto"/>
                <w:sz w:val="24"/>
                <w:szCs w:val="24"/>
              </w:rPr>
              <w:t>1,412</w:t>
            </w:r>
            <w:r>
              <w:rPr>
                <w:rFonts w:ascii="Times New Roman" w:hAnsi="Times New Roman" w:eastAsia="SimSun" w:cs="Times New Roman"/>
                <w:color w:val="auto"/>
                <w:sz w:val="24"/>
                <w:szCs w:val="24"/>
              </w:rPr>
              <w:t xml:space="preserve"> included in final analysis.</w:t>
            </w:r>
          </w:p>
        </w:tc>
        <w:tc>
          <w:tcPr>
            <w:tcW w:w="2149" w:type="dxa"/>
          </w:tcPr>
          <w:p w14:paraId="3247482B">
            <w:pPr>
              <w:pStyle w:val="9"/>
              <w:widowControl/>
              <w:spacing w:beforeAutospacing="0" w:afterAutospacing="0"/>
              <w:jc w:val="both"/>
              <w:rPr>
                <w:color w:val="auto"/>
              </w:rPr>
            </w:pPr>
            <w:r>
              <w:rPr>
                <w:color w:val="auto"/>
              </w:rPr>
              <w:t xml:space="preserve">Natural variation in </w:t>
            </w:r>
            <w:r>
              <w:rPr>
                <w:rStyle w:val="10"/>
                <w:b w:val="0"/>
                <w:bCs w:val="0"/>
                <w:color w:val="auto"/>
              </w:rPr>
              <w:t>dietary protein intake</w:t>
            </w:r>
            <w:r>
              <w:rPr>
                <w:color w:val="auto"/>
              </w:rPr>
              <w:t xml:space="preserve"> assessed by </w:t>
            </w:r>
            <w:r>
              <w:rPr>
                <w:rStyle w:val="10"/>
                <w:b w:val="0"/>
                <w:bCs w:val="0"/>
                <w:color w:val="auto"/>
              </w:rPr>
              <w:t>Maroni formula</w:t>
            </w:r>
            <w:r>
              <w:rPr>
                <w:color w:val="auto"/>
              </w:rPr>
              <w:t xml:space="preserve"> (based on 24-h urinary urea nitrogen) and </w:t>
            </w:r>
            <w:r>
              <w:rPr>
                <w:rStyle w:val="10"/>
                <w:b w:val="0"/>
                <w:bCs w:val="0"/>
                <w:color w:val="auto"/>
              </w:rPr>
              <w:t>7-day food records</w:t>
            </w:r>
            <w:r>
              <w:rPr>
                <w:color w:val="auto"/>
              </w:rPr>
              <w:t xml:space="preserve">. DPI range: </w:t>
            </w:r>
            <w:r>
              <w:rPr>
                <w:rStyle w:val="10"/>
                <w:b w:val="0"/>
                <w:bCs w:val="0"/>
                <w:color w:val="auto"/>
              </w:rPr>
              <w:t>0.34–2.76 g/kg/day</w:t>
            </w:r>
            <w:r>
              <w:rPr>
                <w:color w:val="auto"/>
              </w:rPr>
              <w:t xml:space="preserve">; mean </w:t>
            </w:r>
            <w:r>
              <w:rPr>
                <w:rStyle w:val="10"/>
                <w:b w:val="0"/>
                <w:bCs w:val="0"/>
                <w:color w:val="auto"/>
              </w:rPr>
              <w:t>1.09 ± 0.30 g/kg/day</w:t>
            </w:r>
            <w:r>
              <w:rPr>
                <w:color w:val="auto"/>
              </w:rPr>
              <w:t>.</w:t>
            </w:r>
          </w:p>
        </w:tc>
        <w:tc>
          <w:tcPr>
            <w:tcW w:w="2286" w:type="dxa"/>
          </w:tcPr>
          <w:p w14:paraId="3247482C">
            <w:pPr>
              <w:pStyle w:val="9"/>
              <w:widowControl/>
              <w:spacing w:beforeAutospacing="0" w:afterAutospacing="0"/>
              <w:jc w:val="both"/>
              <w:rPr>
                <w:color w:val="auto"/>
              </w:rPr>
            </w:pPr>
            <w:r>
              <w:rPr>
                <w:color w:val="auto"/>
              </w:rPr>
              <w:t xml:space="preserve">Each </w:t>
            </w:r>
            <w:r>
              <w:rPr>
                <w:rStyle w:val="10"/>
                <w:b w:val="0"/>
                <w:bCs w:val="0"/>
                <w:color w:val="auto"/>
              </w:rPr>
              <w:t xml:space="preserve">0.1 g/kg/day increase in </w:t>
            </w:r>
            <w:r>
              <w:rPr>
                <w:rFonts w:hint="default" w:ascii="Times New Roman" w:hAnsi="Times New Roman" w:eastAsia="SimSun" w:cs="Times New Roman"/>
                <w:color w:val="auto"/>
                <w:sz w:val="24"/>
                <w:szCs w:val="24"/>
              </w:rPr>
              <w:t>DPI raised ESRD risk by 5–9%. Stronger association observed in patients with baseline GFR &lt;30 ml/min/1.73 m².</w:t>
            </w:r>
          </w:p>
        </w:tc>
        <w:tc>
          <w:tcPr>
            <w:tcW w:w="2119" w:type="dxa"/>
          </w:tcPr>
          <w:p w14:paraId="3247482D">
            <w:pPr>
              <w:widowControl/>
              <w:jc w:val="left"/>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Higher dietary protein intake (DPI) was linked to a 5–9% increased risk of end-stage renal disease (ESRD), with the association being more pronounced among individuals whose baseline GFR was below 30 ml/min/1.73 m².</w:t>
            </w:r>
            <w:r>
              <w:rPr>
                <w:rStyle w:val="10"/>
                <w:rFonts w:hint="default" w:ascii="Times New Roman" w:hAnsi="Times New Roman" w:eastAsia="SimSun" w:cs="Times New Roman"/>
                <w:b w:val="0"/>
                <w:bCs w:val="0"/>
                <w:color w:val="auto"/>
                <w:sz w:val="24"/>
                <w:szCs w:val="24"/>
              </w:rPr>
              <w:t xml:space="preserve">m. </w:t>
            </w:r>
          </w:p>
        </w:tc>
      </w:tr>
      <w:tr w14:paraId="3247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2F">
            <w:pPr>
              <w:widowControl/>
              <w:numPr>
                <w:ilvl w:val="0"/>
                <w:numId w:val="2"/>
              </w:numPr>
              <w:jc w:val="left"/>
              <w:rPr>
                <w:rFonts w:ascii="Times New Roman" w:hAnsi="Times New Roman" w:cs="Times New Roman"/>
                <w:color w:val="auto"/>
                <w:sz w:val="24"/>
                <w:szCs w:val="24"/>
              </w:rPr>
            </w:pPr>
          </w:p>
        </w:tc>
        <w:tc>
          <w:tcPr>
            <w:tcW w:w="1557" w:type="dxa"/>
          </w:tcPr>
          <w:p w14:paraId="3247483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Ko, et al., (2017)</w:t>
            </w:r>
          </w:p>
        </w:tc>
        <w:tc>
          <w:tcPr>
            <w:tcW w:w="2094" w:type="dxa"/>
          </w:tcPr>
          <w:p w14:paraId="32474831">
            <w:pPr>
              <w:widowControl/>
              <w:jc w:val="left"/>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A review paper that compiles findings from numerous studies, notably the MDRD trial and later meta-analytical investigations.</w:t>
            </w:r>
          </w:p>
        </w:tc>
        <w:tc>
          <w:tcPr>
            <w:tcW w:w="2149" w:type="dxa"/>
          </w:tcPr>
          <w:p w14:paraId="32474832">
            <w:pPr>
              <w:pStyle w:val="9"/>
              <w:widowControl/>
              <w:spacing w:beforeAutospacing="0" w:afterAutospacing="0"/>
              <w:jc w:val="both"/>
              <w:rPr>
                <w:color w:val="auto"/>
              </w:rPr>
            </w:pPr>
            <w:r>
              <w:rPr>
                <w:rStyle w:val="10"/>
                <w:b w:val="0"/>
                <w:bCs w:val="0"/>
                <w:color w:val="auto"/>
              </w:rPr>
              <w:t>LPD:</w:t>
            </w:r>
            <w:r>
              <w:rPr>
                <w:color w:val="auto"/>
              </w:rPr>
              <w:t xml:space="preserve"> 0.6–0.8 g/kg/day, s</w:t>
            </w:r>
            <w:r>
              <w:rPr>
                <w:rStyle w:val="10"/>
                <w:b w:val="0"/>
                <w:bCs w:val="0"/>
                <w:color w:val="auto"/>
              </w:rPr>
              <w:t>upplemented LPD:</w:t>
            </w:r>
            <w:r>
              <w:rPr>
                <w:color w:val="auto"/>
              </w:rPr>
              <w:t xml:space="preserve"> with essential amino acids or ketoanalogues for non-dialysis CKD or incremental dialysis transition.</w:t>
            </w:r>
          </w:p>
        </w:tc>
        <w:tc>
          <w:tcPr>
            <w:tcW w:w="2286" w:type="dxa"/>
          </w:tcPr>
          <w:p w14:paraId="32474833">
            <w:pPr>
              <w:pStyle w:val="9"/>
              <w:widowControl/>
              <w:spacing w:beforeAutospacing="0" w:afterAutospacing="0"/>
              <w:jc w:val="both"/>
              <w:rPr>
                <w:color w:val="auto"/>
              </w:rPr>
            </w:pPr>
            <w:r>
              <w:rPr>
                <w:color w:val="auto"/>
              </w:rPr>
              <w:t xml:space="preserve">Actual protein intake often exceeds LPD targets, yet evidence supports LPD benefits in slowing CKD and controlling metabolic complications. </w:t>
            </w:r>
          </w:p>
        </w:tc>
        <w:tc>
          <w:tcPr>
            <w:tcW w:w="2119" w:type="dxa"/>
          </w:tcPr>
          <w:p w14:paraId="32474834">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A </w:t>
            </w:r>
            <w:r>
              <w:rPr>
                <w:rStyle w:val="10"/>
                <w:rFonts w:ascii="Times New Roman" w:hAnsi="Times New Roman" w:eastAsia="SimSun" w:cs="Times New Roman"/>
                <w:b w:val="0"/>
                <w:bCs w:val="0"/>
                <w:color w:val="auto"/>
                <w:sz w:val="24"/>
                <w:szCs w:val="24"/>
              </w:rPr>
              <w:t>personalized, balanced LPD plan</w:t>
            </w:r>
            <w:r>
              <w:rPr>
                <w:rFonts w:ascii="Times New Roman" w:hAnsi="Times New Roman" w:eastAsia="SimSun" w:cs="Times New Roman"/>
                <w:color w:val="auto"/>
                <w:sz w:val="24"/>
                <w:szCs w:val="24"/>
              </w:rPr>
              <w:t xml:space="preserve"> with ongoing </w:t>
            </w:r>
            <w:r>
              <w:rPr>
                <w:rStyle w:val="10"/>
                <w:rFonts w:ascii="Times New Roman" w:hAnsi="Times New Roman" w:eastAsia="SimSun" w:cs="Times New Roman"/>
                <w:b w:val="0"/>
                <w:bCs w:val="0"/>
                <w:color w:val="auto"/>
                <w:sz w:val="24"/>
                <w:szCs w:val="24"/>
              </w:rPr>
              <w:t>nutritional counseling</w:t>
            </w:r>
            <w:r>
              <w:rPr>
                <w:rFonts w:ascii="Times New Roman" w:hAnsi="Times New Roman" w:eastAsia="SimSun" w:cs="Times New Roman"/>
                <w:color w:val="auto"/>
                <w:sz w:val="24"/>
                <w:szCs w:val="24"/>
              </w:rPr>
              <w:t xml:space="preserve"> is crucial for optimal CKD management and patient safety.</w:t>
            </w:r>
          </w:p>
        </w:tc>
      </w:tr>
      <w:tr w14:paraId="3247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36">
            <w:pPr>
              <w:widowControl/>
              <w:numPr>
                <w:ilvl w:val="0"/>
                <w:numId w:val="2"/>
              </w:numPr>
              <w:jc w:val="left"/>
              <w:rPr>
                <w:rFonts w:ascii="Times New Roman" w:hAnsi="Times New Roman" w:cs="Times New Roman"/>
                <w:color w:val="auto"/>
                <w:sz w:val="24"/>
                <w:szCs w:val="24"/>
              </w:rPr>
            </w:pPr>
          </w:p>
        </w:tc>
        <w:tc>
          <w:tcPr>
            <w:tcW w:w="1557" w:type="dxa"/>
          </w:tcPr>
          <w:p w14:paraId="32474837">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Watanabe &amp; Ohtsubo,</w:t>
            </w:r>
            <w:r>
              <w:rPr>
                <w:rFonts w:ascii="Times New Roman" w:hAnsi="Times New Roman" w:eastAsia="Segoe UI" w:cs="Times New Roman"/>
                <w:color w:val="auto"/>
                <w:sz w:val="24"/>
                <w:szCs w:val="24"/>
                <w:shd w:val="clear" w:color="auto" w:fill="FFFFFF"/>
              </w:rPr>
              <w:t xml:space="preserve"> (2017)</w:t>
            </w:r>
          </w:p>
        </w:tc>
        <w:tc>
          <w:tcPr>
            <w:tcW w:w="2094" w:type="dxa"/>
          </w:tcPr>
          <w:p w14:paraId="32474838">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Narrative review; no specific clinical trial or patient number reported</w:t>
            </w:r>
          </w:p>
        </w:tc>
        <w:tc>
          <w:tcPr>
            <w:tcW w:w="2149" w:type="dxa"/>
          </w:tcPr>
          <w:p w14:paraId="16AFEC5D">
            <w:pPr>
              <w:pStyle w:val="9"/>
              <w:widowControl/>
              <w:spacing w:beforeAutospacing="0" w:afterAutospacing="0"/>
              <w:jc w:val="both"/>
              <w:rPr>
                <w:color w:val="auto"/>
              </w:rPr>
            </w:pPr>
            <w:r>
              <w:rPr>
                <w:rStyle w:val="10"/>
                <w:b w:val="0"/>
                <w:bCs w:val="0"/>
                <w:color w:val="auto"/>
              </w:rPr>
              <w:t>Low-protein processed brown rice (LPBR)</w:t>
            </w:r>
            <w:r>
              <w:rPr>
                <w:color w:val="auto"/>
              </w:rPr>
              <w:t>Low protein content</w:t>
            </w:r>
          </w:p>
          <w:p w14:paraId="3247483B">
            <w:pPr>
              <w:pStyle w:val="9"/>
              <w:widowControl/>
              <w:spacing w:beforeAutospacing="0" w:afterAutospacing="0"/>
              <w:jc w:val="both"/>
              <w:rPr>
                <w:color w:val="auto"/>
              </w:rPr>
            </w:pPr>
            <w:r>
              <w:rPr>
                <w:color w:val="auto"/>
              </w:rPr>
              <w:t>Same energy as white rice.Low potassium and phosphorus.High dietary fiber and γ-oryzanol</w:t>
            </w:r>
          </w:p>
        </w:tc>
        <w:tc>
          <w:tcPr>
            <w:tcW w:w="2286" w:type="dxa"/>
          </w:tcPr>
          <w:p w14:paraId="3247483C">
            <w:pPr>
              <w:pStyle w:val="9"/>
              <w:widowControl/>
              <w:spacing w:beforeAutospacing="0" w:afterAutospacing="0"/>
              <w:jc w:val="both"/>
              <w:rPr>
                <w:color w:val="auto"/>
              </w:rPr>
            </w:pPr>
            <w:r>
              <w:rPr>
                <w:color w:val="auto"/>
              </w:rPr>
              <w:t>LPBR may stabilize intestinal microbiota. May improve uremic dysbiosis and leaky gut syndrome. Energy needs maintained while reducing protein load</w:t>
            </w:r>
          </w:p>
        </w:tc>
        <w:tc>
          <w:tcPr>
            <w:tcW w:w="2119" w:type="dxa"/>
          </w:tcPr>
          <w:p w14:paraId="3247483D">
            <w:pPr>
              <w:widowControl/>
              <w:jc w:val="both"/>
              <w:rPr>
                <w:rFonts w:ascii="Times New Roman" w:hAnsi="Times New Roman" w:cs="Times New Roman"/>
                <w:color w:val="auto"/>
                <w:sz w:val="24"/>
                <w:szCs w:val="24"/>
              </w:rPr>
            </w:pPr>
            <w:r>
              <w:rPr>
                <w:rFonts w:ascii="Times New Roman" w:hAnsi="Times New Roman" w:cs="Times New Roman"/>
                <w:color w:val="auto"/>
                <w:sz w:val="24"/>
                <w:szCs w:val="24"/>
              </w:rPr>
              <w:t>LPBR represents a culturally adaptable, practical dietary strategy in rice-consuming populations; could serve as an effective adjunct to LPD in CKD management.</w:t>
            </w:r>
          </w:p>
        </w:tc>
      </w:tr>
      <w:tr w14:paraId="3247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3F">
            <w:pPr>
              <w:widowControl/>
              <w:numPr>
                <w:ilvl w:val="0"/>
                <w:numId w:val="2"/>
              </w:numPr>
              <w:jc w:val="left"/>
              <w:rPr>
                <w:rFonts w:ascii="Times New Roman" w:hAnsi="Times New Roman" w:cs="Times New Roman"/>
                <w:color w:val="auto"/>
                <w:sz w:val="24"/>
                <w:szCs w:val="24"/>
              </w:rPr>
            </w:pPr>
          </w:p>
        </w:tc>
        <w:tc>
          <w:tcPr>
            <w:tcW w:w="1557" w:type="dxa"/>
          </w:tcPr>
          <w:p w14:paraId="32474840">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Wang, et al., (2017)</w:t>
            </w:r>
          </w:p>
        </w:tc>
        <w:tc>
          <w:tcPr>
            <w:tcW w:w="2094" w:type="dxa"/>
          </w:tcPr>
          <w:p w14:paraId="32474841">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 (expert consensus</w:t>
            </w:r>
            <w:r>
              <w:rPr>
                <w:rFonts w:ascii="Times New Roman" w:hAnsi="Times New Roman" w:eastAsia="SimSun" w:cs="Times New Roman"/>
                <w:color w:val="auto"/>
                <w:sz w:val="24"/>
                <w:szCs w:val="24"/>
              </w:rPr>
              <w:t>).</w:t>
            </w:r>
          </w:p>
        </w:tc>
        <w:tc>
          <w:tcPr>
            <w:tcW w:w="2149" w:type="dxa"/>
          </w:tcPr>
          <w:p w14:paraId="32474844">
            <w:pPr>
              <w:pStyle w:val="9"/>
              <w:widowControl/>
              <w:spacing w:beforeAutospacing="0" w:afterAutospacing="0"/>
              <w:jc w:val="both"/>
              <w:rPr>
                <w:color w:val="auto"/>
              </w:rPr>
            </w:pPr>
            <w:r>
              <w:rPr>
                <w:rStyle w:val="10"/>
                <w:b w:val="0"/>
                <w:bCs w:val="0"/>
                <w:color w:val="auto"/>
              </w:rPr>
              <w:t>LPD:</w:t>
            </w:r>
            <w:r>
              <w:rPr>
                <w:color w:val="auto"/>
              </w:rPr>
              <w:t xml:space="preserve"> 0.6–0.8 g/kg/day (≥50% high-biologic-value protein); </w:t>
            </w:r>
            <w:r>
              <w:rPr>
                <w:rStyle w:val="10"/>
                <w:b w:val="0"/>
                <w:bCs w:val="0"/>
                <w:color w:val="auto"/>
              </w:rPr>
              <w:t>VLPD:</w:t>
            </w:r>
            <w:r>
              <w:rPr>
                <w:color w:val="auto"/>
              </w:rPr>
              <w:t xml:space="preserve"> &lt;0.6 g/kg/day with </w:t>
            </w:r>
            <w:r>
              <w:rPr>
                <w:rStyle w:val="10"/>
                <w:b w:val="0"/>
                <w:bCs w:val="0"/>
                <w:color w:val="auto"/>
              </w:rPr>
              <w:t>essential amino acids or ketoanalogue supplements; a</w:t>
            </w:r>
            <w:r>
              <w:rPr>
                <w:color w:val="auto"/>
              </w:rPr>
              <w:t xml:space="preserve">dequate energy intake: </w:t>
            </w:r>
            <w:r>
              <w:rPr>
                <w:rStyle w:val="10"/>
                <w:b w:val="0"/>
                <w:bCs w:val="0"/>
                <w:color w:val="auto"/>
              </w:rPr>
              <w:t>30–35 kcal/kg/day</w:t>
            </w:r>
            <w:r>
              <w:rPr>
                <w:color w:val="auto"/>
              </w:rPr>
              <w:t>.</w:t>
            </w:r>
          </w:p>
        </w:tc>
        <w:tc>
          <w:tcPr>
            <w:tcW w:w="2286" w:type="dxa"/>
          </w:tcPr>
          <w:p w14:paraId="32474845">
            <w:pPr>
              <w:pStyle w:val="9"/>
              <w:widowControl/>
              <w:spacing w:beforeAutospacing="0" w:afterAutospacing="0"/>
              <w:jc w:val="both"/>
              <w:rPr>
                <w:rFonts w:hint="default" w:ascii="Times New Roman" w:hAnsi="Times New Roman" w:cs="Times New Roman"/>
                <w:color w:val="auto"/>
              </w:rPr>
            </w:pPr>
            <w:r>
              <w:rPr>
                <w:rFonts w:hint="default" w:ascii="Times New Roman" w:hAnsi="Times New Roman" w:eastAsia="SimSun" w:cs="Times New Roman"/>
                <w:color w:val="auto"/>
                <w:sz w:val="24"/>
                <w:szCs w:val="24"/>
              </w:rPr>
              <w:t>A low-protein diet (LPD) helps reduce proteinuria, enhance serum albumin levels in cases of hypoalbuminemia, correct metabolic acidosis, and improve phosphorus regulation, while maintaining nitrogen balance under proper supervision. It is recommended at less than 1.0 g/kg/day for patients with an eGFR below 60.</w:t>
            </w:r>
          </w:p>
        </w:tc>
        <w:tc>
          <w:tcPr>
            <w:tcW w:w="2119" w:type="dxa"/>
          </w:tcPr>
          <w:p w14:paraId="32474846">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is </w:t>
            </w:r>
            <w:r>
              <w:rPr>
                <w:rStyle w:val="10"/>
                <w:rFonts w:ascii="Times New Roman" w:hAnsi="Times New Roman" w:eastAsia="SimSun" w:cs="Times New Roman"/>
                <w:b w:val="0"/>
                <w:bCs w:val="0"/>
                <w:color w:val="auto"/>
                <w:sz w:val="24"/>
                <w:szCs w:val="24"/>
              </w:rPr>
              <w:t>effective, safe, and individualized</w:t>
            </w:r>
            <w:r>
              <w:rPr>
                <w:rFonts w:ascii="Times New Roman" w:hAnsi="Times New Roman" w:eastAsia="SimSun" w:cs="Times New Roman"/>
                <w:color w:val="auto"/>
                <w:sz w:val="24"/>
                <w:szCs w:val="24"/>
              </w:rPr>
              <w:t xml:space="preserve"> when nutritional adequacy is ensured;</w:t>
            </w:r>
            <w:r>
              <w:rPr>
                <w:rFonts w:ascii="Times New Roman" w:hAnsi="Times New Roman" w:eastAsia="SimSun" w:cs="Times New Roman"/>
                <w:color w:val="auto"/>
                <w:sz w:val="24"/>
                <w:szCs w:val="24"/>
              </w:rPr>
              <w:br w:type="textWrapping"/>
            </w:r>
            <w:r>
              <w:rPr>
                <w:rFonts w:ascii="Times New Roman" w:hAnsi="Times New Roman" w:eastAsia="SimSun" w:cs="Times New Roman"/>
                <w:color w:val="auto"/>
                <w:sz w:val="24"/>
                <w:szCs w:val="24"/>
              </w:rPr>
              <w:t xml:space="preserve">close dietary supervision prevents </w:t>
            </w:r>
            <w:r>
              <w:rPr>
                <w:rStyle w:val="10"/>
                <w:rFonts w:ascii="Times New Roman" w:hAnsi="Times New Roman" w:eastAsia="SimSun" w:cs="Times New Roman"/>
                <w:b w:val="0"/>
                <w:bCs w:val="0"/>
                <w:color w:val="auto"/>
                <w:sz w:val="24"/>
                <w:szCs w:val="24"/>
              </w:rPr>
              <w:t>protein-energy wasting (PEW)</w:t>
            </w:r>
            <w:r>
              <w:rPr>
                <w:rFonts w:ascii="Times New Roman" w:hAnsi="Times New Roman" w:eastAsia="SimSun" w:cs="Times New Roman"/>
                <w:color w:val="auto"/>
                <w:sz w:val="24"/>
                <w:szCs w:val="24"/>
              </w:rPr>
              <w:t>.</w:t>
            </w:r>
            <w:r>
              <w:rPr>
                <w:rFonts w:ascii="Times New Roman" w:hAnsi="Times New Roman" w:eastAsia="SimSun" w:cs="Times New Roman"/>
                <w:color w:val="auto"/>
                <w:sz w:val="24"/>
                <w:szCs w:val="24"/>
              </w:rPr>
              <w:br w:type="textWrapping"/>
            </w:r>
          </w:p>
        </w:tc>
      </w:tr>
      <w:tr w14:paraId="6B98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1FEC5795">
            <w:pPr>
              <w:widowControl w:val="0"/>
              <w:numPr>
                <w:ilvl w:val="0"/>
                <w:numId w:val="2"/>
              </w:numPr>
              <w:jc w:val="both"/>
              <w:rPr>
                <w:rFonts w:ascii="Times New Roman" w:hAnsi="Times New Roman" w:cs="Times New Roman"/>
                <w:color w:val="auto"/>
                <w:sz w:val="24"/>
                <w:szCs w:val="24"/>
              </w:rPr>
            </w:pPr>
          </w:p>
        </w:tc>
        <w:tc>
          <w:tcPr>
            <w:tcW w:w="1557" w:type="dxa"/>
          </w:tcPr>
          <w:p w14:paraId="48E8AFF1">
            <w:pPr>
              <w:widowControl w:val="0"/>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Kalantar-Zadeh, et al., (2016)</w:t>
            </w:r>
          </w:p>
        </w:tc>
        <w:tc>
          <w:tcPr>
            <w:tcW w:w="2094" w:type="dxa"/>
          </w:tcPr>
          <w:p w14:paraId="21B28EF6">
            <w:pPr>
              <w:widowControl w:val="0"/>
              <w:jc w:val="both"/>
              <w:rPr>
                <w:rStyle w:val="10"/>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color w:val="auto"/>
                <w:sz w:val="24"/>
                <w:szCs w:val="24"/>
              </w:rPr>
              <w:t>Not a clinical trial, but rather conceptual and practical insights derived from observational research.</w:t>
            </w:r>
          </w:p>
        </w:tc>
        <w:tc>
          <w:tcPr>
            <w:tcW w:w="2149" w:type="dxa"/>
          </w:tcPr>
          <w:p w14:paraId="5A23481C">
            <w:pPr>
              <w:pStyle w:val="9"/>
              <w:widowControl w:val="0"/>
              <w:spacing w:beforeAutospacing="0" w:afterAutospacing="0"/>
              <w:jc w:val="both"/>
              <w:rPr>
                <w:rStyle w:val="10"/>
                <w:b w:val="0"/>
                <w:bCs w:val="0"/>
                <w:color w:val="auto"/>
              </w:rPr>
            </w:pPr>
            <w:r>
              <w:rPr>
                <w:rStyle w:val="10"/>
                <w:b w:val="0"/>
                <w:bCs w:val="0"/>
                <w:color w:val="auto"/>
              </w:rPr>
              <w:t>(PLADO:</w:t>
            </w:r>
            <w:r>
              <w:rPr>
                <w:color w:val="auto"/>
              </w:rPr>
              <w:t xml:space="preserve"> 0.6–0.8 g/kg/day 50% protein from plant sources; fiber-rich, heart-healthy, patient-centered, administered by trained dietitians</w:t>
            </w:r>
          </w:p>
        </w:tc>
        <w:tc>
          <w:tcPr>
            <w:tcW w:w="2286" w:type="dxa"/>
          </w:tcPr>
          <w:p w14:paraId="169244B9">
            <w:pPr>
              <w:pStyle w:val="9"/>
              <w:widowControl w:val="0"/>
              <w:spacing w:beforeAutospacing="0" w:afterAutospacing="0"/>
              <w:jc w:val="both"/>
              <w:rPr>
                <w:color w:val="auto"/>
              </w:rPr>
            </w:pPr>
            <w:r>
              <w:rPr>
                <w:color w:val="auto"/>
              </w:rPr>
              <w:t>High-meat diets raise intraglomerular pressure, hyperfiltration, and uremic waste, while plant-dominant, fiber-rich LPDs improve gut microbiome health, reduce toxins, and enhance bowel and potassium balance.</w:t>
            </w:r>
          </w:p>
        </w:tc>
        <w:tc>
          <w:tcPr>
            <w:tcW w:w="2119" w:type="dxa"/>
          </w:tcPr>
          <w:p w14:paraId="04632BED">
            <w:pPr>
              <w:widowControl w:val="0"/>
              <w:jc w:val="both"/>
              <w:rPr>
                <w:rFonts w:ascii="Times New Roman" w:hAnsi="Times New Roman" w:eastAsia="SimSun" w:cs="Times New Roman"/>
                <w:color w:val="auto"/>
                <w:sz w:val="24"/>
                <w:szCs w:val="24"/>
              </w:rPr>
            </w:pPr>
            <w:r>
              <w:rPr>
                <w:rFonts w:ascii="Times New Roman" w:hAnsi="Times New Roman" w:eastAsia="SimSun" w:cs="Times New Roman"/>
                <w:color w:val="auto"/>
                <w:sz w:val="24"/>
                <w:szCs w:val="24"/>
              </w:rPr>
              <w:t>PLADO is a promising, conservative dietary strategy for CKD management, emphasizing plant-based proteins, gut microbiome modulation, and cardiovascular protection, challenging the dialysis-centric paradigm.</w:t>
            </w:r>
          </w:p>
        </w:tc>
      </w:tr>
      <w:tr w14:paraId="324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48">
            <w:pPr>
              <w:widowControl/>
              <w:numPr>
                <w:ilvl w:val="0"/>
                <w:numId w:val="2"/>
              </w:numPr>
              <w:jc w:val="left"/>
              <w:rPr>
                <w:rFonts w:ascii="Times New Roman" w:hAnsi="Times New Roman" w:cs="Times New Roman"/>
                <w:color w:val="auto"/>
                <w:sz w:val="24"/>
                <w:szCs w:val="24"/>
              </w:rPr>
            </w:pPr>
          </w:p>
        </w:tc>
        <w:tc>
          <w:tcPr>
            <w:tcW w:w="1557" w:type="dxa"/>
          </w:tcPr>
          <w:p w14:paraId="32474849">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Piccoli, et al., (2016)</w:t>
            </w:r>
          </w:p>
        </w:tc>
        <w:tc>
          <w:tcPr>
            <w:tcW w:w="2094" w:type="dxa"/>
          </w:tcPr>
          <w:p w14:paraId="3247484A">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Observational cohort study</w:t>
            </w:r>
            <w:r>
              <w:rPr>
                <w:color w:val="auto"/>
              </w:rPr>
              <w:t xml:space="preserve">; sample size </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449 patients</w:t>
            </w:r>
            <w:r>
              <w:rPr>
                <w:rFonts w:ascii="Times New Roman" w:hAnsi="Times New Roman" w:eastAsia="SimSun" w:cs="Times New Roman"/>
                <w:color w:val="auto"/>
                <w:sz w:val="24"/>
                <w:szCs w:val="24"/>
              </w:rPr>
              <w:t xml:space="preserve"> (149 diabetic, 300 non-diabetic).</w:t>
            </w:r>
          </w:p>
        </w:tc>
        <w:tc>
          <w:tcPr>
            <w:tcW w:w="2149" w:type="dxa"/>
          </w:tcPr>
          <w:p w14:paraId="3247484C">
            <w:pPr>
              <w:pStyle w:val="9"/>
              <w:widowControl/>
              <w:spacing w:beforeAutospacing="0" w:afterAutospacing="0"/>
              <w:jc w:val="both"/>
              <w:rPr>
                <w:color w:val="auto"/>
              </w:rPr>
            </w:pPr>
            <w:r>
              <w:rPr>
                <w:rStyle w:val="10"/>
                <w:b w:val="0"/>
                <w:bCs w:val="0"/>
                <w:color w:val="auto"/>
              </w:rPr>
              <w:t>Personalized LPD:</w:t>
            </w:r>
            <w:r>
              <w:rPr>
                <w:color w:val="auto"/>
              </w:rPr>
              <w:t xml:space="preserve"> ~0.6g rotein/kg/day (moderate restriction); compliance assessed by </w:t>
            </w:r>
            <w:r>
              <w:rPr>
                <w:rStyle w:val="10"/>
                <w:b w:val="0"/>
                <w:bCs w:val="0"/>
                <w:color w:val="auto"/>
              </w:rPr>
              <w:t>Mitch formula (~0.47 g/kg/day)</w:t>
            </w:r>
            <w:r>
              <w:rPr>
                <w:color w:val="auto"/>
              </w:rPr>
              <w:t>.</w:t>
            </w:r>
          </w:p>
        </w:tc>
        <w:tc>
          <w:tcPr>
            <w:tcW w:w="2286" w:type="dxa"/>
          </w:tcPr>
          <w:p w14:paraId="3247484D">
            <w:pPr>
              <w:pStyle w:val="9"/>
              <w:widowControl/>
              <w:spacing w:beforeAutospacing="0" w:afterAutospacing="0"/>
              <w:jc w:val="both"/>
              <w:rPr>
                <w:color w:val="auto"/>
              </w:rPr>
            </w:pPr>
            <w:r>
              <w:rPr>
                <w:color w:val="auto"/>
              </w:rPr>
              <w:t xml:space="preserve">Diabetic patients showed greater proteinuria and comorbidities; with good compliance, dialysis-free survival was comparable. </w:t>
            </w:r>
          </w:p>
        </w:tc>
        <w:tc>
          <w:tcPr>
            <w:tcW w:w="2119" w:type="dxa"/>
          </w:tcPr>
          <w:p w14:paraId="3247484E">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Moderately restricted </w:t>
            </w:r>
            <w:r>
              <w:rPr>
                <w:rStyle w:val="10"/>
                <w:rFonts w:ascii="Times New Roman" w:hAnsi="Times New Roman" w:eastAsia="SimSun" w:cs="Times New Roman"/>
                <w:b w:val="0"/>
                <w:bCs w:val="0"/>
                <w:color w:val="auto"/>
                <w:sz w:val="24"/>
                <w:szCs w:val="24"/>
              </w:rPr>
              <w:t>LPDs are feasible and safe</w:t>
            </w:r>
            <w:r>
              <w:rPr>
                <w:rFonts w:ascii="Times New Roman" w:hAnsi="Times New Roman" w:eastAsia="SimSun" w:cs="Times New Roman"/>
                <w:color w:val="auto"/>
                <w:sz w:val="24"/>
                <w:szCs w:val="24"/>
              </w:rPr>
              <w:t xml:space="preserve"> in diabetic CKD patients with careful monitoring.</w:t>
            </w:r>
          </w:p>
        </w:tc>
      </w:tr>
      <w:tr w14:paraId="324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50">
            <w:pPr>
              <w:widowControl/>
              <w:numPr>
                <w:ilvl w:val="0"/>
                <w:numId w:val="2"/>
              </w:numPr>
              <w:jc w:val="left"/>
              <w:rPr>
                <w:rFonts w:ascii="Times New Roman" w:hAnsi="Times New Roman" w:cs="Times New Roman"/>
                <w:color w:val="auto"/>
                <w:sz w:val="24"/>
                <w:szCs w:val="24"/>
              </w:rPr>
            </w:pPr>
          </w:p>
        </w:tc>
        <w:tc>
          <w:tcPr>
            <w:tcW w:w="1557" w:type="dxa"/>
          </w:tcPr>
          <w:p w14:paraId="32474851">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Garneata, et al., (2016)</w:t>
            </w:r>
          </w:p>
        </w:tc>
        <w:tc>
          <w:tcPr>
            <w:tcW w:w="2094" w:type="dxa"/>
          </w:tcPr>
          <w:p w14:paraId="32474852">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 xml:space="preserve">Prospective RCT; </w:t>
            </w:r>
            <w:r>
              <w:rPr>
                <w:rFonts w:ascii="Times New Roman" w:hAnsi="Times New Roman" w:eastAsia="SimSun" w:cs="Times New Roman"/>
                <w:color w:val="auto"/>
                <w:sz w:val="24"/>
                <w:szCs w:val="24"/>
              </w:rPr>
              <w:t>s(creened large cohort).</w:t>
            </w:r>
          </w:p>
        </w:tc>
        <w:tc>
          <w:tcPr>
            <w:tcW w:w="2149" w:type="dxa"/>
          </w:tcPr>
          <w:p w14:paraId="32474853">
            <w:pPr>
              <w:pStyle w:val="9"/>
              <w:widowControl/>
              <w:spacing w:beforeAutospacing="0" w:afterAutospacing="0"/>
              <w:jc w:val="both"/>
              <w:rPr>
                <w:color w:val="auto"/>
              </w:rPr>
            </w:pPr>
            <w:r>
              <w:rPr>
                <w:rStyle w:val="10"/>
                <w:b w:val="0"/>
                <w:bCs w:val="0"/>
                <w:color w:val="auto"/>
              </w:rPr>
              <w:t>KD group:</w:t>
            </w:r>
            <w:r>
              <w:rPr>
                <w:color w:val="auto"/>
              </w:rPr>
              <w:t xml:space="preserve"> 0.3 g/kg/day </w:t>
            </w:r>
            <w:r>
              <w:rPr>
                <w:rStyle w:val="10"/>
                <w:b w:val="0"/>
                <w:bCs w:val="0"/>
                <w:color w:val="auto"/>
              </w:rPr>
              <w:t>vegetable proteins</w:t>
            </w:r>
            <w:r>
              <w:rPr>
                <w:color w:val="auto"/>
              </w:rPr>
              <w:t xml:space="preserve"> + </w:t>
            </w:r>
            <w:r>
              <w:rPr>
                <w:rStyle w:val="10"/>
                <w:b w:val="0"/>
                <w:bCs w:val="0"/>
                <w:color w:val="auto"/>
              </w:rPr>
              <w:t>ketoanalogues (1 tablet/5 kg body weight/day); LPD group:</w:t>
            </w:r>
            <w:r>
              <w:rPr>
                <w:color w:val="auto"/>
              </w:rPr>
              <w:t xml:space="preserve"> 0.6 g/kg/day conventional protein diet; d</w:t>
            </w:r>
            <w:r>
              <w:rPr>
                <w:rStyle w:val="10"/>
                <w:b w:val="0"/>
                <w:bCs w:val="0"/>
                <w:color w:val="auto"/>
              </w:rPr>
              <w:t>uration:</w:t>
            </w:r>
            <w:r>
              <w:rPr>
                <w:color w:val="auto"/>
              </w:rPr>
              <w:t xml:space="preserve"> 15 months after a 3-month run-in phase on LPD.</w:t>
            </w:r>
          </w:p>
        </w:tc>
        <w:tc>
          <w:tcPr>
            <w:tcW w:w="2286" w:type="dxa"/>
          </w:tcPr>
          <w:p w14:paraId="32474854">
            <w:pPr>
              <w:pStyle w:val="9"/>
              <w:widowControl/>
              <w:spacing w:beforeAutospacing="0" w:afterAutospacing="0"/>
              <w:jc w:val="both"/>
              <w:rPr>
                <w:color w:val="auto"/>
              </w:rPr>
            </w:pPr>
            <w:r>
              <w:rPr>
                <w:rStyle w:val="10"/>
                <w:b w:val="0"/>
                <w:bCs w:val="0"/>
                <w:color w:val="auto"/>
              </w:rPr>
              <w:t>KD delayed CKD progression</w:t>
            </w:r>
            <w:r>
              <w:rPr>
                <w:color w:val="auto"/>
              </w:rPr>
              <w:t xml:space="preserve"> and </w:t>
            </w:r>
            <w:r>
              <w:rPr>
                <w:rStyle w:val="10"/>
                <w:b w:val="0"/>
                <w:bCs w:val="0"/>
                <w:color w:val="auto"/>
              </w:rPr>
              <w:t>reduced dialysis initiation</w:t>
            </w:r>
            <w:r>
              <w:rPr>
                <w:color w:val="auto"/>
              </w:rPr>
              <w:t xml:space="preserve"> rates.</w:t>
            </w:r>
          </w:p>
          <w:p w14:paraId="32474855">
            <w:pPr>
              <w:pStyle w:val="9"/>
              <w:widowControl/>
              <w:spacing w:beforeAutospacing="0" w:afterAutospacing="0"/>
              <w:jc w:val="both"/>
              <w:rPr>
                <w:color w:val="auto"/>
              </w:rPr>
            </w:pPr>
            <w:r>
              <w:rPr>
                <w:rStyle w:val="10"/>
                <w:b w:val="0"/>
                <w:bCs w:val="0"/>
                <w:color w:val="auto"/>
              </w:rPr>
              <w:t>Metabolic abnormalities corrected</w:t>
            </w:r>
            <w:r>
              <w:rPr>
                <w:color w:val="auto"/>
              </w:rPr>
              <w:t xml:space="preserve"> only in KD group.</w:t>
            </w:r>
          </w:p>
          <w:p w14:paraId="32474856">
            <w:pPr>
              <w:pStyle w:val="9"/>
              <w:widowControl/>
              <w:spacing w:beforeAutospacing="0" w:afterAutospacing="0"/>
              <w:jc w:val="both"/>
              <w:rPr>
                <w:color w:val="auto"/>
              </w:rPr>
            </w:pPr>
            <w:r>
              <w:rPr>
                <w:rStyle w:val="10"/>
                <w:b w:val="0"/>
                <w:bCs w:val="0"/>
                <w:color w:val="auto"/>
              </w:rPr>
              <w:t>Good diet compliance</w:t>
            </w:r>
            <w:r>
              <w:rPr>
                <w:color w:val="auto"/>
              </w:rPr>
              <w:t xml:space="preserve"> and </w:t>
            </w:r>
            <w:r>
              <w:rPr>
                <w:rStyle w:val="10"/>
                <w:b w:val="0"/>
                <w:bCs w:val="0"/>
                <w:color w:val="auto"/>
              </w:rPr>
              <w:t>no adverse nutritional effects</w:t>
            </w:r>
            <w:r>
              <w:rPr>
                <w:color w:val="auto"/>
              </w:rPr>
              <w:t xml:space="preserve"> reported.</w:t>
            </w:r>
          </w:p>
        </w:tc>
        <w:tc>
          <w:tcPr>
            <w:tcW w:w="2119" w:type="dxa"/>
          </w:tcPr>
          <w:p w14:paraId="32474857">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The </w:t>
            </w:r>
            <w:r>
              <w:rPr>
                <w:rStyle w:val="10"/>
                <w:rFonts w:ascii="Times New Roman" w:hAnsi="Times New Roman" w:eastAsia="SimSun" w:cs="Times New Roman"/>
                <w:b w:val="0"/>
                <w:bCs w:val="0"/>
                <w:color w:val="auto"/>
                <w:sz w:val="24"/>
                <w:szCs w:val="24"/>
              </w:rPr>
              <w:t>ketoanalogue-supplemented vegetarian VLPD</w:t>
            </w:r>
            <w:r>
              <w:rPr>
                <w:rFonts w:ascii="Times New Roman" w:hAnsi="Times New Roman" w:eastAsia="SimSun" w:cs="Times New Roman"/>
                <w:color w:val="auto"/>
                <w:sz w:val="24"/>
                <w:szCs w:val="24"/>
              </w:rPr>
              <w:t xml:space="preserve"> is </w:t>
            </w:r>
            <w:r>
              <w:rPr>
                <w:rStyle w:val="10"/>
                <w:rFonts w:ascii="Times New Roman" w:hAnsi="Times New Roman" w:eastAsia="SimSun" w:cs="Times New Roman"/>
                <w:b w:val="0"/>
                <w:bCs w:val="0"/>
                <w:color w:val="auto"/>
                <w:sz w:val="24"/>
                <w:szCs w:val="24"/>
              </w:rPr>
              <w:t>safe, well-tolerated</w:t>
            </w:r>
            <w:r>
              <w:rPr>
                <w:rFonts w:ascii="Times New Roman" w:hAnsi="Times New Roman" w:eastAsia="SimSun" w:cs="Times New Roman"/>
                <w:color w:val="auto"/>
                <w:sz w:val="24"/>
                <w:szCs w:val="24"/>
              </w:rPr>
              <w:t xml:space="preserve">, and can </w:t>
            </w:r>
            <w:r>
              <w:rPr>
                <w:rStyle w:val="10"/>
                <w:rFonts w:ascii="Times New Roman" w:hAnsi="Times New Roman" w:eastAsia="SimSun" w:cs="Times New Roman"/>
                <w:b w:val="0"/>
                <w:bCs w:val="0"/>
                <w:color w:val="auto"/>
                <w:sz w:val="24"/>
                <w:szCs w:val="24"/>
              </w:rPr>
              <w:t>delay dialysis</w:t>
            </w:r>
            <w:r>
              <w:rPr>
                <w:rFonts w:ascii="Times New Roman" w:hAnsi="Times New Roman" w:eastAsia="SimSun" w:cs="Times New Roman"/>
                <w:color w:val="auto"/>
                <w:sz w:val="24"/>
                <w:szCs w:val="24"/>
              </w:rPr>
              <w:t xml:space="preserve"> in well-selected CKD patients with good compliance and nutritional status.</w:t>
            </w:r>
          </w:p>
        </w:tc>
      </w:tr>
      <w:tr w14:paraId="18E3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6ADB34C2">
            <w:pPr>
              <w:widowControl w:val="0"/>
              <w:numPr>
                <w:ilvl w:val="0"/>
                <w:numId w:val="2"/>
              </w:numPr>
              <w:jc w:val="both"/>
              <w:rPr>
                <w:rFonts w:ascii="Times New Roman" w:hAnsi="Times New Roman" w:cs="Times New Roman"/>
                <w:color w:val="auto"/>
                <w:sz w:val="24"/>
                <w:szCs w:val="24"/>
              </w:rPr>
            </w:pPr>
          </w:p>
        </w:tc>
        <w:tc>
          <w:tcPr>
            <w:tcW w:w="1557" w:type="dxa"/>
          </w:tcPr>
          <w:p w14:paraId="7683DD6D">
            <w:pPr>
              <w:widowControl w:val="0"/>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Mafra &amp; Leal, (2016)</w:t>
            </w:r>
          </w:p>
        </w:tc>
        <w:tc>
          <w:tcPr>
            <w:tcW w:w="2094" w:type="dxa"/>
          </w:tcPr>
          <w:p w14:paraId="3BD28E9E">
            <w:pPr>
              <w:widowControl w:val="0"/>
              <w:jc w:val="both"/>
              <w:rPr>
                <w:rStyle w:val="10"/>
                <w:rFonts w:ascii="Times New Roman" w:hAnsi="Times New Roman" w:eastAsia="SimSun" w:cs="Times New Roman"/>
                <w:b w:val="0"/>
                <w:bCs w:val="0"/>
                <w:color w:val="auto"/>
                <w:sz w:val="24"/>
                <w:szCs w:val="24"/>
              </w:rPr>
            </w:pPr>
            <w:r>
              <w:rPr>
                <w:rStyle w:val="10"/>
                <w:rFonts w:ascii="Times New Roman" w:hAnsi="Times New Roman" w:cs="Times New Roman"/>
                <w:b w:val="0"/>
                <w:bCs w:val="0"/>
                <w:color w:val="auto"/>
                <w:sz w:val="24"/>
                <w:szCs w:val="24"/>
              </w:rPr>
              <w:t>Type:</w:t>
            </w:r>
            <w:r>
              <w:rPr>
                <w:rFonts w:ascii="Times New Roman" w:hAnsi="Times New Roman" w:cs="Times New Roman"/>
                <w:color w:val="auto"/>
                <w:sz w:val="24"/>
                <w:szCs w:val="24"/>
              </w:rPr>
              <w:t xml:space="preserve"> </w:t>
            </w:r>
            <w:r>
              <w:rPr>
                <w:rStyle w:val="10"/>
                <w:rFonts w:ascii="Times New Roman" w:hAnsi="Times New Roman" w:cs="Times New Roman"/>
                <w:b w:val="0"/>
                <w:bCs w:val="0"/>
                <w:color w:val="auto"/>
                <w:sz w:val="24"/>
                <w:szCs w:val="24"/>
              </w:rPr>
              <w:t xml:space="preserve">Narrative review </w:t>
            </w:r>
            <w:r>
              <w:rPr>
                <w:rFonts w:ascii="Times New Roman" w:hAnsi="Times New Roman" w:cs="Times New Roman"/>
                <w:color w:val="auto"/>
                <w:sz w:val="24"/>
                <w:szCs w:val="24"/>
              </w:rPr>
              <w:t>(evidence-based discussion using multiple studies).</w:t>
            </w:r>
          </w:p>
        </w:tc>
        <w:tc>
          <w:tcPr>
            <w:tcW w:w="2149" w:type="dxa"/>
          </w:tcPr>
          <w:p w14:paraId="17B60C28">
            <w:pPr>
              <w:pStyle w:val="9"/>
              <w:widowControl w:val="0"/>
              <w:spacing w:beforeAutospacing="0" w:afterAutospacing="0"/>
              <w:jc w:val="both"/>
              <w:rPr>
                <w:rStyle w:val="10"/>
                <w:b w:val="0"/>
                <w:bCs w:val="0"/>
                <w:color w:val="auto"/>
              </w:rPr>
            </w:pPr>
            <w:r>
              <w:rPr>
                <w:color w:val="auto"/>
              </w:rPr>
              <w:t>Low-protein diet (LPD) for non-dialysis CKD; high-protein intake linked to renal and cardiovascular harm.</w:t>
            </w:r>
          </w:p>
        </w:tc>
        <w:tc>
          <w:tcPr>
            <w:tcW w:w="2286" w:type="dxa"/>
          </w:tcPr>
          <w:p w14:paraId="3DFD1C52">
            <w:pPr>
              <w:pStyle w:val="9"/>
              <w:widowControl w:val="0"/>
              <w:spacing w:beforeAutospacing="0" w:afterAutospacing="0"/>
              <w:jc w:val="both"/>
              <w:rPr>
                <w:rStyle w:val="10"/>
                <w:b w:val="0"/>
                <w:bCs w:val="0"/>
                <w:color w:val="auto"/>
              </w:rPr>
            </w:pPr>
            <w:r>
              <w:rPr>
                <w:color w:val="auto"/>
              </w:rPr>
              <w:t>Excess protein causes oxidative stress and acidosis, while over-restriction leads to malnutrition; balanced intake supports renal and systemic health.</w:t>
            </w:r>
          </w:p>
        </w:tc>
        <w:tc>
          <w:tcPr>
            <w:tcW w:w="2119" w:type="dxa"/>
          </w:tcPr>
          <w:p w14:paraId="32343BB3">
            <w:pPr>
              <w:widowControl w:val="0"/>
              <w:jc w:val="both"/>
              <w:rPr>
                <w:rFonts w:ascii="Times New Roman" w:hAnsi="Times New Roman" w:eastAsia="SimSun" w:cs="Times New Roman"/>
                <w:color w:val="auto"/>
                <w:sz w:val="24"/>
                <w:szCs w:val="24"/>
              </w:rPr>
            </w:pPr>
            <w:r>
              <w:rPr>
                <w:rFonts w:ascii="Times New Roman" w:hAnsi="Times New Roman" w:cs="Times New Roman"/>
                <w:color w:val="auto"/>
                <w:sz w:val="24"/>
                <w:szCs w:val="24"/>
              </w:rPr>
              <w:t>LPD is effective when personalized and regularly monitored to optimize outcomes.</w:t>
            </w:r>
          </w:p>
        </w:tc>
      </w:tr>
      <w:tr w14:paraId="3247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59">
            <w:pPr>
              <w:widowControl/>
              <w:numPr>
                <w:ilvl w:val="0"/>
                <w:numId w:val="2"/>
              </w:numPr>
              <w:jc w:val="left"/>
              <w:rPr>
                <w:rFonts w:ascii="Times New Roman" w:hAnsi="Times New Roman" w:cs="Times New Roman"/>
                <w:color w:val="auto"/>
                <w:sz w:val="24"/>
                <w:szCs w:val="24"/>
              </w:rPr>
            </w:pPr>
          </w:p>
        </w:tc>
        <w:tc>
          <w:tcPr>
            <w:tcW w:w="1557" w:type="dxa"/>
          </w:tcPr>
          <w:p w14:paraId="3247485A">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Mafra, et al., (2016)</w:t>
            </w:r>
          </w:p>
        </w:tc>
        <w:tc>
          <w:tcPr>
            <w:tcW w:w="2094" w:type="dxa"/>
          </w:tcPr>
          <w:p w14:paraId="3247485B">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Narrative/practical review (</w:t>
            </w:r>
            <w:r>
              <w:rPr>
                <w:rFonts w:ascii="Times New Roman" w:hAnsi="Times New Roman" w:eastAsia="SimSun" w:cs="Times New Roman"/>
                <w:color w:val="auto"/>
                <w:sz w:val="24"/>
                <w:szCs w:val="24"/>
              </w:rPr>
              <w:t>on national dietary habits and implementation challenges).</w:t>
            </w:r>
          </w:p>
        </w:tc>
        <w:tc>
          <w:tcPr>
            <w:tcW w:w="2149" w:type="dxa"/>
          </w:tcPr>
          <w:p w14:paraId="3247485C">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(LPD</w:t>
            </w:r>
            <w:r>
              <w:rPr>
                <w:rFonts w:ascii="Times New Roman" w:hAnsi="Times New Roman" w:eastAsia="SimSun" w:cs="Times New Roman"/>
                <w:color w:val="auto"/>
                <w:sz w:val="24"/>
                <w:szCs w:val="24"/>
              </w:rPr>
              <w:t xml:space="preserve"> adapted to Brazilian eating patterns-emphasizing portion control, substitution of HPD, and increased counseling by </w:t>
            </w:r>
            <w:r>
              <w:rPr>
                <w:rStyle w:val="10"/>
                <w:rFonts w:ascii="Times New Roman" w:hAnsi="Times New Roman" w:eastAsia="SimSun" w:cs="Times New Roman"/>
                <w:b w:val="0"/>
                <w:bCs w:val="0"/>
                <w:color w:val="auto"/>
                <w:sz w:val="24"/>
                <w:szCs w:val="24"/>
              </w:rPr>
              <w:t>renal dietitians</w:t>
            </w:r>
            <w:r>
              <w:rPr>
                <w:rFonts w:ascii="Times New Roman" w:hAnsi="Times New Roman" w:eastAsia="SimSun" w:cs="Times New Roman"/>
                <w:color w:val="auto"/>
                <w:sz w:val="24"/>
                <w:szCs w:val="24"/>
              </w:rPr>
              <w:t>.</w:t>
            </w:r>
          </w:p>
        </w:tc>
        <w:tc>
          <w:tcPr>
            <w:tcW w:w="2286" w:type="dxa"/>
          </w:tcPr>
          <w:p w14:paraId="3247485D">
            <w:pPr>
              <w:pStyle w:val="9"/>
              <w:widowControl/>
              <w:spacing w:beforeAutospacing="0" w:afterAutospacing="0"/>
              <w:jc w:val="both"/>
              <w:rPr>
                <w:color w:val="auto"/>
              </w:rPr>
            </w:pPr>
            <w:r>
              <w:rPr>
                <w:color w:val="auto"/>
              </w:rPr>
              <w:t>HPD intake in Brazil (due to red meat, rice, and beans) challenges LPD implementation.</w:t>
            </w:r>
          </w:p>
          <w:p w14:paraId="3247485F">
            <w:pPr>
              <w:pStyle w:val="9"/>
              <w:widowControl/>
              <w:spacing w:beforeAutospacing="0" w:afterAutospacing="0"/>
              <w:jc w:val="both"/>
              <w:rPr>
                <w:color w:val="auto"/>
              </w:rPr>
            </w:pPr>
            <w:r>
              <w:rPr>
                <w:rStyle w:val="10"/>
                <w:b w:val="0"/>
                <w:bCs w:val="0"/>
                <w:color w:val="auto"/>
              </w:rPr>
              <w:t>Socioeconomic and healthcare barriers</w:t>
            </w:r>
            <w:r>
              <w:rPr>
                <w:color w:val="auto"/>
              </w:rPr>
              <w:t xml:space="preserve"> hinder consistent nutritional care.</w:t>
            </w:r>
          </w:p>
        </w:tc>
        <w:tc>
          <w:tcPr>
            <w:tcW w:w="2119" w:type="dxa"/>
          </w:tcPr>
          <w:p w14:paraId="32474860">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Successful LPD programs in Brazil require </w:t>
            </w:r>
            <w:r>
              <w:rPr>
                <w:rStyle w:val="10"/>
                <w:rFonts w:ascii="Times New Roman" w:hAnsi="Times New Roman" w:eastAsia="SimSun" w:cs="Times New Roman"/>
                <w:b w:val="0"/>
                <w:bCs w:val="0"/>
                <w:color w:val="auto"/>
                <w:sz w:val="24"/>
                <w:szCs w:val="24"/>
              </w:rPr>
              <w:t>multidisciplinary support</w:t>
            </w:r>
            <w:r>
              <w:rPr>
                <w:rFonts w:ascii="Times New Roman" w:hAnsi="Times New Roman" w:eastAsia="SimSun" w:cs="Times New Roman"/>
                <w:color w:val="auto"/>
                <w:sz w:val="24"/>
                <w:szCs w:val="24"/>
              </w:rPr>
              <w:t xml:space="preserve">, </w:t>
            </w:r>
            <w:r>
              <w:rPr>
                <w:rStyle w:val="10"/>
                <w:rFonts w:ascii="Times New Roman" w:hAnsi="Times New Roman" w:eastAsia="SimSun" w:cs="Times New Roman"/>
                <w:b w:val="0"/>
                <w:bCs w:val="0"/>
                <w:color w:val="auto"/>
                <w:sz w:val="24"/>
                <w:szCs w:val="24"/>
              </w:rPr>
              <w:t>patient education</w:t>
            </w:r>
            <w:r>
              <w:rPr>
                <w:rFonts w:ascii="Times New Roman" w:hAnsi="Times New Roman" w:eastAsia="SimSun" w:cs="Times New Roman"/>
                <w:color w:val="auto"/>
                <w:sz w:val="24"/>
                <w:szCs w:val="24"/>
              </w:rPr>
              <w:t xml:space="preserve">, and </w:t>
            </w:r>
            <w:r>
              <w:rPr>
                <w:rStyle w:val="10"/>
                <w:rFonts w:ascii="Times New Roman" w:hAnsi="Times New Roman" w:eastAsia="SimSun" w:cs="Times New Roman"/>
                <w:b w:val="0"/>
                <w:bCs w:val="0"/>
                <w:color w:val="auto"/>
                <w:sz w:val="24"/>
                <w:szCs w:val="24"/>
              </w:rPr>
              <w:t>tailored interventions.</w:t>
            </w:r>
            <w:r>
              <w:rPr>
                <w:rFonts w:ascii="Times New Roman" w:hAnsi="Times New Roman" w:eastAsia="SimSun" w:cs="Times New Roman"/>
                <w:color w:val="auto"/>
                <w:sz w:val="24"/>
                <w:szCs w:val="24"/>
              </w:rPr>
              <w:t xml:space="preserve"> </w:t>
            </w:r>
          </w:p>
        </w:tc>
      </w:tr>
      <w:tr w14:paraId="324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62">
            <w:pPr>
              <w:widowControl/>
              <w:numPr>
                <w:ilvl w:val="0"/>
                <w:numId w:val="2"/>
              </w:numPr>
              <w:jc w:val="left"/>
              <w:rPr>
                <w:rFonts w:ascii="Times New Roman" w:hAnsi="Times New Roman" w:cs="Times New Roman"/>
                <w:color w:val="auto"/>
                <w:sz w:val="24"/>
                <w:szCs w:val="24"/>
              </w:rPr>
            </w:pPr>
          </w:p>
        </w:tc>
        <w:tc>
          <w:tcPr>
            <w:tcW w:w="1557" w:type="dxa"/>
          </w:tcPr>
          <w:p w14:paraId="32474863">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Piccoli, et al., (2016)</w:t>
            </w:r>
          </w:p>
        </w:tc>
        <w:tc>
          <w:tcPr>
            <w:tcW w:w="2094" w:type="dxa"/>
          </w:tcPr>
          <w:p w14:paraId="32474864">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 (</w:t>
            </w:r>
            <w:r>
              <w:rPr>
                <w:rFonts w:ascii="Times New Roman" w:hAnsi="Times New Roman" w:eastAsia="SimSun" w:cs="Times New Roman"/>
                <w:color w:val="auto"/>
                <w:sz w:val="24"/>
                <w:szCs w:val="24"/>
              </w:rPr>
              <w:t>focusing on conceptual and methodological insights).</w:t>
            </w:r>
          </w:p>
        </w:tc>
        <w:tc>
          <w:tcPr>
            <w:tcW w:w="2149" w:type="dxa"/>
          </w:tcPr>
          <w:p w14:paraId="32474865">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Balanced protein restriction</w:t>
            </w:r>
            <w:r>
              <w:rPr>
                <w:rFonts w:ascii="Times New Roman" w:hAnsi="Times New Roman" w:eastAsia="SimSun" w:cs="Times New Roman"/>
                <w:color w:val="auto"/>
                <w:sz w:val="24"/>
                <w:szCs w:val="24"/>
              </w:rPr>
              <w:t xml:space="preserve"> to provide “functional rest” to nephrons; emphasis on </w:t>
            </w:r>
            <w:r>
              <w:rPr>
                <w:rStyle w:val="10"/>
                <w:rFonts w:ascii="Times New Roman" w:hAnsi="Times New Roman" w:eastAsia="SimSun" w:cs="Times New Roman"/>
                <w:b w:val="0"/>
                <w:bCs w:val="0"/>
                <w:color w:val="auto"/>
                <w:sz w:val="24"/>
                <w:szCs w:val="24"/>
              </w:rPr>
              <w:t>personalized low-protein diet planning</w:t>
            </w:r>
            <w:r>
              <w:rPr>
                <w:rFonts w:ascii="Times New Roman" w:hAnsi="Times New Roman" w:eastAsia="SimSun" w:cs="Times New Roman"/>
                <w:color w:val="auto"/>
                <w:sz w:val="24"/>
                <w:szCs w:val="24"/>
              </w:rPr>
              <w:t>.</w:t>
            </w:r>
          </w:p>
        </w:tc>
        <w:tc>
          <w:tcPr>
            <w:tcW w:w="2286" w:type="dxa"/>
          </w:tcPr>
          <w:p w14:paraId="32474866">
            <w:pPr>
              <w:pStyle w:val="9"/>
              <w:widowControl/>
              <w:spacing w:beforeAutospacing="0" w:afterAutospacing="0"/>
              <w:jc w:val="both"/>
              <w:rPr>
                <w:color w:val="auto"/>
              </w:rPr>
            </w:pPr>
            <w:r>
              <w:rPr>
                <w:color w:val="auto"/>
              </w:rPr>
              <w:t>No single “gold-standard” LPD fits all CKD patients.</w:t>
            </w:r>
          </w:p>
          <w:p w14:paraId="32474869">
            <w:pPr>
              <w:pStyle w:val="9"/>
              <w:widowControl/>
              <w:spacing w:beforeAutospacing="0" w:afterAutospacing="0"/>
              <w:jc w:val="both"/>
              <w:rPr>
                <w:color w:val="auto"/>
              </w:rPr>
            </w:pPr>
          </w:p>
        </w:tc>
        <w:tc>
          <w:tcPr>
            <w:tcW w:w="2119" w:type="dxa"/>
          </w:tcPr>
          <w:p w14:paraId="3247486A">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Dietary therapy should be seen as an </w:t>
            </w:r>
            <w:r>
              <w:rPr>
                <w:rStyle w:val="10"/>
                <w:rFonts w:ascii="Times New Roman" w:hAnsi="Times New Roman" w:eastAsia="SimSun" w:cs="Times New Roman"/>
                <w:b w:val="0"/>
                <w:bCs w:val="0"/>
                <w:color w:val="auto"/>
                <w:sz w:val="24"/>
                <w:szCs w:val="24"/>
              </w:rPr>
              <w:t>integral, mainstream CKD treatment</w:t>
            </w:r>
            <w:r>
              <w:rPr>
                <w:rFonts w:ascii="Times New Roman" w:hAnsi="Times New Roman" w:eastAsia="SimSun" w:cs="Times New Roman"/>
                <w:color w:val="auto"/>
                <w:sz w:val="24"/>
                <w:szCs w:val="24"/>
              </w:rPr>
              <w:t>.</w:t>
            </w:r>
          </w:p>
        </w:tc>
      </w:tr>
      <w:tr w14:paraId="324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6C">
            <w:pPr>
              <w:widowControl/>
              <w:numPr>
                <w:ilvl w:val="0"/>
                <w:numId w:val="2"/>
              </w:numPr>
              <w:jc w:val="left"/>
              <w:rPr>
                <w:rFonts w:ascii="Times New Roman" w:hAnsi="Times New Roman" w:cs="Times New Roman"/>
                <w:color w:val="auto"/>
                <w:sz w:val="24"/>
                <w:szCs w:val="24"/>
              </w:rPr>
            </w:pPr>
          </w:p>
        </w:tc>
        <w:tc>
          <w:tcPr>
            <w:tcW w:w="1557" w:type="dxa"/>
          </w:tcPr>
          <w:p w14:paraId="3247486D">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Noce, et al., (2016)</w:t>
            </w:r>
          </w:p>
        </w:tc>
        <w:tc>
          <w:tcPr>
            <w:tcW w:w="2094" w:type="dxa"/>
          </w:tcPr>
          <w:p w14:paraId="3247486E">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Prospective interventional study</w:t>
            </w:r>
            <w:r>
              <w:rPr>
                <w:rFonts w:ascii="Times New Roman" w:hAnsi="Times New Roman" w:eastAsia="SimSun" w:cs="Times New Roman"/>
                <w:color w:val="auto"/>
                <w:sz w:val="24"/>
                <w:szCs w:val="24"/>
              </w:rPr>
              <w:t xml:space="preserve">; sample size: </w:t>
            </w:r>
            <w:r>
              <w:rPr>
                <w:rStyle w:val="10"/>
                <w:rFonts w:ascii="Times New Roman" w:hAnsi="Times New Roman" w:eastAsia="SimSun" w:cs="Times New Roman"/>
                <w:b w:val="0"/>
                <w:bCs w:val="0"/>
                <w:color w:val="auto"/>
                <w:sz w:val="24"/>
                <w:szCs w:val="24"/>
              </w:rPr>
              <w:t>41 CKD patients</w:t>
            </w:r>
            <w:r>
              <w:rPr>
                <w:rFonts w:ascii="Times New Roman" w:hAnsi="Times New Roman" w:eastAsia="SimSun" w:cs="Times New Roman"/>
                <w:color w:val="auto"/>
                <w:sz w:val="24"/>
                <w:szCs w:val="24"/>
              </w:rPr>
              <w:t>.</w:t>
            </w:r>
          </w:p>
        </w:tc>
        <w:tc>
          <w:tcPr>
            <w:tcW w:w="2149" w:type="dxa"/>
          </w:tcPr>
          <w:p w14:paraId="3247486F">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Controlled LPD (0.7 g/kg ideal body weight/day)</w:t>
            </w:r>
            <w:r>
              <w:rPr>
                <w:rFonts w:ascii="Times New Roman" w:hAnsi="Times New Roman" w:eastAsia="SimSun" w:cs="Times New Roman"/>
                <w:color w:val="auto"/>
                <w:sz w:val="24"/>
                <w:szCs w:val="24"/>
              </w:rPr>
              <w:t xml:space="preserve"> for 6 weeks.</w:t>
            </w:r>
          </w:p>
        </w:tc>
        <w:tc>
          <w:tcPr>
            <w:tcW w:w="2286" w:type="dxa"/>
          </w:tcPr>
          <w:p w14:paraId="32474872">
            <w:pPr>
              <w:pStyle w:val="9"/>
              <w:widowControl/>
              <w:spacing w:beforeAutospacing="0" w:afterAutospacing="0"/>
              <w:jc w:val="both"/>
              <w:rPr>
                <w:color w:val="auto"/>
              </w:rPr>
            </w:pPr>
            <w:r>
              <w:rPr>
                <w:rStyle w:val="10"/>
                <w:b w:val="0"/>
                <w:bCs w:val="0"/>
                <w:color w:val="auto"/>
              </w:rPr>
              <w:t>Serum albumin</w:t>
            </w:r>
            <w:r>
              <w:rPr>
                <w:color w:val="auto"/>
              </w:rPr>
              <w:t xml:space="preserve"> significantly </w:t>
            </w:r>
            <w:r>
              <w:rPr>
                <w:rStyle w:val="10"/>
                <w:b w:val="0"/>
                <w:bCs w:val="0"/>
                <w:color w:val="auto"/>
              </w:rPr>
              <w:t>decreased, C-reactive protein</w:t>
            </w:r>
            <w:r>
              <w:rPr>
                <w:color w:val="auto"/>
              </w:rPr>
              <w:t xml:space="preserve"> increased, suggesting inflammation, indicates </w:t>
            </w:r>
            <w:r>
              <w:rPr>
                <w:rStyle w:val="10"/>
                <w:b w:val="0"/>
                <w:bCs w:val="0"/>
                <w:color w:val="auto"/>
              </w:rPr>
              <w:t>nutritional decline</w:t>
            </w:r>
            <w:r>
              <w:rPr>
                <w:color w:val="auto"/>
              </w:rPr>
              <w:t xml:space="preserve"> despite renal benefit.</w:t>
            </w:r>
          </w:p>
        </w:tc>
        <w:tc>
          <w:tcPr>
            <w:tcW w:w="2119" w:type="dxa"/>
          </w:tcPr>
          <w:p w14:paraId="32474873">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may </w:t>
            </w:r>
            <w:r>
              <w:rPr>
                <w:rStyle w:val="10"/>
                <w:rFonts w:ascii="Times New Roman" w:hAnsi="Times New Roman" w:eastAsia="SimSun" w:cs="Times New Roman"/>
                <w:b w:val="0"/>
                <w:bCs w:val="0"/>
                <w:color w:val="auto"/>
                <w:sz w:val="24"/>
                <w:szCs w:val="24"/>
              </w:rPr>
              <w:t>help slow down CKD progression</w:t>
            </w:r>
            <w:r>
              <w:rPr>
                <w:rFonts w:ascii="Times New Roman" w:hAnsi="Times New Roman" w:eastAsia="SimSun" w:cs="Times New Roman"/>
                <w:color w:val="auto"/>
                <w:sz w:val="24"/>
                <w:szCs w:val="24"/>
              </w:rPr>
              <w:t xml:space="preserve"> but carries a </w:t>
            </w:r>
            <w:r>
              <w:rPr>
                <w:rStyle w:val="10"/>
                <w:rFonts w:ascii="Times New Roman" w:hAnsi="Times New Roman" w:eastAsia="SimSun" w:cs="Times New Roman"/>
                <w:b w:val="0"/>
                <w:bCs w:val="0"/>
                <w:color w:val="auto"/>
                <w:sz w:val="24"/>
                <w:szCs w:val="24"/>
              </w:rPr>
              <w:t>risk of malnutrition</w:t>
            </w:r>
            <w:r>
              <w:rPr>
                <w:rFonts w:ascii="Times New Roman" w:hAnsi="Times New Roman" w:eastAsia="SimSun" w:cs="Times New Roman"/>
                <w:color w:val="auto"/>
                <w:sz w:val="24"/>
                <w:szCs w:val="24"/>
              </w:rPr>
              <w:t xml:space="preserve"> if not carefully monitored</w:t>
            </w:r>
          </w:p>
        </w:tc>
      </w:tr>
      <w:tr w14:paraId="3247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75">
            <w:pPr>
              <w:widowControl/>
              <w:numPr>
                <w:ilvl w:val="0"/>
                <w:numId w:val="2"/>
              </w:numPr>
              <w:jc w:val="left"/>
              <w:rPr>
                <w:rFonts w:ascii="Times New Roman" w:hAnsi="Times New Roman" w:cs="Times New Roman"/>
                <w:color w:val="auto"/>
                <w:sz w:val="24"/>
                <w:szCs w:val="24"/>
              </w:rPr>
            </w:pPr>
          </w:p>
        </w:tc>
        <w:tc>
          <w:tcPr>
            <w:tcW w:w="1557" w:type="dxa"/>
          </w:tcPr>
          <w:p w14:paraId="35AE363E">
            <w:pPr>
              <w:widowControl/>
              <w:jc w:val="left"/>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Shah &amp; Patel</w:t>
            </w:r>
          </w:p>
          <w:p w14:paraId="32474876">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 (2016)</w:t>
            </w:r>
          </w:p>
        </w:tc>
        <w:tc>
          <w:tcPr>
            <w:tcW w:w="2094" w:type="dxa"/>
          </w:tcPr>
          <w:p w14:paraId="32474877">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 (expert opinion)</w:t>
            </w:r>
            <w:r>
              <w:rPr>
                <w:rFonts w:ascii="Times New Roman" w:hAnsi="Times New Roman" w:eastAsia="SimSun" w:cs="Times New Roman"/>
                <w:color w:val="auto"/>
                <w:sz w:val="24"/>
                <w:szCs w:val="24"/>
              </w:rPr>
              <w:t>.</w:t>
            </w:r>
          </w:p>
        </w:tc>
        <w:tc>
          <w:tcPr>
            <w:tcW w:w="2149" w:type="dxa"/>
          </w:tcPr>
          <w:p w14:paraId="32474878">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LPD</w:t>
            </w:r>
            <w:r>
              <w:rPr>
                <w:rFonts w:ascii="Times New Roman" w:hAnsi="Times New Roman" w:eastAsia="SimSun" w:cs="Times New Roman"/>
                <w:color w:val="auto"/>
                <w:sz w:val="24"/>
                <w:szCs w:val="24"/>
              </w:rPr>
              <w:t xml:space="preserve"> recommended </w:t>
            </w:r>
            <w:r>
              <w:rPr>
                <w:rStyle w:val="10"/>
                <w:rFonts w:ascii="Times New Roman" w:hAnsi="Times New Roman" w:eastAsia="SimSun" w:cs="Times New Roman"/>
                <w:b w:val="0"/>
                <w:bCs w:val="0"/>
                <w:color w:val="auto"/>
                <w:sz w:val="24"/>
                <w:szCs w:val="24"/>
              </w:rPr>
              <w:t>early CKD (stages 1–3)</w:t>
            </w:r>
            <w:r>
              <w:rPr>
                <w:rFonts w:ascii="Times New Roman" w:hAnsi="Times New Roman" w:eastAsia="SimSun" w:cs="Times New Roman"/>
                <w:color w:val="auto"/>
                <w:sz w:val="24"/>
                <w:szCs w:val="24"/>
              </w:rPr>
              <w:t xml:space="preserve"> with adequate calories; can be continued in </w:t>
            </w:r>
            <w:r>
              <w:rPr>
                <w:rStyle w:val="10"/>
                <w:rFonts w:ascii="Times New Roman" w:hAnsi="Times New Roman" w:eastAsia="SimSun" w:cs="Times New Roman"/>
                <w:b w:val="0"/>
                <w:bCs w:val="0"/>
                <w:color w:val="auto"/>
                <w:sz w:val="24"/>
                <w:szCs w:val="24"/>
              </w:rPr>
              <w:t>stages 4–5</w:t>
            </w:r>
            <w:r>
              <w:rPr>
                <w:rFonts w:ascii="Times New Roman" w:hAnsi="Times New Roman" w:eastAsia="SimSun" w:cs="Times New Roman"/>
                <w:color w:val="auto"/>
                <w:sz w:val="24"/>
                <w:szCs w:val="24"/>
              </w:rPr>
              <w:t xml:space="preserve"> if nutritional status is good.</w:t>
            </w:r>
          </w:p>
        </w:tc>
        <w:tc>
          <w:tcPr>
            <w:tcW w:w="2286" w:type="dxa"/>
          </w:tcPr>
          <w:p w14:paraId="32474879">
            <w:pPr>
              <w:pStyle w:val="9"/>
              <w:widowControl/>
              <w:spacing w:beforeAutospacing="0" w:afterAutospacing="0"/>
              <w:jc w:val="both"/>
              <w:rPr>
                <w:color w:val="auto"/>
              </w:rPr>
            </w:pPr>
            <w:r>
              <w:rPr>
                <w:color w:val="auto"/>
              </w:rPr>
              <w:t>LPD slows CKD progression, with benefits underestimated by MDRD due to short follow-up; early use in stages 1–3 is safe and effective, well-tolerated by nutritionally stable patients without causing malnutrition.</w:t>
            </w:r>
          </w:p>
        </w:tc>
        <w:tc>
          <w:tcPr>
            <w:tcW w:w="2119" w:type="dxa"/>
          </w:tcPr>
          <w:p w14:paraId="3247487A">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should be </w:t>
            </w:r>
            <w:r>
              <w:rPr>
                <w:rStyle w:val="10"/>
                <w:rFonts w:ascii="Times New Roman" w:hAnsi="Times New Roman" w:eastAsia="SimSun" w:cs="Times New Roman"/>
                <w:b w:val="0"/>
                <w:bCs w:val="0"/>
                <w:color w:val="auto"/>
                <w:sz w:val="24"/>
                <w:szCs w:val="24"/>
              </w:rPr>
              <w:t>introduced early</w:t>
            </w:r>
            <w:r>
              <w:rPr>
                <w:rFonts w:ascii="Times New Roman" w:hAnsi="Times New Roman" w:eastAsia="SimSun" w:cs="Times New Roman"/>
                <w:color w:val="auto"/>
                <w:sz w:val="24"/>
                <w:szCs w:val="24"/>
              </w:rPr>
              <w:t xml:space="preserve"> in CKD with </w:t>
            </w:r>
            <w:r>
              <w:rPr>
                <w:rStyle w:val="10"/>
                <w:rFonts w:ascii="Times New Roman" w:hAnsi="Times New Roman" w:eastAsia="SimSun" w:cs="Times New Roman"/>
                <w:b w:val="0"/>
                <w:bCs w:val="0"/>
                <w:color w:val="auto"/>
                <w:sz w:val="24"/>
                <w:szCs w:val="24"/>
              </w:rPr>
              <w:t>proper patient selection and monitoring.</w:t>
            </w:r>
            <w:r>
              <w:rPr>
                <w:rFonts w:ascii="Times New Roman" w:hAnsi="Times New Roman" w:eastAsia="SimSun" w:cs="Times New Roman"/>
                <w:color w:val="auto"/>
                <w:sz w:val="24"/>
                <w:szCs w:val="24"/>
              </w:rPr>
              <w:t xml:space="preserve"> </w:t>
            </w:r>
          </w:p>
        </w:tc>
      </w:tr>
      <w:tr w14:paraId="3247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tcPr>
          <w:p w14:paraId="32474883">
            <w:pPr>
              <w:widowControl/>
              <w:numPr>
                <w:ilvl w:val="0"/>
                <w:numId w:val="2"/>
              </w:numPr>
              <w:jc w:val="left"/>
              <w:rPr>
                <w:rFonts w:ascii="Times New Roman" w:hAnsi="Times New Roman" w:cs="Times New Roman"/>
                <w:color w:val="auto"/>
                <w:sz w:val="24"/>
                <w:szCs w:val="24"/>
              </w:rPr>
            </w:pPr>
          </w:p>
        </w:tc>
        <w:tc>
          <w:tcPr>
            <w:tcW w:w="1557" w:type="dxa"/>
          </w:tcPr>
          <w:p w14:paraId="32474884">
            <w:pPr>
              <w:widowControl/>
              <w:jc w:val="both"/>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Piccoli, et al., (2015)</w:t>
            </w:r>
          </w:p>
        </w:tc>
        <w:tc>
          <w:tcPr>
            <w:tcW w:w="2094" w:type="dxa"/>
          </w:tcPr>
          <w:p w14:paraId="32474885">
            <w:pPr>
              <w:widowControl/>
              <w:jc w:val="both"/>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Review article (</w:t>
            </w:r>
            <w:r>
              <w:rPr>
                <w:rFonts w:ascii="Times New Roman" w:hAnsi="Times New Roman" w:eastAsia="SimSun" w:cs="Times New Roman"/>
                <w:color w:val="auto"/>
                <w:sz w:val="24"/>
                <w:szCs w:val="24"/>
              </w:rPr>
              <w:t>summary of previous studies and clinical experience).</w:t>
            </w:r>
          </w:p>
        </w:tc>
        <w:tc>
          <w:tcPr>
            <w:tcW w:w="2149" w:type="dxa"/>
          </w:tcPr>
          <w:p w14:paraId="32474886">
            <w:pPr>
              <w:pStyle w:val="9"/>
              <w:widowControl/>
              <w:spacing w:beforeAutospacing="0" w:afterAutospacing="0"/>
              <w:jc w:val="both"/>
              <w:rPr>
                <w:color w:val="auto"/>
              </w:rPr>
            </w:pPr>
            <w:r>
              <w:rPr>
                <w:color w:val="auto"/>
              </w:rPr>
              <w:t>Moderate LPDs (0.6 g/kg/day) using mixed, vegan, or supplemented approaches with essential amino/keto acids or protein-free foods for energy; very-low-protein diet (0.3 g/kg/day) with higher supplement doses.</w:t>
            </w:r>
          </w:p>
        </w:tc>
        <w:tc>
          <w:tcPr>
            <w:tcW w:w="2286" w:type="dxa"/>
          </w:tcPr>
          <w:p w14:paraId="32474887">
            <w:pPr>
              <w:pStyle w:val="9"/>
              <w:widowControl/>
              <w:spacing w:beforeAutospacing="0" w:afterAutospacing="0"/>
              <w:jc w:val="both"/>
              <w:rPr>
                <w:color w:val="auto"/>
              </w:rPr>
            </w:pPr>
            <w:r>
              <w:rPr>
                <w:color w:val="auto"/>
              </w:rPr>
              <w:t xml:space="preserve">LPDs are </w:t>
            </w:r>
            <w:r>
              <w:rPr>
                <w:rStyle w:val="10"/>
                <w:b w:val="0"/>
                <w:bCs w:val="0"/>
                <w:color w:val="auto"/>
              </w:rPr>
              <w:t>effective but underused</w:t>
            </w:r>
            <w:r>
              <w:rPr>
                <w:color w:val="auto"/>
              </w:rPr>
              <w:t xml:space="preserve"> due to concerns about malnutrition and poor compliance.</w:t>
            </w:r>
          </w:p>
          <w:p w14:paraId="32474888">
            <w:pPr>
              <w:pStyle w:val="9"/>
              <w:widowControl/>
              <w:spacing w:beforeAutospacing="0" w:afterAutospacing="0"/>
              <w:jc w:val="both"/>
              <w:rPr>
                <w:color w:val="auto"/>
              </w:rPr>
            </w:pPr>
            <w:r>
              <w:rPr>
                <w:color w:val="auto"/>
              </w:rPr>
              <w:t>Modern diet trends (vegan/vegetarian) make LPDs easier to integrate;</w:t>
            </w:r>
          </w:p>
          <w:p w14:paraId="32474889">
            <w:pPr>
              <w:pStyle w:val="9"/>
              <w:widowControl/>
              <w:spacing w:beforeAutospacing="0" w:afterAutospacing="0"/>
              <w:jc w:val="both"/>
              <w:rPr>
                <w:color w:val="auto"/>
              </w:rPr>
            </w:pPr>
            <w:r>
              <w:rPr>
                <w:color w:val="auto"/>
              </w:rPr>
              <w:t xml:space="preserve">vLPDs require </w:t>
            </w:r>
            <w:r>
              <w:rPr>
                <w:rStyle w:val="10"/>
                <w:b w:val="0"/>
                <w:bCs w:val="0"/>
                <w:color w:val="auto"/>
              </w:rPr>
              <w:t>high adherence and supervision</w:t>
            </w:r>
            <w:r>
              <w:rPr>
                <w:color w:val="auto"/>
              </w:rPr>
              <w:t>.</w:t>
            </w:r>
          </w:p>
        </w:tc>
        <w:tc>
          <w:tcPr>
            <w:tcW w:w="2119" w:type="dxa"/>
          </w:tcPr>
          <w:p w14:paraId="3247488A">
            <w:pPr>
              <w:widowControl/>
              <w:jc w:val="both"/>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LPDs remain a </w:t>
            </w:r>
            <w:r>
              <w:rPr>
                <w:rStyle w:val="10"/>
                <w:rFonts w:ascii="Times New Roman" w:hAnsi="Times New Roman" w:eastAsia="SimSun" w:cs="Times New Roman"/>
                <w:b w:val="0"/>
                <w:bCs w:val="0"/>
                <w:color w:val="auto"/>
                <w:sz w:val="24"/>
                <w:szCs w:val="24"/>
              </w:rPr>
              <w:t>valuable and adaptable tool</w:t>
            </w:r>
            <w:r>
              <w:rPr>
                <w:rFonts w:ascii="Times New Roman" w:hAnsi="Times New Roman" w:eastAsia="SimSun" w:cs="Times New Roman"/>
                <w:color w:val="auto"/>
                <w:sz w:val="24"/>
                <w:szCs w:val="24"/>
              </w:rPr>
              <w:t xml:space="preserve"> in CKD care when personalized; success depends on </w:t>
            </w:r>
            <w:r>
              <w:rPr>
                <w:rStyle w:val="10"/>
                <w:rFonts w:ascii="Times New Roman" w:hAnsi="Times New Roman" w:eastAsia="SimSun" w:cs="Times New Roman"/>
                <w:b w:val="0"/>
                <w:bCs w:val="0"/>
                <w:color w:val="auto"/>
                <w:sz w:val="24"/>
                <w:szCs w:val="24"/>
              </w:rPr>
              <w:t>patient education, preference-based planning, and nutritional monitoring</w:t>
            </w:r>
            <w:r>
              <w:rPr>
                <w:rFonts w:ascii="Times New Roman" w:hAnsi="Times New Roman" w:eastAsia="SimSun" w:cs="Times New Roman"/>
                <w:color w:val="auto"/>
                <w:sz w:val="24"/>
                <w:szCs w:val="24"/>
              </w:rPr>
              <w:t>.</w:t>
            </w:r>
          </w:p>
        </w:tc>
      </w:tr>
      <w:tr w14:paraId="3247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6" w:type="dxa"/>
          </w:tcPr>
          <w:p w14:paraId="3247488C">
            <w:pPr>
              <w:widowControl/>
              <w:numPr>
                <w:ilvl w:val="0"/>
                <w:numId w:val="2"/>
              </w:numPr>
              <w:jc w:val="left"/>
              <w:rPr>
                <w:rFonts w:ascii="Times New Roman" w:hAnsi="Times New Roman" w:cs="Times New Roman"/>
                <w:color w:val="auto"/>
                <w:sz w:val="24"/>
                <w:szCs w:val="24"/>
              </w:rPr>
            </w:pPr>
          </w:p>
        </w:tc>
        <w:tc>
          <w:tcPr>
            <w:tcW w:w="1557" w:type="dxa"/>
          </w:tcPr>
          <w:p w14:paraId="3247488D">
            <w:pPr>
              <w:widowControl/>
              <w:jc w:val="left"/>
              <w:rPr>
                <w:rFonts w:ascii="Times New Roman" w:hAnsi="Times New Roman" w:cs="Times New Roman"/>
                <w:color w:val="auto"/>
                <w:sz w:val="24"/>
                <w:szCs w:val="24"/>
              </w:rPr>
            </w:pPr>
            <w:r>
              <w:rPr>
                <w:rFonts w:ascii="Times New Roman" w:hAnsi="Times New Roman" w:eastAsia="Segoe UI" w:cs="Times New Roman"/>
                <w:color w:val="auto"/>
                <w:sz w:val="24"/>
                <w:szCs w:val="24"/>
                <w:shd w:val="clear" w:color="auto" w:fill="FFFFFF"/>
              </w:rPr>
              <w:t>Kalantar-Zadeh, et al., (2014)</w:t>
            </w:r>
          </w:p>
        </w:tc>
        <w:tc>
          <w:tcPr>
            <w:tcW w:w="2094" w:type="dxa"/>
          </w:tcPr>
          <w:p w14:paraId="3247488E">
            <w:pPr>
              <w:widowControl/>
              <w:jc w:val="left"/>
              <w:rPr>
                <w:rFonts w:ascii="Times New Roman" w:hAnsi="Times New Roman" w:cs="Times New Roman"/>
                <w:color w:val="auto"/>
                <w:sz w:val="24"/>
                <w:szCs w:val="24"/>
              </w:rPr>
            </w:pPr>
            <w:r>
              <w:rPr>
                <w:rStyle w:val="10"/>
                <w:rFonts w:ascii="Times New Roman" w:hAnsi="Times New Roman" w:eastAsia="SimSun" w:cs="Times New Roman"/>
                <w:b w:val="0"/>
                <w:bCs w:val="0"/>
                <w:color w:val="auto"/>
                <w:sz w:val="24"/>
                <w:szCs w:val="24"/>
              </w:rPr>
              <w:t>Narrative review (opinion-based analysis)</w:t>
            </w:r>
            <w:r>
              <w:rPr>
                <w:rFonts w:ascii="Times New Roman" w:hAnsi="Times New Roman" w:eastAsia="SimSun" w:cs="Times New Roman"/>
                <w:color w:val="auto"/>
                <w:sz w:val="24"/>
                <w:szCs w:val="24"/>
              </w:rPr>
              <w:t>.</w:t>
            </w:r>
          </w:p>
        </w:tc>
        <w:tc>
          <w:tcPr>
            <w:tcW w:w="2149" w:type="dxa"/>
          </w:tcPr>
          <w:p w14:paraId="32474893">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w:t>
            </w:r>
            <w:r>
              <w:rPr>
                <w:rStyle w:val="10"/>
                <w:rFonts w:ascii="Times New Roman" w:hAnsi="Times New Roman" w:eastAsia="SimSun" w:cs="Times New Roman"/>
                <w:b w:val="0"/>
                <w:bCs w:val="0"/>
                <w:color w:val="auto"/>
                <w:sz w:val="24"/>
                <w:szCs w:val="24"/>
              </w:rPr>
              <w:t>0.6–0.8 g/kg/day</w:t>
            </w:r>
            <w:r>
              <w:rPr>
                <w:rFonts w:ascii="Times New Roman" w:hAnsi="Times New Roman" w:eastAsia="SimSun" w:cs="Times New Roman"/>
                <w:color w:val="auto"/>
                <w:sz w:val="24"/>
                <w:szCs w:val="24"/>
              </w:rPr>
              <w:t xml:space="preserve">, with </w:t>
            </w:r>
            <w:r>
              <w:rPr>
                <w:rStyle w:val="10"/>
                <w:rFonts w:ascii="Times New Roman" w:hAnsi="Times New Roman" w:eastAsia="SimSun" w:cs="Times New Roman"/>
                <w:b w:val="0"/>
                <w:bCs w:val="0"/>
                <w:color w:val="auto"/>
                <w:sz w:val="24"/>
                <w:szCs w:val="24"/>
              </w:rPr>
              <w:t>30–35 kcal/kg/day</w:t>
            </w:r>
            <w:r>
              <w:rPr>
                <w:rFonts w:ascii="Times New Roman" w:hAnsi="Times New Roman" w:eastAsia="SimSun" w:cs="Times New Roman"/>
                <w:color w:val="auto"/>
                <w:sz w:val="24"/>
                <w:szCs w:val="24"/>
              </w:rPr>
              <w:t xml:space="preserve"> energy intake..</w:t>
            </w:r>
          </w:p>
        </w:tc>
        <w:tc>
          <w:tcPr>
            <w:tcW w:w="2286" w:type="dxa"/>
          </w:tcPr>
          <w:p w14:paraId="32474894">
            <w:pPr>
              <w:pStyle w:val="9"/>
              <w:widowControl/>
              <w:spacing w:beforeAutospacing="0" w:afterAutospacing="0"/>
              <w:jc w:val="both"/>
              <w:rPr>
                <w:color w:val="auto"/>
              </w:rPr>
            </w:pPr>
            <w:r>
              <w:rPr>
                <w:color w:val="auto"/>
              </w:rPr>
              <w:t>LPD use is limited in the US due to MDRD study influence, early dialysis trends, and concerns about malnutrition.</w:t>
            </w:r>
          </w:p>
        </w:tc>
        <w:tc>
          <w:tcPr>
            <w:tcW w:w="2119" w:type="dxa"/>
          </w:tcPr>
          <w:p w14:paraId="32474895">
            <w:pPr>
              <w:widowControl/>
              <w:jc w:val="left"/>
              <w:rPr>
                <w:rFonts w:ascii="Times New Roman" w:hAnsi="Times New Roman" w:cs="Times New Roman"/>
                <w:color w:val="auto"/>
                <w:sz w:val="24"/>
                <w:szCs w:val="24"/>
              </w:rPr>
            </w:pPr>
            <w:r>
              <w:rPr>
                <w:rFonts w:ascii="Times New Roman" w:hAnsi="Times New Roman" w:eastAsia="SimSun" w:cs="Times New Roman"/>
                <w:color w:val="auto"/>
                <w:sz w:val="24"/>
                <w:szCs w:val="24"/>
              </w:rPr>
              <w:t xml:space="preserve">LPD remains a </w:t>
            </w:r>
            <w:r>
              <w:rPr>
                <w:rStyle w:val="10"/>
                <w:rFonts w:ascii="Times New Roman" w:hAnsi="Times New Roman" w:eastAsia="SimSun" w:cs="Times New Roman"/>
                <w:b w:val="0"/>
                <w:bCs w:val="0"/>
                <w:color w:val="auto"/>
                <w:sz w:val="24"/>
                <w:szCs w:val="24"/>
              </w:rPr>
              <w:t>potentially beneficial yet underutilized therapy</w:t>
            </w:r>
            <w:r>
              <w:rPr>
                <w:rFonts w:ascii="Times New Roman" w:hAnsi="Times New Roman" w:eastAsia="SimSun" w:cs="Times New Roman"/>
                <w:color w:val="auto"/>
                <w:sz w:val="24"/>
                <w:szCs w:val="24"/>
              </w:rPr>
              <w:t xml:space="preserve"> in the US. </w:t>
            </w:r>
          </w:p>
        </w:tc>
      </w:tr>
    </w:tbl>
    <w:p w14:paraId="32474898">
      <w:pPr>
        <w:pStyle w:val="9"/>
        <w:spacing w:before="100" w:after="100" w:line="360" w:lineRule="auto"/>
        <w:jc w:val="both"/>
        <w:rPr>
          <w:b/>
          <w:color w:val="auto"/>
          <w:sz w:val="28"/>
          <w:szCs w:val="28"/>
        </w:rPr>
        <w:sectPr>
          <w:type w:val="continuous"/>
          <w:pgSz w:w="11906" w:h="16838"/>
          <w:pgMar w:top="1440" w:right="1800" w:bottom="1440" w:left="1800" w:header="720" w:footer="720" w:gutter="0"/>
          <w:cols w:space="720" w:num="1"/>
          <w:docGrid w:linePitch="360" w:charSpace="0"/>
        </w:sectPr>
      </w:pPr>
    </w:p>
    <w:p w14:paraId="1518B458">
      <w:pPr>
        <w:pStyle w:val="9"/>
        <w:spacing w:beforeAutospacing="0" w:afterAutospacing="0" w:line="360" w:lineRule="auto"/>
        <w:jc w:val="both"/>
        <w:rPr>
          <w:color w:val="auto"/>
        </w:rPr>
      </w:pPr>
    </w:p>
    <w:p w14:paraId="586ED8EF">
      <w:pPr>
        <w:pStyle w:val="9"/>
        <w:spacing w:beforeAutospacing="0" w:afterAutospacing="0" w:line="360" w:lineRule="auto"/>
        <w:jc w:val="both"/>
        <w:rPr>
          <w:color w:val="auto"/>
        </w:rPr>
      </w:pPr>
    </w:p>
    <w:p w14:paraId="57982CEE">
      <w:pPr>
        <w:pStyle w:val="9"/>
        <w:spacing w:beforeAutospacing="0" w:afterAutospacing="0" w:line="360" w:lineRule="auto"/>
        <w:jc w:val="both"/>
        <w:rPr>
          <w:rFonts w:hint="default" w:ascii="Times New Roman" w:hAnsi="Times New Roman" w:cs="Times New Roman"/>
          <w:b/>
          <w:bCs/>
          <w:color w:val="auto"/>
          <w:sz w:val="24"/>
          <w:szCs w:val="24"/>
          <w:lang w:val="en-US"/>
        </w:rPr>
      </w:pPr>
      <w:r>
        <w:rPr>
          <w:rFonts w:hint="default" w:ascii="Times New Roman" w:hAnsi="Times New Roman" w:eastAsia="SimSun" w:cs="Times New Roman"/>
          <w:b/>
          <w:bCs/>
          <w:color w:val="auto"/>
          <w:sz w:val="24"/>
          <w:szCs w:val="24"/>
        </w:rPr>
        <w:t xml:space="preserve">Table </w:t>
      </w:r>
      <w:r>
        <w:rPr>
          <w:rFonts w:hint="default" w:ascii="Times New Roman" w:hAnsi="Times New Roman" w:cs="Times New Roman"/>
          <w:b/>
          <w:bCs/>
          <w:color w:val="auto"/>
          <w:sz w:val="24"/>
          <w:szCs w:val="24"/>
          <w:lang w:val="en-US"/>
        </w:rPr>
        <w:t>2</w:t>
      </w:r>
      <w:r>
        <w:rPr>
          <w:rFonts w:hint="default" w:ascii="Times New Roman" w:hAnsi="Times New Roman" w:eastAsia="SimSun" w:cs="Times New Roman"/>
          <w:b/>
          <w:bCs/>
          <w:color w:val="auto"/>
          <w:sz w:val="24"/>
          <w:szCs w:val="24"/>
        </w:rPr>
        <w:t>. Comparison of Low-Protein Diet (LPD) and Very-Low-Protein Diet (VLPD) Outcomes in CKD and Dialysis Patients</w:t>
      </w:r>
      <w:r>
        <w:rPr>
          <w:rFonts w:hint="default" w:ascii="Times New Roman" w:hAnsi="Times New Roman" w:cs="Times New Roman"/>
          <w:b/>
          <w:bCs/>
          <w:color w:val="auto"/>
          <w:sz w:val="24"/>
          <w:szCs w:val="24"/>
          <w:lang w:val="en-US"/>
        </w:rPr>
        <w:t>.</w:t>
      </w:r>
    </w:p>
    <w:p w14:paraId="5683005E">
      <w:pPr>
        <w:pStyle w:val="9"/>
        <w:spacing w:beforeAutospacing="0" w:afterAutospacing="0" w:line="360" w:lineRule="auto"/>
        <w:jc w:val="both"/>
        <w:rPr>
          <w:rFonts w:hint="default" w:ascii="Times New Roman" w:hAnsi="Times New Roman" w:cs="Times New Roman"/>
          <w:color w:val="auto"/>
          <w:sz w:val="24"/>
          <w:szCs w:val="24"/>
          <w:lang w:val="en-US"/>
        </w:rPr>
      </w:pPr>
    </w:p>
    <w:tbl>
      <w:tblPr>
        <w:tblStyle w:val="11"/>
        <w:tblW w:w="10592" w:type="dxa"/>
        <w:tblInd w:w="-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68"/>
        <w:gridCol w:w="2576"/>
        <w:gridCol w:w="2928"/>
        <w:gridCol w:w="3120"/>
      </w:tblGrid>
      <w:tr w14:paraId="684F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0D3B3830">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Parameter / Outcome</w:t>
            </w:r>
          </w:p>
        </w:tc>
        <w:tc>
          <w:tcPr>
            <w:tcW w:w="2576" w:type="dxa"/>
          </w:tcPr>
          <w:p w14:paraId="3FFAE925">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Low-Protein Diet (LPD</w:t>
            </w:r>
            <w:r>
              <w:rPr>
                <w:rFonts w:hint="default" w:ascii="Times New Roman" w:hAnsi="Times New Roman" w:cs="Times New Roman"/>
                <w:color w:val="auto"/>
                <w:sz w:val="24"/>
                <w:szCs w:val="24"/>
                <w:lang w:val="en-US"/>
              </w:rPr>
              <w:t>)</w:t>
            </w:r>
          </w:p>
        </w:tc>
        <w:tc>
          <w:tcPr>
            <w:tcW w:w="2928" w:type="dxa"/>
          </w:tcPr>
          <w:p w14:paraId="2D8D64ED">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Very-Low-Protein Diet (VLPD)</w:t>
            </w:r>
          </w:p>
        </w:tc>
        <w:tc>
          <w:tcPr>
            <w:tcW w:w="3120" w:type="dxa"/>
          </w:tcPr>
          <w:p w14:paraId="11CA857E">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Summary of Findings</w:t>
            </w:r>
          </w:p>
        </w:tc>
      </w:tr>
      <w:tr w14:paraId="00B5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1B4733E6">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Protein Intake</w:t>
            </w:r>
          </w:p>
        </w:tc>
        <w:tc>
          <w:tcPr>
            <w:tcW w:w="2576" w:type="dxa"/>
          </w:tcPr>
          <w:p w14:paraId="0ECA0A84">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0.</w:t>
            </w:r>
            <w:r>
              <w:rPr>
                <w:rFonts w:hint="default" w:cs="Times New Roman"/>
                <w:color w:val="auto"/>
                <w:sz w:val="24"/>
                <w:szCs w:val="24"/>
                <w:lang w:val="en-US"/>
              </w:rPr>
              <w:t>55</w:t>
            </w:r>
            <w:r>
              <w:rPr>
                <w:rFonts w:hint="default" w:ascii="Times New Roman" w:hAnsi="Times New Roman" w:eastAsia="SimSun" w:cs="Times New Roman"/>
                <w:color w:val="auto"/>
                <w:sz w:val="24"/>
                <w:szCs w:val="24"/>
              </w:rPr>
              <w:t>–0.</w:t>
            </w:r>
            <w:r>
              <w:rPr>
                <w:rFonts w:hint="default" w:cs="Times New Roman"/>
                <w:color w:val="auto"/>
                <w:sz w:val="24"/>
                <w:szCs w:val="24"/>
                <w:lang w:val="en-US"/>
              </w:rPr>
              <w:t>60</w:t>
            </w:r>
            <w:r>
              <w:rPr>
                <w:rFonts w:hint="default" w:ascii="Times New Roman" w:hAnsi="Times New Roman" w:eastAsia="SimSun" w:cs="Times New Roman"/>
                <w:color w:val="auto"/>
                <w:sz w:val="24"/>
                <w:szCs w:val="24"/>
              </w:rPr>
              <w:t xml:space="preserve"> g/kg/day</w:t>
            </w:r>
          </w:p>
        </w:tc>
        <w:tc>
          <w:tcPr>
            <w:tcW w:w="2928" w:type="dxa"/>
          </w:tcPr>
          <w:p w14:paraId="24F72067">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0.3–0.4 g/kg/day + ketoanalogues</w:t>
            </w:r>
          </w:p>
        </w:tc>
        <w:tc>
          <w:tcPr>
            <w:tcW w:w="3120" w:type="dxa"/>
          </w:tcPr>
          <w:p w14:paraId="17EB5EA2">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VLPD achieves greater protein restriction when supplemented appropriately</w:t>
            </w:r>
          </w:p>
        </w:tc>
      </w:tr>
      <w:tr w14:paraId="6CCA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1BFEB28B">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Effect on GFR</w:t>
            </w:r>
          </w:p>
        </w:tc>
        <w:tc>
          <w:tcPr>
            <w:tcW w:w="2576" w:type="dxa"/>
          </w:tcPr>
          <w:p w14:paraId="7646CF99">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Slower decline in GFR</w:t>
            </w:r>
          </w:p>
        </w:tc>
        <w:tc>
          <w:tcPr>
            <w:tcW w:w="2928" w:type="dxa"/>
          </w:tcPr>
          <w:p w14:paraId="21463DD3">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Stabilization or minor improvement in GFR</w:t>
            </w:r>
          </w:p>
        </w:tc>
        <w:tc>
          <w:tcPr>
            <w:tcW w:w="3120" w:type="dxa"/>
          </w:tcPr>
          <w:p w14:paraId="37258E00">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Both diets slow CKD progression; VLPD may be slightly superior</w:t>
            </w:r>
          </w:p>
        </w:tc>
      </w:tr>
      <w:tr w14:paraId="1008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0A39E519">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Proteinuria</w:t>
            </w:r>
          </w:p>
        </w:tc>
        <w:tc>
          <w:tcPr>
            <w:tcW w:w="2576" w:type="dxa"/>
          </w:tcPr>
          <w:p w14:paraId="7491170B">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Moderate reduction</w:t>
            </w:r>
          </w:p>
        </w:tc>
        <w:tc>
          <w:tcPr>
            <w:tcW w:w="2928" w:type="dxa"/>
          </w:tcPr>
          <w:p w14:paraId="4A57C312">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Greater reduction in proteinuria</w:t>
            </w:r>
          </w:p>
        </w:tc>
        <w:tc>
          <w:tcPr>
            <w:tcW w:w="3120" w:type="dxa"/>
          </w:tcPr>
          <w:p w14:paraId="12DA744C">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VLPD may reduce proteinuria more effectively</w:t>
            </w:r>
          </w:p>
        </w:tc>
      </w:tr>
      <w:tr w14:paraId="5A7E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34D3C9A5">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Nutritional Status</w:t>
            </w:r>
          </w:p>
        </w:tc>
        <w:tc>
          <w:tcPr>
            <w:tcW w:w="2576" w:type="dxa"/>
          </w:tcPr>
          <w:p w14:paraId="4E075F16">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Maintained with monitoring</w:t>
            </w:r>
          </w:p>
        </w:tc>
        <w:tc>
          <w:tcPr>
            <w:tcW w:w="2928" w:type="dxa"/>
          </w:tcPr>
          <w:p w14:paraId="50D5CFD4">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Maintained with ketoanalogue supplementation</w:t>
            </w:r>
          </w:p>
        </w:tc>
        <w:tc>
          <w:tcPr>
            <w:tcW w:w="3120" w:type="dxa"/>
          </w:tcPr>
          <w:p w14:paraId="11739935">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Both safe under dietitian supervision</w:t>
            </w:r>
          </w:p>
        </w:tc>
      </w:tr>
      <w:tr w14:paraId="3271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30422FEC">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Metabolic Effects</w:t>
            </w:r>
          </w:p>
        </w:tc>
        <w:tc>
          <w:tcPr>
            <w:tcW w:w="2576" w:type="dxa"/>
          </w:tcPr>
          <w:p w14:paraId="5C50FB01">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Reduced serum urea and creatinine</w:t>
            </w:r>
          </w:p>
        </w:tc>
        <w:tc>
          <w:tcPr>
            <w:tcW w:w="2928" w:type="dxa"/>
          </w:tcPr>
          <w:p w14:paraId="19BC6AB0">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Further reduction in urea and phosphorus levels</w:t>
            </w:r>
          </w:p>
        </w:tc>
        <w:tc>
          <w:tcPr>
            <w:tcW w:w="3120" w:type="dxa"/>
          </w:tcPr>
          <w:p w14:paraId="7A42E768">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Enhanced metabolic benefits with VLPD</w:t>
            </w:r>
          </w:p>
        </w:tc>
      </w:tr>
      <w:tr w14:paraId="66A2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68" w:type="dxa"/>
          </w:tcPr>
          <w:p w14:paraId="646C480C">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Clinical Implications</w:t>
            </w:r>
          </w:p>
        </w:tc>
        <w:tc>
          <w:tcPr>
            <w:tcW w:w="2576" w:type="dxa"/>
          </w:tcPr>
          <w:p w14:paraId="7409803C">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Suitable for moderate CKD</w:t>
            </w:r>
          </w:p>
        </w:tc>
        <w:tc>
          <w:tcPr>
            <w:tcW w:w="2928" w:type="dxa"/>
          </w:tcPr>
          <w:p w14:paraId="29E6B0E7">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Useful in advanced CKD or pre-dialysis stage</w:t>
            </w:r>
          </w:p>
        </w:tc>
        <w:tc>
          <w:tcPr>
            <w:tcW w:w="3120" w:type="dxa"/>
          </w:tcPr>
          <w:p w14:paraId="4D83EA92">
            <w:pPr>
              <w:pStyle w:val="9"/>
              <w:spacing w:beforeAutospacing="0" w:afterAutospacing="0" w:line="360" w:lineRule="auto"/>
              <w:jc w:val="both"/>
              <w:rPr>
                <w:rFonts w:hint="default" w:ascii="Times New Roman" w:hAnsi="Times New Roman" w:cs="Times New Roman"/>
                <w:color w:val="auto"/>
                <w:sz w:val="24"/>
                <w:szCs w:val="24"/>
                <w:vertAlign w:val="baseline"/>
                <w:lang w:val="en-US"/>
              </w:rPr>
            </w:pPr>
            <w:r>
              <w:rPr>
                <w:rFonts w:hint="default" w:ascii="Times New Roman" w:hAnsi="Times New Roman" w:eastAsia="SimSun" w:cs="Times New Roman"/>
                <w:color w:val="auto"/>
                <w:sz w:val="24"/>
                <w:szCs w:val="24"/>
              </w:rPr>
              <w:t>Individualized approach recommended</w:t>
            </w:r>
          </w:p>
        </w:tc>
      </w:tr>
    </w:tbl>
    <w:p w14:paraId="10365634">
      <w:pPr>
        <w:pStyle w:val="9"/>
        <w:spacing w:beforeAutospacing="0" w:afterAutospacing="0" w:line="360" w:lineRule="auto"/>
        <w:jc w:val="both"/>
        <w:rPr>
          <w:rFonts w:hint="default" w:ascii="SimSun" w:hAnsi="SimSun" w:cs="SimSun"/>
          <w:color w:val="auto"/>
          <w:sz w:val="24"/>
          <w:szCs w:val="24"/>
          <w:lang w:val="en-US"/>
        </w:rPr>
        <w:sectPr>
          <w:type w:val="continuous"/>
          <w:pgSz w:w="11906" w:h="16838"/>
          <w:pgMar w:top="1440" w:right="1800" w:bottom="1440" w:left="1800" w:header="720" w:footer="720" w:gutter="0"/>
          <w:cols w:space="720" w:num="1"/>
          <w:docGrid w:linePitch="360" w:charSpace="0"/>
        </w:sectPr>
      </w:pPr>
    </w:p>
    <w:p w14:paraId="36438AE6">
      <w:pPr>
        <w:pStyle w:val="9"/>
        <w:numPr>
          <w:ilvl w:val="0"/>
          <w:numId w:val="1"/>
        </w:numPr>
        <w:shd w:val="clear" w:color="auto" w:fill="FFFFFF"/>
        <w:spacing w:before="450" w:beforeAutospacing="0" w:afterAutospacing="0"/>
        <w:ind w:left="360" w:leftChars="0" w:firstLineChars="0"/>
        <w:rPr>
          <w:b/>
          <w:color w:val="auto"/>
          <w:sz w:val="24"/>
          <w:szCs w:val="24"/>
        </w:rPr>
      </w:pPr>
      <w:r>
        <w:rPr>
          <w:b/>
          <w:color w:val="auto"/>
          <w:sz w:val="24"/>
          <w:szCs w:val="24"/>
        </w:rPr>
        <w:t>DISCUSSION</w:t>
      </w:r>
      <w:r>
        <w:rPr>
          <w:rFonts w:hint="default"/>
          <w:b/>
          <w:color w:val="auto"/>
          <w:sz w:val="24"/>
          <w:szCs w:val="24"/>
          <w:lang w:val="en-US"/>
        </w:rPr>
        <w:t xml:space="preserve"> AND INTERPRETATION</w:t>
      </w:r>
    </w:p>
    <w:p w14:paraId="7D594C04">
      <w:pPr>
        <w:pStyle w:val="9"/>
        <w:spacing w:beforeAutospacing="0" w:afterAutospacing="0" w:line="360" w:lineRule="auto"/>
        <w:jc w:val="both"/>
        <w:rPr>
          <w:color w:val="auto"/>
        </w:rPr>
      </w:pPr>
    </w:p>
    <w:p w14:paraId="3677DDC6">
      <w:pPr>
        <w:pStyle w:val="9"/>
        <w:spacing w:beforeAutospacing="0" w:afterAutospacing="0" w:line="360" w:lineRule="auto"/>
        <w:jc w:val="both"/>
        <w:rPr>
          <w:color w:val="auto"/>
        </w:rPr>
      </w:pPr>
      <w:r>
        <w:rPr>
          <w:color w:val="auto"/>
        </w:rPr>
        <w:t xml:space="preserve">Based on a review of </w:t>
      </w:r>
      <w:r>
        <w:rPr>
          <w:rFonts w:hint="default"/>
          <w:color w:val="auto"/>
          <w:lang w:val="en-US"/>
        </w:rPr>
        <w:t>60</w:t>
      </w:r>
      <w:r>
        <w:rPr>
          <w:color w:val="auto"/>
        </w:rPr>
        <w:t xml:space="preserve"> articles, the findings suggest that </w:t>
      </w:r>
      <w:r>
        <w:rPr>
          <w:rStyle w:val="10"/>
          <w:b w:val="0"/>
          <w:bCs w:val="0"/>
          <w:color w:val="auto"/>
        </w:rPr>
        <w:t>LPD and supplemented VLPD</w:t>
      </w:r>
      <w:r>
        <w:rPr>
          <w:color w:val="auto"/>
        </w:rPr>
        <w:t xml:space="preserve"> are effect</w:t>
      </w:r>
      <w:r>
        <w:rPr>
          <w:color w:val="auto"/>
        </w:rPr>
        <w:t xml:space="preserve">ive, </w:t>
      </w:r>
    </w:p>
    <w:p w14:paraId="28E3205A">
      <w:pPr>
        <w:pStyle w:val="9"/>
        <w:spacing w:beforeAutospacing="0" w:afterAutospacing="0" w:line="360" w:lineRule="auto"/>
        <w:jc w:val="both"/>
        <w:rPr>
          <w:color w:val="auto"/>
        </w:rPr>
      </w:pPr>
    </w:p>
    <w:p w14:paraId="1E24B305">
      <w:pPr>
        <w:pStyle w:val="9"/>
        <w:spacing w:beforeAutospacing="0" w:afterAutospacing="0" w:line="360" w:lineRule="auto"/>
        <w:jc w:val="both"/>
        <w:rPr>
          <w:color w:val="auto"/>
        </w:rPr>
      </w:pPr>
      <w:r>
        <w:rPr>
          <w:color w:val="auto"/>
        </w:rPr>
        <w:t xml:space="preserve">under monitored conditions, at reducing metabolic burden, slowing </w:t>
      </w:r>
    </w:p>
    <w:p w14:paraId="57EFF8C2">
      <w:pPr>
        <w:pStyle w:val="9"/>
        <w:spacing w:beforeAutospacing="0" w:afterAutospacing="0" w:line="360" w:lineRule="auto"/>
        <w:jc w:val="both"/>
        <w:rPr>
          <w:color w:val="auto"/>
        </w:rPr>
      </w:pPr>
    </w:p>
    <w:p w14:paraId="32474899">
      <w:pPr>
        <w:pStyle w:val="9"/>
        <w:spacing w:beforeAutospacing="0" w:afterAutospacing="0" w:line="360" w:lineRule="auto"/>
        <w:jc w:val="both"/>
        <w:rPr>
          <w:color w:val="auto"/>
        </w:rPr>
      </w:pPr>
      <w:r>
        <w:rPr>
          <w:color w:val="auto"/>
        </w:rPr>
        <w:t>renal function decline, and delaying the initiation of kidney replacement therapy (KRT) in selected CKD patients. This conclusion is supported by both interventional and large observational datasets. For example, Garneata et al. (2024) demonstrated clinically meaningful renal preservation in vegetarian VLPD arms: the interventional sub-analysis (</w:t>
      </w:r>
      <w:r>
        <w:rPr>
          <w:rFonts w:eastAsia="Segoe UI"/>
          <w:color w:val="auto"/>
          <w:shd w:val="clear" w:color="auto" w:fill="FFFFFF"/>
        </w:rPr>
        <w:t>Tanaka, et al., (2023)</w:t>
      </w:r>
      <w:r>
        <w:rPr>
          <w:color w:val="auto"/>
        </w:rPr>
        <w:t>) reported a 70% reduction in proteinuria and a slowing of eGFR decline from 0.5 to 0.1 mL/min/month, while the randomized comparison (</w:t>
      </w:r>
      <w:r>
        <w:rPr>
          <w:rFonts w:eastAsia="Segoe UI"/>
          <w:color w:val="auto"/>
          <w:shd w:val="clear" w:color="auto" w:fill="FFFFFF"/>
        </w:rPr>
        <w:t>Yang et al., 2023</w:t>
      </w:r>
      <w:r>
        <w:rPr>
          <w:color w:val="auto"/>
        </w:rPr>
        <w:t xml:space="preserve">) likewise showed fewer dialysis starts in the ketoanalogue-supplemented VLPD group. These results are consistent with those of </w:t>
      </w:r>
      <w:r>
        <w:rPr>
          <w:rFonts w:eastAsia="Segoe UI"/>
          <w:color w:val="auto"/>
          <w:shd w:val="clear" w:color="auto" w:fill="FFFFFF"/>
        </w:rPr>
        <w:t>Piccoli, et al. (2015)</w:t>
      </w:r>
      <w:r>
        <w:rPr>
          <w:color w:val="auto"/>
        </w:rPr>
        <w:t>, who found that patients who continued taking ketoanalogue-supplemented sLPD had a lower incidence of ESKD (6.8% vs. 10.4%; HR 0.62, 95% CI 0.41–0.94).</w:t>
      </w:r>
    </w:p>
    <w:p w14:paraId="3247489A">
      <w:pPr>
        <w:pStyle w:val="9"/>
        <w:spacing w:beforeAutospacing="0" w:afterAutospacing="0" w:line="360" w:lineRule="auto"/>
        <w:jc w:val="both"/>
        <w:rPr>
          <w:color w:val="auto"/>
        </w:rPr>
      </w:pPr>
      <w:r>
        <w:rPr>
          <w:color w:val="auto"/>
        </w:rPr>
        <w:t>Reduced protein intake improves acid-base balance, lowers the production of nitrogenous waste and gut-derived uremic toxins, lowers intraglomerular pressure and hyperfiltration, and can lower dietary phosphate load, among other mechanisms that have been highlighted time and time again in mechanistic reviews and clinical reports (</w:t>
      </w:r>
      <w:r>
        <w:rPr>
          <w:rFonts w:eastAsia="Segoe UI"/>
          <w:color w:val="auto"/>
          <w:shd w:val="clear" w:color="auto" w:fill="FFFFFF"/>
        </w:rPr>
        <w:t>Bellizzi, et al., 2022; Di-Micco, et al., 2019; Rhee, et al., 2018)</w:t>
      </w:r>
      <w:r>
        <w:rPr>
          <w:color w:val="auto"/>
        </w:rPr>
        <w:t>. Observational dose–response evidence from Metzger et al. (2017) provides quantitative support for a protein-load hypothesis: each 0.1 g/kg/day increment in dietary protein was associated with a 5–9% higher risk of progression to ESRD, with stronger associations at lower baseline GFR.</w:t>
      </w:r>
    </w:p>
    <w:p w14:paraId="3247489B">
      <w:pPr>
        <w:pStyle w:val="9"/>
        <w:spacing w:beforeAutospacing="0" w:afterAutospacing="0" w:line="360" w:lineRule="auto"/>
        <w:jc w:val="both"/>
        <w:rPr>
          <w:color w:val="auto"/>
        </w:rPr>
      </w:pPr>
      <w:r>
        <w:rPr>
          <w:color w:val="auto"/>
        </w:rPr>
        <w:t xml:space="preserve">Crucially, the safety and success of protein restriction depend on </w:t>
      </w:r>
      <w:r>
        <w:rPr>
          <w:rStyle w:val="10"/>
          <w:b w:val="0"/>
          <w:bCs w:val="0"/>
          <w:color w:val="auto"/>
        </w:rPr>
        <w:t>adequate caloric intake, individualized prescription, and ongoing nutritional monitoring</w:t>
      </w:r>
      <w:r>
        <w:rPr>
          <w:color w:val="auto"/>
        </w:rPr>
        <w:t>. Windahl et al. (</w:t>
      </w:r>
      <w:r>
        <w:rPr>
          <w:rFonts w:eastAsia="Segoe UI"/>
          <w:color w:val="auto"/>
          <w:shd w:val="clear" w:color="auto" w:fill="FFFFFF"/>
        </w:rPr>
        <w:t>2024)</w:t>
      </w:r>
      <w:r>
        <w:rPr>
          <w:color w:val="auto"/>
        </w:rPr>
        <w:t xml:space="preserve"> reported no increase in mortality or nutritional decline with prescribed LPD (including intakes &lt;0.6 g/kg/day) when patients received SGA-based monitoring; similarly, Garneata’s cohorts (</w:t>
      </w:r>
      <w:r>
        <w:rPr>
          <w:rFonts w:eastAsia="Segoe UI"/>
          <w:color w:val="auto"/>
          <w:shd w:val="clear" w:color="auto" w:fill="FFFFFF"/>
        </w:rPr>
        <w:t xml:space="preserve">Narasaki et al., </w:t>
      </w:r>
      <w:r>
        <w:rPr>
          <w:rFonts w:eastAsia="Segoe UI"/>
          <w:color w:val="auto"/>
          <w:shd w:val="clear" w:color="auto" w:fill="FFFFFF"/>
        </w:rPr>
        <w:t xml:space="preserve">2021; </w:t>
      </w:r>
      <w:r>
        <w:rPr>
          <w:rFonts w:eastAsia="Segoe UI"/>
          <w:color w:val="auto"/>
          <w:shd w:val="clear" w:color="auto" w:fill="FFFFFF"/>
        </w:rPr>
        <w:t>Yang et al., 2023)</w:t>
      </w:r>
      <w:r>
        <w:rPr>
          <w:color w:val="auto"/>
        </w:rPr>
        <w:t xml:space="preserve"> and Cecchi et al. (</w:t>
      </w:r>
      <w:r>
        <w:rPr>
          <w:rFonts w:eastAsia="Segoe UI"/>
          <w:color w:val="auto"/>
          <w:shd w:val="clear" w:color="auto" w:fill="FFFFFF"/>
        </w:rPr>
        <w:t>2023)</w:t>
      </w:r>
      <w:r>
        <w:rPr>
          <w:color w:val="auto"/>
        </w:rPr>
        <w:t xml:space="preserve"> documented preserved nutritional indices when LPD/VLPD was supplemented with ketoanalogues or essential amino acids. Conversely, short-term observational data by Noce et al. (2016) document declines in albumin and muscle mass after 6 weeks of LPD where close nutritional safeguards may not have been in place underscoring that LPD is not inherently benign unless implemented as part of structured medical nutrition therapy (</w:t>
      </w:r>
      <w:r>
        <w:rPr>
          <w:rFonts w:eastAsia="Segoe UI"/>
          <w:color w:val="auto"/>
          <w:shd w:val="clear" w:color="auto" w:fill="FFFFFF"/>
        </w:rPr>
        <w:t>Aghwana et al., 2023</w:t>
      </w:r>
      <w:r>
        <w:rPr>
          <w:color w:val="auto"/>
        </w:rPr>
        <w:t>).</w:t>
      </w:r>
    </w:p>
    <w:p w14:paraId="3247489C">
      <w:pPr>
        <w:pStyle w:val="9"/>
        <w:spacing w:line="360" w:lineRule="auto"/>
        <w:jc w:val="both"/>
        <w:rPr>
          <w:color w:val="auto"/>
        </w:rPr>
      </w:pPr>
      <w:r>
        <w:rPr>
          <w:color w:val="auto"/>
        </w:rPr>
        <w:t>The source of protein also modifies outcomes: plant-dominant LPDs (PLADO) combine the benefits of lower animal-protein acid load with increased fiber, which may favorably modulate the gut microbiome and reduce uremic toxin generation (</w:t>
      </w:r>
      <w:r>
        <w:rPr>
          <w:rFonts w:eastAsia="Segoe UI"/>
          <w:color w:val="auto"/>
          <w:shd w:val="clear" w:color="auto" w:fill="FFFFFF"/>
        </w:rPr>
        <w:t>Bellizzi et al., 2022; Rhee et al., 2018; Sakaguchi et al., 2023</w:t>
      </w:r>
      <w:r>
        <w:rPr>
          <w:color w:val="auto"/>
        </w:rPr>
        <w:t>). Garneata’s (2024) vegetarian VLPD is an exemplar where plant-based, ketoanalogue-supplemented regimens achieved metabolic correction and delayed dialysis without nutritional compromise. There is a need for more mechanistic and longer-term outcome studies, as meta-analytic work on microbiome endpoints (</w:t>
      </w:r>
      <w:r>
        <w:rPr>
          <w:rFonts w:eastAsia="Segoe UI"/>
          <w:color w:val="auto"/>
          <w:shd w:val="clear" w:color="auto" w:fill="FFFFFF"/>
        </w:rPr>
        <w:t>Jiang et al.,</w:t>
      </w:r>
      <w:r>
        <w:rPr>
          <w:color w:val="auto"/>
        </w:rPr>
        <w:t xml:space="preserve"> 2022) demonstrates that although protein restriction causes species-level shifts, consistent translation into reductions in IS/pCS or hard clinical endpoints has not been consistently demonstrated.</w:t>
      </w:r>
    </w:p>
    <w:p w14:paraId="3247489D">
      <w:pPr>
        <w:pStyle w:val="9"/>
        <w:spacing w:line="360" w:lineRule="auto"/>
        <w:jc w:val="both"/>
        <w:rPr>
          <w:color w:val="auto"/>
        </w:rPr>
      </w:pPr>
      <w:r>
        <w:rPr>
          <w:color w:val="auto"/>
        </w:rPr>
        <w:t>There are also important patient-centered considerations. Several reports emphasize reduced quality of life and increased depressive symptoms in some patients on LPD (</w:t>
      </w:r>
      <w:r>
        <w:rPr>
          <w:rFonts w:eastAsia="Segoe UI"/>
          <w:color w:val="auto"/>
          <w:shd w:val="clear" w:color="auto" w:fill="FFFFFF"/>
        </w:rPr>
        <w:t>Caldiroli  et al., 2022</w:t>
      </w:r>
      <w:r>
        <w:rPr>
          <w:color w:val="auto"/>
        </w:rPr>
        <w:t>), and numerous pragmatic analyses (</w:t>
      </w:r>
      <w:r>
        <w:rPr>
          <w:rFonts w:eastAsia="Segoe UI"/>
          <w:color w:val="auto"/>
          <w:shd w:val="clear" w:color="auto" w:fill="FFFFFF"/>
        </w:rPr>
        <w:t>Kim et al., 2020; Kalantar-Zadeh et al., 2014;  Garibotto et al. 2020</w:t>
      </w:r>
      <w:r>
        <w:rPr>
          <w:color w:val="auto"/>
        </w:rPr>
        <w:t xml:space="preserve">) emphasize flexibility, patient preference, and culturally adapted interventions (e.g., low-protein rice; </w:t>
      </w:r>
      <w:r>
        <w:rPr>
          <w:rFonts w:eastAsia="Segoe UI"/>
          <w:color w:val="auto"/>
          <w:shd w:val="clear" w:color="auto" w:fill="FFFFFF"/>
        </w:rPr>
        <w:t>Mafra &amp; Leal,</w:t>
      </w:r>
      <w:r>
        <w:rPr>
          <w:rFonts w:eastAsia="Segoe UI"/>
          <w:color w:val="auto"/>
          <w:shd w:val="clear" w:color="auto" w:fill="FFFFFF"/>
        </w:rPr>
        <w:t xml:space="preserve"> 2016; Piccoli et al., 2023)</w:t>
      </w:r>
      <w:r>
        <w:rPr>
          <w:color w:val="auto"/>
        </w:rPr>
        <w:t xml:space="preserve"> to improve adherence. Economic analyses (</w:t>
      </w:r>
      <w:r>
        <w:rPr>
          <w:rFonts w:eastAsia="Segoe UI"/>
          <w:color w:val="auto"/>
          <w:shd w:val="clear" w:color="auto" w:fill="FFFFFF"/>
        </w:rPr>
        <w:t>Fois et al., 2021</w:t>
      </w:r>
      <w:r>
        <w:rPr>
          <w:color w:val="auto"/>
        </w:rPr>
        <w:t>) further support LPD/VLPD strategies as cost-effective - projecting QALY gains (+0.49) and substantial per-patient cost savings when dialysis is delayed.</w:t>
      </w:r>
    </w:p>
    <w:p w14:paraId="3247489E">
      <w:pPr>
        <w:pStyle w:val="9"/>
        <w:spacing w:beforeAutospacing="0" w:afterAutospacing="0" w:line="360" w:lineRule="auto"/>
        <w:jc w:val="both"/>
        <w:rPr>
          <w:color w:val="auto"/>
        </w:rPr>
      </w:pPr>
      <w:r>
        <w:rPr>
          <w:color w:val="auto"/>
        </w:rPr>
        <w:t xml:space="preserve">Taken together, the literature supports the following practical conclusions for clinicians and guideline developers: (1) </w:t>
      </w:r>
      <w:r>
        <w:rPr>
          <w:rStyle w:val="10"/>
          <w:b w:val="0"/>
          <w:bCs w:val="0"/>
          <w:color w:val="auto"/>
        </w:rPr>
        <w:t xml:space="preserve">LPD </w:t>
      </w:r>
      <w:r>
        <w:rPr>
          <w:rFonts w:hint="default" w:ascii="Times New Roman" w:hAnsi="Times New Roman" w:eastAsia="SimSun" w:cs="Times New Roman"/>
          <w:color w:val="auto"/>
          <w:sz w:val="24"/>
          <w:szCs w:val="24"/>
        </w:rPr>
        <w:t>A protein intake of approximately 0.6–0.8 g/kg/day may serve as a disease-modifying strategy for nutritionally stable CKD patients experiencing a decline in GFR, while progression to a VLPD (around 0.3–0.4 g/kg/day) with ketoanalogue supplementation is recommended only for carefully supervised cases. Additionally, maintaining adequate energy intake of about 30–35 kcal/kg/day is essential</w:t>
      </w:r>
      <w:r>
        <w:rPr>
          <w:rFonts w:ascii="SimSun" w:hAnsi="SimSun" w:eastAsia="SimSun" w:cs="SimSun"/>
          <w:color w:val="auto"/>
          <w:sz w:val="24"/>
          <w:szCs w:val="24"/>
        </w:rPr>
        <w:t>.</w:t>
      </w:r>
      <w:r>
        <w:rPr>
          <w:color w:val="auto"/>
        </w:rPr>
        <w:t xml:space="preserve">and routine dietetic supervision are mandatory to prevent PEW; (3) </w:t>
      </w:r>
      <w:r>
        <w:rPr>
          <w:rStyle w:val="10"/>
          <w:b w:val="0"/>
          <w:bCs w:val="0"/>
          <w:color w:val="auto"/>
        </w:rPr>
        <w:t>plant-dominant protein sources</w:t>
      </w:r>
      <w:r>
        <w:rPr>
          <w:color w:val="auto"/>
        </w:rPr>
        <w:t xml:space="preserve"> are preferable where feasible; (4) use of low-protein staple foods, oral nutrition supplements, and ketoanalogues improves adherence and nutritional safety (</w:t>
      </w:r>
      <w:r>
        <w:rPr>
          <w:rFonts w:eastAsia="Segoe UI"/>
          <w:color w:val="auto"/>
          <w:shd w:val="clear" w:color="auto" w:fill="FFFFFF"/>
        </w:rPr>
        <w:t>Pereira et al., 2024; Cecchi, et al., 2023; Cupisti, et al., 2020)</w:t>
      </w:r>
      <w:r>
        <w:rPr>
          <w:color w:val="auto"/>
        </w:rPr>
        <w:t>; and (5) patient preference, mental health support, and cultural adaptation are essential components of implementation. Remaining - including long-term bone–mineral effects and definitive microbiome–clinical outcome links - warrant further large, pragmatic randomized trials (</w:t>
      </w:r>
      <w:r>
        <w:rPr>
          <w:rFonts w:eastAsia="Segoe UI"/>
          <w:color w:val="auto"/>
          <w:shd w:val="clear" w:color="auto" w:fill="FFFFFF"/>
        </w:rPr>
        <w:t xml:space="preserve">Patel et al., 2023; Cupisti et al., 2020; </w:t>
      </w:r>
      <w:r>
        <w:rPr>
          <w:rFonts w:eastAsia="Segoe UI"/>
          <w:color w:val="auto"/>
          <w:shd w:val="clear" w:color="auto" w:fill="FFFFFF"/>
        </w:rPr>
        <w:t>Watanabe &amp; Ohtsubo</w:t>
      </w:r>
      <w:r>
        <w:rPr>
          <w:rFonts w:eastAsia="Segoe UI"/>
          <w:color w:val="auto"/>
          <w:shd w:val="clear" w:color="auto" w:fill="FFFFFF"/>
        </w:rPr>
        <w:t>, 2017; Ko et al., 2017</w:t>
      </w:r>
      <w:r>
        <w:rPr>
          <w:color w:val="auto"/>
        </w:rPr>
        <w:t>).</w:t>
      </w:r>
    </w:p>
    <w:p w14:paraId="3247489F">
      <w:pPr>
        <w:pStyle w:val="9"/>
        <w:spacing w:beforeAutospacing="0" w:afterAutospacing="0" w:line="360" w:lineRule="auto"/>
        <w:jc w:val="both"/>
        <w:rPr>
          <w:color w:val="auto"/>
        </w:rPr>
      </w:pPr>
      <w:r>
        <w:rPr>
          <w:rStyle w:val="10"/>
          <w:color w:val="auto"/>
          <w:sz w:val="24"/>
          <w:szCs w:val="24"/>
        </w:rPr>
        <w:t>LIMITATIONS</w:t>
      </w:r>
      <w:r>
        <w:rPr>
          <w:rStyle w:val="10"/>
          <w:color w:val="auto"/>
        </w:rPr>
        <w:t>:</w:t>
      </w:r>
      <w:r>
        <w:rPr>
          <w:color w:val="auto"/>
        </w:rPr>
        <w:t xml:space="preserve"> The evidence base includes heterogeneous study designs (narrative reviews, observational cohorts, RCTs with variable follow-up), and some RCTs had short duration or selective enrollment which may bias toward null results in controlled settings (</w:t>
      </w:r>
      <w:r>
        <w:rPr>
          <w:rFonts w:eastAsia="Segoe UI"/>
          <w:color w:val="auto"/>
          <w:shd w:val="clear" w:color="auto" w:fill="FFFFFF"/>
        </w:rPr>
        <w:t>Anjos et al. 201</w:t>
      </w:r>
      <w:r>
        <w:rPr>
          <w:rStyle w:val="10"/>
          <w:b w:val="0"/>
          <w:bCs w:val="0"/>
          <w:color w:val="auto"/>
        </w:rPr>
        <w:t>8</w:t>
      </w:r>
      <w:r>
        <w:rPr>
          <w:color w:val="auto"/>
        </w:rPr>
        <w:t>). However, consistent results from closely monitored interventional protocols (</w:t>
      </w:r>
      <w:r>
        <w:rPr>
          <w:rFonts w:eastAsia="Segoe UI"/>
          <w:color w:val="auto"/>
          <w:shd w:val="clear" w:color="auto" w:fill="FFFFFF"/>
        </w:rPr>
        <w:t>Massimiliano, et al., 2025; Torreggiani, et al.,</w:t>
      </w:r>
      <w:r>
        <w:rPr>
          <w:rFonts w:eastAsia="Segoe UI"/>
          <w:color w:val="auto"/>
          <w:shd w:val="clear" w:color="auto" w:fill="FFFFFF"/>
        </w:rPr>
        <w:t xml:space="preserve"> </w:t>
      </w:r>
      <w:r>
        <w:rPr>
          <w:rFonts w:eastAsia="Segoe UI"/>
          <w:color w:val="auto"/>
          <w:shd w:val="clear" w:color="auto" w:fill="FFFFFF"/>
        </w:rPr>
        <w:t>2023;</w:t>
      </w:r>
      <w:r>
        <w:rPr>
          <w:rFonts w:eastAsia="Segoe UI"/>
          <w:color w:val="auto"/>
          <w:shd w:val="clear" w:color="auto" w:fill="FFFFFF"/>
        </w:rPr>
        <w:t xml:space="preserve"> Vincent-Johnson, et al., 2023) </w:t>
      </w:r>
      <w:r>
        <w:rPr>
          <w:color w:val="auto"/>
        </w:rPr>
        <w:t>and well-conducted observational studies (</w:t>
      </w:r>
      <w:r>
        <w:rPr>
          <w:rFonts w:eastAsia="Segoe UI"/>
          <w:color w:val="auto"/>
          <w:shd w:val="clear" w:color="auto" w:fill="FFFFFF"/>
        </w:rPr>
        <w:t>Narasaki et al., 20</w:t>
      </w:r>
      <w:r>
        <w:rPr>
          <w:color w:val="auto"/>
        </w:rPr>
        <w:t>21) offer a logical clinical message that supplemented VLPDs and properly implemented LPDs are useful tactics to postpone dialysis and slow the progression of CKD while preserving nutritional status.</w:t>
      </w:r>
    </w:p>
    <w:p w14:paraId="742D48EA">
      <w:pPr>
        <w:pStyle w:val="9"/>
        <w:numPr>
          <w:ilvl w:val="0"/>
          <w:numId w:val="1"/>
        </w:numPr>
        <w:spacing w:line="360" w:lineRule="auto"/>
        <w:ind w:left="360" w:leftChars="0" w:firstLineChars="0"/>
        <w:jc w:val="both"/>
        <w:rPr>
          <w:b/>
          <w:bCs/>
          <w:color w:val="auto"/>
          <w:sz w:val="24"/>
          <w:szCs w:val="24"/>
        </w:rPr>
      </w:pPr>
      <w:r>
        <w:rPr>
          <w:b/>
          <w:bCs/>
          <w:color w:val="auto"/>
          <w:sz w:val="24"/>
          <w:szCs w:val="24"/>
        </w:rPr>
        <w:t>PRACTICAL</w:t>
      </w:r>
      <w:r>
        <w:rPr>
          <w:b/>
          <w:bCs/>
          <w:color w:val="auto"/>
          <w:spacing w:val="-12"/>
          <w:sz w:val="24"/>
          <w:szCs w:val="24"/>
        </w:rPr>
        <w:t xml:space="preserve"> </w:t>
      </w:r>
      <w:r>
        <w:rPr>
          <w:b/>
          <w:bCs/>
          <w:color w:val="auto"/>
          <w:sz w:val="24"/>
          <w:szCs w:val="24"/>
        </w:rPr>
        <w:t>RECOMMENDATIONS</w:t>
      </w:r>
      <w:r>
        <w:rPr>
          <w:b/>
          <w:bCs/>
          <w:color w:val="auto"/>
          <w:spacing w:val="-6"/>
          <w:sz w:val="24"/>
          <w:szCs w:val="24"/>
        </w:rPr>
        <w:t xml:space="preserve"> </w:t>
      </w:r>
      <w:r>
        <w:rPr>
          <w:b/>
          <w:bCs/>
          <w:color w:val="auto"/>
          <w:sz w:val="24"/>
          <w:szCs w:val="24"/>
        </w:rPr>
        <w:t>FOR</w:t>
      </w:r>
      <w:r>
        <w:rPr>
          <w:b/>
          <w:bCs/>
          <w:color w:val="auto"/>
          <w:spacing w:val="-11"/>
          <w:sz w:val="24"/>
          <w:szCs w:val="24"/>
        </w:rPr>
        <w:t xml:space="preserve"> </w:t>
      </w:r>
      <w:r>
        <w:rPr>
          <w:b/>
          <w:bCs/>
          <w:color w:val="auto"/>
          <w:spacing w:val="-2"/>
          <w:sz w:val="24"/>
          <w:szCs w:val="24"/>
        </w:rPr>
        <w:t>CLINICIANS</w:t>
      </w:r>
      <w:r>
        <w:rPr>
          <w:b/>
          <w:bCs/>
          <w:color w:val="auto"/>
          <w:sz w:val="24"/>
          <w:szCs w:val="24"/>
        </w:rPr>
        <w:t xml:space="preserve"> </w:t>
      </w:r>
    </w:p>
    <w:p w14:paraId="324748A0">
      <w:pPr>
        <w:pStyle w:val="9"/>
        <w:spacing w:line="360" w:lineRule="auto"/>
        <w:jc w:val="both"/>
        <w:rPr>
          <w:color w:val="auto"/>
        </w:rPr>
      </w:pPr>
      <w:r>
        <w:rPr>
          <w:rFonts w:hint="default" w:ascii="Times New Roman" w:hAnsi="Times New Roman" w:eastAsia="SimSun" w:cs="Times New Roman"/>
          <w:color w:val="auto"/>
          <w:sz w:val="24"/>
          <w:szCs w:val="24"/>
        </w:rPr>
        <w:t>Low-protein dietary approaches, especially those emphasizing plant-based sources along with proper supplementation and regular monitoring by dietitians, offer an effective and economical strategy to lessen renal burden, improve metabolic balance, and delay the initiation of dialysis.</w:t>
      </w:r>
      <w:r>
        <w:rPr>
          <w:color w:val="auto"/>
        </w:rPr>
        <w:t xml:space="preserve"> in carefully selected CKD patients. Implementation should prioritize individualized plans, nutrition monitoring, and psychosocial support to maximize benefit and minimize harm.</w:t>
      </w:r>
    </w:p>
    <w:p w14:paraId="6AE106EA">
      <w:pPr>
        <w:pStyle w:val="9"/>
        <w:numPr>
          <w:ilvl w:val="0"/>
          <w:numId w:val="1"/>
        </w:numPr>
        <w:spacing w:line="360" w:lineRule="auto"/>
        <w:ind w:left="360" w:leftChars="0" w:firstLineChars="0"/>
        <w:jc w:val="both"/>
        <w:rPr>
          <w:b/>
          <w:color w:val="auto"/>
          <w:sz w:val="28"/>
          <w:szCs w:val="28"/>
        </w:rPr>
      </w:pPr>
      <w:r>
        <w:rPr>
          <w:rStyle w:val="10"/>
          <w:color w:val="auto"/>
          <w:sz w:val="24"/>
          <w:szCs w:val="24"/>
        </w:rPr>
        <w:t>CONCLUSION</w:t>
      </w:r>
      <w:r>
        <w:rPr>
          <w:rStyle w:val="10"/>
          <w:rFonts w:hint="default"/>
          <w:color w:val="auto"/>
          <w:sz w:val="24"/>
          <w:szCs w:val="24"/>
          <w:lang w:val="en-US"/>
        </w:rPr>
        <w:t>:</w:t>
      </w:r>
    </w:p>
    <w:p w14:paraId="6A2D0E5D">
      <w:pPr>
        <w:pStyle w:val="9"/>
        <w:spacing w:line="360" w:lineRule="auto"/>
        <w:jc w:val="both"/>
        <w:rPr>
          <w:rFonts w:hint="default"/>
          <w:color w:val="auto"/>
          <w:lang w:val="en-US"/>
        </w:rPr>
      </w:pPr>
      <w:r>
        <w:rPr>
          <w:rFonts w:hint="default"/>
          <w:color w:val="auto"/>
          <w:lang w:val="en-US"/>
        </w:rPr>
        <w:t>From the findings of these comprehensive review it could be concluded that LPD &amp; VLPD are beneficial for the nutritional management of Dialysis patients undergoing hemodialysis. The nephrologists, physicians, and researchers of this field would be greatly benefited from the findings of the present comprehensive review.</w:t>
      </w:r>
    </w:p>
    <w:p w14:paraId="7ADB795B">
      <w:pPr>
        <w:pStyle w:val="9"/>
        <w:spacing w:line="360" w:lineRule="auto"/>
        <w:jc w:val="both"/>
        <w:rPr>
          <w:color w:val="auto"/>
        </w:rPr>
      </w:pPr>
    </w:p>
    <w:p w14:paraId="060E780F">
      <w:pPr>
        <w:rPr>
          <w:rFonts w:ascii="Calibri" w:hAnsi="Calibri" w:eastAsia="Calibri" w:cs="Times New Roman"/>
          <w:color w:val="auto"/>
          <w:kern w:val="2"/>
          <w:highlight w:val="yellow"/>
        </w:rPr>
      </w:pPr>
      <w:bookmarkStart w:id="0" w:name="_Hlk204003461"/>
      <w:bookmarkStart w:id="1" w:name="_Hlk213070710"/>
      <w:r>
        <w:rPr>
          <w:rFonts w:ascii="Calibri" w:hAnsi="Calibri" w:eastAsia="Calibri" w:cs="Times New Roman"/>
          <w:color w:val="auto"/>
          <w:kern w:val="2"/>
          <w:highlight w:val="yellow"/>
        </w:rPr>
        <w:t>Disclaimer (Artificial intelligence)</w:t>
      </w:r>
    </w:p>
    <w:p w14:paraId="74209291">
      <w:pPr>
        <w:rPr>
          <w:rFonts w:ascii="Calibri" w:hAnsi="Calibri" w:eastAsia="Calibri" w:cs="Times New Roman"/>
          <w:color w:val="auto"/>
          <w:kern w:val="2"/>
          <w:highlight w:val="yellow"/>
        </w:rPr>
      </w:pPr>
      <w:r>
        <w:rPr>
          <w:rFonts w:ascii="Calibri" w:hAnsi="Calibri" w:eastAsia="Calibri" w:cs="Times New Roman"/>
          <w:color w:val="auto"/>
          <w:kern w:val="2"/>
          <w:highlight w:val="yellow"/>
        </w:rPr>
        <w:t>Option 1:</w:t>
      </w:r>
    </w:p>
    <w:p w14:paraId="20A3AA95">
      <w:pPr>
        <w:rPr>
          <w:rFonts w:ascii="Calibri" w:hAnsi="Calibri" w:eastAsia="Calibri" w:cs="Times New Roman"/>
          <w:color w:val="auto"/>
          <w:kern w:val="2"/>
          <w:highlight w:val="yellow"/>
        </w:rPr>
      </w:pPr>
      <w:r>
        <w:rPr>
          <w:rFonts w:ascii="Calibri" w:hAnsi="Calibri" w:eastAsia="Calibri" w:cs="Times New Roman"/>
          <w:color w:val="auto"/>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24748A1">
      <w:pPr>
        <w:pStyle w:val="9"/>
        <w:numPr>
          <w:ilvl w:val="0"/>
          <w:numId w:val="1"/>
        </w:numPr>
        <w:spacing w:before="100" w:after="100" w:line="360" w:lineRule="auto"/>
        <w:ind w:left="360" w:leftChars="0" w:firstLineChars="0"/>
        <w:rPr>
          <w:b/>
          <w:bCs/>
          <w:color w:val="auto"/>
        </w:rPr>
      </w:pPr>
      <w:r>
        <w:rPr>
          <w:b/>
          <w:bCs/>
          <w:color w:val="auto"/>
        </w:rPr>
        <w:t>REFERENCES</w:t>
      </w:r>
    </w:p>
    <w:p w14:paraId="230EFE0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Aghwana, R., Aiwuyo, H.O., Ovwasa, H., Okoye, O., Kweki, A.G. &amp; Unuigbe, E. (2023). Optimizing nutrition in renal patients: Effects of a low-protein diet supplemented with ketoacids. </w:t>
      </w:r>
      <w:r>
        <w:rPr>
          <w:rFonts w:ascii="Times New Roman" w:hAnsi="Times New Roman" w:eastAsia="Segoe UI" w:cs="Times New Roman"/>
          <w:i/>
          <w:iCs/>
          <w:color w:val="auto"/>
          <w:sz w:val="24"/>
          <w:szCs w:val="24"/>
          <w:shd w:val="clear" w:color="auto" w:fill="FFFFFF"/>
        </w:rPr>
        <w:t>Cureus</w:t>
      </w:r>
      <w:r>
        <w:rPr>
          <w:rFonts w:ascii="Times New Roman" w:hAnsi="Times New Roman" w:eastAsia="Segoe UI" w:cs="Times New Roman"/>
          <w:color w:val="auto"/>
          <w:sz w:val="24"/>
          <w:szCs w:val="24"/>
          <w:shd w:val="clear" w:color="auto" w:fill="FFFFFF"/>
        </w:rPr>
        <w:t xml:space="preserve">, 15(4),e38205. doi: 10.7759/cureus.38205. </w:t>
      </w:r>
    </w:p>
    <w:p w14:paraId="11332A0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Anjos, J.S., Cardozo, L.F.M.F., Esgalhado, M., Lindholm, B., Stenvinkel, P., Fouque, D., et al. (2018). Could low-protein diet modulate Nrf2 pathway in chronic kidney disease? </w:t>
      </w:r>
      <w:r>
        <w:rPr>
          <w:rFonts w:ascii="Times New Roman" w:hAnsi="Times New Roman" w:eastAsia="Segoe UI" w:cs="Times New Roman"/>
          <w:i/>
          <w:iCs/>
          <w:color w:val="auto"/>
          <w:sz w:val="24"/>
          <w:szCs w:val="24"/>
          <w:shd w:val="clear" w:color="auto" w:fill="FFFFFF"/>
        </w:rPr>
        <w:t>J Ren Nutr</w:t>
      </w:r>
      <w:r>
        <w:rPr>
          <w:rFonts w:ascii="Times New Roman" w:hAnsi="Times New Roman" w:eastAsia="Segoe UI" w:cs="Times New Roman"/>
          <w:color w:val="auto"/>
          <w:sz w:val="24"/>
          <w:szCs w:val="24"/>
          <w:shd w:val="clear" w:color="auto" w:fill="FFFFFF"/>
        </w:rPr>
        <w:t xml:space="preserve">, 28(4),229-234. </w:t>
      </w:r>
    </w:p>
    <w:p w14:paraId="72E03B30">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Bawazir, A., Topf, J.M. &amp; Hiremath, S. (2025). Protein restriction in CKD: An outdated strategy in the modern era. </w:t>
      </w:r>
      <w:r>
        <w:rPr>
          <w:rFonts w:ascii="Times New Roman" w:hAnsi="Times New Roman" w:eastAsia="Segoe UI" w:cs="Times New Roman"/>
          <w:i/>
          <w:iCs/>
          <w:color w:val="auto"/>
          <w:sz w:val="24"/>
          <w:szCs w:val="24"/>
          <w:shd w:val="clear" w:color="auto" w:fill="FFFFFF"/>
        </w:rPr>
        <w:t>J Bras Nefrol</w:t>
      </w:r>
      <w:r>
        <w:rPr>
          <w:rFonts w:ascii="Times New Roman" w:hAnsi="Times New Roman" w:eastAsia="Segoe UI" w:cs="Times New Roman"/>
          <w:color w:val="auto"/>
          <w:sz w:val="24"/>
          <w:szCs w:val="24"/>
          <w:shd w:val="clear" w:color="auto" w:fill="FFFFFF"/>
        </w:rPr>
        <w:t xml:space="preserve">, 7(1):e2024PO03. doi: 10.1590/2175-8239-JBN-2024-PO03en. </w:t>
      </w:r>
    </w:p>
    <w:p w14:paraId="1F4B88D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Bellizzi, V., Signoriello, S., Minutolo, R., Di-Iorio, B., Nazzaro, P., Garofalo, C., et al. (2022). ERIKA study group investigators of the Italian Society of Nephrology-Conservative Therapy of CKD Work Group. No additional benefit of prescribing a very low-protein diet in patients with advanced chronic kidney disease under regular nephrology care: a pragmatic, randomized, controlled trial. </w:t>
      </w:r>
      <w:r>
        <w:rPr>
          <w:rFonts w:ascii="Times New Roman" w:hAnsi="Times New Roman" w:eastAsia="Segoe UI" w:cs="Times New Roman"/>
          <w:i/>
          <w:iCs/>
          <w:color w:val="auto"/>
          <w:sz w:val="24"/>
          <w:szCs w:val="24"/>
          <w:shd w:val="clear" w:color="auto" w:fill="FFFFFF"/>
        </w:rPr>
        <w:t>Am J Clin Nutr</w:t>
      </w:r>
      <w:r>
        <w:rPr>
          <w:rFonts w:ascii="Times New Roman" w:hAnsi="Times New Roman" w:eastAsia="Segoe UI" w:cs="Times New Roman"/>
          <w:color w:val="auto"/>
          <w:sz w:val="24"/>
          <w:szCs w:val="24"/>
          <w:shd w:val="clear" w:color="auto" w:fill="FFFFFF"/>
        </w:rPr>
        <w:t xml:space="preserve">, 115(5),1404-1417. </w:t>
      </w:r>
    </w:p>
    <w:p w14:paraId="2FCC6E7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Caldiroli, L., Vettoretti, S., Armelloni, S., Mattinzoli, D., Ikehata, M., Molinari, P., et al. (2022). Possible benefits of a low protein diet in older patients with CKD at risk of malnutrition: A pilot randomized controlled trial. </w:t>
      </w:r>
      <w:r>
        <w:rPr>
          <w:rFonts w:ascii="Times New Roman" w:hAnsi="Times New Roman" w:eastAsia="Segoe UI" w:cs="Times New Roman"/>
          <w:i/>
          <w:iCs/>
          <w:color w:val="auto"/>
          <w:sz w:val="24"/>
          <w:szCs w:val="24"/>
          <w:shd w:val="clear" w:color="auto" w:fill="FFFFFF"/>
        </w:rPr>
        <w:t>Front Nutr</w:t>
      </w:r>
      <w:r>
        <w:rPr>
          <w:rFonts w:ascii="Times New Roman" w:hAnsi="Times New Roman" w:eastAsia="Segoe UI" w:cs="Times New Roman"/>
          <w:color w:val="auto"/>
          <w:sz w:val="24"/>
          <w:szCs w:val="24"/>
          <w:shd w:val="clear" w:color="auto" w:fill="FFFFFF"/>
        </w:rPr>
        <w:t xml:space="preserve">, 8,782499. doi: 10.3389/fnut.2021.782499. </w:t>
      </w:r>
    </w:p>
    <w:p w14:paraId="50B61847">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CecchiS., Di, Stante, S., Belcastro, S., </w:t>
      </w:r>
      <w:bookmarkStart w:id="2" w:name="_GoBack"/>
      <w:bookmarkEnd w:id="2"/>
      <w:r>
        <w:rPr>
          <w:rFonts w:ascii="Times New Roman" w:hAnsi="Times New Roman" w:eastAsia="Segoe UI" w:cs="Times New Roman"/>
          <w:color w:val="auto"/>
          <w:sz w:val="24"/>
          <w:szCs w:val="24"/>
          <w:shd w:val="clear" w:color="auto" w:fill="FFFFFF"/>
        </w:rPr>
        <w:t xml:space="preserve">Bertuzzi, V., Cardillo, A., Diotallevi, L., et al. (2023). Supplemented very low protein diet (sVLPD) in patients with advanced chronic renal failure: Clinical and economic benefits.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15(16),3568. doi: 10.3390/nu15163568. </w:t>
      </w:r>
    </w:p>
    <w:p w14:paraId="6CDAA0D8">
      <w:pPr>
        <w:tabs>
          <w:tab w:val="left" w:pos="425"/>
        </w:tabs>
        <w:spacing w:line="360" w:lineRule="auto"/>
        <w:ind w:left="567" w:hanging="567"/>
        <w:jc w:val="both"/>
        <w:rPr>
          <w:rFonts w:hint="default" w:ascii="Times New Roman" w:hAnsi="Times New Roman" w:eastAsia="Segoe UI" w:cs="Times New Roman"/>
          <w:color w:val="auto"/>
          <w:sz w:val="24"/>
          <w:szCs w:val="24"/>
          <w:shd w:val="clear" w:color="auto" w:fill="FFFFFF"/>
        </w:rPr>
      </w:pPr>
      <w:r>
        <w:rPr>
          <w:rFonts w:hint="default" w:ascii="Times New Roman" w:hAnsi="Times New Roman" w:eastAsia="SimSun" w:cs="Times New Roman"/>
          <w:i w:val="0"/>
          <w:iCs w:val="0"/>
          <w:color w:val="auto"/>
          <w:sz w:val="24"/>
          <w:szCs w:val="24"/>
        </w:rPr>
        <w:t xml:space="preserve">Chen X, et al. </w:t>
      </w:r>
      <w:r>
        <w:rPr>
          <w:rStyle w:val="5"/>
          <w:rFonts w:hint="default" w:ascii="Times New Roman" w:hAnsi="Times New Roman" w:eastAsia="SimSun" w:cs="Times New Roman"/>
          <w:i w:val="0"/>
          <w:iCs w:val="0"/>
          <w:color w:val="auto"/>
          <w:sz w:val="24"/>
          <w:szCs w:val="24"/>
        </w:rPr>
        <w:t>Plant-based diets for kidney disease prevention and treatment.</w:t>
      </w:r>
      <w:r>
        <w:rPr>
          <w:rFonts w:ascii="SimSun" w:hAnsi="SimSun" w:eastAsia="SimSun" w:cs="SimSun"/>
          <w:color w:val="auto"/>
          <w:sz w:val="24"/>
          <w:szCs w:val="24"/>
        </w:rPr>
        <w:t xml:space="preserve"> </w:t>
      </w:r>
      <w:r>
        <w:rPr>
          <w:rStyle w:val="10"/>
          <w:rFonts w:hint="default" w:ascii="Times New Roman" w:hAnsi="Times New Roman" w:eastAsia="SimSun" w:cs="Times New Roman"/>
          <w:color w:val="auto"/>
          <w:sz w:val="24"/>
          <w:szCs w:val="24"/>
        </w:rPr>
        <w:t>Nutrients.</w:t>
      </w:r>
      <w:r>
        <w:rPr>
          <w:rFonts w:hint="default" w:ascii="Times New Roman" w:hAnsi="Times New Roman" w:eastAsia="SimSun" w:cs="Times New Roman"/>
          <w:color w:val="auto"/>
          <w:sz w:val="24"/>
          <w:szCs w:val="24"/>
        </w:rPr>
        <w:t xml:space="preserve"> 2024;16(2):39115418.</w:t>
      </w:r>
    </w:p>
    <w:p w14:paraId="74CE483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Cupisti, A., Gallieni, M., Avesani, C.M., D'Alessandro, C., Carrero, J.J. &amp; Piccoli, G.B. (2020). Medical nutritional therapy for patients with chronic kidney disease not on dialysis: The low protein diet as a medication. </w:t>
      </w:r>
      <w:r>
        <w:rPr>
          <w:rFonts w:ascii="Times New Roman" w:hAnsi="Times New Roman" w:eastAsia="Segoe UI" w:cs="Times New Roman"/>
          <w:i/>
          <w:iCs/>
          <w:color w:val="auto"/>
          <w:sz w:val="24"/>
          <w:szCs w:val="24"/>
          <w:shd w:val="clear" w:color="auto" w:fill="FFFFFF"/>
        </w:rPr>
        <w:t>J Clin Med</w:t>
      </w:r>
      <w:r>
        <w:rPr>
          <w:rFonts w:ascii="Times New Roman" w:hAnsi="Times New Roman" w:eastAsia="Segoe UI" w:cs="Times New Roman"/>
          <w:color w:val="auto"/>
          <w:sz w:val="24"/>
          <w:szCs w:val="24"/>
          <w:shd w:val="clear" w:color="auto" w:fill="FFFFFF"/>
        </w:rPr>
        <w:t xml:space="preserve">, 9(11),3644. doi: 10.3390/jcm9113644. </w:t>
      </w:r>
    </w:p>
    <w:p w14:paraId="28B5397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Cupisti, A., Giannese, D., Moriconi, D., D'Alessandro, C., Torreggiani, M. &amp; Piccoli, G.B. (2020). Nephroprotection by SGLT2i in CKD patients: may it be modulated by low-protein plant-based diets? </w:t>
      </w:r>
      <w:r>
        <w:rPr>
          <w:rFonts w:ascii="Times New Roman" w:hAnsi="Times New Roman" w:eastAsia="Segoe UI" w:cs="Times New Roman"/>
          <w:i/>
          <w:iCs/>
          <w:color w:val="auto"/>
          <w:sz w:val="24"/>
          <w:szCs w:val="24"/>
          <w:shd w:val="clear" w:color="auto" w:fill="FFFFFF"/>
        </w:rPr>
        <w:t>Front Med</w:t>
      </w:r>
      <w:r>
        <w:rPr>
          <w:rFonts w:ascii="Times New Roman" w:hAnsi="Times New Roman" w:eastAsia="Segoe UI" w:cs="Times New Roman"/>
          <w:color w:val="auto"/>
          <w:sz w:val="24"/>
          <w:szCs w:val="24"/>
          <w:shd w:val="clear" w:color="auto" w:fill="FFFFFF"/>
        </w:rPr>
        <w:t xml:space="preserve">, 7,622593. doi: 10.3389/fmed.2020.622593. </w:t>
      </w:r>
    </w:p>
    <w:p w14:paraId="4B69D81A">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De-Mauri, A., Carrera, D., Bagnati, M., Rolla, R., Vidali, M., Chiarinotti, D., et al. (2022). Probiotics-supplemented low-protein diet for microbiota modulation in patients with advanced chronic kidney disease (ProLowCKD): Results from a placebo-controlled randomized trial.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14(8),1637. doi: 10.3390/nu14081637. </w:t>
      </w:r>
    </w:p>
    <w:p w14:paraId="369449CB">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Di-Micco, L., Di-Lullo, L., Bellasi, A. &amp; Di-Iorio, B.R. (2019). Very low protein diet for patients with chronic kidney disease: Recent insights. </w:t>
      </w:r>
      <w:r>
        <w:rPr>
          <w:rFonts w:ascii="Times New Roman" w:hAnsi="Times New Roman" w:eastAsia="Segoe UI" w:cs="Times New Roman"/>
          <w:i/>
          <w:iCs/>
          <w:color w:val="auto"/>
          <w:sz w:val="24"/>
          <w:szCs w:val="24"/>
          <w:shd w:val="clear" w:color="auto" w:fill="FFFFFF"/>
        </w:rPr>
        <w:t>J Clin Med</w:t>
      </w:r>
      <w:r>
        <w:rPr>
          <w:rFonts w:ascii="Times New Roman" w:hAnsi="Times New Roman" w:eastAsia="Segoe UI" w:cs="Times New Roman"/>
          <w:color w:val="auto"/>
          <w:sz w:val="24"/>
          <w:szCs w:val="24"/>
          <w:shd w:val="clear" w:color="auto" w:fill="FFFFFF"/>
        </w:rPr>
        <w:t xml:space="preserve">, 8(5),718. doi: 10.3390/jcm8050718. </w:t>
      </w:r>
    </w:p>
    <w:p w14:paraId="71DFBD3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Du, H. &amp; Dai, X. (2024). A study of the low-protein diet in delaying the course of chronic kidney disease. Br J Hosp Med, 85(5),1-5. </w:t>
      </w:r>
    </w:p>
    <w:p w14:paraId="2F6C052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Fois, A., Torreggiani, M., Trabace, T., Chatrenet, A., Longhitano, E., Mazé, B., et al. (2021). Quality of life in CKD patients on low-protein diets in a multiple-choice diet system: Comparison between a French and an Italian experience.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13(4),1354. doi: 10.3390/nu13041354. </w:t>
      </w:r>
    </w:p>
    <w:p w14:paraId="5E0FBA1C">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Garibotto, G., Picciotto, D., Saio, M., Esposito, P. &amp; Verzola, D. (2020). Muscle protein turnover and low-protein diets in patients with chronic kidney disease. </w:t>
      </w:r>
      <w:r>
        <w:rPr>
          <w:rFonts w:ascii="Times New Roman" w:hAnsi="Times New Roman" w:eastAsia="Segoe UI" w:cs="Times New Roman"/>
          <w:i/>
          <w:iCs/>
          <w:color w:val="auto"/>
          <w:sz w:val="24"/>
          <w:szCs w:val="24"/>
          <w:shd w:val="clear" w:color="auto" w:fill="FFFFFF"/>
        </w:rPr>
        <w:t>Nephrol Dial Transplant</w:t>
      </w:r>
      <w:r>
        <w:rPr>
          <w:rFonts w:ascii="Times New Roman" w:hAnsi="Times New Roman" w:eastAsia="Segoe UI" w:cs="Times New Roman"/>
          <w:color w:val="auto"/>
          <w:sz w:val="24"/>
          <w:szCs w:val="24"/>
          <w:shd w:val="clear" w:color="auto" w:fill="FFFFFF"/>
        </w:rPr>
        <w:t xml:space="preserve">, 35(5),741-751. </w:t>
      </w:r>
    </w:p>
    <w:p w14:paraId="1C639C7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Garneata, L., Mocanu, C.A. &amp; Mircescu, G. (2024). Low-protein diets could be effective and safe in elderly patients with advanced diabetic kidney disease.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16(14),2230. doi: 10.3390/nu16142230. </w:t>
      </w:r>
    </w:p>
    <w:p w14:paraId="34754D7B">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Garneata, L., Mocanu, C.A., Simionescu, T.P., Mocanu, A.E., Dragomir, D.R. &amp; Mircescu, G. (2024). Low protein diet reduces proteinuria and decline in Glomerular Filtration Rate in advanced, heavy proteinuric diabetic kidney disease.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16(11), 1687. doi: 10.3390/nu16111687. </w:t>
      </w:r>
    </w:p>
    <w:p w14:paraId="132A2487">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Garneata, L., Stancu, A., Dragomir, D., Stefan, G. &amp; Mircescu, G. (2016).  Ketoanalogue-supplemented vegetarian very low-protein diet and CKD progression. </w:t>
      </w:r>
      <w:r>
        <w:rPr>
          <w:rFonts w:ascii="Times New Roman" w:hAnsi="Times New Roman" w:eastAsia="Segoe UI" w:cs="Times New Roman"/>
          <w:i/>
          <w:iCs/>
          <w:color w:val="auto"/>
          <w:sz w:val="24"/>
          <w:szCs w:val="24"/>
          <w:shd w:val="clear" w:color="auto" w:fill="FFFFFF"/>
        </w:rPr>
        <w:t>J Am Soc Nephrol</w:t>
      </w:r>
      <w:r>
        <w:rPr>
          <w:rFonts w:ascii="Times New Roman" w:hAnsi="Times New Roman" w:eastAsia="Segoe UI" w:cs="Times New Roman"/>
          <w:color w:val="auto"/>
          <w:sz w:val="24"/>
          <w:szCs w:val="24"/>
          <w:shd w:val="clear" w:color="auto" w:fill="FFFFFF"/>
        </w:rPr>
        <w:t xml:space="preserve">, 27(7),2164-2176. </w:t>
      </w:r>
    </w:p>
    <w:p w14:paraId="52C8156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Hosojima, M., Kabasawa, H., Kaseda, R., Ishikawa-Tanaka, T., Obi, Y., Murayama, T., et al. (2022). Efficacy of low-protein rice for dietary protein restriction in CKD patients: A multicenter, randomized, controlled study. </w:t>
      </w:r>
      <w:r>
        <w:rPr>
          <w:rFonts w:ascii="Times New Roman" w:hAnsi="Times New Roman" w:eastAsia="Segoe UI" w:cs="Times New Roman"/>
          <w:i/>
          <w:iCs/>
          <w:color w:val="auto"/>
          <w:sz w:val="24"/>
          <w:szCs w:val="24"/>
          <w:shd w:val="clear" w:color="auto" w:fill="FFFFFF"/>
        </w:rPr>
        <w:t>Kidney</w:t>
      </w:r>
      <w:r>
        <w:rPr>
          <w:rFonts w:ascii="Times New Roman" w:hAnsi="Times New Roman" w:eastAsia="Segoe UI" w:cs="Times New Roman"/>
          <w:color w:val="auto"/>
          <w:sz w:val="24"/>
          <w:szCs w:val="24"/>
          <w:shd w:val="clear" w:color="auto" w:fill="FFFFFF"/>
        </w:rPr>
        <w:t xml:space="preserve">. 3(11),1861-1870. </w:t>
      </w:r>
    </w:p>
    <w:p w14:paraId="60E9D965">
      <w:pPr>
        <w:tabs>
          <w:tab w:val="left" w:pos="425"/>
        </w:tabs>
        <w:spacing w:before="100" w:after="100" w:line="360" w:lineRule="auto"/>
        <w:ind w:left="567" w:hanging="567"/>
        <w:jc w:val="both"/>
        <w:rPr>
          <w:b/>
          <w:bCs/>
          <w:color w:val="auto"/>
          <w:sz w:val="28"/>
          <w:szCs w:val="28"/>
        </w:rPr>
      </w:pPr>
      <w:r>
        <w:rPr>
          <w:rFonts w:ascii="Times New Roman" w:hAnsi="Times New Roman" w:eastAsia="Segoe UI" w:cs="Times New Roman"/>
          <w:color w:val="auto"/>
          <w:sz w:val="24"/>
          <w:szCs w:val="24"/>
          <w:shd w:val="clear" w:color="auto" w:fill="FFFFFF"/>
        </w:rPr>
        <w:t xml:space="preserve">Hsu, C.K., Su, S.C., Chang, L.C., Shao, S.C., Yang, K.J., Chen, C.Y., et al. (2021). Effects of low protein diet on modulating gut microbiota in patients with chronic kidney disease: A systematic review and meta-analysis of international studies. </w:t>
      </w:r>
      <w:r>
        <w:rPr>
          <w:rFonts w:ascii="Times New Roman" w:hAnsi="Times New Roman" w:eastAsia="Segoe UI" w:cs="Times New Roman"/>
          <w:i/>
          <w:iCs/>
          <w:color w:val="auto"/>
          <w:sz w:val="24"/>
          <w:szCs w:val="24"/>
          <w:shd w:val="clear" w:color="auto" w:fill="FFFFFF"/>
        </w:rPr>
        <w:t>Int J Med Sci</w:t>
      </w:r>
      <w:r>
        <w:rPr>
          <w:rFonts w:ascii="Times New Roman" w:hAnsi="Times New Roman" w:eastAsia="Segoe UI" w:cs="Times New Roman"/>
          <w:color w:val="auto"/>
          <w:sz w:val="24"/>
          <w:szCs w:val="24"/>
          <w:shd w:val="clear" w:color="auto" w:fill="FFFFFF"/>
        </w:rPr>
        <w:t xml:space="preserve">, 18(16),3839-3850. </w:t>
      </w:r>
    </w:p>
    <w:p w14:paraId="0645F4C0">
      <w:pPr>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Ikizler, T.A., Burrowes, J.D., Byham-Gray, L.D., Campbell, K.L., Carrero, J.J., Chan, W., et al. (2020). KDOQI Clinical Practice Guideline for Nutrition in CKD: 2020 Update. </w:t>
      </w:r>
      <w:r>
        <w:rPr>
          <w:rFonts w:ascii="Times New Roman" w:hAnsi="Times New Roman" w:eastAsia="Segoe UI" w:cs="Times New Roman"/>
          <w:i/>
          <w:iCs/>
          <w:color w:val="auto"/>
          <w:sz w:val="24"/>
          <w:szCs w:val="24"/>
          <w:shd w:val="clear" w:color="auto" w:fill="FFFFFF"/>
        </w:rPr>
        <w:t>Am J Kidney Dis</w:t>
      </w:r>
      <w:r>
        <w:rPr>
          <w:rFonts w:ascii="Times New Roman" w:hAnsi="Times New Roman" w:eastAsia="Segoe UI" w:cs="Times New Roman"/>
          <w:color w:val="auto"/>
          <w:sz w:val="24"/>
          <w:szCs w:val="24"/>
          <w:shd w:val="clear" w:color="auto" w:fill="FFFFFF"/>
        </w:rPr>
        <w:t>, 76(3 Suppl 1),S1-S107. doi: 10.1053/j.ajkd.2020.05.006</w:t>
      </w:r>
    </w:p>
    <w:p w14:paraId="44CB234C">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Jiang, S., Fang, J. &amp; Li, W. (2023). Protein restriction for diabetic kidney disease. </w:t>
      </w:r>
      <w:r>
        <w:rPr>
          <w:rFonts w:ascii="Times New Roman" w:hAnsi="Times New Roman" w:eastAsia="Segoe UI" w:cs="Times New Roman"/>
          <w:i/>
          <w:iCs/>
          <w:color w:val="auto"/>
          <w:sz w:val="24"/>
          <w:szCs w:val="24"/>
          <w:shd w:val="clear" w:color="auto" w:fill="FFFFFF"/>
        </w:rPr>
        <w:t>Cochrane Database Syst Rev</w:t>
      </w:r>
      <w:r>
        <w:rPr>
          <w:rFonts w:ascii="Times New Roman" w:hAnsi="Times New Roman" w:eastAsia="Segoe UI" w:cs="Times New Roman"/>
          <w:color w:val="auto"/>
          <w:sz w:val="24"/>
          <w:szCs w:val="24"/>
          <w:shd w:val="clear" w:color="auto" w:fill="FFFFFF"/>
        </w:rPr>
        <w:t xml:space="preserve">, 1(1),CD014906. doi: 10.1002/14651858.CD014906.pub2. </w:t>
      </w:r>
    </w:p>
    <w:p w14:paraId="4015E14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Joshi, S., Kalantar-Zadeh, K., Chauveau, P. &amp; Carrero, J.J. (2023). Risks and benefits of different dietary patterns in CKD. </w:t>
      </w:r>
      <w:r>
        <w:rPr>
          <w:rFonts w:ascii="Times New Roman" w:hAnsi="Times New Roman" w:eastAsia="Segoe UI" w:cs="Times New Roman"/>
          <w:i/>
          <w:iCs/>
          <w:color w:val="auto"/>
          <w:sz w:val="24"/>
          <w:szCs w:val="24"/>
          <w:shd w:val="clear" w:color="auto" w:fill="FFFFFF"/>
        </w:rPr>
        <w:t>Am J Kidney Dis</w:t>
      </w:r>
      <w:r>
        <w:rPr>
          <w:rFonts w:ascii="Times New Roman" w:hAnsi="Times New Roman" w:eastAsia="Segoe UI" w:cs="Times New Roman"/>
          <w:color w:val="auto"/>
          <w:sz w:val="24"/>
          <w:szCs w:val="24"/>
          <w:shd w:val="clear" w:color="auto" w:fill="FFFFFF"/>
        </w:rPr>
        <w:t xml:space="preserve">, 81(3),352-360. </w:t>
      </w:r>
    </w:p>
    <w:p w14:paraId="54B0B54D">
      <w:pPr>
        <w:tabs>
          <w:tab w:val="left" w:pos="425"/>
        </w:tabs>
        <w:spacing w:line="360" w:lineRule="auto"/>
        <w:ind w:left="567" w:hanging="567"/>
        <w:jc w:val="both"/>
        <w:rPr>
          <w:rFonts w:hint="default" w:ascii="Times New Roman" w:hAnsi="Times New Roman" w:eastAsia="Segoe UI" w:cs="Times New Roman"/>
          <w:i w:val="0"/>
          <w:iCs w:val="0"/>
          <w:color w:val="auto"/>
          <w:sz w:val="24"/>
          <w:szCs w:val="24"/>
          <w:shd w:val="clear" w:color="auto" w:fill="FFFFFF"/>
        </w:rPr>
      </w:pPr>
      <w:r>
        <w:rPr>
          <w:rFonts w:hint="default" w:ascii="Times New Roman" w:hAnsi="Times New Roman" w:eastAsia="SimSun" w:cs="Times New Roman"/>
          <w:i w:val="0"/>
          <w:iCs w:val="0"/>
          <w:color w:val="auto"/>
          <w:sz w:val="24"/>
          <w:szCs w:val="24"/>
        </w:rPr>
        <w:t xml:space="preserve">Kalantar-Zadeh K, et al. </w:t>
      </w:r>
      <w:r>
        <w:rPr>
          <w:rStyle w:val="5"/>
          <w:rFonts w:hint="default" w:ascii="Times New Roman" w:hAnsi="Times New Roman" w:eastAsia="SimSun" w:cs="Times New Roman"/>
          <w:i w:val="0"/>
          <w:iCs w:val="0"/>
          <w:color w:val="auto"/>
          <w:sz w:val="24"/>
          <w:szCs w:val="24"/>
        </w:rPr>
        <w:t>Plant-Dominant Low-Protein Diet in Chronic Kidney Disease.</w:t>
      </w:r>
      <w:r>
        <w:rPr>
          <w:rFonts w:hint="default" w:ascii="Times New Roman" w:hAnsi="Times New Roman" w:eastAsia="SimSun" w:cs="Times New Roman"/>
          <w:i w:val="0"/>
          <w:iCs w:val="0"/>
          <w:color w:val="auto"/>
          <w:sz w:val="24"/>
          <w:szCs w:val="24"/>
        </w:rPr>
        <w:t xml:space="preserve"> </w:t>
      </w:r>
      <w:r>
        <w:rPr>
          <w:rStyle w:val="10"/>
          <w:rFonts w:hint="default" w:ascii="Times New Roman" w:hAnsi="Times New Roman" w:eastAsia="SimSun" w:cs="Times New Roman"/>
          <w:i w:val="0"/>
          <w:iCs w:val="0"/>
          <w:color w:val="auto"/>
          <w:sz w:val="24"/>
          <w:szCs w:val="24"/>
        </w:rPr>
        <w:t>Nutrients.</w:t>
      </w:r>
      <w:r>
        <w:rPr>
          <w:rFonts w:hint="default" w:ascii="Times New Roman" w:hAnsi="Times New Roman" w:eastAsia="SimSun" w:cs="Times New Roman"/>
          <w:i w:val="0"/>
          <w:iCs w:val="0"/>
          <w:color w:val="auto"/>
          <w:sz w:val="24"/>
          <w:szCs w:val="24"/>
        </w:rPr>
        <w:t xml:space="preserve"> 2024;17(6):970.</w:t>
      </w:r>
    </w:p>
    <w:p w14:paraId="226FD28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Kalantar-Zadeh, K., Moore, L.W., Tortorici, A.R., Chou, J.A., St-Jules, D.E., Aoun, A., et al. (2016). North American experience with low protein diet for non-dialysis-dependent chronic kidney disease. </w:t>
      </w:r>
      <w:r>
        <w:rPr>
          <w:rFonts w:ascii="Times New Roman" w:hAnsi="Times New Roman" w:eastAsia="Segoe UI" w:cs="Times New Roman"/>
          <w:i/>
          <w:iCs/>
          <w:color w:val="auto"/>
          <w:sz w:val="24"/>
          <w:szCs w:val="24"/>
          <w:shd w:val="clear" w:color="auto" w:fill="FFFFFF"/>
        </w:rPr>
        <w:t>BMC Nephrol</w:t>
      </w:r>
      <w:r>
        <w:rPr>
          <w:rFonts w:ascii="Times New Roman" w:hAnsi="Times New Roman" w:eastAsia="Segoe UI" w:cs="Times New Roman"/>
          <w:color w:val="auto"/>
          <w:sz w:val="24"/>
          <w:szCs w:val="24"/>
          <w:shd w:val="clear" w:color="auto" w:fill="FFFFFF"/>
        </w:rPr>
        <w:t xml:space="preserve">, 17(1),90. doi: 10.1186/s12882-016-0304-9. </w:t>
      </w:r>
    </w:p>
    <w:p w14:paraId="36ED7E2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Kelly, O.J., Huang, M.C., Liao, H.Y., Lin, C.C., Tung, T.Y., Cheng, R.W., et al. (2021). A low-protein diet with a renal-specific oral nutrition supplement helps maintain nutritional status in patients with advanced chronic kidney disease. </w:t>
      </w:r>
      <w:r>
        <w:rPr>
          <w:rFonts w:ascii="Times New Roman" w:hAnsi="Times New Roman" w:eastAsia="Segoe UI" w:cs="Times New Roman"/>
          <w:i/>
          <w:iCs/>
          <w:color w:val="auto"/>
          <w:sz w:val="24"/>
          <w:szCs w:val="24"/>
          <w:shd w:val="clear" w:color="auto" w:fill="FFFFFF"/>
        </w:rPr>
        <w:t>J Pers Med</w:t>
      </w:r>
      <w:r>
        <w:rPr>
          <w:rFonts w:ascii="Times New Roman" w:hAnsi="Times New Roman" w:eastAsia="Segoe UI" w:cs="Times New Roman"/>
          <w:color w:val="auto"/>
          <w:sz w:val="24"/>
          <w:szCs w:val="24"/>
          <w:shd w:val="clear" w:color="auto" w:fill="FFFFFF"/>
        </w:rPr>
        <w:t xml:space="preserve">, 11(12),1360. doi: 10.3390/jpm11121360. </w:t>
      </w:r>
    </w:p>
    <w:p w14:paraId="500DA5F0">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Kim, S.M. &amp; Jung, J.Y. (2020). Nutritional management in patients with chronic kidney disease. </w:t>
      </w:r>
      <w:r>
        <w:rPr>
          <w:rFonts w:ascii="Times New Roman" w:hAnsi="Times New Roman" w:eastAsia="Segoe UI" w:cs="Times New Roman"/>
          <w:i/>
          <w:iCs/>
          <w:color w:val="auto"/>
          <w:sz w:val="24"/>
          <w:szCs w:val="24"/>
          <w:shd w:val="clear" w:color="auto" w:fill="FFFFFF"/>
        </w:rPr>
        <w:t>Korean J Intern Med</w:t>
      </w:r>
      <w:r>
        <w:rPr>
          <w:rFonts w:ascii="Times New Roman" w:hAnsi="Times New Roman" w:eastAsia="Segoe UI" w:cs="Times New Roman"/>
          <w:color w:val="auto"/>
          <w:sz w:val="24"/>
          <w:szCs w:val="24"/>
          <w:shd w:val="clear" w:color="auto" w:fill="FFFFFF"/>
        </w:rPr>
        <w:t xml:space="preserve">, 35(6),1279-1290. </w:t>
      </w:r>
    </w:p>
    <w:p w14:paraId="36A3C71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Ko, G.J. &amp; Kalantar-Zadeh, K. (2021). How important is dietary management in chronic kidney disease progression? A role for low protein diets. </w:t>
      </w:r>
      <w:r>
        <w:rPr>
          <w:rFonts w:ascii="Times New Roman" w:hAnsi="Times New Roman" w:eastAsia="Segoe UI" w:cs="Times New Roman"/>
          <w:i/>
          <w:iCs/>
          <w:color w:val="auto"/>
          <w:sz w:val="24"/>
          <w:szCs w:val="24"/>
          <w:shd w:val="clear" w:color="auto" w:fill="FFFFFF"/>
        </w:rPr>
        <w:t>Korean J Intern Med</w:t>
      </w:r>
      <w:r>
        <w:rPr>
          <w:rFonts w:ascii="Times New Roman" w:hAnsi="Times New Roman" w:eastAsia="Segoe UI" w:cs="Times New Roman"/>
          <w:color w:val="auto"/>
          <w:sz w:val="24"/>
          <w:szCs w:val="24"/>
          <w:shd w:val="clear" w:color="auto" w:fill="FFFFFF"/>
        </w:rPr>
        <w:t xml:space="preserve">, 36(4),795-806. </w:t>
      </w:r>
    </w:p>
    <w:p w14:paraId="441ACF6C">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Ko, G.J., Obi, Y., Tortorici, A.R. &amp; Kalantar-Zadeh, K. (2017). Dietary protein intake and chronic kidney disease. </w:t>
      </w:r>
      <w:r>
        <w:rPr>
          <w:rFonts w:ascii="Times New Roman" w:hAnsi="Times New Roman" w:eastAsia="Segoe UI" w:cs="Times New Roman"/>
          <w:i/>
          <w:iCs/>
          <w:color w:val="auto"/>
          <w:sz w:val="24"/>
          <w:szCs w:val="24"/>
          <w:shd w:val="clear" w:color="auto" w:fill="FFFFFF"/>
        </w:rPr>
        <w:t>Curr Opin Clin Nutr Metab Care</w:t>
      </w:r>
      <w:r>
        <w:rPr>
          <w:rFonts w:ascii="Times New Roman" w:hAnsi="Times New Roman" w:eastAsia="Segoe UI" w:cs="Times New Roman"/>
          <w:color w:val="auto"/>
          <w:sz w:val="24"/>
          <w:szCs w:val="24"/>
          <w:shd w:val="clear" w:color="auto" w:fill="FFFFFF"/>
        </w:rPr>
        <w:t xml:space="preserve">, 20(1),77-85. </w:t>
      </w:r>
    </w:p>
    <w:p w14:paraId="53942FE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Lee, D.Y., Han, S.Y., Lee, K., Lee, Y., Phan, L.&amp; Mansur, R.B., (2023). Association of a low protein diet with depressive symptoms and poor health-related quality of life in CKD. </w:t>
      </w:r>
      <w:r>
        <w:rPr>
          <w:rFonts w:ascii="Times New Roman" w:hAnsi="Times New Roman" w:eastAsia="Segoe UI" w:cs="Times New Roman"/>
          <w:i/>
          <w:iCs/>
          <w:color w:val="auto"/>
          <w:sz w:val="24"/>
          <w:szCs w:val="24"/>
          <w:shd w:val="clear" w:color="auto" w:fill="FFFFFF"/>
        </w:rPr>
        <w:t>J Psychiatr Res</w:t>
      </w:r>
      <w:r>
        <w:rPr>
          <w:rFonts w:ascii="Times New Roman" w:hAnsi="Times New Roman" w:eastAsia="Segoe UI" w:cs="Times New Roman"/>
          <w:color w:val="auto"/>
          <w:sz w:val="24"/>
          <w:szCs w:val="24"/>
          <w:shd w:val="clear" w:color="auto" w:fill="FFFFFF"/>
        </w:rPr>
        <w:t xml:space="preserve">, 161,282-288. </w:t>
      </w:r>
    </w:p>
    <w:p w14:paraId="76FFCB8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Mafra, D,, Brum, I., Borges, N.A., Leal, V.O.&amp; Fouque, D. (2025). Low-protein diet for chronic kidney disease: Evidence, controversies, and practical guidelines. </w:t>
      </w:r>
      <w:r>
        <w:rPr>
          <w:rFonts w:ascii="Times New Roman" w:hAnsi="Times New Roman" w:eastAsia="Segoe UI" w:cs="Times New Roman"/>
          <w:i/>
          <w:iCs/>
          <w:color w:val="auto"/>
          <w:sz w:val="24"/>
          <w:szCs w:val="24"/>
          <w:shd w:val="clear" w:color="auto" w:fill="FFFFFF"/>
        </w:rPr>
        <w:t>J Intern Med</w:t>
      </w:r>
      <w:r>
        <w:rPr>
          <w:rFonts w:ascii="Times New Roman" w:hAnsi="Times New Roman" w:eastAsia="Segoe UI" w:cs="Times New Roman"/>
          <w:color w:val="auto"/>
          <w:sz w:val="24"/>
          <w:szCs w:val="24"/>
          <w:shd w:val="clear" w:color="auto" w:fill="FFFFFF"/>
        </w:rPr>
        <w:t xml:space="preserve">, 298(4),319-335. </w:t>
      </w:r>
    </w:p>
    <w:p w14:paraId="4E2FBC8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Mafra, D. &amp; Leal, V.O. (2016). A practical approach to a low protein diet in Brazil. </w:t>
      </w:r>
      <w:r>
        <w:rPr>
          <w:rFonts w:ascii="Times New Roman" w:hAnsi="Times New Roman" w:eastAsia="Segoe UI" w:cs="Times New Roman"/>
          <w:i/>
          <w:iCs/>
          <w:color w:val="auto"/>
          <w:sz w:val="24"/>
          <w:szCs w:val="24"/>
          <w:shd w:val="clear" w:color="auto" w:fill="FFFFFF"/>
        </w:rPr>
        <w:t>BMC Nephrol</w:t>
      </w:r>
      <w:r>
        <w:rPr>
          <w:rFonts w:ascii="Times New Roman" w:hAnsi="Times New Roman" w:eastAsia="Segoe UI" w:cs="Times New Roman"/>
          <w:color w:val="auto"/>
          <w:sz w:val="24"/>
          <w:szCs w:val="24"/>
          <w:shd w:val="clear" w:color="auto" w:fill="FFFFFF"/>
        </w:rPr>
        <w:t xml:space="preserve">, 17(1),105. doi: 10.1186/s12882-016-0305-8. </w:t>
      </w:r>
    </w:p>
    <w:p w14:paraId="185F7F33">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Massimiliano, P., Tatiana, S. &amp; Pradelli, L. (2025). Cost-effectiveness of a ketoanalogue-supplemented very low-protein diet in CKD. </w:t>
      </w:r>
      <w:r>
        <w:rPr>
          <w:rFonts w:ascii="Times New Roman" w:hAnsi="Times New Roman" w:eastAsia="Segoe UI" w:cs="Times New Roman"/>
          <w:i/>
          <w:iCs/>
          <w:color w:val="auto"/>
          <w:sz w:val="24"/>
          <w:szCs w:val="24"/>
          <w:shd w:val="clear" w:color="auto" w:fill="FFFFFF"/>
        </w:rPr>
        <w:t>Nephrol Dial Transplant</w:t>
      </w:r>
      <w:r>
        <w:rPr>
          <w:rFonts w:ascii="Times New Roman" w:hAnsi="Times New Roman" w:eastAsia="Segoe UI" w:cs="Times New Roman"/>
          <w:color w:val="auto"/>
          <w:sz w:val="24"/>
          <w:szCs w:val="24"/>
          <w:shd w:val="clear" w:color="auto" w:fill="FFFFFF"/>
        </w:rPr>
        <w:t xml:space="preserve">, 8, 123. doi: 10.1093/ndt/gfaf123. </w:t>
      </w:r>
    </w:p>
    <w:p w14:paraId="229F954E">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Metzger, M., Yuan, W.L., Haymann, J.P., Flamant, M., Houillier, P., Thervet, E., et al. (2017). Association of a low-protein diet with slower progression of CKD. </w:t>
      </w:r>
      <w:r>
        <w:rPr>
          <w:rFonts w:ascii="Times New Roman" w:hAnsi="Times New Roman" w:eastAsia="Segoe UI" w:cs="Times New Roman"/>
          <w:i/>
          <w:iCs/>
          <w:color w:val="auto"/>
          <w:sz w:val="24"/>
          <w:szCs w:val="24"/>
          <w:shd w:val="clear" w:color="auto" w:fill="FFFFFF"/>
        </w:rPr>
        <w:t>Kidney Int Rep</w:t>
      </w:r>
      <w:r>
        <w:rPr>
          <w:rFonts w:ascii="Times New Roman" w:hAnsi="Times New Roman" w:eastAsia="Segoe UI" w:cs="Times New Roman"/>
          <w:color w:val="auto"/>
          <w:sz w:val="24"/>
          <w:szCs w:val="24"/>
          <w:shd w:val="clear" w:color="auto" w:fill="FFFFFF"/>
        </w:rPr>
        <w:t xml:space="preserve">, 3(1),105-114. </w:t>
      </w:r>
    </w:p>
    <w:p w14:paraId="5F2F99A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Narasaki, Y., Okuda, Y., Moore, L.W., You, A.S., Tantisattamo, E., Inrig, J.K., et al. (2021). Dietary protein intake, kidney function, and survival in a nationally representative cohort. </w:t>
      </w:r>
      <w:r>
        <w:rPr>
          <w:rFonts w:ascii="Times New Roman" w:hAnsi="Times New Roman" w:eastAsia="Segoe UI" w:cs="Times New Roman"/>
          <w:i/>
          <w:iCs/>
          <w:color w:val="auto"/>
          <w:sz w:val="24"/>
          <w:szCs w:val="24"/>
          <w:shd w:val="clear" w:color="auto" w:fill="FFFFFF"/>
        </w:rPr>
        <w:t>Am J Clin Nutr</w:t>
      </w:r>
      <w:r>
        <w:rPr>
          <w:rFonts w:ascii="Times New Roman" w:hAnsi="Times New Roman" w:eastAsia="Segoe UI" w:cs="Times New Roman"/>
          <w:color w:val="auto"/>
          <w:sz w:val="24"/>
          <w:szCs w:val="24"/>
          <w:shd w:val="clear" w:color="auto" w:fill="FFFFFF"/>
        </w:rPr>
        <w:t xml:space="preserve">, 114(1),303-313. </w:t>
      </w:r>
    </w:p>
    <w:p w14:paraId="40260D4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Narasaki, Y., Rhee, C.M., Kramer, H. &amp; Kalantar-Zadeh, K. (2021). Protein intake and renal function in older patients. </w:t>
      </w:r>
      <w:r>
        <w:rPr>
          <w:rFonts w:ascii="Times New Roman" w:hAnsi="Times New Roman" w:eastAsia="Segoe UI" w:cs="Times New Roman"/>
          <w:i/>
          <w:iCs/>
          <w:color w:val="auto"/>
          <w:sz w:val="24"/>
          <w:szCs w:val="24"/>
          <w:shd w:val="clear" w:color="auto" w:fill="FFFFFF"/>
        </w:rPr>
        <w:t>Curr Opin Clin Nutr Metab Care</w:t>
      </w:r>
      <w:r>
        <w:rPr>
          <w:rFonts w:ascii="Times New Roman" w:hAnsi="Times New Roman" w:eastAsia="Segoe UI" w:cs="Times New Roman"/>
          <w:color w:val="auto"/>
          <w:sz w:val="24"/>
          <w:szCs w:val="24"/>
          <w:shd w:val="clear" w:color="auto" w:fill="FFFFFF"/>
        </w:rPr>
        <w:t xml:space="preserve">, 24(1),10-17. </w:t>
      </w:r>
    </w:p>
    <w:p w14:paraId="0ED861CB">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Noce, A., Vidiri, M.F., Marrone, G., Moriconi, E., Bocedi, A., Capria, A., et al. (2016). Is low-protein diet a possible risk factor of malnutrition in chronic kidney disease patients? </w:t>
      </w:r>
      <w:r>
        <w:rPr>
          <w:rFonts w:ascii="Times New Roman" w:hAnsi="Times New Roman" w:eastAsia="Segoe UI" w:cs="Times New Roman"/>
          <w:i/>
          <w:iCs/>
          <w:color w:val="auto"/>
          <w:sz w:val="24"/>
          <w:szCs w:val="24"/>
          <w:shd w:val="clear" w:color="auto" w:fill="FFFFFF"/>
        </w:rPr>
        <w:t>Cell Death Discov</w:t>
      </w:r>
      <w:r>
        <w:rPr>
          <w:rFonts w:ascii="Times New Roman" w:hAnsi="Times New Roman" w:eastAsia="Segoe UI" w:cs="Times New Roman"/>
          <w:color w:val="auto"/>
          <w:sz w:val="24"/>
          <w:szCs w:val="24"/>
          <w:shd w:val="clear" w:color="auto" w:fill="FFFFFF"/>
        </w:rPr>
        <w:t xml:space="preserve">, 2,16026. doi: 10.1038/cddiscovery.2016.26. </w:t>
      </w:r>
    </w:p>
    <w:p w14:paraId="1E2C6C09">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Patel, J., Kalantar-Zadeh, K. &amp; Joshi, S. (2023). Low-protein diets and its synergistic role in the SGLT2 inhibitor era. </w:t>
      </w:r>
      <w:r>
        <w:rPr>
          <w:rFonts w:ascii="Times New Roman" w:hAnsi="Times New Roman" w:eastAsia="Segoe UI" w:cs="Times New Roman"/>
          <w:i/>
          <w:iCs/>
          <w:color w:val="auto"/>
          <w:sz w:val="24"/>
          <w:szCs w:val="24"/>
          <w:shd w:val="clear" w:color="auto" w:fill="FFFFFF"/>
        </w:rPr>
        <w:t>Adv Kidney Dis Health</w:t>
      </w:r>
      <w:r>
        <w:rPr>
          <w:rFonts w:ascii="Times New Roman" w:hAnsi="Times New Roman" w:eastAsia="Segoe UI" w:cs="Times New Roman"/>
          <w:color w:val="auto"/>
          <w:sz w:val="24"/>
          <w:szCs w:val="24"/>
          <w:shd w:val="clear" w:color="auto" w:fill="FFFFFF"/>
        </w:rPr>
        <w:t xml:space="preserve">, 30(6),523-528. </w:t>
      </w:r>
    </w:p>
    <w:p w14:paraId="29394D1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Pereira, C.D., Guimarães, C., Ribeiro, V.S., Vaz, D.C. &amp; Martins, M.J. (2024). Low-protein diets, malnutrition, and bone metabolism in chronic kidney disease.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16(18),3098. doi: 10.3390/nu16183098. </w:t>
      </w:r>
    </w:p>
    <w:p w14:paraId="164F518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Piccoli, G.B., Capizzi, I., Vigotti, F.N., Leone, F., D'Alessandro, C., Giuffrida, D., et al. (2016). Low protein diets in patients with chronic kidney disease: A bridge between mainstream and complementary-alternative medicines. </w:t>
      </w:r>
      <w:r>
        <w:rPr>
          <w:rFonts w:ascii="Times New Roman" w:hAnsi="Times New Roman" w:eastAsia="Segoe UI" w:cs="Times New Roman"/>
          <w:i/>
          <w:iCs/>
          <w:color w:val="auto"/>
          <w:sz w:val="24"/>
          <w:szCs w:val="24"/>
          <w:shd w:val="clear" w:color="auto" w:fill="FFFFFF"/>
        </w:rPr>
        <w:t>BMC Nephrol</w:t>
      </w:r>
      <w:r>
        <w:rPr>
          <w:rFonts w:ascii="Times New Roman" w:hAnsi="Times New Roman" w:eastAsia="Segoe UI" w:cs="Times New Roman"/>
          <w:color w:val="auto"/>
          <w:sz w:val="24"/>
          <w:szCs w:val="24"/>
          <w:shd w:val="clear" w:color="auto" w:fill="FFFFFF"/>
        </w:rPr>
        <w:t xml:space="preserve">, 17(1),76. doi: 10.1186/s12882-016-0275-x. </w:t>
      </w:r>
    </w:p>
    <w:p w14:paraId="0DD80B1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Piccoli, G.B., Cederholm, T., Avesani, C.M., Bakker, S.J.L, Bellizzi, V., Cuerda, C., et al. (2023). Nutritional status and the risk of malnutrition in older adults with chronic kidney disease - implications for low protein intake and nutritional care: A critical review endorsed by ERN-ERA and ESPEN. </w:t>
      </w:r>
      <w:r>
        <w:rPr>
          <w:rFonts w:ascii="Times New Roman" w:hAnsi="Times New Roman" w:eastAsia="Segoe UI" w:cs="Times New Roman"/>
          <w:i/>
          <w:iCs/>
          <w:color w:val="auto"/>
          <w:sz w:val="24"/>
          <w:szCs w:val="24"/>
          <w:shd w:val="clear" w:color="auto" w:fill="FFFFFF"/>
        </w:rPr>
        <w:t>Clin Nutr</w:t>
      </w:r>
      <w:r>
        <w:rPr>
          <w:rFonts w:ascii="Times New Roman" w:hAnsi="Times New Roman" w:eastAsia="Segoe UI" w:cs="Times New Roman"/>
          <w:color w:val="auto"/>
          <w:sz w:val="24"/>
          <w:szCs w:val="24"/>
          <w:shd w:val="clear" w:color="auto" w:fill="FFFFFF"/>
        </w:rPr>
        <w:t xml:space="preserve">, 42(4),443-457. </w:t>
      </w:r>
      <w:r>
        <w:rPr>
          <w:rFonts w:ascii="Times New Roman" w:hAnsi="Times New Roman" w:eastAsia="Segoe UI" w:cs="Times New Roman"/>
          <w:color w:val="auto"/>
          <w:sz w:val="24"/>
          <w:szCs w:val="24"/>
          <w:shd w:val="clear" w:color="auto" w:fill="FFFFFF"/>
        </w:rPr>
        <w:t xml:space="preserve"> </w:t>
      </w:r>
    </w:p>
    <w:p w14:paraId="342E572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Piccoli, G.B., Deagostini, M.C., Vigotti, F.N., Ferraresi, M., Moro, I., Consiglio, V., et al. (2014). Which low-protein diet for which CKD patient? An observational, personalized approach. </w:t>
      </w:r>
      <w:r>
        <w:rPr>
          <w:rFonts w:ascii="Times New Roman" w:hAnsi="Times New Roman" w:eastAsia="Segoe UI" w:cs="Times New Roman"/>
          <w:i/>
          <w:iCs/>
          <w:color w:val="auto"/>
          <w:sz w:val="24"/>
          <w:szCs w:val="24"/>
          <w:shd w:val="clear" w:color="auto" w:fill="FFFFFF"/>
        </w:rPr>
        <w:t>Nutrition</w:t>
      </w:r>
      <w:r>
        <w:rPr>
          <w:rFonts w:ascii="Times New Roman" w:hAnsi="Times New Roman" w:eastAsia="Segoe UI" w:cs="Times New Roman"/>
          <w:color w:val="auto"/>
          <w:sz w:val="24"/>
          <w:szCs w:val="24"/>
          <w:shd w:val="clear" w:color="auto" w:fill="FFFFFF"/>
        </w:rPr>
        <w:t xml:space="preserve">, 30(9),992-999. </w:t>
      </w:r>
    </w:p>
    <w:p w14:paraId="70D37A2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Piccoli, G.B., Ventrella, F., Capizzi, I., Vigotti, F.N., Mongilardi, E., Grassi, G., et al. (2016). Low-protein diets in diabetic chronic kidney disease (CKD) patients: Are they feasible and worth the effort?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8(10),649. doi: 10.3390/nu8100649. </w:t>
      </w:r>
    </w:p>
    <w:p w14:paraId="7C01AFA2">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Piccoli, G.B., Vigotti, F.N., Leone, F., Capizzi, I., Daidola, G., Cabiddu, G., et al. (2015). Low-protein diets in CKD: How can we achieve them? A narrative, pragmatic review. </w:t>
      </w:r>
      <w:r>
        <w:rPr>
          <w:rFonts w:ascii="Times New Roman" w:hAnsi="Times New Roman" w:eastAsia="Segoe UI" w:cs="Times New Roman"/>
          <w:i/>
          <w:iCs/>
          <w:color w:val="auto"/>
          <w:sz w:val="24"/>
          <w:szCs w:val="24"/>
          <w:shd w:val="clear" w:color="auto" w:fill="FFFFFF"/>
        </w:rPr>
        <w:t>Clin Kidney J</w:t>
      </w:r>
      <w:r>
        <w:rPr>
          <w:rFonts w:ascii="Times New Roman" w:hAnsi="Times New Roman" w:eastAsia="Segoe UI" w:cs="Times New Roman"/>
          <w:color w:val="auto"/>
          <w:sz w:val="24"/>
          <w:szCs w:val="24"/>
          <w:shd w:val="clear" w:color="auto" w:fill="FFFFFF"/>
        </w:rPr>
        <w:t xml:space="preserve">, 8(1),61-70. </w:t>
      </w:r>
    </w:p>
    <w:p w14:paraId="67BBE41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Rhee, C.M., Ahmadi, S.F., Kovesdy, C.P. &amp; Kalantar-Zadeh, K. (2018). Low-protein diet for conservative management of chronic kidney disease: A systematic review and meta-analysis of controlled trials. </w:t>
      </w:r>
      <w:r>
        <w:rPr>
          <w:rFonts w:ascii="Times New Roman" w:hAnsi="Times New Roman" w:eastAsia="Segoe UI" w:cs="Times New Roman"/>
          <w:i/>
          <w:iCs/>
          <w:color w:val="auto"/>
          <w:sz w:val="24"/>
          <w:szCs w:val="24"/>
          <w:shd w:val="clear" w:color="auto" w:fill="FFFFFF"/>
        </w:rPr>
        <w:t>J Cachexia Sarcopenia Muscle</w:t>
      </w:r>
      <w:r>
        <w:rPr>
          <w:rFonts w:ascii="Times New Roman" w:hAnsi="Times New Roman" w:eastAsia="Segoe UI" w:cs="Times New Roman"/>
          <w:color w:val="auto"/>
          <w:sz w:val="24"/>
          <w:szCs w:val="24"/>
          <w:shd w:val="clear" w:color="auto" w:fill="FFFFFF"/>
        </w:rPr>
        <w:t xml:space="preserve">, 9(2),235-245. </w:t>
      </w:r>
    </w:p>
    <w:p w14:paraId="2E2A4B8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Sakaguchi, Y., Kaimori, J.Y. &amp; Isaka, Y. (2023). Plant-dominant low protein diet: A potential alternative dietary practice for patients with chronic kidney disease.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15(4),1002. doi: 10.3390/nu15041002. </w:t>
      </w:r>
    </w:p>
    <w:p w14:paraId="279F651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Shah, B.V. &amp; Patel, Z.M. (2016). Role of low protein diet in management of different stages of chronic kidney disease - practical aspects. </w:t>
      </w:r>
      <w:r>
        <w:rPr>
          <w:rFonts w:ascii="Times New Roman" w:hAnsi="Times New Roman" w:eastAsia="Segoe UI" w:cs="Times New Roman"/>
          <w:i/>
          <w:iCs/>
          <w:color w:val="auto"/>
          <w:sz w:val="24"/>
          <w:szCs w:val="24"/>
          <w:shd w:val="clear" w:color="auto" w:fill="FFFFFF"/>
        </w:rPr>
        <w:t>BMC Nephrol</w:t>
      </w:r>
      <w:r>
        <w:rPr>
          <w:rFonts w:ascii="Times New Roman" w:hAnsi="Times New Roman" w:eastAsia="Segoe UI" w:cs="Times New Roman"/>
          <w:color w:val="auto"/>
          <w:sz w:val="24"/>
          <w:szCs w:val="24"/>
          <w:shd w:val="clear" w:color="auto" w:fill="FFFFFF"/>
        </w:rPr>
        <w:t xml:space="preserve">, 17(1),156. doi: 10.1186/s12882-016-0360-1. </w:t>
      </w:r>
    </w:p>
    <w:p w14:paraId="28F5D2F0">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Spahia, N., Rroji, M., Barbullushi, M. &amp; Spasovski, G. (2023). The role of protein restriction in the progression of chronic kidney disease. </w:t>
      </w:r>
      <w:r>
        <w:rPr>
          <w:rFonts w:ascii="Times New Roman" w:hAnsi="Times New Roman" w:eastAsia="Segoe UI" w:cs="Times New Roman"/>
          <w:i/>
          <w:iCs/>
          <w:color w:val="auto"/>
          <w:sz w:val="24"/>
          <w:szCs w:val="24"/>
          <w:shd w:val="clear" w:color="auto" w:fill="FFFFFF"/>
        </w:rPr>
        <w:t>Pril (Makedon Akad Nauk Umet Odd Med Nauki),</w:t>
      </w:r>
      <w:r>
        <w:rPr>
          <w:rFonts w:ascii="Times New Roman" w:hAnsi="Times New Roman" w:eastAsia="Segoe UI" w:cs="Times New Roman"/>
          <w:color w:val="auto"/>
          <w:sz w:val="24"/>
          <w:szCs w:val="24"/>
          <w:shd w:val="clear" w:color="auto" w:fill="FFFFFF"/>
        </w:rPr>
        <w:t xml:space="preserve"> 44(2),53-63. </w:t>
      </w:r>
    </w:p>
    <w:p w14:paraId="79AA01C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Tanaka, S., Wakui, H., Azushima, K., Tsukamoto S, Yamaji T, Urate S., et al. (2023). Effects of a high-protein diet on kidney injury under conditions of mon-CKD or CKD in mice. </w:t>
      </w:r>
      <w:r>
        <w:rPr>
          <w:rFonts w:ascii="Times New Roman" w:hAnsi="Times New Roman" w:eastAsia="Segoe UI" w:cs="Times New Roman"/>
          <w:i/>
          <w:iCs/>
          <w:color w:val="auto"/>
          <w:sz w:val="24"/>
          <w:szCs w:val="24"/>
          <w:shd w:val="clear" w:color="auto" w:fill="FFFFFF"/>
        </w:rPr>
        <w:t>Int J Mol Sci</w:t>
      </w:r>
      <w:r>
        <w:rPr>
          <w:rFonts w:ascii="Times New Roman" w:hAnsi="Times New Roman" w:eastAsia="Segoe UI" w:cs="Times New Roman"/>
          <w:color w:val="auto"/>
          <w:sz w:val="24"/>
          <w:szCs w:val="24"/>
          <w:shd w:val="clear" w:color="auto" w:fill="FFFFFF"/>
        </w:rPr>
        <w:t xml:space="preserve">, 24(9),7778. doi: 10.3390/ijms24097778. </w:t>
      </w:r>
    </w:p>
    <w:p w14:paraId="0A12F8CD">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Torreggiani, M., Wang, A.Y., Fois, A. &amp; Piccoli, G.B. (2023). Personalized low-protein diet prescription in CKD population: Merging evidence from randomized trials with observational data. </w:t>
      </w:r>
      <w:r>
        <w:rPr>
          <w:rFonts w:ascii="Times New Roman" w:hAnsi="Times New Roman" w:eastAsia="Segoe UI" w:cs="Times New Roman"/>
          <w:i/>
          <w:iCs/>
          <w:color w:val="auto"/>
          <w:sz w:val="24"/>
          <w:szCs w:val="24"/>
          <w:shd w:val="clear" w:color="auto" w:fill="FFFFFF"/>
        </w:rPr>
        <w:t>Semin Nephrol</w:t>
      </w:r>
      <w:r>
        <w:rPr>
          <w:rFonts w:ascii="Times New Roman" w:hAnsi="Times New Roman" w:eastAsia="Segoe UI" w:cs="Times New Roman"/>
          <w:color w:val="auto"/>
          <w:sz w:val="24"/>
          <w:szCs w:val="24"/>
          <w:shd w:val="clear" w:color="auto" w:fill="FFFFFF"/>
        </w:rPr>
        <w:t xml:space="preserve">, 43(2),151402. doi: 10.1016/j.semnephrol.2023.151402. </w:t>
      </w:r>
    </w:p>
    <w:p w14:paraId="06A2EBF0">
      <w:pPr>
        <w:tabs>
          <w:tab w:val="left" w:pos="425"/>
        </w:tabs>
        <w:spacing w:line="360" w:lineRule="auto"/>
        <w:ind w:left="567" w:hanging="567"/>
        <w:jc w:val="both"/>
        <w:rPr>
          <w:rFonts w:hint="default" w:ascii="Times New Roman" w:hAnsi="Times New Roman" w:eastAsia="Segoe UI" w:cs="Times New Roman"/>
          <w:i w:val="0"/>
          <w:iCs w:val="0"/>
          <w:color w:val="auto"/>
          <w:sz w:val="24"/>
          <w:szCs w:val="24"/>
          <w:shd w:val="clear" w:color="auto" w:fill="FFFFFF"/>
        </w:rPr>
      </w:pPr>
      <w:r>
        <w:rPr>
          <w:rFonts w:hint="default" w:ascii="Times New Roman" w:hAnsi="Times New Roman" w:eastAsia="SimSun" w:cs="Times New Roman"/>
          <w:i w:val="0"/>
          <w:iCs w:val="0"/>
          <w:color w:val="auto"/>
          <w:sz w:val="24"/>
          <w:szCs w:val="24"/>
        </w:rPr>
        <w:t xml:space="preserve">Rysz J, et al. </w:t>
      </w:r>
      <w:r>
        <w:rPr>
          <w:rStyle w:val="5"/>
          <w:rFonts w:hint="default" w:ascii="Times New Roman" w:hAnsi="Times New Roman" w:eastAsia="SimSun" w:cs="Times New Roman"/>
          <w:i w:val="0"/>
          <w:iCs w:val="0"/>
          <w:color w:val="auto"/>
          <w:sz w:val="24"/>
          <w:szCs w:val="24"/>
        </w:rPr>
        <w:t>The associations between nutrition and circulating gut microbiota-derived uremic toxins in kidney replacement therapy.</w:t>
      </w:r>
      <w:r>
        <w:rPr>
          <w:rFonts w:hint="default" w:ascii="Times New Roman" w:hAnsi="Times New Roman" w:eastAsia="SimSun" w:cs="Times New Roman"/>
          <w:i w:val="0"/>
          <w:iCs w:val="0"/>
          <w:color w:val="auto"/>
          <w:sz w:val="24"/>
          <w:szCs w:val="24"/>
        </w:rPr>
        <w:t xml:space="preserve"> </w:t>
      </w:r>
      <w:r>
        <w:rPr>
          <w:rStyle w:val="10"/>
          <w:rFonts w:hint="default" w:ascii="Times New Roman" w:hAnsi="Times New Roman" w:eastAsia="SimSun" w:cs="Times New Roman"/>
          <w:i w:val="0"/>
          <w:iCs w:val="0"/>
          <w:color w:val="auto"/>
          <w:sz w:val="24"/>
          <w:szCs w:val="24"/>
        </w:rPr>
        <w:t>Clinical Nutrition.</w:t>
      </w:r>
      <w:r>
        <w:rPr>
          <w:rFonts w:hint="default" w:ascii="Times New Roman" w:hAnsi="Times New Roman" w:eastAsia="SimSun" w:cs="Times New Roman"/>
          <w:i w:val="0"/>
          <w:iCs w:val="0"/>
          <w:color w:val="auto"/>
          <w:sz w:val="24"/>
          <w:szCs w:val="24"/>
        </w:rPr>
        <w:t xml:space="preserve"> 2025;44(3):2405457724015316.</w:t>
      </w:r>
    </w:p>
    <w:p w14:paraId="14DF8B4B">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Vettoretti, S., Molinari, P., Armelloni, S., Castellano, G. &amp; Caldiroli, L. (2024). Spontaneous low-protein intake in older CKD patients: One diet may not fit all. </w:t>
      </w:r>
      <w:r>
        <w:rPr>
          <w:rFonts w:ascii="Times New Roman" w:hAnsi="Times New Roman" w:eastAsia="Segoe UI" w:cs="Times New Roman"/>
          <w:i/>
          <w:iCs/>
          <w:color w:val="auto"/>
          <w:sz w:val="24"/>
          <w:szCs w:val="24"/>
          <w:shd w:val="clear" w:color="auto" w:fill="FFFFFF"/>
        </w:rPr>
        <w:t>Front Nutr</w:t>
      </w:r>
      <w:r>
        <w:rPr>
          <w:rFonts w:ascii="Times New Roman" w:hAnsi="Times New Roman" w:eastAsia="Segoe UI" w:cs="Times New Roman"/>
          <w:color w:val="auto"/>
          <w:sz w:val="24"/>
          <w:szCs w:val="24"/>
          <w:shd w:val="clear" w:color="auto" w:fill="FFFFFF"/>
        </w:rPr>
        <w:t xml:space="preserve">, 11,1328939. doi: 10.3389/fnut.2024.1328939. </w:t>
      </w:r>
    </w:p>
    <w:p w14:paraId="5EEF8646">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Vincent-Johnson, A., Davy, B. &amp; Scialla, J.J. (2023). Diet and metabolism in CKD-related metabolic acidosis. </w:t>
      </w:r>
      <w:r>
        <w:rPr>
          <w:rFonts w:ascii="Times New Roman" w:hAnsi="Times New Roman" w:eastAsia="Segoe UI" w:cs="Times New Roman"/>
          <w:i/>
          <w:iCs/>
          <w:color w:val="auto"/>
          <w:sz w:val="24"/>
          <w:szCs w:val="24"/>
          <w:shd w:val="clear" w:color="auto" w:fill="FFFFFF"/>
        </w:rPr>
        <w:t>Semin Nephrol</w:t>
      </w:r>
      <w:r>
        <w:rPr>
          <w:rFonts w:ascii="Times New Roman" w:hAnsi="Times New Roman" w:eastAsia="Segoe UI" w:cs="Times New Roman"/>
          <w:color w:val="auto"/>
          <w:sz w:val="24"/>
          <w:szCs w:val="24"/>
          <w:shd w:val="clear" w:color="auto" w:fill="FFFFFF"/>
        </w:rPr>
        <w:t>, 43(2),151425. doi: 10.1016/j.semnephrol.2023.</w:t>
      </w:r>
    </w:p>
    <w:p w14:paraId="25FF16F4">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Wang, M., Chou, J., Chang, Y., Lau, W.L., Reddy, U., Rhee, C.M., et al. (2017). The role of low protein diet in ameliorating proteinuria and deferring dialysis initiation: What is old and what is new. </w:t>
      </w:r>
      <w:r>
        <w:rPr>
          <w:rFonts w:ascii="Times New Roman" w:hAnsi="Times New Roman" w:eastAsia="Segoe UI" w:cs="Times New Roman"/>
          <w:i/>
          <w:iCs/>
          <w:color w:val="auto"/>
          <w:sz w:val="24"/>
          <w:szCs w:val="24"/>
          <w:shd w:val="clear" w:color="auto" w:fill="FFFFFF"/>
        </w:rPr>
        <w:t>Panminerva Med</w:t>
      </w:r>
      <w:r>
        <w:rPr>
          <w:rFonts w:ascii="Times New Roman" w:hAnsi="Times New Roman" w:eastAsia="Segoe UI" w:cs="Times New Roman"/>
          <w:color w:val="auto"/>
          <w:sz w:val="24"/>
          <w:szCs w:val="24"/>
          <w:shd w:val="clear" w:color="auto" w:fill="FFFFFF"/>
        </w:rPr>
        <w:t xml:space="preserve">, 59(2),157-165. </w:t>
      </w:r>
    </w:p>
    <w:p w14:paraId="46205B38">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Watanabe, S. &amp; Ohtsubo, K. (2021). Low-protein diet: History and use of processed low-protein rice for the treatment of chronic kidney disease. </w:t>
      </w:r>
      <w:r>
        <w:rPr>
          <w:rFonts w:ascii="Times New Roman" w:hAnsi="Times New Roman" w:eastAsia="Segoe UI" w:cs="Times New Roman"/>
          <w:i/>
          <w:iCs/>
          <w:color w:val="auto"/>
          <w:sz w:val="24"/>
          <w:szCs w:val="24"/>
          <w:shd w:val="clear" w:color="auto" w:fill="FFFFFF"/>
        </w:rPr>
        <w:t>Foods</w:t>
      </w:r>
      <w:r>
        <w:rPr>
          <w:rFonts w:ascii="Times New Roman" w:hAnsi="Times New Roman" w:eastAsia="Segoe UI" w:cs="Times New Roman"/>
          <w:color w:val="auto"/>
          <w:sz w:val="24"/>
          <w:szCs w:val="24"/>
          <w:shd w:val="clear" w:color="auto" w:fill="FFFFFF"/>
        </w:rPr>
        <w:t xml:space="preserve">, 10(10),2255. doi: 10.3390/foods10102255. </w:t>
      </w:r>
    </w:p>
    <w:p w14:paraId="62583F3F">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Watanabe, S. (2017). Low-protein diet for the prevention of renal failure. </w:t>
      </w:r>
      <w:r>
        <w:rPr>
          <w:rFonts w:ascii="Times New Roman" w:hAnsi="Times New Roman" w:eastAsia="Segoe UI" w:cs="Times New Roman"/>
          <w:i/>
          <w:iCs/>
          <w:color w:val="auto"/>
          <w:sz w:val="24"/>
          <w:szCs w:val="24"/>
          <w:shd w:val="clear" w:color="auto" w:fill="FFFFFF"/>
        </w:rPr>
        <w:t>Proc Jpn Acad Ser B Phys Biol Sci</w:t>
      </w:r>
      <w:r>
        <w:rPr>
          <w:rFonts w:ascii="Times New Roman" w:hAnsi="Times New Roman" w:eastAsia="Segoe UI" w:cs="Times New Roman"/>
          <w:color w:val="auto"/>
          <w:sz w:val="24"/>
          <w:szCs w:val="24"/>
          <w:shd w:val="clear" w:color="auto" w:fill="FFFFFF"/>
        </w:rPr>
        <w:t xml:space="preserve">, 93(1), 1-9. </w:t>
      </w:r>
    </w:p>
    <w:p w14:paraId="6E7F2DCC">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Windahl, K., Chesnaye, N.C., Irving, G.F., Stenvinkel, P., Almquist, T., Lidén, M.K., et al. (2024). EQUAL study investigators: The safety of a low-protein diet in older adults with advanced chronic kidney disease. </w:t>
      </w:r>
      <w:r>
        <w:rPr>
          <w:rFonts w:ascii="Times New Roman" w:hAnsi="Times New Roman" w:eastAsia="Segoe UI" w:cs="Times New Roman"/>
          <w:i/>
          <w:iCs/>
          <w:color w:val="auto"/>
          <w:sz w:val="24"/>
          <w:szCs w:val="24"/>
          <w:shd w:val="clear" w:color="auto" w:fill="FFFFFF"/>
        </w:rPr>
        <w:t>Nephrol Dial Transplant</w:t>
      </w:r>
      <w:r>
        <w:rPr>
          <w:rFonts w:ascii="Times New Roman" w:hAnsi="Times New Roman" w:eastAsia="Segoe UI" w:cs="Times New Roman"/>
          <w:color w:val="auto"/>
          <w:sz w:val="24"/>
          <w:szCs w:val="24"/>
          <w:shd w:val="clear" w:color="auto" w:fill="FFFFFF"/>
        </w:rPr>
        <w:t>, 39(11),1867-1875.</w:t>
      </w:r>
    </w:p>
    <w:p w14:paraId="200CEA1D">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Yang, W.C., Hsieh, H.M., Chen, J.P., Liu, L.C. &amp; Chen, C.H. (2023). Effects of a low-protein nutritional formula with dietary counseling in older adults with chronic kidney disease stages 3-5: A randomized controlled trial. </w:t>
      </w:r>
      <w:r>
        <w:rPr>
          <w:rFonts w:ascii="Times New Roman" w:hAnsi="Times New Roman" w:eastAsia="Segoe UI" w:cs="Times New Roman"/>
          <w:i/>
          <w:iCs/>
          <w:color w:val="auto"/>
          <w:sz w:val="24"/>
          <w:szCs w:val="24"/>
          <w:shd w:val="clear" w:color="auto" w:fill="FFFFFF"/>
        </w:rPr>
        <w:t>BMC Nephrol</w:t>
      </w:r>
      <w:r>
        <w:rPr>
          <w:rFonts w:ascii="Times New Roman" w:hAnsi="Times New Roman" w:eastAsia="Segoe UI" w:cs="Times New Roman"/>
          <w:color w:val="auto"/>
          <w:sz w:val="24"/>
          <w:szCs w:val="24"/>
          <w:shd w:val="clear" w:color="auto" w:fill="FFFFFF"/>
        </w:rPr>
        <w:t xml:space="preserve">, 24(1),372. doi: 10.1186/s12882-023-03423-8. </w:t>
      </w:r>
    </w:p>
    <w:p w14:paraId="2A7E2FE1">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Yang, W.C., Hsieh, H.M., Chen, J.P., Tsai, S.F., Chiu, H.F., Chung, M.C., et al. (2023). Efficacy and safety of a high-energy, low-protein formula replacement meal for pre-dialysis chronic kidney disease patients: A randomized controlled trial.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15(21),4506. doi: 10.3390/nu15214506. </w:t>
      </w:r>
    </w:p>
    <w:p w14:paraId="45FFA04E">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Yen, C.L., Fan, P.C., Chen, J.J., Kuo, G., Hsiao, C.C., Chen, C.Y., et al. (2022).  Ketoanalogues supplemental low protein diet safely decreases short-term risk of dialysis among CKD stage 4 patients. </w:t>
      </w:r>
      <w:r>
        <w:rPr>
          <w:rFonts w:ascii="Times New Roman" w:hAnsi="Times New Roman" w:eastAsia="Segoe UI" w:cs="Times New Roman"/>
          <w:i/>
          <w:iCs/>
          <w:color w:val="auto"/>
          <w:sz w:val="24"/>
          <w:szCs w:val="24"/>
          <w:shd w:val="clear" w:color="auto" w:fill="FFFFFF"/>
        </w:rPr>
        <w:t>Nutrients</w:t>
      </w:r>
      <w:r>
        <w:rPr>
          <w:rFonts w:ascii="Times New Roman" w:hAnsi="Times New Roman" w:eastAsia="Segoe UI" w:cs="Times New Roman"/>
          <w:color w:val="auto"/>
          <w:sz w:val="24"/>
          <w:szCs w:val="24"/>
          <w:shd w:val="clear" w:color="auto" w:fill="FFFFFF"/>
        </w:rPr>
        <w:t xml:space="preserve">, 14(19),4020. doi: 10.3390/nu14194020. </w:t>
      </w:r>
    </w:p>
    <w:p w14:paraId="7AB5BACE">
      <w:pPr>
        <w:tabs>
          <w:tab w:val="left" w:pos="425"/>
        </w:tabs>
        <w:spacing w:line="360" w:lineRule="auto"/>
        <w:ind w:left="567" w:hanging="567"/>
        <w:jc w:val="both"/>
        <w:rPr>
          <w:rFonts w:ascii="Times New Roman" w:hAnsi="Times New Roman" w:eastAsia="Segoe UI" w:cs="Times New Roman"/>
          <w:color w:val="auto"/>
          <w:sz w:val="24"/>
          <w:szCs w:val="24"/>
          <w:shd w:val="clear" w:color="auto" w:fill="FFFFFF"/>
        </w:rPr>
      </w:pPr>
      <w:r>
        <w:rPr>
          <w:rFonts w:ascii="Times New Roman" w:hAnsi="Times New Roman" w:eastAsia="Segoe UI" w:cs="Times New Roman"/>
          <w:color w:val="auto"/>
          <w:sz w:val="24"/>
          <w:szCs w:val="24"/>
          <w:shd w:val="clear" w:color="auto" w:fill="FFFFFF"/>
        </w:rPr>
        <w:t xml:space="preserve">Zhang, Y., Gu, L., Wang, L., Rong, S. &amp; Yuan, W. (2022). Low protein diet supplemented with ketoacids on muscle wasting in chronic kidney disease: A clinical trial. </w:t>
      </w:r>
      <w:r>
        <w:rPr>
          <w:rFonts w:ascii="Times New Roman" w:hAnsi="Times New Roman" w:eastAsia="Segoe UI" w:cs="Times New Roman"/>
          <w:i/>
          <w:iCs/>
          <w:color w:val="auto"/>
          <w:sz w:val="24"/>
          <w:szCs w:val="24"/>
          <w:shd w:val="clear" w:color="auto" w:fill="FFFFFF"/>
        </w:rPr>
        <w:t>Front Med</w:t>
      </w:r>
      <w:r>
        <w:rPr>
          <w:rFonts w:ascii="Times New Roman" w:hAnsi="Times New Roman" w:eastAsia="Segoe UI" w:cs="Times New Roman"/>
          <w:color w:val="auto"/>
          <w:sz w:val="24"/>
          <w:szCs w:val="24"/>
          <w:shd w:val="clear" w:color="auto" w:fill="FFFFFF"/>
        </w:rPr>
        <w:t xml:space="preserve">, 9,949108. doi: 10.3389/fmed.2022.949108. </w:t>
      </w:r>
    </w:p>
    <w:p w14:paraId="11727C31">
      <w:pPr>
        <w:ind w:left="567" w:hanging="567"/>
        <w:rPr>
          <w:rFonts w:ascii="Times New Roman" w:hAnsi="Times New Roman" w:cs="Times New Roman"/>
          <w:b/>
          <w:color w:val="auto"/>
          <w:sz w:val="28"/>
          <w:szCs w:val="28"/>
        </w:rPr>
        <w:sectPr>
          <w:type w:val="continuous"/>
          <w:pgSz w:w="11906" w:h="16838"/>
          <w:pgMar w:top="1440" w:right="1800" w:bottom="1440" w:left="1800" w:header="720" w:footer="720" w:gutter="0"/>
          <w:cols w:space="720" w:num="2"/>
          <w:docGrid w:linePitch="360" w:charSpace="0"/>
        </w:sectPr>
      </w:pPr>
    </w:p>
    <w:p w14:paraId="324748DE">
      <w:pPr>
        <w:ind w:left="567" w:hanging="567"/>
        <w:rPr>
          <w:rFonts w:ascii="Times New Roman" w:hAnsi="Times New Roman" w:cs="Times New Roman"/>
          <w:b/>
          <w:color w:val="auto"/>
          <w:sz w:val="28"/>
          <w:szCs w:val="28"/>
        </w:rPr>
      </w:pPr>
    </w:p>
    <w:p w14:paraId="324748DF">
      <w:pPr>
        <w:ind w:left="567" w:hanging="567"/>
        <w:rPr>
          <w:b/>
          <w:color w:val="auto"/>
        </w:rPr>
      </w:pPr>
    </w:p>
    <w:sectPr>
      <w:type w:val="continuous"/>
      <w:pgSz w:w="11906" w:h="16838"/>
      <w:pgMar w:top="1440" w:right="180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678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577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7C3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FDB2">
    <w:pPr>
      <w:pStyle w:val="7"/>
    </w:pPr>
    <w:r>
      <w:pict>
        <v:shape id="PowerPlusWaterMarkObject261952720"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73C7">
    <w:pPr>
      <w:pStyle w:val="7"/>
    </w:pPr>
    <w:r>
      <w:pict>
        <v:shape id="PowerPlusWaterMarkObject261952719"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BE88">
    <w:pPr>
      <w:pStyle w:val="7"/>
    </w:pPr>
    <w:r>
      <w:pict>
        <v:shape id="PowerPlusWaterMarkObject26195271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D7F03"/>
    <w:multiLevelType w:val="singleLevel"/>
    <w:tmpl w:val="FC8D7F03"/>
    <w:lvl w:ilvl="0" w:tentative="0">
      <w:start w:val="1"/>
      <w:numFmt w:val="decimal"/>
      <w:lvlText w:val="%1."/>
      <w:lvlJc w:val="left"/>
      <w:pPr>
        <w:tabs>
          <w:tab w:val="left" w:pos="425"/>
        </w:tabs>
        <w:ind w:left="425" w:hanging="425"/>
      </w:pPr>
      <w:rPr>
        <w:rFonts w:hint="default"/>
      </w:rPr>
    </w:lvl>
  </w:abstractNum>
  <w:abstractNum w:abstractNumId="1">
    <w:nsid w:val="301423E3"/>
    <w:multiLevelType w:val="multilevel"/>
    <w:tmpl w:val="301423E3"/>
    <w:lvl w:ilvl="0" w:tentative="0">
      <w:start w:val="2"/>
      <w:numFmt w:val="decimal"/>
      <w:lvlText w:val="%1."/>
      <w:lvlJc w:val="left"/>
      <w:pPr>
        <w:ind w:left="36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81"/>
    <w:rsid w:val="000004EF"/>
    <w:rsid w:val="00001787"/>
    <w:rsid w:val="0000509E"/>
    <w:rsid w:val="00012789"/>
    <w:rsid w:val="0001634B"/>
    <w:rsid w:val="00020589"/>
    <w:rsid w:val="000213D9"/>
    <w:rsid w:val="00021F43"/>
    <w:rsid w:val="00022122"/>
    <w:rsid w:val="000310FF"/>
    <w:rsid w:val="00033D50"/>
    <w:rsid w:val="00034C0A"/>
    <w:rsid w:val="00035B1E"/>
    <w:rsid w:val="00037CFF"/>
    <w:rsid w:val="00040EF3"/>
    <w:rsid w:val="0004236E"/>
    <w:rsid w:val="00043608"/>
    <w:rsid w:val="00046E99"/>
    <w:rsid w:val="00051B31"/>
    <w:rsid w:val="00052B8B"/>
    <w:rsid w:val="000538A6"/>
    <w:rsid w:val="0006395F"/>
    <w:rsid w:val="0006620C"/>
    <w:rsid w:val="000710EF"/>
    <w:rsid w:val="000763B3"/>
    <w:rsid w:val="00081929"/>
    <w:rsid w:val="00081975"/>
    <w:rsid w:val="00096C2C"/>
    <w:rsid w:val="000A1524"/>
    <w:rsid w:val="000A5F91"/>
    <w:rsid w:val="000A6B69"/>
    <w:rsid w:val="000A7398"/>
    <w:rsid w:val="000B33A5"/>
    <w:rsid w:val="000B38AF"/>
    <w:rsid w:val="000B43EA"/>
    <w:rsid w:val="000B462C"/>
    <w:rsid w:val="000B511C"/>
    <w:rsid w:val="000B5151"/>
    <w:rsid w:val="000B65A9"/>
    <w:rsid w:val="000B7146"/>
    <w:rsid w:val="000C51C9"/>
    <w:rsid w:val="000D137A"/>
    <w:rsid w:val="000D5A56"/>
    <w:rsid w:val="000D687B"/>
    <w:rsid w:val="000E2572"/>
    <w:rsid w:val="000E49B1"/>
    <w:rsid w:val="000E72CB"/>
    <w:rsid w:val="000F1F9B"/>
    <w:rsid w:val="000F3DE1"/>
    <w:rsid w:val="000F5ED3"/>
    <w:rsid w:val="00100589"/>
    <w:rsid w:val="00104618"/>
    <w:rsid w:val="00105AC6"/>
    <w:rsid w:val="00110E22"/>
    <w:rsid w:val="001110BE"/>
    <w:rsid w:val="00115766"/>
    <w:rsid w:val="00123ABD"/>
    <w:rsid w:val="00124CF8"/>
    <w:rsid w:val="0012624D"/>
    <w:rsid w:val="00130B6A"/>
    <w:rsid w:val="001336D5"/>
    <w:rsid w:val="0013471F"/>
    <w:rsid w:val="0013666F"/>
    <w:rsid w:val="00137C36"/>
    <w:rsid w:val="00137F79"/>
    <w:rsid w:val="001473ED"/>
    <w:rsid w:val="00152390"/>
    <w:rsid w:val="00152A0A"/>
    <w:rsid w:val="001553D4"/>
    <w:rsid w:val="001609E1"/>
    <w:rsid w:val="00161DF5"/>
    <w:rsid w:val="00163753"/>
    <w:rsid w:val="00165BBA"/>
    <w:rsid w:val="00166394"/>
    <w:rsid w:val="00166C2A"/>
    <w:rsid w:val="00170548"/>
    <w:rsid w:val="001763E1"/>
    <w:rsid w:val="001766D6"/>
    <w:rsid w:val="00177719"/>
    <w:rsid w:val="00181505"/>
    <w:rsid w:val="00182BB7"/>
    <w:rsid w:val="00184797"/>
    <w:rsid w:val="001962D1"/>
    <w:rsid w:val="001979F4"/>
    <w:rsid w:val="001A052D"/>
    <w:rsid w:val="001A3169"/>
    <w:rsid w:val="001B3598"/>
    <w:rsid w:val="001B6FEB"/>
    <w:rsid w:val="001C030F"/>
    <w:rsid w:val="001C239F"/>
    <w:rsid w:val="001C420E"/>
    <w:rsid w:val="001C655A"/>
    <w:rsid w:val="001D1208"/>
    <w:rsid w:val="001D2F13"/>
    <w:rsid w:val="001D6BF6"/>
    <w:rsid w:val="001E4A9E"/>
    <w:rsid w:val="001E7DB9"/>
    <w:rsid w:val="001F2857"/>
    <w:rsid w:val="001F2F6C"/>
    <w:rsid w:val="001F3E4A"/>
    <w:rsid w:val="00200905"/>
    <w:rsid w:val="00203BC5"/>
    <w:rsid w:val="0020648C"/>
    <w:rsid w:val="00210F49"/>
    <w:rsid w:val="00216E45"/>
    <w:rsid w:val="00223ABC"/>
    <w:rsid w:val="00240008"/>
    <w:rsid w:val="002472FB"/>
    <w:rsid w:val="002537E9"/>
    <w:rsid w:val="00256BC3"/>
    <w:rsid w:val="0026029D"/>
    <w:rsid w:val="002606EF"/>
    <w:rsid w:val="00260B2C"/>
    <w:rsid w:val="0026366E"/>
    <w:rsid w:val="00265E6D"/>
    <w:rsid w:val="00272AFA"/>
    <w:rsid w:val="00276DB5"/>
    <w:rsid w:val="00280F01"/>
    <w:rsid w:val="0029119D"/>
    <w:rsid w:val="0029261B"/>
    <w:rsid w:val="00292B94"/>
    <w:rsid w:val="00293011"/>
    <w:rsid w:val="002A0A23"/>
    <w:rsid w:val="002A2620"/>
    <w:rsid w:val="002A65C0"/>
    <w:rsid w:val="002A71F7"/>
    <w:rsid w:val="002A79EA"/>
    <w:rsid w:val="002B312F"/>
    <w:rsid w:val="002B4383"/>
    <w:rsid w:val="002B459E"/>
    <w:rsid w:val="002B5B1A"/>
    <w:rsid w:val="002C0D03"/>
    <w:rsid w:val="002C16DC"/>
    <w:rsid w:val="002C546F"/>
    <w:rsid w:val="002D5389"/>
    <w:rsid w:val="002D71FE"/>
    <w:rsid w:val="002D7833"/>
    <w:rsid w:val="002E37AE"/>
    <w:rsid w:val="002E4972"/>
    <w:rsid w:val="002E4C27"/>
    <w:rsid w:val="002E4D4E"/>
    <w:rsid w:val="002E661F"/>
    <w:rsid w:val="002E7420"/>
    <w:rsid w:val="002E7E07"/>
    <w:rsid w:val="002F1E6F"/>
    <w:rsid w:val="002F4E07"/>
    <w:rsid w:val="002F5D57"/>
    <w:rsid w:val="002F7A2B"/>
    <w:rsid w:val="0030019A"/>
    <w:rsid w:val="00301181"/>
    <w:rsid w:val="003031C8"/>
    <w:rsid w:val="0030420B"/>
    <w:rsid w:val="00304305"/>
    <w:rsid w:val="00305C7B"/>
    <w:rsid w:val="00305E3B"/>
    <w:rsid w:val="003115CC"/>
    <w:rsid w:val="00313094"/>
    <w:rsid w:val="003205EB"/>
    <w:rsid w:val="00320CD7"/>
    <w:rsid w:val="00327316"/>
    <w:rsid w:val="003308AF"/>
    <w:rsid w:val="00331A5B"/>
    <w:rsid w:val="00333DED"/>
    <w:rsid w:val="0033658A"/>
    <w:rsid w:val="0034114E"/>
    <w:rsid w:val="00343CD7"/>
    <w:rsid w:val="00345350"/>
    <w:rsid w:val="00346754"/>
    <w:rsid w:val="00347EB5"/>
    <w:rsid w:val="00357721"/>
    <w:rsid w:val="0035797A"/>
    <w:rsid w:val="00360A01"/>
    <w:rsid w:val="00362011"/>
    <w:rsid w:val="0036210A"/>
    <w:rsid w:val="00364C66"/>
    <w:rsid w:val="00372BE4"/>
    <w:rsid w:val="00385C05"/>
    <w:rsid w:val="00394A28"/>
    <w:rsid w:val="00395903"/>
    <w:rsid w:val="00397848"/>
    <w:rsid w:val="003A0D39"/>
    <w:rsid w:val="003A37BE"/>
    <w:rsid w:val="003A53C0"/>
    <w:rsid w:val="003A6627"/>
    <w:rsid w:val="003A7F7E"/>
    <w:rsid w:val="003B03AA"/>
    <w:rsid w:val="003B1131"/>
    <w:rsid w:val="003B6F7B"/>
    <w:rsid w:val="003B71F4"/>
    <w:rsid w:val="003C6708"/>
    <w:rsid w:val="003D0D31"/>
    <w:rsid w:val="003D260C"/>
    <w:rsid w:val="003D344A"/>
    <w:rsid w:val="003D4D37"/>
    <w:rsid w:val="003D5A25"/>
    <w:rsid w:val="003E032D"/>
    <w:rsid w:val="003E1B8B"/>
    <w:rsid w:val="003E640C"/>
    <w:rsid w:val="003F4A3D"/>
    <w:rsid w:val="00401079"/>
    <w:rsid w:val="00401C94"/>
    <w:rsid w:val="00402238"/>
    <w:rsid w:val="004029BC"/>
    <w:rsid w:val="00407DB2"/>
    <w:rsid w:val="00412891"/>
    <w:rsid w:val="00412F23"/>
    <w:rsid w:val="00414598"/>
    <w:rsid w:val="00420FAF"/>
    <w:rsid w:val="00423F48"/>
    <w:rsid w:val="004261D0"/>
    <w:rsid w:val="00432287"/>
    <w:rsid w:val="004356B5"/>
    <w:rsid w:val="00442413"/>
    <w:rsid w:val="00444251"/>
    <w:rsid w:val="00451547"/>
    <w:rsid w:val="00452716"/>
    <w:rsid w:val="00455945"/>
    <w:rsid w:val="004645C0"/>
    <w:rsid w:val="00472201"/>
    <w:rsid w:val="00486CB0"/>
    <w:rsid w:val="00491617"/>
    <w:rsid w:val="004A2C80"/>
    <w:rsid w:val="004A3DBC"/>
    <w:rsid w:val="004A4E33"/>
    <w:rsid w:val="004A7950"/>
    <w:rsid w:val="004C316C"/>
    <w:rsid w:val="004C32C6"/>
    <w:rsid w:val="004C3F8D"/>
    <w:rsid w:val="004C4B70"/>
    <w:rsid w:val="004C72B6"/>
    <w:rsid w:val="004C7BB4"/>
    <w:rsid w:val="004D6F31"/>
    <w:rsid w:val="004E0BAB"/>
    <w:rsid w:val="004E2159"/>
    <w:rsid w:val="004E555F"/>
    <w:rsid w:val="004F421E"/>
    <w:rsid w:val="004F504A"/>
    <w:rsid w:val="004F52A8"/>
    <w:rsid w:val="004F5E33"/>
    <w:rsid w:val="004F66C8"/>
    <w:rsid w:val="0050200E"/>
    <w:rsid w:val="00502B2F"/>
    <w:rsid w:val="005045D7"/>
    <w:rsid w:val="00507F6F"/>
    <w:rsid w:val="00510DA9"/>
    <w:rsid w:val="005115AD"/>
    <w:rsid w:val="00513808"/>
    <w:rsid w:val="0052204B"/>
    <w:rsid w:val="005342AB"/>
    <w:rsid w:val="00541868"/>
    <w:rsid w:val="005506C5"/>
    <w:rsid w:val="005513D0"/>
    <w:rsid w:val="00554CDE"/>
    <w:rsid w:val="00554F00"/>
    <w:rsid w:val="005566F4"/>
    <w:rsid w:val="00556FBC"/>
    <w:rsid w:val="00557026"/>
    <w:rsid w:val="0056170F"/>
    <w:rsid w:val="005634C8"/>
    <w:rsid w:val="00563F63"/>
    <w:rsid w:val="005706D4"/>
    <w:rsid w:val="00570C79"/>
    <w:rsid w:val="005739D0"/>
    <w:rsid w:val="0057516E"/>
    <w:rsid w:val="00575A04"/>
    <w:rsid w:val="005764C5"/>
    <w:rsid w:val="00581241"/>
    <w:rsid w:val="00584AAB"/>
    <w:rsid w:val="00586CEA"/>
    <w:rsid w:val="00587A9E"/>
    <w:rsid w:val="005900F4"/>
    <w:rsid w:val="00591078"/>
    <w:rsid w:val="005914C4"/>
    <w:rsid w:val="005A12E8"/>
    <w:rsid w:val="005A4399"/>
    <w:rsid w:val="005A4815"/>
    <w:rsid w:val="005A4E7C"/>
    <w:rsid w:val="005A53A5"/>
    <w:rsid w:val="005B19DA"/>
    <w:rsid w:val="005B5649"/>
    <w:rsid w:val="005B67F7"/>
    <w:rsid w:val="005C1FEB"/>
    <w:rsid w:val="005C2760"/>
    <w:rsid w:val="005C27E4"/>
    <w:rsid w:val="005C2EAF"/>
    <w:rsid w:val="005C5339"/>
    <w:rsid w:val="005C5484"/>
    <w:rsid w:val="005D4919"/>
    <w:rsid w:val="005D4B69"/>
    <w:rsid w:val="005D4D1E"/>
    <w:rsid w:val="005D5651"/>
    <w:rsid w:val="005D5980"/>
    <w:rsid w:val="005E0B48"/>
    <w:rsid w:val="005E6C79"/>
    <w:rsid w:val="005F271F"/>
    <w:rsid w:val="005F4F97"/>
    <w:rsid w:val="00600815"/>
    <w:rsid w:val="006008B6"/>
    <w:rsid w:val="00600BBD"/>
    <w:rsid w:val="00600FF8"/>
    <w:rsid w:val="00602E0C"/>
    <w:rsid w:val="0060365D"/>
    <w:rsid w:val="00603C3F"/>
    <w:rsid w:val="006125EB"/>
    <w:rsid w:val="00617EDB"/>
    <w:rsid w:val="00622E2F"/>
    <w:rsid w:val="00626FFA"/>
    <w:rsid w:val="006308B7"/>
    <w:rsid w:val="00631FEB"/>
    <w:rsid w:val="0063456E"/>
    <w:rsid w:val="006436C1"/>
    <w:rsid w:val="00645E4D"/>
    <w:rsid w:val="006537DD"/>
    <w:rsid w:val="006605AB"/>
    <w:rsid w:val="00663598"/>
    <w:rsid w:val="00663DB8"/>
    <w:rsid w:val="0066470B"/>
    <w:rsid w:val="00664C6B"/>
    <w:rsid w:val="00672122"/>
    <w:rsid w:val="00676326"/>
    <w:rsid w:val="00681685"/>
    <w:rsid w:val="00682655"/>
    <w:rsid w:val="0068442E"/>
    <w:rsid w:val="00687FB1"/>
    <w:rsid w:val="006A08D4"/>
    <w:rsid w:val="006A10A1"/>
    <w:rsid w:val="006A1462"/>
    <w:rsid w:val="006B2CA3"/>
    <w:rsid w:val="006B30A0"/>
    <w:rsid w:val="006B3C60"/>
    <w:rsid w:val="006B4D6C"/>
    <w:rsid w:val="006C586E"/>
    <w:rsid w:val="006C6F80"/>
    <w:rsid w:val="006D069B"/>
    <w:rsid w:val="006D2302"/>
    <w:rsid w:val="006D3538"/>
    <w:rsid w:val="006D5C9A"/>
    <w:rsid w:val="006D65EB"/>
    <w:rsid w:val="006E03D5"/>
    <w:rsid w:val="006E0EFD"/>
    <w:rsid w:val="006E344C"/>
    <w:rsid w:val="006E437C"/>
    <w:rsid w:val="006E5162"/>
    <w:rsid w:val="006E5503"/>
    <w:rsid w:val="006E7CEF"/>
    <w:rsid w:val="006F0ADD"/>
    <w:rsid w:val="006F1DCC"/>
    <w:rsid w:val="006F2BA3"/>
    <w:rsid w:val="006F7B51"/>
    <w:rsid w:val="007030EB"/>
    <w:rsid w:val="007045DB"/>
    <w:rsid w:val="007058B6"/>
    <w:rsid w:val="00705B02"/>
    <w:rsid w:val="00705FC1"/>
    <w:rsid w:val="007066AC"/>
    <w:rsid w:val="00710273"/>
    <w:rsid w:val="00710813"/>
    <w:rsid w:val="00711329"/>
    <w:rsid w:val="00717E67"/>
    <w:rsid w:val="00723DFD"/>
    <w:rsid w:val="00724755"/>
    <w:rsid w:val="0073294F"/>
    <w:rsid w:val="007333E0"/>
    <w:rsid w:val="0073342D"/>
    <w:rsid w:val="00735769"/>
    <w:rsid w:val="00736E35"/>
    <w:rsid w:val="00737BFE"/>
    <w:rsid w:val="00746616"/>
    <w:rsid w:val="00752329"/>
    <w:rsid w:val="007549B5"/>
    <w:rsid w:val="0076006E"/>
    <w:rsid w:val="00762255"/>
    <w:rsid w:val="00762AE5"/>
    <w:rsid w:val="00766C7C"/>
    <w:rsid w:val="007675E6"/>
    <w:rsid w:val="00782048"/>
    <w:rsid w:val="0078306D"/>
    <w:rsid w:val="00783984"/>
    <w:rsid w:val="007851E6"/>
    <w:rsid w:val="00790EA3"/>
    <w:rsid w:val="00794501"/>
    <w:rsid w:val="0079552E"/>
    <w:rsid w:val="00797068"/>
    <w:rsid w:val="007A00C0"/>
    <w:rsid w:val="007A40CC"/>
    <w:rsid w:val="007A4F7B"/>
    <w:rsid w:val="007B67E4"/>
    <w:rsid w:val="007C01A8"/>
    <w:rsid w:val="007C1394"/>
    <w:rsid w:val="007C1E72"/>
    <w:rsid w:val="007C2FB1"/>
    <w:rsid w:val="007C76C5"/>
    <w:rsid w:val="007C795C"/>
    <w:rsid w:val="007D23E0"/>
    <w:rsid w:val="007E026B"/>
    <w:rsid w:val="007E348A"/>
    <w:rsid w:val="007E40C8"/>
    <w:rsid w:val="007E4AEE"/>
    <w:rsid w:val="007E6DE2"/>
    <w:rsid w:val="007F55C2"/>
    <w:rsid w:val="007F6204"/>
    <w:rsid w:val="008040BE"/>
    <w:rsid w:val="008040D4"/>
    <w:rsid w:val="008056F4"/>
    <w:rsid w:val="00815B3E"/>
    <w:rsid w:val="008165FE"/>
    <w:rsid w:val="0082059A"/>
    <w:rsid w:val="008247B2"/>
    <w:rsid w:val="008257E3"/>
    <w:rsid w:val="00827E51"/>
    <w:rsid w:val="00832C1D"/>
    <w:rsid w:val="00835E48"/>
    <w:rsid w:val="00843714"/>
    <w:rsid w:val="0084711F"/>
    <w:rsid w:val="00852C6C"/>
    <w:rsid w:val="008570CD"/>
    <w:rsid w:val="00860DB3"/>
    <w:rsid w:val="0086652F"/>
    <w:rsid w:val="00871621"/>
    <w:rsid w:val="008735E2"/>
    <w:rsid w:val="00883F14"/>
    <w:rsid w:val="00885C29"/>
    <w:rsid w:val="0088631F"/>
    <w:rsid w:val="0089149A"/>
    <w:rsid w:val="00891801"/>
    <w:rsid w:val="008927FB"/>
    <w:rsid w:val="00895BD1"/>
    <w:rsid w:val="008A0295"/>
    <w:rsid w:val="008A1F95"/>
    <w:rsid w:val="008A35B5"/>
    <w:rsid w:val="008A3AA7"/>
    <w:rsid w:val="008A4D8C"/>
    <w:rsid w:val="008B21EE"/>
    <w:rsid w:val="008B5F86"/>
    <w:rsid w:val="008C176F"/>
    <w:rsid w:val="008C6AFE"/>
    <w:rsid w:val="008D2773"/>
    <w:rsid w:val="008D57AA"/>
    <w:rsid w:val="008E2B96"/>
    <w:rsid w:val="008E321D"/>
    <w:rsid w:val="008E3E1C"/>
    <w:rsid w:val="008E4F54"/>
    <w:rsid w:val="008E5E10"/>
    <w:rsid w:val="008E62EE"/>
    <w:rsid w:val="008E7AC6"/>
    <w:rsid w:val="008F68D2"/>
    <w:rsid w:val="00900F7B"/>
    <w:rsid w:val="009025A5"/>
    <w:rsid w:val="00906FA0"/>
    <w:rsid w:val="00911B4A"/>
    <w:rsid w:val="0091234A"/>
    <w:rsid w:val="00914A8C"/>
    <w:rsid w:val="00917028"/>
    <w:rsid w:val="00932180"/>
    <w:rsid w:val="009323E3"/>
    <w:rsid w:val="009346C9"/>
    <w:rsid w:val="0093631E"/>
    <w:rsid w:val="00936B37"/>
    <w:rsid w:val="00937F76"/>
    <w:rsid w:val="009400A1"/>
    <w:rsid w:val="009408DA"/>
    <w:rsid w:val="0094103C"/>
    <w:rsid w:val="00941A17"/>
    <w:rsid w:val="009434D4"/>
    <w:rsid w:val="009441F8"/>
    <w:rsid w:val="00953329"/>
    <w:rsid w:val="0096185C"/>
    <w:rsid w:val="00963DCD"/>
    <w:rsid w:val="00964393"/>
    <w:rsid w:val="009703DF"/>
    <w:rsid w:val="00970926"/>
    <w:rsid w:val="00971277"/>
    <w:rsid w:val="00980449"/>
    <w:rsid w:val="009821AE"/>
    <w:rsid w:val="00984164"/>
    <w:rsid w:val="009963D7"/>
    <w:rsid w:val="009A2007"/>
    <w:rsid w:val="009A29DA"/>
    <w:rsid w:val="009B1715"/>
    <w:rsid w:val="009B3373"/>
    <w:rsid w:val="009B346F"/>
    <w:rsid w:val="009B4005"/>
    <w:rsid w:val="009C496A"/>
    <w:rsid w:val="009C49DC"/>
    <w:rsid w:val="009C4A56"/>
    <w:rsid w:val="009D0088"/>
    <w:rsid w:val="009D1566"/>
    <w:rsid w:val="009D177F"/>
    <w:rsid w:val="009D27C9"/>
    <w:rsid w:val="009E1CE7"/>
    <w:rsid w:val="009E3D73"/>
    <w:rsid w:val="009E3EB7"/>
    <w:rsid w:val="009E6E21"/>
    <w:rsid w:val="00A023AA"/>
    <w:rsid w:val="00A02888"/>
    <w:rsid w:val="00A15097"/>
    <w:rsid w:val="00A27BB7"/>
    <w:rsid w:val="00A34989"/>
    <w:rsid w:val="00A41D1C"/>
    <w:rsid w:val="00A441F7"/>
    <w:rsid w:val="00A47921"/>
    <w:rsid w:val="00A5154F"/>
    <w:rsid w:val="00A549BF"/>
    <w:rsid w:val="00A649D6"/>
    <w:rsid w:val="00A65397"/>
    <w:rsid w:val="00A66407"/>
    <w:rsid w:val="00A72752"/>
    <w:rsid w:val="00A75628"/>
    <w:rsid w:val="00A76C79"/>
    <w:rsid w:val="00A818FB"/>
    <w:rsid w:val="00A8219E"/>
    <w:rsid w:val="00A865F6"/>
    <w:rsid w:val="00A95AF6"/>
    <w:rsid w:val="00AA20A9"/>
    <w:rsid w:val="00AA74CF"/>
    <w:rsid w:val="00AB4E8A"/>
    <w:rsid w:val="00AB7224"/>
    <w:rsid w:val="00AB7F5F"/>
    <w:rsid w:val="00AC1FD4"/>
    <w:rsid w:val="00AC325E"/>
    <w:rsid w:val="00AC53C7"/>
    <w:rsid w:val="00AC7628"/>
    <w:rsid w:val="00AD05C5"/>
    <w:rsid w:val="00AD0A2B"/>
    <w:rsid w:val="00AD136D"/>
    <w:rsid w:val="00AD2D92"/>
    <w:rsid w:val="00AD326F"/>
    <w:rsid w:val="00AD65C5"/>
    <w:rsid w:val="00AE1172"/>
    <w:rsid w:val="00AE2571"/>
    <w:rsid w:val="00AE2A6A"/>
    <w:rsid w:val="00AE5BD7"/>
    <w:rsid w:val="00AF1634"/>
    <w:rsid w:val="00AF38FE"/>
    <w:rsid w:val="00AF3D26"/>
    <w:rsid w:val="00AF6AB0"/>
    <w:rsid w:val="00AF7E7C"/>
    <w:rsid w:val="00B03F75"/>
    <w:rsid w:val="00B04B27"/>
    <w:rsid w:val="00B06438"/>
    <w:rsid w:val="00B0707A"/>
    <w:rsid w:val="00B11408"/>
    <w:rsid w:val="00B15D0B"/>
    <w:rsid w:val="00B21B02"/>
    <w:rsid w:val="00B22B2B"/>
    <w:rsid w:val="00B23F77"/>
    <w:rsid w:val="00B244A0"/>
    <w:rsid w:val="00B246F9"/>
    <w:rsid w:val="00B2682C"/>
    <w:rsid w:val="00B26911"/>
    <w:rsid w:val="00B32D70"/>
    <w:rsid w:val="00B35641"/>
    <w:rsid w:val="00B35A54"/>
    <w:rsid w:val="00B374EF"/>
    <w:rsid w:val="00B4000D"/>
    <w:rsid w:val="00B40F06"/>
    <w:rsid w:val="00B41076"/>
    <w:rsid w:val="00B4169E"/>
    <w:rsid w:val="00B41A9F"/>
    <w:rsid w:val="00B45702"/>
    <w:rsid w:val="00B45CEC"/>
    <w:rsid w:val="00B503DA"/>
    <w:rsid w:val="00B548D2"/>
    <w:rsid w:val="00B55CB3"/>
    <w:rsid w:val="00B662E7"/>
    <w:rsid w:val="00B66405"/>
    <w:rsid w:val="00B71FF5"/>
    <w:rsid w:val="00B7611A"/>
    <w:rsid w:val="00B778DE"/>
    <w:rsid w:val="00B877EB"/>
    <w:rsid w:val="00B91AAE"/>
    <w:rsid w:val="00B9478D"/>
    <w:rsid w:val="00B9486D"/>
    <w:rsid w:val="00B96430"/>
    <w:rsid w:val="00B96DFC"/>
    <w:rsid w:val="00BA103A"/>
    <w:rsid w:val="00BA7D59"/>
    <w:rsid w:val="00BB0B3D"/>
    <w:rsid w:val="00BB4F1A"/>
    <w:rsid w:val="00BB7508"/>
    <w:rsid w:val="00BC4E66"/>
    <w:rsid w:val="00BD1CE9"/>
    <w:rsid w:val="00BD2865"/>
    <w:rsid w:val="00BD305B"/>
    <w:rsid w:val="00BD37BC"/>
    <w:rsid w:val="00BD4F16"/>
    <w:rsid w:val="00BD6B62"/>
    <w:rsid w:val="00BD73C7"/>
    <w:rsid w:val="00BE19C9"/>
    <w:rsid w:val="00BE362C"/>
    <w:rsid w:val="00BE5ACD"/>
    <w:rsid w:val="00BE66CA"/>
    <w:rsid w:val="00BF763B"/>
    <w:rsid w:val="00C01505"/>
    <w:rsid w:val="00C01CAC"/>
    <w:rsid w:val="00C05650"/>
    <w:rsid w:val="00C119D2"/>
    <w:rsid w:val="00C14968"/>
    <w:rsid w:val="00C152F1"/>
    <w:rsid w:val="00C22088"/>
    <w:rsid w:val="00C2307C"/>
    <w:rsid w:val="00C2463F"/>
    <w:rsid w:val="00C26C63"/>
    <w:rsid w:val="00C36489"/>
    <w:rsid w:val="00C36A67"/>
    <w:rsid w:val="00C40AC6"/>
    <w:rsid w:val="00C44807"/>
    <w:rsid w:val="00C44B66"/>
    <w:rsid w:val="00C45370"/>
    <w:rsid w:val="00C4767A"/>
    <w:rsid w:val="00C479E4"/>
    <w:rsid w:val="00C5166B"/>
    <w:rsid w:val="00C51D2A"/>
    <w:rsid w:val="00C5355C"/>
    <w:rsid w:val="00C54D2F"/>
    <w:rsid w:val="00C6287E"/>
    <w:rsid w:val="00C62DF7"/>
    <w:rsid w:val="00C74601"/>
    <w:rsid w:val="00C80649"/>
    <w:rsid w:val="00C81213"/>
    <w:rsid w:val="00C85F31"/>
    <w:rsid w:val="00C92102"/>
    <w:rsid w:val="00C94B0D"/>
    <w:rsid w:val="00C96BDD"/>
    <w:rsid w:val="00CA0EF1"/>
    <w:rsid w:val="00CA3A5B"/>
    <w:rsid w:val="00CA528E"/>
    <w:rsid w:val="00CA5635"/>
    <w:rsid w:val="00CB19B0"/>
    <w:rsid w:val="00CC1C57"/>
    <w:rsid w:val="00CC29C5"/>
    <w:rsid w:val="00CC33BC"/>
    <w:rsid w:val="00CC3D7B"/>
    <w:rsid w:val="00CC587D"/>
    <w:rsid w:val="00CC74BB"/>
    <w:rsid w:val="00CD01C2"/>
    <w:rsid w:val="00CE5CEA"/>
    <w:rsid w:val="00CE6428"/>
    <w:rsid w:val="00CF3266"/>
    <w:rsid w:val="00CF3D84"/>
    <w:rsid w:val="00CF7B28"/>
    <w:rsid w:val="00D002AD"/>
    <w:rsid w:val="00D0442D"/>
    <w:rsid w:val="00D05049"/>
    <w:rsid w:val="00D05127"/>
    <w:rsid w:val="00D065B7"/>
    <w:rsid w:val="00D14164"/>
    <w:rsid w:val="00D156FC"/>
    <w:rsid w:val="00D20F7E"/>
    <w:rsid w:val="00D21CD5"/>
    <w:rsid w:val="00D21FA1"/>
    <w:rsid w:val="00D2440D"/>
    <w:rsid w:val="00D24EB9"/>
    <w:rsid w:val="00D25A16"/>
    <w:rsid w:val="00D26AF1"/>
    <w:rsid w:val="00D27A8D"/>
    <w:rsid w:val="00D308B0"/>
    <w:rsid w:val="00D333AC"/>
    <w:rsid w:val="00D33835"/>
    <w:rsid w:val="00D377F2"/>
    <w:rsid w:val="00D421FE"/>
    <w:rsid w:val="00D4233E"/>
    <w:rsid w:val="00D44A89"/>
    <w:rsid w:val="00D46474"/>
    <w:rsid w:val="00D518E7"/>
    <w:rsid w:val="00D52D00"/>
    <w:rsid w:val="00D53DE0"/>
    <w:rsid w:val="00D54D8C"/>
    <w:rsid w:val="00D564F1"/>
    <w:rsid w:val="00D56800"/>
    <w:rsid w:val="00D637CB"/>
    <w:rsid w:val="00D737DB"/>
    <w:rsid w:val="00D73B2A"/>
    <w:rsid w:val="00D74570"/>
    <w:rsid w:val="00D77085"/>
    <w:rsid w:val="00D80E07"/>
    <w:rsid w:val="00D92B03"/>
    <w:rsid w:val="00DA4AFC"/>
    <w:rsid w:val="00DA78D7"/>
    <w:rsid w:val="00DB16E9"/>
    <w:rsid w:val="00DB33FF"/>
    <w:rsid w:val="00DB5449"/>
    <w:rsid w:val="00DB5B12"/>
    <w:rsid w:val="00DB625E"/>
    <w:rsid w:val="00DC46E8"/>
    <w:rsid w:val="00DC4C04"/>
    <w:rsid w:val="00DD0BE1"/>
    <w:rsid w:val="00DD1AC8"/>
    <w:rsid w:val="00DD3EC4"/>
    <w:rsid w:val="00DD703C"/>
    <w:rsid w:val="00DD799D"/>
    <w:rsid w:val="00DD7C2B"/>
    <w:rsid w:val="00DE0B69"/>
    <w:rsid w:val="00DE20EA"/>
    <w:rsid w:val="00DE2642"/>
    <w:rsid w:val="00DF7D26"/>
    <w:rsid w:val="00E06818"/>
    <w:rsid w:val="00E0782F"/>
    <w:rsid w:val="00E12B09"/>
    <w:rsid w:val="00E21215"/>
    <w:rsid w:val="00E21695"/>
    <w:rsid w:val="00E221B8"/>
    <w:rsid w:val="00E365BE"/>
    <w:rsid w:val="00E425EB"/>
    <w:rsid w:val="00E45C39"/>
    <w:rsid w:val="00E47BED"/>
    <w:rsid w:val="00E52FAB"/>
    <w:rsid w:val="00E5634C"/>
    <w:rsid w:val="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 w:val="00EA39AF"/>
    <w:rsid w:val="00EA3A8B"/>
    <w:rsid w:val="00EA6B59"/>
    <w:rsid w:val="00EA7CC9"/>
    <w:rsid w:val="00EB0403"/>
    <w:rsid w:val="00EB1C78"/>
    <w:rsid w:val="00EB62A8"/>
    <w:rsid w:val="00EC0A9B"/>
    <w:rsid w:val="00EC30F2"/>
    <w:rsid w:val="00EC4B96"/>
    <w:rsid w:val="00EC6238"/>
    <w:rsid w:val="00ED5E7C"/>
    <w:rsid w:val="00EE314C"/>
    <w:rsid w:val="00EE578D"/>
    <w:rsid w:val="00EE6470"/>
    <w:rsid w:val="00EF0531"/>
    <w:rsid w:val="00EF5F95"/>
    <w:rsid w:val="00F05BDA"/>
    <w:rsid w:val="00F064A4"/>
    <w:rsid w:val="00F068D0"/>
    <w:rsid w:val="00F07CE6"/>
    <w:rsid w:val="00F21C2D"/>
    <w:rsid w:val="00F238C9"/>
    <w:rsid w:val="00F25DF4"/>
    <w:rsid w:val="00F2745C"/>
    <w:rsid w:val="00F33203"/>
    <w:rsid w:val="00F3429A"/>
    <w:rsid w:val="00F36130"/>
    <w:rsid w:val="00F419BA"/>
    <w:rsid w:val="00F4406B"/>
    <w:rsid w:val="00F45F47"/>
    <w:rsid w:val="00F50E0F"/>
    <w:rsid w:val="00F52852"/>
    <w:rsid w:val="00F5564E"/>
    <w:rsid w:val="00F63288"/>
    <w:rsid w:val="00F71CE6"/>
    <w:rsid w:val="00F7224D"/>
    <w:rsid w:val="00F81C26"/>
    <w:rsid w:val="00F83C53"/>
    <w:rsid w:val="00F8628B"/>
    <w:rsid w:val="00F9162A"/>
    <w:rsid w:val="00F9476C"/>
    <w:rsid w:val="00F95376"/>
    <w:rsid w:val="00F97285"/>
    <w:rsid w:val="00FA1483"/>
    <w:rsid w:val="00FA21BA"/>
    <w:rsid w:val="00FB025D"/>
    <w:rsid w:val="00FB245A"/>
    <w:rsid w:val="00FB62B6"/>
    <w:rsid w:val="00FB6568"/>
    <w:rsid w:val="00FB6E24"/>
    <w:rsid w:val="00FC7A46"/>
    <w:rsid w:val="00FD3B00"/>
    <w:rsid w:val="00FD49C6"/>
    <w:rsid w:val="00FD5EC7"/>
    <w:rsid w:val="00FE1E91"/>
    <w:rsid w:val="00FE2F81"/>
    <w:rsid w:val="00FE5619"/>
    <w:rsid w:val="00FE57DF"/>
    <w:rsid w:val="00FE6B87"/>
    <w:rsid w:val="00FF01E3"/>
    <w:rsid w:val="00FF13C5"/>
    <w:rsid w:val="00FF1773"/>
    <w:rsid w:val="00FF6CD2"/>
    <w:rsid w:val="0C912A21"/>
    <w:rsid w:val="1799292B"/>
    <w:rsid w:val="18781F67"/>
    <w:rsid w:val="19265889"/>
    <w:rsid w:val="273603FF"/>
    <w:rsid w:val="281C7766"/>
    <w:rsid w:val="28223344"/>
    <w:rsid w:val="3ACE5F0A"/>
    <w:rsid w:val="3E0718AB"/>
    <w:rsid w:val="481F1CCD"/>
    <w:rsid w:val="56CE3FE0"/>
    <w:rsid w:val="5C7755F9"/>
    <w:rsid w:val="607E3C09"/>
    <w:rsid w:val="7E2F7840"/>
    <w:rsid w:val="7F0F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link w:val="14"/>
    <w:uiPriority w:val="0"/>
    <w:pPr>
      <w:tabs>
        <w:tab w:val="center" w:pos="4513"/>
        <w:tab w:val="right" w:pos="9026"/>
      </w:tabs>
    </w:pPr>
  </w:style>
  <w:style w:type="paragraph" w:styleId="7">
    <w:name w:val="header"/>
    <w:basedOn w:val="1"/>
    <w:link w:val="13"/>
    <w:uiPriority w:val="0"/>
    <w:pPr>
      <w:tabs>
        <w:tab w:val="center" w:pos="4513"/>
        <w:tab w:val="right" w:pos="9026"/>
      </w:tabs>
    </w:pPr>
  </w:style>
  <w:style w:type="character" w:styleId="8">
    <w:name w:val="Hyperlink"/>
    <w:basedOn w:val="3"/>
    <w:uiPriority w:val="0"/>
    <w:rPr>
      <w:color w:val="0000FF"/>
      <w:u w:val="single"/>
    </w:rPr>
  </w:style>
  <w:style w:type="paragraph" w:styleId="9">
    <w:name w:val="Normal (Web)"/>
    <w:basedOn w:val="1"/>
    <w:qFormat/>
    <w:uiPriority w:val="0"/>
    <w:pPr>
      <w:spacing w:beforeAutospacing="1" w:afterAutospacing="1"/>
    </w:pPr>
    <w:rPr>
      <w:rFonts w:ascii="Times New Roman" w:hAnsi="Times New Roman" w:eastAsia="SimSun" w:cs="Times New Roman"/>
      <w:sz w:val="24"/>
      <w:szCs w:val="24"/>
    </w:rPr>
  </w:style>
  <w:style w:type="character" w:styleId="10">
    <w:name w:val="Strong"/>
    <w:basedOn w:val="3"/>
    <w:qFormat/>
    <w:uiPriority w:val="0"/>
    <w:rPr>
      <w:b/>
      <w:bCs/>
    </w:rPr>
  </w:style>
  <w:style w:type="table" w:styleId="11">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left="720"/>
      <w:contextualSpacing/>
    </w:pPr>
  </w:style>
  <w:style w:type="character" w:customStyle="1" w:styleId="13">
    <w:name w:val="Header Char"/>
    <w:basedOn w:val="3"/>
    <w:link w:val="7"/>
    <w:uiPriority w:val="0"/>
    <w:rPr>
      <w:rFonts w:asciiTheme="minorHAnsi" w:hAnsiTheme="minorHAnsi" w:eastAsiaTheme="minorEastAsia" w:cstheme="minorBidi"/>
      <w:lang w:val="en-US" w:eastAsia="zh-CN"/>
    </w:rPr>
  </w:style>
  <w:style w:type="character" w:customStyle="1" w:styleId="14">
    <w:name w:val="Footer Char"/>
    <w:basedOn w:val="3"/>
    <w:link w:val="6"/>
    <w:uiPriority w:val="0"/>
    <w:rPr>
      <w:rFonts w:asciiTheme="minorHAnsi" w:hAnsiTheme="minorHAnsi" w:eastAsiaTheme="minorEastAsia" w:cstheme="minorBidi"/>
      <w:lang w:val="en-US" w:eastAsia="zh-CN"/>
    </w:rPr>
  </w:style>
  <w:style w:type="character" w:customStyle="1" w:styleId="1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A8EE7-6D7A-424B-AB57-4246C6779FE3}">
  <ds:schemaRefs/>
</ds:datastoreItem>
</file>

<file path=docProps/app.xml><?xml version="1.0" encoding="utf-8"?>
<Properties xmlns="http://schemas.openxmlformats.org/officeDocument/2006/extended-properties" xmlns:vt="http://schemas.openxmlformats.org/officeDocument/2006/docPropsVTypes">
  <Template>Normal</Template>
  <Pages>26</Pages>
  <Words>8121</Words>
  <Characters>46296</Characters>
  <Lines>385</Lines>
  <Paragraphs>108</Paragraphs>
  <TotalTime>2</TotalTime>
  <ScaleCrop>false</ScaleCrop>
  <LinksUpToDate>false</LinksUpToDate>
  <CharactersWithSpaces>54309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2025-10-18T15:19:00Z</dcterms:created>
  <dc:creator>ASUS</dc:creator>
  <cp:lastModifiedBy>Mitali Kar</cp:lastModifiedBy>
  <dcterms:modified xsi:type="dcterms:W3CDTF">2025-11-07T15:23:07Z</dcterms:modified>
  <cp:revision>806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54765E2631AB4F179406053814A07154_12</vt:lpwstr>
  </property>
</Properties>
</file>