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53613" w14:textId="1E5B52EB" w:rsidR="001457B4" w:rsidRPr="00E71812" w:rsidRDefault="001275E5" w:rsidP="001457B4">
      <w:pPr>
        <w:spacing w:before="0" w:beforeAutospacing="0" w:line="360" w:lineRule="auto"/>
        <w:jc w:val="center"/>
        <w:rPr>
          <w:rFonts w:ascii="Arial" w:eastAsia="Times New Roman" w:hAnsi="Arial" w:cs="Arial"/>
          <w:b/>
          <w:sz w:val="36"/>
          <w:szCs w:val="36"/>
        </w:rPr>
      </w:pPr>
      <w:r w:rsidRPr="00E71812">
        <w:rPr>
          <w:rFonts w:ascii="Arial" w:hAnsi="Arial" w:cs="Arial"/>
          <w:b/>
          <w:sz w:val="36"/>
          <w:szCs w:val="36"/>
        </w:rPr>
        <w:t>Epidemiology and Risk Stratification of Microcytic H</w:t>
      </w:r>
      <w:r w:rsidR="00693A4F" w:rsidRPr="00E71812">
        <w:rPr>
          <w:rFonts w:ascii="Arial" w:hAnsi="Arial" w:cs="Arial"/>
          <w:b/>
          <w:sz w:val="36"/>
          <w:szCs w:val="36"/>
        </w:rPr>
        <w:t xml:space="preserve">ypochromic </w:t>
      </w:r>
      <w:r w:rsidR="000375ED" w:rsidRPr="00E71812">
        <w:rPr>
          <w:rFonts w:ascii="Arial" w:hAnsi="Arial" w:cs="Arial"/>
          <w:b/>
          <w:sz w:val="36"/>
          <w:szCs w:val="36"/>
        </w:rPr>
        <w:t>Anemia</w:t>
      </w:r>
      <w:r w:rsidR="00693A4F" w:rsidRPr="00E71812">
        <w:rPr>
          <w:rFonts w:ascii="Arial" w:hAnsi="Arial" w:cs="Arial"/>
          <w:b/>
          <w:sz w:val="36"/>
          <w:szCs w:val="36"/>
        </w:rPr>
        <w:t xml:space="preserve"> in </w:t>
      </w:r>
      <w:proofErr w:type="gramStart"/>
      <w:r w:rsidR="00693A4F" w:rsidRPr="00E71812">
        <w:rPr>
          <w:rFonts w:ascii="Arial" w:hAnsi="Arial" w:cs="Arial"/>
          <w:b/>
          <w:sz w:val="36"/>
          <w:szCs w:val="36"/>
        </w:rPr>
        <w:t>Pregnancy</w:t>
      </w:r>
      <w:r w:rsidR="00902C15" w:rsidRPr="00E71812">
        <w:rPr>
          <w:rFonts w:ascii="Arial" w:hAnsi="Arial" w:cs="Arial"/>
          <w:b/>
          <w:sz w:val="36"/>
          <w:szCs w:val="36"/>
        </w:rPr>
        <w:t xml:space="preserve"> :</w:t>
      </w:r>
      <w:proofErr w:type="gramEnd"/>
      <w:r w:rsidR="00902C15" w:rsidRPr="00E71812">
        <w:rPr>
          <w:rFonts w:ascii="Arial" w:hAnsi="Arial" w:cs="Arial"/>
          <w:b/>
          <w:sz w:val="36"/>
          <w:szCs w:val="36"/>
        </w:rPr>
        <w:t xml:space="preserve"> </w:t>
      </w:r>
      <w:r w:rsidR="00693A4F" w:rsidRPr="00E71812">
        <w:rPr>
          <w:rFonts w:ascii="Arial" w:hAnsi="Arial" w:cs="Arial"/>
          <w:b/>
          <w:sz w:val="36"/>
          <w:szCs w:val="36"/>
        </w:rPr>
        <w:t>A Cross-sectional study in</w:t>
      </w:r>
      <w:r w:rsidRPr="00E71812">
        <w:rPr>
          <w:rFonts w:ascii="Arial" w:hAnsi="Arial" w:cs="Arial"/>
          <w:b/>
          <w:sz w:val="36"/>
          <w:szCs w:val="36"/>
        </w:rPr>
        <w:t xml:space="preserve"> Takoradi, Ghana</w:t>
      </w:r>
    </w:p>
    <w:p w14:paraId="60077C9D" w14:textId="77777777" w:rsidR="00A92FBB" w:rsidRPr="00E71812" w:rsidRDefault="00A92FBB" w:rsidP="00A25709">
      <w:pPr>
        <w:rPr>
          <w:rFonts w:cstheme="minorHAnsi"/>
          <w:b/>
          <w:sz w:val="20"/>
          <w:szCs w:val="20"/>
        </w:rPr>
      </w:pPr>
    </w:p>
    <w:p w14:paraId="13F64E6D" w14:textId="77777777" w:rsidR="006158ED" w:rsidRPr="00E71812" w:rsidRDefault="00B12DD0" w:rsidP="00A25709">
      <w:pPr>
        <w:pStyle w:val="Heading3"/>
        <w:spacing w:before="0" w:beforeAutospacing="0" w:after="0" w:afterAutospacing="0" w:line="360" w:lineRule="auto"/>
        <w:jc w:val="both"/>
        <w:rPr>
          <w:rFonts w:ascii="Arial" w:hAnsi="Arial" w:cs="Arial"/>
          <w:sz w:val="20"/>
          <w:szCs w:val="20"/>
        </w:rPr>
      </w:pPr>
      <w:r w:rsidRPr="00E71812">
        <w:rPr>
          <w:rFonts w:ascii="Arial" w:hAnsi="Arial" w:cs="Arial"/>
          <w:sz w:val="20"/>
          <w:szCs w:val="20"/>
        </w:rPr>
        <w:t>ABSTRACT</w:t>
      </w:r>
    </w:p>
    <w:p w14:paraId="6B2B7134" w14:textId="4A367109" w:rsidR="00B15A9A" w:rsidRPr="00E71812" w:rsidRDefault="000375ED" w:rsidP="00BC0206">
      <w:pPr>
        <w:pStyle w:val="NormalWeb"/>
        <w:spacing w:before="0" w:beforeAutospacing="0" w:after="0" w:afterAutospacing="0" w:line="360" w:lineRule="auto"/>
        <w:jc w:val="both"/>
        <w:rPr>
          <w:rStyle w:val="Strong"/>
          <w:rFonts w:ascii="Arial" w:hAnsi="Arial" w:cs="Arial"/>
          <w:b w:val="0"/>
          <w:bCs w:val="0"/>
          <w:sz w:val="20"/>
          <w:szCs w:val="20"/>
        </w:rPr>
      </w:pPr>
      <w:r w:rsidRPr="00E71812">
        <w:rPr>
          <w:rFonts w:ascii="Arial" w:hAnsi="Arial" w:cs="Arial"/>
          <w:sz w:val="20"/>
          <w:szCs w:val="20"/>
        </w:rPr>
        <w:t>An</w:t>
      </w:r>
      <w:r w:rsidR="006158ED" w:rsidRPr="00E71812">
        <w:rPr>
          <w:rFonts w:ascii="Arial" w:hAnsi="Arial" w:cs="Arial"/>
          <w:sz w:val="20"/>
          <w:szCs w:val="20"/>
        </w:rPr>
        <w:t xml:space="preserve">emia in pregnancy is a major public health concern, particularly in low-resource settings, where iron deficiency remains the leading cause. This study investigated the prevalence, determinants, and risk profiling of microcytic hypochromic </w:t>
      </w:r>
      <w:r w:rsidRPr="00E71812">
        <w:rPr>
          <w:rFonts w:ascii="Arial" w:hAnsi="Arial" w:cs="Arial"/>
          <w:sz w:val="20"/>
          <w:szCs w:val="20"/>
        </w:rPr>
        <w:t>anemia</w:t>
      </w:r>
      <w:r w:rsidR="00020EE2" w:rsidRPr="00E71812">
        <w:rPr>
          <w:rFonts w:ascii="Arial" w:hAnsi="Arial" w:cs="Arial"/>
          <w:sz w:val="20"/>
          <w:szCs w:val="20"/>
        </w:rPr>
        <w:t xml:space="preserve">, a type of anemia characterized by smaller than normal red blood cells (RBCs) with pale coloration due to less hemoglobin, </w:t>
      </w:r>
      <w:r w:rsidR="006158ED" w:rsidRPr="00E71812">
        <w:rPr>
          <w:rFonts w:ascii="Arial" w:hAnsi="Arial" w:cs="Arial"/>
          <w:sz w:val="20"/>
          <w:szCs w:val="20"/>
        </w:rPr>
        <w:t xml:space="preserve">among 360 pregnant women. </w:t>
      </w:r>
      <w:proofErr w:type="spellStart"/>
      <w:r w:rsidR="006158ED" w:rsidRPr="00E71812">
        <w:rPr>
          <w:rFonts w:ascii="Arial" w:hAnsi="Arial" w:cs="Arial"/>
          <w:sz w:val="20"/>
          <w:szCs w:val="20"/>
        </w:rPr>
        <w:t>Haematological</w:t>
      </w:r>
      <w:proofErr w:type="spellEnd"/>
      <w:r w:rsidR="006158ED" w:rsidRPr="00E71812">
        <w:rPr>
          <w:rFonts w:ascii="Arial" w:hAnsi="Arial" w:cs="Arial"/>
          <w:sz w:val="20"/>
          <w:szCs w:val="20"/>
        </w:rPr>
        <w:t xml:space="preserve"> indices</w:t>
      </w:r>
      <w:r w:rsidR="00D472FC" w:rsidRPr="00E71812">
        <w:rPr>
          <w:rFonts w:ascii="Arial" w:hAnsi="Arial" w:cs="Arial"/>
          <w:sz w:val="20"/>
          <w:szCs w:val="20"/>
        </w:rPr>
        <w:t>,</w:t>
      </w:r>
      <w:r w:rsidR="006158ED" w:rsidRPr="00E71812">
        <w:rPr>
          <w:rFonts w:ascii="Arial" w:hAnsi="Arial" w:cs="Arial"/>
          <w:sz w:val="20"/>
          <w:szCs w:val="20"/>
        </w:rPr>
        <w:t xml:space="preserve"> including </w:t>
      </w:r>
      <w:proofErr w:type="spellStart"/>
      <w:r w:rsidR="006158ED" w:rsidRPr="00E71812">
        <w:rPr>
          <w:rFonts w:ascii="Arial" w:hAnsi="Arial" w:cs="Arial"/>
          <w:sz w:val="20"/>
          <w:szCs w:val="20"/>
        </w:rPr>
        <w:t>haemoglobin</w:t>
      </w:r>
      <w:proofErr w:type="spellEnd"/>
      <w:r w:rsidR="006158ED" w:rsidRPr="00E71812">
        <w:rPr>
          <w:rFonts w:ascii="Arial" w:hAnsi="Arial" w:cs="Arial"/>
          <w:sz w:val="20"/>
          <w:szCs w:val="20"/>
        </w:rPr>
        <w:t>, mean corpuscular volume</w:t>
      </w:r>
      <w:r w:rsidR="001457B4" w:rsidRPr="00E71812">
        <w:rPr>
          <w:rFonts w:ascii="Arial" w:hAnsi="Arial" w:cs="Arial"/>
          <w:sz w:val="20"/>
          <w:szCs w:val="20"/>
        </w:rPr>
        <w:t xml:space="preserve"> (MCV)</w:t>
      </w:r>
      <w:r w:rsidR="006158ED" w:rsidRPr="00E71812">
        <w:rPr>
          <w:rFonts w:ascii="Arial" w:hAnsi="Arial" w:cs="Arial"/>
          <w:sz w:val="20"/>
          <w:szCs w:val="20"/>
        </w:rPr>
        <w:t xml:space="preserve">, and mean corpuscular </w:t>
      </w:r>
      <w:proofErr w:type="spellStart"/>
      <w:r w:rsidR="006158ED" w:rsidRPr="00E71812">
        <w:rPr>
          <w:rFonts w:ascii="Arial" w:hAnsi="Arial" w:cs="Arial"/>
          <w:sz w:val="20"/>
          <w:szCs w:val="20"/>
        </w:rPr>
        <w:t>haemoglobin</w:t>
      </w:r>
      <w:proofErr w:type="spellEnd"/>
      <w:r w:rsidR="001457B4" w:rsidRPr="00E71812">
        <w:rPr>
          <w:rFonts w:ascii="Arial" w:hAnsi="Arial" w:cs="Arial"/>
          <w:sz w:val="20"/>
          <w:szCs w:val="20"/>
        </w:rPr>
        <w:t xml:space="preserve"> concentration (MCHC)</w:t>
      </w:r>
      <w:r w:rsidR="00D472FC" w:rsidRPr="00E71812">
        <w:rPr>
          <w:rFonts w:ascii="Arial" w:hAnsi="Arial" w:cs="Arial"/>
          <w:sz w:val="20"/>
          <w:szCs w:val="20"/>
        </w:rPr>
        <w:t>,</w:t>
      </w:r>
      <w:r w:rsidR="006158ED" w:rsidRPr="00E71812">
        <w:rPr>
          <w:rFonts w:ascii="Arial" w:hAnsi="Arial" w:cs="Arial"/>
          <w:sz w:val="20"/>
          <w:szCs w:val="20"/>
        </w:rPr>
        <w:t xml:space="preserve"> were assessed to determine </w:t>
      </w:r>
      <w:r w:rsidRPr="00E71812">
        <w:rPr>
          <w:rFonts w:ascii="Arial" w:hAnsi="Arial" w:cs="Arial"/>
          <w:sz w:val="20"/>
          <w:szCs w:val="20"/>
        </w:rPr>
        <w:t>anemia</w:t>
      </w:r>
      <w:r w:rsidR="006158ED" w:rsidRPr="00E71812">
        <w:rPr>
          <w:rFonts w:ascii="Arial" w:hAnsi="Arial" w:cs="Arial"/>
          <w:sz w:val="20"/>
          <w:szCs w:val="20"/>
        </w:rPr>
        <w:t xml:space="preserve"> status. Chi-square tests and logistic regression were used to examine associations and predictors of low ferritin, while risk stratification was conducted using quintiles of predicted probabilities.</w:t>
      </w:r>
      <w:r w:rsidR="00D472FC" w:rsidRPr="00E71812">
        <w:rPr>
          <w:rFonts w:ascii="Arial" w:hAnsi="Arial" w:cs="Arial"/>
          <w:sz w:val="20"/>
          <w:szCs w:val="20"/>
        </w:rPr>
        <w:t xml:space="preserve"> </w:t>
      </w:r>
      <w:r w:rsidR="006158ED" w:rsidRPr="00E71812">
        <w:rPr>
          <w:rFonts w:ascii="Arial" w:hAnsi="Arial" w:cs="Arial"/>
          <w:sz w:val="20"/>
          <w:szCs w:val="20"/>
        </w:rPr>
        <w:t xml:space="preserve">The results showed that 82.5% of women were </w:t>
      </w:r>
      <w:proofErr w:type="spellStart"/>
      <w:r w:rsidR="006158ED" w:rsidRPr="00E71812">
        <w:rPr>
          <w:rFonts w:ascii="Arial" w:hAnsi="Arial" w:cs="Arial"/>
          <w:sz w:val="20"/>
          <w:szCs w:val="20"/>
        </w:rPr>
        <w:t>anaemic</w:t>
      </w:r>
      <w:proofErr w:type="spellEnd"/>
      <w:r w:rsidR="006158ED" w:rsidRPr="00E71812">
        <w:rPr>
          <w:rFonts w:ascii="Arial" w:hAnsi="Arial" w:cs="Arial"/>
          <w:sz w:val="20"/>
          <w:szCs w:val="20"/>
        </w:rPr>
        <w:t xml:space="preserve">, </w:t>
      </w:r>
      <w:r w:rsidR="00BC0206" w:rsidRPr="00E71812">
        <w:rPr>
          <w:rFonts w:ascii="Arial" w:hAnsi="Arial" w:cs="Arial"/>
          <w:sz w:val="20"/>
          <w:szCs w:val="20"/>
        </w:rPr>
        <w:t>of microcytic</w:t>
      </w:r>
      <w:r w:rsidR="006158ED" w:rsidRPr="00E71812">
        <w:rPr>
          <w:rFonts w:ascii="Arial" w:hAnsi="Arial" w:cs="Arial"/>
          <w:sz w:val="20"/>
          <w:szCs w:val="20"/>
        </w:rPr>
        <w:t xml:space="preserve"> </w:t>
      </w:r>
      <w:r w:rsidR="00BC0206" w:rsidRPr="00E71812">
        <w:rPr>
          <w:rFonts w:ascii="Arial" w:hAnsi="Arial" w:cs="Arial"/>
          <w:sz w:val="20"/>
          <w:szCs w:val="20"/>
        </w:rPr>
        <w:t xml:space="preserve">hypochromic </w:t>
      </w:r>
      <w:proofErr w:type="spellStart"/>
      <w:r w:rsidR="00BC0206" w:rsidRPr="00E71812">
        <w:rPr>
          <w:rFonts w:ascii="Arial" w:hAnsi="Arial" w:cs="Arial"/>
          <w:sz w:val="20"/>
          <w:szCs w:val="20"/>
        </w:rPr>
        <w:t>aneamia</w:t>
      </w:r>
      <w:proofErr w:type="spellEnd"/>
      <w:r w:rsidR="00BC0206" w:rsidRPr="00E71812">
        <w:rPr>
          <w:rFonts w:ascii="Arial" w:hAnsi="Arial" w:cs="Arial"/>
          <w:sz w:val="20"/>
          <w:szCs w:val="20"/>
        </w:rPr>
        <w:t xml:space="preserve"> accounted for</w:t>
      </w:r>
      <w:r w:rsidR="006158ED" w:rsidRPr="00E71812">
        <w:rPr>
          <w:rFonts w:ascii="Arial" w:hAnsi="Arial" w:cs="Arial"/>
          <w:sz w:val="20"/>
          <w:szCs w:val="20"/>
        </w:rPr>
        <w:t xml:space="preserve"> 72.5%. A history of </w:t>
      </w:r>
      <w:r w:rsidRPr="00E71812">
        <w:rPr>
          <w:rFonts w:ascii="Arial" w:hAnsi="Arial" w:cs="Arial"/>
          <w:sz w:val="20"/>
          <w:szCs w:val="20"/>
        </w:rPr>
        <w:t>anemia</w:t>
      </w:r>
      <w:r w:rsidR="006158ED" w:rsidRPr="00E71812">
        <w:rPr>
          <w:rFonts w:ascii="Arial" w:hAnsi="Arial" w:cs="Arial"/>
          <w:sz w:val="20"/>
          <w:szCs w:val="20"/>
        </w:rPr>
        <w:t xml:space="preserve"> prior to pregnancy was significantly associated with current </w:t>
      </w:r>
      <w:r w:rsidRPr="00E71812">
        <w:rPr>
          <w:rFonts w:ascii="Arial" w:hAnsi="Arial" w:cs="Arial"/>
          <w:sz w:val="20"/>
          <w:szCs w:val="20"/>
        </w:rPr>
        <w:t>anemia</w:t>
      </w:r>
      <w:r w:rsidR="006158ED" w:rsidRPr="00E71812">
        <w:rPr>
          <w:rFonts w:ascii="Arial" w:hAnsi="Arial" w:cs="Arial"/>
          <w:sz w:val="20"/>
          <w:szCs w:val="20"/>
        </w:rPr>
        <w:t xml:space="preserve"> status. Logistic regression identified prior </w:t>
      </w:r>
      <w:r w:rsidRPr="00E71812">
        <w:rPr>
          <w:rFonts w:ascii="Arial" w:hAnsi="Arial" w:cs="Arial"/>
          <w:sz w:val="20"/>
          <w:szCs w:val="20"/>
        </w:rPr>
        <w:t>anemia</w:t>
      </w:r>
      <w:r w:rsidR="006158ED" w:rsidRPr="00E71812">
        <w:rPr>
          <w:rFonts w:ascii="Arial" w:hAnsi="Arial" w:cs="Arial"/>
          <w:sz w:val="20"/>
          <w:szCs w:val="20"/>
        </w:rPr>
        <w:t>, smoking, alcohol consumption, being single, and parity of two as significant predictors of low ferritin, whereas supplement use during pregnancy was strongly protective. Risk profiling demonstrated clear model calibration, with prevalence of low ferritin increasing from 1.4% in the lowest risk quintile to 79.2% in the highest.</w:t>
      </w:r>
      <w:r w:rsidR="00D472FC" w:rsidRPr="00E71812">
        <w:rPr>
          <w:rFonts w:ascii="Arial" w:hAnsi="Arial" w:cs="Arial"/>
          <w:sz w:val="20"/>
          <w:szCs w:val="20"/>
        </w:rPr>
        <w:t xml:space="preserve"> </w:t>
      </w:r>
      <w:r w:rsidR="006158ED" w:rsidRPr="00E71812">
        <w:rPr>
          <w:rFonts w:ascii="Arial" w:hAnsi="Arial" w:cs="Arial"/>
          <w:sz w:val="20"/>
          <w:szCs w:val="20"/>
        </w:rPr>
        <w:t xml:space="preserve">These findings highlight the urgent need for comprehensive antenatal strategies that integrate universal supplementation, </w:t>
      </w:r>
      <w:proofErr w:type="spellStart"/>
      <w:r w:rsidR="006158ED" w:rsidRPr="00E71812">
        <w:rPr>
          <w:rFonts w:ascii="Arial" w:hAnsi="Arial" w:cs="Arial"/>
          <w:sz w:val="20"/>
          <w:szCs w:val="20"/>
        </w:rPr>
        <w:t>behavioural</w:t>
      </w:r>
      <w:proofErr w:type="spellEnd"/>
      <w:r w:rsidR="006158ED" w:rsidRPr="00E71812">
        <w:rPr>
          <w:rFonts w:ascii="Arial" w:hAnsi="Arial" w:cs="Arial"/>
          <w:sz w:val="20"/>
          <w:szCs w:val="20"/>
        </w:rPr>
        <w:t xml:space="preserve"> counselling, and socio-economic support to reduce the burden of </w:t>
      </w:r>
      <w:r w:rsidRPr="00E71812">
        <w:rPr>
          <w:rFonts w:ascii="Arial" w:hAnsi="Arial" w:cs="Arial"/>
          <w:sz w:val="20"/>
          <w:szCs w:val="20"/>
        </w:rPr>
        <w:t>anemia</w:t>
      </w:r>
      <w:r w:rsidR="006158ED" w:rsidRPr="00E71812">
        <w:rPr>
          <w:rFonts w:ascii="Arial" w:hAnsi="Arial" w:cs="Arial"/>
          <w:sz w:val="20"/>
          <w:szCs w:val="20"/>
        </w:rPr>
        <w:t xml:space="preserve"> and improve maternal outcomes.</w:t>
      </w:r>
    </w:p>
    <w:p w14:paraId="7CA2CE46" w14:textId="77777777" w:rsidR="00B15A9A" w:rsidRPr="00E71812" w:rsidRDefault="00B15A9A" w:rsidP="00B15A9A">
      <w:pPr>
        <w:pStyle w:val="NormalWeb"/>
        <w:spacing w:line="360" w:lineRule="auto"/>
        <w:jc w:val="both"/>
        <w:rPr>
          <w:rStyle w:val="Strong"/>
          <w:rFonts w:ascii="Arial" w:hAnsi="Arial" w:cs="Arial"/>
          <w:sz w:val="20"/>
          <w:szCs w:val="20"/>
        </w:rPr>
      </w:pPr>
    </w:p>
    <w:p w14:paraId="0CD05356" w14:textId="0B776757" w:rsidR="006158ED" w:rsidRPr="00E71812" w:rsidRDefault="006158ED" w:rsidP="00B15A9A">
      <w:pPr>
        <w:pStyle w:val="NormalWeb"/>
        <w:spacing w:line="360" w:lineRule="auto"/>
        <w:jc w:val="both"/>
        <w:rPr>
          <w:rFonts w:ascii="Arial" w:hAnsi="Arial" w:cs="Arial"/>
          <w:sz w:val="20"/>
          <w:szCs w:val="20"/>
        </w:rPr>
      </w:pPr>
      <w:r w:rsidRPr="00E71812">
        <w:rPr>
          <w:rStyle w:val="Strong"/>
          <w:rFonts w:ascii="Arial" w:hAnsi="Arial" w:cs="Arial"/>
          <w:sz w:val="20"/>
          <w:szCs w:val="20"/>
        </w:rPr>
        <w:t>Keywords:</w:t>
      </w:r>
      <w:r w:rsidR="00BC0206" w:rsidRPr="00E71812">
        <w:rPr>
          <w:rFonts w:ascii="Arial" w:hAnsi="Arial" w:cs="Arial"/>
          <w:sz w:val="20"/>
          <w:szCs w:val="20"/>
        </w:rPr>
        <w:t xml:space="preserve"> </w:t>
      </w:r>
      <w:r w:rsidR="00291964" w:rsidRPr="00E71812">
        <w:rPr>
          <w:rFonts w:ascii="Arial" w:hAnsi="Arial" w:cs="Arial"/>
          <w:sz w:val="20"/>
          <w:szCs w:val="20"/>
        </w:rPr>
        <w:t xml:space="preserve">Hemoglobin, </w:t>
      </w:r>
      <w:r w:rsidR="000375ED" w:rsidRPr="00E71812">
        <w:rPr>
          <w:rFonts w:ascii="Arial" w:hAnsi="Arial" w:cs="Arial"/>
          <w:sz w:val="20"/>
          <w:szCs w:val="20"/>
        </w:rPr>
        <w:t>Anemia</w:t>
      </w:r>
      <w:r w:rsidR="00BC0206" w:rsidRPr="00E71812">
        <w:rPr>
          <w:rFonts w:ascii="Arial" w:hAnsi="Arial" w:cs="Arial"/>
          <w:sz w:val="20"/>
          <w:szCs w:val="20"/>
        </w:rPr>
        <w:t>, Pregnancy</w:t>
      </w:r>
      <w:r w:rsidRPr="00E71812">
        <w:rPr>
          <w:rFonts w:ascii="Arial" w:hAnsi="Arial" w:cs="Arial"/>
          <w:sz w:val="20"/>
          <w:szCs w:val="20"/>
        </w:rPr>
        <w:t>, Iron deficiency,</w:t>
      </w:r>
      <w:r w:rsidR="00BC0206" w:rsidRPr="00E71812">
        <w:rPr>
          <w:rFonts w:ascii="Arial" w:hAnsi="Arial" w:cs="Arial"/>
          <w:sz w:val="20"/>
          <w:szCs w:val="20"/>
        </w:rPr>
        <w:t xml:space="preserve"> Microcytic</w:t>
      </w:r>
      <w:r w:rsidRPr="00E71812">
        <w:rPr>
          <w:rFonts w:ascii="Arial" w:hAnsi="Arial" w:cs="Arial"/>
          <w:sz w:val="20"/>
          <w:szCs w:val="20"/>
        </w:rPr>
        <w:t xml:space="preserve"> </w:t>
      </w:r>
      <w:r w:rsidR="00291964" w:rsidRPr="00E71812">
        <w:rPr>
          <w:rFonts w:ascii="Arial" w:hAnsi="Arial" w:cs="Arial"/>
          <w:sz w:val="20"/>
          <w:szCs w:val="20"/>
        </w:rPr>
        <w:t>hypochromic</w:t>
      </w:r>
    </w:p>
    <w:p w14:paraId="5AB6C6BB" w14:textId="18BFD565" w:rsidR="006D2142" w:rsidRPr="00E71812" w:rsidRDefault="006D2142" w:rsidP="00B15A9A">
      <w:pPr>
        <w:spacing w:before="0" w:beforeAutospacing="0" w:line="360" w:lineRule="auto"/>
        <w:rPr>
          <w:rFonts w:ascii="Arial" w:eastAsia="Times New Roman" w:hAnsi="Arial" w:cs="Arial"/>
          <w:sz w:val="20"/>
          <w:szCs w:val="20"/>
        </w:rPr>
      </w:pPr>
    </w:p>
    <w:p w14:paraId="30F2E381" w14:textId="77777777" w:rsidR="006D2142" w:rsidRPr="00E71812" w:rsidRDefault="00B12DD0" w:rsidP="00A25709">
      <w:pPr>
        <w:spacing w:before="0" w:beforeAutospacing="0" w:line="360" w:lineRule="auto"/>
        <w:outlineLvl w:val="1"/>
        <w:rPr>
          <w:rFonts w:ascii="Arial" w:eastAsia="Times New Roman" w:hAnsi="Arial" w:cs="Arial"/>
          <w:b/>
          <w:bCs/>
          <w:sz w:val="20"/>
          <w:szCs w:val="20"/>
        </w:rPr>
      </w:pPr>
      <w:r w:rsidRPr="00E71812">
        <w:rPr>
          <w:rFonts w:ascii="Arial" w:eastAsia="Times New Roman" w:hAnsi="Arial" w:cs="Arial"/>
          <w:b/>
          <w:bCs/>
          <w:sz w:val="20"/>
          <w:szCs w:val="20"/>
        </w:rPr>
        <w:t>1.0 INTRODUCTION</w:t>
      </w:r>
    </w:p>
    <w:p w14:paraId="710E9118" w14:textId="715753A7" w:rsidR="006D2142" w:rsidRPr="00E71812" w:rsidRDefault="000375ED" w:rsidP="00A25709">
      <w:pPr>
        <w:spacing w:before="0" w:beforeAutospacing="0" w:line="360" w:lineRule="auto"/>
        <w:rPr>
          <w:rFonts w:ascii="Arial" w:eastAsia="Times New Roman" w:hAnsi="Arial" w:cs="Arial"/>
          <w:sz w:val="20"/>
          <w:szCs w:val="20"/>
        </w:rPr>
      </w:pPr>
      <w:proofErr w:type="spellStart"/>
      <w:r w:rsidRPr="00E71812">
        <w:rPr>
          <w:rFonts w:ascii="Arial" w:eastAsia="Times New Roman" w:hAnsi="Arial" w:cs="Arial"/>
          <w:sz w:val="20"/>
          <w:szCs w:val="20"/>
        </w:rPr>
        <w:t>An</w:t>
      </w:r>
      <w:r w:rsidR="00E71812" w:rsidRPr="00E71812">
        <w:rPr>
          <w:rFonts w:ascii="Arial" w:eastAsia="Times New Roman" w:hAnsi="Arial" w:cs="Arial"/>
          <w:sz w:val="20"/>
          <w:szCs w:val="20"/>
        </w:rPr>
        <w:t>a</w:t>
      </w:r>
      <w:r w:rsidRPr="00E71812">
        <w:rPr>
          <w:rFonts w:ascii="Arial" w:eastAsia="Times New Roman" w:hAnsi="Arial" w:cs="Arial"/>
          <w:sz w:val="20"/>
          <w:szCs w:val="20"/>
        </w:rPr>
        <w:t>emia</w:t>
      </w:r>
      <w:proofErr w:type="spellEnd"/>
      <w:r w:rsidR="006D2142" w:rsidRPr="00E71812">
        <w:rPr>
          <w:rFonts w:ascii="Arial" w:eastAsia="Times New Roman" w:hAnsi="Arial" w:cs="Arial"/>
          <w:sz w:val="20"/>
          <w:szCs w:val="20"/>
        </w:rPr>
        <w:t xml:space="preserve"> in pregnancy remains one of the most pressing public health challenges worldwide, contributing significantly to maternal morbidity, adverse perinatal outcomes, and increased risk of maternal mortality</w:t>
      </w:r>
      <w:r w:rsidR="00291964" w:rsidRPr="00E71812">
        <w:rPr>
          <w:rFonts w:ascii="Arial" w:eastAsia="Times New Roman" w:hAnsi="Arial" w:cs="Arial"/>
          <w:sz w:val="20"/>
          <w:szCs w:val="20"/>
        </w:rPr>
        <w:t xml:space="preserve"> </w:t>
      </w:r>
      <w:r w:rsidR="00291964" w:rsidRPr="00E71812">
        <w:rPr>
          <w:rFonts w:ascii="Arial" w:eastAsia="Times New Roman" w:hAnsi="Arial" w:cs="Arial"/>
          <w:sz w:val="20"/>
          <w:szCs w:val="20"/>
        </w:rPr>
        <w:fldChar w:fldCharType="begin" w:fldLock="1"/>
      </w:r>
      <w:r w:rsidR="00A27465" w:rsidRPr="00E71812">
        <w:rPr>
          <w:rFonts w:ascii="Arial" w:eastAsia="Times New Roman" w:hAnsi="Arial" w:cs="Arial"/>
          <w:sz w:val="20"/>
          <w:szCs w:val="20"/>
        </w:rPr>
        <w:instrText>ADDIN CSL_CITATION {"citationItems":[{"id":"ITEM-1","itemData":{"DOI":"10.1016/j.ajog.2020.03.006","ISSN":"1097-6868 (Electronic)","PMID":"32184147","abstract":"Iron is essential for the function of all cells through its roles in oxygen  delivery, electron transport, and enzymatic activity. Cells with high metabolic rates require more iron and are at greater risk for dysfunction during iron deficiency. Iron requirements during pregnancy increase dramatically, as the mother's blood volume expands and the fetus grows and develops. Thus, pregnancy is a condition of impending or existing iron deficiency, which may be difficult to diagnose because of limitations to commonly used biomarkers such as hemoglobin and ferritin concentrations. Iron deficiency is associated with adverse pregnancy outcomes, including increased maternal illness, low birthweight, prematurity, and intrauterine growth restriction. The rapidly developing fetal brain is at particular risk of iron deficiency, which can occur because of maternal iron deficiency, hypertension, smoking, or glucose intolerance. Low maternal gestational iron intake is associated with autism, schizophrenia, and abnormal brain structure in the offspring. Newborns with iron deficiency have compromised recognition memory, slower speed of processing, and poorer bonding that persist despite postnatal iron repletion. Preclinical models of fetal iron deficiency confirm that expected iron-dependent processes such as monoamine neurotransmission, neuronal growth and differentiation, myelination, and gene expression are all compromised acutely and long term into adulthood. This review outlines strategies to diagnose and prevent iron deficiency in pregnancy. It describes the neurocognitive and mental health consequences of fetal iron deficiency. It emphasizes that fetal iron is a key nutrient that influences brain development and function across the lifespan.","author":[{"dropping-particle":"","family":"Georgieff","given":"Michael K","non-dropping-particle":"","parse-names":false,"suffix":""}],"container-title":"American journal of obstetrics and gynecology","id":"ITEM-1","issue":"4","issued":{"date-parts":[["2020","10"]]},"language":"eng","page":"516-524","publisher-place":"United States","title":"Iron deficiency in pregnancy.","type":"article-journal","volume":"223"},"uris":["http://www.mendeley.com/documents/?uuid=277fc64a-1790-472b-a282-771139753b20"]}],"mendeley":{"formattedCitation":"[1]","plainTextFormattedCitation":"[1]","previouslyFormattedCitation":"[1]"},"properties":{"noteIndex":0},"schema":"https://github.com/citation-style-language/schema/raw/master/csl-citation.json"}</w:instrText>
      </w:r>
      <w:r w:rsidR="00291964" w:rsidRPr="00E71812">
        <w:rPr>
          <w:rFonts w:ascii="Arial" w:eastAsia="Times New Roman" w:hAnsi="Arial" w:cs="Arial"/>
          <w:sz w:val="20"/>
          <w:szCs w:val="20"/>
        </w:rPr>
        <w:fldChar w:fldCharType="separate"/>
      </w:r>
      <w:r w:rsidR="00A27465" w:rsidRPr="00E71812">
        <w:rPr>
          <w:rFonts w:ascii="Arial" w:eastAsia="Times New Roman" w:hAnsi="Arial" w:cs="Arial"/>
          <w:noProof/>
          <w:sz w:val="20"/>
          <w:szCs w:val="20"/>
        </w:rPr>
        <w:t>[1]</w:t>
      </w:r>
      <w:r w:rsidR="00291964" w:rsidRPr="00E71812">
        <w:rPr>
          <w:rFonts w:ascii="Arial" w:eastAsia="Times New Roman" w:hAnsi="Arial" w:cs="Arial"/>
          <w:sz w:val="20"/>
          <w:szCs w:val="20"/>
        </w:rPr>
        <w:fldChar w:fldCharType="end"/>
      </w:r>
      <w:r w:rsidR="006D2142" w:rsidRPr="00E71812">
        <w:rPr>
          <w:rFonts w:ascii="Arial" w:eastAsia="Times New Roman" w:hAnsi="Arial" w:cs="Arial"/>
          <w:sz w:val="20"/>
          <w:szCs w:val="20"/>
        </w:rPr>
        <w:t xml:space="preserve">. The World Health </w:t>
      </w:r>
      <w:proofErr w:type="spellStart"/>
      <w:r w:rsidR="006D2142" w:rsidRPr="00E71812">
        <w:rPr>
          <w:rFonts w:ascii="Arial" w:eastAsia="Times New Roman" w:hAnsi="Arial" w:cs="Arial"/>
          <w:sz w:val="20"/>
          <w:szCs w:val="20"/>
        </w:rPr>
        <w:t>Organi</w:t>
      </w:r>
      <w:r w:rsidR="00D472FC" w:rsidRPr="00E71812">
        <w:rPr>
          <w:rFonts w:ascii="Arial" w:eastAsia="Times New Roman" w:hAnsi="Arial" w:cs="Arial"/>
          <w:sz w:val="20"/>
          <w:szCs w:val="20"/>
        </w:rPr>
        <w:t>s</w:t>
      </w:r>
      <w:r w:rsidR="006D2142" w:rsidRPr="00E71812">
        <w:rPr>
          <w:rFonts w:ascii="Arial" w:eastAsia="Times New Roman" w:hAnsi="Arial" w:cs="Arial"/>
          <w:sz w:val="20"/>
          <w:szCs w:val="20"/>
        </w:rPr>
        <w:t>ation</w:t>
      </w:r>
      <w:proofErr w:type="spellEnd"/>
      <w:r w:rsidR="006D2142" w:rsidRPr="00E71812">
        <w:rPr>
          <w:rFonts w:ascii="Arial" w:eastAsia="Times New Roman" w:hAnsi="Arial" w:cs="Arial"/>
          <w:sz w:val="20"/>
          <w:szCs w:val="20"/>
        </w:rPr>
        <w:t xml:space="preserve"> (WHO, 2021) estimates that approximately 37% of pregnant women globally are </w:t>
      </w:r>
      <w:proofErr w:type="spellStart"/>
      <w:r w:rsidR="006D2142" w:rsidRPr="00E71812">
        <w:rPr>
          <w:rFonts w:ascii="Arial" w:eastAsia="Times New Roman" w:hAnsi="Arial" w:cs="Arial"/>
          <w:sz w:val="20"/>
          <w:szCs w:val="20"/>
        </w:rPr>
        <w:t>anaemic</w:t>
      </w:r>
      <w:proofErr w:type="spellEnd"/>
      <w:r w:rsidR="006D2142" w:rsidRPr="00E71812">
        <w:rPr>
          <w:rFonts w:ascii="Arial" w:eastAsia="Times New Roman" w:hAnsi="Arial" w:cs="Arial"/>
          <w:sz w:val="20"/>
          <w:szCs w:val="20"/>
        </w:rPr>
        <w:t>, with the burden disproportionately higher in low- and middle-income countries, particularly in sub-Saharan Africa</w:t>
      </w:r>
      <w:r w:rsidR="00612F71" w:rsidRPr="00E71812">
        <w:rPr>
          <w:rFonts w:ascii="Arial" w:eastAsia="Times New Roman" w:hAnsi="Arial" w:cs="Arial"/>
          <w:sz w:val="20"/>
          <w:szCs w:val="20"/>
        </w:rPr>
        <w:t xml:space="preserve"> </w:t>
      </w:r>
      <w:r w:rsidR="00612F71" w:rsidRPr="00E71812">
        <w:rPr>
          <w:rFonts w:ascii="Arial" w:eastAsia="Times New Roman" w:hAnsi="Arial" w:cs="Arial"/>
          <w:sz w:val="20"/>
          <w:szCs w:val="20"/>
        </w:rPr>
        <w:fldChar w:fldCharType="begin" w:fldLock="1"/>
      </w:r>
      <w:r w:rsidR="00A27465" w:rsidRPr="00E71812">
        <w:rPr>
          <w:rFonts w:ascii="Arial" w:eastAsia="Times New Roman" w:hAnsi="Arial" w:cs="Arial"/>
          <w:sz w:val="20"/>
          <w:szCs w:val="20"/>
        </w:rPr>
        <w:instrText>ADDIN CSL_CITATION {"citationItems":[{"id":"ITEM-1","itemData":{"DOI":"10.1136/bmjgast-2021-000759","ISSN":"2054-4774 (Print)","PMID":"34996762","abstract":"The WHO has recognised iron deficiency anaemia (IDA) as the most common  nutritional deficiency in the world, with 30% of the population being affected with this condition. Although the most common causes of IDA are gastrointestinal bleeding and menstruation in women, decreased dietary iron and decreased iron absorption are also culpable causes. Patients with IDA should be treated with the aim of replenishing iron stores and returning the haemoglobin to a normal level. This has shown to improve quality of life, morbidity, prognosis in chronic disease and outcomes in pregnancy. Iron deficiency occurs in many chronic inflammatory conditions, including congestive cardiac failure, chronic kidney disease and inflammatory bowel disease. This article will provide an updated overview on diagnosis and management of IDA in patients with chronic conditions, preoperative and in pregnancy. We will discuss the benefits and limitations of oral versus intravenous iron replacement in each cohort, with an overview on cost analysis between the different iron formulations currently on the market.","author":[{"dropping-particle":"","family":"Kumar","given":"Aditi","non-dropping-particle":"","parse-names":false,"suffix":""},{"dropping-particle":"","family":"Sharma","given":"Esha","non-dropping-particle":"","parse-names":false,"suffix":""},{"dropping-particle":"","family":"Marley","given":"Alexandra","non-dropping-particle":"","parse-names":false,"suffix":""},{"dropping-particle":"","family":"Samaan","given":"Mark A","non-dropping-particle":"","parse-names":false,"suffix":""},{"dropping-particle":"","family":"Brookes","given":"Matthew James","non-dropping-particle":"","parse-names":false,"suffix":""}],"container-title":"BMJ open gastroenterology","id":"ITEM-1","issue":"1","issued":{"date-parts":[["2022","1"]]},"language":"eng","publisher-place":"England","title":"Iron deficiency anaemia: pathophysiology, assessment, practical management.","type":"article-journal","volume":"9"},"uris":["http://www.mendeley.com/documents/?uuid=c77cdfe7-67b5-469e-af9c-b99c3b7e565a"]}],"mendeley":{"formattedCitation":"[2]","plainTextFormattedCitation":"[2]","previouslyFormattedCitation":"[2]"},"properties":{"noteIndex":0},"schema":"https://github.com/citation-style-language/schema/raw/master/csl-citation.json"}</w:instrText>
      </w:r>
      <w:r w:rsidR="00612F71" w:rsidRPr="00E71812">
        <w:rPr>
          <w:rFonts w:ascii="Arial" w:eastAsia="Times New Roman" w:hAnsi="Arial" w:cs="Arial"/>
          <w:sz w:val="20"/>
          <w:szCs w:val="20"/>
        </w:rPr>
        <w:fldChar w:fldCharType="separate"/>
      </w:r>
      <w:r w:rsidR="00A27465" w:rsidRPr="00E71812">
        <w:rPr>
          <w:rFonts w:ascii="Arial" w:eastAsia="Times New Roman" w:hAnsi="Arial" w:cs="Arial"/>
          <w:noProof/>
          <w:sz w:val="20"/>
          <w:szCs w:val="20"/>
        </w:rPr>
        <w:t>[2]</w:t>
      </w:r>
      <w:r w:rsidR="00612F71" w:rsidRPr="00E71812">
        <w:rPr>
          <w:rFonts w:ascii="Arial" w:eastAsia="Times New Roman" w:hAnsi="Arial" w:cs="Arial"/>
          <w:sz w:val="20"/>
          <w:szCs w:val="20"/>
        </w:rPr>
        <w:fldChar w:fldCharType="end"/>
      </w:r>
      <w:r w:rsidR="006D2142" w:rsidRPr="00E71812">
        <w:rPr>
          <w:rFonts w:ascii="Arial" w:eastAsia="Times New Roman" w:hAnsi="Arial" w:cs="Arial"/>
          <w:sz w:val="20"/>
          <w:szCs w:val="20"/>
        </w:rPr>
        <w:t xml:space="preserve">. </w:t>
      </w:r>
      <w:proofErr w:type="spellStart"/>
      <w:r w:rsidRPr="00E71812">
        <w:rPr>
          <w:rFonts w:ascii="Arial" w:eastAsia="Times New Roman" w:hAnsi="Arial" w:cs="Arial"/>
          <w:sz w:val="20"/>
          <w:szCs w:val="20"/>
        </w:rPr>
        <w:t>An</w:t>
      </w:r>
      <w:r w:rsidR="00E71812" w:rsidRPr="00E71812">
        <w:rPr>
          <w:rFonts w:ascii="Arial" w:eastAsia="Times New Roman" w:hAnsi="Arial" w:cs="Arial"/>
          <w:sz w:val="20"/>
          <w:szCs w:val="20"/>
        </w:rPr>
        <w:t>a</w:t>
      </w:r>
      <w:r w:rsidRPr="00E71812">
        <w:rPr>
          <w:rFonts w:ascii="Arial" w:eastAsia="Times New Roman" w:hAnsi="Arial" w:cs="Arial"/>
          <w:sz w:val="20"/>
          <w:szCs w:val="20"/>
        </w:rPr>
        <w:t>emia</w:t>
      </w:r>
      <w:proofErr w:type="spellEnd"/>
      <w:r w:rsidR="006D2142" w:rsidRPr="00E71812">
        <w:rPr>
          <w:rFonts w:ascii="Arial" w:eastAsia="Times New Roman" w:hAnsi="Arial" w:cs="Arial"/>
          <w:sz w:val="20"/>
          <w:szCs w:val="20"/>
        </w:rPr>
        <w:t xml:space="preserve"> during pregnancy is associated with maternal fatigue, increased </w:t>
      </w:r>
      <w:r w:rsidR="006D2142" w:rsidRPr="00E71812">
        <w:rPr>
          <w:rFonts w:ascii="Arial" w:eastAsia="Times New Roman" w:hAnsi="Arial" w:cs="Arial"/>
          <w:sz w:val="20"/>
          <w:szCs w:val="20"/>
        </w:rPr>
        <w:lastRenderedPageBreak/>
        <w:t xml:space="preserve">susceptibility to infections, preterm delivery, low birth weight, and impaired neonatal development, all of which undermine progress towards achieving global maternal and child health targets </w:t>
      </w:r>
      <w:r w:rsidR="00291964" w:rsidRPr="00E71812">
        <w:rPr>
          <w:rFonts w:ascii="Arial" w:eastAsia="Times New Roman" w:hAnsi="Arial" w:cs="Arial"/>
          <w:sz w:val="20"/>
          <w:szCs w:val="20"/>
        </w:rPr>
        <w:t xml:space="preserve"> </w:t>
      </w:r>
      <w:r w:rsidR="00291964" w:rsidRPr="00E71812">
        <w:rPr>
          <w:rFonts w:ascii="Arial" w:eastAsia="Times New Roman" w:hAnsi="Arial" w:cs="Arial"/>
          <w:sz w:val="20"/>
          <w:szCs w:val="20"/>
        </w:rPr>
        <w:fldChar w:fldCharType="begin" w:fldLock="1"/>
      </w:r>
      <w:r w:rsidR="00A27465" w:rsidRPr="00E71812">
        <w:rPr>
          <w:rFonts w:ascii="Arial" w:eastAsia="Times New Roman" w:hAnsi="Arial" w:cs="Arial"/>
          <w:sz w:val="20"/>
          <w:szCs w:val="20"/>
        </w:rPr>
        <w:instrText>ADDIN CSL_CITATION {"citationItems":[{"id":"ITEM-1","itemData":{"DOI":"10.2174/1874276900802010014","ISSN":"18742769","abstract":"To assess the prevalence and risk factors of anaemia in pregnancy and recommend a cut-off value for antenatal women in developing countries, a cross sectional study was carried in the University of Port Harcourt Teaching Hospital, Port Harcourt, a 523 bed tertiary health care institution in Nigeria. 1371 apparently healthy asymptomatic pregnant women visiting the antenatal clinic for the first time were enrolled for the study. Another 60 age-matched non-pregnant apparently healthy women served as controls. Haemoglobin concentration, malaria, human immunodeficiency virus (HIV)S, haemoglobin electrophoretic pattern and C-reactive protein as marker of infection were investigated using stan-dard haematological and serological procedures. Anaemia in pregnancy (Hb &lt;11.0g/dl) and (Hb&lt;10.0g/dl) were found to be 23.2% and 6.7% respectively. The aetiology of anaemia was found to be multifactorial; 40.2% had anaemia of infec-tion, 20.3% had Plasmodium falciparum alone, 8.5% had HIV alone, 2.5% had HIV and malaria parasite co-infection; 8.9% undetermined infections and 0.6% had sickle cell anaemia. There is moderate prevalence of anaemia in pregnancy in this part of the world. Since the mean Hb value of the pregnant women in this study was 11.62±1.21g/dl and the pregnant women with Hb values around 10g/dl are apparently healthy, a cut-off value of 10.0g/dl may be considered ideal for de-fining anaemia in pregnancy in developing countries.","author":[{"dropping-particle":"","family":"Buseri","given":"F. I.","non-dropping-particle":"","parse-names":false,"suffix":""},{"dropping-particle":"","family":"Uko","given":"E. K.","non-dropping-particle":"","parse-names":false,"suffix":""},{"dropping-particle":"","family":"Jeremiah","given":"Z. A.","non-dropping-particle":"","parse-names":false,"suffix":""},{"dropping-particle":"","family":"Usanga","given":"E. A.","non-dropping-particle":"","parse-names":false,"suffix":""}],"container-title":"The Open Hematology Journal","id":"ITEM-1","issue":"1","issued":{"date-parts":[["2008"]]},"page":"14-19","title":"Prevalence and Risk Factors of Anaemia Among Pregnant women in Nigeria","type":"article-journal","volume":"2"},"uris":["http://www.mendeley.com/documents/?uuid=d753db3b-a137-48a5-8d73-5dcf3ac2def3"]}],"mendeley":{"formattedCitation":"[3]","plainTextFormattedCitation":"[3]","previouslyFormattedCitation":"[3]"},"properties":{"noteIndex":0},"schema":"https://github.com/citation-style-language/schema/raw/master/csl-citation.json"}</w:instrText>
      </w:r>
      <w:r w:rsidR="00291964" w:rsidRPr="00E71812">
        <w:rPr>
          <w:rFonts w:ascii="Arial" w:eastAsia="Times New Roman" w:hAnsi="Arial" w:cs="Arial"/>
          <w:sz w:val="20"/>
          <w:szCs w:val="20"/>
        </w:rPr>
        <w:fldChar w:fldCharType="separate"/>
      </w:r>
      <w:r w:rsidR="00A27465" w:rsidRPr="00E71812">
        <w:rPr>
          <w:rFonts w:ascii="Arial" w:eastAsia="Times New Roman" w:hAnsi="Arial" w:cs="Arial"/>
          <w:noProof/>
          <w:sz w:val="20"/>
          <w:szCs w:val="20"/>
        </w:rPr>
        <w:t>[3]</w:t>
      </w:r>
      <w:r w:rsidR="00291964" w:rsidRPr="00E71812">
        <w:rPr>
          <w:rFonts w:ascii="Arial" w:eastAsia="Times New Roman" w:hAnsi="Arial" w:cs="Arial"/>
          <w:sz w:val="20"/>
          <w:szCs w:val="20"/>
        </w:rPr>
        <w:fldChar w:fldCharType="end"/>
      </w:r>
      <w:r w:rsidR="00612F71" w:rsidRPr="00E71812">
        <w:rPr>
          <w:rFonts w:ascii="Arial" w:eastAsia="Times New Roman" w:hAnsi="Arial" w:cs="Arial"/>
          <w:sz w:val="20"/>
          <w:szCs w:val="20"/>
        </w:rPr>
        <w:t xml:space="preserve"> </w:t>
      </w:r>
      <w:r w:rsidR="00612F71" w:rsidRPr="00E71812">
        <w:rPr>
          <w:rFonts w:ascii="Arial" w:eastAsia="Times New Roman" w:hAnsi="Arial" w:cs="Arial"/>
          <w:sz w:val="20"/>
          <w:szCs w:val="20"/>
        </w:rPr>
        <w:fldChar w:fldCharType="begin" w:fldLock="1"/>
      </w:r>
      <w:r w:rsidR="00A27465" w:rsidRPr="00E71812">
        <w:rPr>
          <w:rFonts w:ascii="Arial" w:eastAsia="Times New Roman" w:hAnsi="Arial" w:cs="Arial"/>
          <w:sz w:val="20"/>
          <w:szCs w:val="20"/>
        </w:rPr>
        <w:instrText>ADDIN CSL_CITATION {"citationItems":[{"id":"ITEM-1","itemData":{"author":[{"dropping-particle":"","family":"Kolarš","given":"Bela","non-dropping-particle":"","parse-names":false,"suffix":""},{"dropping-particle":"","family":"Mijatovi","given":"Vesna","non-dropping-particle":"","parse-names":false,"suffix":""}],"id":"ITEM-1","issue":"Id","issued":{"date-parts":[["2025"]]},"page":"1-47","title":"Iron Deficiency and Iron Deficiency Anemia : A Comprehensive Overview of Established and Emerging Concepts","type":"article-journal"},"uris":["http://www.mendeley.com/documents/?uuid=bab091b5-9d2a-48b7-93f2-151d1ba37bf8"]}],"mendeley":{"formattedCitation":"[4]","plainTextFormattedCitation":"[4]","previouslyFormattedCitation":"[4]"},"properties":{"noteIndex":0},"schema":"https://github.com/citation-style-language/schema/raw/master/csl-citation.json"}</w:instrText>
      </w:r>
      <w:r w:rsidR="00612F71" w:rsidRPr="00E71812">
        <w:rPr>
          <w:rFonts w:ascii="Arial" w:eastAsia="Times New Roman" w:hAnsi="Arial" w:cs="Arial"/>
          <w:sz w:val="20"/>
          <w:szCs w:val="20"/>
        </w:rPr>
        <w:fldChar w:fldCharType="separate"/>
      </w:r>
      <w:r w:rsidR="00A27465" w:rsidRPr="00E71812">
        <w:rPr>
          <w:rFonts w:ascii="Arial" w:eastAsia="Times New Roman" w:hAnsi="Arial" w:cs="Arial"/>
          <w:noProof/>
          <w:sz w:val="20"/>
          <w:szCs w:val="20"/>
        </w:rPr>
        <w:t>[4]</w:t>
      </w:r>
      <w:r w:rsidR="00612F71" w:rsidRPr="00E71812">
        <w:rPr>
          <w:rFonts w:ascii="Arial" w:eastAsia="Times New Roman" w:hAnsi="Arial" w:cs="Arial"/>
          <w:sz w:val="20"/>
          <w:szCs w:val="20"/>
        </w:rPr>
        <w:fldChar w:fldCharType="end"/>
      </w:r>
    </w:p>
    <w:p w14:paraId="56E13FA0" w14:textId="137F3F82" w:rsidR="006D2142" w:rsidRPr="00E71812" w:rsidRDefault="006D2142" w:rsidP="00B15A9A">
      <w:pPr>
        <w:spacing w:after="100" w:afterAutospacing="1" w:line="360" w:lineRule="auto"/>
        <w:rPr>
          <w:rFonts w:ascii="Arial" w:eastAsia="Times New Roman" w:hAnsi="Arial" w:cs="Arial"/>
          <w:sz w:val="20"/>
          <w:szCs w:val="20"/>
        </w:rPr>
      </w:pPr>
      <w:r w:rsidRPr="00E71812">
        <w:rPr>
          <w:rFonts w:ascii="Arial" w:eastAsia="Times New Roman" w:hAnsi="Arial" w:cs="Arial"/>
          <w:sz w:val="20"/>
          <w:szCs w:val="20"/>
        </w:rPr>
        <w:t xml:space="preserve">Among the various forms of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microcytic hypochromic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is the most common, typically resulting from iron deficiency. This condition is </w:t>
      </w:r>
      <w:proofErr w:type="spellStart"/>
      <w:r w:rsidRPr="00E71812">
        <w:rPr>
          <w:rFonts w:ascii="Arial" w:eastAsia="Times New Roman" w:hAnsi="Arial" w:cs="Arial"/>
          <w:sz w:val="20"/>
          <w:szCs w:val="20"/>
        </w:rPr>
        <w:t>characterised</w:t>
      </w:r>
      <w:proofErr w:type="spellEnd"/>
      <w:r w:rsidRPr="00E71812">
        <w:rPr>
          <w:rFonts w:ascii="Arial" w:eastAsia="Times New Roman" w:hAnsi="Arial" w:cs="Arial"/>
          <w:sz w:val="20"/>
          <w:szCs w:val="20"/>
        </w:rPr>
        <w:t xml:space="preserve"> by low </w:t>
      </w:r>
      <w:proofErr w:type="spellStart"/>
      <w:r w:rsidRPr="00E71812">
        <w:rPr>
          <w:rFonts w:ascii="Arial" w:eastAsia="Times New Roman" w:hAnsi="Arial" w:cs="Arial"/>
          <w:sz w:val="20"/>
          <w:szCs w:val="20"/>
        </w:rPr>
        <w:t>haemoglobin</w:t>
      </w:r>
      <w:proofErr w:type="spellEnd"/>
      <w:r w:rsidRPr="00E71812">
        <w:rPr>
          <w:rFonts w:ascii="Arial" w:eastAsia="Times New Roman" w:hAnsi="Arial" w:cs="Arial"/>
          <w:sz w:val="20"/>
          <w:szCs w:val="20"/>
        </w:rPr>
        <w:t xml:space="preserve"> concentration, reduced mean corpuscular volume (MCV), and decreased mean corpuscular </w:t>
      </w:r>
      <w:proofErr w:type="spellStart"/>
      <w:r w:rsidRPr="00E71812">
        <w:rPr>
          <w:rFonts w:ascii="Arial" w:eastAsia="Times New Roman" w:hAnsi="Arial" w:cs="Arial"/>
          <w:sz w:val="20"/>
          <w:szCs w:val="20"/>
        </w:rPr>
        <w:t>haemoglobin</w:t>
      </w:r>
      <w:proofErr w:type="spellEnd"/>
      <w:r w:rsidRPr="00E71812">
        <w:rPr>
          <w:rFonts w:ascii="Arial" w:eastAsia="Times New Roman" w:hAnsi="Arial" w:cs="Arial"/>
          <w:sz w:val="20"/>
          <w:szCs w:val="20"/>
        </w:rPr>
        <w:t xml:space="preserve"> (MCH). During pregnancy, the demand for iron increases substantially to support maternal blood volume expansion, placental growth, and fetal development. When these demands are not met, pregnant women become vulnerable to iron depletion, which manifests clinically as microcytic hypochromic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Iron deficiency has been estimated to account for nearly half of all </w:t>
      </w:r>
      <w:r w:rsidR="000375ED" w:rsidRPr="00E71812">
        <w:rPr>
          <w:rFonts w:ascii="Arial" w:eastAsia="Times New Roman" w:hAnsi="Arial" w:cs="Arial"/>
          <w:sz w:val="20"/>
          <w:szCs w:val="20"/>
        </w:rPr>
        <w:t>anemia</w:t>
      </w:r>
      <w:r w:rsidR="00612F71" w:rsidRPr="00E71812">
        <w:rPr>
          <w:rFonts w:ascii="Arial" w:eastAsia="Times New Roman" w:hAnsi="Arial" w:cs="Arial"/>
          <w:sz w:val="20"/>
          <w:szCs w:val="20"/>
        </w:rPr>
        <w:t xml:space="preserve"> cases globally </w:t>
      </w:r>
      <w:r w:rsidR="00612F71" w:rsidRPr="00E71812">
        <w:rPr>
          <w:rFonts w:ascii="Arial" w:eastAsia="Times New Roman" w:hAnsi="Arial" w:cs="Arial"/>
          <w:sz w:val="20"/>
          <w:szCs w:val="20"/>
        </w:rPr>
        <w:fldChar w:fldCharType="begin" w:fldLock="1"/>
      </w:r>
      <w:r w:rsidR="00A27465" w:rsidRPr="00E71812">
        <w:rPr>
          <w:rFonts w:ascii="Arial" w:eastAsia="Times New Roman" w:hAnsi="Arial" w:cs="Arial"/>
          <w:sz w:val="20"/>
          <w:szCs w:val="20"/>
        </w:rPr>
        <w:instrText>ADDIN CSL_CITATION {"citationItems":[{"id":"ITEM-1","itemData":{"DOI":"10.1056/NEJMra1401038","ISSN":"1533-4406 (Electronic)","PMID":"25946282","author":[{"dropping-particle":"","family":"Camaschella","given":"Clara","non-dropping-particle":"","parse-names":false,"suffix":""}],"container-title":"The New England journal of medicine","id":"ITEM-1","issue":"19","issued":{"date-parts":[["2015","5"]]},"language":"eng","page":"1832-1843","publisher-place":"United States","title":"Iron-deficiency anemia.","type":"article-journal","volume":"372"},"uris":["http://www.mendeley.com/documents/?uuid=b79cb389-d257-4220-a32c-c5b49df83579"]}],"mendeley":{"formattedCitation":"[5]","plainTextFormattedCitation":"[5]","previouslyFormattedCitation":"[5]"},"properties":{"noteIndex":0},"schema":"https://github.com/citation-style-language/schema/raw/master/csl-citation.json"}</w:instrText>
      </w:r>
      <w:r w:rsidR="00612F71" w:rsidRPr="00E71812">
        <w:rPr>
          <w:rFonts w:ascii="Arial" w:eastAsia="Times New Roman" w:hAnsi="Arial" w:cs="Arial"/>
          <w:sz w:val="20"/>
          <w:szCs w:val="20"/>
        </w:rPr>
        <w:fldChar w:fldCharType="separate"/>
      </w:r>
      <w:r w:rsidR="00A27465" w:rsidRPr="00E71812">
        <w:rPr>
          <w:rFonts w:ascii="Arial" w:eastAsia="Times New Roman" w:hAnsi="Arial" w:cs="Arial"/>
          <w:noProof/>
          <w:sz w:val="20"/>
          <w:szCs w:val="20"/>
        </w:rPr>
        <w:t>[5]</w:t>
      </w:r>
      <w:r w:rsidR="00612F71" w:rsidRPr="00E71812">
        <w:rPr>
          <w:rFonts w:ascii="Arial" w:eastAsia="Times New Roman" w:hAnsi="Arial" w:cs="Arial"/>
          <w:sz w:val="20"/>
          <w:szCs w:val="20"/>
        </w:rPr>
        <w:fldChar w:fldCharType="end"/>
      </w:r>
      <w:r w:rsidR="00612F71" w:rsidRPr="00E71812">
        <w:rPr>
          <w:rFonts w:ascii="Arial" w:eastAsia="Times New Roman" w:hAnsi="Arial" w:cs="Arial"/>
          <w:sz w:val="20"/>
          <w:szCs w:val="20"/>
        </w:rPr>
        <w:t xml:space="preserve"> </w:t>
      </w:r>
      <w:r w:rsidR="00612F71" w:rsidRPr="00E71812">
        <w:rPr>
          <w:rFonts w:ascii="Arial" w:eastAsia="Times New Roman" w:hAnsi="Arial" w:cs="Arial"/>
          <w:sz w:val="20"/>
          <w:szCs w:val="20"/>
        </w:rPr>
        <w:fldChar w:fldCharType="begin" w:fldLock="1"/>
      </w:r>
      <w:r w:rsidR="00A27465" w:rsidRPr="00E71812">
        <w:rPr>
          <w:rFonts w:ascii="Arial" w:eastAsia="Times New Roman" w:hAnsi="Arial" w:cs="Arial"/>
          <w:sz w:val="20"/>
          <w:szCs w:val="20"/>
        </w:rPr>
        <w:instrText>ADDIN CSL_CITATION {"citationItems":[{"id":"ITEM-1","itemData":{"DOI":"10.1016/S2214-109X(13)70001-9","ISSN":"2214-109X (Electronic)","PMID":"25103581","abstract":"BACKGROUND: Low haemoglobin concentrations and anaemia are important risk factors  for the health and development of women and children. We estimated trends in the distributions of haemoglobin concentration and in the prevalence of anaemia and severe anaemia in young children and pregnant and non-pregnant women between 1995 and 2011. METHODS: We obtained data about haemoglobin and anaemia for children aged 6-59 months and women of childbearing age (15-49 years) from 257 population-representative data sources from 107 countries worldwide. We used health, nutrition, and household surveys; summary statistics from WHO's Vitamin and Mineral Nutrition Information System; and summary statistics reported by other national and international agencies. We used a Bayesian hierarchical mixture model to estimate haemoglobin distributions and systematically addressed missing data, non-linear time trends, and representativeness of data sources. We quantified the uncertainty of our estimates. FINDINGS: Global mean haemoglobin improved slightly between 1995 and 2011, from 125 g/L (95% credibility interval 123-126) to 126 g/L (124-128) in non-pregnant women, from 112 g/L (111-113) to 114 g/L (112-116) in pregnant women, and from 109 g/L (107-111) to 111 g/L (110-113) in children. Anaemia prevalence decreased from 33% (29-37) to 29% (24-35) in non-pregnant women, from 43% (39-47) to 38% (34-43) in pregnant women, and from 47% (43-51) to 43% (38-47) in children. These prevalences translated to 496 million (409-595 million) non-pregnant women, 32 million (28-36 million) pregnant women, and 273 million (242-304 million) children with anaemia in 2011. In 2011, concentrations of mean haemoglobin were lowest and anaemia prevalence was highest in south Asia and central and west Africa. INTERPRETATION: Children's and women's haemoglobin statuses improved in some regions where concentrations had been low in the 1990s, leading to a modest global increase in mean haemoglobin and a reduction in anaemia prevalence. Further improvements are needed in some regions, particularly south Asia and central and west Africa, to improve the health of women and children and achieve global targets for reducing anaemia. FUNDING: Bill &amp; Melinda Gates Foundation, Grand Challenges Canada, and the UK Medical Research Council.","author":[{"dropping-particle":"","family":"Stevens","given":"Gretchen A","non-dropping-particle":"","parse-names":false,"suffix":""},{"dropping-particle":"","family":"Finucane","given":"Mariel M","non-dropping-particle":"","parse-names":false,"suffix":""},{"dropping-particle":"","family":"De-Regil","given":"Luz Maria","non-dropping-particle":"","parse-names":false,"suffix":""},{"dropping-particle":"","family":"Paciorek","given":"Christopher J","non-dropping-particle":"","parse-names":false,"suffix":""},{"dropping-particle":"","family":"Flaxman","given":"Seth R","non-dropping-particle":"","parse-names":false,"suffix":""},{"dropping-particle":"","family":"Branca","given":"Francesco","non-dropping-particle":"","parse-names":false,"suffix":""},{"dropping-particle":"","family":"Peña-Rosas","given":"Juan Pablo","non-dropping-particle":"","parse-names":false,"suffix":""},{"dropping-particle":"","family":"Bhutta","given":"Zulfiqar A","non-dropping-particle":"","parse-names":false,"suffix":""},{"dropping-particle":"","family":"Ezzati","given":"Majid","non-dropping-particle":"","parse-names":false,"suffix":""}],"container-title":"The Lancet. Global health","id":"ITEM-1","issue":"1","issued":{"date-parts":[["2013","7"]]},"language":"eng","page":"e16-25","publisher-place":"England","title":"Global, regional, and national trends in haemoglobin concentration and prevalence  of total and severe anaemia in children and pregnant and non-pregnant women for 1995-2011: a systematic analysis of population-representative data.","type":"article-journal","volume":"1"},"uris":["http://www.mendeley.com/documents/?uuid=1e3f3fd9-482b-48d8-8f4f-80db60407d6e"]}],"mendeley":{"formattedCitation":"[6]","plainTextFormattedCitation":"[6]","previouslyFormattedCitation":"[6]"},"properties":{"noteIndex":0},"schema":"https://github.com/citation-style-language/schema/raw/master/csl-citation.json"}</w:instrText>
      </w:r>
      <w:r w:rsidR="00612F71" w:rsidRPr="00E71812">
        <w:rPr>
          <w:rFonts w:ascii="Arial" w:eastAsia="Times New Roman" w:hAnsi="Arial" w:cs="Arial"/>
          <w:sz w:val="20"/>
          <w:szCs w:val="20"/>
        </w:rPr>
        <w:fldChar w:fldCharType="separate"/>
      </w:r>
      <w:r w:rsidR="00A27465" w:rsidRPr="00E71812">
        <w:rPr>
          <w:rFonts w:ascii="Arial" w:eastAsia="Times New Roman" w:hAnsi="Arial" w:cs="Arial"/>
          <w:noProof/>
          <w:sz w:val="20"/>
          <w:szCs w:val="20"/>
        </w:rPr>
        <w:t>[6]</w:t>
      </w:r>
      <w:r w:rsidR="00612F71" w:rsidRPr="00E71812">
        <w:rPr>
          <w:rFonts w:ascii="Arial" w:eastAsia="Times New Roman" w:hAnsi="Arial" w:cs="Arial"/>
          <w:sz w:val="20"/>
          <w:szCs w:val="20"/>
        </w:rPr>
        <w:fldChar w:fldCharType="end"/>
      </w:r>
    </w:p>
    <w:p w14:paraId="1A52CB59" w14:textId="1B49E861" w:rsidR="006D2142" w:rsidRPr="00E71812" w:rsidRDefault="006D2142" w:rsidP="00B15A9A">
      <w:pPr>
        <w:spacing w:after="100" w:afterAutospacing="1" w:line="360" w:lineRule="auto"/>
        <w:rPr>
          <w:rFonts w:ascii="Arial" w:eastAsia="Times New Roman" w:hAnsi="Arial" w:cs="Arial"/>
          <w:sz w:val="20"/>
          <w:szCs w:val="20"/>
        </w:rPr>
      </w:pPr>
      <w:r w:rsidRPr="00E71812">
        <w:rPr>
          <w:rFonts w:ascii="Arial" w:eastAsia="Times New Roman" w:hAnsi="Arial" w:cs="Arial"/>
          <w:sz w:val="20"/>
          <w:szCs w:val="20"/>
        </w:rPr>
        <w:t xml:space="preserve">In Ghana,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in pregnancy is </w:t>
      </w:r>
      <w:proofErr w:type="spellStart"/>
      <w:r w:rsidRPr="00E71812">
        <w:rPr>
          <w:rFonts w:ascii="Arial" w:eastAsia="Times New Roman" w:hAnsi="Arial" w:cs="Arial"/>
          <w:sz w:val="20"/>
          <w:szCs w:val="20"/>
        </w:rPr>
        <w:t>recognised</w:t>
      </w:r>
      <w:proofErr w:type="spellEnd"/>
      <w:r w:rsidRPr="00E71812">
        <w:rPr>
          <w:rFonts w:ascii="Arial" w:eastAsia="Times New Roman" w:hAnsi="Arial" w:cs="Arial"/>
          <w:sz w:val="20"/>
          <w:szCs w:val="20"/>
        </w:rPr>
        <w:t xml:space="preserve"> as a major maternal health concern. Reports from antenatal clinics indicate persistently high prevalence rates, despite ongoing supplementation and nutritio</w:t>
      </w:r>
      <w:r w:rsidR="00612F71" w:rsidRPr="00E71812">
        <w:rPr>
          <w:rFonts w:ascii="Arial" w:eastAsia="Times New Roman" w:hAnsi="Arial" w:cs="Arial"/>
          <w:sz w:val="20"/>
          <w:szCs w:val="20"/>
        </w:rPr>
        <w:t xml:space="preserve">n </w:t>
      </w:r>
      <w:proofErr w:type="spellStart"/>
      <w:r w:rsidR="00612F71" w:rsidRPr="00E71812">
        <w:rPr>
          <w:rFonts w:ascii="Arial" w:eastAsia="Times New Roman" w:hAnsi="Arial" w:cs="Arial"/>
          <w:sz w:val="20"/>
          <w:szCs w:val="20"/>
        </w:rPr>
        <w:t>programmes</w:t>
      </w:r>
      <w:proofErr w:type="spellEnd"/>
      <w:r w:rsidR="00612F71" w:rsidRPr="00E71812">
        <w:rPr>
          <w:rFonts w:ascii="Arial" w:eastAsia="Times New Roman" w:hAnsi="Arial" w:cs="Arial"/>
          <w:sz w:val="20"/>
          <w:szCs w:val="20"/>
        </w:rPr>
        <w:t xml:space="preserve"> </w:t>
      </w:r>
      <w:r w:rsidR="00612F71" w:rsidRPr="00E71812">
        <w:rPr>
          <w:rFonts w:ascii="Arial" w:eastAsia="Times New Roman" w:hAnsi="Arial" w:cs="Arial"/>
          <w:sz w:val="20"/>
          <w:szCs w:val="20"/>
        </w:rPr>
        <w:fldChar w:fldCharType="begin" w:fldLock="1"/>
      </w:r>
      <w:r w:rsidR="00A27465" w:rsidRPr="00E71812">
        <w:rPr>
          <w:rFonts w:ascii="Arial" w:eastAsia="Times New Roman" w:hAnsi="Arial" w:cs="Arial"/>
          <w:sz w:val="20"/>
          <w:szCs w:val="20"/>
        </w:rPr>
        <w:instrText>ADDIN CSL_CITATION {"citationItems":[{"id":"ITEM-1","itemData":{"DOI":"10.1186/s12884-016-0865-4","ISSN":"1471-2393 (Electronic)","PMID":"27067390","abstract":"BACKGROUND: Anaemia is a public health problem affecting over 1.62 billion people  globally. It affects all age groups of people and is particularly more prevalent in pregnant women. Africa carries a high burden of anaemia; in Uganda 24 % of women of child bearing age have anaemia. Pregnant women living in poverty are at greater risk of developing iron deficiency anaemia. The objective of this study was to determine the prevalence of anaemia and the associated risk factors in pregnant women attending antenatal care at Gulu and Hoima Regional Hospitals in Northern and Western Uganda respectively. METHODS: We conducted a cross sectional study in Gulu and Hoima Regional Hospitals from July to October 2012. Our study participants were pregnant women attending antenatal care. Socio-demographic data were collected using structured questionnaires and blood samples were collected for haemoglobin estimation. Haemoglobin concentration was determined using an automated analyzer closed mode of blood sampling. Data were analysed using Stata version 12. Odds ratio was used as a measure of association, with 95% confidence interval; and independent risk factors for anaemia were investigated using logistic regression analyses. Ethical approval was obtained from Gulu University Research Ethics Committee and written informed consent was obtained from each study participant. RESULTS: The overall prevalence of anaemia was 22.1%; higher in Gulu (32.9%) than in Hoima (12.1%), p &lt; 0.001. In Gulu, the prevalence of mild anaemia was 23%, moderate anaemia was 9%, and severe anaemia was 0.8%, while in Hoima, the prevalence of mild anaemia was 9%, moderate anaemia was 2.5%, and severe anaemia was 0.5%. Independent risk factors for anaemia were: being a housewife [Adjusted Odds Ratio (AOR) = 1.7, 95% CI: 1.05-2.68]; and being a resident in Gulu (AOR = 3.6, 95% CI: 2.41-5.58). CONCLUSION: The prevalence of anaemia in pregnant women in Gulu is higher than in Hoima. Amongst pregnancy women, being a housewife is an independent risk factor for anaemia. Greater efforts are required to encourage early antenatal attendance from women in these at risk groups. This would allow iron and folic acid supplementation during pregnancy, which would potentially reduce the prevalence of anaemia.","author":[{"dropping-particle":"","family":"Obai","given":"Gerald","non-dropping-particle":"","parse-names":false,"suffix":""},{"dropping-particle":"","family":"Odongo","given":"Pancras","non-dropping-particle":"","parse-names":false,"suffix":""},{"dropping-particle":"","family":"Wanyama","given":"Ronald","non-dropping-particle":"","parse-names":false,"suffix":""}],"container-title":"BMC pregnancy and childbirth","id":"ITEM-1","issued":{"date-parts":[["2016","4"]]},"language":"eng","page":"76","publisher-place":"England","title":"Prevalence of anaemia and associated risk factors among pregnant women attending  antenatal care in Gulu and Hoima Regional Hospitals in Uganda: A cross sectional study.","type":"article-journal","volume":"16"},"uris":["http://www.mendeley.com/documents/?uuid=4db0569c-4309-4f9e-b466-2d9f39cec563"]}],"mendeley":{"formattedCitation":"[7]","plainTextFormattedCitation":"[7]","previouslyFormattedCitation":"[7]"},"properties":{"noteIndex":0},"schema":"https://github.com/citation-style-language/schema/raw/master/csl-citation.json"}</w:instrText>
      </w:r>
      <w:r w:rsidR="00612F71" w:rsidRPr="00E71812">
        <w:rPr>
          <w:rFonts w:ascii="Arial" w:eastAsia="Times New Roman" w:hAnsi="Arial" w:cs="Arial"/>
          <w:sz w:val="20"/>
          <w:szCs w:val="20"/>
        </w:rPr>
        <w:fldChar w:fldCharType="separate"/>
      </w:r>
      <w:r w:rsidR="00A27465" w:rsidRPr="00E71812">
        <w:rPr>
          <w:rFonts w:ascii="Arial" w:eastAsia="Times New Roman" w:hAnsi="Arial" w:cs="Arial"/>
          <w:noProof/>
          <w:sz w:val="20"/>
          <w:szCs w:val="20"/>
        </w:rPr>
        <w:t>[7]</w:t>
      </w:r>
      <w:r w:rsidR="00612F71" w:rsidRPr="00E71812">
        <w:rPr>
          <w:rFonts w:ascii="Arial" w:eastAsia="Times New Roman" w:hAnsi="Arial" w:cs="Arial"/>
          <w:sz w:val="20"/>
          <w:szCs w:val="20"/>
        </w:rPr>
        <w:fldChar w:fldCharType="end"/>
      </w:r>
      <w:r w:rsidRPr="00E71812">
        <w:rPr>
          <w:rFonts w:ascii="Arial" w:eastAsia="Times New Roman" w:hAnsi="Arial" w:cs="Arial"/>
          <w:sz w:val="20"/>
          <w:szCs w:val="20"/>
        </w:rPr>
        <w:t xml:space="preserve">. The multifactorial nature of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suggests that</w:t>
      </w:r>
      <w:r w:rsidR="00D472FC" w:rsidRPr="00E71812">
        <w:rPr>
          <w:rFonts w:ascii="Arial" w:eastAsia="Times New Roman" w:hAnsi="Arial" w:cs="Arial"/>
          <w:sz w:val="20"/>
          <w:szCs w:val="20"/>
        </w:rPr>
        <w:t>,</w:t>
      </w:r>
      <w:r w:rsidRPr="00E71812">
        <w:rPr>
          <w:rFonts w:ascii="Arial" w:eastAsia="Times New Roman" w:hAnsi="Arial" w:cs="Arial"/>
          <w:sz w:val="20"/>
          <w:szCs w:val="20"/>
        </w:rPr>
        <w:t xml:space="preserve"> beyond dietary inadequacy, several socio-demographic, biomedical, and </w:t>
      </w:r>
      <w:proofErr w:type="spellStart"/>
      <w:r w:rsidRPr="00E71812">
        <w:rPr>
          <w:rFonts w:ascii="Arial" w:eastAsia="Times New Roman" w:hAnsi="Arial" w:cs="Arial"/>
          <w:sz w:val="20"/>
          <w:szCs w:val="20"/>
        </w:rPr>
        <w:t>behavioural</w:t>
      </w:r>
      <w:proofErr w:type="spellEnd"/>
      <w:r w:rsidRPr="00E71812">
        <w:rPr>
          <w:rFonts w:ascii="Arial" w:eastAsia="Times New Roman" w:hAnsi="Arial" w:cs="Arial"/>
          <w:sz w:val="20"/>
          <w:szCs w:val="20"/>
        </w:rPr>
        <w:t xml:space="preserve"> factors contribute to its occurrence. Previous studies have highlighted the role of parity, socio-economic status, marital support, and antenatal care access in sha</w:t>
      </w:r>
      <w:r w:rsidR="00612F71" w:rsidRPr="00E71812">
        <w:rPr>
          <w:rFonts w:ascii="Arial" w:eastAsia="Times New Roman" w:hAnsi="Arial" w:cs="Arial"/>
          <w:sz w:val="20"/>
          <w:szCs w:val="20"/>
        </w:rPr>
        <w:t xml:space="preserve">ping maternal iron status </w:t>
      </w:r>
      <w:r w:rsidR="008A1D89" w:rsidRPr="00E71812">
        <w:rPr>
          <w:rFonts w:ascii="Arial" w:eastAsia="Times New Roman" w:hAnsi="Arial" w:cs="Arial"/>
          <w:sz w:val="20"/>
          <w:szCs w:val="20"/>
        </w:rPr>
        <w:fldChar w:fldCharType="begin" w:fldLock="1"/>
      </w:r>
      <w:r w:rsidR="00A27465" w:rsidRPr="00E71812">
        <w:rPr>
          <w:rFonts w:ascii="Arial" w:eastAsia="Times New Roman" w:hAnsi="Arial" w:cs="Arial"/>
          <w:sz w:val="20"/>
          <w:szCs w:val="20"/>
        </w:rPr>
        <w:instrText>ADDIN CSL_CITATION {"citationItems":[{"id":"ITEM-1","itemData":{"DOI":"10.1136/bmjgh-2015-000026","ISSN":"2059-7908 (Print)","PMID":"28588921","abstract":"OBJECTIVES: To examine the association between maternal anaemia and adverse  maternal and infant outcomes, and to assess the feasibility of conducting epidemiological studies through the Indian Obstetric Surveillance System-Assam (IndOSS-Assam). DESIGN: Retrospective cohort study using anonymised hospital records. Exposure: maternal iron deficiency anaemia; outcomes: postpartum haemorrhage (PPH), low birthweight, small-for-gestational age babies, perinatal death. SETTING: 5 government medical colleges in Assam. STUDY POPULATION: 1007 pregnant women who delivered in the 5 medical colleges from January to June 2015. MAIN OUTCOME MEASURES: ORs with 95% CIs to estimate the association between maternal iron deficiency anaemia and the adverse maternal and infant outcomes. Potential interactive roles of infections and induction of labour on the adverse outcomes were explored. RESULTS: 35% (n=351) pregnant women had moderate-severe anaemia. Women with severe anaemia had a higher odds of PPH (adjusted OR (aOR) =9.45; 95% CI 2.62 to 34.05), giving birth to low birthweight (aOR=6.19; 95% CI 1.44 to 26.71) and small-for-gestational age babies (aOR=8.72; 95% CI 1.66 to 45.67), and perinatal death (aOR=16.42; 95% CI 4.38 to 61.55). Odds of PPH increased 17-fold among women with moderate-severe anaemia who underwent induction of labour, and 19-fold among women who had infection and moderate-severe anaemia. CONCLUSIONS: Maternal iron deficiency anaemia is a major public health problem in Assam. Maternal anaemia was associated with increased risks of PPH, low birthweight, small-for-gestational age babies and perinatal death. While the best approach is prevention, a large number of women present with severe anaemia late in pregnancy and there is no clear guidance on how these women should be managed during labour and delivery.","author":[{"dropping-particle":"","family":"Nair","given":"Manisha","non-dropping-particle":"","parse-names":false,"suffix":""},{"dropping-particle":"","family":"Choudhury","given":"Manoj K","non-dropping-particle":"","parse-names":false,"suffix":""},{"dropping-particle":"","family":"Choudhury","given":"Saswati S","non-dropping-particle":"","parse-names":false,"suffix":""},{"dropping-particle":"","family":"Kakoty","given":"Swapna D","non-dropping-particle":"","parse-names":false,"suffix":""},{"dropping-particle":"","family":"Sarma","given":"Umesh C","non-dropping-particle":"","parse-names":false,"suffix":""},{"dropping-particle":"","family":"Webster","given":"Premila","non-dropping-particle":"","parse-names":false,"suffix":""},{"dropping-particle":"","family":"Knight","given":"Marian","non-dropping-particle":"","parse-names":false,"suffix":""}],"container-title":"BMJ global health","id":"ITEM-1","issue":"1","issued":{"date-parts":[["2016"]]},"language":"eng","page":"e000026","publisher-place":"England","title":"Association between maternal anaemia and pregnancy outcomes: a cohort study in  Assam, India.","type":"article-journal","volume":"1"},"uris":["http://www.mendeley.com/documents/?uuid=38f22dad-1dda-4b98-ad23-8b8669b05613"]}],"mendeley":{"formattedCitation":"[8]","plainTextFormattedCitation":"[8]","previouslyFormattedCitation":"[8]"},"properties":{"noteIndex":0},"schema":"https://github.com/citation-style-language/schema/raw/master/csl-citation.json"}</w:instrText>
      </w:r>
      <w:r w:rsidR="008A1D89" w:rsidRPr="00E71812">
        <w:rPr>
          <w:rFonts w:ascii="Arial" w:eastAsia="Times New Roman" w:hAnsi="Arial" w:cs="Arial"/>
          <w:sz w:val="20"/>
          <w:szCs w:val="20"/>
        </w:rPr>
        <w:fldChar w:fldCharType="separate"/>
      </w:r>
      <w:r w:rsidR="00A27465" w:rsidRPr="00E71812">
        <w:rPr>
          <w:rFonts w:ascii="Arial" w:eastAsia="Times New Roman" w:hAnsi="Arial" w:cs="Arial"/>
          <w:noProof/>
          <w:sz w:val="20"/>
          <w:szCs w:val="20"/>
        </w:rPr>
        <w:t>[8]</w:t>
      </w:r>
      <w:r w:rsidR="008A1D89" w:rsidRPr="00E71812">
        <w:rPr>
          <w:rFonts w:ascii="Arial" w:eastAsia="Times New Roman" w:hAnsi="Arial" w:cs="Arial"/>
          <w:sz w:val="20"/>
          <w:szCs w:val="20"/>
        </w:rPr>
        <w:fldChar w:fldCharType="end"/>
      </w:r>
      <w:r w:rsidRPr="00E71812">
        <w:rPr>
          <w:rFonts w:ascii="Arial" w:eastAsia="Times New Roman" w:hAnsi="Arial" w:cs="Arial"/>
          <w:sz w:val="20"/>
          <w:szCs w:val="20"/>
        </w:rPr>
        <w:t xml:space="preserve">. However, limited research has specifically examined microcytic hypochromic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as a distinct phenotype during pregnancy, particularly within the Ghanaian context.</w:t>
      </w:r>
      <w:r w:rsidR="008A1D89" w:rsidRPr="00E71812">
        <w:rPr>
          <w:rFonts w:ascii="Arial" w:eastAsia="Times New Roman" w:hAnsi="Arial" w:cs="Arial"/>
          <w:sz w:val="20"/>
          <w:szCs w:val="20"/>
        </w:rPr>
        <w:t xml:space="preserve"> </w:t>
      </w:r>
      <w:r w:rsidRPr="00E71812">
        <w:rPr>
          <w:rFonts w:ascii="Arial" w:eastAsia="Times New Roman" w:hAnsi="Arial" w:cs="Arial"/>
          <w:sz w:val="20"/>
          <w:szCs w:val="20"/>
        </w:rPr>
        <w:t xml:space="preserve">Another critical gap lies in the limited application of predictive risk models for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in pregnancy. While prevalence and determinants have been documented in several studies, few have employed risk stratification approaches to assess model calibration and predictive capacity for iron deficiency. Risk profiling tools are essential in clinical practice, as they enable healthcare providers to identify high-risk women early and allocate resources more effectively.</w:t>
      </w:r>
    </w:p>
    <w:p w14:paraId="754FD039" w14:textId="175D8E76" w:rsidR="006D2142" w:rsidRPr="00E71812" w:rsidRDefault="008A1D89" w:rsidP="00B15A9A">
      <w:pPr>
        <w:spacing w:after="100" w:afterAutospacing="1" w:line="360" w:lineRule="auto"/>
        <w:rPr>
          <w:rFonts w:ascii="Arial" w:eastAsia="Times New Roman" w:hAnsi="Arial" w:cs="Arial"/>
          <w:sz w:val="20"/>
          <w:szCs w:val="20"/>
        </w:rPr>
      </w:pPr>
      <w:r w:rsidRPr="00E71812">
        <w:rPr>
          <w:rFonts w:ascii="Arial" w:eastAsia="Times New Roman" w:hAnsi="Arial" w:cs="Arial"/>
          <w:sz w:val="20"/>
          <w:szCs w:val="20"/>
        </w:rPr>
        <w:t>This study was</w:t>
      </w:r>
      <w:r w:rsidR="006D2142" w:rsidRPr="00E71812">
        <w:rPr>
          <w:rFonts w:ascii="Arial" w:eastAsia="Times New Roman" w:hAnsi="Arial" w:cs="Arial"/>
          <w:sz w:val="20"/>
          <w:szCs w:val="20"/>
        </w:rPr>
        <w:t xml:space="preserve"> therefore designed to assess the prevalence of microcytic hypochromic </w:t>
      </w:r>
      <w:r w:rsidR="000375ED" w:rsidRPr="00E71812">
        <w:rPr>
          <w:rFonts w:ascii="Arial" w:eastAsia="Times New Roman" w:hAnsi="Arial" w:cs="Arial"/>
          <w:sz w:val="20"/>
          <w:szCs w:val="20"/>
        </w:rPr>
        <w:t>anemia</w:t>
      </w:r>
      <w:r w:rsidR="006D2142" w:rsidRPr="00E71812">
        <w:rPr>
          <w:rFonts w:ascii="Arial" w:eastAsia="Times New Roman" w:hAnsi="Arial" w:cs="Arial"/>
          <w:sz w:val="20"/>
          <w:szCs w:val="20"/>
        </w:rPr>
        <w:t xml:space="preserve"> among pregnant women, examine its maternal and socio-demographic correlates, and evaluate predictors of low ferritin as an indicator of depleted iron stores. In addition, the study applied risk stratification models to profile women by probability of iron deficiency, thereby offering insights into predictive screening approaches. By addressing both prevalence and predictive modelling, the study contributes to strengthening maternal health interventions and provides evidence-based recommendations for policy and practice.</w:t>
      </w:r>
    </w:p>
    <w:p w14:paraId="11F41212" w14:textId="77777777" w:rsidR="00816807" w:rsidRPr="00E71812" w:rsidRDefault="00B12DD0" w:rsidP="00A25709">
      <w:pPr>
        <w:pStyle w:val="Heading2"/>
        <w:spacing w:before="0" w:beforeAutospacing="0" w:after="0" w:afterAutospacing="0" w:line="360" w:lineRule="auto"/>
        <w:jc w:val="both"/>
        <w:rPr>
          <w:rFonts w:ascii="Arial" w:hAnsi="Arial" w:cs="Arial"/>
          <w:sz w:val="22"/>
          <w:szCs w:val="22"/>
        </w:rPr>
      </w:pPr>
      <w:r w:rsidRPr="00E71812">
        <w:rPr>
          <w:rFonts w:ascii="Arial" w:hAnsi="Arial" w:cs="Arial"/>
          <w:sz w:val="22"/>
          <w:szCs w:val="22"/>
        </w:rPr>
        <w:t>2.0 METHODS</w:t>
      </w:r>
    </w:p>
    <w:p w14:paraId="5B65FDA7" w14:textId="77777777" w:rsidR="00816807" w:rsidRPr="00E71812" w:rsidRDefault="00816807" w:rsidP="00A25709">
      <w:pPr>
        <w:pStyle w:val="Heading3"/>
        <w:spacing w:before="0" w:beforeAutospacing="0" w:after="0" w:afterAutospacing="0" w:line="360" w:lineRule="auto"/>
        <w:jc w:val="both"/>
        <w:rPr>
          <w:rFonts w:ascii="Arial" w:hAnsi="Arial" w:cs="Arial"/>
          <w:sz w:val="22"/>
          <w:szCs w:val="22"/>
        </w:rPr>
      </w:pPr>
      <w:r w:rsidRPr="00E71812">
        <w:rPr>
          <w:rFonts w:ascii="Arial" w:hAnsi="Arial" w:cs="Arial"/>
          <w:sz w:val="22"/>
          <w:szCs w:val="22"/>
        </w:rPr>
        <w:t>2.1 Study Design and Setting</w:t>
      </w:r>
    </w:p>
    <w:p w14:paraId="72C0C396" w14:textId="55F402E1" w:rsidR="00816807" w:rsidRPr="00E71812" w:rsidRDefault="00816807" w:rsidP="00B15A9A">
      <w:pPr>
        <w:pStyle w:val="NormalWeb"/>
        <w:spacing w:line="360" w:lineRule="auto"/>
        <w:jc w:val="both"/>
        <w:rPr>
          <w:rFonts w:ascii="Arial" w:hAnsi="Arial" w:cs="Arial"/>
          <w:sz w:val="20"/>
          <w:szCs w:val="20"/>
        </w:rPr>
      </w:pPr>
      <w:r w:rsidRPr="00E71812">
        <w:rPr>
          <w:rFonts w:ascii="Arial" w:hAnsi="Arial" w:cs="Arial"/>
          <w:sz w:val="20"/>
          <w:szCs w:val="20"/>
        </w:rPr>
        <w:t xml:space="preserve">A cross-sectional study design was employed to assess the prevalence, determinants, and risk profiling of microcytic hypochromic </w:t>
      </w:r>
      <w:r w:rsidR="000375ED" w:rsidRPr="00E71812">
        <w:rPr>
          <w:rFonts w:ascii="Arial" w:hAnsi="Arial" w:cs="Arial"/>
          <w:sz w:val="20"/>
          <w:szCs w:val="20"/>
        </w:rPr>
        <w:t>anemia</w:t>
      </w:r>
      <w:r w:rsidRPr="00E71812">
        <w:rPr>
          <w:rFonts w:ascii="Arial" w:hAnsi="Arial" w:cs="Arial"/>
          <w:sz w:val="20"/>
          <w:szCs w:val="20"/>
        </w:rPr>
        <w:t xml:space="preserve"> among pregnant women. The study was conducted at three health facilities in the Western Region of Ghana: </w:t>
      </w:r>
      <w:proofErr w:type="spellStart"/>
      <w:r w:rsidRPr="00E71812">
        <w:rPr>
          <w:rStyle w:val="Strong"/>
          <w:rFonts w:ascii="Arial" w:hAnsi="Arial" w:cs="Arial"/>
          <w:b w:val="0"/>
          <w:sz w:val="20"/>
          <w:szCs w:val="20"/>
        </w:rPr>
        <w:t>Effia</w:t>
      </w:r>
      <w:proofErr w:type="spellEnd"/>
      <w:r w:rsidRPr="00E71812">
        <w:rPr>
          <w:rStyle w:val="Strong"/>
          <w:rFonts w:ascii="Arial" w:hAnsi="Arial" w:cs="Arial"/>
          <w:b w:val="0"/>
          <w:sz w:val="20"/>
          <w:szCs w:val="20"/>
        </w:rPr>
        <w:t xml:space="preserve"> Nkwanta Regional Hospital</w:t>
      </w:r>
      <w:r w:rsidRPr="00E71812">
        <w:rPr>
          <w:rFonts w:ascii="Arial" w:hAnsi="Arial" w:cs="Arial"/>
          <w:sz w:val="20"/>
          <w:szCs w:val="20"/>
        </w:rPr>
        <w:t xml:space="preserve">, the main referral hospital in the region; </w:t>
      </w:r>
      <w:r w:rsidRPr="00E71812">
        <w:rPr>
          <w:rStyle w:val="Strong"/>
          <w:rFonts w:ascii="Arial" w:hAnsi="Arial" w:cs="Arial"/>
          <w:b w:val="0"/>
          <w:sz w:val="20"/>
          <w:szCs w:val="20"/>
        </w:rPr>
        <w:lastRenderedPageBreak/>
        <w:t>Brite Life Clinic</w:t>
      </w:r>
      <w:r w:rsidRPr="00E71812">
        <w:rPr>
          <w:rFonts w:ascii="Arial" w:hAnsi="Arial" w:cs="Arial"/>
          <w:sz w:val="20"/>
          <w:szCs w:val="20"/>
        </w:rPr>
        <w:t xml:space="preserve">, a private maternal and child health facility; and </w:t>
      </w:r>
      <w:proofErr w:type="spellStart"/>
      <w:r w:rsidRPr="00E71812">
        <w:rPr>
          <w:rStyle w:val="Strong"/>
          <w:rFonts w:ascii="Arial" w:hAnsi="Arial" w:cs="Arial"/>
          <w:b w:val="0"/>
          <w:sz w:val="20"/>
          <w:szCs w:val="20"/>
        </w:rPr>
        <w:t>Effia</w:t>
      </w:r>
      <w:proofErr w:type="spellEnd"/>
      <w:r w:rsidRPr="00E71812">
        <w:rPr>
          <w:rStyle w:val="Strong"/>
          <w:rFonts w:ascii="Arial" w:hAnsi="Arial" w:cs="Arial"/>
          <w:b w:val="0"/>
          <w:sz w:val="20"/>
          <w:szCs w:val="20"/>
        </w:rPr>
        <w:t xml:space="preserve"> Health Cent</w:t>
      </w:r>
      <w:r w:rsidR="00D472FC" w:rsidRPr="00E71812">
        <w:rPr>
          <w:rStyle w:val="Strong"/>
          <w:rFonts w:ascii="Arial" w:hAnsi="Arial" w:cs="Arial"/>
          <w:b w:val="0"/>
          <w:sz w:val="20"/>
          <w:szCs w:val="20"/>
        </w:rPr>
        <w:t>re</w:t>
      </w:r>
      <w:r w:rsidRPr="00E71812">
        <w:rPr>
          <w:rFonts w:ascii="Arial" w:hAnsi="Arial" w:cs="Arial"/>
          <w:b/>
          <w:sz w:val="20"/>
          <w:szCs w:val="20"/>
        </w:rPr>
        <w:t>,</w:t>
      </w:r>
      <w:r w:rsidRPr="00E71812">
        <w:rPr>
          <w:rFonts w:ascii="Arial" w:hAnsi="Arial" w:cs="Arial"/>
          <w:sz w:val="20"/>
          <w:szCs w:val="20"/>
        </w:rPr>
        <w:t xml:space="preserve"> a primary healthcare facility providing routine antenatal services. These sites were purposively selected to represent a diversity of healthcare delivery levels—regional referral, private practice, and community-level maternal health services.</w:t>
      </w:r>
    </w:p>
    <w:p w14:paraId="681C3C1D" w14:textId="77777777" w:rsidR="00816807" w:rsidRPr="00E71812" w:rsidRDefault="00816807" w:rsidP="00B15A9A">
      <w:pPr>
        <w:pStyle w:val="Heading3"/>
        <w:spacing w:line="360" w:lineRule="auto"/>
        <w:jc w:val="both"/>
        <w:rPr>
          <w:rFonts w:ascii="Arial" w:hAnsi="Arial" w:cs="Arial"/>
          <w:sz w:val="22"/>
          <w:szCs w:val="22"/>
        </w:rPr>
      </w:pPr>
      <w:r w:rsidRPr="00E71812">
        <w:rPr>
          <w:rFonts w:ascii="Arial" w:hAnsi="Arial" w:cs="Arial"/>
          <w:sz w:val="22"/>
          <w:szCs w:val="22"/>
        </w:rPr>
        <w:t>2.2 Study Population</w:t>
      </w:r>
    </w:p>
    <w:p w14:paraId="1E3B10A9" w14:textId="77777777" w:rsidR="00B15A9A" w:rsidRPr="00E71812" w:rsidRDefault="00816807" w:rsidP="00B15A9A">
      <w:pPr>
        <w:pStyle w:val="NormalWeb"/>
        <w:spacing w:line="360" w:lineRule="auto"/>
        <w:jc w:val="both"/>
        <w:rPr>
          <w:rFonts w:ascii="Arial" w:hAnsi="Arial" w:cs="Arial"/>
          <w:sz w:val="20"/>
          <w:szCs w:val="20"/>
        </w:rPr>
      </w:pPr>
      <w:r w:rsidRPr="00E71812">
        <w:rPr>
          <w:rFonts w:ascii="Arial" w:hAnsi="Arial" w:cs="Arial"/>
          <w:sz w:val="20"/>
          <w:szCs w:val="20"/>
        </w:rPr>
        <w:t xml:space="preserve">The target population was pregnant women attending antenatal clinics at the selected facilities during the study period. Women were eligible if they were between </w:t>
      </w:r>
      <w:r w:rsidRPr="00E71812">
        <w:rPr>
          <w:rStyle w:val="Strong"/>
          <w:rFonts w:ascii="Arial" w:hAnsi="Arial" w:cs="Arial"/>
          <w:b w:val="0"/>
          <w:sz w:val="20"/>
          <w:szCs w:val="20"/>
        </w:rPr>
        <w:t>12 and 36 weeks of gestation</w:t>
      </w:r>
      <w:r w:rsidRPr="00E71812">
        <w:rPr>
          <w:rFonts w:ascii="Arial" w:hAnsi="Arial" w:cs="Arial"/>
          <w:b/>
          <w:sz w:val="20"/>
          <w:szCs w:val="20"/>
        </w:rPr>
        <w:t>,</w:t>
      </w:r>
      <w:r w:rsidRPr="00E71812">
        <w:rPr>
          <w:rFonts w:ascii="Arial" w:hAnsi="Arial" w:cs="Arial"/>
          <w:sz w:val="20"/>
          <w:szCs w:val="20"/>
        </w:rPr>
        <w:t xml:space="preserve"> enrolled for routine antenatal care, and provided informed consent. Women with pre-existing haemoglobinopathies (such as sickle cell disease</w:t>
      </w:r>
      <w:r w:rsidR="008A1D89" w:rsidRPr="00E71812">
        <w:rPr>
          <w:rFonts w:ascii="Arial" w:hAnsi="Arial" w:cs="Arial"/>
          <w:sz w:val="20"/>
          <w:szCs w:val="20"/>
        </w:rPr>
        <w:t xml:space="preserve">, </w:t>
      </w:r>
      <w:proofErr w:type="spellStart"/>
      <w:r w:rsidR="008A1D89" w:rsidRPr="00E71812">
        <w:rPr>
          <w:rFonts w:ascii="Arial" w:hAnsi="Arial" w:cs="Arial"/>
          <w:sz w:val="20"/>
          <w:szCs w:val="20"/>
        </w:rPr>
        <w:t>thalasseamia</w:t>
      </w:r>
      <w:proofErr w:type="spellEnd"/>
      <w:r w:rsidR="008A1D89" w:rsidRPr="00E71812">
        <w:rPr>
          <w:rFonts w:ascii="Arial" w:hAnsi="Arial" w:cs="Arial"/>
          <w:sz w:val="20"/>
          <w:szCs w:val="20"/>
        </w:rPr>
        <w:t xml:space="preserve"> </w:t>
      </w:r>
      <w:proofErr w:type="spellStart"/>
      <w:r w:rsidR="008A1D89" w:rsidRPr="00E71812">
        <w:rPr>
          <w:rFonts w:ascii="Arial" w:hAnsi="Arial" w:cs="Arial"/>
          <w:sz w:val="20"/>
          <w:szCs w:val="20"/>
        </w:rPr>
        <w:t>etc</w:t>
      </w:r>
      <w:proofErr w:type="spellEnd"/>
      <w:r w:rsidRPr="00E71812">
        <w:rPr>
          <w:rFonts w:ascii="Arial" w:hAnsi="Arial" w:cs="Arial"/>
          <w:sz w:val="20"/>
          <w:szCs w:val="20"/>
        </w:rPr>
        <w:t>), severe acute illness, or who declined participation were excluded.</w:t>
      </w:r>
    </w:p>
    <w:p w14:paraId="5AFADAFD" w14:textId="77777777" w:rsidR="00816807" w:rsidRPr="00E71812" w:rsidRDefault="00816807" w:rsidP="00B15A9A">
      <w:pPr>
        <w:pStyle w:val="Heading3"/>
        <w:spacing w:line="360" w:lineRule="auto"/>
        <w:jc w:val="both"/>
        <w:rPr>
          <w:rFonts w:ascii="Arial" w:hAnsi="Arial" w:cs="Arial"/>
          <w:sz w:val="22"/>
          <w:szCs w:val="22"/>
        </w:rPr>
      </w:pPr>
      <w:r w:rsidRPr="00E71812">
        <w:rPr>
          <w:rFonts w:ascii="Arial" w:hAnsi="Arial" w:cs="Arial"/>
          <w:sz w:val="22"/>
          <w:szCs w:val="22"/>
        </w:rPr>
        <w:t>2.3 Sample Size and Sampling Technique</w:t>
      </w:r>
    </w:p>
    <w:p w14:paraId="64B01392" w14:textId="0521B8C0" w:rsidR="00816807" w:rsidRPr="00E71812" w:rsidRDefault="00816807" w:rsidP="00B15A9A">
      <w:pPr>
        <w:pStyle w:val="NormalWeb"/>
        <w:spacing w:line="360" w:lineRule="auto"/>
        <w:jc w:val="both"/>
        <w:rPr>
          <w:rFonts w:ascii="Arial" w:hAnsi="Arial" w:cs="Arial"/>
          <w:sz w:val="20"/>
          <w:szCs w:val="20"/>
        </w:rPr>
      </w:pPr>
      <w:r w:rsidRPr="00E71812">
        <w:rPr>
          <w:rFonts w:ascii="Arial" w:hAnsi="Arial" w:cs="Arial"/>
          <w:sz w:val="20"/>
          <w:szCs w:val="20"/>
        </w:rPr>
        <w:t>A total of</w:t>
      </w:r>
      <w:r w:rsidRPr="00E71812">
        <w:rPr>
          <w:rFonts w:ascii="Arial" w:hAnsi="Arial" w:cs="Arial"/>
          <w:b/>
          <w:sz w:val="20"/>
          <w:szCs w:val="20"/>
        </w:rPr>
        <w:t xml:space="preserve"> </w:t>
      </w:r>
      <w:r w:rsidRPr="00E71812">
        <w:rPr>
          <w:rStyle w:val="Strong"/>
          <w:rFonts w:ascii="Arial" w:hAnsi="Arial" w:cs="Arial"/>
          <w:b w:val="0"/>
          <w:sz w:val="20"/>
          <w:szCs w:val="20"/>
        </w:rPr>
        <w:t>360 pregnant women</w:t>
      </w:r>
      <w:r w:rsidRPr="00E71812">
        <w:rPr>
          <w:rFonts w:ascii="Arial" w:hAnsi="Arial" w:cs="Arial"/>
          <w:b/>
          <w:sz w:val="20"/>
          <w:szCs w:val="20"/>
        </w:rPr>
        <w:t xml:space="preserve"> </w:t>
      </w:r>
      <w:r w:rsidRPr="00E71812">
        <w:rPr>
          <w:rFonts w:ascii="Arial" w:hAnsi="Arial" w:cs="Arial"/>
          <w:sz w:val="20"/>
          <w:szCs w:val="20"/>
        </w:rPr>
        <w:t xml:space="preserve">were recruited for the study. The sample size was calculated using a single-population proportion formula with an assumed prevalence of </w:t>
      </w:r>
      <w:r w:rsidR="000375ED" w:rsidRPr="00E71812">
        <w:rPr>
          <w:rFonts w:ascii="Arial" w:hAnsi="Arial" w:cs="Arial"/>
          <w:sz w:val="20"/>
          <w:szCs w:val="20"/>
        </w:rPr>
        <w:t>anemia</w:t>
      </w:r>
      <w:r w:rsidRPr="00E71812">
        <w:rPr>
          <w:rFonts w:ascii="Arial" w:hAnsi="Arial" w:cs="Arial"/>
          <w:sz w:val="20"/>
          <w:szCs w:val="20"/>
        </w:rPr>
        <w:t xml:space="preserve"> among pregnant women in Ghana, a 95% confidence level, and a 5% margin of error. Proportionate allocation was applied to distribute the sample across the three study facilities, based on antenatal attendance figures. Eligible women were recruited consecutively during their routine antenatal clinic visits until the required sample size was achieved.</w:t>
      </w:r>
    </w:p>
    <w:p w14:paraId="51EBA4F3" w14:textId="77777777" w:rsidR="00816807" w:rsidRPr="00E71812" w:rsidRDefault="00B15A9A" w:rsidP="00A25709">
      <w:pPr>
        <w:pStyle w:val="Heading3"/>
        <w:spacing w:before="0" w:beforeAutospacing="0" w:after="0" w:afterAutospacing="0" w:line="360" w:lineRule="auto"/>
        <w:jc w:val="both"/>
        <w:rPr>
          <w:rFonts w:ascii="Arial" w:hAnsi="Arial" w:cs="Arial"/>
          <w:sz w:val="22"/>
          <w:szCs w:val="22"/>
        </w:rPr>
      </w:pPr>
      <w:r w:rsidRPr="00E71812">
        <w:rPr>
          <w:rFonts w:ascii="Arial" w:hAnsi="Arial" w:cs="Arial"/>
          <w:sz w:val="22"/>
          <w:szCs w:val="22"/>
        </w:rPr>
        <w:t xml:space="preserve">2.4 </w:t>
      </w:r>
      <w:r w:rsidR="00816807" w:rsidRPr="00E71812">
        <w:rPr>
          <w:rFonts w:ascii="Arial" w:hAnsi="Arial" w:cs="Arial"/>
          <w:sz w:val="22"/>
          <w:szCs w:val="22"/>
        </w:rPr>
        <w:t>Study Variables</w:t>
      </w:r>
    </w:p>
    <w:p w14:paraId="5823E11B" w14:textId="77777777" w:rsidR="00816807" w:rsidRPr="00E71812" w:rsidRDefault="00816807" w:rsidP="001D50B4">
      <w:pPr>
        <w:pStyle w:val="NormalWeb"/>
        <w:numPr>
          <w:ilvl w:val="2"/>
          <w:numId w:val="5"/>
        </w:numPr>
        <w:spacing w:before="0" w:beforeAutospacing="0" w:after="0" w:afterAutospacing="0" w:line="360" w:lineRule="auto"/>
        <w:jc w:val="both"/>
        <w:rPr>
          <w:rFonts w:ascii="Arial" w:hAnsi="Arial" w:cs="Arial"/>
          <w:sz w:val="20"/>
          <w:szCs w:val="20"/>
        </w:rPr>
      </w:pPr>
      <w:r w:rsidRPr="00E71812">
        <w:rPr>
          <w:rStyle w:val="Strong"/>
          <w:rFonts w:ascii="Arial" w:hAnsi="Arial" w:cs="Arial"/>
          <w:sz w:val="20"/>
          <w:szCs w:val="20"/>
        </w:rPr>
        <w:t>Dependent Variables</w:t>
      </w:r>
    </w:p>
    <w:p w14:paraId="737FB90C" w14:textId="7A85C529" w:rsidR="00816807" w:rsidRPr="00E71812" w:rsidRDefault="000375ED" w:rsidP="001D50B4">
      <w:pPr>
        <w:pStyle w:val="NormalWeb"/>
        <w:spacing w:line="360" w:lineRule="auto"/>
        <w:jc w:val="both"/>
        <w:rPr>
          <w:rFonts w:ascii="Arial" w:hAnsi="Arial" w:cs="Arial"/>
          <w:sz w:val="20"/>
          <w:szCs w:val="20"/>
        </w:rPr>
      </w:pPr>
      <w:r w:rsidRPr="00E71812">
        <w:rPr>
          <w:rStyle w:val="Strong"/>
          <w:rFonts w:ascii="Arial" w:hAnsi="Arial" w:cs="Arial"/>
          <w:sz w:val="20"/>
          <w:szCs w:val="20"/>
        </w:rPr>
        <w:t>Anemia</w:t>
      </w:r>
      <w:r w:rsidR="001D50B4" w:rsidRPr="00E71812">
        <w:rPr>
          <w:rStyle w:val="Strong"/>
          <w:rFonts w:ascii="Arial" w:hAnsi="Arial" w:cs="Arial"/>
          <w:sz w:val="20"/>
          <w:szCs w:val="20"/>
        </w:rPr>
        <w:t xml:space="preserve"> (</w:t>
      </w:r>
      <w:proofErr w:type="spellStart"/>
      <w:r w:rsidR="001D50B4" w:rsidRPr="00E71812">
        <w:rPr>
          <w:rStyle w:val="Strong"/>
          <w:rFonts w:ascii="Arial" w:hAnsi="Arial" w:cs="Arial"/>
          <w:b w:val="0"/>
          <w:sz w:val="20"/>
          <w:szCs w:val="20"/>
        </w:rPr>
        <w:t>H</w:t>
      </w:r>
      <w:r w:rsidR="001D50B4" w:rsidRPr="00E71812">
        <w:rPr>
          <w:rFonts w:ascii="Arial" w:hAnsi="Arial" w:cs="Arial"/>
          <w:sz w:val="20"/>
          <w:szCs w:val="20"/>
        </w:rPr>
        <w:t>aemoglobin</w:t>
      </w:r>
      <w:proofErr w:type="spellEnd"/>
      <w:r w:rsidR="001D50B4" w:rsidRPr="00E71812">
        <w:rPr>
          <w:rFonts w:ascii="Arial" w:hAnsi="Arial" w:cs="Arial"/>
          <w:sz w:val="20"/>
          <w:szCs w:val="20"/>
        </w:rPr>
        <w:t xml:space="preserve"> concentration (Hb) less </w:t>
      </w:r>
      <w:r w:rsidR="00816807" w:rsidRPr="00E71812">
        <w:rPr>
          <w:rFonts w:ascii="Arial" w:hAnsi="Arial" w:cs="Arial"/>
          <w:sz w:val="20"/>
          <w:szCs w:val="20"/>
        </w:rPr>
        <w:t>11 g/dL</w:t>
      </w:r>
      <w:r w:rsidR="001D50B4" w:rsidRPr="00E71812">
        <w:rPr>
          <w:rFonts w:ascii="Arial" w:hAnsi="Arial" w:cs="Arial"/>
          <w:sz w:val="20"/>
          <w:szCs w:val="20"/>
        </w:rPr>
        <w:t xml:space="preserve">), </w:t>
      </w:r>
      <w:r w:rsidR="00816807" w:rsidRPr="00E71812">
        <w:rPr>
          <w:rStyle w:val="Strong"/>
          <w:rFonts w:ascii="Arial" w:hAnsi="Arial" w:cs="Arial"/>
          <w:sz w:val="20"/>
          <w:szCs w:val="20"/>
        </w:rPr>
        <w:t>Microcytosis:</w:t>
      </w:r>
      <w:r w:rsidR="001D50B4" w:rsidRPr="00E71812">
        <w:rPr>
          <w:rFonts w:ascii="Arial" w:hAnsi="Arial" w:cs="Arial"/>
          <w:sz w:val="20"/>
          <w:szCs w:val="20"/>
        </w:rPr>
        <w:t xml:space="preserve"> (</w:t>
      </w:r>
      <w:r w:rsidR="00816807" w:rsidRPr="00E71812">
        <w:rPr>
          <w:rFonts w:ascii="Arial" w:hAnsi="Arial" w:cs="Arial"/>
          <w:sz w:val="20"/>
          <w:szCs w:val="20"/>
        </w:rPr>
        <w:t>mean c</w:t>
      </w:r>
      <w:r w:rsidR="001D50B4" w:rsidRPr="00E71812">
        <w:rPr>
          <w:rFonts w:ascii="Arial" w:hAnsi="Arial" w:cs="Arial"/>
          <w:sz w:val="20"/>
          <w:szCs w:val="20"/>
        </w:rPr>
        <w:t xml:space="preserve">orpuscular volume (MCV) less than 80 </w:t>
      </w:r>
      <w:proofErr w:type="spellStart"/>
      <w:r w:rsidR="001D50B4" w:rsidRPr="00E71812">
        <w:rPr>
          <w:rFonts w:ascii="Arial" w:hAnsi="Arial" w:cs="Arial"/>
          <w:sz w:val="20"/>
          <w:szCs w:val="20"/>
        </w:rPr>
        <w:t>fL</w:t>
      </w:r>
      <w:proofErr w:type="spellEnd"/>
      <w:r w:rsidR="001D50B4" w:rsidRPr="00E71812">
        <w:rPr>
          <w:rFonts w:ascii="Arial" w:hAnsi="Arial" w:cs="Arial"/>
          <w:sz w:val="20"/>
          <w:szCs w:val="20"/>
        </w:rPr>
        <w:t xml:space="preserve">), </w:t>
      </w:r>
      <w:r w:rsidR="00816807" w:rsidRPr="00E71812">
        <w:rPr>
          <w:rStyle w:val="Strong"/>
          <w:rFonts w:ascii="Arial" w:hAnsi="Arial" w:cs="Arial"/>
          <w:sz w:val="20"/>
          <w:szCs w:val="20"/>
        </w:rPr>
        <w:t>Hypochromia:</w:t>
      </w:r>
      <w:r w:rsidR="001D50B4" w:rsidRPr="00E71812">
        <w:rPr>
          <w:rFonts w:ascii="Arial" w:hAnsi="Arial" w:cs="Arial"/>
          <w:sz w:val="20"/>
          <w:szCs w:val="20"/>
        </w:rPr>
        <w:t xml:space="preserve"> (d</w:t>
      </w:r>
      <w:r w:rsidR="00816807" w:rsidRPr="00E71812">
        <w:rPr>
          <w:rFonts w:ascii="Arial" w:hAnsi="Arial" w:cs="Arial"/>
          <w:sz w:val="20"/>
          <w:szCs w:val="20"/>
        </w:rPr>
        <w:t xml:space="preserve">efined as mean corpuscular </w:t>
      </w:r>
      <w:proofErr w:type="spellStart"/>
      <w:r w:rsidR="00816807" w:rsidRPr="00E71812">
        <w:rPr>
          <w:rFonts w:ascii="Arial" w:hAnsi="Arial" w:cs="Arial"/>
          <w:sz w:val="20"/>
          <w:szCs w:val="20"/>
        </w:rPr>
        <w:t>haemoglobin</w:t>
      </w:r>
      <w:proofErr w:type="spellEnd"/>
      <w:r w:rsidR="00816807" w:rsidRPr="00E71812">
        <w:rPr>
          <w:rFonts w:ascii="Arial" w:hAnsi="Arial" w:cs="Arial"/>
          <w:sz w:val="20"/>
          <w:szCs w:val="20"/>
        </w:rPr>
        <w:t xml:space="preserve"> (MCH) &lt; 27 </w:t>
      </w:r>
      <w:proofErr w:type="spellStart"/>
      <w:r w:rsidR="00816807" w:rsidRPr="00E71812">
        <w:rPr>
          <w:rFonts w:ascii="Arial" w:hAnsi="Arial" w:cs="Arial"/>
          <w:sz w:val="20"/>
          <w:szCs w:val="20"/>
        </w:rPr>
        <w:t>pg</w:t>
      </w:r>
      <w:proofErr w:type="spellEnd"/>
      <w:r w:rsidR="001D50B4" w:rsidRPr="00E71812">
        <w:rPr>
          <w:rFonts w:ascii="Arial" w:hAnsi="Arial" w:cs="Arial"/>
          <w:sz w:val="20"/>
          <w:szCs w:val="20"/>
        </w:rPr>
        <w:t xml:space="preserve">), </w:t>
      </w:r>
      <w:r w:rsidR="00816807" w:rsidRPr="00E71812">
        <w:rPr>
          <w:rStyle w:val="Strong"/>
          <w:rFonts w:ascii="Arial" w:hAnsi="Arial" w:cs="Arial"/>
          <w:sz w:val="20"/>
          <w:szCs w:val="20"/>
        </w:rPr>
        <w:t xml:space="preserve">Microcytic Hypochromic </w:t>
      </w:r>
      <w:r w:rsidRPr="00E71812">
        <w:rPr>
          <w:rStyle w:val="Strong"/>
          <w:rFonts w:ascii="Arial" w:hAnsi="Arial" w:cs="Arial"/>
          <w:sz w:val="20"/>
          <w:szCs w:val="20"/>
        </w:rPr>
        <w:t>Anemia</w:t>
      </w:r>
      <w:r w:rsidR="001D50B4" w:rsidRPr="00E71812">
        <w:rPr>
          <w:rStyle w:val="Strong"/>
          <w:rFonts w:ascii="Arial" w:hAnsi="Arial" w:cs="Arial"/>
          <w:sz w:val="20"/>
          <w:szCs w:val="20"/>
        </w:rPr>
        <w:t xml:space="preserve"> (MHA)</w:t>
      </w:r>
      <w:r w:rsidR="001D50B4" w:rsidRPr="00E71812">
        <w:rPr>
          <w:rFonts w:ascii="Arial" w:hAnsi="Arial" w:cs="Arial"/>
          <w:sz w:val="20"/>
          <w:szCs w:val="20"/>
        </w:rPr>
        <w:t xml:space="preserve"> (c</w:t>
      </w:r>
      <w:r w:rsidR="00816807" w:rsidRPr="00E71812">
        <w:rPr>
          <w:rFonts w:ascii="Arial" w:hAnsi="Arial" w:cs="Arial"/>
          <w:sz w:val="20"/>
          <w:szCs w:val="20"/>
        </w:rPr>
        <w:t xml:space="preserve">omposite outcome defined by the simultaneous presence of </w:t>
      </w:r>
      <w:r w:rsidRPr="00E71812">
        <w:rPr>
          <w:rFonts w:ascii="Arial" w:hAnsi="Arial" w:cs="Arial"/>
          <w:sz w:val="20"/>
          <w:szCs w:val="20"/>
        </w:rPr>
        <w:t>anemia</w:t>
      </w:r>
      <w:r w:rsidR="00816807" w:rsidRPr="00E71812">
        <w:rPr>
          <w:rFonts w:ascii="Arial" w:hAnsi="Arial" w:cs="Arial"/>
          <w:sz w:val="20"/>
          <w:szCs w:val="20"/>
        </w:rPr>
        <w:t>, microcytosis, and hypochromia</w:t>
      </w:r>
      <w:r w:rsidR="001D50B4" w:rsidRPr="00E71812">
        <w:rPr>
          <w:rFonts w:ascii="Arial" w:hAnsi="Arial" w:cs="Arial"/>
          <w:sz w:val="20"/>
          <w:szCs w:val="20"/>
        </w:rPr>
        <w:t xml:space="preserve">) and </w:t>
      </w:r>
      <w:r w:rsidR="001D50B4" w:rsidRPr="00E71812">
        <w:rPr>
          <w:rStyle w:val="Strong"/>
          <w:rFonts w:ascii="Arial" w:hAnsi="Arial" w:cs="Arial"/>
          <w:sz w:val="20"/>
          <w:szCs w:val="20"/>
        </w:rPr>
        <w:t>Low Ferritin (</w:t>
      </w:r>
      <w:r w:rsidR="001D50B4" w:rsidRPr="00E71812">
        <w:rPr>
          <w:rFonts w:ascii="Arial" w:hAnsi="Arial" w:cs="Arial"/>
          <w:sz w:val="20"/>
          <w:szCs w:val="20"/>
        </w:rPr>
        <w:t>d</w:t>
      </w:r>
      <w:r w:rsidR="00816807" w:rsidRPr="00E71812">
        <w:rPr>
          <w:rFonts w:ascii="Arial" w:hAnsi="Arial" w:cs="Arial"/>
          <w:sz w:val="20"/>
          <w:szCs w:val="20"/>
        </w:rPr>
        <w:t>efined as serum ferritin levels below the WHO cut-off for iron deficiency in pregnancy</w:t>
      </w:r>
      <w:r w:rsidR="001D50B4" w:rsidRPr="00E71812">
        <w:rPr>
          <w:rFonts w:ascii="Arial" w:hAnsi="Arial" w:cs="Arial"/>
          <w:sz w:val="20"/>
          <w:szCs w:val="20"/>
        </w:rPr>
        <w:t>)</w:t>
      </w:r>
      <w:r w:rsidR="00816807" w:rsidRPr="00E71812">
        <w:rPr>
          <w:rFonts w:ascii="Arial" w:hAnsi="Arial" w:cs="Arial"/>
          <w:sz w:val="20"/>
          <w:szCs w:val="20"/>
        </w:rPr>
        <w:t>.</w:t>
      </w:r>
    </w:p>
    <w:p w14:paraId="05EB0550" w14:textId="77777777" w:rsidR="001D50B4" w:rsidRPr="00E71812" w:rsidRDefault="001D50B4" w:rsidP="001D50B4">
      <w:pPr>
        <w:pStyle w:val="NormalWeb"/>
        <w:spacing w:line="360" w:lineRule="auto"/>
        <w:jc w:val="both"/>
        <w:rPr>
          <w:rFonts w:ascii="Arial" w:hAnsi="Arial" w:cs="Arial"/>
          <w:sz w:val="20"/>
          <w:szCs w:val="20"/>
        </w:rPr>
      </w:pPr>
    </w:p>
    <w:p w14:paraId="24377C98" w14:textId="77777777" w:rsidR="001D50B4" w:rsidRPr="00E71812" w:rsidRDefault="001D50B4" w:rsidP="001D50B4">
      <w:pPr>
        <w:pStyle w:val="NormalWeb"/>
        <w:spacing w:line="360" w:lineRule="auto"/>
        <w:jc w:val="both"/>
        <w:rPr>
          <w:rFonts w:ascii="Arial" w:hAnsi="Arial" w:cs="Arial"/>
          <w:sz w:val="20"/>
          <w:szCs w:val="20"/>
        </w:rPr>
      </w:pPr>
    </w:p>
    <w:p w14:paraId="7FB3A556" w14:textId="77777777" w:rsidR="00816807" w:rsidRPr="00E71812" w:rsidRDefault="00816807" w:rsidP="001D50B4">
      <w:pPr>
        <w:pStyle w:val="NormalWeb"/>
        <w:numPr>
          <w:ilvl w:val="2"/>
          <w:numId w:val="5"/>
        </w:numPr>
        <w:spacing w:before="0" w:beforeAutospacing="0" w:after="0" w:afterAutospacing="0" w:line="360" w:lineRule="auto"/>
        <w:jc w:val="both"/>
        <w:rPr>
          <w:rFonts w:ascii="Arial" w:hAnsi="Arial" w:cs="Arial"/>
          <w:sz w:val="20"/>
          <w:szCs w:val="20"/>
        </w:rPr>
      </w:pPr>
      <w:r w:rsidRPr="00E71812">
        <w:rPr>
          <w:rStyle w:val="Strong"/>
          <w:rFonts w:ascii="Arial" w:hAnsi="Arial" w:cs="Arial"/>
          <w:sz w:val="20"/>
          <w:szCs w:val="20"/>
        </w:rPr>
        <w:t>Independent Variables</w:t>
      </w:r>
    </w:p>
    <w:p w14:paraId="29DAD771" w14:textId="376940EF" w:rsidR="00A25709" w:rsidRPr="00E71812" w:rsidRDefault="00816807" w:rsidP="001D50B4">
      <w:pPr>
        <w:pStyle w:val="NormalWeb"/>
        <w:spacing w:before="0" w:beforeAutospacing="0" w:after="0" w:afterAutospacing="0" w:line="360" w:lineRule="auto"/>
        <w:jc w:val="both"/>
        <w:rPr>
          <w:rFonts w:ascii="Arial" w:hAnsi="Arial" w:cs="Arial"/>
          <w:sz w:val="20"/>
          <w:szCs w:val="20"/>
        </w:rPr>
      </w:pPr>
      <w:r w:rsidRPr="00E71812">
        <w:rPr>
          <w:rStyle w:val="Strong"/>
          <w:rFonts w:ascii="Arial" w:hAnsi="Arial" w:cs="Arial"/>
          <w:sz w:val="20"/>
          <w:szCs w:val="20"/>
        </w:rPr>
        <w:t>Socio-demographic f</w:t>
      </w:r>
      <w:r w:rsidR="001D50B4" w:rsidRPr="00E71812">
        <w:rPr>
          <w:rStyle w:val="Strong"/>
          <w:rFonts w:ascii="Arial" w:hAnsi="Arial" w:cs="Arial"/>
          <w:sz w:val="20"/>
          <w:szCs w:val="20"/>
        </w:rPr>
        <w:t>actors (</w:t>
      </w:r>
      <w:r w:rsidR="009574DF" w:rsidRPr="00E71812">
        <w:rPr>
          <w:rFonts w:ascii="Arial" w:hAnsi="Arial" w:cs="Arial"/>
          <w:sz w:val="20"/>
          <w:szCs w:val="20"/>
        </w:rPr>
        <w:t>a</w:t>
      </w:r>
      <w:r w:rsidRPr="00E71812">
        <w:rPr>
          <w:rFonts w:ascii="Arial" w:hAnsi="Arial" w:cs="Arial"/>
          <w:sz w:val="20"/>
          <w:szCs w:val="20"/>
        </w:rPr>
        <w:t>ge, educational level, occupation, marital status</w:t>
      </w:r>
      <w:r w:rsidR="001D50B4" w:rsidRPr="00E71812">
        <w:rPr>
          <w:rFonts w:ascii="Arial" w:hAnsi="Arial" w:cs="Arial"/>
          <w:sz w:val="20"/>
          <w:szCs w:val="20"/>
        </w:rPr>
        <w:t xml:space="preserve">), </w:t>
      </w:r>
      <w:r w:rsidR="001D50B4" w:rsidRPr="00E71812">
        <w:rPr>
          <w:rStyle w:val="Strong"/>
          <w:rFonts w:ascii="Arial" w:hAnsi="Arial" w:cs="Arial"/>
          <w:sz w:val="20"/>
          <w:szCs w:val="20"/>
        </w:rPr>
        <w:t>obstetric factors</w:t>
      </w:r>
      <w:r w:rsidRPr="00E71812">
        <w:rPr>
          <w:rFonts w:ascii="Arial" w:hAnsi="Arial" w:cs="Arial"/>
          <w:sz w:val="20"/>
          <w:szCs w:val="20"/>
        </w:rPr>
        <w:t xml:space="preserve"> </w:t>
      </w:r>
      <w:r w:rsidR="001D50B4" w:rsidRPr="00E71812">
        <w:rPr>
          <w:rFonts w:ascii="Arial" w:hAnsi="Arial" w:cs="Arial"/>
          <w:sz w:val="20"/>
          <w:szCs w:val="20"/>
        </w:rPr>
        <w:t>(p</w:t>
      </w:r>
      <w:r w:rsidRPr="00E71812">
        <w:rPr>
          <w:rFonts w:ascii="Arial" w:hAnsi="Arial" w:cs="Arial"/>
          <w:sz w:val="20"/>
          <w:szCs w:val="20"/>
        </w:rPr>
        <w:t xml:space="preserve">arity, trimester of pregnancy, history of </w:t>
      </w:r>
      <w:r w:rsidR="000375ED" w:rsidRPr="00E71812">
        <w:rPr>
          <w:rFonts w:ascii="Arial" w:hAnsi="Arial" w:cs="Arial"/>
          <w:sz w:val="20"/>
          <w:szCs w:val="20"/>
        </w:rPr>
        <w:t>anemia</w:t>
      </w:r>
      <w:r w:rsidRPr="00E71812">
        <w:rPr>
          <w:rFonts w:ascii="Arial" w:hAnsi="Arial" w:cs="Arial"/>
          <w:sz w:val="20"/>
          <w:szCs w:val="20"/>
        </w:rPr>
        <w:t>, history of heavy menstrual bleeding</w:t>
      </w:r>
      <w:r w:rsidR="001D50B4" w:rsidRPr="00E71812">
        <w:rPr>
          <w:rFonts w:ascii="Arial" w:hAnsi="Arial" w:cs="Arial"/>
          <w:sz w:val="20"/>
          <w:szCs w:val="20"/>
        </w:rPr>
        <w:t xml:space="preserve">), </w:t>
      </w:r>
      <w:r w:rsidR="001D50B4" w:rsidRPr="00E71812">
        <w:rPr>
          <w:rStyle w:val="Strong"/>
          <w:rFonts w:ascii="Arial" w:hAnsi="Arial" w:cs="Arial"/>
          <w:sz w:val="20"/>
          <w:szCs w:val="20"/>
        </w:rPr>
        <w:t>clinical factors (</w:t>
      </w:r>
      <w:r w:rsidR="001D50B4" w:rsidRPr="00E71812">
        <w:rPr>
          <w:rFonts w:ascii="Arial" w:hAnsi="Arial" w:cs="Arial"/>
          <w:sz w:val="20"/>
          <w:szCs w:val="20"/>
        </w:rPr>
        <w:t>p</w:t>
      </w:r>
      <w:r w:rsidRPr="00E71812">
        <w:rPr>
          <w:rFonts w:ascii="Arial" w:hAnsi="Arial" w:cs="Arial"/>
          <w:sz w:val="20"/>
          <w:szCs w:val="20"/>
        </w:rPr>
        <w:t>resence of chronic disease</w:t>
      </w:r>
      <w:r w:rsidR="001D50B4" w:rsidRPr="00E71812">
        <w:rPr>
          <w:rFonts w:ascii="Arial" w:hAnsi="Arial" w:cs="Arial"/>
          <w:sz w:val="20"/>
          <w:szCs w:val="20"/>
        </w:rPr>
        <w:t xml:space="preserve"> (e.g., diabetes, hypertension), </w:t>
      </w:r>
      <w:r w:rsidR="001D50B4" w:rsidRPr="00E71812">
        <w:rPr>
          <w:rStyle w:val="Strong"/>
          <w:rFonts w:ascii="Arial" w:hAnsi="Arial" w:cs="Arial"/>
          <w:sz w:val="20"/>
          <w:szCs w:val="20"/>
        </w:rPr>
        <w:t>l</w:t>
      </w:r>
      <w:r w:rsidRPr="00E71812">
        <w:rPr>
          <w:rStyle w:val="Strong"/>
          <w:rFonts w:ascii="Arial" w:hAnsi="Arial" w:cs="Arial"/>
          <w:sz w:val="20"/>
          <w:szCs w:val="20"/>
        </w:rPr>
        <w:t xml:space="preserve">ifestyle </w:t>
      </w:r>
      <w:proofErr w:type="spellStart"/>
      <w:r w:rsidR="009574DF" w:rsidRPr="00E71812">
        <w:rPr>
          <w:rStyle w:val="Strong"/>
          <w:rFonts w:ascii="Arial" w:hAnsi="Arial" w:cs="Arial"/>
          <w:sz w:val="20"/>
          <w:szCs w:val="20"/>
        </w:rPr>
        <w:t>behaviours</w:t>
      </w:r>
      <w:proofErr w:type="spellEnd"/>
      <w:r w:rsidR="009574DF" w:rsidRPr="00E71812">
        <w:rPr>
          <w:rStyle w:val="Strong"/>
          <w:rFonts w:ascii="Arial" w:hAnsi="Arial" w:cs="Arial"/>
          <w:sz w:val="20"/>
          <w:szCs w:val="20"/>
        </w:rPr>
        <w:t xml:space="preserve"> (s</w:t>
      </w:r>
      <w:r w:rsidRPr="00E71812">
        <w:rPr>
          <w:rFonts w:ascii="Arial" w:hAnsi="Arial" w:cs="Arial"/>
          <w:sz w:val="20"/>
          <w:szCs w:val="20"/>
        </w:rPr>
        <w:t xml:space="preserve">moking, alcohol consumption, </w:t>
      </w:r>
      <w:r w:rsidR="00D472FC" w:rsidRPr="00E71812">
        <w:rPr>
          <w:rFonts w:ascii="Arial" w:hAnsi="Arial" w:cs="Arial"/>
          <w:sz w:val="20"/>
          <w:szCs w:val="20"/>
        </w:rPr>
        <w:t xml:space="preserve">and </w:t>
      </w:r>
      <w:r w:rsidR="001D50B4" w:rsidRPr="00E71812">
        <w:rPr>
          <w:rFonts w:ascii="Arial" w:hAnsi="Arial" w:cs="Arial"/>
          <w:sz w:val="20"/>
          <w:szCs w:val="20"/>
        </w:rPr>
        <w:t xml:space="preserve">supplement use during pregnancy, </w:t>
      </w:r>
      <w:r w:rsidR="001D50B4" w:rsidRPr="00E71812">
        <w:rPr>
          <w:rStyle w:val="Strong"/>
          <w:rFonts w:ascii="Arial" w:hAnsi="Arial" w:cs="Arial"/>
          <w:sz w:val="20"/>
          <w:szCs w:val="20"/>
        </w:rPr>
        <w:t>h</w:t>
      </w:r>
      <w:r w:rsidR="009574DF" w:rsidRPr="00E71812">
        <w:rPr>
          <w:rStyle w:val="Strong"/>
          <w:rFonts w:ascii="Arial" w:hAnsi="Arial" w:cs="Arial"/>
          <w:sz w:val="20"/>
          <w:szCs w:val="20"/>
        </w:rPr>
        <w:t>ealthcare access (e</w:t>
      </w:r>
      <w:r w:rsidRPr="00E71812">
        <w:rPr>
          <w:rFonts w:ascii="Arial" w:hAnsi="Arial" w:cs="Arial"/>
          <w:sz w:val="20"/>
          <w:szCs w:val="20"/>
        </w:rPr>
        <w:t>ase of access to healthcare facilities</w:t>
      </w:r>
      <w:r w:rsidR="009574DF" w:rsidRPr="00E71812">
        <w:rPr>
          <w:rFonts w:ascii="Arial" w:hAnsi="Arial" w:cs="Arial"/>
          <w:sz w:val="20"/>
          <w:szCs w:val="20"/>
        </w:rPr>
        <w:t>)</w:t>
      </w:r>
      <w:r w:rsidRPr="00E71812">
        <w:rPr>
          <w:rFonts w:ascii="Arial" w:hAnsi="Arial" w:cs="Arial"/>
          <w:sz w:val="20"/>
          <w:szCs w:val="20"/>
        </w:rPr>
        <w:t>.</w:t>
      </w:r>
    </w:p>
    <w:p w14:paraId="4B87E5FD" w14:textId="77777777" w:rsidR="001D50B4" w:rsidRPr="00E71812" w:rsidRDefault="001D50B4" w:rsidP="001D50B4">
      <w:pPr>
        <w:pStyle w:val="NormalWeb"/>
        <w:spacing w:before="0" w:beforeAutospacing="0" w:after="0" w:afterAutospacing="0" w:line="360" w:lineRule="auto"/>
        <w:jc w:val="both"/>
        <w:rPr>
          <w:rFonts w:ascii="Arial" w:hAnsi="Arial" w:cs="Arial"/>
          <w:sz w:val="20"/>
          <w:szCs w:val="20"/>
        </w:rPr>
      </w:pPr>
    </w:p>
    <w:p w14:paraId="378EEFE1" w14:textId="77777777" w:rsidR="00816807" w:rsidRPr="00E71812" w:rsidRDefault="00B15A9A" w:rsidP="00A25709">
      <w:pPr>
        <w:pStyle w:val="Heading3"/>
        <w:spacing w:before="0" w:beforeAutospacing="0" w:after="0" w:afterAutospacing="0" w:line="360" w:lineRule="auto"/>
        <w:jc w:val="both"/>
        <w:rPr>
          <w:rFonts w:ascii="Arial" w:hAnsi="Arial" w:cs="Arial"/>
          <w:sz w:val="22"/>
          <w:szCs w:val="22"/>
        </w:rPr>
      </w:pPr>
      <w:r w:rsidRPr="00E71812">
        <w:rPr>
          <w:rFonts w:ascii="Arial" w:hAnsi="Arial" w:cs="Arial"/>
          <w:sz w:val="22"/>
          <w:szCs w:val="22"/>
        </w:rPr>
        <w:t xml:space="preserve">2.6 </w:t>
      </w:r>
      <w:r w:rsidR="00816807" w:rsidRPr="00E71812">
        <w:rPr>
          <w:rFonts w:ascii="Arial" w:hAnsi="Arial" w:cs="Arial"/>
          <w:sz w:val="22"/>
          <w:szCs w:val="22"/>
        </w:rPr>
        <w:t>Data Collection Procedures</w:t>
      </w:r>
    </w:p>
    <w:p w14:paraId="019563D5" w14:textId="77777777" w:rsidR="00B15A9A" w:rsidRPr="00E71812" w:rsidRDefault="00816807" w:rsidP="00693A4F">
      <w:pPr>
        <w:pStyle w:val="NormalWeb"/>
        <w:spacing w:before="0" w:beforeAutospacing="0" w:after="0" w:afterAutospacing="0" w:line="360" w:lineRule="auto"/>
        <w:jc w:val="both"/>
        <w:rPr>
          <w:rFonts w:ascii="Arial" w:hAnsi="Arial" w:cs="Arial"/>
          <w:sz w:val="20"/>
          <w:szCs w:val="20"/>
        </w:rPr>
      </w:pPr>
      <w:r w:rsidRPr="00E71812">
        <w:rPr>
          <w:rFonts w:ascii="Arial" w:hAnsi="Arial" w:cs="Arial"/>
          <w:sz w:val="20"/>
          <w:szCs w:val="20"/>
        </w:rPr>
        <w:t xml:space="preserve">A structured, pre-tested questionnaire was administered through face-to-face interviews to collect socio-demographic, obstetric, clinical, lifestyle, and healthcare-related information. Venous blood samples (5 mL) were collected aseptically for </w:t>
      </w:r>
      <w:proofErr w:type="spellStart"/>
      <w:r w:rsidRPr="00E71812">
        <w:rPr>
          <w:rFonts w:ascii="Arial" w:hAnsi="Arial" w:cs="Arial"/>
          <w:sz w:val="20"/>
          <w:szCs w:val="20"/>
        </w:rPr>
        <w:t>haematological</w:t>
      </w:r>
      <w:proofErr w:type="spellEnd"/>
      <w:r w:rsidRPr="00E71812">
        <w:rPr>
          <w:rFonts w:ascii="Arial" w:hAnsi="Arial" w:cs="Arial"/>
          <w:sz w:val="20"/>
          <w:szCs w:val="20"/>
        </w:rPr>
        <w:t xml:space="preserve"> assessment. </w:t>
      </w:r>
      <w:proofErr w:type="spellStart"/>
      <w:r w:rsidRPr="00E71812">
        <w:rPr>
          <w:rFonts w:ascii="Arial" w:hAnsi="Arial" w:cs="Arial"/>
          <w:sz w:val="20"/>
          <w:szCs w:val="20"/>
        </w:rPr>
        <w:t>Haemoglobin</w:t>
      </w:r>
      <w:proofErr w:type="spellEnd"/>
      <w:r w:rsidRPr="00E71812">
        <w:rPr>
          <w:rFonts w:ascii="Arial" w:hAnsi="Arial" w:cs="Arial"/>
          <w:sz w:val="20"/>
          <w:szCs w:val="20"/>
        </w:rPr>
        <w:t xml:space="preserve"> concentration, MCV, and MCH were measured using automated </w:t>
      </w:r>
      <w:proofErr w:type="spellStart"/>
      <w:r w:rsidRPr="00E71812">
        <w:rPr>
          <w:rFonts w:ascii="Arial" w:hAnsi="Arial" w:cs="Arial"/>
          <w:sz w:val="20"/>
          <w:szCs w:val="20"/>
        </w:rPr>
        <w:t>haematology</w:t>
      </w:r>
      <w:proofErr w:type="spellEnd"/>
      <w:r w:rsidRPr="00E71812">
        <w:rPr>
          <w:rFonts w:ascii="Arial" w:hAnsi="Arial" w:cs="Arial"/>
          <w:sz w:val="20"/>
          <w:szCs w:val="20"/>
        </w:rPr>
        <w:t xml:space="preserve"> </w:t>
      </w:r>
      <w:proofErr w:type="spellStart"/>
      <w:r w:rsidRPr="00E71812">
        <w:rPr>
          <w:rFonts w:ascii="Arial" w:hAnsi="Arial" w:cs="Arial"/>
          <w:sz w:val="20"/>
          <w:szCs w:val="20"/>
        </w:rPr>
        <w:t>analysers</w:t>
      </w:r>
      <w:proofErr w:type="spellEnd"/>
      <w:r w:rsidRPr="00E71812">
        <w:rPr>
          <w:rFonts w:ascii="Arial" w:hAnsi="Arial" w:cs="Arial"/>
          <w:sz w:val="20"/>
          <w:szCs w:val="20"/>
        </w:rPr>
        <w:t>. Serum ferritin levels were determined using enzyme-linked immunosorbent assay (ELISA).</w:t>
      </w:r>
    </w:p>
    <w:p w14:paraId="5B2394BB" w14:textId="77777777" w:rsidR="00693A4F" w:rsidRPr="00E71812" w:rsidRDefault="00693A4F" w:rsidP="00693A4F">
      <w:pPr>
        <w:pStyle w:val="NormalWeb"/>
        <w:spacing w:before="0" w:beforeAutospacing="0" w:after="0" w:afterAutospacing="0" w:line="360" w:lineRule="auto"/>
        <w:jc w:val="both"/>
        <w:rPr>
          <w:rFonts w:ascii="Arial" w:hAnsi="Arial" w:cs="Arial"/>
          <w:sz w:val="20"/>
          <w:szCs w:val="20"/>
        </w:rPr>
      </w:pPr>
    </w:p>
    <w:p w14:paraId="7F0DA62B" w14:textId="77777777" w:rsidR="00816807" w:rsidRPr="00E71812" w:rsidRDefault="00F561A1" w:rsidP="00A25709">
      <w:pPr>
        <w:pStyle w:val="Heading3"/>
        <w:spacing w:before="0" w:beforeAutospacing="0" w:after="0" w:afterAutospacing="0" w:line="360" w:lineRule="auto"/>
        <w:jc w:val="both"/>
        <w:rPr>
          <w:rFonts w:ascii="Arial" w:hAnsi="Arial" w:cs="Arial"/>
          <w:sz w:val="22"/>
          <w:szCs w:val="22"/>
        </w:rPr>
      </w:pPr>
      <w:r w:rsidRPr="00E71812">
        <w:rPr>
          <w:rFonts w:ascii="Arial" w:hAnsi="Arial" w:cs="Arial"/>
          <w:sz w:val="22"/>
          <w:szCs w:val="22"/>
        </w:rPr>
        <w:t>2.7</w:t>
      </w:r>
      <w:r w:rsidR="00B15A9A" w:rsidRPr="00E71812">
        <w:rPr>
          <w:rFonts w:ascii="Arial" w:hAnsi="Arial" w:cs="Arial"/>
          <w:sz w:val="22"/>
          <w:szCs w:val="22"/>
        </w:rPr>
        <w:t xml:space="preserve"> </w:t>
      </w:r>
      <w:r w:rsidR="00816807" w:rsidRPr="00E71812">
        <w:rPr>
          <w:rFonts w:ascii="Arial" w:hAnsi="Arial" w:cs="Arial"/>
          <w:sz w:val="22"/>
          <w:szCs w:val="22"/>
        </w:rPr>
        <w:t>Data Analysis</w:t>
      </w:r>
    </w:p>
    <w:p w14:paraId="49ACBBED" w14:textId="28B6465C" w:rsidR="003C7EB6" w:rsidRPr="00E71812" w:rsidRDefault="00816807" w:rsidP="00693A4F">
      <w:pPr>
        <w:pStyle w:val="NormalWeb"/>
        <w:spacing w:before="0" w:beforeAutospacing="0" w:after="0" w:afterAutospacing="0" w:line="360" w:lineRule="auto"/>
        <w:jc w:val="both"/>
        <w:rPr>
          <w:rFonts w:ascii="Arial" w:hAnsi="Arial" w:cs="Arial"/>
          <w:sz w:val="20"/>
          <w:szCs w:val="20"/>
        </w:rPr>
      </w:pPr>
      <w:r w:rsidRPr="00E71812">
        <w:rPr>
          <w:rFonts w:ascii="Arial" w:hAnsi="Arial" w:cs="Arial"/>
          <w:sz w:val="20"/>
          <w:szCs w:val="20"/>
        </w:rPr>
        <w:t xml:space="preserve">Data were entered and </w:t>
      </w:r>
      <w:proofErr w:type="spellStart"/>
      <w:r w:rsidRPr="00E71812">
        <w:rPr>
          <w:rFonts w:ascii="Arial" w:hAnsi="Arial" w:cs="Arial"/>
          <w:sz w:val="20"/>
          <w:szCs w:val="20"/>
        </w:rPr>
        <w:t>analysed</w:t>
      </w:r>
      <w:proofErr w:type="spellEnd"/>
      <w:r w:rsidRPr="00E71812">
        <w:rPr>
          <w:rFonts w:ascii="Arial" w:hAnsi="Arial" w:cs="Arial"/>
          <w:sz w:val="20"/>
          <w:szCs w:val="20"/>
        </w:rPr>
        <w:t xml:space="preserve"> using </w:t>
      </w:r>
      <w:r w:rsidRPr="00E71812">
        <w:rPr>
          <w:rStyle w:val="Strong"/>
          <w:rFonts w:ascii="Arial" w:hAnsi="Arial" w:cs="Arial"/>
          <w:b w:val="0"/>
          <w:sz w:val="20"/>
          <w:szCs w:val="20"/>
        </w:rPr>
        <w:t>SPSS version 26.0</w:t>
      </w:r>
      <w:r w:rsidRPr="00E71812">
        <w:rPr>
          <w:rFonts w:ascii="Arial" w:hAnsi="Arial" w:cs="Arial"/>
          <w:b/>
          <w:sz w:val="20"/>
          <w:szCs w:val="20"/>
        </w:rPr>
        <w:t xml:space="preserve"> </w:t>
      </w:r>
      <w:r w:rsidRPr="00E71812">
        <w:rPr>
          <w:rFonts w:ascii="Arial" w:hAnsi="Arial" w:cs="Arial"/>
          <w:sz w:val="20"/>
          <w:szCs w:val="20"/>
        </w:rPr>
        <w:t>and</w:t>
      </w:r>
      <w:r w:rsidRPr="00E71812">
        <w:rPr>
          <w:rFonts w:ascii="Arial" w:hAnsi="Arial" w:cs="Arial"/>
          <w:b/>
          <w:sz w:val="20"/>
          <w:szCs w:val="20"/>
        </w:rPr>
        <w:t xml:space="preserve"> </w:t>
      </w:r>
      <w:r w:rsidRPr="00E71812">
        <w:rPr>
          <w:rStyle w:val="Strong"/>
          <w:rFonts w:ascii="Arial" w:hAnsi="Arial" w:cs="Arial"/>
          <w:b w:val="0"/>
          <w:sz w:val="20"/>
          <w:szCs w:val="20"/>
        </w:rPr>
        <w:t>Stata 17.0</w:t>
      </w:r>
      <w:r w:rsidRPr="00E71812">
        <w:rPr>
          <w:rFonts w:ascii="Arial" w:hAnsi="Arial" w:cs="Arial"/>
          <w:b/>
          <w:sz w:val="20"/>
          <w:szCs w:val="20"/>
        </w:rPr>
        <w:t>.</w:t>
      </w:r>
      <w:r w:rsidRPr="00E71812">
        <w:rPr>
          <w:rFonts w:ascii="Arial" w:hAnsi="Arial" w:cs="Arial"/>
          <w:sz w:val="20"/>
          <w:szCs w:val="20"/>
        </w:rPr>
        <w:t xml:space="preserve"> Descriptive statistics were calculated for background characteristics. Prevalence estimates with 95% Wilson confidence intervals were computed for </w:t>
      </w:r>
      <w:r w:rsidR="000375ED" w:rsidRPr="00E71812">
        <w:rPr>
          <w:rFonts w:ascii="Arial" w:hAnsi="Arial" w:cs="Arial"/>
          <w:sz w:val="20"/>
          <w:szCs w:val="20"/>
        </w:rPr>
        <w:t>anemia</w:t>
      </w:r>
      <w:r w:rsidRPr="00E71812">
        <w:rPr>
          <w:rFonts w:ascii="Arial" w:hAnsi="Arial" w:cs="Arial"/>
          <w:sz w:val="20"/>
          <w:szCs w:val="20"/>
        </w:rPr>
        <w:t xml:space="preserve">, microcytosis, hypochromia, and microcytic hypochromic </w:t>
      </w:r>
      <w:r w:rsidR="000375ED" w:rsidRPr="00E71812">
        <w:rPr>
          <w:rFonts w:ascii="Arial" w:hAnsi="Arial" w:cs="Arial"/>
          <w:sz w:val="20"/>
          <w:szCs w:val="20"/>
        </w:rPr>
        <w:t>anemia</w:t>
      </w:r>
      <w:r w:rsidRPr="00E71812">
        <w:rPr>
          <w:rFonts w:ascii="Arial" w:hAnsi="Arial" w:cs="Arial"/>
          <w:sz w:val="20"/>
          <w:szCs w:val="20"/>
        </w:rPr>
        <w:t xml:space="preserve">. Chi-square tests were applied to assess associations between maternal factors and </w:t>
      </w:r>
      <w:r w:rsidR="000375ED" w:rsidRPr="00E71812">
        <w:rPr>
          <w:rFonts w:ascii="Arial" w:hAnsi="Arial" w:cs="Arial"/>
          <w:sz w:val="20"/>
          <w:szCs w:val="20"/>
        </w:rPr>
        <w:t>anemia</w:t>
      </w:r>
      <w:r w:rsidRPr="00E71812">
        <w:rPr>
          <w:rFonts w:ascii="Arial" w:hAnsi="Arial" w:cs="Arial"/>
          <w:sz w:val="20"/>
          <w:szCs w:val="20"/>
        </w:rPr>
        <w:t xml:space="preserve">. Logistic regression analysis was used to identify predictors of low ferritin, with results expressed as odds ratios (ORs) and 95% confidence intervals (CIs). A risk stratification model was constructed using quintiles of predicted probabilities, and observed prevalence was assessed across quintiles to evaluate model calibration. Statistical significance was set at </w:t>
      </w:r>
      <w:r w:rsidR="009574DF" w:rsidRPr="00E71812">
        <w:rPr>
          <w:rStyle w:val="Emphasis"/>
          <w:rFonts w:ascii="Arial" w:hAnsi="Arial" w:cs="Arial"/>
          <w:sz w:val="20"/>
          <w:szCs w:val="20"/>
        </w:rPr>
        <w:t>P</w:t>
      </w:r>
      <w:r w:rsidRPr="00E71812">
        <w:rPr>
          <w:rFonts w:ascii="Arial" w:hAnsi="Arial" w:cs="Arial"/>
          <w:sz w:val="20"/>
          <w:szCs w:val="20"/>
        </w:rPr>
        <w:t xml:space="preserve"> &lt; .05.</w:t>
      </w:r>
    </w:p>
    <w:p w14:paraId="02B25A21" w14:textId="77777777" w:rsidR="00693A4F" w:rsidRPr="00E71812" w:rsidRDefault="00693A4F" w:rsidP="00693A4F">
      <w:pPr>
        <w:pStyle w:val="NormalWeb"/>
        <w:spacing w:before="0" w:beforeAutospacing="0" w:after="0" w:afterAutospacing="0" w:line="360" w:lineRule="auto"/>
        <w:jc w:val="both"/>
        <w:rPr>
          <w:rFonts w:ascii="Arial" w:hAnsi="Arial" w:cs="Arial"/>
          <w:sz w:val="20"/>
          <w:szCs w:val="20"/>
        </w:rPr>
      </w:pPr>
    </w:p>
    <w:p w14:paraId="0F384E1A"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7E18F211"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1E0B76FB"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38E037F4"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0CCF4B09"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077E3F03"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1144060C"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79A8B76C"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5891ABDC"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677AFA0D"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73D7AA79"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33B3D76C"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155C20A1"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0A5C8487" w14:textId="77777777" w:rsidR="009574DF" w:rsidRPr="00E71812" w:rsidRDefault="009574DF" w:rsidP="00693A4F">
      <w:pPr>
        <w:pStyle w:val="NormalWeb"/>
        <w:spacing w:before="0" w:beforeAutospacing="0" w:after="0" w:afterAutospacing="0" w:line="360" w:lineRule="auto"/>
        <w:jc w:val="both"/>
        <w:rPr>
          <w:rFonts w:ascii="Arial" w:hAnsi="Arial" w:cs="Arial"/>
          <w:sz w:val="20"/>
          <w:szCs w:val="20"/>
        </w:rPr>
      </w:pPr>
    </w:p>
    <w:p w14:paraId="1A54DFD3" w14:textId="77777777" w:rsidR="00F24B5E" w:rsidRPr="00E71812" w:rsidRDefault="00693A4F" w:rsidP="003C7EB6">
      <w:pPr>
        <w:pStyle w:val="Heading2"/>
        <w:spacing w:before="0" w:beforeAutospacing="0" w:after="0" w:afterAutospacing="0" w:line="360" w:lineRule="auto"/>
        <w:jc w:val="both"/>
        <w:rPr>
          <w:rFonts w:ascii="Arial" w:hAnsi="Arial" w:cs="Arial"/>
          <w:sz w:val="22"/>
          <w:szCs w:val="22"/>
        </w:rPr>
      </w:pPr>
      <w:r w:rsidRPr="00E71812">
        <w:rPr>
          <w:rFonts w:ascii="Arial" w:hAnsi="Arial" w:cs="Arial"/>
          <w:sz w:val="22"/>
          <w:szCs w:val="22"/>
        </w:rPr>
        <w:t>3.0 RESULTS AND DISCUSSION</w:t>
      </w:r>
    </w:p>
    <w:p w14:paraId="451B5EA5" w14:textId="28AD40F0" w:rsidR="00F24B5E" w:rsidRPr="00E71812" w:rsidRDefault="00B15A9A" w:rsidP="003C7EB6">
      <w:pPr>
        <w:spacing w:before="0" w:beforeAutospacing="0" w:line="360" w:lineRule="auto"/>
        <w:outlineLvl w:val="2"/>
        <w:rPr>
          <w:rFonts w:ascii="Arial" w:eastAsia="Times New Roman" w:hAnsi="Arial" w:cs="Arial"/>
          <w:b/>
          <w:bCs/>
        </w:rPr>
      </w:pPr>
      <w:r w:rsidRPr="00E71812">
        <w:rPr>
          <w:rFonts w:ascii="Arial" w:eastAsia="Times New Roman" w:hAnsi="Arial" w:cs="Arial"/>
          <w:b/>
          <w:bCs/>
        </w:rPr>
        <w:t>3</w:t>
      </w:r>
      <w:r w:rsidR="006158ED" w:rsidRPr="00E71812">
        <w:rPr>
          <w:rFonts w:ascii="Arial" w:eastAsia="Times New Roman" w:hAnsi="Arial" w:cs="Arial"/>
          <w:b/>
          <w:bCs/>
        </w:rPr>
        <w:t xml:space="preserve">.1 </w:t>
      </w:r>
      <w:r w:rsidR="00F24B5E" w:rsidRPr="00E71812">
        <w:rPr>
          <w:rFonts w:ascii="Arial" w:eastAsia="Times New Roman" w:hAnsi="Arial" w:cs="Arial"/>
          <w:b/>
          <w:bCs/>
        </w:rPr>
        <w:t xml:space="preserve">Prevalence of </w:t>
      </w:r>
      <w:r w:rsidR="000375ED" w:rsidRPr="00E71812">
        <w:rPr>
          <w:rFonts w:ascii="Arial" w:eastAsia="Times New Roman" w:hAnsi="Arial" w:cs="Arial"/>
          <w:b/>
          <w:bCs/>
        </w:rPr>
        <w:t>Anemia</w:t>
      </w:r>
      <w:r w:rsidR="00F24B5E" w:rsidRPr="00E71812">
        <w:rPr>
          <w:rFonts w:ascii="Arial" w:eastAsia="Times New Roman" w:hAnsi="Arial" w:cs="Arial"/>
          <w:b/>
          <w:bCs/>
        </w:rPr>
        <w:t xml:space="preserve"> and Related Indices</w:t>
      </w:r>
    </w:p>
    <w:p w14:paraId="460AB43C" w14:textId="6DC59108" w:rsidR="008A1D89" w:rsidRPr="00E71812" w:rsidRDefault="00F24B5E" w:rsidP="00B15A9A">
      <w:pPr>
        <w:spacing w:after="100" w:afterAutospacing="1" w:line="360" w:lineRule="auto"/>
        <w:rPr>
          <w:rFonts w:ascii="Arial" w:eastAsia="Times New Roman" w:hAnsi="Arial" w:cs="Arial"/>
          <w:sz w:val="20"/>
          <w:szCs w:val="20"/>
        </w:rPr>
      </w:pPr>
      <w:r w:rsidRPr="00E71812">
        <w:rPr>
          <w:rFonts w:ascii="Arial" w:eastAsia="Times New Roman" w:hAnsi="Arial" w:cs="Arial"/>
          <w:sz w:val="20"/>
          <w:szCs w:val="20"/>
        </w:rPr>
        <w:t xml:space="preserve">Analysis of </w:t>
      </w:r>
      <w:proofErr w:type="spellStart"/>
      <w:r w:rsidRPr="00E71812">
        <w:rPr>
          <w:rFonts w:ascii="Arial" w:eastAsia="Times New Roman" w:hAnsi="Arial" w:cs="Arial"/>
          <w:sz w:val="20"/>
          <w:szCs w:val="20"/>
        </w:rPr>
        <w:t>haematological</w:t>
      </w:r>
      <w:proofErr w:type="spellEnd"/>
      <w:r w:rsidRPr="00E71812">
        <w:rPr>
          <w:rFonts w:ascii="Arial" w:eastAsia="Times New Roman" w:hAnsi="Arial" w:cs="Arial"/>
          <w:sz w:val="20"/>
          <w:szCs w:val="20"/>
        </w:rPr>
        <w:t xml:space="preserve"> indices revealed a high prevalence of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among the study participants. As shown in </w:t>
      </w:r>
      <w:r w:rsidRPr="00E71812">
        <w:rPr>
          <w:rFonts w:ascii="Arial" w:eastAsia="Times New Roman" w:hAnsi="Arial" w:cs="Arial"/>
          <w:bCs/>
          <w:sz w:val="20"/>
          <w:szCs w:val="20"/>
        </w:rPr>
        <w:t>Table 1</w:t>
      </w:r>
      <w:r w:rsidRPr="00E71812">
        <w:rPr>
          <w:rFonts w:ascii="Arial" w:eastAsia="Times New Roman" w:hAnsi="Arial" w:cs="Arial"/>
          <w:sz w:val="20"/>
          <w:szCs w:val="20"/>
        </w:rPr>
        <w:t xml:space="preserve">, 82.5% of pregnant women were </w:t>
      </w:r>
      <w:proofErr w:type="spellStart"/>
      <w:r w:rsidRPr="00E71812">
        <w:rPr>
          <w:rFonts w:ascii="Arial" w:eastAsia="Times New Roman" w:hAnsi="Arial" w:cs="Arial"/>
          <w:sz w:val="20"/>
          <w:szCs w:val="20"/>
        </w:rPr>
        <w:t>anaemic</w:t>
      </w:r>
      <w:proofErr w:type="spellEnd"/>
      <w:r w:rsidRPr="00E71812">
        <w:rPr>
          <w:rFonts w:ascii="Arial" w:eastAsia="Times New Roman" w:hAnsi="Arial" w:cs="Arial"/>
          <w:sz w:val="20"/>
          <w:szCs w:val="20"/>
        </w:rPr>
        <w:t xml:space="preserve"> (Hb &lt; 11 g/dL, 95% CI [78.2, 86.1]). </w:t>
      </w:r>
      <w:r w:rsidR="0017590C" w:rsidRPr="00E71812">
        <w:rPr>
          <w:rFonts w:ascii="Arial" w:eastAsia="Times New Roman" w:hAnsi="Arial" w:cs="Arial"/>
          <w:sz w:val="20"/>
          <w:szCs w:val="20"/>
        </w:rPr>
        <w:t xml:space="preserve">The </w:t>
      </w:r>
      <w:r w:rsidR="0017590C" w:rsidRPr="00E71812">
        <w:rPr>
          <w:rFonts w:ascii="Arial" w:eastAsia="Times New Roman" w:hAnsi="Arial" w:cs="Arial"/>
          <w:sz w:val="20"/>
          <w:szCs w:val="20"/>
        </w:rPr>
        <w:lastRenderedPageBreak/>
        <w:t xml:space="preserve">observed prevalence is markedly higher than the global estimate of 37% reported by the World Health </w:t>
      </w:r>
      <w:proofErr w:type="spellStart"/>
      <w:r w:rsidR="0017590C" w:rsidRPr="00E71812">
        <w:rPr>
          <w:rFonts w:ascii="Arial" w:eastAsia="Times New Roman" w:hAnsi="Arial" w:cs="Arial"/>
          <w:sz w:val="20"/>
          <w:szCs w:val="20"/>
        </w:rPr>
        <w:t>Organisation</w:t>
      </w:r>
      <w:proofErr w:type="spellEnd"/>
      <w:r w:rsidR="0017590C" w:rsidRPr="00E71812">
        <w:rPr>
          <w:rFonts w:ascii="Arial" w:eastAsia="Times New Roman" w:hAnsi="Arial" w:cs="Arial"/>
          <w:sz w:val="20"/>
          <w:szCs w:val="20"/>
        </w:rPr>
        <w:t xml:space="preserve"> (WHO, 2021). Two studies in Ghana reported the prevalence of </w:t>
      </w:r>
      <w:r w:rsidR="000375ED" w:rsidRPr="00E71812">
        <w:rPr>
          <w:rFonts w:ascii="Arial" w:eastAsia="Times New Roman" w:hAnsi="Arial" w:cs="Arial"/>
          <w:sz w:val="20"/>
          <w:szCs w:val="20"/>
        </w:rPr>
        <w:t>anemia</w:t>
      </w:r>
      <w:r w:rsidR="0017590C" w:rsidRPr="00E71812">
        <w:rPr>
          <w:rFonts w:ascii="Arial" w:eastAsia="Times New Roman" w:hAnsi="Arial" w:cs="Arial"/>
          <w:sz w:val="20"/>
          <w:szCs w:val="20"/>
        </w:rPr>
        <w:t xml:space="preserve"> in gestation at 33% </w:t>
      </w:r>
      <w:r w:rsidR="0017590C" w:rsidRPr="00E71812">
        <w:rPr>
          <w:rFonts w:ascii="Arial" w:eastAsia="Times New Roman" w:hAnsi="Arial" w:cs="Arial"/>
          <w:sz w:val="20"/>
          <w:szCs w:val="20"/>
        </w:rPr>
        <w:fldChar w:fldCharType="begin" w:fldLock="1"/>
      </w:r>
      <w:r w:rsidR="0017590C" w:rsidRPr="00E71812">
        <w:rPr>
          <w:rFonts w:ascii="Arial" w:eastAsia="Times New Roman" w:hAnsi="Arial" w:cs="Arial"/>
          <w:sz w:val="20"/>
          <w:szCs w:val="20"/>
        </w:rPr>
        <w:instrText>ADDIN CSL_CITATION {"citationItems":[{"id":"ITEM-1","itemData":{"DOI":"10.1186/s40795-019-0303-x","ISSN":"2055-0928 (Electronic)","PMID":"32153953","abstract":"BACKGROUND: Anaemia among pregnant women and post-partum mothers is a public  health challenge in Ghana, especially in the Volta Region. While literature abounds on anaemia among pregnant women, the same cannot be said for anaemia among post-partum mothers in the region. This study, therefore, examined the prevalence and associated risk factors of anaemia among women attending antenatal care and post-natal care. METHODS: This descriptive cross-sectional survey recruited 409 pregnant women and 194 post-natal mothers attending antenatal and post-natal care, at the Hohoe Municipal Hospital. Background characteristics were collected using a semi-structured questionnaire, blood samples were analysed for the presence of anaemia and malaria parasitaemia and folders were reviewed for estimated blood loss. RESULTS: We found the prevalence of anaemia among pregnant women and post-partum mothers to be 33 and 16% respectively. Higher malaria parasitaemia (2%) was found in pregnant women compared with postpartum mothers (1%). We found that 4% of post-partum mothers had abnormal blood loss (301mls-500mls) whereas 5% of them had postpartum haemorrhage (&gt;500mls) during child birth. A univariate logistics regression of anaemia status on some risk factors in pregnant women showed no significant association between anaemia and any of the risk factors. Among post-partum mothers, only mothers' age was statistically significant in the univariate analysis [COR = 0.27 (95% CI:0.103, 0.72);0.008]. Mothers aged 20-29 were 73% less likely to be anaemic. CONCLUSION: The prevalence of anaemia among pregnant women found in this study points to a situation of moderate public health problem according to WHO cut-off values for the public health significance of anaemia. Strategies should therefore be put in place to encourage thorough health education and promotion programmes among both pregnant and post-partum women.","author":[{"dropping-particle":"","family":"Kofie","given":"Philip","non-dropping-particle":"","parse-names":false,"suffix":""},{"dropping-particle":"","family":"Tarkang","given":"Elvis E","non-dropping-particle":"","parse-names":false,"suffix":""},{"dropping-particle":"","family":"Manu","given":"Emmanuel","non-dropping-particle":"","parse-names":false,"suffix":""},{"dropping-particle":"","family":"Amu","given":"Hubert","non-dropping-particle":"","parse-names":false,"suffix":""},{"dropping-particle":"","family":"Ayanore","given":"Martin Amogre","non-dropping-particle":"","parse-names":false,"suffix":""},{"dropping-particle":"","family":"Aku","given":"Fortress Yayra","non-dropping-particle":"","parse-names":false,"suffix":""},{"dropping-particle":"","family":"Komesuor","given":"Joyce","non-dropping-particle":"","parse-names":false,"suffix":""},{"dropping-particle":"","family":"Adjuik","given":"Martin","non-dropping-particle":"","parse-names":false,"suffix":""},{"dropping-particle":"","family":"Binka","given":"Fred","non-dropping-particle":"","parse-names":false,"suffix":""},{"dropping-particle":"","family":"Kweku","given":"Margaret","non-dropping-particle":"","parse-names":false,"suffix":""}],"container-title":"BMC nutrition","id":"ITEM-1","issued":{"date-parts":[["2019"]]},"language":"eng","page":"40","publisher-place":"England","title":"Prevalence and associated risk factors of anaemia among women attending antenatal  and post-natal clinics at a public health facility in Ghana.","type":"article-journal","volume":"5"},"uris":["http://www.mendeley.com/documents/?uuid=50caff15-6cc6-4af2-94c5-37fe5be8c511"]}],"mendeley":{"formattedCitation":"[9]","plainTextFormattedCitation":"[9]","previouslyFormattedCitation":"[9]"},"properties":{"noteIndex":0},"schema":"https://github.com/citation-style-language/schema/raw/master/csl-citation.json"}</w:instrText>
      </w:r>
      <w:r w:rsidR="0017590C" w:rsidRPr="00E71812">
        <w:rPr>
          <w:rFonts w:ascii="Arial" w:eastAsia="Times New Roman" w:hAnsi="Arial" w:cs="Arial"/>
          <w:sz w:val="20"/>
          <w:szCs w:val="20"/>
        </w:rPr>
        <w:fldChar w:fldCharType="separate"/>
      </w:r>
      <w:r w:rsidR="0017590C" w:rsidRPr="00E71812">
        <w:rPr>
          <w:rFonts w:ascii="Arial" w:eastAsia="Times New Roman" w:hAnsi="Arial" w:cs="Arial"/>
          <w:noProof/>
          <w:sz w:val="20"/>
          <w:szCs w:val="20"/>
        </w:rPr>
        <w:t>[9]</w:t>
      </w:r>
      <w:r w:rsidR="0017590C" w:rsidRPr="00E71812">
        <w:rPr>
          <w:rFonts w:ascii="Arial" w:eastAsia="Times New Roman" w:hAnsi="Arial" w:cs="Arial"/>
          <w:sz w:val="20"/>
          <w:szCs w:val="20"/>
        </w:rPr>
        <w:fldChar w:fldCharType="end"/>
      </w:r>
      <w:r w:rsidR="0017590C" w:rsidRPr="00E71812">
        <w:rPr>
          <w:rFonts w:ascii="Arial" w:eastAsia="Times New Roman" w:hAnsi="Arial" w:cs="Arial"/>
          <w:sz w:val="20"/>
          <w:szCs w:val="20"/>
        </w:rPr>
        <w:t xml:space="preserve"> and 78.5% </w:t>
      </w:r>
      <w:r w:rsidR="0017590C" w:rsidRPr="00E71812">
        <w:rPr>
          <w:rFonts w:ascii="Arial" w:eastAsia="Times New Roman" w:hAnsi="Arial" w:cs="Arial"/>
          <w:sz w:val="20"/>
          <w:szCs w:val="20"/>
        </w:rPr>
        <w:fldChar w:fldCharType="begin" w:fldLock="1"/>
      </w:r>
      <w:r w:rsidR="0017590C" w:rsidRPr="00E71812">
        <w:rPr>
          <w:rFonts w:ascii="Arial" w:eastAsia="Times New Roman" w:hAnsi="Arial" w:cs="Arial"/>
          <w:sz w:val="20"/>
          <w:szCs w:val="20"/>
        </w:rPr>
        <w:instrText>ADDIN CSL_CITATION {"citationItems":[{"id":"ITEM-1","itemData":{"DOI":"10.3389/fgwh.2023.1140867","author":[{"dropping-particle":"","family":"Tettegah","given":"Eric","non-dropping-particle":"","parse-names":false,"suffix":""},{"dropping-particle":"","family":"Hormenu","given":"Thomas","non-dropping-particle":"","parse-names":false,"suffix":""},{"dropping-particle":"","family":"Ebu-enyan","given":"Nancy Innocentia","non-dropping-particle":"","parse-names":false,"suffix":""}],"id":"ITEM-1","issue":"February","issued":{"date-parts":[["2024"]]},"page":"1-10","title":"Risk factors associated with anaemia among pregnant women in the Adaklu District , Ghana","type":"article-journal"},"uris":["http://www.mendeley.com/documents/?uuid=4c0bcda2-2fb3-4b84-b668-de5b7177f15b"]}],"mendeley":{"formattedCitation":"[10]","plainTextFormattedCitation":"[10]","previouslyFormattedCitation":"[10]"},"properties":{"noteIndex":0},"schema":"https://github.com/citation-style-language/schema/raw/master/csl-citation.json"}</w:instrText>
      </w:r>
      <w:r w:rsidR="0017590C" w:rsidRPr="00E71812">
        <w:rPr>
          <w:rFonts w:ascii="Arial" w:eastAsia="Times New Roman" w:hAnsi="Arial" w:cs="Arial"/>
          <w:sz w:val="20"/>
          <w:szCs w:val="20"/>
        </w:rPr>
        <w:fldChar w:fldCharType="separate"/>
      </w:r>
      <w:r w:rsidR="0017590C" w:rsidRPr="00E71812">
        <w:rPr>
          <w:rFonts w:ascii="Arial" w:eastAsia="Times New Roman" w:hAnsi="Arial" w:cs="Arial"/>
          <w:noProof/>
          <w:sz w:val="20"/>
          <w:szCs w:val="20"/>
        </w:rPr>
        <w:t>[10]</w:t>
      </w:r>
      <w:r w:rsidR="0017590C" w:rsidRPr="00E71812">
        <w:rPr>
          <w:rFonts w:ascii="Arial" w:eastAsia="Times New Roman" w:hAnsi="Arial" w:cs="Arial"/>
          <w:sz w:val="20"/>
          <w:szCs w:val="20"/>
        </w:rPr>
        <w:fldChar w:fldCharType="end"/>
      </w:r>
      <w:r w:rsidR="0017590C" w:rsidRPr="00E71812">
        <w:rPr>
          <w:rFonts w:ascii="Arial" w:eastAsia="Times New Roman" w:hAnsi="Arial" w:cs="Arial"/>
          <w:sz w:val="20"/>
          <w:szCs w:val="20"/>
        </w:rPr>
        <w:t xml:space="preserve"> underscoring the severity of this public health problem in the study population. </w:t>
      </w:r>
      <w:r w:rsidRPr="00E71812">
        <w:rPr>
          <w:rFonts w:ascii="Arial" w:eastAsia="Times New Roman" w:hAnsi="Arial" w:cs="Arial"/>
          <w:sz w:val="20"/>
          <w:szCs w:val="20"/>
        </w:rPr>
        <w:t xml:space="preserve">Microcytosis (MCV &lt; 80 </w:t>
      </w:r>
      <w:proofErr w:type="spellStart"/>
      <w:r w:rsidRPr="00E71812">
        <w:rPr>
          <w:rFonts w:ascii="Arial" w:eastAsia="Times New Roman" w:hAnsi="Arial" w:cs="Arial"/>
          <w:sz w:val="20"/>
          <w:szCs w:val="20"/>
        </w:rPr>
        <w:t>fL</w:t>
      </w:r>
      <w:proofErr w:type="spellEnd"/>
      <w:r w:rsidRPr="00E71812">
        <w:rPr>
          <w:rFonts w:ascii="Arial" w:eastAsia="Times New Roman" w:hAnsi="Arial" w:cs="Arial"/>
          <w:sz w:val="20"/>
          <w:szCs w:val="20"/>
        </w:rPr>
        <w:t xml:space="preserve">) and hypochromia (MCH &lt; 27 </w:t>
      </w:r>
      <w:proofErr w:type="spellStart"/>
      <w:r w:rsidRPr="00E71812">
        <w:rPr>
          <w:rFonts w:ascii="Arial" w:eastAsia="Times New Roman" w:hAnsi="Arial" w:cs="Arial"/>
          <w:sz w:val="20"/>
          <w:szCs w:val="20"/>
        </w:rPr>
        <w:t>pg</w:t>
      </w:r>
      <w:proofErr w:type="spellEnd"/>
      <w:r w:rsidRPr="00E71812">
        <w:rPr>
          <w:rFonts w:ascii="Arial" w:eastAsia="Times New Roman" w:hAnsi="Arial" w:cs="Arial"/>
          <w:sz w:val="20"/>
          <w:szCs w:val="20"/>
        </w:rPr>
        <w:t xml:space="preserve">) were also widespread, each affecting 72.5% of participants (95% CI [67.7, 76.9]). These findings suggest that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in this cohort is predominantly microcytic and hypochromic, consistent with iron deficiency</w:t>
      </w:r>
      <w:r w:rsidR="0017590C" w:rsidRPr="00E71812">
        <w:rPr>
          <w:rFonts w:ascii="Arial" w:eastAsia="Times New Roman" w:hAnsi="Arial" w:cs="Arial"/>
          <w:sz w:val="20"/>
          <w:szCs w:val="20"/>
        </w:rPr>
        <w:t xml:space="preserve"> </w:t>
      </w:r>
      <w:r w:rsidR="0017590C" w:rsidRPr="00E71812">
        <w:rPr>
          <w:rFonts w:ascii="Arial" w:eastAsia="Times New Roman" w:hAnsi="Arial" w:cs="Arial"/>
          <w:sz w:val="20"/>
          <w:szCs w:val="20"/>
        </w:rPr>
        <w:fldChar w:fldCharType="begin" w:fldLock="1"/>
      </w:r>
      <w:r w:rsidR="00DA4534" w:rsidRPr="00E71812">
        <w:rPr>
          <w:rFonts w:ascii="Arial" w:eastAsia="Times New Roman" w:hAnsi="Arial" w:cs="Arial"/>
          <w:sz w:val="20"/>
          <w:szCs w:val="20"/>
        </w:rPr>
        <w:instrText>ADDIN CSL_CITATION {"citationItems":[{"id":"ITEM-1","itemData":{"DOI":"10.1016/j.nutos.2024.12.002","author":[{"dropping-particle":"","family":"Kebede","given":"Samuel Sahile","non-dropping-particle":"","parse-names":false,"suffix":""},{"dropping-particle":"","family":"Asmelash","given":"Daniel","non-dropping-particle":"","parse-names":false,"suffix":""},{"dropping-particle":"","family":"Duguma","given":"Tadesse","non-dropping-particle":"","parse-names":false,"suffix":""},{"dropping-particle":"","family":"Wudineh","given":"Desalewu","non-dropping-particle":"","parse-names":false,"suffix":""},{"dropping-particle":"","family":"Alemayehu","given":"Ermiyas","non-dropping-particle":"","parse-names":false,"suffix":""}],"id":"ITEM-1","issued":{"date-parts":[["2025"]]},"title":"Global prevalence of iron de fi ciency anemia and its variation with different gestational age systematic review and","type":"article-journal","volume":"59"},"uris":["http://www.mendeley.com/documents/?uuid=1f829a6c-8c2e-4e1b-bb4d-9ba93d7931ac"]}],"mendeley":{"formattedCitation":"[11]","plainTextFormattedCitation":"[11]","previouslyFormattedCitation":"[11]"},"properties":{"noteIndex":0},"schema":"https://github.com/citation-style-language/schema/raw/master/csl-citation.json"}</w:instrText>
      </w:r>
      <w:r w:rsidR="0017590C" w:rsidRPr="00E71812">
        <w:rPr>
          <w:rFonts w:ascii="Arial" w:eastAsia="Times New Roman" w:hAnsi="Arial" w:cs="Arial"/>
          <w:sz w:val="20"/>
          <w:szCs w:val="20"/>
        </w:rPr>
        <w:fldChar w:fldCharType="separate"/>
      </w:r>
      <w:r w:rsidR="0017590C" w:rsidRPr="00E71812">
        <w:rPr>
          <w:rFonts w:ascii="Arial" w:eastAsia="Times New Roman" w:hAnsi="Arial" w:cs="Arial"/>
          <w:noProof/>
          <w:sz w:val="20"/>
          <w:szCs w:val="20"/>
        </w:rPr>
        <w:t>[11]</w:t>
      </w:r>
      <w:r w:rsidR="0017590C" w:rsidRPr="00E71812">
        <w:rPr>
          <w:rFonts w:ascii="Arial" w:eastAsia="Times New Roman" w:hAnsi="Arial" w:cs="Arial"/>
          <w:sz w:val="20"/>
          <w:szCs w:val="20"/>
        </w:rPr>
        <w:fldChar w:fldCharType="end"/>
      </w:r>
      <w:r w:rsidR="0017590C" w:rsidRPr="00E71812">
        <w:rPr>
          <w:rFonts w:ascii="Arial" w:eastAsia="Times New Roman" w:hAnsi="Arial" w:cs="Arial"/>
          <w:sz w:val="20"/>
          <w:szCs w:val="20"/>
        </w:rPr>
        <w:t xml:space="preserve"> </w:t>
      </w:r>
      <w:r w:rsidR="00DA4534" w:rsidRPr="00E71812">
        <w:rPr>
          <w:rFonts w:ascii="Arial" w:eastAsia="Times New Roman" w:hAnsi="Arial" w:cs="Arial"/>
          <w:sz w:val="20"/>
          <w:szCs w:val="20"/>
        </w:rPr>
        <w:fldChar w:fldCharType="begin" w:fldLock="1"/>
      </w:r>
      <w:r w:rsidR="00DA4534" w:rsidRPr="00E71812">
        <w:rPr>
          <w:rFonts w:ascii="Arial" w:eastAsia="Times New Roman" w:hAnsi="Arial" w:cs="Arial"/>
          <w:sz w:val="20"/>
          <w:szCs w:val="20"/>
        </w:rPr>
        <w:instrText>ADDIN CSL_CITATION {"citationItems":[{"id":"ITEM-1","itemData":{"author":[{"dropping-particle":"","family":"Memon","given":"Ghulam Abbas","non-dropping-particle":"","parse-names":false,"suffix":""},{"dropping-particle":"","family":"Khan","given":"Tooba Jawed","non-dropping-particle":"","parse-names":false,"suffix":""},{"dropping-particle":"","family":"Abbas","given":"Shabnam","non-dropping-particle":"","parse-names":false,"suffix":""},{"dropping-particle":"","family":"Shaikh","given":"Ghulam Abbas","non-dropping-particle":"","parse-names":false,"suffix":""},{"dropping-particle":"","family":"Shah","given":"Nusrat","non-dropping-particle":"","parse-names":false,"suffix":""},{"dropping-particle":"","family":"Kayani","given":"Hammad Afzal","non-dropping-particle":"","parse-names":false,"suffix":""},{"dropping-particle":"","family":"Habib","given":"Muhammad Atif","non-dropping-particle":"","parse-names":false,"suffix":""}],"id":"ITEM-1","issue":"12","issued":{"date-parts":[["2020"]]},"page":"4720-4726","title":"Prevalence of iron deficiency anaemia among microcytic anaemic premenopausal patients at tertiary care hospital , Karachi","type":"article-journal","volume":"7"},"uris":["http://www.mendeley.com/documents/?uuid=d423775f-d646-455d-a9dd-816aa0887838"]}],"mendeley":{"formattedCitation":"[12]","plainTextFormattedCitation":"[12]","previouslyFormattedCitation":"[12]"},"properties":{"noteIndex":0},"schema":"https://github.com/citation-style-language/schema/raw/master/csl-citation.json"}</w:instrText>
      </w:r>
      <w:r w:rsidR="00DA4534" w:rsidRPr="00E71812">
        <w:rPr>
          <w:rFonts w:ascii="Arial" w:eastAsia="Times New Roman" w:hAnsi="Arial" w:cs="Arial"/>
          <w:sz w:val="20"/>
          <w:szCs w:val="20"/>
        </w:rPr>
        <w:fldChar w:fldCharType="separate"/>
      </w:r>
      <w:r w:rsidR="00DA4534" w:rsidRPr="00E71812">
        <w:rPr>
          <w:rFonts w:ascii="Arial" w:eastAsia="Times New Roman" w:hAnsi="Arial" w:cs="Arial"/>
          <w:noProof/>
          <w:sz w:val="20"/>
          <w:szCs w:val="20"/>
        </w:rPr>
        <w:t>[12]</w:t>
      </w:r>
      <w:r w:rsidR="00DA4534" w:rsidRPr="00E71812">
        <w:rPr>
          <w:rFonts w:ascii="Arial" w:eastAsia="Times New Roman" w:hAnsi="Arial" w:cs="Arial"/>
          <w:sz w:val="20"/>
          <w:szCs w:val="20"/>
        </w:rPr>
        <w:fldChar w:fldCharType="end"/>
      </w:r>
      <w:r w:rsidRPr="00E71812">
        <w:rPr>
          <w:rFonts w:ascii="Arial" w:eastAsia="Times New Roman" w:hAnsi="Arial" w:cs="Arial"/>
          <w:sz w:val="20"/>
          <w:szCs w:val="20"/>
        </w:rPr>
        <w:t xml:space="preserve">. </w:t>
      </w:r>
    </w:p>
    <w:p w14:paraId="23B148E6" w14:textId="449E7370" w:rsidR="006158ED" w:rsidRPr="00E71812" w:rsidRDefault="006158ED" w:rsidP="00CA470D">
      <w:pPr>
        <w:spacing w:after="100" w:afterAutospacing="1" w:line="360" w:lineRule="auto"/>
        <w:rPr>
          <w:rFonts w:ascii="Arial" w:eastAsia="Times New Roman" w:hAnsi="Arial" w:cs="Arial"/>
          <w:b/>
          <w:sz w:val="20"/>
          <w:szCs w:val="20"/>
        </w:rPr>
      </w:pPr>
      <w:r w:rsidRPr="00E71812">
        <w:rPr>
          <w:rFonts w:ascii="Arial" w:eastAsia="Times New Roman" w:hAnsi="Arial" w:cs="Arial"/>
          <w:b/>
          <w:bCs/>
          <w:sz w:val="20"/>
          <w:szCs w:val="20"/>
        </w:rPr>
        <w:t>Table 1</w:t>
      </w:r>
      <w:r w:rsidR="00B15A9A" w:rsidRPr="00E71812">
        <w:rPr>
          <w:rFonts w:ascii="Arial" w:eastAsia="Times New Roman" w:hAnsi="Arial" w:cs="Arial"/>
          <w:b/>
          <w:bCs/>
          <w:sz w:val="20"/>
          <w:szCs w:val="20"/>
        </w:rPr>
        <w:t xml:space="preserve">: </w:t>
      </w:r>
      <w:r w:rsidRPr="00E71812">
        <w:rPr>
          <w:rFonts w:ascii="Arial" w:eastAsia="Times New Roman" w:hAnsi="Arial" w:cs="Arial"/>
          <w:b/>
          <w:sz w:val="20"/>
          <w:szCs w:val="20"/>
        </w:rPr>
        <w:t xml:space="preserve">Prevalence of </w:t>
      </w:r>
      <w:r w:rsidR="000375ED" w:rsidRPr="00E71812">
        <w:rPr>
          <w:rFonts w:ascii="Arial" w:eastAsia="Times New Roman" w:hAnsi="Arial" w:cs="Arial"/>
          <w:b/>
          <w:sz w:val="20"/>
          <w:szCs w:val="20"/>
        </w:rPr>
        <w:t>Anemia</w:t>
      </w:r>
      <w:r w:rsidRPr="00E71812">
        <w:rPr>
          <w:rFonts w:ascii="Arial" w:eastAsia="Times New Roman" w:hAnsi="Arial" w:cs="Arial"/>
          <w:b/>
          <w:sz w:val="20"/>
          <w:szCs w:val="20"/>
        </w:rPr>
        <w:t xml:space="preserve"> and Related Indices with 95% Confidence Intervals</w:t>
      </w:r>
      <w:r w:rsidR="008A1D89" w:rsidRPr="00E71812">
        <w:rPr>
          <w:rFonts w:ascii="Arial" w:eastAsia="Times New Roman" w:hAnsi="Arial" w:cs="Arial"/>
          <w:b/>
          <w:sz w:val="20"/>
          <w:szCs w:val="20"/>
        </w:rPr>
        <w:t>. Total number of participants (n)=360</w:t>
      </w:r>
      <w:proofErr w:type="gramStart"/>
      <w:r w:rsidR="008A1D89" w:rsidRPr="00E71812">
        <w:rPr>
          <w:rFonts w:ascii="Arial" w:eastAsia="Times New Roman" w:hAnsi="Arial" w:cs="Arial"/>
          <w:b/>
          <w:sz w:val="20"/>
          <w:szCs w:val="20"/>
        </w:rPr>
        <w:t>)</w:t>
      </w:r>
      <w:r w:rsidR="00890BB5" w:rsidRPr="00E71812">
        <w:rPr>
          <w:rFonts w:ascii="Arial" w:eastAsia="Times New Roman" w:hAnsi="Arial" w:cs="Arial"/>
          <w:b/>
          <w:i/>
          <w:iCs/>
          <w:sz w:val="20"/>
          <w:szCs w:val="20"/>
        </w:rPr>
        <w:t xml:space="preserve"> .</w:t>
      </w:r>
      <w:r w:rsidR="00890BB5" w:rsidRPr="00E71812">
        <w:rPr>
          <w:rFonts w:ascii="Arial" w:eastAsia="Times New Roman" w:hAnsi="Arial" w:cs="Arial"/>
          <w:b/>
          <w:sz w:val="20"/>
          <w:szCs w:val="20"/>
        </w:rPr>
        <w:t>Prevalence</w:t>
      </w:r>
      <w:proofErr w:type="gramEnd"/>
      <w:r w:rsidR="00890BB5" w:rsidRPr="00E71812">
        <w:rPr>
          <w:rFonts w:ascii="Arial" w:eastAsia="Times New Roman" w:hAnsi="Arial" w:cs="Arial"/>
          <w:b/>
          <w:sz w:val="20"/>
          <w:szCs w:val="20"/>
        </w:rPr>
        <w:t xml:space="preserve"> values are presented with Wilson 95% confidence intervals.</w:t>
      </w:r>
    </w:p>
    <w:tbl>
      <w:tblPr>
        <w:tblStyle w:val="TableGrid"/>
        <w:tblW w:w="0" w:type="auto"/>
        <w:tblLook w:val="04A0" w:firstRow="1" w:lastRow="0" w:firstColumn="1" w:lastColumn="0" w:noHBand="0" w:noVBand="1"/>
      </w:tblPr>
      <w:tblGrid>
        <w:gridCol w:w="2767"/>
        <w:gridCol w:w="1083"/>
        <w:gridCol w:w="1661"/>
        <w:gridCol w:w="1517"/>
        <w:gridCol w:w="1506"/>
      </w:tblGrid>
      <w:tr w:rsidR="00E71812" w:rsidRPr="00E71812" w14:paraId="219E2681" w14:textId="77777777" w:rsidTr="00502B2E">
        <w:tc>
          <w:tcPr>
            <w:tcW w:w="0" w:type="auto"/>
            <w:hideMark/>
          </w:tcPr>
          <w:p w14:paraId="634676FF" w14:textId="77777777" w:rsidR="006158ED" w:rsidRPr="00E71812" w:rsidRDefault="006158ED"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Outcome</w:t>
            </w:r>
          </w:p>
        </w:tc>
        <w:tc>
          <w:tcPr>
            <w:tcW w:w="0" w:type="auto"/>
            <w:hideMark/>
          </w:tcPr>
          <w:p w14:paraId="214FED81" w14:textId="77777777" w:rsidR="006158ED" w:rsidRPr="00E71812" w:rsidRDefault="00890BB5"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 xml:space="preserve">Numbers </w:t>
            </w:r>
          </w:p>
        </w:tc>
        <w:tc>
          <w:tcPr>
            <w:tcW w:w="0" w:type="auto"/>
            <w:hideMark/>
          </w:tcPr>
          <w:p w14:paraId="125731AD" w14:textId="77777777" w:rsidR="006158ED" w:rsidRPr="00E71812" w:rsidRDefault="00890BB5"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 xml:space="preserve">Percentage </w:t>
            </w:r>
            <w:r w:rsidR="006158ED" w:rsidRPr="00E71812">
              <w:rPr>
                <w:rFonts w:ascii="Arial" w:eastAsia="Times New Roman" w:hAnsi="Arial" w:cs="Arial"/>
                <w:b/>
                <w:bCs/>
                <w:sz w:val="20"/>
                <w:szCs w:val="20"/>
              </w:rPr>
              <w:t>(%)</w:t>
            </w:r>
          </w:p>
        </w:tc>
        <w:tc>
          <w:tcPr>
            <w:tcW w:w="0" w:type="auto"/>
            <w:hideMark/>
          </w:tcPr>
          <w:p w14:paraId="36197C16" w14:textId="77777777" w:rsidR="006158ED" w:rsidRPr="00E71812" w:rsidRDefault="006158ED"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95% CI Lower</w:t>
            </w:r>
          </w:p>
        </w:tc>
        <w:tc>
          <w:tcPr>
            <w:tcW w:w="0" w:type="auto"/>
            <w:hideMark/>
          </w:tcPr>
          <w:p w14:paraId="0ABA215A" w14:textId="77777777" w:rsidR="006158ED" w:rsidRPr="00E71812" w:rsidRDefault="006158ED"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95% CI Upper</w:t>
            </w:r>
          </w:p>
        </w:tc>
      </w:tr>
      <w:tr w:rsidR="00E71812" w:rsidRPr="00E71812" w14:paraId="369E63CC" w14:textId="77777777" w:rsidTr="00502B2E">
        <w:tc>
          <w:tcPr>
            <w:tcW w:w="0" w:type="auto"/>
            <w:hideMark/>
          </w:tcPr>
          <w:p w14:paraId="4B37EE2A" w14:textId="03994DB6" w:rsidR="006158ED" w:rsidRPr="00E71812" w:rsidRDefault="000375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Anemia</w:t>
            </w:r>
            <w:r w:rsidR="006158ED" w:rsidRPr="00E71812">
              <w:rPr>
                <w:rFonts w:ascii="Arial" w:eastAsia="Times New Roman" w:hAnsi="Arial" w:cs="Arial"/>
                <w:sz w:val="20"/>
                <w:szCs w:val="20"/>
              </w:rPr>
              <w:t xml:space="preserve"> (Hb &lt; 11 g/dL)</w:t>
            </w:r>
          </w:p>
        </w:tc>
        <w:tc>
          <w:tcPr>
            <w:tcW w:w="0" w:type="auto"/>
            <w:hideMark/>
          </w:tcPr>
          <w:p w14:paraId="3BB8B027" w14:textId="77777777" w:rsidR="006158ED" w:rsidRPr="00E71812" w:rsidRDefault="00890BB5"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297</w:t>
            </w:r>
          </w:p>
        </w:tc>
        <w:tc>
          <w:tcPr>
            <w:tcW w:w="0" w:type="auto"/>
            <w:hideMark/>
          </w:tcPr>
          <w:p w14:paraId="374A9B6A"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82.5</w:t>
            </w:r>
          </w:p>
        </w:tc>
        <w:tc>
          <w:tcPr>
            <w:tcW w:w="0" w:type="auto"/>
            <w:hideMark/>
          </w:tcPr>
          <w:p w14:paraId="443903C7"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78.2</w:t>
            </w:r>
          </w:p>
        </w:tc>
        <w:tc>
          <w:tcPr>
            <w:tcW w:w="0" w:type="auto"/>
            <w:hideMark/>
          </w:tcPr>
          <w:p w14:paraId="5A52D411"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86.1</w:t>
            </w:r>
          </w:p>
        </w:tc>
      </w:tr>
      <w:tr w:rsidR="00E71812" w:rsidRPr="00E71812" w14:paraId="1A60F64D" w14:textId="77777777" w:rsidTr="00502B2E">
        <w:tc>
          <w:tcPr>
            <w:tcW w:w="0" w:type="auto"/>
            <w:hideMark/>
          </w:tcPr>
          <w:p w14:paraId="756757DB"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 xml:space="preserve">Microcytosis (MCV &lt; 80 </w:t>
            </w:r>
            <w:proofErr w:type="spellStart"/>
            <w:r w:rsidRPr="00E71812">
              <w:rPr>
                <w:rFonts w:ascii="Arial" w:eastAsia="Times New Roman" w:hAnsi="Arial" w:cs="Arial"/>
                <w:sz w:val="20"/>
                <w:szCs w:val="20"/>
              </w:rPr>
              <w:t>fL</w:t>
            </w:r>
            <w:proofErr w:type="spellEnd"/>
            <w:r w:rsidRPr="00E71812">
              <w:rPr>
                <w:rFonts w:ascii="Arial" w:eastAsia="Times New Roman" w:hAnsi="Arial" w:cs="Arial"/>
                <w:sz w:val="20"/>
                <w:szCs w:val="20"/>
              </w:rPr>
              <w:t>)</w:t>
            </w:r>
          </w:p>
        </w:tc>
        <w:tc>
          <w:tcPr>
            <w:tcW w:w="0" w:type="auto"/>
            <w:hideMark/>
          </w:tcPr>
          <w:p w14:paraId="18A26918" w14:textId="77777777" w:rsidR="006158ED" w:rsidRPr="00E71812" w:rsidRDefault="00890BB5"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261</w:t>
            </w:r>
          </w:p>
        </w:tc>
        <w:tc>
          <w:tcPr>
            <w:tcW w:w="0" w:type="auto"/>
            <w:hideMark/>
          </w:tcPr>
          <w:p w14:paraId="29A66D00"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72.5</w:t>
            </w:r>
          </w:p>
        </w:tc>
        <w:tc>
          <w:tcPr>
            <w:tcW w:w="0" w:type="auto"/>
            <w:hideMark/>
          </w:tcPr>
          <w:p w14:paraId="70B0641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67.7</w:t>
            </w:r>
          </w:p>
        </w:tc>
        <w:tc>
          <w:tcPr>
            <w:tcW w:w="0" w:type="auto"/>
            <w:hideMark/>
          </w:tcPr>
          <w:p w14:paraId="39FC2D41"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76.9</w:t>
            </w:r>
          </w:p>
        </w:tc>
      </w:tr>
      <w:tr w:rsidR="00E71812" w:rsidRPr="00E71812" w14:paraId="5F3F4F9F" w14:textId="77777777" w:rsidTr="00502B2E">
        <w:tc>
          <w:tcPr>
            <w:tcW w:w="0" w:type="auto"/>
            <w:hideMark/>
          </w:tcPr>
          <w:p w14:paraId="14D599BA"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 xml:space="preserve">Hypochromia (MCH &lt; 27 </w:t>
            </w:r>
            <w:proofErr w:type="spellStart"/>
            <w:r w:rsidRPr="00E71812">
              <w:rPr>
                <w:rFonts w:ascii="Arial" w:eastAsia="Times New Roman" w:hAnsi="Arial" w:cs="Arial"/>
                <w:sz w:val="20"/>
                <w:szCs w:val="20"/>
              </w:rPr>
              <w:t>pg</w:t>
            </w:r>
            <w:proofErr w:type="spellEnd"/>
            <w:r w:rsidRPr="00E71812">
              <w:rPr>
                <w:rFonts w:ascii="Arial" w:eastAsia="Times New Roman" w:hAnsi="Arial" w:cs="Arial"/>
                <w:sz w:val="20"/>
                <w:szCs w:val="20"/>
              </w:rPr>
              <w:t>)</w:t>
            </w:r>
          </w:p>
        </w:tc>
        <w:tc>
          <w:tcPr>
            <w:tcW w:w="0" w:type="auto"/>
            <w:hideMark/>
          </w:tcPr>
          <w:p w14:paraId="61773F6C" w14:textId="77777777" w:rsidR="006158ED" w:rsidRPr="00E71812" w:rsidRDefault="00890BB5"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261</w:t>
            </w:r>
          </w:p>
        </w:tc>
        <w:tc>
          <w:tcPr>
            <w:tcW w:w="0" w:type="auto"/>
            <w:hideMark/>
          </w:tcPr>
          <w:p w14:paraId="36C8FDA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72.5</w:t>
            </w:r>
          </w:p>
        </w:tc>
        <w:tc>
          <w:tcPr>
            <w:tcW w:w="0" w:type="auto"/>
            <w:hideMark/>
          </w:tcPr>
          <w:p w14:paraId="57B8E82E"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67.7</w:t>
            </w:r>
          </w:p>
        </w:tc>
        <w:tc>
          <w:tcPr>
            <w:tcW w:w="0" w:type="auto"/>
            <w:hideMark/>
          </w:tcPr>
          <w:p w14:paraId="6BB02318"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76.9</w:t>
            </w:r>
          </w:p>
        </w:tc>
      </w:tr>
    </w:tbl>
    <w:p w14:paraId="1ADE6300" w14:textId="59DE7985" w:rsidR="00F24B5E" w:rsidRPr="00E71812" w:rsidRDefault="00B15A9A" w:rsidP="00B15A9A">
      <w:pPr>
        <w:spacing w:after="100" w:afterAutospacing="1" w:line="360" w:lineRule="auto"/>
        <w:outlineLvl w:val="2"/>
        <w:rPr>
          <w:rFonts w:ascii="Arial" w:eastAsia="Times New Roman" w:hAnsi="Arial" w:cs="Arial"/>
          <w:b/>
          <w:bCs/>
        </w:rPr>
      </w:pPr>
      <w:r w:rsidRPr="00E71812">
        <w:rPr>
          <w:rFonts w:ascii="Arial" w:eastAsia="Times New Roman" w:hAnsi="Arial" w:cs="Arial"/>
          <w:b/>
          <w:bCs/>
        </w:rPr>
        <w:t>3</w:t>
      </w:r>
      <w:r w:rsidR="006158ED" w:rsidRPr="00E71812">
        <w:rPr>
          <w:rFonts w:ascii="Arial" w:eastAsia="Times New Roman" w:hAnsi="Arial" w:cs="Arial"/>
          <w:b/>
          <w:bCs/>
        </w:rPr>
        <w:t xml:space="preserve">.2 </w:t>
      </w:r>
      <w:r w:rsidR="00F24B5E" w:rsidRPr="00E71812">
        <w:rPr>
          <w:rFonts w:ascii="Arial" w:eastAsia="Times New Roman" w:hAnsi="Arial" w:cs="Arial"/>
          <w:b/>
          <w:bCs/>
        </w:rPr>
        <w:t xml:space="preserve">Associations Between Maternal Characteristics and </w:t>
      </w:r>
      <w:r w:rsidR="000375ED" w:rsidRPr="00E71812">
        <w:rPr>
          <w:rFonts w:ascii="Arial" w:eastAsia="Times New Roman" w:hAnsi="Arial" w:cs="Arial"/>
          <w:b/>
          <w:bCs/>
        </w:rPr>
        <w:t>Anemia</w:t>
      </w:r>
    </w:p>
    <w:p w14:paraId="6088C17A" w14:textId="1FF164FE" w:rsidR="00F24B5E" w:rsidRPr="00E71812" w:rsidRDefault="00F24B5E" w:rsidP="00B15A9A">
      <w:pPr>
        <w:spacing w:after="100" w:afterAutospacing="1" w:line="360" w:lineRule="auto"/>
        <w:rPr>
          <w:rFonts w:ascii="Arial" w:eastAsia="Times New Roman" w:hAnsi="Arial" w:cs="Arial"/>
          <w:sz w:val="20"/>
          <w:szCs w:val="20"/>
        </w:rPr>
      </w:pPr>
      <w:r w:rsidRPr="00E71812">
        <w:rPr>
          <w:rFonts w:ascii="Arial" w:eastAsia="Times New Roman" w:hAnsi="Arial" w:cs="Arial"/>
          <w:sz w:val="20"/>
          <w:szCs w:val="20"/>
        </w:rPr>
        <w:t xml:space="preserve">Chi-square tests were performed to identify potential maternal predictors of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As presented in </w:t>
      </w:r>
      <w:r w:rsidRPr="00E71812">
        <w:rPr>
          <w:rFonts w:ascii="Arial" w:eastAsia="Times New Roman" w:hAnsi="Arial" w:cs="Arial"/>
          <w:bCs/>
          <w:sz w:val="20"/>
          <w:szCs w:val="20"/>
        </w:rPr>
        <w:t>Table 2</w:t>
      </w:r>
      <w:r w:rsidRPr="00E71812">
        <w:rPr>
          <w:rFonts w:ascii="Arial" w:eastAsia="Times New Roman" w:hAnsi="Arial" w:cs="Arial"/>
          <w:sz w:val="20"/>
          <w:szCs w:val="20"/>
        </w:rPr>
        <w:t xml:space="preserve">, a history of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prior to pregnancy was significantly associated with current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status (χ² = 4.22, df = 1, </w:t>
      </w:r>
      <w:r w:rsidRPr="00E71812">
        <w:rPr>
          <w:rFonts w:ascii="Arial" w:eastAsia="Times New Roman" w:hAnsi="Arial" w:cs="Arial"/>
          <w:i/>
          <w:iCs/>
          <w:sz w:val="20"/>
          <w:szCs w:val="20"/>
        </w:rPr>
        <w:t>p</w:t>
      </w:r>
      <w:r w:rsidRPr="00E71812">
        <w:rPr>
          <w:rFonts w:ascii="Arial" w:eastAsia="Times New Roman" w:hAnsi="Arial" w:cs="Arial"/>
          <w:sz w:val="20"/>
          <w:szCs w:val="20"/>
        </w:rPr>
        <w:t xml:space="preserve"> = .040)</w:t>
      </w:r>
      <w:r w:rsidR="00DA4534" w:rsidRPr="00E71812">
        <w:rPr>
          <w:rFonts w:ascii="Arial" w:eastAsia="Times New Roman" w:hAnsi="Arial" w:cs="Arial"/>
          <w:sz w:val="20"/>
          <w:szCs w:val="20"/>
        </w:rPr>
        <w:t xml:space="preserve"> </w:t>
      </w:r>
      <w:r w:rsidR="00DA4534" w:rsidRPr="00E71812">
        <w:rPr>
          <w:rFonts w:ascii="Arial" w:eastAsia="Times New Roman" w:hAnsi="Arial" w:cs="Arial"/>
          <w:sz w:val="20"/>
          <w:szCs w:val="20"/>
        </w:rPr>
        <w:fldChar w:fldCharType="begin" w:fldLock="1"/>
      </w:r>
      <w:r w:rsidR="00DA4534" w:rsidRPr="00E71812">
        <w:rPr>
          <w:rFonts w:ascii="Arial" w:eastAsia="Times New Roman" w:hAnsi="Arial" w:cs="Arial"/>
          <w:sz w:val="20"/>
          <w:szCs w:val="20"/>
        </w:rPr>
        <w:instrText>ADDIN CSL_CITATION {"citationItems":[{"id":"ITEM-1","itemData":{"DOI":"10.2147/IJWH.S530428","ISSN":"null","author":[{"dropping-particle":"","family":"Liu","given":"Lulu","non-dropping-particle":"","parse-names":false,"suffix":""},{"dropping-particle":"","family":"Li","given":"Xiaoqing","non-dropping-particle":"","parse-names":false,"suffix":""}],"container-title":"International Journal of Women's Health","id":"ITEM-1","issue":"null","issued":{"date-parts":[["2025","12","31"]]},"note":"doi: 10.2147/IJWH.S530428","page":"1829-1835","publisher":"Dove Medical Press","title":"Predictive Value of Dynamic Changes in Hemoglobin Levels During Early Pregnancy for the Development of Anemia During Pregnancy","type":"article-journal","volume":"17"},"uris":["http://www.mendeley.com/documents/?uuid=82ea629f-d9fb-4c89-b636-498d30e44c36"]}],"mendeley":{"formattedCitation":"[13]","plainTextFormattedCitation":"[13]","previouslyFormattedCitation":"[13]"},"properties":{"noteIndex":0},"schema":"https://github.com/citation-style-language/schema/raw/master/csl-citation.json"}</w:instrText>
      </w:r>
      <w:r w:rsidR="00DA4534" w:rsidRPr="00E71812">
        <w:rPr>
          <w:rFonts w:ascii="Arial" w:eastAsia="Times New Roman" w:hAnsi="Arial" w:cs="Arial"/>
          <w:sz w:val="20"/>
          <w:szCs w:val="20"/>
        </w:rPr>
        <w:fldChar w:fldCharType="separate"/>
      </w:r>
      <w:r w:rsidR="00DA4534" w:rsidRPr="00E71812">
        <w:rPr>
          <w:rFonts w:ascii="Arial" w:eastAsia="Times New Roman" w:hAnsi="Arial" w:cs="Arial"/>
          <w:noProof/>
          <w:sz w:val="20"/>
          <w:szCs w:val="20"/>
        </w:rPr>
        <w:t>[13]</w:t>
      </w:r>
      <w:r w:rsidR="00DA4534" w:rsidRPr="00E71812">
        <w:rPr>
          <w:rFonts w:ascii="Arial" w:eastAsia="Times New Roman" w:hAnsi="Arial" w:cs="Arial"/>
          <w:sz w:val="20"/>
          <w:szCs w:val="20"/>
        </w:rPr>
        <w:fldChar w:fldCharType="end"/>
      </w:r>
      <w:r w:rsidR="00DA4534" w:rsidRPr="00E71812">
        <w:rPr>
          <w:rFonts w:ascii="Arial" w:eastAsia="Times New Roman" w:hAnsi="Arial" w:cs="Arial"/>
          <w:sz w:val="20"/>
          <w:szCs w:val="20"/>
        </w:rPr>
        <w:t xml:space="preserve"> </w:t>
      </w:r>
      <w:r w:rsidR="00DA4534" w:rsidRPr="00E71812">
        <w:rPr>
          <w:rFonts w:ascii="Arial" w:eastAsia="Times New Roman" w:hAnsi="Arial" w:cs="Arial"/>
          <w:sz w:val="20"/>
          <w:szCs w:val="20"/>
        </w:rPr>
        <w:fldChar w:fldCharType="begin" w:fldLock="1"/>
      </w:r>
      <w:r w:rsidR="00DA4534" w:rsidRPr="00E71812">
        <w:rPr>
          <w:rFonts w:ascii="Arial" w:eastAsia="Times New Roman" w:hAnsi="Arial" w:cs="Arial"/>
          <w:sz w:val="20"/>
          <w:szCs w:val="20"/>
        </w:rPr>
        <w:instrText>ADDIN CSL_CITATION {"citationItems":[{"id":"ITEM-1","itemData":{"DOI":"10.1080/14767058.2018.1555811","ISSN":"1476-7058","author":[{"dropping-particle":"","family":"Rahmati","given":"Shoboo","non-dropping-particle":"","parse-names":false,"suffix":""},{"dropping-particle":"","family":"Azami","given":"Milad","non-dropping-particle":"","parse-names":false,"suffix":""},{"dropping-particle":"","family":"Badfar","given":"Gholamreza","non-dropping-particle":"","parse-names":false,"suffix":""},{"dropping-particle":"","family":"Parizad","given":"Naser","non-dropping-particle":"","parse-names":false,"suffix":""},{"dropping-particle":"","family":"Sayehmiri","given":"Kourosh","non-dropping-particle":"","parse-names":false,"suffix":""}],"container-title":"The Journal of Maternal-Fetal &amp; Neonatal Medicine","id":"ITEM-1","issue":"15","issued":{"date-parts":[["2020","8","2"]]},"note":"doi: 10.1080/14767058.2018.1555811","page":"2679-2689","publisher":"Taylor &amp; Francis","title":"The relationship between maternal anemia during pregnancy with preterm birth: a systematic review and meta-analysis","type":"article-journal","volume":"33"},"uris":["http://www.mendeley.com/documents/?uuid=e5266edd-3ac4-46d7-b639-4ef890af2a52"]}],"mendeley":{"formattedCitation":"[14]","plainTextFormattedCitation":"[14]","previouslyFormattedCitation":"[14]"},"properties":{"noteIndex":0},"schema":"https://github.com/citation-style-language/schema/raw/master/csl-citation.json"}</w:instrText>
      </w:r>
      <w:r w:rsidR="00DA4534" w:rsidRPr="00E71812">
        <w:rPr>
          <w:rFonts w:ascii="Arial" w:eastAsia="Times New Roman" w:hAnsi="Arial" w:cs="Arial"/>
          <w:sz w:val="20"/>
          <w:szCs w:val="20"/>
        </w:rPr>
        <w:fldChar w:fldCharType="separate"/>
      </w:r>
      <w:r w:rsidR="00DA4534" w:rsidRPr="00E71812">
        <w:rPr>
          <w:rFonts w:ascii="Arial" w:eastAsia="Times New Roman" w:hAnsi="Arial" w:cs="Arial"/>
          <w:noProof/>
          <w:sz w:val="20"/>
          <w:szCs w:val="20"/>
        </w:rPr>
        <w:t>[14]</w:t>
      </w:r>
      <w:r w:rsidR="00DA4534" w:rsidRPr="00E71812">
        <w:rPr>
          <w:rFonts w:ascii="Arial" w:eastAsia="Times New Roman" w:hAnsi="Arial" w:cs="Arial"/>
          <w:sz w:val="20"/>
          <w:szCs w:val="20"/>
        </w:rPr>
        <w:fldChar w:fldCharType="end"/>
      </w:r>
      <w:r w:rsidRPr="00E71812">
        <w:rPr>
          <w:rFonts w:ascii="Arial" w:eastAsia="Times New Roman" w:hAnsi="Arial" w:cs="Arial"/>
          <w:sz w:val="20"/>
          <w:szCs w:val="20"/>
        </w:rPr>
        <w:t xml:space="preserve">. Occupation (χ² = 9.02, </w:t>
      </w:r>
      <w:r w:rsidRPr="00E71812">
        <w:rPr>
          <w:rFonts w:ascii="Arial" w:eastAsia="Times New Roman" w:hAnsi="Arial" w:cs="Arial"/>
          <w:i/>
          <w:iCs/>
          <w:sz w:val="20"/>
          <w:szCs w:val="20"/>
        </w:rPr>
        <w:t>p</w:t>
      </w:r>
      <w:r w:rsidRPr="00E71812">
        <w:rPr>
          <w:rFonts w:ascii="Arial" w:eastAsia="Times New Roman" w:hAnsi="Arial" w:cs="Arial"/>
          <w:sz w:val="20"/>
          <w:szCs w:val="20"/>
        </w:rPr>
        <w:t xml:space="preserve"> = .061) and marital status (χ² = 6.60, </w:t>
      </w:r>
      <w:r w:rsidRPr="00E71812">
        <w:rPr>
          <w:rFonts w:ascii="Arial" w:eastAsia="Times New Roman" w:hAnsi="Arial" w:cs="Arial"/>
          <w:i/>
          <w:iCs/>
          <w:sz w:val="20"/>
          <w:szCs w:val="20"/>
        </w:rPr>
        <w:t>p</w:t>
      </w:r>
      <w:r w:rsidRPr="00E71812">
        <w:rPr>
          <w:rFonts w:ascii="Arial" w:eastAsia="Times New Roman" w:hAnsi="Arial" w:cs="Arial"/>
          <w:sz w:val="20"/>
          <w:szCs w:val="20"/>
        </w:rPr>
        <w:t xml:space="preserve"> = .086) showed borderline associations, suggesting that socio-economic and marital conditions may contribute to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risk, although these did not reach statistical significance</w:t>
      </w:r>
      <w:r w:rsidR="00DA4534" w:rsidRPr="00E71812">
        <w:rPr>
          <w:rFonts w:ascii="Arial" w:eastAsia="Times New Roman" w:hAnsi="Arial" w:cs="Arial"/>
          <w:sz w:val="20"/>
          <w:szCs w:val="20"/>
        </w:rPr>
        <w:t xml:space="preserve"> </w:t>
      </w:r>
      <w:r w:rsidR="00DA4534" w:rsidRPr="00E71812">
        <w:rPr>
          <w:rFonts w:ascii="Arial" w:eastAsia="Times New Roman" w:hAnsi="Arial" w:cs="Arial"/>
          <w:sz w:val="20"/>
          <w:szCs w:val="20"/>
        </w:rPr>
        <w:fldChar w:fldCharType="begin" w:fldLock="1"/>
      </w:r>
      <w:r w:rsidR="00DA4534" w:rsidRPr="00E71812">
        <w:rPr>
          <w:rFonts w:ascii="Arial" w:eastAsia="Times New Roman" w:hAnsi="Arial" w:cs="Arial"/>
          <w:sz w:val="20"/>
          <w:szCs w:val="20"/>
        </w:rPr>
        <w:instrText>ADDIN CSL_CITATION {"citationItems":[{"id":"ITEM-1","itemData":{"author":[{"dropping-particle":"","family":"Wijayanti","given":"Erna Eka","non-dropping-particle":"","parse-names":false,"suffix":""},{"dropping-particle":"","family":"Anggoro","given":"Yudhi","non-dropping-particle":"","parse-names":false,"suffix":""},{"dropping-particle":"","family":"Hidayati","given":"Nurul","non-dropping-particle":"","parse-names":false,"suffix":""}],"id":"ITEM-1","issue":"December","issued":{"date-parts":[["2024"]]},"page":"1-16","title":"Social and Economic Factors Affecting the Incidence of Anemia in Pregnant Women","type":"article-journal","volume":"1"},"uris":["http://www.mendeley.com/documents/?uuid=d4bee424-3904-48ca-a2d2-42d095f43a82"]}],"mendeley":{"formattedCitation":"[15]","plainTextFormattedCitation":"[15]","previouslyFormattedCitation":"[15]"},"properties":{"noteIndex":0},"schema":"https://github.com/citation-style-language/schema/raw/master/csl-citation.json"}</w:instrText>
      </w:r>
      <w:r w:rsidR="00DA4534" w:rsidRPr="00E71812">
        <w:rPr>
          <w:rFonts w:ascii="Arial" w:eastAsia="Times New Roman" w:hAnsi="Arial" w:cs="Arial"/>
          <w:sz w:val="20"/>
          <w:szCs w:val="20"/>
        </w:rPr>
        <w:fldChar w:fldCharType="separate"/>
      </w:r>
      <w:r w:rsidR="00DA4534" w:rsidRPr="00E71812">
        <w:rPr>
          <w:rFonts w:ascii="Arial" w:eastAsia="Times New Roman" w:hAnsi="Arial" w:cs="Arial"/>
          <w:noProof/>
          <w:sz w:val="20"/>
          <w:szCs w:val="20"/>
        </w:rPr>
        <w:t>[15]</w:t>
      </w:r>
      <w:r w:rsidR="00DA4534" w:rsidRPr="00E71812">
        <w:rPr>
          <w:rFonts w:ascii="Arial" w:eastAsia="Times New Roman" w:hAnsi="Arial" w:cs="Arial"/>
          <w:sz w:val="20"/>
          <w:szCs w:val="20"/>
        </w:rPr>
        <w:fldChar w:fldCharType="end"/>
      </w:r>
      <w:r w:rsidR="00DA4534" w:rsidRPr="00E71812">
        <w:rPr>
          <w:rFonts w:ascii="Arial" w:eastAsia="Times New Roman" w:hAnsi="Arial" w:cs="Arial"/>
          <w:sz w:val="20"/>
          <w:szCs w:val="20"/>
        </w:rPr>
        <w:t xml:space="preserve"> </w:t>
      </w:r>
      <w:r w:rsidR="00DA4534" w:rsidRPr="00E71812">
        <w:rPr>
          <w:rFonts w:ascii="Arial" w:eastAsia="Times New Roman" w:hAnsi="Arial" w:cs="Arial"/>
          <w:sz w:val="20"/>
          <w:szCs w:val="20"/>
        </w:rPr>
        <w:fldChar w:fldCharType="begin" w:fldLock="1"/>
      </w:r>
      <w:r w:rsidR="006D620C" w:rsidRPr="00E71812">
        <w:rPr>
          <w:rFonts w:ascii="Arial" w:eastAsia="Times New Roman" w:hAnsi="Arial" w:cs="Arial"/>
          <w:sz w:val="20"/>
          <w:szCs w:val="20"/>
        </w:rPr>
        <w:instrText>ADDIN CSL_CITATION {"citationItems":[{"id":"ITEM-1","itemData":{"DOI":"10.1186/s12889-025-22363-6","ISSN":"1471-2458 (Electronic)","PMID":"40148841","abstract":"BACKGROUND: The prevalence of anemia is heterogeneous: different countries and  population groups face varying risks of the disease. By identifying social, demographic, and economic factors, policymakers can define risk groups based on lifestyle and tailor measures to address the disease. This study examines and compares socioeconomic factors associated with anemia using data from two national surveys. The Russian survey relied solely on questionnaires, while the South African survey included medical examinations to confirm anemia cases. METHODS: Multinomial regression was employed to estimate the risks of anemia using a combination of socioeconomic factors. RESULTS: An inverse relationship was observed between bad habits and the risk of anemia in both samples. Education, income, and regular food consumption were found to be insignificant variables in both samples. However, household property ownership emerged as a significant factor. In South Africa, an inverse relationship with anemia risk was identified for households owning electric/gas ovens (OR = 0.769, 95% CI: 0.613-0.967, p ≤ 0.05) and washing machine (OR = 0.699, 95% CI: 0.564-0.866, p ≤ 0.01. Increased efforts for housekeeping also manifest themselves as increased risk to be anemic if an individual grows vegetables and fruits (OR = 1.333, 95% CI: 1.063-1.671, p ≤ 0.05). In Russia, factors associated with a higher socioeconomic status-such as owning a computer (OR = 0.754, 95% CI: 0.629-0.905, p ≤ 0.01), car (OR = 0.757, 95% CI: 0.610-0.938, p ≤ 0.05), or DVD player (OR = 0.819, 95% CI: 0.684-0.981, p ≤ 0.05) - were linked to a lower risk of anemia. Additionally, the habit of seeking medical help rather than self-medicating was negatively associated with anemia in the Russian sample (OR = 0.774, 95% CI: 0.704-0.850, p ≤ 0.01). CONCLUSIONS: The comparison of socio-economic factors influencing the prevalence of anemia between Russian and South African samples has validated self-assessments as a reliable proxy for health status in the context of Russia. This methodological advancement underpins current and future research based on the extensive database of the Russia Longitudinal Monitoring Survey, encompassing approximately 2,500 indicators, to investigate disease prevalence.","author":[{"dropping-particle":"","family":"Burilina","given":"Maria A","non-dropping-particle":"","parse-names":false,"suffix":""},{"dropping-particle":"","family":"Dukhi","given":"Natisha","non-dropping-particle":"","parse-names":false,"suffix":""},{"dropping-particle":"","family":"Mashkova","given":"Aleksandra L","non-dropping-particle":"","parse-names":false,"suffix":""},{"dropping-particle":"V","family":"Nevolin","given":"Ivan","non-dropping-particle":"","parse-names":false,"suffix":""},{"dropping-particle":"","family":"Sewpaul","given":"Ronel","non-dropping-particle":"","parse-names":false,"suffix":""}],"container-title":"BMC public health","id":"ITEM-1","issue":"1","issued":{"date-parts":[["2025","3"]]},"language":"eng","page":"1170","publisher-place":"England","title":"Factors that influence anemia prevalence: a comparative study of datasets from  Russia and South Africa.","type":"article-journal","volume":"25"},"uris":["http://www.mendeley.com/documents/?uuid=3cbcab41-c7f4-44b7-a1f7-656d46e6d847"]}],"mendeley":{"formattedCitation":"[16]","plainTextFormattedCitation":"[16]","previouslyFormattedCitation":"[16]"},"properties":{"noteIndex":0},"schema":"https://github.com/citation-style-language/schema/raw/master/csl-citation.json"}</w:instrText>
      </w:r>
      <w:r w:rsidR="00DA4534" w:rsidRPr="00E71812">
        <w:rPr>
          <w:rFonts w:ascii="Arial" w:eastAsia="Times New Roman" w:hAnsi="Arial" w:cs="Arial"/>
          <w:sz w:val="20"/>
          <w:szCs w:val="20"/>
        </w:rPr>
        <w:fldChar w:fldCharType="separate"/>
      </w:r>
      <w:r w:rsidR="00DA4534" w:rsidRPr="00E71812">
        <w:rPr>
          <w:rFonts w:ascii="Arial" w:eastAsia="Times New Roman" w:hAnsi="Arial" w:cs="Arial"/>
          <w:noProof/>
          <w:sz w:val="20"/>
          <w:szCs w:val="20"/>
        </w:rPr>
        <w:t>[16]</w:t>
      </w:r>
      <w:r w:rsidR="00DA4534" w:rsidRPr="00E71812">
        <w:rPr>
          <w:rFonts w:ascii="Arial" w:eastAsia="Times New Roman" w:hAnsi="Arial" w:cs="Arial"/>
          <w:sz w:val="20"/>
          <w:szCs w:val="20"/>
        </w:rPr>
        <w:fldChar w:fldCharType="end"/>
      </w:r>
      <w:r w:rsidRPr="00E71812">
        <w:rPr>
          <w:rFonts w:ascii="Arial" w:eastAsia="Times New Roman" w:hAnsi="Arial" w:cs="Arial"/>
          <w:sz w:val="20"/>
          <w:szCs w:val="20"/>
        </w:rPr>
        <w:t xml:space="preserve">. Other variables, including parity, chronic disease, supplement use, and access to healthcare, were not significantly related to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These findings highlight the recurrent nature of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and suggest that socio-demographic vulnerabilities may also play a role.</w:t>
      </w:r>
    </w:p>
    <w:p w14:paraId="79735449" w14:textId="7109C2D4" w:rsidR="006158ED" w:rsidRPr="00E71812" w:rsidRDefault="00890BB5" w:rsidP="00B15A9A">
      <w:pPr>
        <w:spacing w:after="100" w:afterAutospacing="1" w:line="360" w:lineRule="auto"/>
        <w:rPr>
          <w:rFonts w:ascii="Arial" w:eastAsia="Times New Roman" w:hAnsi="Arial" w:cs="Arial"/>
          <w:sz w:val="20"/>
          <w:szCs w:val="20"/>
        </w:rPr>
      </w:pPr>
      <w:r w:rsidRPr="00E71812">
        <w:rPr>
          <w:rFonts w:ascii="Arial" w:eastAsia="Times New Roman" w:hAnsi="Arial" w:cs="Arial"/>
          <w:b/>
          <w:bCs/>
          <w:sz w:val="20"/>
          <w:szCs w:val="20"/>
        </w:rPr>
        <w:t xml:space="preserve">Table </w:t>
      </w:r>
      <w:r w:rsidR="006158ED" w:rsidRPr="00E71812">
        <w:rPr>
          <w:rFonts w:ascii="Arial" w:eastAsia="Times New Roman" w:hAnsi="Arial" w:cs="Arial"/>
          <w:b/>
          <w:bCs/>
          <w:sz w:val="20"/>
          <w:szCs w:val="20"/>
        </w:rPr>
        <w:t>2</w:t>
      </w:r>
      <w:r w:rsidR="00B15A9A" w:rsidRPr="00E71812">
        <w:rPr>
          <w:rFonts w:ascii="Arial" w:eastAsia="Times New Roman" w:hAnsi="Arial" w:cs="Arial"/>
          <w:sz w:val="20"/>
          <w:szCs w:val="20"/>
        </w:rPr>
        <w:t xml:space="preserve">: </w:t>
      </w:r>
      <w:r w:rsidR="006158ED" w:rsidRPr="00E71812">
        <w:rPr>
          <w:rFonts w:ascii="Arial" w:eastAsia="Times New Roman" w:hAnsi="Arial" w:cs="Arial"/>
          <w:b/>
          <w:sz w:val="20"/>
          <w:szCs w:val="20"/>
        </w:rPr>
        <w:t xml:space="preserve">Chi-Square Tests of Association Between Selected Predictors and </w:t>
      </w:r>
      <w:r w:rsidR="000375ED" w:rsidRPr="00E71812">
        <w:rPr>
          <w:rFonts w:ascii="Arial" w:eastAsia="Times New Roman" w:hAnsi="Arial" w:cs="Arial"/>
          <w:b/>
          <w:sz w:val="20"/>
          <w:szCs w:val="20"/>
        </w:rPr>
        <w:t>Anemia</w:t>
      </w:r>
      <w:r w:rsidR="009574DF" w:rsidRPr="00E71812">
        <w:rPr>
          <w:rFonts w:ascii="Arial" w:eastAsia="Times New Roman" w:hAnsi="Arial" w:cs="Arial"/>
          <w:b/>
          <w:sz w:val="20"/>
          <w:szCs w:val="20"/>
        </w:rPr>
        <w:t xml:space="preserve"> using the total participants (N</w:t>
      </w:r>
      <w:r w:rsidRPr="00E71812">
        <w:rPr>
          <w:rFonts w:ascii="Arial" w:eastAsia="Times New Roman" w:hAnsi="Arial" w:cs="Arial"/>
          <w:b/>
          <w:sz w:val="20"/>
          <w:szCs w:val="20"/>
        </w:rPr>
        <w:t>)=360</w:t>
      </w:r>
    </w:p>
    <w:tbl>
      <w:tblPr>
        <w:tblStyle w:val="TableGrid"/>
        <w:tblW w:w="0" w:type="auto"/>
        <w:tblLook w:val="04A0" w:firstRow="1" w:lastRow="0" w:firstColumn="1" w:lastColumn="0" w:noHBand="0" w:noVBand="1"/>
      </w:tblPr>
      <w:tblGrid>
        <w:gridCol w:w="2529"/>
        <w:gridCol w:w="949"/>
        <w:gridCol w:w="900"/>
        <w:gridCol w:w="2250"/>
        <w:gridCol w:w="1710"/>
      </w:tblGrid>
      <w:tr w:rsidR="00E71812" w:rsidRPr="00E71812" w14:paraId="3C8E2ECF" w14:textId="77777777" w:rsidTr="00890BB5">
        <w:tc>
          <w:tcPr>
            <w:tcW w:w="0" w:type="auto"/>
            <w:hideMark/>
          </w:tcPr>
          <w:p w14:paraId="58757518" w14:textId="77777777" w:rsidR="006158ED" w:rsidRPr="00E71812" w:rsidRDefault="006158ED"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Predictor</w:t>
            </w:r>
          </w:p>
        </w:tc>
        <w:tc>
          <w:tcPr>
            <w:tcW w:w="949" w:type="dxa"/>
            <w:hideMark/>
          </w:tcPr>
          <w:p w14:paraId="2D1A0E3C" w14:textId="77777777" w:rsidR="006158ED" w:rsidRPr="00E71812" w:rsidRDefault="009574DF"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N</w:t>
            </w:r>
          </w:p>
        </w:tc>
        <w:tc>
          <w:tcPr>
            <w:tcW w:w="900" w:type="dxa"/>
            <w:hideMark/>
          </w:tcPr>
          <w:p w14:paraId="5BA0D894" w14:textId="77777777" w:rsidR="006158ED" w:rsidRPr="00E71812" w:rsidRDefault="006158ED"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χ²</w:t>
            </w:r>
          </w:p>
        </w:tc>
        <w:tc>
          <w:tcPr>
            <w:tcW w:w="2250" w:type="dxa"/>
            <w:hideMark/>
          </w:tcPr>
          <w:p w14:paraId="44A19C3A" w14:textId="77777777" w:rsidR="006158ED" w:rsidRPr="00E71812" w:rsidRDefault="00890BB5"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Degree o</w:t>
            </w:r>
            <w:r w:rsidR="006158ED" w:rsidRPr="00E71812">
              <w:rPr>
                <w:rFonts w:ascii="Arial" w:eastAsia="Times New Roman" w:hAnsi="Arial" w:cs="Arial"/>
                <w:b/>
                <w:bCs/>
                <w:sz w:val="20"/>
                <w:szCs w:val="20"/>
              </w:rPr>
              <w:t>f</w:t>
            </w:r>
            <w:r w:rsidRPr="00E71812">
              <w:rPr>
                <w:rFonts w:ascii="Arial" w:eastAsia="Times New Roman" w:hAnsi="Arial" w:cs="Arial"/>
                <w:b/>
                <w:bCs/>
                <w:sz w:val="20"/>
                <w:szCs w:val="20"/>
              </w:rPr>
              <w:t xml:space="preserve"> freedom</w:t>
            </w:r>
          </w:p>
        </w:tc>
        <w:tc>
          <w:tcPr>
            <w:tcW w:w="1710" w:type="dxa"/>
            <w:hideMark/>
          </w:tcPr>
          <w:p w14:paraId="06F33D95" w14:textId="77777777" w:rsidR="006158ED" w:rsidRPr="00E71812" w:rsidRDefault="00890BB5"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i/>
                <w:sz w:val="20"/>
                <w:szCs w:val="20"/>
              </w:rPr>
              <w:t>P</w:t>
            </w:r>
            <w:r w:rsidRPr="00E71812">
              <w:rPr>
                <w:rFonts w:ascii="Arial" w:eastAsia="Times New Roman" w:hAnsi="Arial" w:cs="Arial"/>
                <w:b/>
                <w:bCs/>
                <w:sz w:val="20"/>
                <w:szCs w:val="20"/>
              </w:rPr>
              <w:t xml:space="preserve">-value </w:t>
            </w:r>
          </w:p>
        </w:tc>
      </w:tr>
      <w:tr w:rsidR="00E71812" w:rsidRPr="00E71812" w14:paraId="57C8B3AD" w14:textId="77777777" w:rsidTr="00890BB5">
        <w:tc>
          <w:tcPr>
            <w:tcW w:w="0" w:type="auto"/>
            <w:hideMark/>
          </w:tcPr>
          <w:p w14:paraId="35A67F16" w14:textId="4F5AFD0B"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 xml:space="preserve">History of </w:t>
            </w:r>
            <w:r w:rsidR="000375ED" w:rsidRPr="00E71812">
              <w:rPr>
                <w:rFonts w:ascii="Arial" w:eastAsia="Times New Roman" w:hAnsi="Arial" w:cs="Arial"/>
                <w:sz w:val="20"/>
                <w:szCs w:val="20"/>
              </w:rPr>
              <w:t>anemia</w:t>
            </w:r>
          </w:p>
        </w:tc>
        <w:tc>
          <w:tcPr>
            <w:tcW w:w="949" w:type="dxa"/>
            <w:hideMark/>
          </w:tcPr>
          <w:p w14:paraId="4F663832"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360</w:t>
            </w:r>
          </w:p>
        </w:tc>
        <w:tc>
          <w:tcPr>
            <w:tcW w:w="900" w:type="dxa"/>
            <w:hideMark/>
          </w:tcPr>
          <w:p w14:paraId="1F86C1C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4.22</w:t>
            </w:r>
          </w:p>
        </w:tc>
        <w:tc>
          <w:tcPr>
            <w:tcW w:w="2250" w:type="dxa"/>
            <w:hideMark/>
          </w:tcPr>
          <w:p w14:paraId="0FC42963" w14:textId="77777777" w:rsidR="006158ED" w:rsidRPr="00E71812" w:rsidRDefault="006158ED" w:rsidP="00CA470D">
            <w:pPr>
              <w:spacing w:beforeAutospacing="0" w:line="360" w:lineRule="auto"/>
              <w:jc w:val="center"/>
              <w:rPr>
                <w:rFonts w:ascii="Arial" w:eastAsia="Times New Roman" w:hAnsi="Arial" w:cs="Arial"/>
                <w:sz w:val="20"/>
                <w:szCs w:val="20"/>
              </w:rPr>
            </w:pPr>
            <w:r w:rsidRPr="00E71812">
              <w:rPr>
                <w:rFonts w:ascii="Arial" w:eastAsia="Times New Roman" w:hAnsi="Arial" w:cs="Arial"/>
                <w:sz w:val="20"/>
                <w:szCs w:val="20"/>
              </w:rPr>
              <w:t>1</w:t>
            </w:r>
          </w:p>
        </w:tc>
        <w:tc>
          <w:tcPr>
            <w:tcW w:w="1710" w:type="dxa"/>
            <w:hideMark/>
          </w:tcPr>
          <w:p w14:paraId="737482BE" w14:textId="77777777" w:rsidR="006158ED" w:rsidRPr="00E71812" w:rsidRDefault="00890BB5"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.040</w:t>
            </w:r>
          </w:p>
        </w:tc>
      </w:tr>
      <w:tr w:rsidR="00E71812" w:rsidRPr="00E71812" w14:paraId="50106CBE" w14:textId="77777777" w:rsidTr="00890BB5">
        <w:tc>
          <w:tcPr>
            <w:tcW w:w="0" w:type="auto"/>
            <w:hideMark/>
          </w:tcPr>
          <w:p w14:paraId="49A1C90A"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Occupation</w:t>
            </w:r>
          </w:p>
        </w:tc>
        <w:tc>
          <w:tcPr>
            <w:tcW w:w="949" w:type="dxa"/>
            <w:hideMark/>
          </w:tcPr>
          <w:p w14:paraId="5EAA72A0"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360</w:t>
            </w:r>
          </w:p>
        </w:tc>
        <w:tc>
          <w:tcPr>
            <w:tcW w:w="900" w:type="dxa"/>
            <w:hideMark/>
          </w:tcPr>
          <w:p w14:paraId="4BFC56D7"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9.02</w:t>
            </w:r>
          </w:p>
        </w:tc>
        <w:tc>
          <w:tcPr>
            <w:tcW w:w="2250" w:type="dxa"/>
            <w:hideMark/>
          </w:tcPr>
          <w:p w14:paraId="2A9C5378" w14:textId="77777777" w:rsidR="006158ED" w:rsidRPr="00E71812" w:rsidRDefault="006158ED" w:rsidP="00CA470D">
            <w:pPr>
              <w:spacing w:beforeAutospacing="0" w:line="360" w:lineRule="auto"/>
              <w:jc w:val="center"/>
              <w:rPr>
                <w:rFonts w:ascii="Arial" w:eastAsia="Times New Roman" w:hAnsi="Arial" w:cs="Arial"/>
                <w:sz w:val="20"/>
                <w:szCs w:val="20"/>
              </w:rPr>
            </w:pPr>
            <w:r w:rsidRPr="00E71812">
              <w:rPr>
                <w:rFonts w:ascii="Arial" w:eastAsia="Times New Roman" w:hAnsi="Arial" w:cs="Arial"/>
                <w:sz w:val="20"/>
                <w:szCs w:val="20"/>
              </w:rPr>
              <w:t>4</w:t>
            </w:r>
          </w:p>
        </w:tc>
        <w:tc>
          <w:tcPr>
            <w:tcW w:w="1710" w:type="dxa"/>
            <w:hideMark/>
          </w:tcPr>
          <w:p w14:paraId="4A3AE282"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.061</w:t>
            </w:r>
          </w:p>
        </w:tc>
      </w:tr>
      <w:tr w:rsidR="00E71812" w:rsidRPr="00E71812" w14:paraId="2FFD6C1E" w14:textId="77777777" w:rsidTr="00890BB5">
        <w:tc>
          <w:tcPr>
            <w:tcW w:w="0" w:type="auto"/>
            <w:hideMark/>
          </w:tcPr>
          <w:p w14:paraId="212894DC"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Marital status</w:t>
            </w:r>
          </w:p>
        </w:tc>
        <w:tc>
          <w:tcPr>
            <w:tcW w:w="949" w:type="dxa"/>
            <w:hideMark/>
          </w:tcPr>
          <w:p w14:paraId="2CE37B9D"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360</w:t>
            </w:r>
          </w:p>
        </w:tc>
        <w:tc>
          <w:tcPr>
            <w:tcW w:w="900" w:type="dxa"/>
            <w:hideMark/>
          </w:tcPr>
          <w:p w14:paraId="2E09F8A6"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6.60</w:t>
            </w:r>
          </w:p>
        </w:tc>
        <w:tc>
          <w:tcPr>
            <w:tcW w:w="2250" w:type="dxa"/>
            <w:hideMark/>
          </w:tcPr>
          <w:p w14:paraId="4F94BE23" w14:textId="77777777" w:rsidR="006158ED" w:rsidRPr="00E71812" w:rsidRDefault="006158ED" w:rsidP="00CA470D">
            <w:pPr>
              <w:spacing w:beforeAutospacing="0" w:line="360" w:lineRule="auto"/>
              <w:jc w:val="center"/>
              <w:rPr>
                <w:rFonts w:ascii="Arial" w:eastAsia="Times New Roman" w:hAnsi="Arial" w:cs="Arial"/>
                <w:sz w:val="20"/>
                <w:szCs w:val="20"/>
              </w:rPr>
            </w:pPr>
            <w:r w:rsidRPr="00E71812">
              <w:rPr>
                <w:rFonts w:ascii="Arial" w:eastAsia="Times New Roman" w:hAnsi="Arial" w:cs="Arial"/>
                <w:sz w:val="20"/>
                <w:szCs w:val="20"/>
              </w:rPr>
              <w:t>3</w:t>
            </w:r>
          </w:p>
        </w:tc>
        <w:tc>
          <w:tcPr>
            <w:tcW w:w="1710" w:type="dxa"/>
            <w:hideMark/>
          </w:tcPr>
          <w:p w14:paraId="184F29A5"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.086</w:t>
            </w:r>
          </w:p>
        </w:tc>
      </w:tr>
      <w:tr w:rsidR="00E71812" w:rsidRPr="00E71812" w14:paraId="2CEB79AD" w14:textId="77777777" w:rsidTr="00890BB5">
        <w:tc>
          <w:tcPr>
            <w:tcW w:w="0" w:type="auto"/>
            <w:hideMark/>
          </w:tcPr>
          <w:p w14:paraId="28299830"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Chronic disease</w:t>
            </w:r>
          </w:p>
        </w:tc>
        <w:tc>
          <w:tcPr>
            <w:tcW w:w="949" w:type="dxa"/>
            <w:hideMark/>
          </w:tcPr>
          <w:p w14:paraId="5EC02262"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360</w:t>
            </w:r>
          </w:p>
        </w:tc>
        <w:tc>
          <w:tcPr>
            <w:tcW w:w="900" w:type="dxa"/>
            <w:hideMark/>
          </w:tcPr>
          <w:p w14:paraId="0BF3E53E"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2.27</w:t>
            </w:r>
          </w:p>
        </w:tc>
        <w:tc>
          <w:tcPr>
            <w:tcW w:w="2250" w:type="dxa"/>
            <w:hideMark/>
          </w:tcPr>
          <w:p w14:paraId="26AE349F" w14:textId="77777777" w:rsidR="006158ED" w:rsidRPr="00E71812" w:rsidRDefault="006158ED" w:rsidP="00CA470D">
            <w:pPr>
              <w:spacing w:beforeAutospacing="0" w:line="360" w:lineRule="auto"/>
              <w:jc w:val="center"/>
              <w:rPr>
                <w:rFonts w:ascii="Arial" w:eastAsia="Times New Roman" w:hAnsi="Arial" w:cs="Arial"/>
                <w:sz w:val="20"/>
                <w:szCs w:val="20"/>
              </w:rPr>
            </w:pPr>
            <w:r w:rsidRPr="00E71812">
              <w:rPr>
                <w:rFonts w:ascii="Arial" w:eastAsia="Times New Roman" w:hAnsi="Arial" w:cs="Arial"/>
                <w:sz w:val="20"/>
                <w:szCs w:val="20"/>
              </w:rPr>
              <w:t>1</w:t>
            </w:r>
          </w:p>
        </w:tc>
        <w:tc>
          <w:tcPr>
            <w:tcW w:w="1710" w:type="dxa"/>
            <w:hideMark/>
          </w:tcPr>
          <w:p w14:paraId="04257AFA"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.132</w:t>
            </w:r>
          </w:p>
        </w:tc>
      </w:tr>
      <w:tr w:rsidR="00E71812" w:rsidRPr="00E71812" w14:paraId="3375A656" w14:textId="77777777" w:rsidTr="00890BB5">
        <w:tc>
          <w:tcPr>
            <w:tcW w:w="0" w:type="auto"/>
            <w:hideMark/>
          </w:tcPr>
          <w:p w14:paraId="60A7A5CE"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Heavy menstrual bleeding</w:t>
            </w:r>
          </w:p>
        </w:tc>
        <w:tc>
          <w:tcPr>
            <w:tcW w:w="949" w:type="dxa"/>
            <w:hideMark/>
          </w:tcPr>
          <w:p w14:paraId="1A90C660"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360</w:t>
            </w:r>
          </w:p>
        </w:tc>
        <w:tc>
          <w:tcPr>
            <w:tcW w:w="900" w:type="dxa"/>
            <w:hideMark/>
          </w:tcPr>
          <w:p w14:paraId="3F1711FD"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1.45</w:t>
            </w:r>
          </w:p>
        </w:tc>
        <w:tc>
          <w:tcPr>
            <w:tcW w:w="2250" w:type="dxa"/>
            <w:hideMark/>
          </w:tcPr>
          <w:p w14:paraId="7319EAD4" w14:textId="77777777" w:rsidR="006158ED" w:rsidRPr="00E71812" w:rsidRDefault="006158ED" w:rsidP="00CA470D">
            <w:pPr>
              <w:spacing w:beforeAutospacing="0" w:line="360" w:lineRule="auto"/>
              <w:jc w:val="center"/>
              <w:rPr>
                <w:rFonts w:ascii="Arial" w:eastAsia="Times New Roman" w:hAnsi="Arial" w:cs="Arial"/>
                <w:sz w:val="20"/>
                <w:szCs w:val="20"/>
              </w:rPr>
            </w:pPr>
            <w:r w:rsidRPr="00E71812">
              <w:rPr>
                <w:rFonts w:ascii="Arial" w:eastAsia="Times New Roman" w:hAnsi="Arial" w:cs="Arial"/>
                <w:sz w:val="20"/>
                <w:szCs w:val="20"/>
              </w:rPr>
              <w:t>1</w:t>
            </w:r>
          </w:p>
        </w:tc>
        <w:tc>
          <w:tcPr>
            <w:tcW w:w="1710" w:type="dxa"/>
            <w:hideMark/>
          </w:tcPr>
          <w:p w14:paraId="4452B1A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.229</w:t>
            </w:r>
          </w:p>
        </w:tc>
      </w:tr>
      <w:tr w:rsidR="00E71812" w:rsidRPr="00E71812" w14:paraId="1DA7034D" w14:textId="77777777" w:rsidTr="00890BB5">
        <w:tc>
          <w:tcPr>
            <w:tcW w:w="0" w:type="auto"/>
            <w:hideMark/>
          </w:tcPr>
          <w:p w14:paraId="437B0F3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Parity</w:t>
            </w:r>
          </w:p>
        </w:tc>
        <w:tc>
          <w:tcPr>
            <w:tcW w:w="949" w:type="dxa"/>
            <w:hideMark/>
          </w:tcPr>
          <w:p w14:paraId="63030F30"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360</w:t>
            </w:r>
          </w:p>
        </w:tc>
        <w:tc>
          <w:tcPr>
            <w:tcW w:w="900" w:type="dxa"/>
            <w:hideMark/>
          </w:tcPr>
          <w:p w14:paraId="076A815A"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5.61</w:t>
            </w:r>
          </w:p>
        </w:tc>
        <w:tc>
          <w:tcPr>
            <w:tcW w:w="2250" w:type="dxa"/>
            <w:hideMark/>
          </w:tcPr>
          <w:p w14:paraId="1BF1162A" w14:textId="77777777" w:rsidR="006158ED" w:rsidRPr="00E71812" w:rsidRDefault="006158ED" w:rsidP="00CA470D">
            <w:pPr>
              <w:spacing w:beforeAutospacing="0" w:line="360" w:lineRule="auto"/>
              <w:jc w:val="center"/>
              <w:rPr>
                <w:rFonts w:ascii="Arial" w:eastAsia="Times New Roman" w:hAnsi="Arial" w:cs="Arial"/>
                <w:sz w:val="20"/>
                <w:szCs w:val="20"/>
              </w:rPr>
            </w:pPr>
            <w:r w:rsidRPr="00E71812">
              <w:rPr>
                <w:rFonts w:ascii="Arial" w:eastAsia="Times New Roman" w:hAnsi="Arial" w:cs="Arial"/>
                <w:sz w:val="20"/>
                <w:szCs w:val="20"/>
              </w:rPr>
              <w:t>4</w:t>
            </w:r>
          </w:p>
        </w:tc>
        <w:tc>
          <w:tcPr>
            <w:tcW w:w="1710" w:type="dxa"/>
            <w:hideMark/>
          </w:tcPr>
          <w:p w14:paraId="0AEC132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.230</w:t>
            </w:r>
          </w:p>
        </w:tc>
      </w:tr>
      <w:tr w:rsidR="00E71812" w:rsidRPr="00E71812" w14:paraId="3798E4D6" w14:textId="77777777" w:rsidTr="00890BB5">
        <w:tc>
          <w:tcPr>
            <w:tcW w:w="0" w:type="auto"/>
            <w:hideMark/>
          </w:tcPr>
          <w:p w14:paraId="2B3675CB"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Supplements</w:t>
            </w:r>
          </w:p>
        </w:tc>
        <w:tc>
          <w:tcPr>
            <w:tcW w:w="949" w:type="dxa"/>
            <w:hideMark/>
          </w:tcPr>
          <w:p w14:paraId="6351B7E6"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360</w:t>
            </w:r>
          </w:p>
        </w:tc>
        <w:tc>
          <w:tcPr>
            <w:tcW w:w="900" w:type="dxa"/>
            <w:hideMark/>
          </w:tcPr>
          <w:p w14:paraId="5108D38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1.29</w:t>
            </w:r>
          </w:p>
        </w:tc>
        <w:tc>
          <w:tcPr>
            <w:tcW w:w="2250" w:type="dxa"/>
            <w:hideMark/>
          </w:tcPr>
          <w:p w14:paraId="5AA72413" w14:textId="77777777" w:rsidR="006158ED" w:rsidRPr="00E71812" w:rsidRDefault="006158ED" w:rsidP="00CA470D">
            <w:pPr>
              <w:spacing w:beforeAutospacing="0" w:line="360" w:lineRule="auto"/>
              <w:jc w:val="center"/>
              <w:rPr>
                <w:rFonts w:ascii="Arial" w:eastAsia="Times New Roman" w:hAnsi="Arial" w:cs="Arial"/>
                <w:sz w:val="20"/>
                <w:szCs w:val="20"/>
              </w:rPr>
            </w:pPr>
            <w:r w:rsidRPr="00E71812">
              <w:rPr>
                <w:rFonts w:ascii="Arial" w:eastAsia="Times New Roman" w:hAnsi="Arial" w:cs="Arial"/>
                <w:sz w:val="20"/>
                <w:szCs w:val="20"/>
              </w:rPr>
              <w:t>1</w:t>
            </w:r>
          </w:p>
        </w:tc>
        <w:tc>
          <w:tcPr>
            <w:tcW w:w="1710" w:type="dxa"/>
            <w:hideMark/>
          </w:tcPr>
          <w:p w14:paraId="591FE4C9"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.255</w:t>
            </w:r>
          </w:p>
        </w:tc>
      </w:tr>
      <w:tr w:rsidR="00E71812" w:rsidRPr="00E71812" w14:paraId="5BBA4B6F" w14:textId="77777777" w:rsidTr="00890BB5">
        <w:tc>
          <w:tcPr>
            <w:tcW w:w="0" w:type="auto"/>
            <w:hideMark/>
          </w:tcPr>
          <w:p w14:paraId="7F8FBC35"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Access to Healthcare</w:t>
            </w:r>
          </w:p>
        </w:tc>
        <w:tc>
          <w:tcPr>
            <w:tcW w:w="949" w:type="dxa"/>
            <w:hideMark/>
          </w:tcPr>
          <w:p w14:paraId="48342E9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360</w:t>
            </w:r>
          </w:p>
        </w:tc>
        <w:tc>
          <w:tcPr>
            <w:tcW w:w="900" w:type="dxa"/>
            <w:hideMark/>
          </w:tcPr>
          <w:p w14:paraId="14ED5CDC"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1.72</w:t>
            </w:r>
          </w:p>
        </w:tc>
        <w:tc>
          <w:tcPr>
            <w:tcW w:w="2250" w:type="dxa"/>
            <w:hideMark/>
          </w:tcPr>
          <w:p w14:paraId="71102841" w14:textId="77777777" w:rsidR="006158ED" w:rsidRPr="00E71812" w:rsidRDefault="006158ED" w:rsidP="00CA470D">
            <w:pPr>
              <w:spacing w:beforeAutospacing="0" w:line="360" w:lineRule="auto"/>
              <w:jc w:val="center"/>
              <w:rPr>
                <w:rFonts w:ascii="Arial" w:eastAsia="Times New Roman" w:hAnsi="Arial" w:cs="Arial"/>
                <w:sz w:val="20"/>
                <w:szCs w:val="20"/>
              </w:rPr>
            </w:pPr>
            <w:r w:rsidRPr="00E71812">
              <w:rPr>
                <w:rFonts w:ascii="Arial" w:eastAsia="Times New Roman" w:hAnsi="Arial" w:cs="Arial"/>
                <w:sz w:val="20"/>
                <w:szCs w:val="20"/>
              </w:rPr>
              <w:t>2</w:t>
            </w:r>
          </w:p>
        </w:tc>
        <w:tc>
          <w:tcPr>
            <w:tcW w:w="1710" w:type="dxa"/>
            <w:hideMark/>
          </w:tcPr>
          <w:p w14:paraId="13E538A2"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.423</w:t>
            </w:r>
          </w:p>
        </w:tc>
      </w:tr>
      <w:tr w:rsidR="00E71812" w:rsidRPr="00E71812" w14:paraId="7E184463" w14:textId="77777777" w:rsidTr="00890BB5">
        <w:tc>
          <w:tcPr>
            <w:tcW w:w="0" w:type="auto"/>
            <w:hideMark/>
          </w:tcPr>
          <w:p w14:paraId="14ECBE17"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lastRenderedPageBreak/>
              <w:t>Education</w:t>
            </w:r>
          </w:p>
        </w:tc>
        <w:tc>
          <w:tcPr>
            <w:tcW w:w="949" w:type="dxa"/>
            <w:hideMark/>
          </w:tcPr>
          <w:p w14:paraId="594526E2"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360</w:t>
            </w:r>
          </w:p>
        </w:tc>
        <w:tc>
          <w:tcPr>
            <w:tcW w:w="900" w:type="dxa"/>
            <w:hideMark/>
          </w:tcPr>
          <w:p w14:paraId="4CF1A496"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2.25</w:t>
            </w:r>
          </w:p>
        </w:tc>
        <w:tc>
          <w:tcPr>
            <w:tcW w:w="2250" w:type="dxa"/>
            <w:hideMark/>
          </w:tcPr>
          <w:p w14:paraId="6D43EB53" w14:textId="77777777" w:rsidR="006158ED" w:rsidRPr="00E71812" w:rsidRDefault="006158ED" w:rsidP="00CA470D">
            <w:pPr>
              <w:spacing w:beforeAutospacing="0" w:line="360" w:lineRule="auto"/>
              <w:jc w:val="center"/>
              <w:rPr>
                <w:rFonts w:ascii="Arial" w:eastAsia="Times New Roman" w:hAnsi="Arial" w:cs="Arial"/>
                <w:sz w:val="20"/>
                <w:szCs w:val="20"/>
              </w:rPr>
            </w:pPr>
            <w:r w:rsidRPr="00E71812">
              <w:rPr>
                <w:rFonts w:ascii="Arial" w:eastAsia="Times New Roman" w:hAnsi="Arial" w:cs="Arial"/>
                <w:sz w:val="20"/>
                <w:szCs w:val="20"/>
              </w:rPr>
              <w:t>3</w:t>
            </w:r>
          </w:p>
        </w:tc>
        <w:tc>
          <w:tcPr>
            <w:tcW w:w="1710" w:type="dxa"/>
            <w:hideMark/>
          </w:tcPr>
          <w:p w14:paraId="61A7D160"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.523</w:t>
            </w:r>
          </w:p>
        </w:tc>
      </w:tr>
      <w:tr w:rsidR="00E71812" w:rsidRPr="00E71812" w14:paraId="5443B0D7" w14:textId="77777777" w:rsidTr="00890BB5">
        <w:tc>
          <w:tcPr>
            <w:tcW w:w="0" w:type="auto"/>
            <w:hideMark/>
          </w:tcPr>
          <w:p w14:paraId="0404751E"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Age group</w:t>
            </w:r>
          </w:p>
        </w:tc>
        <w:tc>
          <w:tcPr>
            <w:tcW w:w="949" w:type="dxa"/>
            <w:hideMark/>
          </w:tcPr>
          <w:p w14:paraId="3A0DA9C9"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360</w:t>
            </w:r>
          </w:p>
        </w:tc>
        <w:tc>
          <w:tcPr>
            <w:tcW w:w="900" w:type="dxa"/>
            <w:hideMark/>
          </w:tcPr>
          <w:p w14:paraId="39374C1A"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1.63</w:t>
            </w:r>
          </w:p>
        </w:tc>
        <w:tc>
          <w:tcPr>
            <w:tcW w:w="2250" w:type="dxa"/>
            <w:hideMark/>
          </w:tcPr>
          <w:p w14:paraId="196F513F" w14:textId="77777777" w:rsidR="006158ED" w:rsidRPr="00E71812" w:rsidRDefault="006158ED" w:rsidP="00CA470D">
            <w:pPr>
              <w:spacing w:beforeAutospacing="0" w:line="360" w:lineRule="auto"/>
              <w:jc w:val="center"/>
              <w:rPr>
                <w:rFonts w:ascii="Arial" w:eastAsia="Times New Roman" w:hAnsi="Arial" w:cs="Arial"/>
                <w:sz w:val="20"/>
                <w:szCs w:val="20"/>
              </w:rPr>
            </w:pPr>
            <w:r w:rsidRPr="00E71812">
              <w:rPr>
                <w:rFonts w:ascii="Arial" w:eastAsia="Times New Roman" w:hAnsi="Arial" w:cs="Arial"/>
                <w:sz w:val="20"/>
                <w:szCs w:val="20"/>
              </w:rPr>
              <w:t>3</w:t>
            </w:r>
          </w:p>
        </w:tc>
        <w:tc>
          <w:tcPr>
            <w:tcW w:w="1710" w:type="dxa"/>
            <w:hideMark/>
          </w:tcPr>
          <w:p w14:paraId="5E8CA285"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.653</w:t>
            </w:r>
          </w:p>
        </w:tc>
      </w:tr>
      <w:tr w:rsidR="00E71812" w:rsidRPr="00E71812" w14:paraId="34D97C6D" w14:textId="77777777" w:rsidTr="00890BB5">
        <w:tc>
          <w:tcPr>
            <w:tcW w:w="0" w:type="auto"/>
            <w:hideMark/>
          </w:tcPr>
          <w:p w14:paraId="43E410DB"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Alcohol</w:t>
            </w:r>
          </w:p>
        </w:tc>
        <w:tc>
          <w:tcPr>
            <w:tcW w:w="949" w:type="dxa"/>
            <w:hideMark/>
          </w:tcPr>
          <w:p w14:paraId="1F6778DA"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360</w:t>
            </w:r>
          </w:p>
        </w:tc>
        <w:tc>
          <w:tcPr>
            <w:tcW w:w="900" w:type="dxa"/>
            <w:hideMark/>
          </w:tcPr>
          <w:p w14:paraId="5F940E1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0.17</w:t>
            </w:r>
          </w:p>
        </w:tc>
        <w:tc>
          <w:tcPr>
            <w:tcW w:w="2250" w:type="dxa"/>
            <w:hideMark/>
          </w:tcPr>
          <w:p w14:paraId="4DEEADAD" w14:textId="77777777" w:rsidR="006158ED" w:rsidRPr="00E71812" w:rsidRDefault="006158ED" w:rsidP="00CA470D">
            <w:pPr>
              <w:spacing w:beforeAutospacing="0" w:line="360" w:lineRule="auto"/>
              <w:jc w:val="center"/>
              <w:rPr>
                <w:rFonts w:ascii="Arial" w:eastAsia="Times New Roman" w:hAnsi="Arial" w:cs="Arial"/>
                <w:sz w:val="20"/>
                <w:szCs w:val="20"/>
              </w:rPr>
            </w:pPr>
            <w:r w:rsidRPr="00E71812">
              <w:rPr>
                <w:rFonts w:ascii="Arial" w:eastAsia="Times New Roman" w:hAnsi="Arial" w:cs="Arial"/>
                <w:sz w:val="20"/>
                <w:szCs w:val="20"/>
              </w:rPr>
              <w:t>1</w:t>
            </w:r>
          </w:p>
        </w:tc>
        <w:tc>
          <w:tcPr>
            <w:tcW w:w="1710" w:type="dxa"/>
            <w:hideMark/>
          </w:tcPr>
          <w:p w14:paraId="5889ADB2"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.683</w:t>
            </w:r>
          </w:p>
        </w:tc>
      </w:tr>
      <w:tr w:rsidR="00E71812" w:rsidRPr="00E71812" w14:paraId="71F7C755" w14:textId="77777777" w:rsidTr="00890BB5">
        <w:tc>
          <w:tcPr>
            <w:tcW w:w="0" w:type="auto"/>
            <w:hideMark/>
          </w:tcPr>
          <w:p w14:paraId="1687379E"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Smoking</w:t>
            </w:r>
          </w:p>
        </w:tc>
        <w:tc>
          <w:tcPr>
            <w:tcW w:w="949" w:type="dxa"/>
            <w:hideMark/>
          </w:tcPr>
          <w:p w14:paraId="5C6D6FF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360</w:t>
            </w:r>
          </w:p>
        </w:tc>
        <w:tc>
          <w:tcPr>
            <w:tcW w:w="900" w:type="dxa"/>
            <w:hideMark/>
          </w:tcPr>
          <w:p w14:paraId="6D6CCF6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0.09</w:t>
            </w:r>
          </w:p>
        </w:tc>
        <w:tc>
          <w:tcPr>
            <w:tcW w:w="2250" w:type="dxa"/>
            <w:hideMark/>
          </w:tcPr>
          <w:p w14:paraId="025CEA73" w14:textId="77777777" w:rsidR="006158ED" w:rsidRPr="00E71812" w:rsidRDefault="006158ED" w:rsidP="00CA470D">
            <w:pPr>
              <w:spacing w:beforeAutospacing="0" w:line="360" w:lineRule="auto"/>
              <w:jc w:val="center"/>
              <w:rPr>
                <w:rFonts w:ascii="Arial" w:eastAsia="Times New Roman" w:hAnsi="Arial" w:cs="Arial"/>
                <w:sz w:val="20"/>
                <w:szCs w:val="20"/>
              </w:rPr>
            </w:pPr>
            <w:r w:rsidRPr="00E71812">
              <w:rPr>
                <w:rFonts w:ascii="Arial" w:eastAsia="Times New Roman" w:hAnsi="Arial" w:cs="Arial"/>
                <w:sz w:val="20"/>
                <w:szCs w:val="20"/>
              </w:rPr>
              <w:t>1</w:t>
            </w:r>
          </w:p>
        </w:tc>
        <w:tc>
          <w:tcPr>
            <w:tcW w:w="1710" w:type="dxa"/>
            <w:hideMark/>
          </w:tcPr>
          <w:p w14:paraId="419AFD6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.766</w:t>
            </w:r>
          </w:p>
        </w:tc>
      </w:tr>
      <w:tr w:rsidR="006158ED" w:rsidRPr="00E71812" w14:paraId="75685F4B" w14:textId="77777777" w:rsidTr="00890BB5">
        <w:tc>
          <w:tcPr>
            <w:tcW w:w="0" w:type="auto"/>
            <w:hideMark/>
          </w:tcPr>
          <w:p w14:paraId="49A70F3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Trimester</w:t>
            </w:r>
          </w:p>
        </w:tc>
        <w:tc>
          <w:tcPr>
            <w:tcW w:w="949" w:type="dxa"/>
            <w:hideMark/>
          </w:tcPr>
          <w:p w14:paraId="28FEF32B"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360</w:t>
            </w:r>
          </w:p>
        </w:tc>
        <w:tc>
          <w:tcPr>
            <w:tcW w:w="900" w:type="dxa"/>
            <w:hideMark/>
          </w:tcPr>
          <w:p w14:paraId="57C371B7"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0.13</w:t>
            </w:r>
          </w:p>
        </w:tc>
        <w:tc>
          <w:tcPr>
            <w:tcW w:w="2250" w:type="dxa"/>
            <w:hideMark/>
          </w:tcPr>
          <w:p w14:paraId="7FEE630D" w14:textId="77777777" w:rsidR="006158ED" w:rsidRPr="00E71812" w:rsidRDefault="006158ED" w:rsidP="00CA470D">
            <w:pPr>
              <w:spacing w:beforeAutospacing="0" w:line="360" w:lineRule="auto"/>
              <w:jc w:val="center"/>
              <w:rPr>
                <w:rFonts w:ascii="Arial" w:eastAsia="Times New Roman" w:hAnsi="Arial" w:cs="Arial"/>
                <w:sz w:val="20"/>
                <w:szCs w:val="20"/>
              </w:rPr>
            </w:pPr>
            <w:r w:rsidRPr="00E71812">
              <w:rPr>
                <w:rFonts w:ascii="Arial" w:eastAsia="Times New Roman" w:hAnsi="Arial" w:cs="Arial"/>
                <w:sz w:val="20"/>
                <w:szCs w:val="20"/>
              </w:rPr>
              <w:t>2</w:t>
            </w:r>
          </w:p>
        </w:tc>
        <w:tc>
          <w:tcPr>
            <w:tcW w:w="1710" w:type="dxa"/>
            <w:hideMark/>
          </w:tcPr>
          <w:p w14:paraId="775AE74D"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.938</w:t>
            </w:r>
          </w:p>
        </w:tc>
      </w:tr>
    </w:tbl>
    <w:p w14:paraId="401CB6DC" w14:textId="77777777" w:rsidR="006158ED" w:rsidRPr="00E71812" w:rsidRDefault="006158ED" w:rsidP="00B15A9A">
      <w:pPr>
        <w:spacing w:after="100" w:afterAutospacing="1" w:line="360" w:lineRule="auto"/>
        <w:rPr>
          <w:rFonts w:ascii="Arial" w:eastAsia="Times New Roman" w:hAnsi="Arial" w:cs="Arial"/>
          <w:sz w:val="20"/>
          <w:szCs w:val="20"/>
        </w:rPr>
      </w:pPr>
    </w:p>
    <w:p w14:paraId="289FDE14" w14:textId="77777777" w:rsidR="00F24B5E" w:rsidRPr="00E71812" w:rsidRDefault="00B15A9A" w:rsidP="00B15A9A">
      <w:pPr>
        <w:spacing w:after="100" w:afterAutospacing="1" w:line="360" w:lineRule="auto"/>
        <w:outlineLvl w:val="2"/>
        <w:rPr>
          <w:rFonts w:ascii="Arial" w:eastAsia="Times New Roman" w:hAnsi="Arial" w:cs="Arial"/>
          <w:b/>
          <w:bCs/>
        </w:rPr>
      </w:pPr>
      <w:r w:rsidRPr="00E71812">
        <w:rPr>
          <w:rFonts w:ascii="Arial" w:eastAsia="Times New Roman" w:hAnsi="Arial" w:cs="Arial"/>
          <w:b/>
          <w:bCs/>
        </w:rPr>
        <w:t>3</w:t>
      </w:r>
      <w:r w:rsidR="006158ED" w:rsidRPr="00E71812">
        <w:rPr>
          <w:rFonts w:ascii="Arial" w:eastAsia="Times New Roman" w:hAnsi="Arial" w:cs="Arial"/>
          <w:b/>
          <w:bCs/>
        </w:rPr>
        <w:t xml:space="preserve">.3 </w:t>
      </w:r>
      <w:r w:rsidR="00F24B5E" w:rsidRPr="00E71812">
        <w:rPr>
          <w:rFonts w:ascii="Arial" w:eastAsia="Times New Roman" w:hAnsi="Arial" w:cs="Arial"/>
          <w:b/>
          <w:bCs/>
        </w:rPr>
        <w:t>Predictors of Low Ferritin</w:t>
      </w:r>
    </w:p>
    <w:p w14:paraId="18177C09" w14:textId="54B58937" w:rsidR="00F24B5E" w:rsidRPr="00E71812" w:rsidRDefault="00F24B5E" w:rsidP="00B15A9A">
      <w:pPr>
        <w:spacing w:after="100" w:afterAutospacing="1" w:line="360" w:lineRule="auto"/>
        <w:rPr>
          <w:rFonts w:ascii="Arial" w:eastAsia="Times New Roman" w:hAnsi="Arial" w:cs="Arial"/>
          <w:sz w:val="20"/>
          <w:szCs w:val="20"/>
        </w:rPr>
      </w:pPr>
      <w:r w:rsidRPr="00E71812">
        <w:rPr>
          <w:rFonts w:ascii="Arial" w:eastAsia="Times New Roman" w:hAnsi="Arial" w:cs="Arial"/>
          <w:sz w:val="20"/>
          <w:szCs w:val="20"/>
        </w:rPr>
        <w:t>Logistic regression analysis identified significant predictors of low ferritin, a key marker of depleted iron stores</w:t>
      </w:r>
      <w:r w:rsidR="00DA4534" w:rsidRPr="00E71812">
        <w:rPr>
          <w:rFonts w:ascii="Arial" w:eastAsia="Times New Roman" w:hAnsi="Arial" w:cs="Arial"/>
          <w:sz w:val="20"/>
          <w:szCs w:val="20"/>
        </w:rPr>
        <w:t xml:space="preserve"> </w:t>
      </w:r>
      <w:r w:rsidR="006D620C" w:rsidRPr="00E71812">
        <w:rPr>
          <w:rFonts w:ascii="Arial" w:eastAsia="Times New Roman" w:hAnsi="Arial" w:cs="Arial"/>
          <w:sz w:val="20"/>
          <w:szCs w:val="20"/>
        </w:rPr>
        <w:fldChar w:fldCharType="begin" w:fldLock="1"/>
      </w:r>
      <w:r w:rsidR="006D620C" w:rsidRPr="00E71812">
        <w:rPr>
          <w:rFonts w:ascii="Arial" w:eastAsia="Times New Roman" w:hAnsi="Arial" w:cs="Arial"/>
          <w:sz w:val="20"/>
          <w:szCs w:val="20"/>
        </w:rPr>
        <w:instrText>ADDIN CSL_CITATION {"citationItems":[{"id":"ITEM-1","itemData":{"DOI":"10.3945/ajcn.117.155960","ISSN":"0002-9165","author":[{"dropping-particle":"","family":"Daru","given":"Jahnavi","non-dropping-particle":"","parse-names":false,"suffix":""},{"dropping-particle":"","family":"Colman","given":"Katherine","non-dropping-particle":"","parse-names":false,"suffix":""},{"dropping-particle":"","family":"Stanworth","given":"Simon J","non-dropping-particle":"","parse-names":false,"suffix":""},{"dropping-particle":"La","family":"Salle","given":"Barbara De","non-dropping-particle":"","parse-names":false,"suffix":""},{"dropping-particle":"","family":"Wood","given":"Erica M","non-dropping-particle":"","parse-names":false,"suffix":""},{"dropping-particle":"","family":"Pasricha","given":"Sant-rayn","non-dropping-particle":"","parse-names":false,"suffix":""}],"container-title":"The American Journal of Clinical Nutrition","id":"ITEM-1","issued":{"date-parts":[["2017"]]},"page":"1634S-1639S","publisher":"American Society for Nutrition.","title":"Serum ferritin as an indicator of iron status : what do we need to know ?","type":"article-journal","volume":"106"},"uris":["http://www.mendeley.com/documents/?uuid=6b49616d-cb8b-414b-bbaf-336e59f23541"]}],"mendeley":{"formattedCitation":"[17]","plainTextFormattedCitation":"[17]","previouslyFormattedCitation":"[17]"},"properties":{"noteIndex":0},"schema":"https://github.com/citation-style-language/schema/raw/master/csl-citation.json"}</w:instrText>
      </w:r>
      <w:r w:rsidR="006D620C" w:rsidRPr="00E71812">
        <w:rPr>
          <w:rFonts w:ascii="Arial" w:eastAsia="Times New Roman" w:hAnsi="Arial" w:cs="Arial"/>
          <w:sz w:val="20"/>
          <w:szCs w:val="20"/>
        </w:rPr>
        <w:fldChar w:fldCharType="separate"/>
      </w:r>
      <w:r w:rsidR="006D620C" w:rsidRPr="00E71812">
        <w:rPr>
          <w:rFonts w:ascii="Arial" w:eastAsia="Times New Roman" w:hAnsi="Arial" w:cs="Arial"/>
          <w:noProof/>
          <w:sz w:val="20"/>
          <w:szCs w:val="20"/>
        </w:rPr>
        <w:t>[17]</w:t>
      </w:r>
      <w:r w:rsidR="006D620C" w:rsidRPr="00E71812">
        <w:rPr>
          <w:rFonts w:ascii="Arial" w:eastAsia="Times New Roman" w:hAnsi="Arial" w:cs="Arial"/>
          <w:sz w:val="20"/>
          <w:szCs w:val="20"/>
        </w:rPr>
        <w:fldChar w:fldCharType="end"/>
      </w:r>
      <w:r w:rsidRPr="00E71812">
        <w:rPr>
          <w:rFonts w:ascii="Arial" w:eastAsia="Times New Roman" w:hAnsi="Arial" w:cs="Arial"/>
          <w:sz w:val="20"/>
          <w:szCs w:val="20"/>
        </w:rPr>
        <w:t xml:space="preserve">. As illustrated in </w:t>
      </w:r>
      <w:r w:rsidRPr="00E71812">
        <w:rPr>
          <w:rFonts w:ascii="Arial" w:eastAsia="Times New Roman" w:hAnsi="Arial" w:cs="Arial"/>
          <w:bCs/>
          <w:sz w:val="20"/>
          <w:szCs w:val="20"/>
        </w:rPr>
        <w:t>Table 3</w:t>
      </w:r>
      <w:r w:rsidRPr="00E71812">
        <w:rPr>
          <w:rFonts w:ascii="Arial" w:eastAsia="Times New Roman" w:hAnsi="Arial" w:cs="Arial"/>
          <w:sz w:val="20"/>
          <w:szCs w:val="20"/>
        </w:rPr>
        <w:t xml:space="preserve">, women with a history of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were over 13 times more likely to have low ferritin (OR = 13.43, 95% CI [6.58, 27.42], </w:t>
      </w:r>
      <w:r w:rsidRPr="00E71812">
        <w:rPr>
          <w:rFonts w:ascii="Arial" w:eastAsia="Times New Roman" w:hAnsi="Arial" w:cs="Arial"/>
          <w:i/>
          <w:iCs/>
          <w:sz w:val="20"/>
          <w:szCs w:val="20"/>
        </w:rPr>
        <w:t>p</w:t>
      </w:r>
      <w:r w:rsidRPr="00E71812">
        <w:rPr>
          <w:rFonts w:ascii="Arial" w:eastAsia="Times New Roman" w:hAnsi="Arial" w:cs="Arial"/>
          <w:sz w:val="20"/>
          <w:szCs w:val="20"/>
        </w:rPr>
        <w:t xml:space="preserve"> &lt; .001). Lifestyle factors such as smoking (OR = 5.52, </w:t>
      </w:r>
      <w:r w:rsidRPr="00E71812">
        <w:rPr>
          <w:rFonts w:ascii="Arial" w:eastAsia="Times New Roman" w:hAnsi="Arial" w:cs="Arial"/>
          <w:i/>
          <w:iCs/>
          <w:sz w:val="20"/>
          <w:szCs w:val="20"/>
        </w:rPr>
        <w:t>p</w:t>
      </w:r>
      <w:r w:rsidRPr="00E71812">
        <w:rPr>
          <w:rFonts w:ascii="Arial" w:eastAsia="Times New Roman" w:hAnsi="Arial" w:cs="Arial"/>
          <w:sz w:val="20"/>
          <w:szCs w:val="20"/>
        </w:rPr>
        <w:t xml:space="preserve"> = .005) and alcohol consumption (OR = 2.94, </w:t>
      </w:r>
      <w:r w:rsidRPr="00E71812">
        <w:rPr>
          <w:rFonts w:ascii="Arial" w:eastAsia="Times New Roman" w:hAnsi="Arial" w:cs="Arial"/>
          <w:i/>
          <w:iCs/>
          <w:sz w:val="20"/>
          <w:szCs w:val="20"/>
        </w:rPr>
        <w:t>p</w:t>
      </w:r>
      <w:r w:rsidRPr="00E71812">
        <w:rPr>
          <w:rFonts w:ascii="Arial" w:eastAsia="Times New Roman" w:hAnsi="Arial" w:cs="Arial"/>
          <w:sz w:val="20"/>
          <w:szCs w:val="20"/>
        </w:rPr>
        <w:t xml:space="preserve"> = .005) significantly increased the odds of low ferritin, consistent with prior evidence that these </w:t>
      </w:r>
      <w:proofErr w:type="spellStart"/>
      <w:r w:rsidRPr="00E71812">
        <w:rPr>
          <w:rFonts w:ascii="Arial" w:eastAsia="Times New Roman" w:hAnsi="Arial" w:cs="Arial"/>
          <w:sz w:val="20"/>
          <w:szCs w:val="20"/>
        </w:rPr>
        <w:t>behaviours</w:t>
      </w:r>
      <w:proofErr w:type="spellEnd"/>
      <w:r w:rsidRPr="00E71812">
        <w:rPr>
          <w:rFonts w:ascii="Arial" w:eastAsia="Times New Roman" w:hAnsi="Arial" w:cs="Arial"/>
          <w:sz w:val="20"/>
          <w:szCs w:val="20"/>
        </w:rPr>
        <w:t xml:space="preserve"> interfere with iron metabolism </w:t>
      </w:r>
      <w:r w:rsidR="006E5475" w:rsidRPr="00E71812">
        <w:rPr>
          <w:rFonts w:ascii="Arial" w:eastAsia="Times New Roman" w:hAnsi="Arial" w:cs="Arial"/>
          <w:sz w:val="20"/>
          <w:szCs w:val="20"/>
        </w:rPr>
        <w:fldChar w:fldCharType="begin" w:fldLock="1"/>
      </w:r>
      <w:r w:rsidR="00A27465" w:rsidRPr="00E71812">
        <w:rPr>
          <w:rFonts w:ascii="Arial" w:eastAsia="Times New Roman" w:hAnsi="Arial" w:cs="Arial"/>
          <w:sz w:val="20"/>
          <w:szCs w:val="20"/>
        </w:rPr>
        <w:instrText>ADDIN CSL_CITATION {"citationItems":[{"id":"ITEM-1","itemData":{"DOI":"10.1056/NEJMra1401038","ISSN":"1533-4406 (Electronic)","PMID":"25946282","author":[{"dropping-particle":"","family":"Camaschella","given":"Clara","non-dropping-particle":"","parse-names":false,"suffix":""}],"container-title":"The New England journal of medicine","id":"ITEM-1","issue":"19","issued":{"date-parts":[["2015","5"]]},"language":"eng","page":"1832-1843","publisher-place":"United States","title":"Iron-deficiency anemia.","type":"article-journal","volume":"372"},"uris":["http://www.mendeley.com/documents/?uuid=b79cb389-d257-4220-a32c-c5b49df83579"]}],"mendeley":{"formattedCitation":"[5]","plainTextFormattedCitation":"[5]","previouslyFormattedCitation":"[5]"},"properties":{"noteIndex":0},"schema":"https://github.com/citation-style-language/schema/raw/master/csl-citation.json"}</w:instrText>
      </w:r>
      <w:r w:rsidR="006E5475" w:rsidRPr="00E71812">
        <w:rPr>
          <w:rFonts w:ascii="Arial" w:eastAsia="Times New Roman" w:hAnsi="Arial" w:cs="Arial"/>
          <w:sz w:val="20"/>
          <w:szCs w:val="20"/>
        </w:rPr>
        <w:fldChar w:fldCharType="separate"/>
      </w:r>
      <w:r w:rsidR="00A27465" w:rsidRPr="00E71812">
        <w:rPr>
          <w:rFonts w:ascii="Arial" w:eastAsia="Times New Roman" w:hAnsi="Arial" w:cs="Arial"/>
          <w:noProof/>
          <w:sz w:val="20"/>
          <w:szCs w:val="20"/>
        </w:rPr>
        <w:t>[5]</w:t>
      </w:r>
      <w:r w:rsidR="006E5475" w:rsidRPr="00E71812">
        <w:rPr>
          <w:rFonts w:ascii="Arial" w:eastAsia="Times New Roman" w:hAnsi="Arial" w:cs="Arial"/>
          <w:sz w:val="20"/>
          <w:szCs w:val="20"/>
        </w:rPr>
        <w:fldChar w:fldCharType="end"/>
      </w:r>
      <w:r w:rsidRPr="00E71812">
        <w:rPr>
          <w:rFonts w:ascii="Arial" w:eastAsia="Times New Roman" w:hAnsi="Arial" w:cs="Arial"/>
          <w:sz w:val="20"/>
          <w:szCs w:val="20"/>
        </w:rPr>
        <w:t xml:space="preserve">. Marital status was also relevant, with single women showing substantially higher odds (OR = 22.55, </w:t>
      </w:r>
      <w:r w:rsidRPr="00E71812">
        <w:rPr>
          <w:rFonts w:ascii="Arial" w:eastAsia="Times New Roman" w:hAnsi="Arial" w:cs="Arial"/>
          <w:i/>
          <w:iCs/>
          <w:sz w:val="20"/>
          <w:szCs w:val="20"/>
        </w:rPr>
        <w:t>p</w:t>
      </w:r>
      <w:r w:rsidRPr="00E71812">
        <w:rPr>
          <w:rFonts w:ascii="Arial" w:eastAsia="Times New Roman" w:hAnsi="Arial" w:cs="Arial"/>
          <w:sz w:val="20"/>
          <w:szCs w:val="20"/>
        </w:rPr>
        <w:t xml:space="preserve"> = .018). Parity of two (OR = 3.13, </w:t>
      </w:r>
      <w:r w:rsidRPr="00E71812">
        <w:rPr>
          <w:rFonts w:ascii="Arial" w:eastAsia="Times New Roman" w:hAnsi="Arial" w:cs="Arial"/>
          <w:i/>
          <w:iCs/>
          <w:sz w:val="20"/>
          <w:szCs w:val="20"/>
        </w:rPr>
        <w:t>p</w:t>
      </w:r>
      <w:r w:rsidRPr="00E71812">
        <w:rPr>
          <w:rFonts w:ascii="Arial" w:eastAsia="Times New Roman" w:hAnsi="Arial" w:cs="Arial"/>
          <w:sz w:val="20"/>
          <w:szCs w:val="20"/>
        </w:rPr>
        <w:t xml:space="preserve"> = .029) and being unemployed (OR = 0.37, </w:t>
      </w:r>
      <w:r w:rsidRPr="00E71812">
        <w:rPr>
          <w:rFonts w:ascii="Arial" w:eastAsia="Times New Roman" w:hAnsi="Arial" w:cs="Arial"/>
          <w:i/>
          <w:iCs/>
          <w:sz w:val="20"/>
          <w:szCs w:val="20"/>
        </w:rPr>
        <w:t>p</w:t>
      </w:r>
      <w:r w:rsidRPr="00E71812">
        <w:rPr>
          <w:rFonts w:ascii="Arial" w:eastAsia="Times New Roman" w:hAnsi="Arial" w:cs="Arial"/>
          <w:sz w:val="20"/>
          <w:szCs w:val="20"/>
        </w:rPr>
        <w:t xml:space="preserve"> = .033) were additional predictors. Conversely, supplement use during pregnancy was strongly protective (OR = 0.08, 95% CI [0.04, 0.17], </w:t>
      </w:r>
      <w:r w:rsidRPr="00E71812">
        <w:rPr>
          <w:rFonts w:ascii="Arial" w:eastAsia="Times New Roman" w:hAnsi="Arial" w:cs="Arial"/>
          <w:i/>
          <w:iCs/>
          <w:sz w:val="20"/>
          <w:szCs w:val="20"/>
        </w:rPr>
        <w:t>p</w:t>
      </w:r>
      <w:r w:rsidRPr="00E71812">
        <w:rPr>
          <w:rFonts w:ascii="Arial" w:eastAsia="Times New Roman" w:hAnsi="Arial" w:cs="Arial"/>
          <w:sz w:val="20"/>
          <w:szCs w:val="20"/>
        </w:rPr>
        <w:t xml:space="preserve"> &lt; .001), reaffirming WHO guidelines on iron and folate supplementation (WHO, 2016).</w:t>
      </w:r>
    </w:p>
    <w:p w14:paraId="57FE25C8" w14:textId="53DEAB19" w:rsidR="00F24B5E" w:rsidRPr="00E71812" w:rsidRDefault="00F24B5E" w:rsidP="00B15A9A">
      <w:pPr>
        <w:spacing w:after="100" w:afterAutospacing="1" w:line="360" w:lineRule="auto"/>
        <w:rPr>
          <w:rFonts w:ascii="Arial" w:eastAsia="Times New Roman" w:hAnsi="Arial" w:cs="Arial"/>
          <w:sz w:val="20"/>
          <w:szCs w:val="20"/>
        </w:rPr>
      </w:pPr>
      <w:r w:rsidRPr="00E71812">
        <w:rPr>
          <w:rFonts w:ascii="Arial" w:eastAsia="Times New Roman" w:hAnsi="Arial" w:cs="Arial"/>
          <w:sz w:val="20"/>
          <w:szCs w:val="20"/>
        </w:rPr>
        <w:t xml:space="preserve">To highlight the most influential factors, </w:t>
      </w:r>
      <w:r w:rsidRPr="00E71812">
        <w:rPr>
          <w:rFonts w:ascii="Arial" w:eastAsia="Times New Roman" w:hAnsi="Arial" w:cs="Arial"/>
          <w:bCs/>
          <w:sz w:val="20"/>
          <w:szCs w:val="20"/>
        </w:rPr>
        <w:t>Table 4</w:t>
      </w:r>
      <w:r w:rsidRPr="00E71812">
        <w:rPr>
          <w:rFonts w:ascii="Arial" w:eastAsia="Times New Roman" w:hAnsi="Arial" w:cs="Arial"/>
          <w:sz w:val="20"/>
          <w:szCs w:val="20"/>
        </w:rPr>
        <w:t xml:space="preserve"> </w:t>
      </w:r>
      <w:proofErr w:type="spellStart"/>
      <w:r w:rsidRPr="00E71812">
        <w:rPr>
          <w:rFonts w:ascii="Arial" w:eastAsia="Times New Roman" w:hAnsi="Arial" w:cs="Arial"/>
          <w:sz w:val="20"/>
          <w:szCs w:val="20"/>
        </w:rPr>
        <w:t>summari</w:t>
      </w:r>
      <w:r w:rsidR="00D472FC" w:rsidRPr="00E71812">
        <w:rPr>
          <w:rFonts w:ascii="Arial" w:eastAsia="Times New Roman" w:hAnsi="Arial" w:cs="Arial"/>
          <w:sz w:val="20"/>
          <w:szCs w:val="20"/>
        </w:rPr>
        <w:t>s</w:t>
      </w:r>
      <w:r w:rsidRPr="00E71812">
        <w:rPr>
          <w:rFonts w:ascii="Arial" w:eastAsia="Times New Roman" w:hAnsi="Arial" w:cs="Arial"/>
          <w:sz w:val="20"/>
          <w:szCs w:val="20"/>
        </w:rPr>
        <w:t>es</w:t>
      </w:r>
      <w:proofErr w:type="spellEnd"/>
      <w:r w:rsidRPr="00E71812">
        <w:rPr>
          <w:rFonts w:ascii="Arial" w:eastAsia="Times New Roman" w:hAnsi="Arial" w:cs="Arial"/>
          <w:sz w:val="20"/>
          <w:szCs w:val="20"/>
        </w:rPr>
        <w:t xml:space="preserve"> only the statistically significant predictors. Together, these results indicate that both biomedical history (prior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lifestyle </w:t>
      </w:r>
      <w:proofErr w:type="spellStart"/>
      <w:r w:rsidRPr="00E71812">
        <w:rPr>
          <w:rFonts w:ascii="Arial" w:eastAsia="Times New Roman" w:hAnsi="Arial" w:cs="Arial"/>
          <w:sz w:val="20"/>
          <w:szCs w:val="20"/>
        </w:rPr>
        <w:t>behaviours</w:t>
      </w:r>
      <w:proofErr w:type="spellEnd"/>
      <w:r w:rsidRPr="00E71812">
        <w:rPr>
          <w:rFonts w:ascii="Arial" w:eastAsia="Times New Roman" w:hAnsi="Arial" w:cs="Arial"/>
          <w:sz w:val="20"/>
          <w:szCs w:val="20"/>
        </w:rPr>
        <w:t xml:space="preserve"> (smoking and alcohol), and socio-demographic status (marital and occupational factors) substantially influence iron status in pregnancy</w:t>
      </w:r>
      <w:r w:rsidR="006D620C" w:rsidRPr="00E71812">
        <w:rPr>
          <w:rFonts w:ascii="Arial" w:eastAsia="Times New Roman" w:hAnsi="Arial" w:cs="Arial"/>
          <w:sz w:val="20"/>
          <w:szCs w:val="20"/>
        </w:rPr>
        <w:t xml:space="preserve"> </w:t>
      </w:r>
      <w:r w:rsidR="006D620C" w:rsidRPr="00E71812">
        <w:rPr>
          <w:rFonts w:ascii="Arial" w:eastAsia="Times New Roman" w:hAnsi="Arial" w:cs="Arial"/>
          <w:sz w:val="20"/>
          <w:szCs w:val="20"/>
        </w:rPr>
        <w:fldChar w:fldCharType="begin" w:fldLock="1"/>
      </w:r>
      <w:r w:rsidR="006D620C" w:rsidRPr="00E71812">
        <w:rPr>
          <w:rFonts w:ascii="Arial" w:eastAsia="Times New Roman" w:hAnsi="Arial" w:cs="Arial"/>
          <w:sz w:val="20"/>
          <w:szCs w:val="20"/>
        </w:rPr>
        <w:instrText>ADDIN CSL_CITATION {"citationItems":[{"id":"ITEM-1","itemData":{"DOI":"10.1080/14767058.2018.1555811","ISSN":"1476-7058","author":[{"dropping-particle":"","family":"Rahmati","given":"Shoboo","non-dropping-particle":"","parse-names":false,"suffix":""},{"dropping-particle":"","family":"Azami","given":"Milad","non-dropping-particle":"","parse-names":false,"suffix":""},{"dropping-particle":"","family":"Badfar","given":"Gholamreza","non-dropping-particle":"","parse-names":false,"suffix":""},{"dropping-particle":"","family":"Parizad","given":"Naser","non-dropping-particle":"","parse-names":false,"suffix":""},{"dropping-particle":"","family":"Sayehmiri","given":"Kourosh","non-dropping-particle":"","parse-names":false,"suffix":""}],"container-title":"The Journal of Maternal-Fetal &amp; Neonatal Medicine","id":"ITEM-1","issue":"15","issued":{"date-parts":[["2020","8","2"]]},"note":"doi: 10.1080/14767058.2018.1555811","page":"2679-2689","publisher":"Taylor &amp; Francis","title":"The relationship between maternal anemia during pregnancy with preterm birth: a systematic review and meta-analysis","type":"article-journal","volume":"33"},"uris":["http://www.mendeley.com/documents/?uuid=e5266edd-3ac4-46d7-b639-4ef890af2a52"]}],"mendeley":{"formattedCitation":"[14]","plainTextFormattedCitation":"[14]","previouslyFormattedCitation":"[14]"},"properties":{"noteIndex":0},"schema":"https://github.com/citation-style-language/schema/raw/master/csl-citation.json"}</w:instrText>
      </w:r>
      <w:r w:rsidR="006D620C" w:rsidRPr="00E71812">
        <w:rPr>
          <w:rFonts w:ascii="Arial" w:eastAsia="Times New Roman" w:hAnsi="Arial" w:cs="Arial"/>
          <w:sz w:val="20"/>
          <w:szCs w:val="20"/>
        </w:rPr>
        <w:fldChar w:fldCharType="separate"/>
      </w:r>
      <w:r w:rsidR="006D620C" w:rsidRPr="00E71812">
        <w:rPr>
          <w:rFonts w:ascii="Arial" w:eastAsia="Times New Roman" w:hAnsi="Arial" w:cs="Arial"/>
          <w:noProof/>
          <w:sz w:val="20"/>
          <w:szCs w:val="20"/>
        </w:rPr>
        <w:t>[14]</w:t>
      </w:r>
      <w:r w:rsidR="006D620C" w:rsidRPr="00E71812">
        <w:rPr>
          <w:rFonts w:ascii="Arial" w:eastAsia="Times New Roman" w:hAnsi="Arial" w:cs="Arial"/>
          <w:sz w:val="20"/>
          <w:szCs w:val="20"/>
        </w:rPr>
        <w:fldChar w:fldCharType="end"/>
      </w:r>
      <w:r w:rsidRPr="00E71812">
        <w:rPr>
          <w:rFonts w:ascii="Arial" w:eastAsia="Times New Roman" w:hAnsi="Arial" w:cs="Arial"/>
          <w:sz w:val="20"/>
          <w:szCs w:val="20"/>
        </w:rPr>
        <w:t xml:space="preserve">. Supplement use, however, stands out as </w:t>
      </w:r>
      <w:r w:rsidR="006D620C" w:rsidRPr="00E71812">
        <w:rPr>
          <w:rFonts w:ascii="Arial" w:eastAsia="Times New Roman" w:hAnsi="Arial" w:cs="Arial"/>
          <w:sz w:val="20"/>
          <w:szCs w:val="20"/>
        </w:rPr>
        <w:t xml:space="preserve">the strongest protective factor </w:t>
      </w:r>
      <w:r w:rsidR="006D620C" w:rsidRPr="00E71812">
        <w:rPr>
          <w:rFonts w:ascii="Arial" w:eastAsia="Times New Roman" w:hAnsi="Arial" w:cs="Arial"/>
          <w:sz w:val="20"/>
          <w:szCs w:val="20"/>
        </w:rPr>
        <w:fldChar w:fldCharType="begin" w:fldLock="1"/>
      </w:r>
      <w:r w:rsidR="006D620C" w:rsidRPr="00E71812">
        <w:rPr>
          <w:rFonts w:ascii="Arial" w:eastAsia="Times New Roman" w:hAnsi="Arial" w:cs="Arial"/>
          <w:sz w:val="20"/>
          <w:szCs w:val="20"/>
        </w:rPr>
        <w:instrText>ADDIN CSL_CITATION {"citationItems":[{"id":"ITEM-1","itemData":{"ISBN":"4202345258","author":[{"dropping-particle":"","family":"Erbas","given":"Bircan","non-dropping-particle":"","parse-names":false,"suffix":""}],"id":"ITEM-1","issued":{"date-parts":[["2024"]]},"title":"Is Oral Iron and Folate Supplementation during Pregnancy Protective against Low Birth Weight and Preterm Birth in Africa ? A Systematic Review and Meta-Analysis","type":"book"},"uris":["http://www.mendeley.com/documents/?uuid=3fa4e6ff-6b3b-4a10-9715-99359a790890"]}],"mendeley":{"formattedCitation":"[18]","plainTextFormattedCitation":"[18]"},"properties":{"noteIndex":0},"schema":"https://github.com/citation-style-language/schema/raw/master/csl-citation.json"}</w:instrText>
      </w:r>
      <w:r w:rsidR="006D620C" w:rsidRPr="00E71812">
        <w:rPr>
          <w:rFonts w:ascii="Arial" w:eastAsia="Times New Roman" w:hAnsi="Arial" w:cs="Arial"/>
          <w:sz w:val="20"/>
          <w:szCs w:val="20"/>
        </w:rPr>
        <w:fldChar w:fldCharType="separate"/>
      </w:r>
      <w:r w:rsidR="006D620C" w:rsidRPr="00E71812">
        <w:rPr>
          <w:rFonts w:ascii="Arial" w:eastAsia="Times New Roman" w:hAnsi="Arial" w:cs="Arial"/>
          <w:noProof/>
          <w:sz w:val="20"/>
          <w:szCs w:val="20"/>
        </w:rPr>
        <w:t>[18]</w:t>
      </w:r>
      <w:r w:rsidR="006D620C" w:rsidRPr="00E71812">
        <w:rPr>
          <w:rFonts w:ascii="Arial" w:eastAsia="Times New Roman" w:hAnsi="Arial" w:cs="Arial"/>
          <w:sz w:val="20"/>
          <w:szCs w:val="20"/>
        </w:rPr>
        <w:fldChar w:fldCharType="end"/>
      </w:r>
      <w:r w:rsidR="006D620C" w:rsidRPr="00E71812">
        <w:rPr>
          <w:rFonts w:ascii="Arial" w:eastAsia="Times New Roman" w:hAnsi="Arial" w:cs="Arial"/>
          <w:sz w:val="20"/>
          <w:szCs w:val="20"/>
        </w:rPr>
        <w:t>.</w:t>
      </w:r>
    </w:p>
    <w:p w14:paraId="4BFC528E" w14:textId="77777777" w:rsidR="00B15A9A" w:rsidRPr="00E71812" w:rsidRDefault="00B15A9A" w:rsidP="00B15A9A">
      <w:pPr>
        <w:spacing w:after="100" w:afterAutospacing="1" w:line="360" w:lineRule="auto"/>
        <w:rPr>
          <w:rFonts w:ascii="Arial" w:eastAsia="Times New Roman" w:hAnsi="Arial" w:cs="Arial"/>
          <w:b/>
          <w:bCs/>
          <w:sz w:val="20"/>
          <w:szCs w:val="20"/>
        </w:rPr>
      </w:pPr>
    </w:p>
    <w:p w14:paraId="29F7F6D1" w14:textId="77777777" w:rsidR="009574DF" w:rsidRPr="00E71812" w:rsidRDefault="009574DF" w:rsidP="00B15A9A">
      <w:pPr>
        <w:spacing w:after="100" w:afterAutospacing="1" w:line="360" w:lineRule="auto"/>
        <w:rPr>
          <w:rFonts w:ascii="Arial" w:eastAsia="Times New Roman" w:hAnsi="Arial" w:cs="Arial"/>
          <w:b/>
          <w:bCs/>
          <w:sz w:val="20"/>
          <w:szCs w:val="20"/>
        </w:rPr>
      </w:pPr>
    </w:p>
    <w:p w14:paraId="28C4729D" w14:textId="77777777" w:rsidR="009574DF" w:rsidRPr="00E71812" w:rsidRDefault="009574DF" w:rsidP="00B15A9A">
      <w:pPr>
        <w:spacing w:after="100" w:afterAutospacing="1" w:line="360" w:lineRule="auto"/>
        <w:rPr>
          <w:rFonts w:ascii="Arial" w:eastAsia="Times New Roman" w:hAnsi="Arial" w:cs="Arial"/>
          <w:b/>
          <w:bCs/>
          <w:sz w:val="20"/>
          <w:szCs w:val="20"/>
        </w:rPr>
      </w:pPr>
    </w:p>
    <w:p w14:paraId="136DBDD7" w14:textId="77777777" w:rsidR="009574DF" w:rsidRPr="00E71812" w:rsidRDefault="009574DF" w:rsidP="00B15A9A">
      <w:pPr>
        <w:spacing w:after="100" w:afterAutospacing="1" w:line="360" w:lineRule="auto"/>
        <w:rPr>
          <w:rFonts w:ascii="Arial" w:eastAsia="Times New Roman" w:hAnsi="Arial" w:cs="Arial"/>
          <w:b/>
          <w:bCs/>
          <w:sz w:val="20"/>
          <w:szCs w:val="20"/>
        </w:rPr>
      </w:pPr>
    </w:p>
    <w:p w14:paraId="74189B8C" w14:textId="77777777" w:rsidR="009574DF" w:rsidRPr="00E71812" w:rsidRDefault="009574DF" w:rsidP="00B15A9A">
      <w:pPr>
        <w:spacing w:after="100" w:afterAutospacing="1" w:line="360" w:lineRule="auto"/>
        <w:rPr>
          <w:rFonts w:ascii="Arial" w:eastAsia="Times New Roman" w:hAnsi="Arial" w:cs="Arial"/>
          <w:b/>
          <w:bCs/>
          <w:sz w:val="20"/>
          <w:szCs w:val="20"/>
        </w:rPr>
      </w:pPr>
    </w:p>
    <w:p w14:paraId="6F143DC5" w14:textId="77777777" w:rsidR="006158ED" w:rsidRPr="00E71812" w:rsidRDefault="00F561A1" w:rsidP="00B15A9A">
      <w:pPr>
        <w:spacing w:after="100" w:afterAutospacing="1" w:line="360" w:lineRule="auto"/>
        <w:rPr>
          <w:rFonts w:ascii="Arial" w:eastAsia="Times New Roman" w:hAnsi="Arial" w:cs="Arial"/>
          <w:b/>
          <w:sz w:val="20"/>
          <w:szCs w:val="20"/>
        </w:rPr>
      </w:pPr>
      <w:r w:rsidRPr="00E71812">
        <w:rPr>
          <w:rFonts w:ascii="Arial" w:eastAsia="Times New Roman" w:hAnsi="Arial" w:cs="Arial"/>
          <w:b/>
          <w:bCs/>
          <w:sz w:val="20"/>
          <w:szCs w:val="20"/>
        </w:rPr>
        <w:t xml:space="preserve">Table </w:t>
      </w:r>
      <w:r w:rsidR="00B15A9A" w:rsidRPr="00E71812">
        <w:rPr>
          <w:rFonts w:ascii="Arial" w:eastAsia="Times New Roman" w:hAnsi="Arial" w:cs="Arial"/>
          <w:b/>
          <w:sz w:val="20"/>
          <w:szCs w:val="20"/>
        </w:rPr>
        <w:t xml:space="preserve">3: </w:t>
      </w:r>
      <w:r w:rsidR="006158ED" w:rsidRPr="00E71812">
        <w:rPr>
          <w:rFonts w:ascii="Arial" w:eastAsia="Times New Roman" w:hAnsi="Arial" w:cs="Arial"/>
          <w:b/>
          <w:sz w:val="20"/>
          <w:szCs w:val="20"/>
        </w:rPr>
        <w:t>Logistic Regression Predicting Low Ferritin in Pregnancy</w:t>
      </w:r>
    </w:p>
    <w:tbl>
      <w:tblPr>
        <w:tblStyle w:val="TableGrid"/>
        <w:tblW w:w="9625" w:type="dxa"/>
        <w:tblLook w:val="04A0" w:firstRow="1" w:lastRow="0" w:firstColumn="1" w:lastColumn="0" w:noHBand="0" w:noVBand="1"/>
      </w:tblPr>
      <w:tblGrid>
        <w:gridCol w:w="4097"/>
        <w:gridCol w:w="1287"/>
        <w:gridCol w:w="1521"/>
        <w:gridCol w:w="1510"/>
        <w:gridCol w:w="1210"/>
      </w:tblGrid>
      <w:tr w:rsidR="00E71812" w:rsidRPr="00E71812" w14:paraId="229CDECB" w14:textId="77777777" w:rsidTr="009574DF">
        <w:tc>
          <w:tcPr>
            <w:tcW w:w="0" w:type="auto"/>
            <w:hideMark/>
          </w:tcPr>
          <w:p w14:paraId="7692AEC4" w14:textId="77777777" w:rsidR="006158ED" w:rsidRPr="00E71812" w:rsidRDefault="006158ED"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Predictor</w:t>
            </w:r>
          </w:p>
        </w:tc>
        <w:tc>
          <w:tcPr>
            <w:tcW w:w="0" w:type="auto"/>
            <w:hideMark/>
          </w:tcPr>
          <w:p w14:paraId="74478D4F" w14:textId="77777777" w:rsidR="006158ED" w:rsidRPr="00E71812" w:rsidRDefault="006158ED"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Odds Ratio</w:t>
            </w:r>
          </w:p>
        </w:tc>
        <w:tc>
          <w:tcPr>
            <w:tcW w:w="0" w:type="auto"/>
            <w:hideMark/>
          </w:tcPr>
          <w:p w14:paraId="7805167E" w14:textId="77777777" w:rsidR="006158ED" w:rsidRPr="00E71812" w:rsidRDefault="006158ED"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95% CI Lower</w:t>
            </w:r>
          </w:p>
        </w:tc>
        <w:tc>
          <w:tcPr>
            <w:tcW w:w="0" w:type="auto"/>
            <w:hideMark/>
          </w:tcPr>
          <w:p w14:paraId="763CD748" w14:textId="77777777" w:rsidR="006158ED" w:rsidRPr="00E71812" w:rsidRDefault="006158ED"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95% CI Upper</w:t>
            </w:r>
          </w:p>
        </w:tc>
        <w:tc>
          <w:tcPr>
            <w:tcW w:w="1210" w:type="dxa"/>
            <w:hideMark/>
          </w:tcPr>
          <w:p w14:paraId="171BDA92" w14:textId="77777777" w:rsidR="006158ED" w:rsidRPr="00E71812" w:rsidRDefault="009574DF" w:rsidP="00B15A9A">
            <w:pPr>
              <w:spacing w:beforeAutospacing="0" w:line="360" w:lineRule="auto"/>
              <w:rPr>
                <w:rFonts w:ascii="Arial" w:eastAsia="Times New Roman" w:hAnsi="Arial" w:cs="Arial"/>
                <w:b/>
                <w:bCs/>
                <w:i/>
                <w:sz w:val="20"/>
                <w:szCs w:val="20"/>
              </w:rPr>
            </w:pPr>
            <w:r w:rsidRPr="00E71812">
              <w:rPr>
                <w:rFonts w:ascii="Arial" w:eastAsia="Times New Roman" w:hAnsi="Arial" w:cs="Arial"/>
                <w:b/>
                <w:bCs/>
                <w:i/>
                <w:sz w:val="20"/>
                <w:szCs w:val="20"/>
              </w:rPr>
              <w:t>P-</w:t>
            </w:r>
            <w:r w:rsidRPr="00E71812">
              <w:rPr>
                <w:rFonts w:ascii="Arial" w:eastAsia="Times New Roman" w:hAnsi="Arial" w:cs="Arial"/>
                <w:b/>
                <w:bCs/>
                <w:sz w:val="20"/>
                <w:szCs w:val="20"/>
              </w:rPr>
              <w:t>value</w:t>
            </w:r>
          </w:p>
        </w:tc>
      </w:tr>
      <w:tr w:rsidR="00E71812" w:rsidRPr="00E71812" w14:paraId="0E06858E" w14:textId="77777777" w:rsidTr="009574DF">
        <w:tc>
          <w:tcPr>
            <w:tcW w:w="0" w:type="auto"/>
            <w:hideMark/>
          </w:tcPr>
          <w:p w14:paraId="771BDDB8" w14:textId="39A6ECBC"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 xml:space="preserve">History of </w:t>
            </w:r>
            <w:r w:rsidR="000375ED" w:rsidRPr="00E71812">
              <w:rPr>
                <w:rFonts w:ascii="Arial" w:eastAsia="Times New Roman" w:hAnsi="Arial" w:cs="Arial"/>
                <w:sz w:val="20"/>
                <w:szCs w:val="20"/>
              </w:rPr>
              <w:t>anemia</w:t>
            </w:r>
            <w:r w:rsidRPr="00E71812">
              <w:rPr>
                <w:rFonts w:ascii="Arial" w:eastAsia="Times New Roman" w:hAnsi="Arial" w:cs="Arial"/>
                <w:sz w:val="20"/>
                <w:szCs w:val="20"/>
              </w:rPr>
              <w:t xml:space="preserve"> (before pregnancy) – Yes</w:t>
            </w:r>
          </w:p>
        </w:tc>
        <w:tc>
          <w:tcPr>
            <w:tcW w:w="0" w:type="auto"/>
            <w:hideMark/>
          </w:tcPr>
          <w:p w14:paraId="0315E318"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13.43</w:t>
            </w:r>
          </w:p>
        </w:tc>
        <w:tc>
          <w:tcPr>
            <w:tcW w:w="0" w:type="auto"/>
            <w:hideMark/>
          </w:tcPr>
          <w:p w14:paraId="79B5BDF2"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6.58</w:t>
            </w:r>
          </w:p>
        </w:tc>
        <w:tc>
          <w:tcPr>
            <w:tcW w:w="0" w:type="auto"/>
            <w:hideMark/>
          </w:tcPr>
          <w:p w14:paraId="4C44EFE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27.42</w:t>
            </w:r>
          </w:p>
        </w:tc>
        <w:tc>
          <w:tcPr>
            <w:tcW w:w="1210" w:type="dxa"/>
            <w:hideMark/>
          </w:tcPr>
          <w:p w14:paraId="0BB3DBDE" w14:textId="77777777" w:rsidR="006158ED" w:rsidRPr="00E71812" w:rsidRDefault="009574DF"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.000</w:t>
            </w:r>
          </w:p>
        </w:tc>
      </w:tr>
      <w:tr w:rsidR="00E71812" w:rsidRPr="00E71812" w14:paraId="732C7720" w14:textId="77777777" w:rsidTr="009574DF">
        <w:tc>
          <w:tcPr>
            <w:tcW w:w="0" w:type="auto"/>
            <w:hideMark/>
          </w:tcPr>
          <w:p w14:paraId="2B3E4B0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lastRenderedPageBreak/>
              <w:t>Supplements during pregnancy – Yes</w:t>
            </w:r>
          </w:p>
        </w:tc>
        <w:tc>
          <w:tcPr>
            <w:tcW w:w="0" w:type="auto"/>
            <w:hideMark/>
          </w:tcPr>
          <w:p w14:paraId="0FD0954C"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0.08</w:t>
            </w:r>
          </w:p>
        </w:tc>
        <w:tc>
          <w:tcPr>
            <w:tcW w:w="0" w:type="auto"/>
            <w:hideMark/>
          </w:tcPr>
          <w:p w14:paraId="4FFC4AF7"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0.04</w:t>
            </w:r>
          </w:p>
        </w:tc>
        <w:tc>
          <w:tcPr>
            <w:tcW w:w="0" w:type="auto"/>
            <w:hideMark/>
          </w:tcPr>
          <w:p w14:paraId="1CD4D51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0.17</w:t>
            </w:r>
          </w:p>
        </w:tc>
        <w:tc>
          <w:tcPr>
            <w:tcW w:w="1210" w:type="dxa"/>
            <w:hideMark/>
          </w:tcPr>
          <w:p w14:paraId="2BFF1099" w14:textId="77777777" w:rsidR="006158ED" w:rsidRPr="00E71812" w:rsidRDefault="009574DF"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.000</w:t>
            </w:r>
          </w:p>
        </w:tc>
      </w:tr>
      <w:tr w:rsidR="00E71812" w:rsidRPr="00E71812" w14:paraId="3002E697" w14:textId="77777777" w:rsidTr="009574DF">
        <w:tc>
          <w:tcPr>
            <w:tcW w:w="0" w:type="auto"/>
            <w:hideMark/>
          </w:tcPr>
          <w:p w14:paraId="0BE2F3A6"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Alcohol consumption – Yes</w:t>
            </w:r>
          </w:p>
        </w:tc>
        <w:tc>
          <w:tcPr>
            <w:tcW w:w="0" w:type="auto"/>
            <w:hideMark/>
          </w:tcPr>
          <w:p w14:paraId="1CA9E5D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2.94</w:t>
            </w:r>
          </w:p>
        </w:tc>
        <w:tc>
          <w:tcPr>
            <w:tcW w:w="0" w:type="auto"/>
            <w:hideMark/>
          </w:tcPr>
          <w:p w14:paraId="3CE46930"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1.39</w:t>
            </w:r>
          </w:p>
        </w:tc>
        <w:tc>
          <w:tcPr>
            <w:tcW w:w="0" w:type="auto"/>
            <w:hideMark/>
          </w:tcPr>
          <w:p w14:paraId="21A433BA"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6.19</w:t>
            </w:r>
          </w:p>
        </w:tc>
        <w:tc>
          <w:tcPr>
            <w:tcW w:w="1210" w:type="dxa"/>
            <w:hideMark/>
          </w:tcPr>
          <w:p w14:paraId="33611F84" w14:textId="77777777" w:rsidR="006158ED" w:rsidRPr="00E71812" w:rsidRDefault="009574DF"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.005</w:t>
            </w:r>
          </w:p>
        </w:tc>
      </w:tr>
      <w:tr w:rsidR="00E71812" w:rsidRPr="00E71812" w14:paraId="64B5A3FA" w14:textId="77777777" w:rsidTr="009574DF">
        <w:tc>
          <w:tcPr>
            <w:tcW w:w="0" w:type="auto"/>
            <w:hideMark/>
          </w:tcPr>
          <w:p w14:paraId="7A550E50"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Smoking status – Yes</w:t>
            </w:r>
          </w:p>
        </w:tc>
        <w:tc>
          <w:tcPr>
            <w:tcW w:w="0" w:type="auto"/>
            <w:hideMark/>
          </w:tcPr>
          <w:p w14:paraId="2C12FCA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5.52</w:t>
            </w:r>
          </w:p>
        </w:tc>
        <w:tc>
          <w:tcPr>
            <w:tcW w:w="0" w:type="auto"/>
            <w:hideMark/>
          </w:tcPr>
          <w:p w14:paraId="6F72D081"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1.66</w:t>
            </w:r>
          </w:p>
        </w:tc>
        <w:tc>
          <w:tcPr>
            <w:tcW w:w="0" w:type="auto"/>
            <w:hideMark/>
          </w:tcPr>
          <w:p w14:paraId="22B5D628"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18.30</w:t>
            </w:r>
          </w:p>
        </w:tc>
        <w:tc>
          <w:tcPr>
            <w:tcW w:w="1210" w:type="dxa"/>
            <w:hideMark/>
          </w:tcPr>
          <w:p w14:paraId="34E58896" w14:textId="77777777" w:rsidR="006158ED" w:rsidRPr="00E71812" w:rsidRDefault="009574DF"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.005</w:t>
            </w:r>
          </w:p>
        </w:tc>
      </w:tr>
      <w:tr w:rsidR="00E71812" w:rsidRPr="00E71812" w14:paraId="7D688A58" w14:textId="77777777" w:rsidTr="009574DF">
        <w:tc>
          <w:tcPr>
            <w:tcW w:w="0" w:type="auto"/>
            <w:hideMark/>
          </w:tcPr>
          <w:p w14:paraId="2760A495"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Marital status – Single</w:t>
            </w:r>
          </w:p>
        </w:tc>
        <w:tc>
          <w:tcPr>
            <w:tcW w:w="0" w:type="auto"/>
            <w:hideMark/>
          </w:tcPr>
          <w:p w14:paraId="4196BE26"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22.55</w:t>
            </w:r>
          </w:p>
        </w:tc>
        <w:tc>
          <w:tcPr>
            <w:tcW w:w="0" w:type="auto"/>
            <w:hideMark/>
          </w:tcPr>
          <w:p w14:paraId="4F097F5C"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1.73</w:t>
            </w:r>
          </w:p>
        </w:tc>
        <w:tc>
          <w:tcPr>
            <w:tcW w:w="0" w:type="auto"/>
            <w:hideMark/>
          </w:tcPr>
          <w:p w14:paraId="3A67D82B"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294.79</w:t>
            </w:r>
          </w:p>
        </w:tc>
        <w:tc>
          <w:tcPr>
            <w:tcW w:w="1210" w:type="dxa"/>
            <w:hideMark/>
          </w:tcPr>
          <w:p w14:paraId="3CDCCB1A" w14:textId="77777777" w:rsidR="006158ED" w:rsidRPr="00E71812" w:rsidRDefault="009574DF"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.018</w:t>
            </w:r>
          </w:p>
        </w:tc>
      </w:tr>
      <w:tr w:rsidR="00E71812" w:rsidRPr="00E71812" w14:paraId="64CA3CEE" w14:textId="77777777" w:rsidTr="009574DF">
        <w:tc>
          <w:tcPr>
            <w:tcW w:w="0" w:type="auto"/>
            <w:hideMark/>
          </w:tcPr>
          <w:p w14:paraId="2E90535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Parity = 2</w:t>
            </w:r>
          </w:p>
        </w:tc>
        <w:tc>
          <w:tcPr>
            <w:tcW w:w="0" w:type="auto"/>
            <w:hideMark/>
          </w:tcPr>
          <w:p w14:paraId="71DB31A9"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3.13</w:t>
            </w:r>
          </w:p>
        </w:tc>
        <w:tc>
          <w:tcPr>
            <w:tcW w:w="0" w:type="auto"/>
            <w:hideMark/>
          </w:tcPr>
          <w:p w14:paraId="010D0B8C"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1.12</w:t>
            </w:r>
          </w:p>
        </w:tc>
        <w:tc>
          <w:tcPr>
            <w:tcW w:w="0" w:type="auto"/>
            <w:hideMark/>
          </w:tcPr>
          <w:p w14:paraId="6C80A3BE"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8.71</w:t>
            </w:r>
          </w:p>
        </w:tc>
        <w:tc>
          <w:tcPr>
            <w:tcW w:w="1210" w:type="dxa"/>
            <w:hideMark/>
          </w:tcPr>
          <w:p w14:paraId="1E169E79" w14:textId="77777777" w:rsidR="006158ED" w:rsidRPr="00E71812" w:rsidRDefault="009574DF"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.029</w:t>
            </w:r>
          </w:p>
        </w:tc>
      </w:tr>
      <w:tr w:rsidR="00E71812" w:rsidRPr="00E71812" w14:paraId="4627092D" w14:textId="77777777" w:rsidTr="009574DF">
        <w:tc>
          <w:tcPr>
            <w:tcW w:w="0" w:type="auto"/>
            <w:hideMark/>
          </w:tcPr>
          <w:p w14:paraId="3D906069"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Occupation – Unemployed</w:t>
            </w:r>
          </w:p>
        </w:tc>
        <w:tc>
          <w:tcPr>
            <w:tcW w:w="0" w:type="auto"/>
            <w:hideMark/>
          </w:tcPr>
          <w:p w14:paraId="66CF6FD6"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0.37</w:t>
            </w:r>
          </w:p>
        </w:tc>
        <w:tc>
          <w:tcPr>
            <w:tcW w:w="0" w:type="auto"/>
            <w:hideMark/>
          </w:tcPr>
          <w:p w14:paraId="3F0260D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0.15</w:t>
            </w:r>
          </w:p>
        </w:tc>
        <w:tc>
          <w:tcPr>
            <w:tcW w:w="0" w:type="auto"/>
            <w:hideMark/>
          </w:tcPr>
          <w:p w14:paraId="594950B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0.92</w:t>
            </w:r>
          </w:p>
        </w:tc>
        <w:tc>
          <w:tcPr>
            <w:tcW w:w="1210" w:type="dxa"/>
            <w:hideMark/>
          </w:tcPr>
          <w:p w14:paraId="6CA9B8E5" w14:textId="77777777" w:rsidR="006158ED" w:rsidRPr="00E71812" w:rsidRDefault="009574DF"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.033</w:t>
            </w:r>
          </w:p>
        </w:tc>
      </w:tr>
      <w:tr w:rsidR="00E71812" w:rsidRPr="00E71812" w14:paraId="4E930D7D" w14:textId="77777777" w:rsidTr="009574DF">
        <w:tc>
          <w:tcPr>
            <w:tcW w:w="0" w:type="auto"/>
            <w:hideMark/>
          </w:tcPr>
          <w:p w14:paraId="6297D10C"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 xml:space="preserve">Occupation – Unskilled </w:t>
            </w:r>
            <w:proofErr w:type="spellStart"/>
            <w:r w:rsidRPr="00E71812">
              <w:rPr>
                <w:rFonts w:ascii="Arial" w:eastAsia="Times New Roman" w:hAnsi="Arial" w:cs="Arial"/>
                <w:sz w:val="20"/>
                <w:szCs w:val="20"/>
              </w:rPr>
              <w:t>labour</w:t>
            </w:r>
            <w:proofErr w:type="spellEnd"/>
          </w:p>
        </w:tc>
        <w:tc>
          <w:tcPr>
            <w:tcW w:w="0" w:type="auto"/>
            <w:hideMark/>
          </w:tcPr>
          <w:p w14:paraId="753BA10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0.42</w:t>
            </w:r>
          </w:p>
        </w:tc>
        <w:tc>
          <w:tcPr>
            <w:tcW w:w="0" w:type="auto"/>
            <w:hideMark/>
          </w:tcPr>
          <w:p w14:paraId="0B9EA547"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0.18</w:t>
            </w:r>
          </w:p>
        </w:tc>
        <w:tc>
          <w:tcPr>
            <w:tcW w:w="0" w:type="auto"/>
            <w:hideMark/>
          </w:tcPr>
          <w:p w14:paraId="60374CC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1.01</w:t>
            </w:r>
          </w:p>
        </w:tc>
        <w:tc>
          <w:tcPr>
            <w:tcW w:w="1210" w:type="dxa"/>
            <w:hideMark/>
          </w:tcPr>
          <w:p w14:paraId="4488C8FB"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.053</w:t>
            </w:r>
          </w:p>
        </w:tc>
      </w:tr>
      <w:tr w:rsidR="00E71812" w:rsidRPr="00E71812" w14:paraId="49D89BE4" w14:textId="77777777" w:rsidTr="009574DF">
        <w:tc>
          <w:tcPr>
            <w:tcW w:w="0" w:type="auto"/>
            <w:hideMark/>
          </w:tcPr>
          <w:p w14:paraId="7A79591C"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Parity = 3</w:t>
            </w:r>
          </w:p>
        </w:tc>
        <w:tc>
          <w:tcPr>
            <w:tcW w:w="0" w:type="auto"/>
            <w:hideMark/>
          </w:tcPr>
          <w:p w14:paraId="1C5C8C2C"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2.64</w:t>
            </w:r>
          </w:p>
        </w:tc>
        <w:tc>
          <w:tcPr>
            <w:tcW w:w="0" w:type="auto"/>
            <w:hideMark/>
          </w:tcPr>
          <w:p w14:paraId="257A3759"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0.95</w:t>
            </w:r>
          </w:p>
        </w:tc>
        <w:tc>
          <w:tcPr>
            <w:tcW w:w="0" w:type="auto"/>
            <w:hideMark/>
          </w:tcPr>
          <w:p w14:paraId="5CAA101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7.29</w:t>
            </w:r>
          </w:p>
        </w:tc>
        <w:tc>
          <w:tcPr>
            <w:tcW w:w="1210" w:type="dxa"/>
            <w:hideMark/>
          </w:tcPr>
          <w:p w14:paraId="03395759"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.062</w:t>
            </w:r>
          </w:p>
        </w:tc>
      </w:tr>
      <w:tr w:rsidR="00E71812" w:rsidRPr="00E71812" w14:paraId="39648083" w14:textId="77777777" w:rsidTr="009574DF">
        <w:tc>
          <w:tcPr>
            <w:tcW w:w="0" w:type="auto"/>
            <w:hideMark/>
          </w:tcPr>
          <w:p w14:paraId="15E15A4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Parity &gt; 4</w:t>
            </w:r>
          </w:p>
        </w:tc>
        <w:tc>
          <w:tcPr>
            <w:tcW w:w="0" w:type="auto"/>
            <w:hideMark/>
          </w:tcPr>
          <w:p w14:paraId="0150A46B"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2.59</w:t>
            </w:r>
          </w:p>
        </w:tc>
        <w:tc>
          <w:tcPr>
            <w:tcW w:w="0" w:type="auto"/>
            <w:hideMark/>
          </w:tcPr>
          <w:p w14:paraId="0DC05BD0"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0.89</w:t>
            </w:r>
          </w:p>
        </w:tc>
        <w:tc>
          <w:tcPr>
            <w:tcW w:w="0" w:type="auto"/>
            <w:hideMark/>
          </w:tcPr>
          <w:p w14:paraId="278F0438"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7.53</w:t>
            </w:r>
          </w:p>
        </w:tc>
        <w:tc>
          <w:tcPr>
            <w:tcW w:w="1210" w:type="dxa"/>
            <w:hideMark/>
          </w:tcPr>
          <w:p w14:paraId="34A1AC87"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.080</w:t>
            </w:r>
          </w:p>
        </w:tc>
      </w:tr>
      <w:tr w:rsidR="00E71812" w:rsidRPr="00E71812" w14:paraId="494060E2" w14:textId="77777777" w:rsidTr="009574DF">
        <w:tc>
          <w:tcPr>
            <w:tcW w:w="0" w:type="auto"/>
            <w:hideMark/>
          </w:tcPr>
          <w:p w14:paraId="5FA2EC08"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 xml:space="preserve">Occupation – Skilled </w:t>
            </w:r>
            <w:proofErr w:type="spellStart"/>
            <w:r w:rsidRPr="00E71812">
              <w:rPr>
                <w:rFonts w:ascii="Arial" w:eastAsia="Times New Roman" w:hAnsi="Arial" w:cs="Arial"/>
                <w:sz w:val="20"/>
                <w:szCs w:val="20"/>
              </w:rPr>
              <w:t>labo</w:t>
            </w:r>
            <w:r w:rsidR="00D472FC" w:rsidRPr="00E71812">
              <w:rPr>
                <w:rFonts w:ascii="Arial" w:eastAsia="Times New Roman" w:hAnsi="Arial" w:cs="Arial"/>
                <w:sz w:val="20"/>
                <w:szCs w:val="20"/>
              </w:rPr>
              <w:t>u</w:t>
            </w:r>
            <w:r w:rsidRPr="00E71812">
              <w:rPr>
                <w:rFonts w:ascii="Arial" w:eastAsia="Times New Roman" w:hAnsi="Arial" w:cs="Arial"/>
                <w:sz w:val="20"/>
                <w:szCs w:val="20"/>
              </w:rPr>
              <w:t>r</w:t>
            </w:r>
            <w:proofErr w:type="spellEnd"/>
          </w:p>
        </w:tc>
        <w:tc>
          <w:tcPr>
            <w:tcW w:w="0" w:type="auto"/>
            <w:hideMark/>
          </w:tcPr>
          <w:p w14:paraId="0845C72D"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0.52</w:t>
            </w:r>
          </w:p>
        </w:tc>
        <w:tc>
          <w:tcPr>
            <w:tcW w:w="0" w:type="auto"/>
            <w:hideMark/>
          </w:tcPr>
          <w:p w14:paraId="77F6BBC5"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0.21</w:t>
            </w:r>
          </w:p>
        </w:tc>
        <w:tc>
          <w:tcPr>
            <w:tcW w:w="0" w:type="auto"/>
            <w:hideMark/>
          </w:tcPr>
          <w:p w14:paraId="4F8E7E22"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1.29</w:t>
            </w:r>
          </w:p>
        </w:tc>
        <w:tc>
          <w:tcPr>
            <w:tcW w:w="1210" w:type="dxa"/>
            <w:hideMark/>
          </w:tcPr>
          <w:p w14:paraId="2889CB1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.156</w:t>
            </w:r>
          </w:p>
        </w:tc>
      </w:tr>
      <w:tr w:rsidR="00E71812" w:rsidRPr="00E71812" w14:paraId="0201A120" w14:textId="77777777" w:rsidTr="009574DF">
        <w:tc>
          <w:tcPr>
            <w:tcW w:w="0" w:type="auto"/>
            <w:hideMark/>
          </w:tcPr>
          <w:p w14:paraId="45D194CB"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Marital status – Widowed</w:t>
            </w:r>
          </w:p>
        </w:tc>
        <w:tc>
          <w:tcPr>
            <w:tcW w:w="0" w:type="auto"/>
            <w:hideMark/>
          </w:tcPr>
          <w:p w14:paraId="14460FA8"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6.33</w:t>
            </w:r>
          </w:p>
        </w:tc>
        <w:tc>
          <w:tcPr>
            <w:tcW w:w="0" w:type="auto"/>
            <w:hideMark/>
          </w:tcPr>
          <w:p w14:paraId="5ED366B0"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0.40</w:t>
            </w:r>
          </w:p>
        </w:tc>
        <w:tc>
          <w:tcPr>
            <w:tcW w:w="0" w:type="auto"/>
            <w:hideMark/>
          </w:tcPr>
          <w:p w14:paraId="6F1752CA"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100.17</w:t>
            </w:r>
          </w:p>
        </w:tc>
        <w:tc>
          <w:tcPr>
            <w:tcW w:w="1210" w:type="dxa"/>
            <w:hideMark/>
          </w:tcPr>
          <w:p w14:paraId="6CCFFBF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.190</w:t>
            </w:r>
          </w:p>
        </w:tc>
      </w:tr>
      <w:tr w:rsidR="00E71812" w:rsidRPr="00E71812" w14:paraId="0F51C9F4" w14:textId="77777777" w:rsidTr="009574DF">
        <w:tc>
          <w:tcPr>
            <w:tcW w:w="0" w:type="auto"/>
            <w:hideMark/>
          </w:tcPr>
          <w:p w14:paraId="138F083E"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Marital status – Married</w:t>
            </w:r>
          </w:p>
        </w:tc>
        <w:tc>
          <w:tcPr>
            <w:tcW w:w="0" w:type="auto"/>
            <w:hideMark/>
          </w:tcPr>
          <w:p w14:paraId="713BEE2B"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4.82</w:t>
            </w:r>
          </w:p>
        </w:tc>
        <w:tc>
          <w:tcPr>
            <w:tcW w:w="0" w:type="auto"/>
            <w:hideMark/>
          </w:tcPr>
          <w:p w14:paraId="232CC895"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0.40</w:t>
            </w:r>
          </w:p>
        </w:tc>
        <w:tc>
          <w:tcPr>
            <w:tcW w:w="0" w:type="auto"/>
            <w:hideMark/>
          </w:tcPr>
          <w:p w14:paraId="0817B168"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58.41</w:t>
            </w:r>
          </w:p>
        </w:tc>
        <w:tc>
          <w:tcPr>
            <w:tcW w:w="1210" w:type="dxa"/>
            <w:hideMark/>
          </w:tcPr>
          <w:p w14:paraId="0FFD9BE1"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.217</w:t>
            </w:r>
          </w:p>
        </w:tc>
      </w:tr>
      <w:tr w:rsidR="00E71812" w:rsidRPr="00E71812" w14:paraId="1BB3880E" w14:textId="77777777" w:rsidTr="009574DF">
        <w:tc>
          <w:tcPr>
            <w:tcW w:w="0" w:type="auto"/>
            <w:hideMark/>
          </w:tcPr>
          <w:p w14:paraId="4FBD467E"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Age &gt; 40</w:t>
            </w:r>
          </w:p>
        </w:tc>
        <w:tc>
          <w:tcPr>
            <w:tcW w:w="0" w:type="auto"/>
            <w:hideMark/>
          </w:tcPr>
          <w:p w14:paraId="2B463A19"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1.82</w:t>
            </w:r>
          </w:p>
        </w:tc>
        <w:tc>
          <w:tcPr>
            <w:tcW w:w="0" w:type="auto"/>
            <w:hideMark/>
          </w:tcPr>
          <w:p w14:paraId="402FA141"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0.65</w:t>
            </w:r>
          </w:p>
        </w:tc>
        <w:tc>
          <w:tcPr>
            <w:tcW w:w="0" w:type="auto"/>
            <w:hideMark/>
          </w:tcPr>
          <w:p w14:paraId="7E4A2216"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5.08</w:t>
            </w:r>
          </w:p>
        </w:tc>
        <w:tc>
          <w:tcPr>
            <w:tcW w:w="1210" w:type="dxa"/>
            <w:hideMark/>
          </w:tcPr>
          <w:p w14:paraId="7D0AA046"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.251</w:t>
            </w:r>
          </w:p>
        </w:tc>
      </w:tr>
      <w:tr w:rsidR="00E71812" w:rsidRPr="00E71812" w14:paraId="1EA9237E" w14:textId="77777777" w:rsidTr="009574DF">
        <w:tc>
          <w:tcPr>
            <w:tcW w:w="0" w:type="auto"/>
            <w:hideMark/>
          </w:tcPr>
          <w:p w14:paraId="517746D8"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Access to healthcare – Easy</w:t>
            </w:r>
          </w:p>
        </w:tc>
        <w:tc>
          <w:tcPr>
            <w:tcW w:w="0" w:type="auto"/>
            <w:hideMark/>
          </w:tcPr>
          <w:p w14:paraId="67E5AA6D"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1.53</w:t>
            </w:r>
          </w:p>
        </w:tc>
        <w:tc>
          <w:tcPr>
            <w:tcW w:w="0" w:type="auto"/>
            <w:hideMark/>
          </w:tcPr>
          <w:p w14:paraId="70C80F41"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0.66</w:t>
            </w:r>
          </w:p>
        </w:tc>
        <w:tc>
          <w:tcPr>
            <w:tcW w:w="0" w:type="auto"/>
            <w:hideMark/>
          </w:tcPr>
          <w:p w14:paraId="45FE33E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3.55</w:t>
            </w:r>
          </w:p>
        </w:tc>
        <w:tc>
          <w:tcPr>
            <w:tcW w:w="1210" w:type="dxa"/>
            <w:hideMark/>
          </w:tcPr>
          <w:p w14:paraId="44196E4C"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.322</w:t>
            </w:r>
          </w:p>
        </w:tc>
      </w:tr>
      <w:tr w:rsidR="00E71812" w:rsidRPr="00E71812" w14:paraId="1AA19D94" w14:textId="77777777" w:rsidTr="009574DF">
        <w:tc>
          <w:tcPr>
            <w:tcW w:w="0" w:type="auto"/>
            <w:hideMark/>
          </w:tcPr>
          <w:p w14:paraId="59C34FF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Educational level – Secondary school</w:t>
            </w:r>
          </w:p>
        </w:tc>
        <w:tc>
          <w:tcPr>
            <w:tcW w:w="0" w:type="auto"/>
            <w:hideMark/>
          </w:tcPr>
          <w:p w14:paraId="34E0BE75"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0.71</w:t>
            </w:r>
          </w:p>
        </w:tc>
        <w:tc>
          <w:tcPr>
            <w:tcW w:w="0" w:type="auto"/>
            <w:hideMark/>
          </w:tcPr>
          <w:p w14:paraId="2CF759A9"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0.35</w:t>
            </w:r>
          </w:p>
        </w:tc>
        <w:tc>
          <w:tcPr>
            <w:tcW w:w="0" w:type="auto"/>
            <w:hideMark/>
          </w:tcPr>
          <w:p w14:paraId="283762FE"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1.46</w:t>
            </w:r>
          </w:p>
        </w:tc>
        <w:tc>
          <w:tcPr>
            <w:tcW w:w="1210" w:type="dxa"/>
            <w:hideMark/>
          </w:tcPr>
          <w:p w14:paraId="6FDD5F65"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.351</w:t>
            </w:r>
          </w:p>
        </w:tc>
      </w:tr>
      <w:tr w:rsidR="00E71812" w:rsidRPr="00E71812" w14:paraId="6A5FFA76" w14:textId="77777777" w:rsidTr="009574DF">
        <w:tc>
          <w:tcPr>
            <w:tcW w:w="0" w:type="auto"/>
            <w:hideMark/>
          </w:tcPr>
          <w:p w14:paraId="45270238"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Age 30–39</w:t>
            </w:r>
          </w:p>
        </w:tc>
        <w:tc>
          <w:tcPr>
            <w:tcW w:w="0" w:type="auto"/>
            <w:hideMark/>
          </w:tcPr>
          <w:p w14:paraId="048CF4D1"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1.36</w:t>
            </w:r>
          </w:p>
        </w:tc>
        <w:tc>
          <w:tcPr>
            <w:tcW w:w="0" w:type="auto"/>
            <w:hideMark/>
          </w:tcPr>
          <w:p w14:paraId="2E989A91"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0.68</w:t>
            </w:r>
          </w:p>
        </w:tc>
        <w:tc>
          <w:tcPr>
            <w:tcW w:w="0" w:type="auto"/>
            <w:hideMark/>
          </w:tcPr>
          <w:p w14:paraId="2F6E7FB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2.74</w:t>
            </w:r>
          </w:p>
        </w:tc>
        <w:tc>
          <w:tcPr>
            <w:tcW w:w="1210" w:type="dxa"/>
            <w:hideMark/>
          </w:tcPr>
          <w:p w14:paraId="3D25B365"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.387</w:t>
            </w:r>
          </w:p>
        </w:tc>
      </w:tr>
      <w:tr w:rsidR="00E71812" w:rsidRPr="00E71812" w14:paraId="1AEB0DEA" w14:textId="77777777" w:rsidTr="009574DF">
        <w:tc>
          <w:tcPr>
            <w:tcW w:w="0" w:type="auto"/>
            <w:hideMark/>
          </w:tcPr>
          <w:p w14:paraId="7F1879B9"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Heavy menstrual bleeding – Yes</w:t>
            </w:r>
          </w:p>
        </w:tc>
        <w:tc>
          <w:tcPr>
            <w:tcW w:w="0" w:type="auto"/>
            <w:hideMark/>
          </w:tcPr>
          <w:p w14:paraId="6902ADE2"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0.78</w:t>
            </w:r>
          </w:p>
        </w:tc>
        <w:tc>
          <w:tcPr>
            <w:tcW w:w="0" w:type="auto"/>
            <w:hideMark/>
          </w:tcPr>
          <w:p w14:paraId="26D5A4B9"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0.41</w:t>
            </w:r>
          </w:p>
        </w:tc>
        <w:tc>
          <w:tcPr>
            <w:tcW w:w="0" w:type="auto"/>
            <w:hideMark/>
          </w:tcPr>
          <w:p w14:paraId="6D1D1D1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1.49</w:t>
            </w:r>
          </w:p>
        </w:tc>
        <w:tc>
          <w:tcPr>
            <w:tcW w:w="1210" w:type="dxa"/>
            <w:hideMark/>
          </w:tcPr>
          <w:p w14:paraId="10F17A3C"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.447</w:t>
            </w:r>
          </w:p>
        </w:tc>
      </w:tr>
      <w:tr w:rsidR="00E71812" w:rsidRPr="00E71812" w14:paraId="5CDCA3F2" w14:textId="77777777" w:rsidTr="009574DF">
        <w:tc>
          <w:tcPr>
            <w:tcW w:w="0" w:type="auto"/>
            <w:hideMark/>
          </w:tcPr>
          <w:p w14:paraId="468193BD"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Trimester – Second</w:t>
            </w:r>
          </w:p>
        </w:tc>
        <w:tc>
          <w:tcPr>
            <w:tcW w:w="0" w:type="auto"/>
            <w:hideMark/>
          </w:tcPr>
          <w:p w14:paraId="740D894E"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1.27</w:t>
            </w:r>
          </w:p>
        </w:tc>
        <w:tc>
          <w:tcPr>
            <w:tcW w:w="0" w:type="auto"/>
            <w:hideMark/>
          </w:tcPr>
          <w:p w14:paraId="465978C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0.63</w:t>
            </w:r>
          </w:p>
        </w:tc>
        <w:tc>
          <w:tcPr>
            <w:tcW w:w="0" w:type="auto"/>
            <w:hideMark/>
          </w:tcPr>
          <w:p w14:paraId="717A9B6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2.55</w:t>
            </w:r>
          </w:p>
        </w:tc>
        <w:tc>
          <w:tcPr>
            <w:tcW w:w="1210" w:type="dxa"/>
            <w:hideMark/>
          </w:tcPr>
          <w:p w14:paraId="07A84145"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.504</w:t>
            </w:r>
          </w:p>
        </w:tc>
      </w:tr>
      <w:tr w:rsidR="00E71812" w:rsidRPr="00E71812" w14:paraId="40D34D68" w14:textId="77777777" w:rsidTr="009574DF">
        <w:tc>
          <w:tcPr>
            <w:tcW w:w="0" w:type="auto"/>
            <w:hideMark/>
          </w:tcPr>
          <w:p w14:paraId="178A5761"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Access to healthcare – Moderate</w:t>
            </w:r>
          </w:p>
        </w:tc>
        <w:tc>
          <w:tcPr>
            <w:tcW w:w="0" w:type="auto"/>
            <w:hideMark/>
          </w:tcPr>
          <w:p w14:paraId="3146DD4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0.85</w:t>
            </w:r>
          </w:p>
        </w:tc>
        <w:tc>
          <w:tcPr>
            <w:tcW w:w="0" w:type="auto"/>
            <w:hideMark/>
          </w:tcPr>
          <w:p w14:paraId="06A30F96"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0.36</w:t>
            </w:r>
          </w:p>
        </w:tc>
        <w:tc>
          <w:tcPr>
            <w:tcW w:w="0" w:type="auto"/>
            <w:hideMark/>
          </w:tcPr>
          <w:p w14:paraId="3899A278"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2.03</w:t>
            </w:r>
          </w:p>
        </w:tc>
        <w:tc>
          <w:tcPr>
            <w:tcW w:w="1210" w:type="dxa"/>
            <w:hideMark/>
          </w:tcPr>
          <w:p w14:paraId="78FA992D"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.716</w:t>
            </w:r>
          </w:p>
        </w:tc>
      </w:tr>
      <w:tr w:rsidR="00E71812" w:rsidRPr="00E71812" w14:paraId="545A7741" w14:textId="77777777" w:rsidTr="009574DF">
        <w:tc>
          <w:tcPr>
            <w:tcW w:w="0" w:type="auto"/>
            <w:hideMark/>
          </w:tcPr>
          <w:p w14:paraId="054D649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Trimester – Third</w:t>
            </w:r>
          </w:p>
        </w:tc>
        <w:tc>
          <w:tcPr>
            <w:tcW w:w="0" w:type="auto"/>
            <w:hideMark/>
          </w:tcPr>
          <w:p w14:paraId="0518346C"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0.88</w:t>
            </w:r>
          </w:p>
        </w:tc>
        <w:tc>
          <w:tcPr>
            <w:tcW w:w="0" w:type="auto"/>
            <w:hideMark/>
          </w:tcPr>
          <w:p w14:paraId="0C9FBE9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0.40</w:t>
            </w:r>
          </w:p>
        </w:tc>
        <w:tc>
          <w:tcPr>
            <w:tcW w:w="0" w:type="auto"/>
            <w:hideMark/>
          </w:tcPr>
          <w:p w14:paraId="676093C1"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1.95</w:t>
            </w:r>
          </w:p>
        </w:tc>
        <w:tc>
          <w:tcPr>
            <w:tcW w:w="1210" w:type="dxa"/>
            <w:hideMark/>
          </w:tcPr>
          <w:p w14:paraId="7F11439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.748</w:t>
            </w:r>
          </w:p>
        </w:tc>
      </w:tr>
      <w:tr w:rsidR="00E71812" w:rsidRPr="00E71812" w14:paraId="2DB62833" w14:textId="77777777" w:rsidTr="009574DF">
        <w:tc>
          <w:tcPr>
            <w:tcW w:w="0" w:type="auto"/>
            <w:hideMark/>
          </w:tcPr>
          <w:p w14:paraId="2D9DE76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Parity = 1</w:t>
            </w:r>
          </w:p>
        </w:tc>
        <w:tc>
          <w:tcPr>
            <w:tcW w:w="0" w:type="auto"/>
            <w:hideMark/>
          </w:tcPr>
          <w:p w14:paraId="1DC4599B"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0.89</w:t>
            </w:r>
          </w:p>
        </w:tc>
        <w:tc>
          <w:tcPr>
            <w:tcW w:w="0" w:type="auto"/>
            <w:hideMark/>
          </w:tcPr>
          <w:p w14:paraId="10AE3F57"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0.33</w:t>
            </w:r>
          </w:p>
        </w:tc>
        <w:tc>
          <w:tcPr>
            <w:tcW w:w="0" w:type="auto"/>
            <w:hideMark/>
          </w:tcPr>
          <w:p w14:paraId="07C0B0A5"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2.35</w:t>
            </w:r>
          </w:p>
        </w:tc>
        <w:tc>
          <w:tcPr>
            <w:tcW w:w="1210" w:type="dxa"/>
            <w:hideMark/>
          </w:tcPr>
          <w:p w14:paraId="06455AB9"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.808</w:t>
            </w:r>
          </w:p>
        </w:tc>
      </w:tr>
      <w:tr w:rsidR="00E71812" w:rsidRPr="00E71812" w14:paraId="0FC08AF4" w14:textId="77777777" w:rsidTr="009574DF">
        <w:tc>
          <w:tcPr>
            <w:tcW w:w="0" w:type="auto"/>
            <w:hideMark/>
          </w:tcPr>
          <w:p w14:paraId="403100D2"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Occupation – Professional</w:t>
            </w:r>
          </w:p>
        </w:tc>
        <w:tc>
          <w:tcPr>
            <w:tcW w:w="0" w:type="auto"/>
            <w:hideMark/>
          </w:tcPr>
          <w:p w14:paraId="32F95F6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0.89</w:t>
            </w:r>
          </w:p>
        </w:tc>
        <w:tc>
          <w:tcPr>
            <w:tcW w:w="0" w:type="auto"/>
            <w:hideMark/>
          </w:tcPr>
          <w:p w14:paraId="23CD56C6"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0.31</w:t>
            </w:r>
          </w:p>
        </w:tc>
        <w:tc>
          <w:tcPr>
            <w:tcW w:w="0" w:type="auto"/>
            <w:hideMark/>
          </w:tcPr>
          <w:p w14:paraId="17869C6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2.50</w:t>
            </w:r>
          </w:p>
        </w:tc>
        <w:tc>
          <w:tcPr>
            <w:tcW w:w="1210" w:type="dxa"/>
            <w:hideMark/>
          </w:tcPr>
          <w:p w14:paraId="222C1223"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.819</w:t>
            </w:r>
          </w:p>
        </w:tc>
      </w:tr>
      <w:tr w:rsidR="00E71812" w:rsidRPr="00E71812" w14:paraId="62F3D775" w14:textId="77777777" w:rsidTr="009574DF">
        <w:tc>
          <w:tcPr>
            <w:tcW w:w="0" w:type="auto"/>
            <w:hideMark/>
          </w:tcPr>
          <w:p w14:paraId="689F7BFE"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Chronic disease – Yes</w:t>
            </w:r>
          </w:p>
        </w:tc>
        <w:tc>
          <w:tcPr>
            <w:tcW w:w="0" w:type="auto"/>
            <w:hideMark/>
          </w:tcPr>
          <w:p w14:paraId="4964B8C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0.95</w:t>
            </w:r>
          </w:p>
        </w:tc>
        <w:tc>
          <w:tcPr>
            <w:tcW w:w="0" w:type="auto"/>
            <w:hideMark/>
          </w:tcPr>
          <w:p w14:paraId="3812A881"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0.43</w:t>
            </w:r>
          </w:p>
        </w:tc>
        <w:tc>
          <w:tcPr>
            <w:tcW w:w="0" w:type="auto"/>
            <w:hideMark/>
          </w:tcPr>
          <w:p w14:paraId="3ED72565"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2.11</w:t>
            </w:r>
          </w:p>
        </w:tc>
        <w:tc>
          <w:tcPr>
            <w:tcW w:w="1210" w:type="dxa"/>
            <w:hideMark/>
          </w:tcPr>
          <w:p w14:paraId="5EC266E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.895</w:t>
            </w:r>
          </w:p>
        </w:tc>
      </w:tr>
      <w:tr w:rsidR="00E71812" w:rsidRPr="00E71812" w14:paraId="5E4CB067" w14:textId="77777777" w:rsidTr="009574DF">
        <w:tc>
          <w:tcPr>
            <w:tcW w:w="0" w:type="auto"/>
            <w:hideMark/>
          </w:tcPr>
          <w:p w14:paraId="3F9D8E47"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Educational level – No formal education</w:t>
            </w:r>
          </w:p>
        </w:tc>
        <w:tc>
          <w:tcPr>
            <w:tcW w:w="0" w:type="auto"/>
            <w:hideMark/>
          </w:tcPr>
          <w:p w14:paraId="1A680D6A"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1.04</w:t>
            </w:r>
          </w:p>
        </w:tc>
        <w:tc>
          <w:tcPr>
            <w:tcW w:w="0" w:type="auto"/>
            <w:hideMark/>
          </w:tcPr>
          <w:p w14:paraId="24D76A42"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0.36</w:t>
            </w:r>
          </w:p>
        </w:tc>
        <w:tc>
          <w:tcPr>
            <w:tcW w:w="0" w:type="auto"/>
            <w:hideMark/>
          </w:tcPr>
          <w:p w14:paraId="77143C24"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3.03</w:t>
            </w:r>
          </w:p>
        </w:tc>
        <w:tc>
          <w:tcPr>
            <w:tcW w:w="1210" w:type="dxa"/>
            <w:hideMark/>
          </w:tcPr>
          <w:p w14:paraId="5E542CE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.943</w:t>
            </w:r>
          </w:p>
        </w:tc>
      </w:tr>
    </w:tbl>
    <w:p w14:paraId="3F18489E" w14:textId="77777777" w:rsidR="00F24B5E" w:rsidRPr="00E71812" w:rsidRDefault="00CA470D" w:rsidP="00B15A9A">
      <w:pPr>
        <w:spacing w:after="100" w:afterAutospacing="1" w:line="360" w:lineRule="auto"/>
        <w:outlineLvl w:val="2"/>
        <w:rPr>
          <w:rFonts w:ascii="Arial" w:eastAsia="Times New Roman" w:hAnsi="Arial" w:cs="Arial"/>
          <w:b/>
          <w:bCs/>
        </w:rPr>
      </w:pPr>
      <w:r w:rsidRPr="00E71812">
        <w:rPr>
          <w:rFonts w:ascii="Arial" w:eastAsia="Times New Roman" w:hAnsi="Arial" w:cs="Arial"/>
          <w:b/>
          <w:bCs/>
        </w:rPr>
        <w:t>3.5</w:t>
      </w:r>
      <w:r w:rsidR="006158ED" w:rsidRPr="00E71812">
        <w:rPr>
          <w:rFonts w:ascii="Arial" w:eastAsia="Times New Roman" w:hAnsi="Arial" w:cs="Arial"/>
          <w:b/>
          <w:bCs/>
        </w:rPr>
        <w:t xml:space="preserve"> </w:t>
      </w:r>
      <w:r w:rsidR="00F24B5E" w:rsidRPr="00E71812">
        <w:rPr>
          <w:rFonts w:ascii="Arial" w:eastAsia="Times New Roman" w:hAnsi="Arial" w:cs="Arial"/>
          <w:b/>
          <w:bCs/>
        </w:rPr>
        <w:t>Risk Stratification and Model Calibration</w:t>
      </w:r>
    </w:p>
    <w:p w14:paraId="21A6B024" w14:textId="0A253A50" w:rsidR="00F24B5E" w:rsidRPr="00E71812" w:rsidRDefault="00F24B5E" w:rsidP="00B15A9A">
      <w:pPr>
        <w:spacing w:after="100" w:afterAutospacing="1" w:line="360" w:lineRule="auto"/>
        <w:rPr>
          <w:rFonts w:ascii="Arial" w:eastAsia="Times New Roman" w:hAnsi="Arial" w:cs="Arial"/>
          <w:sz w:val="20"/>
          <w:szCs w:val="20"/>
        </w:rPr>
      </w:pPr>
      <w:r w:rsidRPr="00E71812">
        <w:rPr>
          <w:rFonts w:ascii="Arial" w:eastAsia="Times New Roman" w:hAnsi="Arial" w:cs="Arial"/>
          <w:sz w:val="20"/>
          <w:szCs w:val="20"/>
        </w:rPr>
        <w:t xml:space="preserve">Risk profiling based on predicted probabilities of low ferritin demonstrated strong model calibration. As displayed in </w:t>
      </w:r>
      <w:r w:rsidR="00512FE7" w:rsidRPr="00E71812">
        <w:rPr>
          <w:rFonts w:ascii="Arial" w:eastAsia="Times New Roman" w:hAnsi="Arial" w:cs="Arial"/>
          <w:b/>
          <w:bCs/>
          <w:sz w:val="20"/>
          <w:szCs w:val="20"/>
        </w:rPr>
        <w:t>Table 4</w:t>
      </w:r>
      <w:r w:rsidRPr="00E71812">
        <w:rPr>
          <w:rFonts w:ascii="Arial" w:eastAsia="Times New Roman" w:hAnsi="Arial" w:cs="Arial"/>
          <w:sz w:val="20"/>
          <w:szCs w:val="20"/>
        </w:rPr>
        <w:t>, the observed prevalence of low ferritin increased across risk quintiles, from 1.4% in the lowest quintile to 79.2% in the highest quintile. This stepwise gradient confirms that the regression model discriminates effectively between high- and low-risk groups. Such risk stratification tools may be valuable in antenatal care for identifying women who require early interventions or closer follow-up.</w:t>
      </w:r>
    </w:p>
    <w:p w14:paraId="12C00748" w14:textId="77777777" w:rsidR="006158ED" w:rsidRPr="00E71812" w:rsidRDefault="006158ED" w:rsidP="00B15A9A">
      <w:pPr>
        <w:spacing w:after="100" w:afterAutospacing="1" w:line="360" w:lineRule="auto"/>
        <w:rPr>
          <w:rFonts w:ascii="Arial" w:eastAsia="Times New Roman" w:hAnsi="Arial" w:cs="Arial"/>
          <w:sz w:val="20"/>
          <w:szCs w:val="20"/>
        </w:rPr>
      </w:pPr>
      <w:r w:rsidRPr="00E71812">
        <w:rPr>
          <w:rFonts w:ascii="Arial" w:eastAsia="Times New Roman" w:hAnsi="Arial" w:cs="Arial"/>
          <w:b/>
          <w:bCs/>
          <w:sz w:val="20"/>
          <w:szCs w:val="20"/>
        </w:rPr>
        <w:t xml:space="preserve">Table </w:t>
      </w:r>
      <w:r w:rsidR="009574DF" w:rsidRPr="00E71812">
        <w:rPr>
          <w:rFonts w:ascii="Arial" w:eastAsia="Times New Roman" w:hAnsi="Arial" w:cs="Arial"/>
          <w:b/>
          <w:bCs/>
          <w:sz w:val="20"/>
          <w:szCs w:val="20"/>
        </w:rPr>
        <w:t>4</w:t>
      </w:r>
      <w:r w:rsidR="00D472FC" w:rsidRPr="00E71812">
        <w:rPr>
          <w:rFonts w:ascii="Arial" w:eastAsia="Times New Roman" w:hAnsi="Arial" w:cs="Arial"/>
          <w:b/>
          <w:bCs/>
          <w:sz w:val="20"/>
          <w:szCs w:val="20"/>
        </w:rPr>
        <w:t xml:space="preserve">: </w:t>
      </w:r>
      <w:r w:rsidRPr="00E71812">
        <w:rPr>
          <w:rFonts w:ascii="Arial" w:eastAsia="Times New Roman" w:hAnsi="Arial" w:cs="Arial"/>
          <w:b/>
          <w:sz w:val="20"/>
          <w:szCs w:val="20"/>
        </w:rPr>
        <w:t>Observed Prevalence of Low Ferritin by Risk Quintiles</w:t>
      </w:r>
      <w:r w:rsidR="00F561A1" w:rsidRPr="00E71812">
        <w:rPr>
          <w:rFonts w:ascii="Arial" w:eastAsia="Times New Roman" w:hAnsi="Arial" w:cs="Arial"/>
          <w:b/>
          <w:sz w:val="20"/>
          <w:szCs w:val="20"/>
        </w:rPr>
        <w:t>, total participants (N=360)</w:t>
      </w:r>
    </w:p>
    <w:tbl>
      <w:tblPr>
        <w:tblStyle w:val="TableGrid"/>
        <w:tblW w:w="0" w:type="auto"/>
        <w:jc w:val="center"/>
        <w:tblLook w:val="04A0" w:firstRow="1" w:lastRow="0" w:firstColumn="1" w:lastColumn="0" w:noHBand="0" w:noVBand="1"/>
      </w:tblPr>
      <w:tblGrid>
        <w:gridCol w:w="1439"/>
        <w:gridCol w:w="1436"/>
        <w:gridCol w:w="1980"/>
      </w:tblGrid>
      <w:tr w:rsidR="00E71812" w:rsidRPr="00E71812" w14:paraId="6A9E1F5A" w14:textId="77777777" w:rsidTr="00F561A1">
        <w:trPr>
          <w:jc w:val="center"/>
        </w:trPr>
        <w:tc>
          <w:tcPr>
            <w:tcW w:w="0" w:type="auto"/>
            <w:hideMark/>
          </w:tcPr>
          <w:p w14:paraId="6BE42374" w14:textId="77777777" w:rsidR="006158ED" w:rsidRPr="00E71812" w:rsidRDefault="006158ED"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Risk Quintile</w:t>
            </w:r>
          </w:p>
        </w:tc>
        <w:tc>
          <w:tcPr>
            <w:tcW w:w="1436" w:type="dxa"/>
            <w:hideMark/>
          </w:tcPr>
          <w:p w14:paraId="2A31123A" w14:textId="77777777" w:rsidR="006158ED" w:rsidRPr="00E71812" w:rsidRDefault="006158ED"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N</w:t>
            </w:r>
            <w:r w:rsidR="00F561A1" w:rsidRPr="00E71812">
              <w:rPr>
                <w:rFonts w:ascii="Arial" w:eastAsia="Times New Roman" w:hAnsi="Arial" w:cs="Arial"/>
                <w:b/>
                <w:bCs/>
                <w:sz w:val="20"/>
                <w:szCs w:val="20"/>
              </w:rPr>
              <w:t>/5</w:t>
            </w:r>
          </w:p>
        </w:tc>
        <w:tc>
          <w:tcPr>
            <w:tcW w:w="1980" w:type="dxa"/>
            <w:hideMark/>
          </w:tcPr>
          <w:p w14:paraId="379502ED" w14:textId="77777777" w:rsidR="006158ED" w:rsidRPr="00E71812" w:rsidRDefault="006158ED" w:rsidP="00B15A9A">
            <w:pPr>
              <w:spacing w:beforeAutospacing="0" w:line="360" w:lineRule="auto"/>
              <w:rPr>
                <w:rFonts w:ascii="Arial" w:eastAsia="Times New Roman" w:hAnsi="Arial" w:cs="Arial"/>
                <w:b/>
                <w:bCs/>
                <w:sz w:val="20"/>
                <w:szCs w:val="20"/>
              </w:rPr>
            </w:pPr>
            <w:r w:rsidRPr="00E71812">
              <w:rPr>
                <w:rFonts w:ascii="Arial" w:eastAsia="Times New Roman" w:hAnsi="Arial" w:cs="Arial"/>
                <w:b/>
                <w:bCs/>
                <w:sz w:val="20"/>
                <w:szCs w:val="20"/>
              </w:rPr>
              <w:t>Prevalence (%)</w:t>
            </w:r>
          </w:p>
        </w:tc>
      </w:tr>
      <w:tr w:rsidR="00E71812" w:rsidRPr="00E71812" w14:paraId="4D3AB33E" w14:textId="77777777" w:rsidTr="00F561A1">
        <w:trPr>
          <w:jc w:val="center"/>
        </w:trPr>
        <w:tc>
          <w:tcPr>
            <w:tcW w:w="0" w:type="auto"/>
            <w:hideMark/>
          </w:tcPr>
          <w:p w14:paraId="4F25B70E"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 (Lowest)</w:t>
            </w:r>
          </w:p>
        </w:tc>
        <w:tc>
          <w:tcPr>
            <w:tcW w:w="1436" w:type="dxa"/>
            <w:hideMark/>
          </w:tcPr>
          <w:p w14:paraId="74EC7B7C"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72</w:t>
            </w:r>
          </w:p>
        </w:tc>
        <w:tc>
          <w:tcPr>
            <w:tcW w:w="1980" w:type="dxa"/>
            <w:hideMark/>
          </w:tcPr>
          <w:p w14:paraId="2F4A375D"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1.4</w:t>
            </w:r>
          </w:p>
        </w:tc>
      </w:tr>
      <w:tr w:rsidR="00E71812" w:rsidRPr="00E71812" w14:paraId="34A807B8" w14:textId="77777777" w:rsidTr="00F561A1">
        <w:trPr>
          <w:jc w:val="center"/>
        </w:trPr>
        <w:tc>
          <w:tcPr>
            <w:tcW w:w="0" w:type="auto"/>
            <w:hideMark/>
          </w:tcPr>
          <w:p w14:paraId="5FFB1DCC"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lastRenderedPageBreak/>
              <w:t>2</w:t>
            </w:r>
          </w:p>
        </w:tc>
        <w:tc>
          <w:tcPr>
            <w:tcW w:w="1436" w:type="dxa"/>
            <w:hideMark/>
          </w:tcPr>
          <w:p w14:paraId="3FB317DE"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72</w:t>
            </w:r>
          </w:p>
        </w:tc>
        <w:tc>
          <w:tcPr>
            <w:tcW w:w="1980" w:type="dxa"/>
            <w:hideMark/>
          </w:tcPr>
          <w:p w14:paraId="54A763A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8.3</w:t>
            </w:r>
          </w:p>
        </w:tc>
      </w:tr>
      <w:tr w:rsidR="00E71812" w:rsidRPr="00E71812" w14:paraId="3D572BF4" w14:textId="77777777" w:rsidTr="00F561A1">
        <w:trPr>
          <w:jc w:val="center"/>
        </w:trPr>
        <w:tc>
          <w:tcPr>
            <w:tcW w:w="0" w:type="auto"/>
            <w:hideMark/>
          </w:tcPr>
          <w:p w14:paraId="2D3CDAD6"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w:t>
            </w:r>
          </w:p>
        </w:tc>
        <w:tc>
          <w:tcPr>
            <w:tcW w:w="1436" w:type="dxa"/>
            <w:hideMark/>
          </w:tcPr>
          <w:p w14:paraId="12A4180A"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72</w:t>
            </w:r>
          </w:p>
        </w:tc>
        <w:tc>
          <w:tcPr>
            <w:tcW w:w="1980" w:type="dxa"/>
            <w:hideMark/>
          </w:tcPr>
          <w:p w14:paraId="3C3AF85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30.6</w:t>
            </w:r>
          </w:p>
        </w:tc>
      </w:tr>
      <w:tr w:rsidR="00E71812" w:rsidRPr="00E71812" w14:paraId="5C4C705D" w14:textId="77777777" w:rsidTr="00F561A1">
        <w:trPr>
          <w:jc w:val="center"/>
        </w:trPr>
        <w:tc>
          <w:tcPr>
            <w:tcW w:w="0" w:type="auto"/>
            <w:hideMark/>
          </w:tcPr>
          <w:p w14:paraId="543E0881"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4</w:t>
            </w:r>
          </w:p>
        </w:tc>
        <w:tc>
          <w:tcPr>
            <w:tcW w:w="1436" w:type="dxa"/>
            <w:hideMark/>
          </w:tcPr>
          <w:p w14:paraId="6AD92709"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72</w:t>
            </w:r>
          </w:p>
        </w:tc>
        <w:tc>
          <w:tcPr>
            <w:tcW w:w="1980" w:type="dxa"/>
            <w:hideMark/>
          </w:tcPr>
          <w:p w14:paraId="27BB6CDF"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61.1</w:t>
            </w:r>
          </w:p>
        </w:tc>
      </w:tr>
      <w:tr w:rsidR="006158ED" w:rsidRPr="00E71812" w14:paraId="08AB015F" w14:textId="77777777" w:rsidTr="00F561A1">
        <w:trPr>
          <w:jc w:val="center"/>
        </w:trPr>
        <w:tc>
          <w:tcPr>
            <w:tcW w:w="0" w:type="auto"/>
            <w:hideMark/>
          </w:tcPr>
          <w:p w14:paraId="7B7F9951"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5 (Highest)</w:t>
            </w:r>
          </w:p>
        </w:tc>
        <w:tc>
          <w:tcPr>
            <w:tcW w:w="1436" w:type="dxa"/>
            <w:hideMark/>
          </w:tcPr>
          <w:p w14:paraId="6929AA17"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72</w:t>
            </w:r>
          </w:p>
        </w:tc>
        <w:tc>
          <w:tcPr>
            <w:tcW w:w="1980" w:type="dxa"/>
            <w:hideMark/>
          </w:tcPr>
          <w:p w14:paraId="7E6F2352" w14:textId="77777777" w:rsidR="006158ED" w:rsidRPr="00E71812" w:rsidRDefault="006158ED" w:rsidP="00B15A9A">
            <w:pPr>
              <w:spacing w:beforeAutospacing="0" w:line="360" w:lineRule="auto"/>
              <w:rPr>
                <w:rFonts w:ascii="Arial" w:eastAsia="Times New Roman" w:hAnsi="Arial" w:cs="Arial"/>
                <w:sz w:val="20"/>
                <w:szCs w:val="20"/>
              </w:rPr>
            </w:pPr>
            <w:r w:rsidRPr="00E71812">
              <w:rPr>
                <w:rFonts w:ascii="Arial" w:eastAsia="Times New Roman" w:hAnsi="Arial" w:cs="Arial"/>
                <w:sz w:val="20"/>
                <w:szCs w:val="20"/>
              </w:rPr>
              <w:t>79.2</w:t>
            </w:r>
          </w:p>
        </w:tc>
      </w:tr>
    </w:tbl>
    <w:p w14:paraId="2360414D" w14:textId="77777777" w:rsidR="00B12DD0" w:rsidRPr="00E71812" w:rsidRDefault="00B12DD0" w:rsidP="00D472FC">
      <w:pPr>
        <w:rPr>
          <w:rFonts w:ascii="Arial" w:hAnsi="Arial" w:cs="Arial"/>
          <w:sz w:val="20"/>
          <w:szCs w:val="20"/>
        </w:rPr>
      </w:pPr>
    </w:p>
    <w:p w14:paraId="3EB5EBC2" w14:textId="77777777" w:rsidR="009574DF" w:rsidRPr="00E71812" w:rsidRDefault="009574DF" w:rsidP="00D472FC">
      <w:pPr>
        <w:rPr>
          <w:rFonts w:ascii="Arial" w:hAnsi="Arial" w:cs="Arial"/>
          <w:sz w:val="20"/>
          <w:szCs w:val="20"/>
        </w:rPr>
      </w:pPr>
    </w:p>
    <w:p w14:paraId="64224193" w14:textId="77777777" w:rsidR="009574DF" w:rsidRPr="00E71812" w:rsidRDefault="009574DF" w:rsidP="00D472FC">
      <w:pPr>
        <w:rPr>
          <w:rFonts w:ascii="Arial" w:hAnsi="Arial" w:cs="Arial"/>
          <w:sz w:val="20"/>
          <w:szCs w:val="20"/>
        </w:rPr>
      </w:pPr>
    </w:p>
    <w:p w14:paraId="113A84EA" w14:textId="631C31A4" w:rsidR="009574DF" w:rsidRPr="00E71812" w:rsidRDefault="009574DF" w:rsidP="00D472FC">
      <w:pPr>
        <w:rPr>
          <w:rFonts w:ascii="Arial" w:hAnsi="Arial" w:cs="Arial"/>
          <w:sz w:val="20"/>
          <w:szCs w:val="20"/>
        </w:rPr>
      </w:pPr>
    </w:p>
    <w:p w14:paraId="4BA95B76" w14:textId="3B269383" w:rsidR="006E63C2" w:rsidRPr="00E71812" w:rsidRDefault="006E63C2" w:rsidP="00D472FC">
      <w:pPr>
        <w:rPr>
          <w:rFonts w:ascii="Arial" w:hAnsi="Arial" w:cs="Arial"/>
          <w:sz w:val="20"/>
          <w:szCs w:val="20"/>
        </w:rPr>
      </w:pPr>
    </w:p>
    <w:p w14:paraId="51F5D3AB" w14:textId="5EC6211C" w:rsidR="006E63C2" w:rsidRPr="00E71812" w:rsidRDefault="006E63C2" w:rsidP="00D472FC">
      <w:pPr>
        <w:rPr>
          <w:rFonts w:ascii="Arial" w:hAnsi="Arial" w:cs="Arial"/>
          <w:sz w:val="20"/>
          <w:szCs w:val="20"/>
        </w:rPr>
      </w:pPr>
    </w:p>
    <w:p w14:paraId="71F10EC7" w14:textId="47D0DFCE" w:rsidR="006E63C2" w:rsidRPr="00E71812" w:rsidRDefault="006E63C2" w:rsidP="00D472FC">
      <w:pPr>
        <w:rPr>
          <w:rFonts w:ascii="Arial" w:hAnsi="Arial" w:cs="Arial"/>
          <w:sz w:val="20"/>
          <w:szCs w:val="20"/>
        </w:rPr>
      </w:pPr>
    </w:p>
    <w:p w14:paraId="3326B0E3" w14:textId="6E5CC024" w:rsidR="006E63C2" w:rsidRPr="00E71812" w:rsidRDefault="006E63C2" w:rsidP="00D472FC">
      <w:pPr>
        <w:rPr>
          <w:rFonts w:ascii="Arial" w:hAnsi="Arial" w:cs="Arial"/>
          <w:sz w:val="20"/>
          <w:szCs w:val="20"/>
        </w:rPr>
      </w:pPr>
    </w:p>
    <w:p w14:paraId="77441073" w14:textId="77777777" w:rsidR="006E63C2" w:rsidRPr="00E71812" w:rsidRDefault="006E63C2" w:rsidP="00D472FC">
      <w:pPr>
        <w:rPr>
          <w:rFonts w:ascii="Arial" w:hAnsi="Arial" w:cs="Arial"/>
          <w:sz w:val="20"/>
          <w:szCs w:val="20"/>
        </w:rPr>
      </w:pPr>
    </w:p>
    <w:p w14:paraId="0D09B6B0" w14:textId="77777777" w:rsidR="009574DF" w:rsidRPr="00E71812" w:rsidRDefault="009574DF" w:rsidP="00D472FC">
      <w:pPr>
        <w:rPr>
          <w:rFonts w:ascii="Arial" w:hAnsi="Arial" w:cs="Arial"/>
          <w:sz w:val="20"/>
          <w:szCs w:val="20"/>
        </w:rPr>
      </w:pPr>
    </w:p>
    <w:p w14:paraId="48B241D3" w14:textId="77777777" w:rsidR="009574DF" w:rsidRPr="00E71812" w:rsidRDefault="009574DF" w:rsidP="00D472FC">
      <w:pPr>
        <w:rPr>
          <w:rFonts w:ascii="Arial" w:hAnsi="Arial" w:cs="Arial"/>
          <w:sz w:val="20"/>
          <w:szCs w:val="20"/>
        </w:rPr>
      </w:pPr>
    </w:p>
    <w:p w14:paraId="799404DB" w14:textId="77777777" w:rsidR="009574DF" w:rsidRPr="00E71812" w:rsidRDefault="009574DF" w:rsidP="00D472FC">
      <w:pPr>
        <w:rPr>
          <w:rFonts w:ascii="Arial" w:hAnsi="Arial" w:cs="Arial"/>
          <w:sz w:val="20"/>
          <w:szCs w:val="20"/>
        </w:rPr>
      </w:pPr>
    </w:p>
    <w:p w14:paraId="0FC3B332" w14:textId="77777777" w:rsidR="009574DF" w:rsidRPr="00E71812" w:rsidRDefault="009574DF" w:rsidP="00D472FC">
      <w:pPr>
        <w:rPr>
          <w:rFonts w:ascii="Arial" w:hAnsi="Arial" w:cs="Arial"/>
          <w:sz w:val="20"/>
          <w:szCs w:val="20"/>
        </w:rPr>
      </w:pPr>
    </w:p>
    <w:p w14:paraId="61BE3E08" w14:textId="77777777" w:rsidR="009574DF" w:rsidRPr="00E71812" w:rsidRDefault="009574DF" w:rsidP="00D472FC">
      <w:pPr>
        <w:rPr>
          <w:rFonts w:ascii="Arial" w:hAnsi="Arial" w:cs="Arial"/>
          <w:sz w:val="20"/>
          <w:szCs w:val="20"/>
        </w:rPr>
      </w:pPr>
    </w:p>
    <w:p w14:paraId="5A5EB3F0" w14:textId="77777777" w:rsidR="006158ED" w:rsidRPr="00E71812" w:rsidRDefault="00B12DD0" w:rsidP="00B15A9A">
      <w:pPr>
        <w:pStyle w:val="Heading3"/>
        <w:spacing w:line="360" w:lineRule="auto"/>
        <w:jc w:val="both"/>
        <w:rPr>
          <w:rFonts w:ascii="Arial" w:hAnsi="Arial" w:cs="Arial"/>
          <w:sz w:val="22"/>
          <w:szCs w:val="22"/>
        </w:rPr>
      </w:pPr>
      <w:r w:rsidRPr="00E71812">
        <w:rPr>
          <w:rFonts w:ascii="Arial" w:hAnsi="Arial" w:cs="Arial"/>
          <w:sz w:val="22"/>
          <w:szCs w:val="22"/>
        </w:rPr>
        <w:t>4.0 CONCLUSION AND RECOMMENDATIONS</w:t>
      </w:r>
    </w:p>
    <w:p w14:paraId="7E29E1C4" w14:textId="5459E25A" w:rsidR="006158ED" w:rsidRPr="00E71812" w:rsidRDefault="006158ED" w:rsidP="00B15A9A">
      <w:pPr>
        <w:pStyle w:val="NormalWeb"/>
        <w:spacing w:line="360" w:lineRule="auto"/>
        <w:jc w:val="both"/>
        <w:rPr>
          <w:rFonts w:ascii="Arial" w:hAnsi="Arial" w:cs="Arial"/>
          <w:sz w:val="20"/>
          <w:szCs w:val="20"/>
        </w:rPr>
      </w:pPr>
      <w:r w:rsidRPr="00E71812">
        <w:rPr>
          <w:rFonts w:ascii="Arial" w:hAnsi="Arial" w:cs="Arial"/>
          <w:sz w:val="20"/>
          <w:szCs w:val="20"/>
        </w:rPr>
        <w:lastRenderedPageBreak/>
        <w:t xml:space="preserve">This study demonstrated that </w:t>
      </w:r>
      <w:r w:rsidR="000375ED" w:rsidRPr="00E71812">
        <w:rPr>
          <w:rFonts w:ascii="Arial" w:hAnsi="Arial" w:cs="Arial"/>
          <w:sz w:val="20"/>
          <w:szCs w:val="20"/>
        </w:rPr>
        <w:t>anemia</w:t>
      </w:r>
      <w:r w:rsidRPr="00E71812">
        <w:rPr>
          <w:rFonts w:ascii="Arial" w:hAnsi="Arial" w:cs="Arial"/>
          <w:sz w:val="20"/>
          <w:szCs w:val="20"/>
        </w:rPr>
        <w:t xml:space="preserve"> is a major public health challenge among pregnant women, with a prevalence of 82.5%, </w:t>
      </w:r>
      <w:r w:rsidR="009574DF" w:rsidRPr="00E71812">
        <w:rPr>
          <w:rFonts w:ascii="Arial" w:hAnsi="Arial" w:cs="Arial"/>
          <w:sz w:val="20"/>
          <w:szCs w:val="20"/>
        </w:rPr>
        <w:t>slightly above the 78.5% reported in a current study in Ghana</w:t>
      </w:r>
      <w:r w:rsidR="00A27465" w:rsidRPr="00E71812">
        <w:rPr>
          <w:rFonts w:ascii="Arial" w:hAnsi="Arial" w:cs="Arial"/>
          <w:sz w:val="20"/>
          <w:szCs w:val="20"/>
        </w:rPr>
        <w:t xml:space="preserve">. </w:t>
      </w:r>
      <w:r w:rsidRPr="00E71812">
        <w:rPr>
          <w:rFonts w:ascii="Arial" w:hAnsi="Arial" w:cs="Arial"/>
          <w:sz w:val="20"/>
          <w:szCs w:val="20"/>
        </w:rPr>
        <w:t xml:space="preserve">The majority of cases were </w:t>
      </w:r>
      <w:proofErr w:type="spellStart"/>
      <w:r w:rsidRPr="00E71812">
        <w:rPr>
          <w:rFonts w:ascii="Arial" w:hAnsi="Arial" w:cs="Arial"/>
          <w:sz w:val="20"/>
          <w:szCs w:val="20"/>
        </w:rPr>
        <w:t>characterised</w:t>
      </w:r>
      <w:proofErr w:type="spellEnd"/>
      <w:r w:rsidRPr="00E71812">
        <w:rPr>
          <w:rFonts w:ascii="Arial" w:hAnsi="Arial" w:cs="Arial"/>
          <w:sz w:val="20"/>
          <w:szCs w:val="20"/>
        </w:rPr>
        <w:t xml:space="preserve"> by microcytosis and hypochromia, confirming that the </w:t>
      </w:r>
      <w:r w:rsidR="000375ED" w:rsidRPr="00E71812">
        <w:rPr>
          <w:rFonts w:ascii="Arial" w:hAnsi="Arial" w:cs="Arial"/>
          <w:sz w:val="20"/>
          <w:szCs w:val="20"/>
        </w:rPr>
        <w:t>anemia</w:t>
      </w:r>
      <w:r w:rsidRPr="00E71812">
        <w:rPr>
          <w:rFonts w:ascii="Arial" w:hAnsi="Arial" w:cs="Arial"/>
          <w:sz w:val="20"/>
          <w:szCs w:val="20"/>
        </w:rPr>
        <w:t xml:space="preserve"> observed is predominantly microcytic hypochromic in nature, strongly suggestive of iron deficiency. A history of </w:t>
      </w:r>
      <w:r w:rsidR="000375ED" w:rsidRPr="00E71812">
        <w:rPr>
          <w:rFonts w:ascii="Arial" w:hAnsi="Arial" w:cs="Arial"/>
          <w:sz w:val="20"/>
          <w:szCs w:val="20"/>
        </w:rPr>
        <w:t>anemia</w:t>
      </w:r>
      <w:r w:rsidRPr="00E71812">
        <w:rPr>
          <w:rFonts w:ascii="Arial" w:hAnsi="Arial" w:cs="Arial"/>
          <w:sz w:val="20"/>
          <w:szCs w:val="20"/>
        </w:rPr>
        <w:t xml:space="preserve"> before pregnancy was found to be a significant determinant, highlighting the recurrent and chronic nature of iron depletion in this population. Logistic regression analysis further identified smoking, alcohol consumption, single marital status, and parity as important predictors of low ferritin, while supplement use during pregnancy emerged as the strongest protective factor. Socio-economic vulnerabilities, including unemployment and lack of spousal support, also contributed to the risk, indicating that </w:t>
      </w:r>
      <w:r w:rsidR="000375ED" w:rsidRPr="00E71812">
        <w:rPr>
          <w:rFonts w:ascii="Arial" w:hAnsi="Arial" w:cs="Arial"/>
          <w:sz w:val="20"/>
          <w:szCs w:val="20"/>
        </w:rPr>
        <w:t>anemia</w:t>
      </w:r>
      <w:r w:rsidRPr="00E71812">
        <w:rPr>
          <w:rFonts w:ascii="Arial" w:hAnsi="Arial" w:cs="Arial"/>
          <w:sz w:val="20"/>
          <w:szCs w:val="20"/>
        </w:rPr>
        <w:t xml:space="preserve"> is shaped not only by biomedical conditions but also by lifestyle and social determinants.</w:t>
      </w:r>
    </w:p>
    <w:p w14:paraId="27C70567" w14:textId="77777777" w:rsidR="006158ED" w:rsidRPr="00E71812" w:rsidRDefault="006158ED" w:rsidP="00B15A9A">
      <w:pPr>
        <w:pStyle w:val="NormalWeb"/>
        <w:spacing w:line="360" w:lineRule="auto"/>
        <w:jc w:val="both"/>
        <w:rPr>
          <w:rFonts w:ascii="Arial" w:hAnsi="Arial" w:cs="Arial"/>
          <w:sz w:val="20"/>
          <w:szCs w:val="20"/>
        </w:rPr>
      </w:pPr>
      <w:r w:rsidRPr="00E71812">
        <w:rPr>
          <w:rFonts w:ascii="Arial" w:hAnsi="Arial" w:cs="Arial"/>
          <w:sz w:val="20"/>
          <w:szCs w:val="20"/>
        </w:rPr>
        <w:t>The risk stratification model developed in this study provided further evidence of the multifactorial nature of iron deficiency. The model showed excellent calibration, with observed prevalence of low ferritin rising from 1.4% in the lowest risk quintile to 79.2% in the highest</w:t>
      </w:r>
      <w:r w:rsidR="00D472FC" w:rsidRPr="00E71812">
        <w:rPr>
          <w:rFonts w:ascii="Arial" w:hAnsi="Arial" w:cs="Arial"/>
          <w:sz w:val="20"/>
          <w:szCs w:val="20"/>
        </w:rPr>
        <w:t xml:space="preserve">, and this </w:t>
      </w:r>
      <w:r w:rsidRPr="00E71812">
        <w:rPr>
          <w:rFonts w:ascii="Arial" w:hAnsi="Arial" w:cs="Arial"/>
          <w:sz w:val="20"/>
          <w:szCs w:val="20"/>
        </w:rPr>
        <w:t xml:space="preserve">demonstrates its potential as a clinical tool for early identification and </w:t>
      </w:r>
      <w:proofErr w:type="spellStart"/>
      <w:r w:rsidRPr="00E71812">
        <w:rPr>
          <w:rFonts w:ascii="Arial" w:hAnsi="Arial" w:cs="Arial"/>
          <w:sz w:val="20"/>
          <w:szCs w:val="20"/>
        </w:rPr>
        <w:t>prioritisation</w:t>
      </w:r>
      <w:proofErr w:type="spellEnd"/>
      <w:r w:rsidRPr="00E71812">
        <w:rPr>
          <w:rFonts w:ascii="Arial" w:hAnsi="Arial" w:cs="Arial"/>
          <w:sz w:val="20"/>
          <w:szCs w:val="20"/>
        </w:rPr>
        <w:t xml:space="preserve"> of women at greatest risk of iron deficiency</w:t>
      </w:r>
      <w:r w:rsidR="00D472FC" w:rsidRPr="00E71812">
        <w:rPr>
          <w:rFonts w:ascii="Arial" w:hAnsi="Arial" w:cs="Arial"/>
          <w:sz w:val="20"/>
          <w:szCs w:val="20"/>
        </w:rPr>
        <w:t>. It allows</w:t>
      </w:r>
      <w:r w:rsidRPr="00E71812">
        <w:rPr>
          <w:rFonts w:ascii="Arial" w:hAnsi="Arial" w:cs="Arial"/>
          <w:sz w:val="20"/>
          <w:szCs w:val="20"/>
        </w:rPr>
        <w:t xml:space="preserve"> for targeted screening and intervention within antenatal care services.</w:t>
      </w:r>
    </w:p>
    <w:p w14:paraId="19271B29" w14:textId="12AEF4C1" w:rsidR="00AA738E" w:rsidRPr="00E71812" w:rsidRDefault="006158ED" w:rsidP="00AA738E">
      <w:pPr>
        <w:pStyle w:val="NormalWeb"/>
        <w:spacing w:line="360" w:lineRule="auto"/>
        <w:jc w:val="both"/>
        <w:rPr>
          <w:rFonts w:ascii="Arial" w:hAnsi="Arial" w:cs="Arial"/>
          <w:sz w:val="20"/>
          <w:szCs w:val="20"/>
        </w:rPr>
      </w:pPr>
      <w:r w:rsidRPr="00E71812">
        <w:rPr>
          <w:rFonts w:ascii="Arial" w:hAnsi="Arial" w:cs="Arial"/>
          <w:sz w:val="20"/>
          <w:szCs w:val="20"/>
        </w:rPr>
        <w:t xml:space="preserve">These findings carry several practical implications. Strengthening antenatal supplementation </w:t>
      </w:r>
      <w:proofErr w:type="spellStart"/>
      <w:r w:rsidRPr="00E71812">
        <w:rPr>
          <w:rFonts w:ascii="Arial" w:hAnsi="Arial" w:cs="Arial"/>
          <w:sz w:val="20"/>
          <w:szCs w:val="20"/>
        </w:rPr>
        <w:t>programmes</w:t>
      </w:r>
      <w:proofErr w:type="spellEnd"/>
      <w:r w:rsidRPr="00E71812">
        <w:rPr>
          <w:rFonts w:ascii="Arial" w:hAnsi="Arial" w:cs="Arial"/>
          <w:sz w:val="20"/>
          <w:szCs w:val="20"/>
        </w:rPr>
        <w:t xml:space="preserve"> remains essential, with universal provision of iron and folic acid supplements coupled with strong adherence monitoring. High-risk groups, particularly women with a history of </w:t>
      </w:r>
      <w:r w:rsidR="000375ED" w:rsidRPr="00E71812">
        <w:rPr>
          <w:rFonts w:ascii="Arial" w:hAnsi="Arial" w:cs="Arial"/>
          <w:sz w:val="20"/>
          <w:szCs w:val="20"/>
        </w:rPr>
        <w:t>anemia</w:t>
      </w:r>
      <w:r w:rsidRPr="00E71812">
        <w:rPr>
          <w:rFonts w:ascii="Arial" w:hAnsi="Arial" w:cs="Arial"/>
          <w:sz w:val="20"/>
          <w:szCs w:val="20"/>
        </w:rPr>
        <w:t xml:space="preserve">, single mothers, and multiparous women, should be </w:t>
      </w:r>
      <w:proofErr w:type="spellStart"/>
      <w:r w:rsidRPr="00E71812">
        <w:rPr>
          <w:rFonts w:ascii="Arial" w:hAnsi="Arial" w:cs="Arial"/>
          <w:sz w:val="20"/>
          <w:szCs w:val="20"/>
        </w:rPr>
        <w:t>prioritised</w:t>
      </w:r>
      <w:proofErr w:type="spellEnd"/>
      <w:r w:rsidRPr="00E71812">
        <w:rPr>
          <w:rFonts w:ascii="Arial" w:hAnsi="Arial" w:cs="Arial"/>
          <w:sz w:val="20"/>
          <w:szCs w:val="20"/>
        </w:rPr>
        <w:t xml:space="preserve"> for screening and follow-up care. Antenatal education should also integrate counselling on smoking and alcohol cessation, given their strong associations with low ferritin. At a broader level, interventions must address socio-economic vulnerabilities, with community nutrition </w:t>
      </w:r>
      <w:proofErr w:type="spellStart"/>
      <w:r w:rsidRPr="00E71812">
        <w:rPr>
          <w:rFonts w:ascii="Arial" w:hAnsi="Arial" w:cs="Arial"/>
          <w:sz w:val="20"/>
          <w:szCs w:val="20"/>
        </w:rPr>
        <w:t>programmes</w:t>
      </w:r>
      <w:proofErr w:type="spellEnd"/>
      <w:r w:rsidRPr="00E71812">
        <w:rPr>
          <w:rFonts w:ascii="Arial" w:hAnsi="Arial" w:cs="Arial"/>
          <w:sz w:val="20"/>
          <w:szCs w:val="20"/>
        </w:rPr>
        <w:t xml:space="preserve"> and social support systems tailored to unemployed and disadvantaged women.</w:t>
      </w:r>
      <w:r w:rsidR="00AA738E" w:rsidRPr="00E71812">
        <w:rPr>
          <w:rFonts w:ascii="Arial" w:hAnsi="Arial" w:cs="Arial"/>
          <w:sz w:val="20"/>
          <w:szCs w:val="20"/>
        </w:rPr>
        <w:t xml:space="preserve"> Operational Definitions</w:t>
      </w:r>
    </w:p>
    <w:p w14:paraId="0C49A61A" w14:textId="46B9678C" w:rsidR="00B12DD0" w:rsidRPr="00E71812" w:rsidRDefault="00B12DD0" w:rsidP="00B12DD0">
      <w:pPr>
        <w:pStyle w:val="Heading3"/>
        <w:spacing w:line="360" w:lineRule="auto"/>
        <w:jc w:val="both"/>
        <w:rPr>
          <w:rFonts w:ascii="Arial" w:hAnsi="Arial" w:cs="Arial"/>
          <w:sz w:val="20"/>
          <w:szCs w:val="20"/>
        </w:rPr>
      </w:pPr>
      <w:r w:rsidRPr="00E71812">
        <w:rPr>
          <w:rFonts w:ascii="Arial" w:hAnsi="Arial" w:cs="Arial"/>
          <w:sz w:val="20"/>
          <w:szCs w:val="20"/>
        </w:rPr>
        <w:t>E</w:t>
      </w:r>
      <w:r w:rsidR="000B6757" w:rsidRPr="00E71812">
        <w:rPr>
          <w:rFonts w:ascii="Arial" w:hAnsi="Arial" w:cs="Arial"/>
          <w:sz w:val="20"/>
          <w:szCs w:val="20"/>
        </w:rPr>
        <w:t xml:space="preserve">thical Approval and Consent: </w:t>
      </w:r>
    </w:p>
    <w:p w14:paraId="0075DB63" w14:textId="073896B9" w:rsidR="00A27465" w:rsidRPr="00E71812" w:rsidRDefault="00B12DD0" w:rsidP="004A3256">
      <w:pPr>
        <w:pStyle w:val="NormalWeb"/>
        <w:spacing w:line="360" w:lineRule="auto"/>
        <w:jc w:val="both"/>
        <w:rPr>
          <w:rFonts w:ascii="Arial" w:hAnsi="Arial" w:cs="Arial"/>
          <w:sz w:val="20"/>
          <w:szCs w:val="20"/>
        </w:rPr>
      </w:pPr>
      <w:r w:rsidRPr="00E71812">
        <w:rPr>
          <w:rFonts w:ascii="Arial" w:hAnsi="Arial" w:cs="Arial"/>
          <w:sz w:val="20"/>
          <w:szCs w:val="20"/>
        </w:rPr>
        <w:t xml:space="preserve">Ethical clearance was obtained from the </w:t>
      </w:r>
      <w:r w:rsidRPr="00E71812">
        <w:rPr>
          <w:rStyle w:val="Strong"/>
          <w:rFonts w:ascii="Arial" w:hAnsi="Arial" w:cs="Arial"/>
          <w:b w:val="0"/>
          <w:sz w:val="20"/>
          <w:szCs w:val="20"/>
        </w:rPr>
        <w:t>Research Ethics Committee of the Takoradi Technical University (TTU).</w:t>
      </w:r>
      <w:r w:rsidRPr="00E71812">
        <w:rPr>
          <w:rFonts w:ascii="Arial" w:hAnsi="Arial" w:cs="Arial"/>
          <w:b/>
          <w:sz w:val="20"/>
          <w:szCs w:val="20"/>
        </w:rPr>
        <w:t xml:space="preserve"> </w:t>
      </w:r>
      <w:r w:rsidRPr="00E71812">
        <w:rPr>
          <w:rFonts w:ascii="Arial" w:hAnsi="Arial" w:cs="Arial"/>
          <w:sz w:val="20"/>
          <w:szCs w:val="20"/>
        </w:rPr>
        <w:t xml:space="preserve">Permission was also obtained from the management of the participating health facilities. Written informed consent was secured from each participant prior to enrolment. All data were </w:t>
      </w:r>
      <w:proofErr w:type="spellStart"/>
      <w:r w:rsidRPr="00E71812">
        <w:rPr>
          <w:rFonts w:ascii="Arial" w:hAnsi="Arial" w:cs="Arial"/>
          <w:sz w:val="20"/>
          <w:szCs w:val="20"/>
        </w:rPr>
        <w:t>anonymised</w:t>
      </w:r>
      <w:proofErr w:type="spellEnd"/>
      <w:r w:rsidRPr="00E71812">
        <w:rPr>
          <w:rFonts w:ascii="Arial" w:hAnsi="Arial" w:cs="Arial"/>
          <w:sz w:val="20"/>
          <w:szCs w:val="20"/>
        </w:rPr>
        <w:t xml:space="preserve"> to protect confidentiality. Participants with severe </w:t>
      </w:r>
      <w:r w:rsidR="000375ED" w:rsidRPr="00E71812">
        <w:rPr>
          <w:rFonts w:ascii="Arial" w:hAnsi="Arial" w:cs="Arial"/>
          <w:sz w:val="20"/>
          <w:szCs w:val="20"/>
        </w:rPr>
        <w:t>anemia</w:t>
      </w:r>
      <w:r w:rsidRPr="00E71812">
        <w:rPr>
          <w:rFonts w:ascii="Arial" w:hAnsi="Arial" w:cs="Arial"/>
          <w:sz w:val="20"/>
          <w:szCs w:val="20"/>
        </w:rPr>
        <w:t xml:space="preserve"> or critically low ferritin levels were referred for prompt clinical management at their respective facilities</w:t>
      </w:r>
    </w:p>
    <w:p w14:paraId="3C2FBD1A" w14:textId="77777777" w:rsidR="00EB3475" w:rsidRPr="00E71812" w:rsidRDefault="00EB3475" w:rsidP="00EB3475">
      <w:pPr>
        <w:rPr>
          <w:b/>
        </w:rPr>
      </w:pPr>
      <w:r w:rsidRPr="00E71812">
        <w:rPr>
          <w:b/>
        </w:rPr>
        <w:t>Disclaimer (Artificial intelligence)</w:t>
      </w:r>
    </w:p>
    <w:p w14:paraId="6BD6F4DE" w14:textId="35DF8FFE" w:rsidR="00EB3475" w:rsidRPr="00E71812" w:rsidRDefault="006E63C2" w:rsidP="00EB3475">
      <w:r w:rsidRPr="00E71812">
        <w:lastRenderedPageBreak/>
        <w:t>Authors</w:t>
      </w:r>
      <w:r w:rsidR="00EB3475" w:rsidRPr="00E71812">
        <w:t xml:space="preserve"> hereby declare that NO generative AI technologies such as Large Language Models (</w:t>
      </w:r>
      <w:proofErr w:type="spellStart"/>
      <w:r w:rsidR="00EB3475" w:rsidRPr="00E71812">
        <w:t>ChatGPT</w:t>
      </w:r>
      <w:proofErr w:type="spellEnd"/>
      <w:r w:rsidR="00EB3475" w:rsidRPr="00E71812">
        <w:t xml:space="preserve">, COPILOT, etc.) and text-to-image generators have been used during the writing or editing of this manuscript. </w:t>
      </w:r>
    </w:p>
    <w:p w14:paraId="5B91538B" w14:textId="77777777" w:rsidR="00EA0F11" w:rsidRPr="00E71812" w:rsidRDefault="00EA0F11" w:rsidP="004A3256">
      <w:pPr>
        <w:pStyle w:val="NormalWeb"/>
        <w:spacing w:line="360" w:lineRule="auto"/>
        <w:jc w:val="both"/>
        <w:rPr>
          <w:rFonts w:ascii="Arial" w:hAnsi="Arial" w:cs="Arial"/>
          <w:sz w:val="20"/>
          <w:szCs w:val="20"/>
        </w:rPr>
      </w:pPr>
    </w:p>
    <w:p w14:paraId="713EE36B" w14:textId="77777777" w:rsidR="006D2142" w:rsidRPr="00E71812" w:rsidRDefault="00B12DD0" w:rsidP="00B15A9A">
      <w:pPr>
        <w:spacing w:after="100" w:afterAutospacing="1" w:line="360" w:lineRule="auto"/>
        <w:outlineLvl w:val="1"/>
        <w:rPr>
          <w:rFonts w:ascii="Arial" w:eastAsia="Times New Roman" w:hAnsi="Arial" w:cs="Arial"/>
          <w:b/>
          <w:bCs/>
          <w:sz w:val="20"/>
          <w:szCs w:val="20"/>
        </w:rPr>
      </w:pPr>
      <w:r w:rsidRPr="00E71812">
        <w:rPr>
          <w:rFonts w:ascii="Arial" w:eastAsia="Times New Roman" w:hAnsi="Arial" w:cs="Arial"/>
          <w:b/>
          <w:bCs/>
          <w:sz w:val="20"/>
          <w:szCs w:val="20"/>
        </w:rPr>
        <w:t>REFERENCES</w:t>
      </w:r>
    </w:p>
    <w:p w14:paraId="14A77D9B" w14:textId="55308EA0" w:rsidR="006D620C" w:rsidRPr="00E71812" w:rsidRDefault="00291964"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eastAsia="Times New Roman" w:hAnsi="Arial" w:cs="Arial"/>
          <w:b/>
          <w:bCs/>
          <w:sz w:val="20"/>
          <w:szCs w:val="20"/>
        </w:rPr>
        <w:fldChar w:fldCharType="begin" w:fldLock="1"/>
      </w:r>
      <w:r w:rsidRPr="00E71812">
        <w:rPr>
          <w:rFonts w:ascii="Arial" w:eastAsia="Times New Roman" w:hAnsi="Arial" w:cs="Arial"/>
          <w:b/>
          <w:bCs/>
          <w:sz w:val="20"/>
          <w:szCs w:val="20"/>
        </w:rPr>
        <w:instrText xml:space="preserve">ADDIN Mendeley Bibliography CSL_BIBLIOGRAPHY </w:instrText>
      </w:r>
      <w:r w:rsidRPr="00E71812">
        <w:rPr>
          <w:rFonts w:ascii="Arial" w:eastAsia="Times New Roman" w:hAnsi="Arial" w:cs="Arial"/>
          <w:b/>
          <w:bCs/>
          <w:sz w:val="20"/>
          <w:szCs w:val="20"/>
        </w:rPr>
        <w:fldChar w:fldCharType="separate"/>
      </w:r>
      <w:r w:rsidR="006D620C" w:rsidRPr="00E71812">
        <w:rPr>
          <w:rFonts w:ascii="Arial" w:hAnsi="Arial" w:cs="Arial"/>
          <w:noProof/>
          <w:sz w:val="20"/>
          <w:szCs w:val="24"/>
        </w:rPr>
        <w:t>[1]</w:t>
      </w:r>
      <w:r w:rsidR="006D620C" w:rsidRPr="00E71812">
        <w:rPr>
          <w:rFonts w:ascii="Arial" w:hAnsi="Arial" w:cs="Arial"/>
          <w:noProof/>
          <w:sz w:val="20"/>
          <w:szCs w:val="24"/>
        </w:rPr>
        <w:tab/>
      </w:r>
      <w:r w:rsidR="00E7584E" w:rsidRPr="00E71812">
        <w:rPr>
          <w:rFonts w:ascii="Arial" w:hAnsi="Arial" w:cs="Arial"/>
          <w:noProof/>
          <w:sz w:val="20"/>
          <w:szCs w:val="24"/>
        </w:rPr>
        <w:t>Georgieff, M. K. (2020). Iron deficiency in pregnancy. American Journal of Obstetrics and Gynecology, 223(4), 516–524. https://doi.org/10.101</w:t>
      </w:r>
      <w:bookmarkStart w:id="0" w:name="_GoBack"/>
      <w:bookmarkEnd w:id="0"/>
      <w:r w:rsidR="00E7584E" w:rsidRPr="00E71812">
        <w:rPr>
          <w:rFonts w:ascii="Arial" w:hAnsi="Arial" w:cs="Arial"/>
          <w:noProof/>
          <w:sz w:val="20"/>
          <w:szCs w:val="24"/>
        </w:rPr>
        <w:t xml:space="preserve">6/j.ajog.2020.03.006 </w:t>
      </w:r>
    </w:p>
    <w:p w14:paraId="788A4EFD" w14:textId="54B990DE" w:rsidR="006D620C"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[2]</w:t>
      </w:r>
      <w:r w:rsidRPr="00E71812">
        <w:rPr>
          <w:rFonts w:ascii="Arial" w:hAnsi="Arial" w:cs="Arial"/>
          <w:noProof/>
          <w:sz w:val="20"/>
          <w:szCs w:val="24"/>
        </w:rPr>
        <w:tab/>
      </w:r>
      <w:r w:rsidR="00E7584E" w:rsidRPr="00E71812">
        <w:rPr>
          <w:rFonts w:ascii="Arial" w:hAnsi="Arial" w:cs="Arial"/>
          <w:noProof/>
          <w:sz w:val="20"/>
          <w:szCs w:val="24"/>
        </w:rPr>
        <w:t xml:space="preserve">Kumar, A., Sharma, E., Marley, A., Samaan, M. A., &amp; Brookes, M. J. (2022). Iron deficiency </w:t>
      </w:r>
      <w:r w:rsidR="000375ED" w:rsidRPr="00E71812">
        <w:rPr>
          <w:rFonts w:ascii="Arial" w:hAnsi="Arial" w:cs="Arial"/>
          <w:noProof/>
          <w:sz w:val="20"/>
          <w:szCs w:val="24"/>
        </w:rPr>
        <w:t>anemia</w:t>
      </w:r>
      <w:r w:rsidR="00E7584E" w:rsidRPr="00E71812">
        <w:rPr>
          <w:rFonts w:ascii="Arial" w:hAnsi="Arial" w:cs="Arial"/>
          <w:noProof/>
          <w:sz w:val="20"/>
          <w:szCs w:val="24"/>
        </w:rPr>
        <w:t xml:space="preserve">: pathophysiology, assessment, practical management. BMJ Open Gastroenterology, 9(1). https://doi.org/10.1136/bmjgast-2021-000759 </w:t>
      </w:r>
    </w:p>
    <w:p w14:paraId="6D053C24" w14:textId="4850C357" w:rsidR="006D620C"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[3]</w:t>
      </w:r>
      <w:r w:rsidRPr="00E71812">
        <w:rPr>
          <w:rFonts w:ascii="Arial" w:hAnsi="Arial" w:cs="Arial"/>
          <w:noProof/>
          <w:sz w:val="20"/>
          <w:szCs w:val="24"/>
        </w:rPr>
        <w:tab/>
      </w:r>
      <w:r w:rsidR="00E7584E" w:rsidRPr="00E71812">
        <w:rPr>
          <w:rFonts w:ascii="Arial" w:hAnsi="Arial" w:cs="Arial"/>
          <w:noProof/>
          <w:sz w:val="20"/>
          <w:szCs w:val="24"/>
        </w:rPr>
        <w:t xml:space="preserve">Buseri, F. I., Uko, E. K., Jeremiah, Z. A., &amp; Usanga, E. A. (2008). Prevalence and Risk Factors of </w:t>
      </w:r>
      <w:r w:rsidR="000375ED" w:rsidRPr="00E71812">
        <w:rPr>
          <w:rFonts w:ascii="Arial" w:hAnsi="Arial" w:cs="Arial"/>
          <w:noProof/>
          <w:sz w:val="20"/>
          <w:szCs w:val="24"/>
        </w:rPr>
        <w:t>Anemia</w:t>
      </w:r>
      <w:r w:rsidR="00E7584E" w:rsidRPr="00E71812">
        <w:rPr>
          <w:rFonts w:ascii="Arial" w:hAnsi="Arial" w:cs="Arial"/>
          <w:noProof/>
          <w:sz w:val="20"/>
          <w:szCs w:val="24"/>
        </w:rPr>
        <w:t xml:space="preserve"> Among Pregnant women in Nigeria. *Open Hematology Journal*, *2*(1), 14–19. https://doi.org/10.2174/1874276900802010014 </w:t>
      </w:r>
    </w:p>
    <w:p w14:paraId="7CE11135" w14:textId="3906149E" w:rsidR="006D620C"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[4]</w:t>
      </w:r>
      <w:r w:rsidRPr="00E71812">
        <w:rPr>
          <w:rFonts w:ascii="Arial" w:hAnsi="Arial" w:cs="Arial"/>
          <w:noProof/>
          <w:sz w:val="20"/>
          <w:szCs w:val="24"/>
        </w:rPr>
        <w:tab/>
      </w:r>
      <w:r w:rsidR="00E7584E" w:rsidRPr="00E71812">
        <w:rPr>
          <w:rFonts w:ascii="Arial" w:hAnsi="Arial" w:cs="Arial"/>
          <w:noProof/>
          <w:sz w:val="20"/>
          <w:szCs w:val="24"/>
        </w:rPr>
        <w:t xml:space="preserve">Kolarš, B., Mijatović Jovin, V., Živanović, N., Minaković, I., Gvozdenović, N., Dickov Kokeza, I., &amp; Lesjak, M. (2025). Iron Deficiency and Iron Deficiency Anemia: A Comprehensive Overview of Established and Emerging Concepts. Pharmaceuticals (Basel). https://doi.org/10.3390/ph18081104 </w:t>
      </w:r>
      <w:r w:rsidRPr="00E71812">
        <w:rPr>
          <w:rFonts w:ascii="Arial" w:hAnsi="Arial" w:cs="Arial"/>
          <w:noProof/>
          <w:sz w:val="20"/>
          <w:szCs w:val="24"/>
        </w:rPr>
        <w:t>.</w:t>
      </w:r>
    </w:p>
    <w:p w14:paraId="615E2041" w14:textId="4F192439" w:rsidR="006D620C"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[5]</w:t>
      </w:r>
      <w:r w:rsidRPr="00E71812">
        <w:rPr>
          <w:rFonts w:ascii="Arial" w:hAnsi="Arial" w:cs="Arial"/>
          <w:noProof/>
          <w:sz w:val="20"/>
          <w:szCs w:val="24"/>
        </w:rPr>
        <w:tab/>
      </w:r>
      <w:r w:rsidR="00E7584E" w:rsidRPr="00E71812">
        <w:rPr>
          <w:rFonts w:ascii="Arial" w:hAnsi="Arial" w:cs="Arial"/>
          <w:noProof/>
          <w:sz w:val="20"/>
          <w:szCs w:val="24"/>
        </w:rPr>
        <w:t xml:space="preserve">Camaschella, C. (2015). Iron-deficiency anemia. New England Journal of Medicine, 372(19), 1832–1843. https://doi.org/10.1056/NEJMra1401038 </w:t>
      </w:r>
      <w:r w:rsidRPr="00E71812">
        <w:rPr>
          <w:rFonts w:ascii="Arial" w:hAnsi="Arial" w:cs="Arial"/>
          <w:noProof/>
          <w:sz w:val="20"/>
          <w:szCs w:val="24"/>
        </w:rPr>
        <w:t>.</w:t>
      </w:r>
    </w:p>
    <w:p w14:paraId="140FEC76" w14:textId="30C26BA3" w:rsidR="00E7584E"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[6]</w:t>
      </w:r>
      <w:r w:rsidRPr="00E71812">
        <w:rPr>
          <w:rFonts w:ascii="Arial" w:hAnsi="Arial" w:cs="Arial"/>
          <w:noProof/>
          <w:sz w:val="20"/>
          <w:szCs w:val="24"/>
        </w:rPr>
        <w:tab/>
      </w:r>
      <w:r w:rsidR="00E7584E" w:rsidRPr="00E71812">
        <w:rPr>
          <w:rFonts w:ascii="Arial" w:hAnsi="Arial" w:cs="Arial"/>
          <w:noProof/>
          <w:sz w:val="20"/>
          <w:szCs w:val="24"/>
        </w:rPr>
        <w:t xml:space="preserve">Stevens, G. A., Alkema, D. E., Danaei, G., Kasebaum, C. J., Lu, J. R., Mensah, G. M. A., Murray, C. J. L., Lim, S. S., &amp; Ezzati, M. (2013). Global, regional, and national trends in haemoglobin concentration and prevalence of total and severe </w:t>
      </w:r>
      <w:r w:rsidR="000375ED" w:rsidRPr="00E71812">
        <w:rPr>
          <w:rFonts w:ascii="Arial" w:hAnsi="Arial" w:cs="Arial"/>
          <w:noProof/>
          <w:sz w:val="20"/>
          <w:szCs w:val="24"/>
        </w:rPr>
        <w:t>anemia</w:t>
      </w:r>
      <w:r w:rsidR="00E7584E" w:rsidRPr="00E71812">
        <w:rPr>
          <w:rFonts w:ascii="Arial" w:hAnsi="Arial" w:cs="Arial"/>
          <w:noProof/>
          <w:sz w:val="20"/>
          <w:szCs w:val="24"/>
        </w:rPr>
        <w:t xml:space="preserve"> in children and pregnant and non-pregnant women for 1995-2011: A systematic analysis of population-representative data. *Lancet Global Health*, *1*(1), e16-e25. https://doi.org/10.1016/S2214-109X(13)70001-9  </w:t>
      </w:r>
    </w:p>
    <w:p w14:paraId="1E1EA4FC" w14:textId="25BA84EB" w:rsidR="006D620C"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[7]</w:t>
      </w:r>
      <w:r w:rsidRPr="00E71812">
        <w:rPr>
          <w:rFonts w:ascii="Arial" w:hAnsi="Arial" w:cs="Arial"/>
          <w:noProof/>
          <w:sz w:val="20"/>
          <w:szCs w:val="24"/>
        </w:rPr>
        <w:tab/>
      </w:r>
      <w:r w:rsidR="00E7584E" w:rsidRPr="00E71812">
        <w:rPr>
          <w:rFonts w:ascii="Arial" w:hAnsi="Arial" w:cs="Arial"/>
          <w:noProof/>
          <w:sz w:val="20"/>
          <w:szCs w:val="24"/>
        </w:rPr>
        <w:t xml:space="preserve">Obai, G., Odongo, P., &amp; Wanyama, R. (2016). Prevalence of </w:t>
      </w:r>
      <w:r w:rsidR="000375ED" w:rsidRPr="00E71812">
        <w:rPr>
          <w:rFonts w:ascii="Arial" w:hAnsi="Arial" w:cs="Arial"/>
          <w:noProof/>
          <w:sz w:val="20"/>
          <w:szCs w:val="24"/>
        </w:rPr>
        <w:t>anemia</w:t>
      </w:r>
      <w:r w:rsidR="00E7584E" w:rsidRPr="00E71812">
        <w:rPr>
          <w:rFonts w:ascii="Arial" w:hAnsi="Arial" w:cs="Arial"/>
          <w:noProof/>
          <w:sz w:val="20"/>
          <w:szCs w:val="24"/>
        </w:rPr>
        <w:t xml:space="preserve"> and associated risk factors among pregnant women attending antenatal care in Gulu and Hoima Regional Hospitals in Uganda: A cross sectional study. BMC Pregnancy and Childbirth, 16(1), 76. https://doi.org/10.1186/s12884-016-0865-4 </w:t>
      </w:r>
    </w:p>
    <w:p w14:paraId="587330E6" w14:textId="67B576D0" w:rsidR="00E7584E"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lastRenderedPageBreak/>
        <w:t>[8]</w:t>
      </w:r>
      <w:r w:rsidRPr="00E71812">
        <w:rPr>
          <w:rFonts w:ascii="Arial" w:hAnsi="Arial" w:cs="Arial"/>
          <w:noProof/>
          <w:sz w:val="20"/>
          <w:szCs w:val="24"/>
        </w:rPr>
        <w:tab/>
      </w:r>
      <w:r w:rsidR="00E7584E" w:rsidRPr="00E71812">
        <w:rPr>
          <w:rFonts w:ascii="Arial" w:hAnsi="Arial" w:cs="Arial"/>
          <w:noProof/>
          <w:sz w:val="20"/>
          <w:szCs w:val="24"/>
        </w:rPr>
        <w:t xml:space="preserve">Nair, M., Choudhury, M. K., Choudhury, S. S., Kakoty, S. D., Sarma, U. C., Webster, P., &amp; Knight, M. (2016). Association between maternal </w:t>
      </w:r>
      <w:r w:rsidR="000375ED" w:rsidRPr="00E71812">
        <w:rPr>
          <w:rFonts w:ascii="Arial" w:hAnsi="Arial" w:cs="Arial"/>
          <w:noProof/>
          <w:sz w:val="20"/>
          <w:szCs w:val="24"/>
        </w:rPr>
        <w:t>anemia</w:t>
      </w:r>
      <w:r w:rsidR="00E7584E" w:rsidRPr="00E71812">
        <w:rPr>
          <w:rFonts w:ascii="Arial" w:hAnsi="Arial" w:cs="Arial"/>
          <w:noProof/>
          <w:sz w:val="20"/>
          <w:szCs w:val="24"/>
        </w:rPr>
        <w:t xml:space="preserve"> and pregnancy outcomes: a cohort study in Assam, India. BMJ Global Health, 1(1), e000026. https://doi.org/10.1136/bmjgh-2015-000026  </w:t>
      </w:r>
    </w:p>
    <w:p w14:paraId="1FF28005" w14:textId="73F6A680" w:rsidR="006D620C"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[9]</w:t>
      </w:r>
      <w:r w:rsidRPr="00E71812">
        <w:rPr>
          <w:rFonts w:ascii="Arial" w:hAnsi="Arial" w:cs="Arial"/>
          <w:noProof/>
          <w:sz w:val="20"/>
          <w:szCs w:val="24"/>
        </w:rPr>
        <w:tab/>
      </w:r>
      <w:r w:rsidR="00E7584E" w:rsidRPr="00E71812">
        <w:rPr>
          <w:rFonts w:ascii="Arial" w:hAnsi="Arial" w:cs="Arial"/>
          <w:noProof/>
          <w:sz w:val="20"/>
          <w:szCs w:val="24"/>
        </w:rPr>
        <w:t xml:space="preserve">Kofie, P., Tarkang, E. E., Manu, E., et al. (2019). Prevalence and associated risk factors of </w:t>
      </w:r>
      <w:r w:rsidR="000375ED" w:rsidRPr="00E71812">
        <w:rPr>
          <w:rFonts w:ascii="Arial" w:hAnsi="Arial" w:cs="Arial"/>
          <w:noProof/>
          <w:sz w:val="20"/>
          <w:szCs w:val="24"/>
        </w:rPr>
        <w:t>anemia</w:t>
      </w:r>
      <w:r w:rsidR="00E7584E" w:rsidRPr="00E71812">
        <w:rPr>
          <w:rFonts w:ascii="Arial" w:hAnsi="Arial" w:cs="Arial"/>
          <w:noProof/>
          <w:sz w:val="20"/>
          <w:szCs w:val="24"/>
        </w:rPr>
        <w:t xml:space="preserve"> among women attending antenatal and post-natal clinics at a public health facility in Ghana. BMC Nutrition, 5, 40. https://doi.org/10.1186/s40795-019-0303-x </w:t>
      </w:r>
    </w:p>
    <w:p w14:paraId="1248E558" w14:textId="3850C044" w:rsidR="00E7584E"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[10]</w:t>
      </w:r>
      <w:r w:rsidRPr="00E71812">
        <w:rPr>
          <w:rFonts w:ascii="Arial" w:hAnsi="Arial" w:cs="Arial"/>
          <w:noProof/>
          <w:sz w:val="20"/>
          <w:szCs w:val="24"/>
        </w:rPr>
        <w:tab/>
      </w:r>
      <w:r w:rsidR="00E7584E" w:rsidRPr="00E71812">
        <w:rPr>
          <w:rFonts w:ascii="Arial" w:hAnsi="Arial" w:cs="Arial"/>
          <w:noProof/>
          <w:sz w:val="20"/>
          <w:szCs w:val="24"/>
        </w:rPr>
        <w:t xml:space="preserve">Tettegah, E., Hormenu, T., &amp; Ebu-Enyan, N. I. (2024). Risk factors associated with </w:t>
      </w:r>
      <w:r w:rsidR="000375ED" w:rsidRPr="00E71812">
        <w:rPr>
          <w:rFonts w:ascii="Arial" w:hAnsi="Arial" w:cs="Arial"/>
          <w:noProof/>
          <w:sz w:val="20"/>
          <w:szCs w:val="24"/>
        </w:rPr>
        <w:t>anemia</w:t>
      </w:r>
      <w:r w:rsidR="00E7584E" w:rsidRPr="00E71812">
        <w:rPr>
          <w:rFonts w:ascii="Arial" w:hAnsi="Arial" w:cs="Arial"/>
          <w:noProof/>
          <w:sz w:val="20"/>
          <w:szCs w:val="24"/>
        </w:rPr>
        <w:t xml:space="preserve"> among pregnant women in the Adaklu District, Ghana. Frontiers in Global Women's Health, 4, 1140867. https://doi.org/10.3389/fgwh.2023.1140867  </w:t>
      </w:r>
    </w:p>
    <w:p w14:paraId="0E7CF8B2" w14:textId="3A1E257D" w:rsidR="006D620C"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[11]</w:t>
      </w:r>
      <w:r w:rsidRPr="00E71812">
        <w:rPr>
          <w:rFonts w:ascii="Arial" w:hAnsi="Arial" w:cs="Arial"/>
          <w:noProof/>
          <w:sz w:val="20"/>
          <w:szCs w:val="24"/>
        </w:rPr>
        <w:tab/>
      </w:r>
      <w:r w:rsidR="00E7584E" w:rsidRPr="00E71812">
        <w:rPr>
          <w:rFonts w:ascii="Arial" w:hAnsi="Arial" w:cs="Arial"/>
          <w:noProof/>
          <w:sz w:val="20"/>
          <w:szCs w:val="24"/>
        </w:rPr>
        <w:t xml:space="preserve">Kebede, S. S., Asmelash, D., Duguma, T., Wudineh, D., Alemayehu, E., Gedefie, A., &amp; Mesfin, G. (2025). Global prevalence of iron deficiency anemia and its variation with different gestational age: Systematic review and meta-analysis. Clinical Nutrition Open Science, 59(3), 68-86. https://doi.org/10.1016/j.nutos.2024.12.002 </w:t>
      </w:r>
    </w:p>
    <w:p w14:paraId="6B5D6D0C" w14:textId="6F491486" w:rsidR="006D620C"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[12]</w:t>
      </w:r>
      <w:r w:rsidRPr="00E71812">
        <w:rPr>
          <w:rFonts w:ascii="Arial" w:hAnsi="Arial" w:cs="Arial"/>
          <w:noProof/>
          <w:sz w:val="20"/>
          <w:szCs w:val="24"/>
        </w:rPr>
        <w:tab/>
      </w:r>
      <w:r w:rsidR="00E7584E" w:rsidRPr="00E71812">
        <w:rPr>
          <w:rFonts w:ascii="Arial" w:hAnsi="Arial" w:cs="Arial"/>
          <w:noProof/>
          <w:sz w:val="20"/>
          <w:szCs w:val="24"/>
        </w:rPr>
        <w:t xml:space="preserve">Memon, G. A., Khan, T. J., Abbas, S., Shaikh, G. A., Shah, N., Kayani, H. A., &amp; Habib, M. A. (2020). Prevalence of iron deficiency </w:t>
      </w:r>
      <w:r w:rsidR="000375ED" w:rsidRPr="00E71812">
        <w:rPr>
          <w:rFonts w:ascii="Arial" w:hAnsi="Arial" w:cs="Arial"/>
          <w:noProof/>
          <w:sz w:val="20"/>
          <w:szCs w:val="24"/>
        </w:rPr>
        <w:t>anemia</w:t>
      </w:r>
      <w:r w:rsidR="00E7584E" w:rsidRPr="00E71812">
        <w:rPr>
          <w:rFonts w:ascii="Arial" w:hAnsi="Arial" w:cs="Arial"/>
          <w:noProof/>
          <w:sz w:val="20"/>
          <w:szCs w:val="24"/>
        </w:rPr>
        <w:t xml:space="preserve"> among microcytic anaemic premenopausal patients at tertiary care hospital, Karachi. International Journal of Community Medicine and Public Health, 7(12), 4720–4726. https://doi.org/10.18203/2394-6040.ijcmph20205140 </w:t>
      </w:r>
    </w:p>
    <w:p w14:paraId="775A6956" w14:textId="77777777" w:rsidR="00E7584E" w:rsidRPr="00E71812" w:rsidRDefault="00E7584E" w:rsidP="006D620C">
      <w:pPr>
        <w:widowControl w:val="0"/>
        <w:autoSpaceDE w:val="0"/>
        <w:autoSpaceDN w:val="0"/>
        <w:adjustRightInd w:val="0"/>
        <w:spacing w:after="100" w:line="360" w:lineRule="auto"/>
        <w:ind w:left="640" w:hanging="640"/>
        <w:rPr>
          <w:rFonts w:ascii="Arial" w:hAnsi="Arial" w:cs="Arial"/>
          <w:noProof/>
          <w:sz w:val="20"/>
          <w:szCs w:val="24"/>
        </w:rPr>
      </w:pPr>
    </w:p>
    <w:p w14:paraId="316579AE" w14:textId="77777777" w:rsidR="00E7584E"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[13]</w:t>
      </w:r>
      <w:r w:rsidRPr="00E71812">
        <w:rPr>
          <w:rFonts w:ascii="Arial" w:hAnsi="Arial" w:cs="Arial"/>
          <w:noProof/>
          <w:sz w:val="20"/>
          <w:szCs w:val="24"/>
        </w:rPr>
        <w:tab/>
      </w:r>
      <w:r w:rsidR="00E7584E" w:rsidRPr="00E71812">
        <w:rPr>
          <w:rFonts w:ascii="Arial" w:hAnsi="Arial" w:cs="Arial"/>
          <w:noProof/>
          <w:sz w:val="20"/>
          <w:szCs w:val="24"/>
        </w:rPr>
        <w:t xml:space="preserve">Liu, L., &amp; Li, X. (2025). Predictive Value of Dynamic Changes in Hemoglobin Levels During Early Pregnancy for the Development of Anemia During Pregnancy. International Journal of Women's Health, 17, 1829–1835. https://doi.org/10.2147/IJWH.S530428  </w:t>
      </w:r>
    </w:p>
    <w:p w14:paraId="3A113D79" w14:textId="3AFA4421" w:rsidR="006D620C"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[14]</w:t>
      </w:r>
      <w:r w:rsidRPr="00E71812">
        <w:rPr>
          <w:rFonts w:ascii="Arial" w:hAnsi="Arial" w:cs="Arial"/>
          <w:noProof/>
          <w:sz w:val="20"/>
          <w:szCs w:val="24"/>
        </w:rPr>
        <w:tab/>
      </w:r>
      <w:r w:rsidR="00E7584E" w:rsidRPr="00E71812">
        <w:rPr>
          <w:rFonts w:ascii="Arial" w:hAnsi="Arial" w:cs="Arial"/>
          <w:noProof/>
          <w:sz w:val="20"/>
          <w:szCs w:val="24"/>
        </w:rPr>
        <w:t xml:space="preserve">Rahmati, S., Azami, M., Badfar, G., Parizad, N., &amp; Sayehmiri, K. (2020). The relationship between maternal anemia during pregnancy with preterm birth: a systematic review and meta-analysis. Journal of Maternal-Fetal &amp; Neonatal Medicine, 33(15), 2679–2689. https://doi.org/10.1080/14767058.2018.1555811 </w:t>
      </w:r>
    </w:p>
    <w:p w14:paraId="2E147C15" w14:textId="77777777" w:rsidR="00E7584E" w:rsidRPr="00E71812" w:rsidRDefault="00E7584E" w:rsidP="006D620C">
      <w:pPr>
        <w:widowControl w:val="0"/>
        <w:autoSpaceDE w:val="0"/>
        <w:autoSpaceDN w:val="0"/>
        <w:adjustRightInd w:val="0"/>
        <w:spacing w:after="100" w:line="360" w:lineRule="auto"/>
        <w:ind w:left="640" w:hanging="640"/>
        <w:rPr>
          <w:rFonts w:ascii="Arial" w:hAnsi="Arial" w:cs="Arial"/>
          <w:noProof/>
          <w:sz w:val="20"/>
          <w:szCs w:val="24"/>
        </w:rPr>
      </w:pPr>
    </w:p>
    <w:p w14:paraId="0F5926DD" w14:textId="77777777" w:rsidR="00E7584E"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[15]</w:t>
      </w:r>
      <w:r w:rsidRPr="00E71812">
        <w:rPr>
          <w:rFonts w:ascii="Arial" w:hAnsi="Arial" w:cs="Arial"/>
          <w:noProof/>
          <w:sz w:val="20"/>
          <w:szCs w:val="24"/>
        </w:rPr>
        <w:tab/>
      </w:r>
      <w:r w:rsidR="00E7584E" w:rsidRPr="00E71812">
        <w:rPr>
          <w:rFonts w:ascii="Arial" w:hAnsi="Arial" w:cs="Arial"/>
          <w:noProof/>
          <w:sz w:val="20"/>
          <w:szCs w:val="24"/>
        </w:rPr>
        <w:t xml:space="preserve">Wijayanti, E. E., Anggoro, Y., Hidayati, N., &amp; Munawarah, Z. (2024). Social and Economic Factors Affecting the Incidence of Anemia in Pregnant Women. Oshada, 1(6), 20-35. https://doi.org/10.62872/sx2ey215  </w:t>
      </w:r>
    </w:p>
    <w:p w14:paraId="1E74A817" w14:textId="77777777" w:rsidR="00E7584E"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lastRenderedPageBreak/>
        <w:t>[16]</w:t>
      </w:r>
      <w:r w:rsidRPr="00E71812">
        <w:rPr>
          <w:rFonts w:ascii="Arial" w:hAnsi="Arial" w:cs="Arial"/>
          <w:noProof/>
          <w:sz w:val="20"/>
          <w:szCs w:val="24"/>
        </w:rPr>
        <w:tab/>
      </w:r>
      <w:r w:rsidR="00E7584E" w:rsidRPr="00E71812">
        <w:rPr>
          <w:rFonts w:ascii="Arial" w:hAnsi="Arial" w:cs="Arial"/>
          <w:noProof/>
          <w:sz w:val="20"/>
          <w:szCs w:val="24"/>
        </w:rPr>
        <w:t xml:space="preserve">Burilina, M. A., Dukhi, N., Mashkova, A. L., Nevolin, I. V., &amp; Sewpaul, R. (2025). Factors that influence anemia prevalence: a comparative study of datasets from Russia and South Africa. BMC Public Health, 25(1), 1170. https://doi.org/10.1186/s12889-025-22363-6  </w:t>
      </w:r>
    </w:p>
    <w:p w14:paraId="2767A369" w14:textId="77777777" w:rsidR="00E7584E" w:rsidRPr="00E71812"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E71812">
        <w:rPr>
          <w:rFonts w:ascii="Arial" w:hAnsi="Arial" w:cs="Arial"/>
          <w:noProof/>
          <w:sz w:val="20"/>
          <w:szCs w:val="24"/>
        </w:rPr>
        <w:t>[17]</w:t>
      </w:r>
      <w:r w:rsidRPr="00E71812">
        <w:rPr>
          <w:rFonts w:ascii="Arial" w:hAnsi="Arial" w:cs="Arial"/>
          <w:noProof/>
          <w:sz w:val="20"/>
          <w:szCs w:val="24"/>
        </w:rPr>
        <w:tab/>
      </w:r>
      <w:r w:rsidR="00E7584E" w:rsidRPr="00E71812">
        <w:rPr>
          <w:rFonts w:ascii="Arial" w:hAnsi="Arial" w:cs="Arial"/>
          <w:noProof/>
          <w:sz w:val="20"/>
          <w:szCs w:val="24"/>
        </w:rPr>
        <w:t xml:space="preserve">Daru, J., Colman, K., Stanworth, S. J., La Salle, B. D., Wood, E. M., &amp; Pasricha, S. (2017). Serum ferritin as an indicator of iron status: what do we need to know? American Journal of Clinical Nutrition. https://doi.org/10.3945/ajcn.117.155960  </w:t>
      </w:r>
    </w:p>
    <w:p w14:paraId="1CD3EBD8" w14:textId="3487B986" w:rsidR="006D620C" w:rsidRPr="00E71812" w:rsidRDefault="006D620C" w:rsidP="006D620C">
      <w:pPr>
        <w:widowControl w:val="0"/>
        <w:autoSpaceDE w:val="0"/>
        <w:autoSpaceDN w:val="0"/>
        <w:adjustRightInd w:val="0"/>
        <w:spacing w:after="100" w:line="360" w:lineRule="auto"/>
        <w:ind w:left="640" w:hanging="640"/>
        <w:rPr>
          <w:rFonts w:ascii="Arial" w:hAnsi="Arial" w:cs="Arial"/>
          <w:noProof/>
          <w:sz w:val="20"/>
        </w:rPr>
      </w:pPr>
      <w:r w:rsidRPr="00E71812">
        <w:rPr>
          <w:rFonts w:ascii="Arial" w:hAnsi="Arial" w:cs="Arial"/>
          <w:noProof/>
          <w:sz w:val="20"/>
          <w:szCs w:val="24"/>
        </w:rPr>
        <w:t>[18]</w:t>
      </w:r>
      <w:r w:rsidRPr="00E71812">
        <w:rPr>
          <w:rFonts w:ascii="Arial" w:hAnsi="Arial" w:cs="Arial"/>
          <w:noProof/>
          <w:sz w:val="20"/>
          <w:szCs w:val="24"/>
        </w:rPr>
        <w:tab/>
      </w:r>
      <w:r w:rsidR="00E7584E" w:rsidRPr="00E71812">
        <w:rPr>
          <w:rFonts w:ascii="Arial" w:hAnsi="Arial" w:cs="Arial"/>
          <w:noProof/>
          <w:sz w:val="20"/>
          <w:szCs w:val="24"/>
        </w:rPr>
        <w:t xml:space="preserve">Bekele, Y., Gallagher, C., Batra, M., Vicendese, D., Buultjens, M., &amp; Erbas, B. (2024). Is Oral Iron and Folate Supplementation during Pregnancy Protective against Low Birth Weight and Preterm Birth in Africa? A Systematic Review and Meta-Analysis. Nutrients, 16(16), 2801. https://doi.org/10.3390/nu16162801 </w:t>
      </w:r>
      <w:r w:rsidRPr="00E71812">
        <w:rPr>
          <w:rFonts w:ascii="Arial" w:hAnsi="Arial" w:cs="Arial"/>
          <w:noProof/>
          <w:sz w:val="20"/>
          <w:szCs w:val="24"/>
        </w:rPr>
        <w:t>.</w:t>
      </w:r>
    </w:p>
    <w:p w14:paraId="090B88ED" w14:textId="77777777" w:rsidR="00291964" w:rsidRPr="00E71812" w:rsidRDefault="00291964" w:rsidP="00B15A9A">
      <w:pPr>
        <w:spacing w:after="100" w:afterAutospacing="1" w:line="360" w:lineRule="auto"/>
        <w:outlineLvl w:val="1"/>
        <w:rPr>
          <w:rFonts w:ascii="Arial" w:eastAsia="Times New Roman" w:hAnsi="Arial" w:cs="Arial"/>
          <w:b/>
          <w:bCs/>
          <w:sz w:val="20"/>
          <w:szCs w:val="20"/>
        </w:rPr>
      </w:pPr>
      <w:r w:rsidRPr="00E71812">
        <w:rPr>
          <w:rFonts w:ascii="Arial" w:eastAsia="Times New Roman" w:hAnsi="Arial" w:cs="Arial"/>
          <w:b/>
          <w:bCs/>
          <w:sz w:val="20"/>
          <w:szCs w:val="20"/>
        </w:rPr>
        <w:fldChar w:fldCharType="end"/>
      </w:r>
    </w:p>
    <w:p w14:paraId="1A909C34" w14:textId="77777777" w:rsidR="006D2142" w:rsidRPr="00E71812" w:rsidRDefault="006D2142" w:rsidP="00B15A9A">
      <w:pPr>
        <w:spacing w:line="360" w:lineRule="auto"/>
        <w:rPr>
          <w:rFonts w:ascii="Arial" w:hAnsi="Arial" w:cs="Arial"/>
          <w:sz w:val="20"/>
          <w:szCs w:val="20"/>
        </w:rPr>
      </w:pPr>
    </w:p>
    <w:sectPr w:rsidR="006D2142" w:rsidRPr="00E718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2D545" w14:textId="77777777" w:rsidR="00EF4F09" w:rsidRDefault="00EF4F09" w:rsidP="00A820CC">
      <w:pPr>
        <w:spacing w:before="0" w:line="240" w:lineRule="auto"/>
      </w:pPr>
      <w:r>
        <w:separator/>
      </w:r>
    </w:p>
  </w:endnote>
  <w:endnote w:type="continuationSeparator" w:id="0">
    <w:p w14:paraId="6ED2A222" w14:textId="77777777" w:rsidR="00EF4F09" w:rsidRDefault="00EF4F09" w:rsidP="00A820C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CF30" w14:textId="77777777" w:rsidR="00A820CC" w:rsidRDefault="00A82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C9BF" w14:textId="77777777" w:rsidR="00A820CC" w:rsidRDefault="00A82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DF1E" w14:textId="77777777" w:rsidR="00A820CC" w:rsidRDefault="00A82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EB435" w14:textId="77777777" w:rsidR="00EF4F09" w:rsidRDefault="00EF4F09" w:rsidP="00A820CC">
      <w:pPr>
        <w:spacing w:before="0" w:line="240" w:lineRule="auto"/>
      </w:pPr>
      <w:r>
        <w:separator/>
      </w:r>
    </w:p>
  </w:footnote>
  <w:footnote w:type="continuationSeparator" w:id="0">
    <w:p w14:paraId="0008B458" w14:textId="77777777" w:rsidR="00EF4F09" w:rsidRDefault="00EF4F09" w:rsidP="00A820C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5BDCE" w14:textId="5430086F" w:rsidR="00A820CC" w:rsidRDefault="00E71812">
    <w:pPr>
      <w:pStyle w:val="Header"/>
    </w:pPr>
    <w:r>
      <w:rPr>
        <w:noProof/>
      </w:rPr>
      <w:pict w14:anchorId="5F8A3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635782"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ACDE3" w14:textId="4EA20B7A" w:rsidR="00A820CC" w:rsidRDefault="00E71812">
    <w:pPr>
      <w:pStyle w:val="Header"/>
    </w:pPr>
    <w:r>
      <w:rPr>
        <w:noProof/>
      </w:rPr>
      <w:pict w14:anchorId="639E6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63578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CB6A4" w14:textId="5112383A" w:rsidR="00A820CC" w:rsidRDefault="00E71812">
    <w:pPr>
      <w:pStyle w:val="Header"/>
    </w:pPr>
    <w:r>
      <w:rPr>
        <w:noProof/>
      </w:rPr>
      <w:pict w14:anchorId="0F33C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635781"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37D83"/>
    <w:multiLevelType w:val="multilevel"/>
    <w:tmpl w:val="C37A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D0B55"/>
    <w:multiLevelType w:val="multilevel"/>
    <w:tmpl w:val="B8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92AC8"/>
    <w:multiLevelType w:val="multilevel"/>
    <w:tmpl w:val="04F4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46F00"/>
    <w:multiLevelType w:val="multilevel"/>
    <w:tmpl w:val="65AC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1529E"/>
    <w:multiLevelType w:val="multilevel"/>
    <w:tmpl w:val="65C6E02C"/>
    <w:lvl w:ilvl="0">
      <w:start w:val="2"/>
      <w:numFmt w:val="decimal"/>
      <w:lvlText w:val="%1"/>
      <w:lvlJc w:val="left"/>
      <w:pPr>
        <w:ind w:left="450" w:hanging="450"/>
      </w:pPr>
      <w:rPr>
        <w:rFonts w:hint="default"/>
        <w:b/>
      </w:rPr>
    </w:lvl>
    <w:lvl w:ilvl="1">
      <w:start w:val="4"/>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MDExMzMxMbc0MjVQ0lEKTi0uzszPAykwqgUAogiS/SwAAAA="/>
  </w:docVars>
  <w:rsids>
    <w:rsidRoot w:val="00F24B5E"/>
    <w:rsid w:val="00002392"/>
    <w:rsid w:val="00020EE2"/>
    <w:rsid w:val="000375ED"/>
    <w:rsid w:val="000A6EC9"/>
    <w:rsid w:val="000B6757"/>
    <w:rsid w:val="000D322C"/>
    <w:rsid w:val="001275E5"/>
    <w:rsid w:val="001457B4"/>
    <w:rsid w:val="0017590C"/>
    <w:rsid w:val="00193978"/>
    <w:rsid w:val="001D50B4"/>
    <w:rsid w:val="0028095D"/>
    <w:rsid w:val="00291964"/>
    <w:rsid w:val="002F6691"/>
    <w:rsid w:val="003C7EB6"/>
    <w:rsid w:val="00492B6C"/>
    <w:rsid w:val="004A3256"/>
    <w:rsid w:val="00512FE7"/>
    <w:rsid w:val="00596876"/>
    <w:rsid w:val="00612F71"/>
    <w:rsid w:val="006158ED"/>
    <w:rsid w:val="00693A4F"/>
    <w:rsid w:val="006A0481"/>
    <w:rsid w:val="006D2142"/>
    <w:rsid w:val="006D620C"/>
    <w:rsid w:val="006E5475"/>
    <w:rsid w:val="006E63C2"/>
    <w:rsid w:val="0079430A"/>
    <w:rsid w:val="00816807"/>
    <w:rsid w:val="00881B04"/>
    <w:rsid w:val="00890BB5"/>
    <w:rsid w:val="008A1D89"/>
    <w:rsid w:val="00902C15"/>
    <w:rsid w:val="009574DF"/>
    <w:rsid w:val="009979AF"/>
    <w:rsid w:val="00A25709"/>
    <w:rsid w:val="00A27465"/>
    <w:rsid w:val="00A60B81"/>
    <w:rsid w:val="00A820CC"/>
    <w:rsid w:val="00A92FBB"/>
    <w:rsid w:val="00AA738E"/>
    <w:rsid w:val="00B12DD0"/>
    <w:rsid w:val="00B15A9A"/>
    <w:rsid w:val="00BC0206"/>
    <w:rsid w:val="00CA470D"/>
    <w:rsid w:val="00CB06AE"/>
    <w:rsid w:val="00D152B3"/>
    <w:rsid w:val="00D472FC"/>
    <w:rsid w:val="00D846AC"/>
    <w:rsid w:val="00DA4534"/>
    <w:rsid w:val="00E71812"/>
    <w:rsid w:val="00E7584E"/>
    <w:rsid w:val="00EA0F11"/>
    <w:rsid w:val="00EB3475"/>
    <w:rsid w:val="00EF4F09"/>
    <w:rsid w:val="00F24B5E"/>
    <w:rsid w:val="00F561A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34DF1B"/>
  <w15:chartTrackingRefBased/>
  <w15:docId w15:val="{39DF7598-9523-416B-814F-9AA282BB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24B5E"/>
    <w:pPr>
      <w:spacing w:after="100" w:afterAutospacing="1" w:line="240" w:lineRule="auto"/>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4B5E"/>
    <w:pPr>
      <w:spacing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B5E"/>
    <w:pPr>
      <w:spacing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F24B5E"/>
    <w:rPr>
      <w:b/>
      <w:bCs/>
    </w:rPr>
  </w:style>
  <w:style w:type="character" w:styleId="Emphasis">
    <w:name w:val="Emphasis"/>
    <w:basedOn w:val="DefaultParagraphFont"/>
    <w:uiPriority w:val="20"/>
    <w:qFormat/>
    <w:rsid w:val="00F24B5E"/>
    <w:rPr>
      <w:i/>
      <w:iCs/>
    </w:rPr>
  </w:style>
  <w:style w:type="table" w:styleId="TableGrid">
    <w:name w:val="Table Grid"/>
    <w:basedOn w:val="TableNormal"/>
    <w:uiPriority w:val="39"/>
    <w:rsid w:val="00F24B5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4B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4B5E"/>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158E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D2142"/>
    <w:rPr>
      <w:color w:val="0000FF"/>
      <w:u w:val="single"/>
    </w:rPr>
  </w:style>
  <w:style w:type="character" w:customStyle="1" w:styleId="UnresolvedMention1">
    <w:name w:val="Unresolved Mention1"/>
    <w:basedOn w:val="DefaultParagraphFont"/>
    <w:uiPriority w:val="99"/>
    <w:semiHidden/>
    <w:unhideWhenUsed/>
    <w:rsid w:val="00902C15"/>
    <w:rPr>
      <w:color w:val="605E5C"/>
      <w:shd w:val="clear" w:color="auto" w:fill="E1DFDD"/>
    </w:rPr>
  </w:style>
  <w:style w:type="paragraph" w:styleId="Header">
    <w:name w:val="header"/>
    <w:basedOn w:val="Normal"/>
    <w:link w:val="HeaderChar"/>
    <w:uiPriority w:val="99"/>
    <w:unhideWhenUsed/>
    <w:rsid w:val="00A820C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820CC"/>
  </w:style>
  <w:style w:type="paragraph" w:styleId="Footer">
    <w:name w:val="footer"/>
    <w:basedOn w:val="Normal"/>
    <w:link w:val="FooterChar"/>
    <w:uiPriority w:val="99"/>
    <w:unhideWhenUsed/>
    <w:rsid w:val="00A820C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82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612636">
      <w:bodyDiv w:val="1"/>
      <w:marLeft w:val="0"/>
      <w:marRight w:val="0"/>
      <w:marTop w:val="0"/>
      <w:marBottom w:val="0"/>
      <w:divBdr>
        <w:top w:val="none" w:sz="0" w:space="0" w:color="auto"/>
        <w:left w:val="none" w:sz="0" w:space="0" w:color="auto"/>
        <w:bottom w:val="none" w:sz="0" w:space="0" w:color="auto"/>
        <w:right w:val="none" w:sz="0" w:space="0" w:color="auto"/>
      </w:divBdr>
      <w:divsChild>
        <w:div w:id="1670937582">
          <w:marLeft w:val="0"/>
          <w:marRight w:val="0"/>
          <w:marTop w:val="0"/>
          <w:marBottom w:val="0"/>
          <w:divBdr>
            <w:top w:val="none" w:sz="0" w:space="0" w:color="auto"/>
            <w:left w:val="none" w:sz="0" w:space="0" w:color="auto"/>
            <w:bottom w:val="none" w:sz="0" w:space="0" w:color="auto"/>
            <w:right w:val="none" w:sz="0" w:space="0" w:color="auto"/>
          </w:divBdr>
          <w:divsChild>
            <w:div w:id="13131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45933">
      <w:bodyDiv w:val="1"/>
      <w:marLeft w:val="0"/>
      <w:marRight w:val="0"/>
      <w:marTop w:val="0"/>
      <w:marBottom w:val="0"/>
      <w:divBdr>
        <w:top w:val="none" w:sz="0" w:space="0" w:color="auto"/>
        <w:left w:val="none" w:sz="0" w:space="0" w:color="auto"/>
        <w:bottom w:val="none" w:sz="0" w:space="0" w:color="auto"/>
        <w:right w:val="none" w:sz="0" w:space="0" w:color="auto"/>
      </w:divBdr>
    </w:div>
    <w:div w:id="913587584">
      <w:bodyDiv w:val="1"/>
      <w:marLeft w:val="0"/>
      <w:marRight w:val="0"/>
      <w:marTop w:val="0"/>
      <w:marBottom w:val="0"/>
      <w:divBdr>
        <w:top w:val="none" w:sz="0" w:space="0" w:color="auto"/>
        <w:left w:val="none" w:sz="0" w:space="0" w:color="auto"/>
        <w:bottom w:val="none" w:sz="0" w:space="0" w:color="auto"/>
        <w:right w:val="none" w:sz="0" w:space="0" w:color="auto"/>
      </w:divBdr>
    </w:div>
    <w:div w:id="917248926">
      <w:bodyDiv w:val="1"/>
      <w:marLeft w:val="0"/>
      <w:marRight w:val="0"/>
      <w:marTop w:val="0"/>
      <w:marBottom w:val="0"/>
      <w:divBdr>
        <w:top w:val="none" w:sz="0" w:space="0" w:color="auto"/>
        <w:left w:val="none" w:sz="0" w:space="0" w:color="auto"/>
        <w:bottom w:val="none" w:sz="0" w:space="0" w:color="auto"/>
        <w:right w:val="none" w:sz="0" w:space="0" w:color="auto"/>
      </w:divBdr>
    </w:div>
    <w:div w:id="926961008">
      <w:bodyDiv w:val="1"/>
      <w:marLeft w:val="0"/>
      <w:marRight w:val="0"/>
      <w:marTop w:val="0"/>
      <w:marBottom w:val="0"/>
      <w:divBdr>
        <w:top w:val="none" w:sz="0" w:space="0" w:color="auto"/>
        <w:left w:val="none" w:sz="0" w:space="0" w:color="auto"/>
        <w:bottom w:val="none" w:sz="0" w:space="0" w:color="auto"/>
        <w:right w:val="none" w:sz="0" w:space="0" w:color="auto"/>
      </w:divBdr>
      <w:divsChild>
        <w:div w:id="15544498">
          <w:marLeft w:val="0"/>
          <w:marRight w:val="0"/>
          <w:marTop w:val="0"/>
          <w:marBottom w:val="0"/>
          <w:divBdr>
            <w:top w:val="none" w:sz="0" w:space="0" w:color="auto"/>
            <w:left w:val="none" w:sz="0" w:space="0" w:color="auto"/>
            <w:bottom w:val="none" w:sz="0" w:space="0" w:color="auto"/>
            <w:right w:val="none" w:sz="0" w:space="0" w:color="auto"/>
          </w:divBdr>
          <w:divsChild>
            <w:div w:id="20846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8855">
      <w:bodyDiv w:val="1"/>
      <w:marLeft w:val="0"/>
      <w:marRight w:val="0"/>
      <w:marTop w:val="0"/>
      <w:marBottom w:val="0"/>
      <w:divBdr>
        <w:top w:val="none" w:sz="0" w:space="0" w:color="auto"/>
        <w:left w:val="none" w:sz="0" w:space="0" w:color="auto"/>
        <w:bottom w:val="none" w:sz="0" w:space="0" w:color="auto"/>
        <w:right w:val="none" w:sz="0" w:space="0" w:color="auto"/>
      </w:divBdr>
    </w:div>
    <w:div w:id="1090351153">
      <w:bodyDiv w:val="1"/>
      <w:marLeft w:val="0"/>
      <w:marRight w:val="0"/>
      <w:marTop w:val="0"/>
      <w:marBottom w:val="0"/>
      <w:divBdr>
        <w:top w:val="none" w:sz="0" w:space="0" w:color="auto"/>
        <w:left w:val="none" w:sz="0" w:space="0" w:color="auto"/>
        <w:bottom w:val="none" w:sz="0" w:space="0" w:color="auto"/>
        <w:right w:val="none" w:sz="0" w:space="0" w:color="auto"/>
      </w:divBdr>
    </w:div>
    <w:div w:id="1580867113">
      <w:bodyDiv w:val="1"/>
      <w:marLeft w:val="0"/>
      <w:marRight w:val="0"/>
      <w:marTop w:val="0"/>
      <w:marBottom w:val="0"/>
      <w:divBdr>
        <w:top w:val="none" w:sz="0" w:space="0" w:color="auto"/>
        <w:left w:val="none" w:sz="0" w:space="0" w:color="auto"/>
        <w:bottom w:val="none" w:sz="0" w:space="0" w:color="auto"/>
        <w:right w:val="none" w:sz="0" w:space="0" w:color="auto"/>
      </w:divBdr>
      <w:divsChild>
        <w:div w:id="2080858261">
          <w:marLeft w:val="0"/>
          <w:marRight w:val="0"/>
          <w:marTop w:val="0"/>
          <w:marBottom w:val="0"/>
          <w:divBdr>
            <w:top w:val="none" w:sz="0" w:space="0" w:color="auto"/>
            <w:left w:val="none" w:sz="0" w:space="0" w:color="auto"/>
            <w:bottom w:val="none" w:sz="0" w:space="0" w:color="auto"/>
            <w:right w:val="none" w:sz="0" w:space="0" w:color="auto"/>
          </w:divBdr>
          <w:divsChild>
            <w:div w:id="10038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4268">
      <w:bodyDiv w:val="1"/>
      <w:marLeft w:val="0"/>
      <w:marRight w:val="0"/>
      <w:marTop w:val="0"/>
      <w:marBottom w:val="0"/>
      <w:divBdr>
        <w:top w:val="none" w:sz="0" w:space="0" w:color="auto"/>
        <w:left w:val="none" w:sz="0" w:space="0" w:color="auto"/>
        <w:bottom w:val="none" w:sz="0" w:space="0" w:color="auto"/>
        <w:right w:val="none" w:sz="0" w:space="0" w:color="auto"/>
      </w:divBdr>
      <w:divsChild>
        <w:div w:id="340203330">
          <w:marLeft w:val="0"/>
          <w:marRight w:val="0"/>
          <w:marTop w:val="0"/>
          <w:marBottom w:val="0"/>
          <w:divBdr>
            <w:top w:val="none" w:sz="0" w:space="0" w:color="auto"/>
            <w:left w:val="none" w:sz="0" w:space="0" w:color="auto"/>
            <w:bottom w:val="none" w:sz="0" w:space="0" w:color="auto"/>
            <w:right w:val="none" w:sz="0" w:space="0" w:color="auto"/>
          </w:divBdr>
          <w:divsChild>
            <w:div w:id="6454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68692">
      <w:bodyDiv w:val="1"/>
      <w:marLeft w:val="0"/>
      <w:marRight w:val="0"/>
      <w:marTop w:val="0"/>
      <w:marBottom w:val="0"/>
      <w:divBdr>
        <w:top w:val="none" w:sz="0" w:space="0" w:color="auto"/>
        <w:left w:val="none" w:sz="0" w:space="0" w:color="auto"/>
        <w:bottom w:val="none" w:sz="0" w:space="0" w:color="auto"/>
        <w:right w:val="none" w:sz="0" w:space="0" w:color="auto"/>
      </w:divBdr>
      <w:divsChild>
        <w:div w:id="1514147083">
          <w:marLeft w:val="0"/>
          <w:marRight w:val="0"/>
          <w:marTop w:val="0"/>
          <w:marBottom w:val="0"/>
          <w:divBdr>
            <w:top w:val="none" w:sz="0" w:space="0" w:color="auto"/>
            <w:left w:val="none" w:sz="0" w:space="0" w:color="auto"/>
            <w:bottom w:val="none" w:sz="0" w:space="0" w:color="auto"/>
            <w:right w:val="none" w:sz="0" w:space="0" w:color="auto"/>
          </w:divBdr>
          <w:divsChild>
            <w:div w:id="7773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CD6DA-12A2-419E-B550-404BB527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12</Pages>
  <Words>9443</Words>
  <Characters>53828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23</cp:revision>
  <dcterms:created xsi:type="dcterms:W3CDTF">2025-09-02T16:34:00Z</dcterms:created>
  <dcterms:modified xsi:type="dcterms:W3CDTF">2025-12-23T09:35:00Z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a6c794ba-994a-3ba9-8878-a5bb0750b33d</vt:lpwstr>
  </property>
  <property fmtid="{D5CDD505-2E9C-101B-9397-08002B2CF9AE}" pid="24" name="Mendeley Citation Style_1">
    <vt:lpwstr>http://www.zotero.org/styles/ieee</vt:lpwstr>
  </property>
</Properties>
</file>