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A5878" w14:textId="49A11754" w:rsidR="00A258C3" w:rsidRPr="00790ADA" w:rsidRDefault="0078526A" w:rsidP="00441B6F">
      <w:pPr>
        <w:pStyle w:val="Author"/>
        <w:spacing w:line="240" w:lineRule="auto"/>
        <w:jc w:val="both"/>
        <w:rPr>
          <w:rFonts w:ascii="Arial" w:hAnsi="Arial" w:cs="Arial"/>
          <w:sz w:val="36"/>
        </w:rPr>
      </w:pPr>
      <w:bookmarkStart w:id="0" w:name="_Hlk216087137"/>
      <w:r w:rsidRPr="0078526A">
        <w:rPr>
          <w:rFonts w:ascii="Arial" w:hAnsi="Arial" w:cs="Arial"/>
          <w:bCs/>
          <w:iCs/>
          <w:kern w:val="28"/>
          <w:sz w:val="36"/>
          <w:highlight w:val="yellow"/>
        </w:rPr>
        <w:t>Serum Calcium and Follicle-Stimulating Hormone Levels in ART-Naïve versus ART-Experienced HIV Patients at Rivers State University Teaching Hospital in Nigeria</w:t>
      </w:r>
    </w:p>
    <w:bookmarkEnd w:id="0"/>
    <w:p w14:paraId="07DC7ED7" w14:textId="77777777" w:rsidR="00EB65A1" w:rsidRDefault="00EB65A1" w:rsidP="00EB65A1">
      <w:pPr>
        <w:pStyle w:val="Author"/>
        <w:spacing w:line="240" w:lineRule="auto"/>
        <w:rPr>
          <w:rFonts w:ascii="Arial" w:hAnsi="Arial" w:cs="Arial"/>
        </w:rPr>
      </w:pPr>
    </w:p>
    <w:p w14:paraId="7113F526" w14:textId="77777777" w:rsidR="00790ADA" w:rsidRDefault="00790ADA" w:rsidP="00441B6F">
      <w:pPr>
        <w:pStyle w:val="Affiliation"/>
        <w:spacing w:after="0" w:line="240" w:lineRule="auto"/>
        <w:jc w:val="both"/>
        <w:rPr>
          <w:rFonts w:ascii="Arial" w:hAnsi="Arial" w:cs="Arial"/>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3113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C5D6F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70E33D3" w14:textId="559AA9B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9D63D8" w:rsidRPr="009D63D8">
              <w:rPr>
                <w:rFonts w:ascii="Arial" w:eastAsia="Calibri" w:hAnsi="Arial" w:cs="Arial"/>
                <w:szCs w:val="22"/>
              </w:rPr>
              <w:t xml:space="preserve">to </w:t>
            </w:r>
            <w:r w:rsidR="009D63D8">
              <w:rPr>
                <w:rFonts w:ascii="Arial" w:eastAsia="Calibri" w:hAnsi="Arial" w:cs="Arial"/>
                <w:szCs w:val="22"/>
              </w:rPr>
              <w:t>evaluate</w:t>
            </w:r>
            <w:r w:rsidR="009D63D8" w:rsidRPr="009D63D8">
              <w:rPr>
                <w:rFonts w:ascii="Arial" w:eastAsia="Calibri" w:hAnsi="Arial" w:cs="Arial"/>
                <w:szCs w:val="22"/>
              </w:rPr>
              <w:t xml:space="preserve"> serum calcium and FSH levels</w:t>
            </w:r>
            <w:r w:rsidR="003561CE">
              <w:rPr>
                <w:rFonts w:ascii="Arial" w:eastAsia="Calibri" w:hAnsi="Arial" w:cs="Arial"/>
                <w:szCs w:val="22"/>
              </w:rPr>
              <w:t xml:space="preserve"> in </w:t>
            </w:r>
            <w:r w:rsidR="009D63D8" w:rsidRPr="009D63D8">
              <w:rPr>
                <w:rFonts w:ascii="Arial" w:eastAsia="Calibri" w:hAnsi="Arial" w:cs="Arial"/>
                <w:szCs w:val="22"/>
              </w:rPr>
              <w:t>ART-naïve HIV patients and those on ART attending the HIV clinic at Rivers State University Teaching Hospital, Port Harcourt.</w:t>
            </w:r>
          </w:p>
          <w:p w14:paraId="49C4BBAD" w14:textId="0295823E" w:rsidR="003E2B89" w:rsidRPr="00BA1B01" w:rsidRDefault="00BA1B01" w:rsidP="003E2B89">
            <w:pPr>
              <w:pStyle w:val="Body"/>
              <w:spacing w:after="0"/>
              <w:rPr>
                <w:rFonts w:ascii="Arial" w:eastAsia="Calibri" w:hAnsi="Arial" w:cs="Arial"/>
                <w:szCs w:val="22"/>
              </w:rPr>
            </w:pPr>
            <w:r w:rsidRPr="00BA1B01">
              <w:rPr>
                <w:rFonts w:ascii="Arial" w:eastAsia="Calibri" w:hAnsi="Arial" w:cs="Arial"/>
                <w:b/>
                <w:szCs w:val="22"/>
              </w:rPr>
              <w:t>Study design</w:t>
            </w:r>
            <w:r w:rsidR="003E2B89" w:rsidRPr="00BA1B01">
              <w:rPr>
                <w:rFonts w:ascii="Arial" w:eastAsia="Calibri" w:hAnsi="Arial" w:cs="Arial"/>
                <w:b/>
                <w:szCs w:val="22"/>
              </w:rPr>
              <w:t>:</w:t>
            </w:r>
            <w:r w:rsidR="003E2B89" w:rsidRPr="00BA1B01">
              <w:rPr>
                <w:rFonts w:ascii="Arial" w:eastAsia="Calibri" w:hAnsi="Arial" w:cs="Arial"/>
                <w:szCs w:val="22"/>
              </w:rPr>
              <w:t xml:space="preserve"> </w:t>
            </w:r>
            <w:r w:rsidR="00D141E5">
              <w:rPr>
                <w:rFonts w:ascii="Arial" w:eastAsia="Calibri" w:hAnsi="Arial" w:cs="Arial"/>
                <w:szCs w:val="22"/>
              </w:rPr>
              <w:t>Analytical</w:t>
            </w:r>
            <w:r w:rsidR="00D141E5" w:rsidRPr="00BA1B01">
              <w:rPr>
                <w:rFonts w:ascii="Arial" w:eastAsia="Calibri" w:hAnsi="Arial" w:cs="Arial"/>
                <w:szCs w:val="22"/>
              </w:rPr>
              <w:t xml:space="preserve"> </w:t>
            </w:r>
            <w:r w:rsidR="00D141E5">
              <w:rPr>
                <w:rFonts w:ascii="Arial" w:eastAsia="Calibri" w:hAnsi="Arial" w:cs="Arial"/>
                <w:szCs w:val="22"/>
              </w:rPr>
              <w:t>c</w:t>
            </w:r>
            <w:r w:rsidR="003E2B89" w:rsidRPr="00BA1B01">
              <w:rPr>
                <w:rFonts w:ascii="Arial" w:eastAsia="Calibri" w:hAnsi="Arial" w:cs="Arial"/>
                <w:szCs w:val="22"/>
              </w:rPr>
              <w:t>ross</w:t>
            </w:r>
            <w:r w:rsidR="003E2B89">
              <w:rPr>
                <w:rFonts w:ascii="Arial" w:eastAsia="Calibri" w:hAnsi="Arial" w:cs="Arial"/>
                <w:szCs w:val="22"/>
              </w:rPr>
              <w:t>-sectional study.</w:t>
            </w:r>
          </w:p>
          <w:p w14:paraId="1B11A66A" w14:textId="7B8E85A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22622" w:rsidRPr="0083483D">
              <w:rPr>
                <w:rFonts w:ascii="Arial" w:eastAsia="Calibri" w:hAnsi="Arial" w:cs="Arial"/>
                <w:szCs w:val="22"/>
              </w:rPr>
              <w:t>Rivers State University Teaching Hospital in Port Harcourt, Nigeria.</w:t>
            </w:r>
            <w:r w:rsidR="00022622" w:rsidRPr="00BA1B01">
              <w:rPr>
                <w:rFonts w:ascii="Arial" w:eastAsia="Calibri" w:hAnsi="Arial" w:cs="Arial"/>
                <w:szCs w:val="22"/>
              </w:rPr>
              <w:t xml:space="preserve">, between </w:t>
            </w:r>
            <w:r w:rsidR="00022622">
              <w:rPr>
                <w:rFonts w:ascii="Arial" w:eastAsia="Calibri" w:hAnsi="Arial" w:cs="Arial"/>
                <w:szCs w:val="22"/>
              </w:rPr>
              <w:t>September and November</w:t>
            </w:r>
            <w:r w:rsidR="00022622" w:rsidRPr="00BA1B01">
              <w:rPr>
                <w:rFonts w:ascii="Arial" w:eastAsia="Calibri" w:hAnsi="Arial" w:cs="Arial"/>
                <w:szCs w:val="22"/>
              </w:rPr>
              <w:t xml:space="preserve"> 20</w:t>
            </w:r>
            <w:r w:rsidR="00022622">
              <w:rPr>
                <w:rFonts w:ascii="Arial" w:eastAsia="Calibri" w:hAnsi="Arial" w:cs="Arial"/>
                <w:szCs w:val="22"/>
              </w:rPr>
              <w:t>25</w:t>
            </w:r>
            <w:r w:rsidR="00022622" w:rsidRPr="00BA1B01">
              <w:rPr>
                <w:rFonts w:ascii="Arial" w:eastAsia="Calibri" w:hAnsi="Arial" w:cs="Arial"/>
                <w:szCs w:val="22"/>
              </w:rPr>
              <w:t>.</w:t>
            </w:r>
          </w:p>
          <w:p w14:paraId="0F29EC14" w14:textId="796B73D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5743E" w:rsidRPr="008126DC">
              <w:rPr>
                <w:rFonts w:ascii="Arial" w:eastAsia="Calibri" w:hAnsi="Arial" w:cs="Arial"/>
                <w:szCs w:val="22"/>
                <w:highlight w:val="yellow"/>
              </w:rPr>
              <w:t>A</w:t>
            </w:r>
            <w:r w:rsidR="00B45F13" w:rsidRPr="008126DC">
              <w:rPr>
                <w:rFonts w:ascii="Arial" w:eastAsia="Calibri" w:hAnsi="Arial" w:cs="Arial"/>
                <w:szCs w:val="22"/>
                <w:highlight w:val="yellow"/>
              </w:rPr>
              <w:t>n</w:t>
            </w:r>
            <w:r w:rsidR="00A5743E" w:rsidRPr="008126DC">
              <w:rPr>
                <w:rFonts w:ascii="Arial" w:eastAsia="Calibri" w:hAnsi="Arial" w:cs="Arial"/>
                <w:szCs w:val="22"/>
                <w:highlight w:val="yellow"/>
              </w:rPr>
              <w:t xml:space="preserve"> </w:t>
            </w:r>
            <w:r w:rsidR="007C6BBE" w:rsidRPr="008126DC">
              <w:rPr>
                <w:rFonts w:ascii="Arial" w:eastAsia="Calibri" w:hAnsi="Arial" w:cs="Arial"/>
                <w:szCs w:val="22"/>
                <w:highlight w:val="yellow"/>
              </w:rPr>
              <w:t>analytical</w:t>
            </w:r>
            <w:r w:rsidR="00A5743E" w:rsidRPr="008126DC">
              <w:rPr>
                <w:rFonts w:ascii="Arial" w:eastAsia="Calibri" w:hAnsi="Arial" w:cs="Arial"/>
                <w:szCs w:val="22"/>
                <w:highlight w:val="yellow"/>
              </w:rPr>
              <w:t xml:space="preserve"> cross-sectional design was employed, involving 60 participants (30 ART-naïve and 30 on ART for ≥6 months</w:t>
            </w:r>
            <w:r w:rsidR="008126DC" w:rsidRPr="008126DC">
              <w:rPr>
                <w:rFonts w:ascii="Arial" w:eastAsia="Calibri" w:hAnsi="Arial" w:cs="Arial"/>
                <w:szCs w:val="22"/>
                <w:highlight w:val="yellow"/>
              </w:rPr>
              <w:t>).</w:t>
            </w:r>
            <w:r w:rsidR="008126DC">
              <w:rPr>
                <w:rFonts w:ascii="Arial" w:eastAsia="Calibri" w:hAnsi="Arial" w:cs="Arial"/>
                <w:szCs w:val="22"/>
              </w:rPr>
              <w:t xml:space="preserve"> </w:t>
            </w:r>
            <w:r w:rsidR="008126DC" w:rsidRPr="008126DC">
              <w:rPr>
                <w:rFonts w:ascii="Arial" w:hAnsi="Arial" w:cs="Arial"/>
                <w:highlight w:val="yellow"/>
              </w:rPr>
              <w:t>Participants who met the following criteria were recruited: adults aged 18–60 years, confirmed HIV-positive status through rapid diagnostic test and confirmatory ELISA, were willing to give informed consent to participate in the study and belonged to either of the two groups: naïve or on ART ≥ 6 months.</w:t>
            </w:r>
            <w:r w:rsidR="00465C21">
              <w:rPr>
                <w:rFonts w:ascii="Arial" w:hAnsi="Arial" w:cs="Arial"/>
              </w:rPr>
              <w:t xml:space="preserve"> </w:t>
            </w:r>
            <w:r w:rsidR="00465C21" w:rsidRPr="00465C21">
              <w:rPr>
                <w:rFonts w:ascii="Arial" w:eastAsia="Calibri" w:hAnsi="Arial" w:cs="Arial"/>
                <w:szCs w:val="22"/>
                <w:highlight w:val="yellow"/>
              </w:rPr>
              <w:t>The sample size for this study was calculated using Cochran formula for cross sectional studies</w:t>
            </w:r>
            <w:r w:rsidR="00465C21">
              <w:rPr>
                <w:rFonts w:ascii="Arial" w:eastAsia="Calibri" w:hAnsi="Arial" w:cs="Arial"/>
                <w:szCs w:val="22"/>
              </w:rPr>
              <w:t>.</w:t>
            </w:r>
            <w:r w:rsidR="007C6BBE">
              <w:rPr>
                <w:rFonts w:ascii="Arial" w:hAnsi="Arial" w:cs="Arial"/>
              </w:rPr>
              <w:t xml:space="preserve"> Five mL of blood was collected from each of the participants and</w:t>
            </w:r>
            <w:r w:rsidR="00A5743E" w:rsidRPr="00A5743E">
              <w:rPr>
                <w:rFonts w:ascii="Arial" w:eastAsia="Calibri" w:hAnsi="Arial" w:cs="Arial"/>
                <w:szCs w:val="22"/>
              </w:rPr>
              <w:t xml:space="preserve"> </w:t>
            </w:r>
            <w:r w:rsidR="007C6BBE">
              <w:rPr>
                <w:rFonts w:ascii="Arial" w:eastAsia="Calibri" w:hAnsi="Arial" w:cs="Arial"/>
                <w:szCs w:val="22"/>
              </w:rPr>
              <w:t>s</w:t>
            </w:r>
            <w:r w:rsidR="00A5743E" w:rsidRPr="00A5743E">
              <w:rPr>
                <w:rFonts w:ascii="Arial" w:eastAsia="Calibri" w:hAnsi="Arial" w:cs="Arial"/>
                <w:szCs w:val="22"/>
              </w:rPr>
              <w:t>erum calcium was measured using the O-cresolphthalein complexone method, and FSH was assessed via fluorescence immunoassay</w:t>
            </w:r>
            <w:r w:rsidR="007C6BBE">
              <w:rPr>
                <w:rFonts w:ascii="Arial" w:eastAsia="Calibri" w:hAnsi="Arial" w:cs="Arial"/>
                <w:szCs w:val="22"/>
              </w:rPr>
              <w:t xml:space="preserve"> method</w:t>
            </w:r>
            <w:r w:rsidR="00A5743E" w:rsidRPr="00A5743E">
              <w:rPr>
                <w:rFonts w:ascii="Arial" w:eastAsia="Calibri" w:hAnsi="Arial" w:cs="Arial"/>
                <w:szCs w:val="22"/>
              </w:rPr>
              <w:t xml:space="preserve">. Data were analyzed using SPSS version 25, with independent t-tests and chi-square tests applied </w:t>
            </w:r>
            <w:r w:rsidR="007C6BBE">
              <w:rPr>
                <w:rFonts w:ascii="Arial" w:eastAsia="Calibri" w:hAnsi="Arial" w:cs="Arial"/>
                <w:szCs w:val="22"/>
              </w:rPr>
              <w:t>and r</w:t>
            </w:r>
            <w:r w:rsidR="007C6BBE" w:rsidRPr="002323F5">
              <w:rPr>
                <w:rFonts w:ascii="Arial" w:eastAsia="Calibri" w:hAnsi="Arial" w:cs="Arial"/>
                <w:szCs w:val="22"/>
              </w:rPr>
              <w:t>esults were considered statistically significant at 95% confidence interval (p&lt;0.05</w:t>
            </w:r>
            <w:r w:rsidR="007C6BBE">
              <w:rPr>
                <w:rFonts w:ascii="Arial" w:eastAsia="Calibri" w:hAnsi="Arial" w:cs="Arial"/>
                <w:szCs w:val="22"/>
              </w:rPr>
              <w:t>).</w:t>
            </w:r>
          </w:p>
          <w:p w14:paraId="56527E40" w14:textId="47B2F1E9"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D41D7F">
              <w:t xml:space="preserve"> </w:t>
            </w:r>
            <w:r w:rsidR="00D41D7F" w:rsidRPr="00850CE8">
              <w:rPr>
                <w:rFonts w:ascii="Arial" w:eastAsia="Calibri" w:hAnsi="Arial" w:cs="Arial"/>
                <w:szCs w:val="22"/>
                <w:highlight w:val="yellow"/>
              </w:rPr>
              <w:t xml:space="preserve">Results showed significantly lower mean serum calcium in ART </w:t>
            </w:r>
            <w:r w:rsidR="00850CE8" w:rsidRPr="00850CE8">
              <w:rPr>
                <w:rFonts w:ascii="Arial" w:eastAsia="Calibri" w:hAnsi="Arial" w:cs="Arial"/>
                <w:szCs w:val="22"/>
                <w:highlight w:val="yellow"/>
              </w:rPr>
              <w:t>subjects compared</w:t>
            </w:r>
            <w:r w:rsidR="00D41D7F" w:rsidRPr="00850CE8">
              <w:rPr>
                <w:rFonts w:ascii="Arial" w:eastAsia="Calibri" w:hAnsi="Arial" w:cs="Arial"/>
                <w:szCs w:val="22"/>
                <w:highlight w:val="yellow"/>
              </w:rPr>
              <w:t xml:space="preserve"> to ART-naïve </w:t>
            </w:r>
            <w:r w:rsidR="00850CE8" w:rsidRPr="00850CE8">
              <w:rPr>
                <w:rFonts w:ascii="Arial" w:eastAsia="Calibri" w:hAnsi="Arial" w:cs="Arial"/>
                <w:szCs w:val="22"/>
                <w:highlight w:val="yellow"/>
              </w:rPr>
              <w:t>subjects (</w:t>
            </w:r>
            <w:r w:rsidR="00D41D7F" w:rsidRPr="00850CE8">
              <w:rPr>
                <w:rFonts w:ascii="Arial" w:eastAsia="Calibri" w:hAnsi="Arial" w:cs="Arial"/>
                <w:szCs w:val="22"/>
                <w:highlight w:val="yellow"/>
              </w:rPr>
              <w:t xml:space="preserve">p=0.001), suggesting ART-related bone metabolism disruption. Mean FSH levels were significantly higher in ART </w:t>
            </w:r>
            <w:r w:rsidR="00850CE8" w:rsidRPr="00850CE8">
              <w:rPr>
                <w:rFonts w:ascii="Arial" w:eastAsia="Calibri" w:hAnsi="Arial" w:cs="Arial"/>
                <w:szCs w:val="22"/>
                <w:highlight w:val="yellow"/>
              </w:rPr>
              <w:t>patients than</w:t>
            </w:r>
            <w:r w:rsidR="00D41D7F" w:rsidRPr="00850CE8">
              <w:rPr>
                <w:rFonts w:ascii="Arial" w:eastAsia="Calibri" w:hAnsi="Arial" w:cs="Arial"/>
                <w:szCs w:val="22"/>
                <w:highlight w:val="yellow"/>
              </w:rPr>
              <w:t xml:space="preserve"> in ART-naïve patients (p=0.001), indicating potential</w:t>
            </w:r>
            <w:r w:rsidR="00753986" w:rsidRPr="00850CE8">
              <w:rPr>
                <w:rFonts w:ascii="Arial" w:eastAsia="Calibri" w:hAnsi="Arial" w:cs="Arial"/>
                <w:szCs w:val="22"/>
                <w:highlight w:val="yellow"/>
              </w:rPr>
              <w:t xml:space="preserve"> pituitary or</w:t>
            </w:r>
            <w:r w:rsidR="00D41D7F" w:rsidRPr="00850CE8">
              <w:rPr>
                <w:rFonts w:ascii="Arial" w:eastAsia="Calibri" w:hAnsi="Arial" w:cs="Arial"/>
                <w:szCs w:val="22"/>
                <w:highlight w:val="yellow"/>
              </w:rPr>
              <w:t xml:space="preserve"> gonadal dysfunction</w:t>
            </w:r>
            <w:r w:rsidR="00753986" w:rsidRPr="00850CE8">
              <w:rPr>
                <w:rFonts w:ascii="Arial" w:eastAsia="Calibri" w:hAnsi="Arial" w:cs="Arial"/>
                <w:szCs w:val="22"/>
                <w:highlight w:val="yellow"/>
              </w:rPr>
              <w:t>.</w:t>
            </w:r>
          </w:p>
          <w:p w14:paraId="7901656B" w14:textId="3D9427FC" w:rsidR="00505F06" w:rsidRPr="00BA1B01" w:rsidRDefault="00BA1B01" w:rsidP="00B911A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D7E92" w:rsidRPr="00BD7E92">
              <w:rPr>
                <w:rFonts w:ascii="Arial" w:eastAsia="Calibri" w:hAnsi="Arial" w:cs="Arial"/>
                <w:szCs w:val="22"/>
              </w:rPr>
              <w:t>These findings highlight the need for routine monitoring of calcium and reproductive hormones in HIV patients on ART to mitigate complications like osteoporosis and infertility. Recommendations include integrating calcium and FSH testing into Nigeria’s HIV treatment guidelines and promoting dietary interventions to improve patient outcomes.</w:t>
            </w:r>
          </w:p>
        </w:tc>
      </w:tr>
    </w:tbl>
    <w:p w14:paraId="5ED6FC68" w14:textId="1C726289" w:rsidR="00A24E7E" w:rsidRDefault="00A24E7E" w:rsidP="00441B6F">
      <w:pPr>
        <w:pStyle w:val="Body"/>
        <w:spacing w:after="0"/>
        <w:rPr>
          <w:rFonts w:ascii="Arial" w:hAnsi="Arial" w:cs="Arial"/>
          <w:i/>
        </w:rPr>
      </w:pPr>
      <w:r>
        <w:rPr>
          <w:rFonts w:ascii="Arial" w:hAnsi="Arial" w:cs="Arial"/>
          <w:i/>
        </w:rPr>
        <w:t xml:space="preserve">Keywords: </w:t>
      </w:r>
      <w:r w:rsidR="00B249BC" w:rsidRPr="00B249BC">
        <w:rPr>
          <w:rFonts w:ascii="Arial" w:hAnsi="Arial" w:cs="Arial"/>
          <w:i/>
        </w:rPr>
        <w:t>Calcium and Follicle-Stimulating Hormone</w:t>
      </w:r>
      <w:r w:rsidR="00133FA4">
        <w:rPr>
          <w:rFonts w:ascii="Arial" w:hAnsi="Arial" w:cs="Arial"/>
          <w:i/>
        </w:rPr>
        <w:t xml:space="preserve">, </w:t>
      </w:r>
      <w:r w:rsidR="00133FA4" w:rsidRPr="00CA20AF">
        <w:rPr>
          <w:rFonts w:ascii="Arial" w:hAnsi="Arial" w:cs="Arial"/>
          <w:i/>
        </w:rPr>
        <w:t>HIV Patients</w:t>
      </w:r>
      <w:r w:rsidR="00133FA4">
        <w:rPr>
          <w:rFonts w:ascii="Arial" w:hAnsi="Arial" w:cs="Arial"/>
          <w:i/>
        </w:rPr>
        <w:t>,</w:t>
      </w:r>
      <w:r w:rsidR="00133FA4" w:rsidRPr="00CA20AF">
        <w:rPr>
          <w:rFonts w:ascii="Arial" w:hAnsi="Arial" w:cs="Arial"/>
          <w:i/>
        </w:rPr>
        <w:t xml:space="preserve"> Antiretroviral Therapy</w:t>
      </w:r>
      <w:r w:rsidR="00133FA4">
        <w:rPr>
          <w:rFonts w:ascii="Arial" w:hAnsi="Arial" w:cs="Arial"/>
          <w:i/>
        </w:rPr>
        <w:t>,</w:t>
      </w:r>
      <w:r w:rsidR="00133FA4" w:rsidRPr="00CA20AF">
        <w:rPr>
          <w:rFonts w:ascii="Arial" w:hAnsi="Arial" w:cs="Arial"/>
          <w:i/>
        </w:rPr>
        <w:t xml:space="preserve"> Rivers State University Teaching Hospital</w:t>
      </w:r>
      <w:r w:rsidR="00850CE8">
        <w:rPr>
          <w:rFonts w:ascii="Arial" w:hAnsi="Arial" w:cs="Arial"/>
          <w:i/>
        </w:rPr>
        <w:t xml:space="preserve">, </w:t>
      </w:r>
      <w:r w:rsidR="00850CE8" w:rsidRPr="00850CE8">
        <w:rPr>
          <w:rFonts w:ascii="Arial" w:hAnsi="Arial" w:cs="Arial"/>
          <w:i/>
          <w:highlight w:val="yellow"/>
        </w:rPr>
        <w:t>Nigeria</w:t>
      </w:r>
    </w:p>
    <w:p w14:paraId="789E02A9" w14:textId="77777777" w:rsidR="00790ADA" w:rsidRDefault="00790ADA"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D1311E" w14:textId="050BA8DB" w:rsidR="00413734" w:rsidRPr="00413734" w:rsidRDefault="00413734" w:rsidP="00413734">
      <w:pPr>
        <w:pStyle w:val="Body"/>
        <w:rPr>
          <w:rFonts w:ascii="Arial" w:eastAsia="Calibri" w:hAnsi="Arial" w:cs="Arial"/>
          <w:szCs w:val="22"/>
        </w:rPr>
      </w:pPr>
      <w:r w:rsidRPr="00413734">
        <w:rPr>
          <w:rFonts w:ascii="Arial" w:eastAsia="Calibri" w:hAnsi="Arial" w:cs="Arial"/>
          <w:szCs w:val="22"/>
        </w:rPr>
        <w:t xml:space="preserve">Human Immunodeficiency Virus (HIV) remains a significant global health challenge, affecting millions of individuals worldwide. In Nigeria, the prevalence of HIV is estimated at 1.4%, with approximately 1.9 million people living with the virus </w:t>
      </w:r>
      <w:r w:rsidR="00A83A16" w:rsidRPr="00B54D1E">
        <w:rPr>
          <w:rFonts w:ascii="Arial" w:eastAsia="Calibri" w:hAnsi="Arial" w:cs="Arial"/>
          <w:szCs w:val="22"/>
        </w:rPr>
        <w:t>[</w:t>
      </w:r>
      <w:r w:rsidR="00A83A16" w:rsidRPr="00B54D1E">
        <w:rPr>
          <w:rFonts w:ascii="Arial" w:hAnsi="Arial" w:cs="Arial"/>
        </w:rPr>
        <w:t>1]</w:t>
      </w:r>
      <w:r w:rsidRPr="00413734">
        <w:rPr>
          <w:rFonts w:ascii="Arial" w:eastAsia="Calibri" w:hAnsi="Arial" w:cs="Arial"/>
          <w:szCs w:val="22"/>
        </w:rPr>
        <w:t xml:space="preserve">. The introduction of antiretroviral therapy (ART) has transformed HIV from a fatal condition to a manageable chronic disease, significantly improving life expectancy and quality of life for affected </w:t>
      </w:r>
      <w:r w:rsidR="00A83A16" w:rsidRPr="00413734">
        <w:rPr>
          <w:rFonts w:ascii="Arial" w:eastAsia="Calibri" w:hAnsi="Arial" w:cs="Arial"/>
          <w:szCs w:val="22"/>
        </w:rPr>
        <w:t xml:space="preserve">individuals </w:t>
      </w:r>
      <w:r w:rsidR="00A83A16" w:rsidRPr="00A83A16">
        <w:rPr>
          <w:rFonts w:ascii="Arial" w:eastAsia="Calibri" w:hAnsi="Arial" w:cs="Arial"/>
          <w:szCs w:val="22"/>
        </w:rPr>
        <w:t>[</w:t>
      </w:r>
      <w:r w:rsidR="00A83A16">
        <w:rPr>
          <w:rFonts w:ascii="Arial" w:hAnsi="Arial" w:cs="Arial"/>
        </w:rPr>
        <w:t>2</w:t>
      </w:r>
      <w:r w:rsidR="00A83A16" w:rsidRPr="00B54D1E">
        <w:rPr>
          <w:rFonts w:ascii="Arial" w:hAnsi="Arial" w:cs="Arial"/>
        </w:rPr>
        <w:t>]</w:t>
      </w:r>
      <w:r w:rsidRPr="00413734">
        <w:rPr>
          <w:rFonts w:ascii="Arial" w:eastAsia="Calibri" w:hAnsi="Arial" w:cs="Arial"/>
          <w:szCs w:val="22"/>
        </w:rPr>
        <w:t>. However, the long-term use of ART has been associated with metabolic and endocrine complications, including alterations in serum calcium and follicle-stimulating hormone (FSH) levels, which may impact overall health outcomes</w:t>
      </w:r>
      <w:r w:rsidR="00A83A16" w:rsidRPr="00A83A16">
        <w:rPr>
          <w:rFonts w:ascii="Arial" w:eastAsia="Calibri" w:hAnsi="Arial" w:cs="Arial"/>
          <w:szCs w:val="22"/>
        </w:rPr>
        <w:t xml:space="preserve"> </w:t>
      </w:r>
      <w:r w:rsidR="00A83A16" w:rsidRPr="00B54D1E">
        <w:rPr>
          <w:rFonts w:ascii="Arial" w:eastAsia="Calibri" w:hAnsi="Arial" w:cs="Arial"/>
          <w:szCs w:val="22"/>
        </w:rPr>
        <w:t>[</w:t>
      </w:r>
      <w:r w:rsidR="00A83A16">
        <w:rPr>
          <w:rFonts w:ascii="Arial" w:eastAsia="Calibri" w:hAnsi="Arial" w:cs="Arial"/>
          <w:szCs w:val="22"/>
        </w:rPr>
        <w:t>3</w:t>
      </w:r>
      <w:r w:rsidR="00A83A16" w:rsidRPr="00B54D1E">
        <w:rPr>
          <w:rFonts w:ascii="Arial" w:hAnsi="Arial" w:cs="Arial"/>
        </w:rPr>
        <w:t>]</w:t>
      </w:r>
      <w:r w:rsidRPr="00413734">
        <w:rPr>
          <w:rFonts w:ascii="Arial" w:eastAsia="Calibri" w:hAnsi="Arial" w:cs="Arial"/>
          <w:szCs w:val="22"/>
        </w:rPr>
        <w:t>.</w:t>
      </w:r>
    </w:p>
    <w:p w14:paraId="1D5614F5" w14:textId="3A43923B" w:rsidR="00413734" w:rsidRPr="00413734" w:rsidRDefault="00413734" w:rsidP="00413734">
      <w:pPr>
        <w:pStyle w:val="Body"/>
        <w:rPr>
          <w:rFonts w:ascii="Arial" w:eastAsia="Calibri" w:hAnsi="Arial" w:cs="Arial"/>
          <w:szCs w:val="22"/>
        </w:rPr>
      </w:pPr>
      <w:r w:rsidRPr="00413734">
        <w:rPr>
          <w:rFonts w:ascii="Arial" w:eastAsia="Calibri" w:hAnsi="Arial" w:cs="Arial"/>
          <w:szCs w:val="22"/>
        </w:rPr>
        <w:t xml:space="preserve">Serum calcium plays a critical role in numerous physiological processes, including bone health, muscle function, and nerve signaling </w:t>
      </w:r>
      <w:r w:rsidR="00A83A16" w:rsidRPr="00B54D1E">
        <w:rPr>
          <w:rFonts w:ascii="Arial" w:eastAsia="Calibri" w:hAnsi="Arial" w:cs="Arial"/>
          <w:szCs w:val="22"/>
        </w:rPr>
        <w:t>[</w:t>
      </w:r>
      <w:r w:rsidR="00A83A16">
        <w:rPr>
          <w:rFonts w:ascii="Arial" w:eastAsia="Calibri" w:hAnsi="Arial" w:cs="Arial"/>
          <w:szCs w:val="22"/>
        </w:rPr>
        <w:t>4</w:t>
      </w:r>
      <w:r w:rsidR="00A83A16" w:rsidRPr="00B54D1E">
        <w:rPr>
          <w:rFonts w:ascii="Arial" w:hAnsi="Arial" w:cs="Arial"/>
        </w:rPr>
        <w:t>]</w:t>
      </w:r>
      <w:r w:rsidRPr="00413734">
        <w:rPr>
          <w:rFonts w:ascii="Arial" w:eastAsia="Calibri" w:hAnsi="Arial" w:cs="Arial"/>
          <w:szCs w:val="22"/>
        </w:rPr>
        <w:t xml:space="preserve">. Disruptions in calcium homeostasis have been reported in HIV-infected individuals, both in treatment-naive patients and those on ART, </w:t>
      </w:r>
      <w:r w:rsidRPr="00413734">
        <w:rPr>
          <w:rFonts w:ascii="Arial" w:eastAsia="Calibri" w:hAnsi="Arial" w:cs="Arial"/>
          <w:szCs w:val="22"/>
        </w:rPr>
        <w:lastRenderedPageBreak/>
        <w:t xml:space="preserve">potentially due to the virus itself or the medications used to manage it </w:t>
      </w:r>
      <w:r w:rsidR="00A83A16" w:rsidRPr="00B54D1E">
        <w:rPr>
          <w:rFonts w:ascii="Arial" w:eastAsia="Calibri" w:hAnsi="Arial" w:cs="Arial"/>
          <w:szCs w:val="22"/>
        </w:rPr>
        <w:t>[</w:t>
      </w:r>
      <w:r w:rsidR="00A83A16">
        <w:rPr>
          <w:rFonts w:ascii="Arial" w:eastAsia="Calibri" w:hAnsi="Arial" w:cs="Arial"/>
          <w:szCs w:val="22"/>
        </w:rPr>
        <w:t>5</w:t>
      </w:r>
      <w:r w:rsidR="00A83A16" w:rsidRPr="00B54D1E">
        <w:rPr>
          <w:rFonts w:ascii="Arial" w:hAnsi="Arial" w:cs="Arial"/>
        </w:rPr>
        <w:t>]</w:t>
      </w:r>
      <w:r w:rsidRPr="00413734">
        <w:rPr>
          <w:rFonts w:ascii="Arial" w:eastAsia="Calibri" w:hAnsi="Arial" w:cs="Arial"/>
          <w:szCs w:val="22"/>
        </w:rPr>
        <w:t xml:space="preserve">. Similarly, follicle-stimulating hormone, a key regulator of reproductive function, may be affected by HIV and ART, leading to reproductive and endocrine dysfunction </w:t>
      </w:r>
      <w:r w:rsidR="00A83A16" w:rsidRPr="00B54D1E">
        <w:rPr>
          <w:rFonts w:ascii="Arial" w:eastAsia="Calibri" w:hAnsi="Arial" w:cs="Arial"/>
          <w:szCs w:val="22"/>
        </w:rPr>
        <w:t>[</w:t>
      </w:r>
      <w:r w:rsidR="00A83A16">
        <w:rPr>
          <w:rFonts w:ascii="Arial" w:eastAsia="Calibri" w:hAnsi="Arial" w:cs="Arial"/>
          <w:szCs w:val="22"/>
        </w:rPr>
        <w:t>6,7</w:t>
      </w:r>
      <w:r w:rsidR="00A83A16" w:rsidRPr="00B54D1E">
        <w:rPr>
          <w:rFonts w:ascii="Arial" w:hAnsi="Arial" w:cs="Arial"/>
        </w:rPr>
        <w:t>]</w:t>
      </w:r>
      <w:r w:rsidRPr="00413734">
        <w:rPr>
          <w:rFonts w:ascii="Arial" w:eastAsia="Calibri" w:hAnsi="Arial" w:cs="Arial"/>
          <w:szCs w:val="22"/>
        </w:rPr>
        <w:t>. These alterations are particularly relevant in the context of Nigeria, where access to comprehensive healthcare for HIV patients is often limited, and the impact of these biochemical changes remains underexplored.</w:t>
      </w:r>
    </w:p>
    <w:p w14:paraId="0A6EB24E" w14:textId="04FEB1A8" w:rsidR="00413734" w:rsidRPr="00413734" w:rsidRDefault="00413734" w:rsidP="00413734">
      <w:pPr>
        <w:pStyle w:val="Body"/>
        <w:rPr>
          <w:rFonts w:ascii="Arial" w:eastAsia="Calibri" w:hAnsi="Arial" w:cs="Arial"/>
          <w:szCs w:val="22"/>
        </w:rPr>
      </w:pPr>
      <w:r w:rsidRPr="00413734">
        <w:rPr>
          <w:rFonts w:ascii="Arial" w:eastAsia="Calibri" w:hAnsi="Arial" w:cs="Arial"/>
          <w:szCs w:val="22"/>
        </w:rPr>
        <w:t>Port Harcourt, a major urban center in Nigeria</w:t>
      </w:r>
      <w:r w:rsidR="000B444D">
        <w:rPr>
          <w:rFonts w:ascii="Arial" w:eastAsia="Calibri" w:hAnsi="Arial" w:cs="Arial"/>
          <w:szCs w:val="22"/>
        </w:rPr>
        <w:t xml:space="preserve"> </w:t>
      </w:r>
      <w:r w:rsidR="000B444D" w:rsidRPr="000B444D">
        <w:rPr>
          <w:rFonts w:ascii="Arial" w:eastAsia="Calibri" w:hAnsi="Arial" w:cs="Arial"/>
          <w:szCs w:val="22"/>
          <w:highlight w:val="yellow"/>
        </w:rPr>
        <w:t>(Fig. 1)</w:t>
      </w:r>
      <w:r w:rsidRPr="000B444D">
        <w:rPr>
          <w:rFonts w:ascii="Arial" w:eastAsia="Calibri" w:hAnsi="Arial" w:cs="Arial"/>
          <w:szCs w:val="22"/>
          <w:highlight w:val="yellow"/>
        </w:rPr>
        <w:t>,</w:t>
      </w:r>
      <w:r w:rsidRPr="00413734">
        <w:rPr>
          <w:rFonts w:ascii="Arial" w:eastAsia="Calibri" w:hAnsi="Arial" w:cs="Arial"/>
          <w:szCs w:val="22"/>
        </w:rPr>
        <w:t xml:space="preserve"> hosts several HIV treatment clinics that serve a diverse population of HIV-positive individuals. Understanding the biochemical profile of these patients, particularly serum calcium and FSH levels, is crucial for optimizing clinical management and improving health outcomes. This study aims to estimate and compare serum calcium and FSH levels in treatment-naive HIV patients and those on ART attending an HIV clinic in Port Harcourt, contributing to the body of knowledge on HIV-related metabolic and endocrine complications.</w:t>
      </w:r>
    </w:p>
    <w:p w14:paraId="4A5872DF" w14:textId="2871DF51" w:rsidR="00413734" w:rsidRPr="00413734" w:rsidRDefault="00413734" w:rsidP="00413734">
      <w:pPr>
        <w:pStyle w:val="Body"/>
        <w:rPr>
          <w:rFonts w:ascii="Arial" w:eastAsia="Calibri" w:hAnsi="Arial" w:cs="Arial"/>
          <w:szCs w:val="22"/>
        </w:rPr>
      </w:pPr>
      <w:r w:rsidRPr="00413734">
        <w:rPr>
          <w:rFonts w:ascii="Arial" w:eastAsia="Calibri" w:hAnsi="Arial" w:cs="Arial"/>
          <w:szCs w:val="22"/>
        </w:rPr>
        <w:t xml:space="preserve">Despite advancements in HIV management, metabolic and endocrine complications remain a significant concern, particularly in resource-limited settings like Nigeria. Alterations in serum calcium levels have been linked to bone mineral density loss and increased fracture risk in HIV patients, while disruptions in FSH levels may contribute to reproductive health challenges </w:t>
      </w:r>
      <w:r w:rsidR="00A83A16" w:rsidRPr="00B54D1E">
        <w:rPr>
          <w:rFonts w:ascii="Arial" w:eastAsia="Calibri" w:hAnsi="Arial" w:cs="Arial"/>
          <w:szCs w:val="22"/>
        </w:rPr>
        <w:t>[</w:t>
      </w:r>
      <w:r w:rsidR="00A83A16">
        <w:rPr>
          <w:rFonts w:ascii="Arial" w:eastAsia="Calibri" w:hAnsi="Arial" w:cs="Arial"/>
          <w:szCs w:val="22"/>
        </w:rPr>
        <w:t>6,7,8</w:t>
      </w:r>
      <w:r w:rsidR="00A83A16" w:rsidRPr="00B54D1E">
        <w:rPr>
          <w:rFonts w:ascii="Arial" w:hAnsi="Arial" w:cs="Arial"/>
        </w:rPr>
        <w:t>]</w:t>
      </w:r>
      <w:r w:rsidRPr="00413734">
        <w:rPr>
          <w:rFonts w:ascii="Arial" w:eastAsia="Calibri" w:hAnsi="Arial" w:cs="Arial"/>
          <w:szCs w:val="22"/>
        </w:rPr>
        <w:t>. Limited data exist on the comparative analysis of these parameters between treatment-naive HIV patients and those on ART in Nigeria, particularly in Port Harcourt. The lack of localized data hampers the development of targeted interventions to address these complications, potentially leading to poorer health outcomes for HIV patients. This study seeks to address this gap by evaluating serum calcium and FSH levels in these patient groups</w:t>
      </w:r>
      <w:r w:rsidR="003D7741">
        <w:rPr>
          <w:rFonts w:ascii="Arial" w:eastAsia="Calibri" w:hAnsi="Arial" w:cs="Arial"/>
          <w:szCs w:val="22"/>
        </w:rPr>
        <w:t xml:space="preserve"> </w:t>
      </w:r>
      <w:r w:rsidR="003D7741" w:rsidRPr="00B54D1E">
        <w:rPr>
          <w:rFonts w:ascii="Arial" w:eastAsia="Calibri" w:hAnsi="Arial" w:cs="Arial"/>
          <w:szCs w:val="22"/>
        </w:rPr>
        <w:t>[</w:t>
      </w:r>
      <w:r w:rsidR="003D7741">
        <w:rPr>
          <w:rFonts w:ascii="Arial" w:eastAsia="Calibri" w:hAnsi="Arial" w:cs="Arial"/>
          <w:szCs w:val="22"/>
        </w:rPr>
        <w:t>8</w:t>
      </w:r>
      <w:r w:rsidR="003D7741" w:rsidRPr="00B54D1E">
        <w:rPr>
          <w:rFonts w:ascii="Arial" w:hAnsi="Arial" w:cs="Arial"/>
        </w:rPr>
        <w:t>]</w:t>
      </w:r>
      <w:r w:rsidRPr="00413734">
        <w:rPr>
          <w:rFonts w:ascii="Arial" w:eastAsia="Calibri" w:hAnsi="Arial" w:cs="Arial"/>
          <w:szCs w:val="22"/>
        </w:rPr>
        <w:t>.</w:t>
      </w:r>
    </w:p>
    <w:p w14:paraId="78CD99EB" w14:textId="1A7F15DA" w:rsidR="00B45F13" w:rsidRPr="00BA1B01" w:rsidRDefault="00413734" w:rsidP="00B45F13">
      <w:pPr>
        <w:pStyle w:val="Body"/>
        <w:spacing w:after="0"/>
        <w:rPr>
          <w:rFonts w:ascii="Arial" w:eastAsia="Calibri" w:hAnsi="Arial" w:cs="Arial"/>
          <w:szCs w:val="22"/>
        </w:rPr>
      </w:pPr>
      <w:r w:rsidRPr="00413734">
        <w:rPr>
          <w:rFonts w:ascii="Arial" w:eastAsia="Calibri" w:hAnsi="Arial" w:cs="Arial"/>
          <w:szCs w:val="22"/>
        </w:rPr>
        <w:t xml:space="preserve">The introduction and administration of antiretroviral therapies (ART) have revolutionised the management and treatment of Human Immunodeficiency Virus (HIV) and acquired immunodeficiency syndrome (AIDS), thus increasing life expectancy. However, ART with its tremendous clinical significance in the management of AIDS causes deficiency of important </w:t>
      </w:r>
      <w:r w:rsidR="003D7741" w:rsidRPr="00413734">
        <w:rPr>
          <w:rFonts w:ascii="Arial" w:eastAsia="Calibri" w:hAnsi="Arial" w:cs="Arial"/>
          <w:szCs w:val="22"/>
        </w:rPr>
        <w:t>electrolytes</w:t>
      </w:r>
      <w:r w:rsidRPr="00413734">
        <w:rPr>
          <w:rFonts w:ascii="Arial" w:eastAsia="Calibri" w:hAnsi="Arial" w:cs="Arial"/>
          <w:szCs w:val="22"/>
        </w:rPr>
        <w:t xml:space="preserve"> like calcium and zinc </w:t>
      </w:r>
      <w:r w:rsidR="00A83A16" w:rsidRPr="00B54D1E">
        <w:rPr>
          <w:rFonts w:ascii="Arial" w:eastAsia="Calibri" w:hAnsi="Arial" w:cs="Arial"/>
          <w:szCs w:val="22"/>
        </w:rPr>
        <w:t>[</w:t>
      </w:r>
      <w:r w:rsidR="003D7741">
        <w:rPr>
          <w:rFonts w:ascii="Arial" w:eastAsia="Calibri" w:hAnsi="Arial" w:cs="Arial"/>
          <w:szCs w:val="22"/>
        </w:rPr>
        <w:t>9</w:t>
      </w:r>
      <w:r w:rsidR="00A83A16" w:rsidRPr="00B54D1E">
        <w:rPr>
          <w:rFonts w:ascii="Arial" w:hAnsi="Arial" w:cs="Arial"/>
        </w:rPr>
        <w:t>]</w:t>
      </w:r>
      <w:r w:rsidRPr="00413734">
        <w:rPr>
          <w:rFonts w:ascii="Arial" w:eastAsia="Calibri" w:hAnsi="Arial" w:cs="Arial"/>
          <w:szCs w:val="22"/>
        </w:rPr>
        <w:t xml:space="preserve">. Moreso, it is </w:t>
      </w:r>
      <w:r w:rsidR="003D7741" w:rsidRPr="00413734">
        <w:rPr>
          <w:rFonts w:ascii="Arial" w:eastAsia="Calibri" w:hAnsi="Arial" w:cs="Arial"/>
          <w:szCs w:val="22"/>
        </w:rPr>
        <w:t>evidence</w:t>
      </w:r>
      <w:r w:rsidRPr="00413734">
        <w:rPr>
          <w:rFonts w:ascii="Arial" w:eastAsia="Calibri" w:hAnsi="Arial" w:cs="Arial"/>
          <w:szCs w:val="22"/>
        </w:rPr>
        <w:t xml:space="preserve"> from a study conducted in Nnamdi Azikiwe University Teaching hospital (NAUTH), Nnewi, South- East Nigerian on female subjects with HIV that FSH significantly increased in subjects undergoing ART compared the naïve control</w:t>
      </w:r>
      <w:r w:rsidR="00A83A16" w:rsidRPr="00A83A16">
        <w:rPr>
          <w:rFonts w:ascii="Arial" w:eastAsia="Calibri" w:hAnsi="Arial" w:cs="Arial"/>
          <w:szCs w:val="22"/>
        </w:rPr>
        <w:t xml:space="preserve"> </w:t>
      </w:r>
      <w:r w:rsidR="00A83A16" w:rsidRPr="00B54D1E">
        <w:rPr>
          <w:rFonts w:ascii="Arial" w:eastAsia="Calibri" w:hAnsi="Arial" w:cs="Arial"/>
          <w:szCs w:val="22"/>
        </w:rPr>
        <w:t>[</w:t>
      </w:r>
      <w:r w:rsidR="003D7741">
        <w:rPr>
          <w:rFonts w:ascii="Arial" w:eastAsia="Calibri" w:hAnsi="Arial" w:cs="Arial"/>
          <w:szCs w:val="22"/>
        </w:rPr>
        <w:t>10</w:t>
      </w:r>
      <w:r w:rsidR="00A83A16" w:rsidRPr="00B54D1E">
        <w:rPr>
          <w:rFonts w:ascii="Arial" w:hAnsi="Arial" w:cs="Arial"/>
        </w:rPr>
        <w:t>]</w:t>
      </w:r>
      <w:r w:rsidRPr="00413734">
        <w:rPr>
          <w:rFonts w:ascii="Arial" w:eastAsia="Calibri" w:hAnsi="Arial" w:cs="Arial"/>
          <w:szCs w:val="22"/>
        </w:rPr>
        <w:t>.</w:t>
      </w:r>
      <w:r w:rsidR="00753986">
        <w:rPr>
          <w:rFonts w:ascii="Arial" w:eastAsia="Calibri" w:hAnsi="Arial" w:cs="Arial"/>
          <w:szCs w:val="22"/>
        </w:rPr>
        <w:t xml:space="preserve"> Therefore, </w:t>
      </w:r>
      <w:r w:rsidR="00B45F13">
        <w:rPr>
          <w:rFonts w:ascii="Arial" w:eastAsia="Calibri" w:hAnsi="Arial" w:cs="Arial"/>
          <w:szCs w:val="22"/>
        </w:rPr>
        <w:t xml:space="preserve">the aim of this study was </w:t>
      </w:r>
      <w:r w:rsidR="00B45F13" w:rsidRPr="009D63D8">
        <w:rPr>
          <w:rFonts w:ascii="Arial" w:eastAsia="Calibri" w:hAnsi="Arial" w:cs="Arial"/>
          <w:szCs w:val="22"/>
        </w:rPr>
        <w:t xml:space="preserve">to </w:t>
      </w:r>
      <w:r w:rsidR="00B45F13">
        <w:rPr>
          <w:rFonts w:ascii="Arial" w:eastAsia="Calibri" w:hAnsi="Arial" w:cs="Arial"/>
          <w:szCs w:val="22"/>
        </w:rPr>
        <w:t>evaluate</w:t>
      </w:r>
      <w:r w:rsidR="00B45F13" w:rsidRPr="009D63D8">
        <w:rPr>
          <w:rFonts w:ascii="Arial" w:eastAsia="Calibri" w:hAnsi="Arial" w:cs="Arial"/>
          <w:szCs w:val="22"/>
        </w:rPr>
        <w:t xml:space="preserve"> serum calcium and FSH levels</w:t>
      </w:r>
      <w:r w:rsidR="00B45F13">
        <w:rPr>
          <w:rFonts w:ascii="Arial" w:eastAsia="Calibri" w:hAnsi="Arial" w:cs="Arial"/>
          <w:szCs w:val="22"/>
        </w:rPr>
        <w:t xml:space="preserve"> in </w:t>
      </w:r>
      <w:r w:rsidR="00B45F13" w:rsidRPr="009D63D8">
        <w:rPr>
          <w:rFonts w:ascii="Arial" w:eastAsia="Calibri" w:hAnsi="Arial" w:cs="Arial"/>
          <w:szCs w:val="22"/>
        </w:rPr>
        <w:t>ART-naïve HIV patients and those on ART attending the HIV clinic at Rivers State University Teaching Hospital, Port Harcourt.</w:t>
      </w:r>
    </w:p>
    <w:p w14:paraId="13D416D9" w14:textId="0296D1BF" w:rsidR="00B01FCD" w:rsidRDefault="00B01FCD" w:rsidP="00413734">
      <w:pPr>
        <w:pStyle w:val="Body"/>
        <w:spacing w:after="0"/>
        <w:rPr>
          <w:rFonts w:ascii="Arial" w:hAnsi="Arial" w:cs="Arial"/>
        </w:rPr>
      </w:pP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65420A">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347ECA60" w14:textId="69083C24" w:rsidR="0065420A" w:rsidRPr="0065420A" w:rsidRDefault="0065420A" w:rsidP="0065420A">
      <w:pPr>
        <w:pStyle w:val="Body"/>
        <w:rPr>
          <w:rFonts w:ascii="Arial" w:eastAsia="Calibri" w:hAnsi="Arial" w:cs="Arial"/>
          <w:b/>
          <w:bCs/>
          <w:sz w:val="22"/>
          <w:szCs w:val="24"/>
        </w:rPr>
      </w:pPr>
      <w:r w:rsidRPr="0065420A">
        <w:rPr>
          <w:rFonts w:ascii="Arial" w:eastAsia="Calibri" w:hAnsi="Arial" w:cs="Arial"/>
          <w:b/>
          <w:bCs/>
          <w:sz w:val="22"/>
          <w:szCs w:val="24"/>
        </w:rPr>
        <w:t xml:space="preserve">2.1 </w:t>
      </w:r>
      <w:r w:rsidR="00F22683">
        <w:rPr>
          <w:rFonts w:ascii="Arial" w:eastAsia="Calibri" w:hAnsi="Arial" w:cs="Arial"/>
          <w:b/>
          <w:bCs/>
          <w:sz w:val="22"/>
          <w:szCs w:val="24"/>
        </w:rPr>
        <w:t>Study</w:t>
      </w:r>
      <w:r w:rsidRPr="0065420A">
        <w:rPr>
          <w:rFonts w:ascii="Arial" w:eastAsia="Calibri" w:hAnsi="Arial" w:cs="Arial"/>
          <w:b/>
          <w:bCs/>
          <w:sz w:val="22"/>
          <w:szCs w:val="24"/>
        </w:rPr>
        <w:t xml:space="preserve"> Design</w:t>
      </w:r>
    </w:p>
    <w:p w14:paraId="7F268D1A" w14:textId="0BA86110"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This study employed a</w:t>
      </w:r>
      <w:r w:rsidR="00B45F13">
        <w:rPr>
          <w:rFonts w:ascii="Arial" w:eastAsia="Calibri" w:hAnsi="Arial" w:cs="Arial"/>
          <w:szCs w:val="22"/>
        </w:rPr>
        <w:t>n</w:t>
      </w:r>
      <w:r w:rsidRPr="0065420A">
        <w:rPr>
          <w:rFonts w:ascii="Arial" w:eastAsia="Calibri" w:hAnsi="Arial" w:cs="Arial"/>
          <w:szCs w:val="22"/>
        </w:rPr>
        <w:t xml:space="preserve"> </w:t>
      </w:r>
      <w:r w:rsidR="00B45F13">
        <w:rPr>
          <w:rFonts w:ascii="Arial" w:eastAsia="Calibri" w:hAnsi="Arial" w:cs="Arial"/>
          <w:szCs w:val="22"/>
        </w:rPr>
        <w:t>analytical</w:t>
      </w:r>
      <w:r w:rsidRPr="0065420A">
        <w:rPr>
          <w:rFonts w:ascii="Arial" w:eastAsia="Calibri" w:hAnsi="Arial" w:cs="Arial"/>
          <w:szCs w:val="22"/>
        </w:rPr>
        <w:t xml:space="preserve"> cross-sectional design. In this case, the groups are:</w:t>
      </w:r>
    </w:p>
    <w:p w14:paraId="0500228C" w14:textId="1F1AD8DF"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Naïve HIV patients</w:t>
      </w:r>
      <w:r w:rsidR="00B45F13" w:rsidRPr="0065420A">
        <w:rPr>
          <w:rFonts w:ascii="Arial" w:eastAsia="Calibri" w:hAnsi="Arial" w:cs="Arial"/>
          <w:szCs w:val="22"/>
        </w:rPr>
        <w:t>: Those</w:t>
      </w:r>
      <w:r w:rsidRPr="0065420A">
        <w:rPr>
          <w:rFonts w:ascii="Arial" w:eastAsia="Calibri" w:hAnsi="Arial" w:cs="Arial"/>
          <w:szCs w:val="22"/>
        </w:rPr>
        <w:t xml:space="preserve"> who have been diagnosed with HIV but have not yet started antiretroviral therapy (ART).</w:t>
      </w:r>
    </w:p>
    <w:p w14:paraId="713A1153" w14:textId="66EF364D"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HIV patients on ART</w:t>
      </w:r>
      <w:r w:rsidR="00B45F13" w:rsidRPr="0065420A">
        <w:rPr>
          <w:rFonts w:ascii="Arial" w:eastAsia="Calibri" w:hAnsi="Arial" w:cs="Arial"/>
          <w:szCs w:val="22"/>
        </w:rPr>
        <w:t>: Those</w:t>
      </w:r>
      <w:r w:rsidRPr="0065420A">
        <w:rPr>
          <w:rFonts w:ascii="Arial" w:eastAsia="Calibri" w:hAnsi="Arial" w:cs="Arial"/>
          <w:szCs w:val="22"/>
        </w:rPr>
        <w:t xml:space="preserve"> already receiving treatment for at least 6 months.</w:t>
      </w:r>
    </w:p>
    <w:p w14:paraId="5BB78D65" w14:textId="77777777"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The design makes it possible to directly compare their serum calcium and follicle stimulating hormone (FSH) levels.</w:t>
      </w:r>
    </w:p>
    <w:p w14:paraId="2BB8396E" w14:textId="290D6EB7" w:rsidR="0065420A" w:rsidRPr="00036900" w:rsidRDefault="00036900" w:rsidP="0065420A">
      <w:pPr>
        <w:pStyle w:val="Body"/>
        <w:rPr>
          <w:rFonts w:ascii="Arial" w:eastAsia="Calibri" w:hAnsi="Arial" w:cs="Arial"/>
          <w:b/>
          <w:bCs/>
          <w:sz w:val="22"/>
          <w:szCs w:val="24"/>
        </w:rPr>
      </w:pPr>
      <w:r w:rsidRPr="00036900">
        <w:rPr>
          <w:rFonts w:ascii="Arial" w:eastAsia="Calibri" w:hAnsi="Arial" w:cs="Arial"/>
          <w:b/>
          <w:bCs/>
          <w:sz w:val="22"/>
          <w:szCs w:val="24"/>
        </w:rPr>
        <w:t>2</w:t>
      </w:r>
      <w:r w:rsidR="0065420A" w:rsidRPr="00036900">
        <w:rPr>
          <w:rFonts w:ascii="Arial" w:eastAsia="Calibri" w:hAnsi="Arial" w:cs="Arial"/>
          <w:b/>
          <w:bCs/>
          <w:sz w:val="22"/>
          <w:szCs w:val="24"/>
        </w:rPr>
        <w:t>.2 Study Area</w:t>
      </w:r>
    </w:p>
    <w:p w14:paraId="557FED5A" w14:textId="77777777" w:rsidR="0065420A" w:rsidRDefault="0065420A" w:rsidP="0065420A">
      <w:pPr>
        <w:pStyle w:val="Body"/>
        <w:rPr>
          <w:rFonts w:ascii="Arial" w:eastAsia="Calibri" w:hAnsi="Arial" w:cs="Arial"/>
          <w:szCs w:val="22"/>
        </w:rPr>
      </w:pPr>
      <w:r w:rsidRPr="0065420A">
        <w:rPr>
          <w:rFonts w:ascii="Arial" w:eastAsia="Calibri" w:hAnsi="Arial" w:cs="Arial"/>
          <w:szCs w:val="22"/>
        </w:rPr>
        <w:lastRenderedPageBreak/>
        <w:t>The study was conducted at Rivers State University Teaching Hospital, a comprehensive HIV care clinic located within a major public tertiary hospital in Port Harcourt, Rivers State, Nigeria. Port Harcourt is a significant urban center in the Niger Delta region, serving as a hub for economic activities and healthcare services for a diverse population from Rivers State and surrounding areas. The chosen teaching hospital is renowned for providing extensive HIV treatment and care services, including diagnosis, ART initiation, follow-up, and laboratory monitoring. It attracts a large patient population, thus providing a suitable environment for recruiting the target participants for this study.</w:t>
      </w:r>
    </w:p>
    <w:p w14:paraId="3B1693E3" w14:textId="7B069B37" w:rsidR="00036900" w:rsidRPr="0065420A" w:rsidRDefault="00036900" w:rsidP="0065420A">
      <w:pPr>
        <w:pStyle w:val="Body"/>
        <w:rPr>
          <w:rFonts w:ascii="Arial" w:eastAsia="Calibri" w:hAnsi="Arial" w:cs="Arial"/>
          <w:szCs w:val="22"/>
        </w:rPr>
      </w:pPr>
      <w:r>
        <w:rPr>
          <w:rFonts w:ascii="Arial" w:eastAsia="Calibri" w:hAnsi="Arial" w:cs="Arial"/>
          <w:noProof/>
          <w:szCs w:val="22"/>
        </w:rPr>
        <w:drawing>
          <wp:inline distT="0" distB="0" distL="0" distR="0" wp14:anchorId="0E23D156" wp14:editId="1B3701F7">
            <wp:extent cx="5359400" cy="3395980"/>
            <wp:effectExtent l="0" t="0" r="0" b="0"/>
            <wp:docPr id="307803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400" cy="3395980"/>
                    </a:xfrm>
                    <a:prstGeom prst="rect">
                      <a:avLst/>
                    </a:prstGeom>
                    <a:noFill/>
                  </pic:spPr>
                </pic:pic>
              </a:graphicData>
            </a:graphic>
          </wp:inline>
        </w:drawing>
      </w:r>
    </w:p>
    <w:p w14:paraId="27C17EF9" w14:textId="20FB4F0A"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 xml:space="preserve"> Figure</w:t>
      </w:r>
      <w:r w:rsidR="00CC525E">
        <w:rPr>
          <w:rFonts w:ascii="Arial" w:eastAsia="Calibri" w:hAnsi="Arial" w:cs="Arial"/>
          <w:szCs w:val="22"/>
        </w:rPr>
        <w:t xml:space="preserve"> </w:t>
      </w:r>
      <w:r w:rsidRPr="0065420A">
        <w:rPr>
          <w:rFonts w:ascii="Arial" w:eastAsia="Calibri" w:hAnsi="Arial" w:cs="Arial"/>
          <w:szCs w:val="22"/>
        </w:rPr>
        <w:t>1 Map of Rivers State showing where Rivers State University Teaching Hospital is located</w:t>
      </w:r>
      <w:r w:rsidR="00EA1A35">
        <w:rPr>
          <w:rFonts w:ascii="Arial" w:eastAsia="Calibri" w:hAnsi="Arial" w:cs="Arial"/>
          <w:szCs w:val="22"/>
        </w:rPr>
        <w:t>.</w:t>
      </w:r>
    </w:p>
    <w:p w14:paraId="7CED79EA" w14:textId="43F45256" w:rsidR="0065420A" w:rsidRPr="00B45F13" w:rsidRDefault="00B45F13" w:rsidP="0065420A">
      <w:pPr>
        <w:pStyle w:val="Body"/>
        <w:rPr>
          <w:rFonts w:ascii="Arial" w:eastAsia="Calibri" w:hAnsi="Arial" w:cs="Arial"/>
          <w:b/>
          <w:bCs/>
          <w:sz w:val="22"/>
          <w:szCs w:val="24"/>
        </w:rPr>
      </w:pPr>
      <w:r w:rsidRPr="00B45F13">
        <w:rPr>
          <w:rFonts w:ascii="Arial" w:eastAsia="Calibri" w:hAnsi="Arial" w:cs="Arial"/>
          <w:b/>
          <w:bCs/>
          <w:sz w:val="22"/>
          <w:szCs w:val="24"/>
        </w:rPr>
        <w:t>2</w:t>
      </w:r>
      <w:r w:rsidR="0065420A" w:rsidRPr="00B45F13">
        <w:rPr>
          <w:rFonts w:ascii="Arial" w:eastAsia="Calibri" w:hAnsi="Arial" w:cs="Arial"/>
          <w:b/>
          <w:bCs/>
          <w:sz w:val="22"/>
          <w:szCs w:val="24"/>
        </w:rPr>
        <w:t>.3 Study Population</w:t>
      </w:r>
    </w:p>
    <w:p w14:paraId="3D6AFB0C" w14:textId="1B702D83"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A total of 60 subjects between the age</w:t>
      </w:r>
      <w:r w:rsidR="00B5433B">
        <w:rPr>
          <w:rFonts w:ascii="Arial" w:eastAsia="Calibri" w:hAnsi="Arial" w:cs="Arial"/>
          <w:szCs w:val="22"/>
        </w:rPr>
        <w:t>s</w:t>
      </w:r>
      <w:r w:rsidRPr="0065420A">
        <w:rPr>
          <w:rFonts w:ascii="Arial" w:eastAsia="Calibri" w:hAnsi="Arial" w:cs="Arial"/>
          <w:szCs w:val="22"/>
        </w:rPr>
        <w:t xml:space="preserve"> of 18 and 60 w</w:t>
      </w:r>
      <w:r w:rsidR="00B5433B">
        <w:rPr>
          <w:rFonts w:ascii="Arial" w:eastAsia="Calibri" w:hAnsi="Arial" w:cs="Arial"/>
          <w:szCs w:val="22"/>
        </w:rPr>
        <w:t>ere</w:t>
      </w:r>
      <w:r w:rsidRPr="0065420A">
        <w:rPr>
          <w:rFonts w:ascii="Arial" w:eastAsia="Calibri" w:hAnsi="Arial" w:cs="Arial"/>
          <w:szCs w:val="22"/>
        </w:rPr>
        <w:t xml:space="preserve"> used. Thirty (30) subjects served as the ART-naive group, while</w:t>
      </w:r>
      <w:r w:rsidR="00B5433B">
        <w:rPr>
          <w:rFonts w:ascii="Arial" w:eastAsia="Calibri" w:hAnsi="Arial" w:cs="Arial"/>
          <w:szCs w:val="22"/>
        </w:rPr>
        <w:t xml:space="preserve"> the other</w:t>
      </w:r>
      <w:r w:rsidRPr="0065420A">
        <w:rPr>
          <w:rFonts w:ascii="Arial" w:eastAsia="Calibri" w:hAnsi="Arial" w:cs="Arial"/>
          <w:szCs w:val="22"/>
        </w:rPr>
        <w:t xml:space="preserve"> thirty (30) were the ART-treated group. They were informed about the study, and oral consent was obtained from interested participants. A well-structured questionnaire was administered to gather relevant information such as demographic data, medical history, duration on ART, and lifestyle factors (diet, physical activity, etc.).</w:t>
      </w:r>
    </w:p>
    <w:p w14:paraId="4C2DCAB5" w14:textId="79BF5EAE" w:rsidR="0065420A" w:rsidRPr="00B5433B" w:rsidRDefault="00B5433B" w:rsidP="0065420A">
      <w:pPr>
        <w:pStyle w:val="Body"/>
        <w:rPr>
          <w:rFonts w:ascii="Arial" w:eastAsia="Calibri" w:hAnsi="Arial" w:cs="Arial"/>
          <w:b/>
          <w:bCs/>
          <w:sz w:val="22"/>
          <w:szCs w:val="24"/>
        </w:rPr>
      </w:pPr>
      <w:r w:rsidRPr="00B5433B">
        <w:rPr>
          <w:rFonts w:ascii="Arial" w:eastAsia="Calibri" w:hAnsi="Arial" w:cs="Arial"/>
          <w:b/>
          <w:bCs/>
          <w:sz w:val="22"/>
          <w:szCs w:val="24"/>
        </w:rPr>
        <w:t>2</w:t>
      </w:r>
      <w:r w:rsidR="0065420A" w:rsidRPr="00B5433B">
        <w:rPr>
          <w:rFonts w:ascii="Arial" w:eastAsia="Calibri" w:hAnsi="Arial" w:cs="Arial"/>
          <w:b/>
          <w:bCs/>
          <w:sz w:val="22"/>
          <w:szCs w:val="24"/>
        </w:rPr>
        <w:t xml:space="preserve">.4 Eligibility Criteria </w:t>
      </w:r>
    </w:p>
    <w:p w14:paraId="13C6694F" w14:textId="3E1E05F6" w:rsidR="0065420A" w:rsidRPr="00B5433B" w:rsidRDefault="00B5433B" w:rsidP="0065420A">
      <w:pPr>
        <w:pStyle w:val="Body"/>
        <w:rPr>
          <w:rFonts w:ascii="Arial" w:eastAsia="Calibri" w:hAnsi="Arial" w:cs="Arial"/>
          <w:b/>
          <w:bCs/>
          <w:szCs w:val="22"/>
        </w:rPr>
      </w:pPr>
      <w:r w:rsidRPr="00B5433B">
        <w:rPr>
          <w:rFonts w:ascii="Arial" w:eastAsia="Calibri" w:hAnsi="Arial" w:cs="Arial"/>
          <w:b/>
          <w:bCs/>
          <w:szCs w:val="22"/>
        </w:rPr>
        <w:t>2</w:t>
      </w:r>
      <w:r w:rsidR="0065420A" w:rsidRPr="00B5433B">
        <w:rPr>
          <w:rFonts w:ascii="Arial" w:eastAsia="Calibri" w:hAnsi="Arial" w:cs="Arial"/>
          <w:b/>
          <w:bCs/>
          <w:szCs w:val="22"/>
        </w:rPr>
        <w:t>.4.1 Inclusion Criteria</w:t>
      </w:r>
    </w:p>
    <w:p w14:paraId="3DC2B039" w14:textId="77777777" w:rsidR="0065420A" w:rsidRPr="0065420A" w:rsidRDefault="0065420A" w:rsidP="00B5433B">
      <w:pPr>
        <w:pStyle w:val="Body"/>
        <w:spacing w:after="0"/>
        <w:rPr>
          <w:rFonts w:ascii="Arial" w:eastAsia="Calibri" w:hAnsi="Arial" w:cs="Arial"/>
          <w:szCs w:val="22"/>
        </w:rPr>
      </w:pPr>
      <w:r w:rsidRPr="0065420A">
        <w:rPr>
          <w:rFonts w:ascii="Arial" w:eastAsia="Calibri" w:hAnsi="Arial" w:cs="Arial"/>
          <w:szCs w:val="22"/>
        </w:rPr>
        <w:t>Participants who met the following criteria were recruited:</w:t>
      </w:r>
    </w:p>
    <w:p w14:paraId="70EF6135" w14:textId="120B193D" w:rsidR="0065420A" w:rsidRPr="0065420A" w:rsidRDefault="0065420A" w:rsidP="00B5433B">
      <w:pPr>
        <w:pStyle w:val="Body"/>
        <w:numPr>
          <w:ilvl w:val="0"/>
          <w:numId w:val="31"/>
        </w:numPr>
        <w:spacing w:after="0"/>
        <w:ind w:left="284" w:hanging="284"/>
        <w:rPr>
          <w:rFonts w:ascii="Arial" w:eastAsia="Calibri" w:hAnsi="Arial" w:cs="Arial"/>
          <w:szCs w:val="22"/>
        </w:rPr>
      </w:pPr>
      <w:r w:rsidRPr="0065420A">
        <w:rPr>
          <w:rFonts w:ascii="Arial" w:eastAsia="Calibri" w:hAnsi="Arial" w:cs="Arial"/>
          <w:szCs w:val="22"/>
        </w:rPr>
        <w:t>Adults aged 18–60 years.</w:t>
      </w:r>
    </w:p>
    <w:p w14:paraId="2A711AAD" w14:textId="1BF7ED61" w:rsidR="0065420A" w:rsidRPr="0065420A" w:rsidRDefault="0065420A" w:rsidP="00B5433B">
      <w:pPr>
        <w:pStyle w:val="Body"/>
        <w:numPr>
          <w:ilvl w:val="0"/>
          <w:numId w:val="31"/>
        </w:numPr>
        <w:spacing w:after="0"/>
        <w:ind w:left="284" w:hanging="284"/>
        <w:rPr>
          <w:rFonts w:ascii="Arial" w:eastAsia="Calibri" w:hAnsi="Arial" w:cs="Arial"/>
          <w:szCs w:val="22"/>
        </w:rPr>
      </w:pPr>
      <w:r w:rsidRPr="0065420A">
        <w:rPr>
          <w:rFonts w:ascii="Arial" w:eastAsia="Calibri" w:hAnsi="Arial" w:cs="Arial"/>
          <w:szCs w:val="22"/>
        </w:rPr>
        <w:lastRenderedPageBreak/>
        <w:t>Confirmed HIV-positive status through rapid diagnostic test and confirmatory ELISA (as per national guidelines).</w:t>
      </w:r>
    </w:p>
    <w:p w14:paraId="50193264" w14:textId="4457F0A2" w:rsidR="0065420A" w:rsidRPr="0065420A" w:rsidRDefault="0065420A" w:rsidP="00B5433B">
      <w:pPr>
        <w:pStyle w:val="Body"/>
        <w:numPr>
          <w:ilvl w:val="0"/>
          <w:numId w:val="31"/>
        </w:numPr>
        <w:spacing w:after="0"/>
        <w:ind w:left="284" w:hanging="284"/>
        <w:rPr>
          <w:rFonts w:ascii="Arial" w:eastAsia="Calibri" w:hAnsi="Arial" w:cs="Arial"/>
          <w:szCs w:val="22"/>
        </w:rPr>
      </w:pPr>
      <w:r w:rsidRPr="0065420A">
        <w:rPr>
          <w:rFonts w:ascii="Arial" w:eastAsia="Calibri" w:hAnsi="Arial" w:cs="Arial"/>
          <w:szCs w:val="22"/>
        </w:rPr>
        <w:t>Willing to give informed consent to participate in the study.</w:t>
      </w:r>
    </w:p>
    <w:p w14:paraId="71AF1478" w14:textId="7360F3FD" w:rsidR="0065420A" w:rsidRPr="0065420A" w:rsidRDefault="0065420A" w:rsidP="00B5433B">
      <w:pPr>
        <w:pStyle w:val="Body"/>
        <w:numPr>
          <w:ilvl w:val="0"/>
          <w:numId w:val="31"/>
        </w:numPr>
        <w:spacing w:after="0"/>
        <w:ind w:left="284" w:hanging="284"/>
        <w:rPr>
          <w:rFonts w:ascii="Arial" w:eastAsia="Calibri" w:hAnsi="Arial" w:cs="Arial"/>
          <w:szCs w:val="22"/>
        </w:rPr>
      </w:pPr>
      <w:r w:rsidRPr="0065420A">
        <w:rPr>
          <w:rFonts w:ascii="Arial" w:eastAsia="Calibri" w:hAnsi="Arial" w:cs="Arial"/>
          <w:szCs w:val="22"/>
        </w:rPr>
        <w:t>Belonging to either of the two groups: naïve or on ART ≥ 6 months.</w:t>
      </w:r>
    </w:p>
    <w:p w14:paraId="64B1403E" w14:textId="24C1EE6F" w:rsidR="0065420A" w:rsidRPr="00B5433B" w:rsidRDefault="00B5433B" w:rsidP="00B5433B">
      <w:pPr>
        <w:pStyle w:val="Body"/>
        <w:spacing w:before="240"/>
        <w:rPr>
          <w:rFonts w:ascii="Arial" w:eastAsia="Calibri" w:hAnsi="Arial" w:cs="Arial"/>
          <w:b/>
          <w:bCs/>
          <w:szCs w:val="22"/>
        </w:rPr>
      </w:pPr>
      <w:r w:rsidRPr="00B5433B">
        <w:rPr>
          <w:rFonts w:ascii="Arial" w:eastAsia="Calibri" w:hAnsi="Arial" w:cs="Arial"/>
          <w:b/>
          <w:bCs/>
          <w:szCs w:val="22"/>
        </w:rPr>
        <w:t>2</w:t>
      </w:r>
      <w:r w:rsidR="0065420A" w:rsidRPr="00B5433B">
        <w:rPr>
          <w:rFonts w:ascii="Arial" w:eastAsia="Calibri" w:hAnsi="Arial" w:cs="Arial"/>
          <w:b/>
          <w:bCs/>
          <w:szCs w:val="22"/>
        </w:rPr>
        <w:t>.4.2 Exclusion Criteria</w:t>
      </w:r>
    </w:p>
    <w:p w14:paraId="7EFA8614" w14:textId="744FC554" w:rsidR="0065420A" w:rsidRPr="0065420A" w:rsidRDefault="00B5433B" w:rsidP="00B5433B">
      <w:pPr>
        <w:pStyle w:val="Body"/>
        <w:spacing w:after="0"/>
        <w:rPr>
          <w:rFonts w:ascii="Arial" w:eastAsia="Calibri" w:hAnsi="Arial" w:cs="Arial"/>
          <w:szCs w:val="22"/>
        </w:rPr>
      </w:pPr>
      <w:r>
        <w:rPr>
          <w:rFonts w:ascii="Arial" w:eastAsia="Calibri" w:hAnsi="Arial" w:cs="Arial"/>
          <w:szCs w:val="22"/>
        </w:rPr>
        <w:t>Subjects</w:t>
      </w:r>
      <w:r w:rsidR="0065420A" w:rsidRPr="0065420A">
        <w:rPr>
          <w:rFonts w:ascii="Arial" w:eastAsia="Calibri" w:hAnsi="Arial" w:cs="Arial"/>
          <w:szCs w:val="22"/>
        </w:rPr>
        <w:t xml:space="preserve"> were excluded if they:</w:t>
      </w:r>
    </w:p>
    <w:p w14:paraId="6BF69B42" w14:textId="340C44D7" w:rsidR="0065420A" w:rsidRPr="0065420A" w:rsidRDefault="0065420A" w:rsidP="00B5433B">
      <w:pPr>
        <w:pStyle w:val="Body"/>
        <w:numPr>
          <w:ilvl w:val="0"/>
          <w:numId w:val="32"/>
        </w:numPr>
        <w:spacing w:after="0"/>
        <w:ind w:left="284" w:hanging="284"/>
        <w:rPr>
          <w:rFonts w:ascii="Arial" w:eastAsia="Calibri" w:hAnsi="Arial" w:cs="Arial"/>
          <w:szCs w:val="22"/>
        </w:rPr>
      </w:pPr>
      <w:r w:rsidRPr="0065420A">
        <w:rPr>
          <w:rFonts w:ascii="Arial" w:eastAsia="Calibri" w:hAnsi="Arial" w:cs="Arial"/>
          <w:szCs w:val="22"/>
        </w:rPr>
        <w:t>Ha</w:t>
      </w:r>
      <w:r w:rsidR="00B5433B">
        <w:rPr>
          <w:rFonts w:ascii="Arial" w:eastAsia="Calibri" w:hAnsi="Arial" w:cs="Arial"/>
          <w:szCs w:val="22"/>
        </w:rPr>
        <w:t>d</w:t>
      </w:r>
      <w:r w:rsidRPr="0065420A">
        <w:rPr>
          <w:rFonts w:ascii="Arial" w:eastAsia="Calibri" w:hAnsi="Arial" w:cs="Arial"/>
          <w:szCs w:val="22"/>
        </w:rPr>
        <w:t xml:space="preserve"> known chronic kidney disease </w:t>
      </w:r>
    </w:p>
    <w:p w14:paraId="6EAF25B0" w14:textId="40BD649E" w:rsidR="0065420A" w:rsidRPr="0065420A" w:rsidRDefault="0065420A" w:rsidP="00B5433B">
      <w:pPr>
        <w:pStyle w:val="Body"/>
        <w:numPr>
          <w:ilvl w:val="0"/>
          <w:numId w:val="32"/>
        </w:numPr>
        <w:spacing w:after="0"/>
        <w:ind w:left="284" w:hanging="284"/>
        <w:rPr>
          <w:rFonts w:ascii="Arial" w:eastAsia="Calibri" w:hAnsi="Arial" w:cs="Arial"/>
          <w:szCs w:val="22"/>
        </w:rPr>
      </w:pPr>
      <w:r w:rsidRPr="0065420A">
        <w:rPr>
          <w:rFonts w:ascii="Arial" w:eastAsia="Calibri" w:hAnsi="Arial" w:cs="Arial"/>
          <w:szCs w:val="22"/>
        </w:rPr>
        <w:t>Ha</w:t>
      </w:r>
      <w:r w:rsidR="00B5433B">
        <w:rPr>
          <w:rFonts w:ascii="Arial" w:eastAsia="Calibri" w:hAnsi="Arial" w:cs="Arial"/>
          <w:szCs w:val="22"/>
        </w:rPr>
        <w:t>d</w:t>
      </w:r>
      <w:r w:rsidRPr="0065420A">
        <w:rPr>
          <w:rFonts w:ascii="Arial" w:eastAsia="Calibri" w:hAnsi="Arial" w:cs="Arial"/>
          <w:szCs w:val="22"/>
        </w:rPr>
        <w:t xml:space="preserve"> thyroid or parathyroid disorders.</w:t>
      </w:r>
    </w:p>
    <w:p w14:paraId="5045D4BC" w14:textId="577723B7" w:rsidR="0065420A" w:rsidRPr="0065420A" w:rsidRDefault="00B5433B" w:rsidP="00B5433B">
      <w:pPr>
        <w:pStyle w:val="Body"/>
        <w:numPr>
          <w:ilvl w:val="0"/>
          <w:numId w:val="32"/>
        </w:numPr>
        <w:spacing w:after="0"/>
        <w:ind w:left="284" w:hanging="284"/>
        <w:rPr>
          <w:rFonts w:ascii="Arial" w:eastAsia="Calibri" w:hAnsi="Arial" w:cs="Arial"/>
          <w:szCs w:val="22"/>
        </w:rPr>
      </w:pPr>
      <w:r>
        <w:rPr>
          <w:rFonts w:ascii="Arial" w:eastAsia="Calibri" w:hAnsi="Arial" w:cs="Arial"/>
          <w:szCs w:val="22"/>
        </w:rPr>
        <w:t>We</w:t>
      </w:r>
      <w:r w:rsidR="0065420A" w:rsidRPr="0065420A">
        <w:rPr>
          <w:rFonts w:ascii="Arial" w:eastAsia="Calibri" w:hAnsi="Arial" w:cs="Arial"/>
          <w:szCs w:val="22"/>
        </w:rPr>
        <w:t xml:space="preserve">re pregnant </w:t>
      </w:r>
    </w:p>
    <w:p w14:paraId="21FF1D9F" w14:textId="29B833C9" w:rsidR="0065420A" w:rsidRPr="0065420A" w:rsidRDefault="00B5433B" w:rsidP="00B5433B">
      <w:pPr>
        <w:pStyle w:val="Body"/>
        <w:numPr>
          <w:ilvl w:val="0"/>
          <w:numId w:val="32"/>
        </w:numPr>
        <w:spacing w:after="0"/>
        <w:ind w:left="284" w:hanging="284"/>
        <w:rPr>
          <w:rFonts w:ascii="Arial" w:eastAsia="Calibri" w:hAnsi="Arial" w:cs="Arial"/>
          <w:szCs w:val="22"/>
        </w:rPr>
      </w:pPr>
      <w:r>
        <w:rPr>
          <w:rFonts w:ascii="Arial" w:eastAsia="Calibri" w:hAnsi="Arial" w:cs="Arial"/>
          <w:szCs w:val="22"/>
        </w:rPr>
        <w:t>We</w:t>
      </w:r>
      <w:r w:rsidR="0065420A" w:rsidRPr="0065420A">
        <w:rPr>
          <w:rFonts w:ascii="Arial" w:eastAsia="Calibri" w:hAnsi="Arial" w:cs="Arial"/>
          <w:szCs w:val="22"/>
        </w:rPr>
        <w:t xml:space="preserve">re on medications that affect bone metabolism or hormones </w:t>
      </w:r>
    </w:p>
    <w:p w14:paraId="532010C3" w14:textId="294B7A03" w:rsidR="0065420A" w:rsidRPr="0065420A" w:rsidRDefault="0065420A" w:rsidP="00B5433B">
      <w:pPr>
        <w:pStyle w:val="Body"/>
        <w:numPr>
          <w:ilvl w:val="0"/>
          <w:numId w:val="32"/>
        </w:numPr>
        <w:ind w:left="284" w:hanging="284"/>
        <w:rPr>
          <w:rFonts w:ascii="Arial" w:eastAsia="Calibri" w:hAnsi="Arial" w:cs="Arial"/>
          <w:szCs w:val="22"/>
        </w:rPr>
      </w:pPr>
      <w:r w:rsidRPr="0065420A">
        <w:rPr>
          <w:rFonts w:ascii="Arial" w:eastAsia="Calibri" w:hAnsi="Arial" w:cs="Arial"/>
          <w:szCs w:val="22"/>
        </w:rPr>
        <w:t>Decline</w:t>
      </w:r>
      <w:r w:rsidR="00B5433B">
        <w:rPr>
          <w:rFonts w:ascii="Arial" w:eastAsia="Calibri" w:hAnsi="Arial" w:cs="Arial"/>
          <w:szCs w:val="22"/>
        </w:rPr>
        <w:t>d</w:t>
      </w:r>
      <w:r w:rsidRPr="0065420A">
        <w:rPr>
          <w:rFonts w:ascii="Arial" w:eastAsia="Calibri" w:hAnsi="Arial" w:cs="Arial"/>
          <w:szCs w:val="22"/>
        </w:rPr>
        <w:t xml:space="preserve"> to participate.</w:t>
      </w:r>
    </w:p>
    <w:p w14:paraId="102FE4EE" w14:textId="2929CFD3" w:rsidR="0065420A" w:rsidRPr="00B5433B" w:rsidRDefault="00B5433B" w:rsidP="0065420A">
      <w:pPr>
        <w:pStyle w:val="Body"/>
        <w:rPr>
          <w:rFonts w:ascii="Arial" w:eastAsia="Calibri" w:hAnsi="Arial" w:cs="Arial"/>
          <w:b/>
          <w:bCs/>
          <w:sz w:val="22"/>
          <w:szCs w:val="24"/>
        </w:rPr>
      </w:pPr>
      <w:r>
        <w:rPr>
          <w:rFonts w:ascii="Arial" w:eastAsia="Calibri" w:hAnsi="Arial" w:cs="Arial"/>
          <w:b/>
          <w:bCs/>
          <w:sz w:val="22"/>
          <w:szCs w:val="24"/>
        </w:rPr>
        <w:t>2</w:t>
      </w:r>
      <w:r w:rsidR="0065420A" w:rsidRPr="00B5433B">
        <w:rPr>
          <w:rFonts w:ascii="Arial" w:eastAsia="Calibri" w:hAnsi="Arial" w:cs="Arial"/>
          <w:b/>
          <w:bCs/>
          <w:sz w:val="22"/>
          <w:szCs w:val="24"/>
        </w:rPr>
        <w:t>.5 Sample Size Determination</w:t>
      </w:r>
    </w:p>
    <w:p w14:paraId="186E3B01" w14:textId="3419D055" w:rsidR="0065420A" w:rsidRPr="0065420A" w:rsidRDefault="00465C21" w:rsidP="0065420A">
      <w:pPr>
        <w:pStyle w:val="Body"/>
        <w:rPr>
          <w:rFonts w:ascii="Arial" w:eastAsia="Calibri" w:hAnsi="Arial" w:cs="Arial"/>
          <w:szCs w:val="22"/>
        </w:rPr>
      </w:pPr>
      <w:r w:rsidRPr="00465C21">
        <w:rPr>
          <w:rFonts w:ascii="Arial" w:eastAsia="Calibri" w:hAnsi="Arial" w:cs="Arial"/>
          <w:szCs w:val="22"/>
          <w:highlight w:val="yellow"/>
        </w:rPr>
        <w:t>The sample size for this study was calculated using Cochran formula for cross sectional studies [21</w:t>
      </w:r>
      <w:r w:rsidRPr="00465C21">
        <w:rPr>
          <w:rFonts w:ascii="Arial" w:hAnsi="Arial" w:cs="Arial"/>
          <w:highlight w:val="yellow"/>
        </w:rPr>
        <w:t>]</w:t>
      </w:r>
      <w:r w:rsidRPr="00465C21">
        <w:rPr>
          <w:rFonts w:ascii="Arial" w:eastAsia="Calibri" w:hAnsi="Arial" w:cs="Arial"/>
          <w:szCs w:val="22"/>
          <w:highlight w:val="yellow"/>
        </w:rPr>
        <w:t>.</w:t>
      </w:r>
      <w:r w:rsidRPr="00465C21">
        <w:rPr>
          <w:rFonts w:ascii="Arial" w:eastAsia="Calibri" w:hAnsi="Arial" w:cs="Arial"/>
          <w:szCs w:val="22"/>
        </w:rPr>
        <w:t xml:space="preserve"> </w:t>
      </w:r>
      <w:r w:rsidR="0065420A" w:rsidRPr="0065420A">
        <w:rPr>
          <w:rFonts w:ascii="Arial" w:eastAsia="Calibri" w:hAnsi="Arial" w:cs="Arial"/>
          <w:szCs w:val="22"/>
        </w:rPr>
        <w:t>The prevalence of HIV at 5.2%</w:t>
      </w:r>
      <w:r w:rsidR="00EC0D21">
        <w:rPr>
          <w:rFonts w:ascii="Arial" w:eastAsia="Calibri" w:hAnsi="Arial" w:cs="Arial"/>
          <w:szCs w:val="22"/>
        </w:rPr>
        <w:t xml:space="preserve"> </w:t>
      </w:r>
      <w:r w:rsidR="00A83A16" w:rsidRPr="00B54D1E">
        <w:rPr>
          <w:rFonts w:ascii="Arial" w:eastAsia="Calibri" w:hAnsi="Arial" w:cs="Arial"/>
          <w:szCs w:val="22"/>
        </w:rPr>
        <w:t>[</w:t>
      </w:r>
      <w:r w:rsidR="003D7741">
        <w:rPr>
          <w:rFonts w:ascii="Arial" w:eastAsia="Calibri" w:hAnsi="Arial" w:cs="Arial"/>
          <w:szCs w:val="22"/>
        </w:rPr>
        <w:t>11</w:t>
      </w:r>
      <w:r w:rsidR="00A83A16" w:rsidRPr="00B54D1E">
        <w:rPr>
          <w:rFonts w:ascii="Arial" w:hAnsi="Arial" w:cs="Arial"/>
        </w:rPr>
        <w:t>]</w:t>
      </w:r>
      <w:r w:rsidR="0065420A" w:rsidRPr="0065420A">
        <w:rPr>
          <w:rFonts w:ascii="Arial" w:eastAsia="Calibri" w:hAnsi="Arial" w:cs="Arial"/>
          <w:szCs w:val="22"/>
        </w:rPr>
        <w:t xml:space="preserve"> was reported among adult HIV patients attending HIV Unit at Rivers State University Teaching Hospital, Port Harcourt.</w:t>
      </w:r>
    </w:p>
    <w:p w14:paraId="57DA6636" w14:textId="0DBD89D0" w:rsidR="0065420A" w:rsidRPr="0065420A" w:rsidRDefault="0065420A" w:rsidP="00EC0D21">
      <w:pPr>
        <w:pStyle w:val="Body"/>
        <w:spacing w:after="0"/>
        <w:rPr>
          <w:rFonts w:ascii="Arial" w:eastAsia="Calibri" w:hAnsi="Arial" w:cs="Arial"/>
          <w:szCs w:val="22"/>
        </w:rPr>
      </w:pPr>
      <w:r w:rsidRPr="0065420A">
        <w:rPr>
          <w:rFonts w:ascii="Arial" w:eastAsia="Calibri" w:hAnsi="Arial" w:cs="Arial"/>
          <w:szCs w:val="22"/>
        </w:rPr>
        <w:t>Using the formula: n</w:t>
      </w:r>
      <w:r w:rsidR="00EC0D21" w:rsidRPr="0065420A">
        <w:rPr>
          <w:rFonts w:ascii="Arial" w:eastAsia="Calibri" w:hAnsi="Arial" w:cs="Arial"/>
          <w:szCs w:val="22"/>
        </w:rPr>
        <w:t>= (</w:t>
      </w:r>
      <w:r w:rsidRPr="0065420A">
        <w:rPr>
          <w:rFonts w:ascii="Arial" w:eastAsia="Calibri" w:hAnsi="Arial" w:cs="Arial"/>
          <w:szCs w:val="22"/>
        </w:rPr>
        <w:t>Z^2 pq)/d^</w:t>
      </w:r>
      <w:r w:rsidR="001E6199" w:rsidRPr="0065420A">
        <w:rPr>
          <w:rFonts w:ascii="Arial" w:eastAsia="Calibri" w:hAnsi="Arial" w:cs="Arial"/>
          <w:szCs w:val="22"/>
        </w:rPr>
        <w:t xml:space="preserve">2 </w:t>
      </w:r>
      <w:r w:rsidR="001E6199" w:rsidRPr="00A83A16">
        <w:rPr>
          <w:rFonts w:ascii="Arial" w:eastAsia="Calibri" w:hAnsi="Arial" w:cs="Arial"/>
          <w:szCs w:val="22"/>
        </w:rPr>
        <w:t>[</w:t>
      </w:r>
      <w:r w:rsidR="003D7741">
        <w:rPr>
          <w:rFonts w:ascii="Arial" w:eastAsia="Calibri" w:hAnsi="Arial" w:cs="Arial"/>
          <w:szCs w:val="22"/>
        </w:rPr>
        <w:t>12</w:t>
      </w:r>
      <w:r w:rsidR="00A83A16" w:rsidRPr="00B54D1E">
        <w:rPr>
          <w:rFonts w:ascii="Arial" w:hAnsi="Arial" w:cs="Arial"/>
        </w:rPr>
        <w:t>]</w:t>
      </w:r>
    </w:p>
    <w:p w14:paraId="708FFF14" w14:textId="77777777" w:rsidR="0065420A" w:rsidRPr="0065420A" w:rsidRDefault="0065420A" w:rsidP="00EC0D21">
      <w:pPr>
        <w:pStyle w:val="Body"/>
        <w:spacing w:after="0"/>
        <w:rPr>
          <w:rFonts w:ascii="Arial" w:eastAsia="Calibri" w:hAnsi="Arial" w:cs="Arial"/>
          <w:szCs w:val="22"/>
        </w:rPr>
      </w:pPr>
      <w:r w:rsidRPr="0065420A">
        <w:rPr>
          <w:rFonts w:ascii="Arial" w:eastAsia="Calibri" w:hAnsi="Arial" w:cs="Arial"/>
          <w:szCs w:val="22"/>
        </w:rPr>
        <w:t>Where;</w:t>
      </w:r>
    </w:p>
    <w:p w14:paraId="5F399DD2" w14:textId="77777777" w:rsidR="0065420A" w:rsidRPr="0065420A" w:rsidRDefault="0065420A" w:rsidP="00EC0D21">
      <w:pPr>
        <w:pStyle w:val="Body"/>
        <w:spacing w:after="0"/>
        <w:rPr>
          <w:rFonts w:ascii="Arial" w:eastAsia="Calibri" w:hAnsi="Arial" w:cs="Arial"/>
          <w:szCs w:val="22"/>
        </w:rPr>
      </w:pPr>
      <w:r w:rsidRPr="0065420A">
        <w:rPr>
          <w:rFonts w:ascii="Arial" w:eastAsia="Calibri" w:hAnsi="Arial" w:cs="Arial"/>
          <w:szCs w:val="22"/>
        </w:rPr>
        <w:t xml:space="preserve">n= Minimum sample size </w:t>
      </w:r>
    </w:p>
    <w:p w14:paraId="40686F5C" w14:textId="77777777" w:rsidR="0065420A" w:rsidRPr="0065420A" w:rsidRDefault="0065420A" w:rsidP="00EC0D21">
      <w:pPr>
        <w:pStyle w:val="Body"/>
        <w:spacing w:after="0"/>
        <w:rPr>
          <w:rFonts w:ascii="Arial" w:eastAsia="Calibri" w:hAnsi="Arial" w:cs="Arial"/>
          <w:szCs w:val="22"/>
        </w:rPr>
      </w:pPr>
      <w:r w:rsidRPr="0065420A">
        <w:rPr>
          <w:rFonts w:ascii="Arial" w:eastAsia="Calibri" w:hAnsi="Arial" w:cs="Arial"/>
          <w:szCs w:val="22"/>
        </w:rPr>
        <w:t>Z = Standard deviation corresponding to 95% confidence level set at 1.96²=3.482</w:t>
      </w:r>
    </w:p>
    <w:p w14:paraId="0184EFBF" w14:textId="0A8AC50F" w:rsidR="0065420A" w:rsidRPr="0065420A" w:rsidRDefault="0065420A" w:rsidP="00EC0D21">
      <w:pPr>
        <w:pStyle w:val="Body"/>
        <w:spacing w:after="0"/>
        <w:rPr>
          <w:rFonts w:ascii="Arial" w:eastAsia="Calibri" w:hAnsi="Arial" w:cs="Arial"/>
          <w:szCs w:val="22"/>
        </w:rPr>
      </w:pPr>
      <w:r w:rsidRPr="0065420A">
        <w:rPr>
          <w:rFonts w:ascii="Arial" w:eastAsia="Calibri" w:hAnsi="Arial" w:cs="Arial"/>
          <w:szCs w:val="22"/>
        </w:rPr>
        <w:t>p= 5.2%=0.052, q= 1-p= 0.948, d= margin error</w:t>
      </w:r>
      <w:r w:rsidR="00A83A16">
        <w:rPr>
          <w:rFonts w:ascii="Arial" w:eastAsia="Calibri" w:hAnsi="Arial" w:cs="Arial"/>
          <w:szCs w:val="22"/>
        </w:rPr>
        <w:t xml:space="preserve"> </w:t>
      </w:r>
      <w:r w:rsidRPr="0065420A">
        <w:rPr>
          <w:rFonts w:ascii="Arial" w:eastAsia="Calibri" w:hAnsi="Arial" w:cs="Arial"/>
          <w:szCs w:val="22"/>
        </w:rPr>
        <w:t>(0.05)²=0.0025</w:t>
      </w:r>
    </w:p>
    <w:p w14:paraId="63EE2543" w14:textId="77777777" w:rsidR="0065420A" w:rsidRPr="0065420A" w:rsidRDefault="0065420A" w:rsidP="00EC0D21">
      <w:pPr>
        <w:pStyle w:val="Body"/>
        <w:spacing w:after="0"/>
        <w:rPr>
          <w:rFonts w:ascii="Arial" w:eastAsia="Calibri" w:hAnsi="Arial" w:cs="Arial"/>
          <w:szCs w:val="22"/>
        </w:rPr>
      </w:pPr>
      <w:r w:rsidRPr="0065420A">
        <w:rPr>
          <w:rFonts w:ascii="Arial" w:eastAsia="Calibri" w:hAnsi="Arial" w:cs="Arial"/>
          <w:szCs w:val="22"/>
        </w:rPr>
        <w:t>n= 69 participants.</w:t>
      </w:r>
    </w:p>
    <w:p w14:paraId="421861FE" w14:textId="77777777"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Due to some limitations in obtaining samples from participants, 60 participants were recruited for this study instead of the actual sample size of 69.</w:t>
      </w:r>
    </w:p>
    <w:p w14:paraId="3C742CBC" w14:textId="43B5264E" w:rsidR="0065420A" w:rsidRPr="00EC0D21" w:rsidRDefault="00EC0D21" w:rsidP="0065420A">
      <w:pPr>
        <w:pStyle w:val="Body"/>
        <w:rPr>
          <w:rFonts w:ascii="Arial" w:eastAsia="Calibri" w:hAnsi="Arial" w:cs="Arial"/>
          <w:b/>
          <w:bCs/>
          <w:sz w:val="22"/>
          <w:szCs w:val="24"/>
        </w:rPr>
      </w:pPr>
      <w:r w:rsidRPr="00EC0D21">
        <w:rPr>
          <w:rFonts w:ascii="Arial" w:eastAsia="Calibri" w:hAnsi="Arial" w:cs="Arial"/>
          <w:b/>
          <w:bCs/>
          <w:sz w:val="22"/>
          <w:szCs w:val="24"/>
        </w:rPr>
        <w:t>2</w:t>
      </w:r>
      <w:r w:rsidR="0065420A" w:rsidRPr="00EC0D21">
        <w:rPr>
          <w:rFonts w:ascii="Arial" w:eastAsia="Calibri" w:hAnsi="Arial" w:cs="Arial"/>
          <w:b/>
          <w:bCs/>
          <w:sz w:val="22"/>
          <w:szCs w:val="24"/>
        </w:rPr>
        <w:t>.6 Sample Collection, Processing and Transportation</w:t>
      </w:r>
    </w:p>
    <w:p w14:paraId="4FE4EB82" w14:textId="77777777"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t xml:space="preserve">Five millilitres (5ml) of venous whole blood specimen was drawn using a sterile hypodermic syringe and needles by standard venepuncture technique; and the blood specimen was dispensed into plain bottles. The blood samples were kept in ice packs at a temperature of 2⁰C - 8⁰C during transport to the laboratory unit of Prime Medical Consultants. Immediately after getting to the laboratory, blood samples in the plain bottles were spun using a centrifuge at 2400 rpm for 5 minutes to obtain the serum which were separated and transferred into separate plain sample bottles, and were stored in the freezing compartment of the refrigerator until the time for analysis; the serum was used for the analysis of calcium and follicle stimulating hormone. </w:t>
      </w:r>
    </w:p>
    <w:p w14:paraId="1C2BB172" w14:textId="3F774580" w:rsidR="0065420A" w:rsidRPr="00EC0D21" w:rsidRDefault="00EC0D21" w:rsidP="0065420A">
      <w:pPr>
        <w:pStyle w:val="Body"/>
        <w:rPr>
          <w:rFonts w:ascii="Arial" w:eastAsia="Calibri" w:hAnsi="Arial" w:cs="Arial"/>
          <w:b/>
          <w:bCs/>
          <w:sz w:val="22"/>
          <w:szCs w:val="24"/>
        </w:rPr>
      </w:pPr>
      <w:r>
        <w:rPr>
          <w:rFonts w:ascii="Arial" w:eastAsia="Calibri" w:hAnsi="Arial" w:cs="Arial"/>
          <w:b/>
          <w:bCs/>
          <w:sz w:val="22"/>
          <w:szCs w:val="24"/>
        </w:rPr>
        <w:t>2</w:t>
      </w:r>
      <w:r w:rsidR="0065420A" w:rsidRPr="00EC0D21">
        <w:rPr>
          <w:rFonts w:ascii="Arial" w:eastAsia="Calibri" w:hAnsi="Arial" w:cs="Arial"/>
          <w:b/>
          <w:bCs/>
          <w:sz w:val="22"/>
          <w:szCs w:val="24"/>
        </w:rPr>
        <w:t>.7</w:t>
      </w:r>
      <w:r>
        <w:rPr>
          <w:rFonts w:ascii="Arial" w:eastAsia="Calibri" w:hAnsi="Arial" w:cs="Arial"/>
          <w:b/>
          <w:bCs/>
          <w:sz w:val="22"/>
          <w:szCs w:val="24"/>
        </w:rPr>
        <w:t xml:space="preserve"> </w:t>
      </w:r>
      <w:r w:rsidR="0065420A" w:rsidRPr="00EC0D21">
        <w:rPr>
          <w:rFonts w:ascii="Arial" w:eastAsia="Calibri" w:hAnsi="Arial" w:cs="Arial"/>
          <w:b/>
          <w:bCs/>
          <w:sz w:val="22"/>
          <w:szCs w:val="24"/>
        </w:rPr>
        <w:t>Sample Analysis</w:t>
      </w:r>
    </w:p>
    <w:p w14:paraId="53432660" w14:textId="15011027" w:rsidR="0065420A" w:rsidRPr="00EC0D21" w:rsidRDefault="00EC0D21" w:rsidP="0065420A">
      <w:pPr>
        <w:pStyle w:val="Body"/>
        <w:rPr>
          <w:rFonts w:ascii="Arial" w:eastAsia="Calibri" w:hAnsi="Arial" w:cs="Arial"/>
          <w:b/>
          <w:bCs/>
          <w:szCs w:val="22"/>
        </w:rPr>
      </w:pPr>
      <w:r>
        <w:rPr>
          <w:rFonts w:ascii="Arial" w:eastAsia="Calibri" w:hAnsi="Arial" w:cs="Arial"/>
          <w:b/>
          <w:bCs/>
          <w:szCs w:val="22"/>
        </w:rPr>
        <w:t>2</w:t>
      </w:r>
      <w:r w:rsidR="0065420A" w:rsidRPr="00EC0D21">
        <w:rPr>
          <w:rFonts w:ascii="Arial" w:eastAsia="Calibri" w:hAnsi="Arial" w:cs="Arial"/>
          <w:b/>
          <w:bCs/>
          <w:szCs w:val="22"/>
        </w:rPr>
        <w:t xml:space="preserve">.7.1 The Determination of Serum Calcium </w:t>
      </w:r>
    </w:p>
    <w:p w14:paraId="5224010C" w14:textId="66CB8DBC" w:rsidR="0065420A" w:rsidRPr="00EC0D21" w:rsidRDefault="00EC0D21" w:rsidP="0065420A">
      <w:pPr>
        <w:pStyle w:val="Body"/>
        <w:rPr>
          <w:rFonts w:ascii="Arial" w:eastAsia="Calibri" w:hAnsi="Arial" w:cs="Arial"/>
          <w:szCs w:val="22"/>
        </w:rPr>
      </w:pPr>
      <w:r>
        <w:rPr>
          <w:rFonts w:ascii="Arial" w:eastAsia="Calibri" w:hAnsi="Arial" w:cs="Arial"/>
          <w:i/>
          <w:iCs/>
          <w:szCs w:val="22"/>
        </w:rPr>
        <w:t>2</w:t>
      </w:r>
      <w:r w:rsidR="0065420A" w:rsidRPr="00EC0D21">
        <w:rPr>
          <w:rFonts w:ascii="Arial" w:eastAsia="Calibri" w:hAnsi="Arial" w:cs="Arial"/>
          <w:i/>
          <w:iCs/>
          <w:szCs w:val="22"/>
        </w:rPr>
        <w:t xml:space="preserve">.7.1.1 Assay Method: </w:t>
      </w:r>
      <w:r w:rsidR="0065420A" w:rsidRPr="00EC0D21">
        <w:rPr>
          <w:rFonts w:ascii="Arial" w:eastAsia="Calibri" w:hAnsi="Arial" w:cs="Arial"/>
          <w:szCs w:val="22"/>
        </w:rPr>
        <w:t xml:space="preserve">O-cresolphthalein complexone (O-CPC) colorimetric method </w:t>
      </w:r>
      <w:r w:rsidR="00A83A16" w:rsidRPr="00B54D1E">
        <w:rPr>
          <w:rFonts w:ascii="Arial" w:eastAsia="Calibri" w:hAnsi="Arial" w:cs="Arial"/>
          <w:szCs w:val="22"/>
        </w:rPr>
        <w:t>[</w:t>
      </w:r>
      <w:r w:rsidR="00F55AC5">
        <w:rPr>
          <w:rFonts w:ascii="Arial" w:eastAsia="Calibri" w:hAnsi="Arial" w:cs="Arial"/>
          <w:szCs w:val="22"/>
        </w:rPr>
        <w:t>13</w:t>
      </w:r>
      <w:r w:rsidR="00A83A16" w:rsidRPr="00B54D1E">
        <w:rPr>
          <w:rFonts w:ascii="Arial" w:hAnsi="Arial" w:cs="Arial"/>
        </w:rPr>
        <w:t>]</w:t>
      </w:r>
      <w:r w:rsidR="0065420A" w:rsidRPr="00EC0D21">
        <w:rPr>
          <w:rFonts w:ascii="Arial" w:eastAsia="Calibri" w:hAnsi="Arial" w:cs="Arial"/>
          <w:szCs w:val="22"/>
        </w:rPr>
        <w:t>.</w:t>
      </w:r>
    </w:p>
    <w:p w14:paraId="4A4910D6" w14:textId="29186FD3" w:rsidR="0065420A" w:rsidRPr="0065420A" w:rsidRDefault="00EC0D21" w:rsidP="0065420A">
      <w:pPr>
        <w:pStyle w:val="Body"/>
        <w:rPr>
          <w:rFonts w:ascii="Arial" w:eastAsia="Calibri" w:hAnsi="Arial" w:cs="Arial"/>
          <w:szCs w:val="22"/>
        </w:rPr>
      </w:pPr>
      <w:r>
        <w:rPr>
          <w:rFonts w:ascii="Arial" w:eastAsia="Calibri" w:hAnsi="Arial" w:cs="Arial"/>
          <w:i/>
          <w:iCs/>
          <w:szCs w:val="22"/>
        </w:rPr>
        <w:t>2</w:t>
      </w:r>
      <w:r w:rsidR="0065420A" w:rsidRPr="00EC0D21">
        <w:rPr>
          <w:rFonts w:ascii="Arial" w:eastAsia="Calibri" w:hAnsi="Arial" w:cs="Arial"/>
          <w:i/>
          <w:iCs/>
          <w:szCs w:val="22"/>
        </w:rPr>
        <w:t>.7.1.2 Assay Principle:</w:t>
      </w:r>
      <w:r w:rsidR="0065420A" w:rsidRPr="0065420A">
        <w:rPr>
          <w:rFonts w:ascii="Arial" w:eastAsia="Calibri" w:hAnsi="Arial" w:cs="Arial"/>
          <w:szCs w:val="22"/>
        </w:rPr>
        <w:t xml:space="preserve"> Calcium ions react with O-cresolphthalein complexone under alkaline conditions to form a violet-colored complex called calcium-OCPC complex (Ca² + O-CPC------------&gt;Calcium-OCPC complex).</w:t>
      </w:r>
    </w:p>
    <w:p w14:paraId="7017B5A9" w14:textId="77777777" w:rsidR="0065420A" w:rsidRPr="0065420A" w:rsidRDefault="0065420A" w:rsidP="0065420A">
      <w:pPr>
        <w:pStyle w:val="Body"/>
        <w:rPr>
          <w:rFonts w:ascii="Arial" w:eastAsia="Calibri" w:hAnsi="Arial" w:cs="Arial"/>
          <w:szCs w:val="22"/>
        </w:rPr>
      </w:pPr>
      <w:r w:rsidRPr="0065420A">
        <w:rPr>
          <w:rFonts w:ascii="Arial" w:eastAsia="Calibri" w:hAnsi="Arial" w:cs="Arial"/>
          <w:szCs w:val="22"/>
        </w:rPr>
        <w:lastRenderedPageBreak/>
        <w:t>The color intensity of the complex formed is directly proportional to the calcium concentration and is determined by measuring the increase in absorbance at 578 nm.</w:t>
      </w:r>
    </w:p>
    <w:p w14:paraId="24756D5D" w14:textId="582A8C1A" w:rsidR="0065420A" w:rsidRPr="00EC0D21" w:rsidRDefault="00EC0D21" w:rsidP="0065420A">
      <w:pPr>
        <w:pStyle w:val="Body"/>
        <w:rPr>
          <w:rFonts w:ascii="Arial" w:eastAsia="Calibri" w:hAnsi="Arial" w:cs="Arial"/>
          <w:b/>
          <w:bCs/>
          <w:szCs w:val="22"/>
        </w:rPr>
      </w:pPr>
      <w:r w:rsidRPr="00EC0D21">
        <w:rPr>
          <w:rFonts w:ascii="Arial" w:eastAsia="Calibri" w:hAnsi="Arial" w:cs="Arial"/>
          <w:b/>
          <w:bCs/>
          <w:szCs w:val="22"/>
        </w:rPr>
        <w:t>2</w:t>
      </w:r>
      <w:r w:rsidR="0065420A" w:rsidRPr="00EC0D21">
        <w:rPr>
          <w:rFonts w:ascii="Arial" w:eastAsia="Calibri" w:hAnsi="Arial" w:cs="Arial"/>
          <w:b/>
          <w:bCs/>
          <w:szCs w:val="22"/>
        </w:rPr>
        <w:t>.7.2</w:t>
      </w:r>
      <w:r>
        <w:rPr>
          <w:rFonts w:ascii="Arial" w:eastAsia="Calibri" w:hAnsi="Arial" w:cs="Arial"/>
          <w:b/>
          <w:bCs/>
          <w:szCs w:val="22"/>
        </w:rPr>
        <w:t>:</w:t>
      </w:r>
      <w:r w:rsidR="0065420A" w:rsidRPr="00EC0D21">
        <w:rPr>
          <w:rFonts w:ascii="Arial" w:eastAsia="Calibri" w:hAnsi="Arial" w:cs="Arial"/>
          <w:b/>
          <w:bCs/>
          <w:szCs w:val="22"/>
        </w:rPr>
        <w:t xml:space="preserve"> The Determination of Follicle Stimulating Hormone </w:t>
      </w:r>
    </w:p>
    <w:p w14:paraId="47F15A15" w14:textId="7FF0F373" w:rsidR="0065420A" w:rsidRPr="0065420A" w:rsidRDefault="00EC0D21" w:rsidP="0065420A">
      <w:pPr>
        <w:pStyle w:val="Body"/>
        <w:rPr>
          <w:rFonts w:ascii="Arial" w:eastAsia="Calibri" w:hAnsi="Arial" w:cs="Arial"/>
          <w:szCs w:val="22"/>
        </w:rPr>
      </w:pPr>
      <w:r w:rsidRPr="00EC0D21">
        <w:rPr>
          <w:rFonts w:ascii="Arial" w:eastAsia="Calibri" w:hAnsi="Arial" w:cs="Arial"/>
          <w:b/>
          <w:bCs/>
          <w:szCs w:val="22"/>
        </w:rPr>
        <w:t>2</w:t>
      </w:r>
      <w:r w:rsidR="0065420A" w:rsidRPr="00EC0D21">
        <w:rPr>
          <w:rFonts w:ascii="Arial" w:eastAsia="Calibri" w:hAnsi="Arial" w:cs="Arial"/>
          <w:b/>
          <w:bCs/>
          <w:szCs w:val="22"/>
        </w:rPr>
        <w:t>.7.2.1</w:t>
      </w:r>
      <w:r w:rsidRPr="00EC0D21">
        <w:rPr>
          <w:rFonts w:ascii="Arial" w:eastAsia="Calibri" w:hAnsi="Arial" w:cs="Arial"/>
          <w:b/>
          <w:bCs/>
          <w:szCs w:val="22"/>
        </w:rPr>
        <w:t>: Method</w:t>
      </w:r>
      <w:r w:rsidR="0065420A" w:rsidRPr="00EC0D21">
        <w:rPr>
          <w:rFonts w:ascii="Arial" w:eastAsia="Calibri" w:hAnsi="Arial" w:cs="Arial"/>
          <w:b/>
          <w:bCs/>
          <w:szCs w:val="22"/>
        </w:rPr>
        <w:t xml:space="preserve"> of Assay:</w:t>
      </w:r>
      <w:r w:rsidR="0065420A" w:rsidRPr="0065420A">
        <w:rPr>
          <w:rFonts w:ascii="Arial" w:eastAsia="Calibri" w:hAnsi="Arial" w:cs="Arial"/>
          <w:szCs w:val="22"/>
        </w:rPr>
        <w:t xml:space="preserve"> FSH Rapid Test Kit (Test, F.S.H.R.Q., User manual)</w:t>
      </w:r>
    </w:p>
    <w:p w14:paraId="1119B48B" w14:textId="73D515C5" w:rsidR="0065420A" w:rsidRPr="0065420A" w:rsidRDefault="00EC0D21" w:rsidP="0065420A">
      <w:pPr>
        <w:pStyle w:val="Body"/>
        <w:rPr>
          <w:rFonts w:ascii="Arial" w:eastAsia="Calibri" w:hAnsi="Arial" w:cs="Arial"/>
          <w:szCs w:val="22"/>
        </w:rPr>
      </w:pPr>
      <w:r w:rsidRPr="00EC0D21">
        <w:rPr>
          <w:rFonts w:ascii="Arial" w:eastAsia="Calibri" w:hAnsi="Arial" w:cs="Arial"/>
          <w:i/>
          <w:iCs/>
          <w:szCs w:val="22"/>
        </w:rPr>
        <w:t>2</w:t>
      </w:r>
      <w:r w:rsidR="0065420A" w:rsidRPr="00EC0D21">
        <w:rPr>
          <w:rFonts w:ascii="Arial" w:eastAsia="Calibri" w:hAnsi="Arial" w:cs="Arial"/>
          <w:i/>
          <w:iCs/>
          <w:szCs w:val="22"/>
        </w:rPr>
        <w:t>.7.2.2 Assay Principle:</w:t>
      </w:r>
      <w:r w:rsidR="0065420A" w:rsidRPr="0065420A">
        <w:rPr>
          <w:rFonts w:ascii="Arial" w:eastAsia="Calibri" w:hAnsi="Arial" w:cs="Arial"/>
          <w:szCs w:val="22"/>
        </w:rPr>
        <w:t xml:space="preserve"> The Anbio FSH Rapid Test Kit is based on fluorescence immunoassay technology. The Anbio FSH Rapid Test Kit uses a sandwich immuno detection method. When sample is added to the sample well of the test, the fluorescence-labeled detector FSH antibody binds to FSH antigen in the specimen. As the sample mixture migrates on the nitrocellulose matrix of test strip by capillary action, the complexes of detector antibody and FSH are captured to anti-FSH antibody that has been immobilized on test strip. Thus, the more FSH antigen is in the specimen, the more complexes are accumulated on test strip. Signal intensity of fluorescence of detector antibody reflects amount of FSH captured and Anbio FIA Meter shows FSH concentration in the specimen.</w:t>
      </w:r>
    </w:p>
    <w:p w14:paraId="7E896E9A" w14:textId="480285A3" w:rsidR="0065420A" w:rsidRPr="00241AB8" w:rsidRDefault="00241AB8" w:rsidP="0065420A">
      <w:pPr>
        <w:pStyle w:val="Body"/>
        <w:rPr>
          <w:rFonts w:ascii="Arial" w:eastAsia="Calibri" w:hAnsi="Arial" w:cs="Arial"/>
          <w:b/>
          <w:bCs/>
          <w:sz w:val="22"/>
          <w:szCs w:val="24"/>
        </w:rPr>
      </w:pPr>
      <w:r>
        <w:rPr>
          <w:rFonts w:ascii="Arial" w:eastAsia="Calibri" w:hAnsi="Arial" w:cs="Arial"/>
          <w:b/>
          <w:bCs/>
          <w:sz w:val="22"/>
          <w:szCs w:val="24"/>
        </w:rPr>
        <w:t>2</w:t>
      </w:r>
      <w:r w:rsidR="0065420A" w:rsidRPr="00241AB8">
        <w:rPr>
          <w:rFonts w:ascii="Arial" w:eastAsia="Calibri" w:hAnsi="Arial" w:cs="Arial"/>
          <w:b/>
          <w:bCs/>
          <w:sz w:val="22"/>
          <w:szCs w:val="24"/>
        </w:rPr>
        <w:t>.</w:t>
      </w:r>
      <w:r w:rsidRPr="00241AB8">
        <w:rPr>
          <w:rFonts w:ascii="Arial" w:eastAsia="Calibri" w:hAnsi="Arial" w:cs="Arial"/>
          <w:b/>
          <w:bCs/>
          <w:sz w:val="22"/>
          <w:szCs w:val="24"/>
        </w:rPr>
        <w:t>8</w:t>
      </w:r>
      <w:r w:rsidR="0065420A" w:rsidRPr="00241AB8">
        <w:rPr>
          <w:rFonts w:ascii="Arial" w:eastAsia="Calibri" w:hAnsi="Arial" w:cs="Arial"/>
          <w:b/>
          <w:bCs/>
          <w:sz w:val="22"/>
          <w:szCs w:val="24"/>
        </w:rPr>
        <w:t xml:space="preserve"> Data Analysis</w:t>
      </w:r>
    </w:p>
    <w:p w14:paraId="1151C696" w14:textId="51B22475" w:rsidR="00790ADA" w:rsidRDefault="0065420A" w:rsidP="0065420A">
      <w:pPr>
        <w:pStyle w:val="Body"/>
        <w:spacing w:after="0"/>
        <w:rPr>
          <w:rFonts w:ascii="Arial" w:eastAsia="Calibri" w:hAnsi="Arial" w:cs="Arial"/>
          <w:szCs w:val="22"/>
        </w:rPr>
      </w:pPr>
      <w:r w:rsidRPr="0065420A">
        <w:rPr>
          <w:rFonts w:ascii="Arial" w:eastAsia="Calibri" w:hAnsi="Arial" w:cs="Arial"/>
          <w:szCs w:val="22"/>
        </w:rPr>
        <w:t xml:space="preserve">Data </w:t>
      </w:r>
      <w:r w:rsidR="00241AB8" w:rsidRPr="0065420A">
        <w:rPr>
          <w:rFonts w:ascii="Arial" w:eastAsia="Calibri" w:hAnsi="Arial" w:cs="Arial"/>
          <w:szCs w:val="22"/>
        </w:rPr>
        <w:t>was</w:t>
      </w:r>
      <w:r w:rsidRPr="0065420A">
        <w:rPr>
          <w:rFonts w:ascii="Arial" w:eastAsia="Calibri" w:hAnsi="Arial" w:cs="Arial"/>
          <w:szCs w:val="22"/>
        </w:rPr>
        <w:t xml:space="preserve"> analyzed using Statistical Package for Social Sciences (SPSS) version 25. Mean, standard deviation, frequency, and percentage will be used to summarize data. Independent sample t-test will compare mean serum calcium and FSH between naïve and ART patients. Chi-square test was used for categorical variables like sex, age, and marital status. Level of significance: p-value &lt; 0.05 was considered statistically significant.</w:t>
      </w:r>
    </w:p>
    <w:p w14:paraId="0DE639F9" w14:textId="77777777" w:rsidR="00401964" w:rsidRPr="00FB3A86" w:rsidRDefault="00401964" w:rsidP="00401964">
      <w:pPr>
        <w:pStyle w:val="Body"/>
        <w:spacing w:after="0"/>
        <w:rPr>
          <w:rFonts w:ascii="Arial" w:hAnsi="Arial" w:cs="Arial"/>
        </w:rPr>
      </w:pPr>
    </w:p>
    <w:p w14:paraId="093C2C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1" w:name="_GoBack"/>
      <w:r>
        <w:rPr>
          <w:rFonts w:ascii="Arial" w:hAnsi="Arial" w:cs="Arial"/>
        </w:rPr>
        <w:t>result</w:t>
      </w:r>
      <w:bookmarkEnd w:id="1"/>
      <w:r>
        <w:rPr>
          <w:rFonts w:ascii="Arial" w:hAnsi="Arial" w:cs="Arial"/>
        </w:rPr>
        <w:t>s and discussion</w:t>
      </w:r>
    </w:p>
    <w:p w14:paraId="446425D5" w14:textId="17A7EBC9" w:rsidR="000B7C9A" w:rsidRPr="00241AB8" w:rsidRDefault="000B7C9A" w:rsidP="00241AB8">
      <w:pPr>
        <w:spacing w:before="240" w:after="160"/>
        <w:jc w:val="both"/>
        <w:rPr>
          <w:rFonts w:ascii="Arial" w:hAnsi="Arial" w:cs="Arial"/>
          <w:b/>
        </w:rPr>
      </w:pPr>
      <w:r w:rsidRPr="00241AB8">
        <w:rPr>
          <w:rFonts w:ascii="Arial" w:hAnsi="Arial" w:cs="Arial"/>
          <w:b/>
          <w:kern w:val="2"/>
        </w:rPr>
        <w:t xml:space="preserve">Table 1: </w:t>
      </w:r>
      <w:r w:rsidRPr="00241AB8">
        <w:rPr>
          <w:rFonts w:ascii="Arial" w:hAnsi="Arial" w:cs="Arial"/>
          <w:b/>
          <w:bCs/>
          <w:kern w:val="2"/>
        </w:rPr>
        <w:t>Socio-Demographic Characteristics of Participants</w:t>
      </w:r>
    </w:p>
    <w:tbl>
      <w:tblPr>
        <w:tblW w:w="9365" w:type="dxa"/>
        <w:tblBorders>
          <w:top w:val="single" w:sz="4" w:space="0" w:color="auto"/>
          <w:bottom w:val="single" w:sz="4" w:space="0" w:color="auto"/>
        </w:tblBorders>
        <w:tblLook w:val="04A0" w:firstRow="1" w:lastRow="0" w:firstColumn="1" w:lastColumn="0" w:noHBand="0" w:noVBand="1"/>
      </w:tblPr>
      <w:tblGrid>
        <w:gridCol w:w="1620"/>
        <w:gridCol w:w="3402"/>
        <w:gridCol w:w="2702"/>
        <w:gridCol w:w="1641"/>
      </w:tblGrid>
      <w:tr w:rsidR="000B7C9A" w:rsidRPr="00241AB8" w14:paraId="49890979" w14:textId="77777777" w:rsidTr="00273016">
        <w:trPr>
          <w:trHeight w:val="368"/>
        </w:trPr>
        <w:tc>
          <w:tcPr>
            <w:tcW w:w="1620" w:type="dxa"/>
            <w:tcBorders>
              <w:top w:val="single" w:sz="4" w:space="0" w:color="auto"/>
              <w:bottom w:val="nil"/>
            </w:tcBorders>
            <w:tcMar>
              <w:top w:w="0" w:type="dxa"/>
              <w:left w:w="108" w:type="dxa"/>
              <w:bottom w:w="0" w:type="dxa"/>
              <w:right w:w="108" w:type="dxa"/>
            </w:tcMar>
          </w:tcPr>
          <w:p w14:paraId="510C2908" w14:textId="77777777" w:rsidR="000B7C9A" w:rsidRPr="00241AB8" w:rsidRDefault="000B7C9A" w:rsidP="00241AB8">
            <w:pPr>
              <w:jc w:val="both"/>
              <w:rPr>
                <w:rFonts w:ascii="Arial" w:hAnsi="Arial" w:cs="Arial"/>
              </w:rPr>
            </w:pPr>
            <w:r w:rsidRPr="00241AB8">
              <w:rPr>
                <w:rFonts w:ascii="Arial" w:hAnsi="Arial" w:cs="Arial"/>
                <w:b/>
                <w:bCs/>
                <w:kern w:val="2"/>
              </w:rPr>
              <w:t>Variable</w:t>
            </w:r>
          </w:p>
        </w:tc>
        <w:tc>
          <w:tcPr>
            <w:tcW w:w="3402" w:type="dxa"/>
            <w:tcBorders>
              <w:top w:val="single" w:sz="4" w:space="0" w:color="auto"/>
              <w:bottom w:val="nil"/>
            </w:tcBorders>
            <w:tcMar>
              <w:top w:w="0" w:type="dxa"/>
              <w:left w:w="108" w:type="dxa"/>
              <w:bottom w:w="0" w:type="dxa"/>
              <w:right w:w="108" w:type="dxa"/>
            </w:tcMar>
          </w:tcPr>
          <w:p w14:paraId="5A8EEAC7" w14:textId="77777777" w:rsidR="000B7C9A" w:rsidRPr="00241AB8" w:rsidRDefault="000B7C9A" w:rsidP="00241AB8">
            <w:pPr>
              <w:jc w:val="both"/>
              <w:rPr>
                <w:rFonts w:ascii="Arial" w:hAnsi="Arial" w:cs="Arial"/>
              </w:rPr>
            </w:pPr>
            <w:r w:rsidRPr="00241AB8">
              <w:rPr>
                <w:rFonts w:ascii="Arial" w:hAnsi="Arial" w:cs="Arial"/>
                <w:b/>
                <w:bCs/>
                <w:kern w:val="2"/>
              </w:rPr>
              <w:t xml:space="preserve">     Naïve HIV Patients (n = 30)</w:t>
            </w:r>
          </w:p>
        </w:tc>
        <w:tc>
          <w:tcPr>
            <w:tcW w:w="2702" w:type="dxa"/>
            <w:tcBorders>
              <w:top w:val="single" w:sz="4" w:space="0" w:color="auto"/>
              <w:bottom w:val="nil"/>
            </w:tcBorders>
            <w:tcMar>
              <w:top w:w="0" w:type="dxa"/>
              <w:left w:w="108" w:type="dxa"/>
              <w:bottom w:w="0" w:type="dxa"/>
              <w:right w:w="108" w:type="dxa"/>
            </w:tcMar>
          </w:tcPr>
          <w:p w14:paraId="37D1AA16" w14:textId="77777777" w:rsidR="000B7C9A" w:rsidRPr="00241AB8" w:rsidRDefault="000B7C9A" w:rsidP="00241AB8">
            <w:pPr>
              <w:jc w:val="both"/>
              <w:rPr>
                <w:rFonts w:ascii="Arial" w:hAnsi="Arial" w:cs="Arial"/>
              </w:rPr>
            </w:pPr>
            <w:r w:rsidRPr="00241AB8">
              <w:rPr>
                <w:rFonts w:ascii="Arial" w:hAnsi="Arial" w:cs="Arial"/>
                <w:b/>
                <w:bCs/>
                <w:kern w:val="2"/>
              </w:rPr>
              <w:t xml:space="preserve">    ART Patients (n = 30)</w:t>
            </w:r>
          </w:p>
        </w:tc>
        <w:tc>
          <w:tcPr>
            <w:tcW w:w="1641" w:type="dxa"/>
            <w:tcBorders>
              <w:top w:val="single" w:sz="4" w:space="0" w:color="auto"/>
              <w:bottom w:val="nil"/>
            </w:tcBorders>
            <w:tcMar>
              <w:top w:w="0" w:type="dxa"/>
              <w:left w:w="108" w:type="dxa"/>
              <w:bottom w:w="0" w:type="dxa"/>
              <w:right w:w="108" w:type="dxa"/>
            </w:tcMar>
          </w:tcPr>
          <w:p w14:paraId="0176E703" w14:textId="77777777" w:rsidR="000B7C9A" w:rsidRPr="00241AB8" w:rsidRDefault="000B7C9A" w:rsidP="00241AB8">
            <w:pPr>
              <w:jc w:val="both"/>
              <w:rPr>
                <w:rFonts w:ascii="Arial" w:hAnsi="Arial" w:cs="Arial"/>
              </w:rPr>
            </w:pPr>
            <w:r w:rsidRPr="00241AB8">
              <w:rPr>
                <w:rFonts w:ascii="Arial" w:hAnsi="Arial" w:cs="Arial"/>
                <w:b/>
                <w:bCs/>
                <w:kern w:val="2"/>
              </w:rPr>
              <w:t>Total (n = 60)</w:t>
            </w:r>
          </w:p>
        </w:tc>
      </w:tr>
      <w:tr w:rsidR="000B7C9A" w:rsidRPr="00241AB8" w14:paraId="492D695F" w14:textId="77777777" w:rsidTr="00273016">
        <w:tc>
          <w:tcPr>
            <w:tcW w:w="1620" w:type="dxa"/>
            <w:tcBorders>
              <w:top w:val="nil"/>
              <w:bottom w:val="single" w:sz="4" w:space="0" w:color="auto"/>
            </w:tcBorders>
            <w:tcMar>
              <w:top w:w="0" w:type="dxa"/>
              <w:left w:w="108" w:type="dxa"/>
              <w:bottom w:w="0" w:type="dxa"/>
              <w:right w:w="108" w:type="dxa"/>
            </w:tcMar>
          </w:tcPr>
          <w:p w14:paraId="293D4751" w14:textId="77777777" w:rsidR="000B7C9A" w:rsidRPr="00241AB8" w:rsidRDefault="000B7C9A" w:rsidP="00241AB8">
            <w:pPr>
              <w:jc w:val="both"/>
              <w:rPr>
                <w:rFonts w:ascii="Arial" w:hAnsi="Arial" w:cs="Arial"/>
              </w:rPr>
            </w:pPr>
            <w:r w:rsidRPr="00241AB8">
              <w:rPr>
                <w:rFonts w:ascii="Arial" w:hAnsi="Arial" w:cs="Arial"/>
                <w:b/>
                <w:bCs/>
                <w:kern w:val="2"/>
              </w:rPr>
              <w:t>Age (years</w:t>
            </w:r>
            <w:r w:rsidRPr="00241AB8">
              <w:rPr>
                <w:rFonts w:ascii="Arial" w:hAnsi="Arial" w:cs="Arial"/>
                <w:kern w:val="2"/>
              </w:rPr>
              <w:t>)</w:t>
            </w:r>
          </w:p>
        </w:tc>
        <w:tc>
          <w:tcPr>
            <w:tcW w:w="3402" w:type="dxa"/>
            <w:tcBorders>
              <w:top w:val="nil"/>
              <w:bottom w:val="single" w:sz="4" w:space="0" w:color="auto"/>
            </w:tcBorders>
            <w:tcMar>
              <w:top w:w="0" w:type="dxa"/>
              <w:left w:w="108" w:type="dxa"/>
              <w:bottom w:w="0" w:type="dxa"/>
              <w:right w:w="108" w:type="dxa"/>
            </w:tcMar>
          </w:tcPr>
          <w:p w14:paraId="2EE5C3FF" w14:textId="77777777" w:rsidR="000B7C9A" w:rsidRPr="00241AB8" w:rsidRDefault="000B7C9A" w:rsidP="00241AB8">
            <w:pPr>
              <w:jc w:val="both"/>
              <w:rPr>
                <w:rFonts w:ascii="Arial" w:hAnsi="Arial" w:cs="Arial"/>
              </w:rPr>
            </w:pPr>
          </w:p>
        </w:tc>
        <w:tc>
          <w:tcPr>
            <w:tcW w:w="2702" w:type="dxa"/>
            <w:tcBorders>
              <w:top w:val="nil"/>
              <w:bottom w:val="single" w:sz="4" w:space="0" w:color="auto"/>
            </w:tcBorders>
            <w:tcMar>
              <w:top w:w="0" w:type="dxa"/>
              <w:left w:w="108" w:type="dxa"/>
              <w:bottom w:w="0" w:type="dxa"/>
              <w:right w:w="108" w:type="dxa"/>
            </w:tcMar>
          </w:tcPr>
          <w:p w14:paraId="3F9CD1BF" w14:textId="77777777" w:rsidR="000B7C9A" w:rsidRPr="00241AB8" w:rsidRDefault="000B7C9A" w:rsidP="00241AB8">
            <w:pPr>
              <w:jc w:val="both"/>
              <w:rPr>
                <w:rFonts w:ascii="Arial" w:hAnsi="Arial" w:cs="Arial"/>
              </w:rPr>
            </w:pPr>
          </w:p>
        </w:tc>
        <w:tc>
          <w:tcPr>
            <w:tcW w:w="1641" w:type="dxa"/>
            <w:tcBorders>
              <w:top w:val="nil"/>
              <w:bottom w:val="single" w:sz="4" w:space="0" w:color="auto"/>
            </w:tcBorders>
            <w:tcMar>
              <w:top w:w="0" w:type="dxa"/>
              <w:left w:w="108" w:type="dxa"/>
              <w:bottom w:w="0" w:type="dxa"/>
              <w:right w:w="108" w:type="dxa"/>
            </w:tcMar>
          </w:tcPr>
          <w:p w14:paraId="7E276A7E" w14:textId="77777777" w:rsidR="000B7C9A" w:rsidRPr="00241AB8" w:rsidRDefault="000B7C9A" w:rsidP="00241AB8">
            <w:pPr>
              <w:jc w:val="both"/>
              <w:rPr>
                <w:rFonts w:ascii="Arial" w:hAnsi="Arial" w:cs="Arial"/>
              </w:rPr>
            </w:pPr>
          </w:p>
        </w:tc>
      </w:tr>
      <w:tr w:rsidR="000B7C9A" w:rsidRPr="00241AB8" w14:paraId="1FA997DE" w14:textId="77777777" w:rsidTr="00273016">
        <w:tc>
          <w:tcPr>
            <w:tcW w:w="1620" w:type="dxa"/>
            <w:tcBorders>
              <w:top w:val="single" w:sz="4" w:space="0" w:color="auto"/>
            </w:tcBorders>
            <w:tcMar>
              <w:top w:w="0" w:type="dxa"/>
              <w:left w:w="108" w:type="dxa"/>
              <w:bottom w:w="0" w:type="dxa"/>
              <w:right w:w="108" w:type="dxa"/>
            </w:tcMar>
          </w:tcPr>
          <w:p w14:paraId="6E303641" w14:textId="77777777" w:rsidR="000B7C9A" w:rsidRPr="00241AB8" w:rsidRDefault="000B7C9A" w:rsidP="00241AB8">
            <w:pPr>
              <w:spacing w:after="160"/>
              <w:jc w:val="both"/>
              <w:rPr>
                <w:rFonts w:ascii="Arial" w:hAnsi="Arial" w:cs="Arial"/>
              </w:rPr>
            </w:pPr>
            <w:r w:rsidRPr="00241AB8">
              <w:rPr>
                <w:rFonts w:ascii="Arial" w:hAnsi="Arial" w:cs="Arial"/>
                <w:kern w:val="2"/>
              </w:rPr>
              <w:t>18–29</w:t>
            </w:r>
            <w:r w:rsidRPr="00241AB8">
              <w:rPr>
                <w:rFonts w:ascii="Arial" w:hAnsi="Arial" w:cs="Arial"/>
              </w:rPr>
              <w:tab/>
              <w:t xml:space="preserve">                       </w:t>
            </w:r>
          </w:p>
        </w:tc>
        <w:tc>
          <w:tcPr>
            <w:tcW w:w="3402" w:type="dxa"/>
            <w:tcBorders>
              <w:top w:val="single" w:sz="4" w:space="0" w:color="auto"/>
            </w:tcBorders>
            <w:tcMar>
              <w:top w:w="0" w:type="dxa"/>
              <w:left w:w="108" w:type="dxa"/>
              <w:bottom w:w="0" w:type="dxa"/>
              <w:right w:w="108" w:type="dxa"/>
            </w:tcMar>
          </w:tcPr>
          <w:p w14:paraId="4A9E4629" w14:textId="77777777" w:rsidR="000B7C9A" w:rsidRPr="00241AB8" w:rsidRDefault="000B7C9A" w:rsidP="00241AB8">
            <w:pPr>
              <w:spacing w:after="160"/>
              <w:jc w:val="both"/>
              <w:rPr>
                <w:rFonts w:ascii="Arial" w:hAnsi="Arial" w:cs="Arial"/>
              </w:rPr>
            </w:pPr>
            <w:r w:rsidRPr="00241AB8">
              <w:rPr>
                <w:rFonts w:ascii="Arial" w:hAnsi="Arial" w:cs="Arial"/>
              </w:rPr>
              <w:t xml:space="preserve">                   8</w:t>
            </w:r>
            <w:r w:rsidRPr="00241AB8">
              <w:rPr>
                <w:rFonts w:ascii="Arial" w:hAnsi="Arial" w:cs="Arial"/>
                <w:kern w:val="2"/>
              </w:rPr>
              <w:t xml:space="preserve"> (27%)</w:t>
            </w:r>
            <w:r w:rsidRPr="00241AB8">
              <w:rPr>
                <w:rFonts w:ascii="Arial" w:hAnsi="Arial" w:cs="Arial"/>
              </w:rPr>
              <w:tab/>
              <w:t xml:space="preserve">                           </w:t>
            </w:r>
          </w:p>
        </w:tc>
        <w:tc>
          <w:tcPr>
            <w:tcW w:w="2702" w:type="dxa"/>
            <w:tcBorders>
              <w:top w:val="single" w:sz="4" w:space="0" w:color="auto"/>
            </w:tcBorders>
            <w:tcMar>
              <w:top w:w="0" w:type="dxa"/>
              <w:left w:w="108" w:type="dxa"/>
              <w:bottom w:w="0" w:type="dxa"/>
              <w:right w:w="108" w:type="dxa"/>
            </w:tcMar>
          </w:tcPr>
          <w:p w14:paraId="34F67820" w14:textId="77777777" w:rsidR="000B7C9A" w:rsidRPr="00241AB8" w:rsidRDefault="000B7C9A" w:rsidP="00241AB8">
            <w:pPr>
              <w:spacing w:after="160"/>
              <w:jc w:val="both"/>
              <w:rPr>
                <w:rFonts w:ascii="Arial" w:hAnsi="Arial" w:cs="Arial"/>
              </w:rPr>
            </w:pPr>
            <w:r w:rsidRPr="00241AB8">
              <w:rPr>
                <w:rFonts w:ascii="Arial" w:hAnsi="Arial" w:cs="Arial"/>
              </w:rPr>
              <w:t xml:space="preserve">             7 </w:t>
            </w:r>
            <w:r w:rsidRPr="00241AB8">
              <w:rPr>
                <w:rFonts w:ascii="Arial" w:hAnsi="Arial" w:cs="Arial"/>
                <w:kern w:val="2"/>
              </w:rPr>
              <w:t>(23%)</w:t>
            </w:r>
          </w:p>
        </w:tc>
        <w:tc>
          <w:tcPr>
            <w:tcW w:w="1641" w:type="dxa"/>
            <w:tcBorders>
              <w:top w:val="single" w:sz="4" w:space="0" w:color="auto"/>
            </w:tcBorders>
            <w:tcMar>
              <w:top w:w="0" w:type="dxa"/>
              <w:left w:w="108" w:type="dxa"/>
              <w:bottom w:w="0" w:type="dxa"/>
              <w:right w:w="108" w:type="dxa"/>
            </w:tcMar>
          </w:tcPr>
          <w:p w14:paraId="6E6B264F" w14:textId="77777777" w:rsidR="000B7C9A" w:rsidRPr="00241AB8" w:rsidRDefault="000B7C9A" w:rsidP="00241AB8">
            <w:pPr>
              <w:spacing w:after="160"/>
              <w:jc w:val="both"/>
              <w:rPr>
                <w:rFonts w:ascii="Arial" w:hAnsi="Arial" w:cs="Arial"/>
              </w:rPr>
            </w:pPr>
            <w:r w:rsidRPr="00241AB8">
              <w:rPr>
                <w:rFonts w:ascii="Arial" w:hAnsi="Arial" w:cs="Arial"/>
              </w:rPr>
              <w:t xml:space="preserve">    15 </w:t>
            </w:r>
            <w:r w:rsidRPr="00241AB8">
              <w:rPr>
                <w:rFonts w:ascii="Arial" w:hAnsi="Arial" w:cs="Arial"/>
                <w:kern w:val="2"/>
              </w:rPr>
              <w:t>(25%)</w:t>
            </w:r>
          </w:p>
        </w:tc>
      </w:tr>
      <w:tr w:rsidR="000B7C9A" w:rsidRPr="00241AB8" w14:paraId="4FA4A0A8" w14:textId="77777777" w:rsidTr="00273016">
        <w:tc>
          <w:tcPr>
            <w:tcW w:w="1620" w:type="dxa"/>
            <w:tcMar>
              <w:top w:w="0" w:type="dxa"/>
              <w:left w:w="108" w:type="dxa"/>
              <w:bottom w:w="0" w:type="dxa"/>
              <w:right w:w="108" w:type="dxa"/>
            </w:tcMar>
          </w:tcPr>
          <w:p w14:paraId="4833DA2B" w14:textId="77777777" w:rsidR="000B7C9A" w:rsidRPr="00241AB8" w:rsidRDefault="000B7C9A" w:rsidP="00241AB8">
            <w:pPr>
              <w:spacing w:after="160"/>
              <w:jc w:val="both"/>
              <w:rPr>
                <w:rFonts w:ascii="Arial" w:hAnsi="Arial" w:cs="Arial"/>
              </w:rPr>
            </w:pPr>
            <w:r w:rsidRPr="00241AB8">
              <w:rPr>
                <w:rFonts w:ascii="Arial" w:hAnsi="Arial" w:cs="Arial"/>
                <w:kern w:val="2"/>
              </w:rPr>
              <w:t>30–39</w:t>
            </w:r>
          </w:p>
        </w:tc>
        <w:tc>
          <w:tcPr>
            <w:tcW w:w="3402" w:type="dxa"/>
            <w:tcMar>
              <w:top w:w="0" w:type="dxa"/>
              <w:left w:w="108" w:type="dxa"/>
              <w:bottom w:w="0" w:type="dxa"/>
              <w:right w:w="108" w:type="dxa"/>
            </w:tcMar>
          </w:tcPr>
          <w:p w14:paraId="08457825" w14:textId="77777777" w:rsidR="000B7C9A" w:rsidRPr="00241AB8" w:rsidRDefault="000B7C9A" w:rsidP="00241AB8">
            <w:pPr>
              <w:spacing w:after="160"/>
              <w:jc w:val="both"/>
              <w:rPr>
                <w:rFonts w:ascii="Arial" w:hAnsi="Arial" w:cs="Arial"/>
              </w:rPr>
            </w:pPr>
            <w:r w:rsidRPr="00241AB8">
              <w:rPr>
                <w:rFonts w:ascii="Arial" w:hAnsi="Arial" w:cs="Arial"/>
              </w:rPr>
              <w:t xml:space="preserve">                  13 </w:t>
            </w:r>
            <w:r w:rsidRPr="00241AB8">
              <w:rPr>
                <w:rFonts w:ascii="Arial" w:hAnsi="Arial" w:cs="Arial"/>
                <w:kern w:val="2"/>
              </w:rPr>
              <w:t>(43%)</w:t>
            </w:r>
            <w:r w:rsidRPr="00241AB8">
              <w:rPr>
                <w:rFonts w:ascii="Arial" w:hAnsi="Arial" w:cs="Arial"/>
              </w:rPr>
              <w:tab/>
              <w:t xml:space="preserve">                            </w:t>
            </w:r>
          </w:p>
        </w:tc>
        <w:tc>
          <w:tcPr>
            <w:tcW w:w="2702" w:type="dxa"/>
            <w:tcMar>
              <w:top w:w="0" w:type="dxa"/>
              <w:left w:w="108" w:type="dxa"/>
              <w:bottom w:w="0" w:type="dxa"/>
              <w:right w:w="108" w:type="dxa"/>
            </w:tcMar>
          </w:tcPr>
          <w:p w14:paraId="6C1ED2B8" w14:textId="77777777" w:rsidR="000B7C9A" w:rsidRPr="00241AB8" w:rsidRDefault="000B7C9A" w:rsidP="00241AB8">
            <w:pPr>
              <w:spacing w:after="160"/>
              <w:jc w:val="both"/>
              <w:rPr>
                <w:rFonts w:ascii="Arial" w:hAnsi="Arial" w:cs="Arial"/>
              </w:rPr>
            </w:pPr>
            <w:r w:rsidRPr="00241AB8">
              <w:rPr>
                <w:rFonts w:ascii="Arial" w:hAnsi="Arial" w:cs="Arial"/>
                <w:kern w:val="2"/>
              </w:rPr>
              <w:t xml:space="preserve">             18 (60%)            </w:t>
            </w:r>
          </w:p>
        </w:tc>
        <w:tc>
          <w:tcPr>
            <w:tcW w:w="1641" w:type="dxa"/>
            <w:tcMar>
              <w:top w:w="0" w:type="dxa"/>
              <w:left w:w="108" w:type="dxa"/>
              <w:bottom w:w="0" w:type="dxa"/>
              <w:right w:w="108" w:type="dxa"/>
            </w:tcMar>
          </w:tcPr>
          <w:p w14:paraId="7586CE48" w14:textId="77777777" w:rsidR="000B7C9A" w:rsidRPr="00241AB8" w:rsidRDefault="000B7C9A" w:rsidP="00241AB8">
            <w:pPr>
              <w:spacing w:after="160"/>
              <w:jc w:val="both"/>
              <w:rPr>
                <w:rFonts w:ascii="Arial" w:hAnsi="Arial" w:cs="Arial"/>
              </w:rPr>
            </w:pPr>
            <w:r w:rsidRPr="00241AB8">
              <w:rPr>
                <w:rFonts w:ascii="Arial" w:hAnsi="Arial" w:cs="Arial"/>
              </w:rPr>
              <w:t xml:space="preserve">   31 (52%)                                                               </w:t>
            </w:r>
          </w:p>
        </w:tc>
      </w:tr>
      <w:tr w:rsidR="000B7C9A" w:rsidRPr="00241AB8" w14:paraId="5DD6B11A" w14:textId="77777777" w:rsidTr="00273016">
        <w:tc>
          <w:tcPr>
            <w:tcW w:w="1620" w:type="dxa"/>
            <w:tcMar>
              <w:top w:w="0" w:type="dxa"/>
              <w:left w:w="108" w:type="dxa"/>
              <w:bottom w:w="0" w:type="dxa"/>
              <w:right w:w="108" w:type="dxa"/>
            </w:tcMar>
          </w:tcPr>
          <w:p w14:paraId="79B43AA6" w14:textId="77777777" w:rsidR="000B7C9A" w:rsidRPr="00241AB8" w:rsidRDefault="000B7C9A" w:rsidP="00241AB8">
            <w:pPr>
              <w:spacing w:after="160"/>
              <w:jc w:val="both"/>
              <w:rPr>
                <w:rFonts w:ascii="Arial" w:hAnsi="Arial" w:cs="Arial"/>
              </w:rPr>
            </w:pPr>
            <w:r w:rsidRPr="00241AB8">
              <w:rPr>
                <w:rFonts w:ascii="Arial" w:hAnsi="Arial" w:cs="Arial"/>
                <w:kern w:val="2"/>
              </w:rPr>
              <w:t>40–49</w:t>
            </w:r>
            <w:r w:rsidRPr="00241AB8">
              <w:rPr>
                <w:rFonts w:ascii="Arial" w:hAnsi="Arial" w:cs="Arial"/>
              </w:rPr>
              <w:tab/>
              <w:t xml:space="preserve">                       </w:t>
            </w:r>
          </w:p>
        </w:tc>
        <w:tc>
          <w:tcPr>
            <w:tcW w:w="3402" w:type="dxa"/>
            <w:tcMar>
              <w:top w:w="0" w:type="dxa"/>
              <w:left w:w="108" w:type="dxa"/>
              <w:bottom w:w="0" w:type="dxa"/>
              <w:right w:w="108" w:type="dxa"/>
            </w:tcMar>
          </w:tcPr>
          <w:p w14:paraId="123AE88B" w14:textId="77777777" w:rsidR="000B7C9A" w:rsidRPr="00241AB8" w:rsidRDefault="000B7C9A" w:rsidP="00241AB8">
            <w:pPr>
              <w:spacing w:after="160"/>
              <w:jc w:val="both"/>
              <w:rPr>
                <w:rFonts w:ascii="Arial" w:hAnsi="Arial" w:cs="Arial"/>
              </w:rPr>
            </w:pPr>
            <w:r w:rsidRPr="00241AB8">
              <w:rPr>
                <w:rFonts w:ascii="Arial" w:hAnsi="Arial" w:cs="Arial"/>
              </w:rPr>
              <w:t xml:space="preserve">                  6 </w:t>
            </w:r>
            <w:r w:rsidRPr="00241AB8">
              <w:rPr>
                <w:rFonts w:ascii="Arial" w:hAnsi="Arial" w:cs="Arial"/>
                <w:kern w:val="2"/>
              </w:rPr>
              <w:t>(20%)</w:t>
            </w:r>
            <w:r w:rsidRPr="00241AB8">
              <w:rPr>
                <w:rFonts w:ascii="Arial" w:hAnsi="Arial" w:cs="Arial"/>
              </w:rPr>
              <w:tab/>
              <w:t xml:space="preserve">                                           </w:t>
            </w:r>
          </w:p>
        </w:tc>
        <w:tc>
          <w:tcPr>
            <w:tcW w:w="2702" w:type="dxa"/>
            <w:tcMar>
              <w:top w:w="0" w:type="dxa"/>
              <w:left w:w="108" w:type="dxa"/>
              <w:bottom w:w="0" w:type="dxa"/>
              <w:right w:w="108" w:type="dxa"/>
            </w:tcMar>
          </w:tcPr>
          <w:p w14:paraId="78F7E83F" w14:textId="77777777" w:rsidR="000B7C9A" w:rsidRPr="00241AB8" w:rsidRDefault="000B7C9A" w:rsidP="00241AB8">
            <w:pPr>
              <w:spacing w:after="160"/>
              <w:jc w:val="both"/>
              <w:rPr>
                <w:rFonts w:ascii="Arial" w:hAnsi="Arial" w:cs="Arial"/>
              </w:rPr>
            </w:pPr>
            <w:r w:rsidRPr="00241AB8">
              <w:rPr>
                <w:rFonts w:ascii="Arial" w:hAnsi="Arial" w:cs="Arial"/>
              </w:rPr>
              <w:t xml:space="preserve">             3 (10%)                                                                         </w:t>
            </w:r>
          </w:p>
        </w:tc>
        <w:tc>
          <w:tcPr>
            <w:tcW w:w="1641" w:type="dxa"/>
            <w:tcMar>
              <w:top w:w="0" w:type="dxa"/>
              <w:left w:w="108" w:type="dxa"/>
              <w:bottom w:w="0" w:type="dxa"/>
              <w:right w:w="108" w:type="dxa"/>
            </w:tcMar>
          </w:tcPr>
          <w:p w14:paraId="5995AB3A" w14:textId="77777777" w:rsidR="000B7C9A" w:rsidRPr="00241AB8" w:rsidRDefault="000B7C9A" w:rsidP="00241AB8">
            <w:pPr>
              <w:spacing w:after="160"/>
              <w:jc w:val="both"/>
              <w:rPr>
                <w:rFonts w:ascii="Arial" w:hAnsi="Arial" w:cs="Arial"/>
              </w:rPr>
            </w:pPr>
            <w:r w:rsidRPr="00241AB8">
              <w:rPr>
                <w:rFonts w:ascii="Arial" w:hAnsi="Arial" w:cs="Arial"/>
              </w:rPr>
              <w:t xml:space="preserve">   9 </w:t>
            </w:r>
            <w:r w:rsidRPr="00241AB8">
              <w:rPr>
                <w:rFonts w:ascii="Arial" w:hAnsi="Arial" w:cs="Arial"/>
                <w:kern w:val="2"/>
              </w:rPr>
              <w:t>(15%)</w:t>
            </w:r>
          </w:p>
        </w:tc>
      </w:tr>
      <w:tr w:rsidR="000B7C9A" w:rsidRPr="00241AB8" w14:paraId="2D9574BB" w14:textId="77777777" w:rsidTr="00273016">
        <w:tc>
          <w:tcPr>
            <w:tcW w:w="1620" w:type="dxa"/>
            <w:tcMar>
              <w:top w:w="0" w:type="dxa"/>
              <w:left w:w="108" w:type="dxa"/>
              <w:bottom w:w="0" w:type="dxa"/>
              <w:right w:w="108" w:type="dxa"/>
            </w:tcMar>
          </w:tcPr>
          <w:p w14:paraId="105514E8" w14:textId="77777777" w:rsidR="000B7C9A" w:rsidRPr="00241AB8" w:rsidRDefault="000B7C9A" w:rsidP="00241AB8">
            <w:pPr>
              <w:spacing w:after="160"/>
              <w:jc w:val="both"/>
              <w:rPr>
                <w:rFonts w:ascii="Arial" w:hAnsi="Arial" w:cs="Arial"/>
              </w:rPr>
            </w:pPr>
            <w:r w:rsidRPr="00241AB8">
              <w:rPr>
                <w:rFonts w:ascii="Arial" w:hAnsi="Arial" w:cs="Arial"/>
                <w:kern w:val="2"/>
              </w:rPr>
              <w:t>50–59</w:t>
            </w:r>
          </w:p>
        </w:tc>
        <w:tc>
          <w:tcPr>
            <w:tcW w:w="3402" w:type="dxa"/>
            <w:tcMar>
              <w:top w:w="0" w:type="dxa"/>
              <w:left w:w="108" w:type="dxa"/>
              <w:bottom w:w="0" w:type="dxa"/>
              <w:right w:w="108" w:type="dxa"/>
            </w:tcMar>
          </w:tcPr>
          <w:p w14:paraId="2B0FAF52" w14:textId="77777777" w:rsidR="000B7C9A" w:rsidRPr="00241AB8" w:rsidRDefault="000B7C9A" w:rsidP="00241AB8">
            <w:pPr>
              <w:spacing w:after="160"/>
              <w:jc w:val="both"/>
              <w:rPr>
                <w:rFonts w:ascii="Arial" w:hAnsi="Arial" w:cs="Arial"/>
              </w:rPr>
            </w:pPr>
            <w:r w:rsidRPr="00241AB8">
              <w:rPr>
                <w:rFonts w:ascii="Arial" w:hAnsi="Arial" w:cs="Arial"/>
              </w:rPr>
              <w:t xml:space="preserve">                 3 </w:t>
            </w:r>
            <w:r w:rsidRPr="00241AB8">
              <w:rPr>
                <w:rFonts w:ascii="Arial" w:hAnsi="Arial" w:cs="Arial"/>
                <w:kern w:val="2"/>
              </w:rPr>
              <w:t>(10%)</w:t>
            </w:r>
            <w:r w:rsidRPr="00241AB8">
              <w:rPr>
                <w:rFonts w:ascii="Arial" w:hAnsi="Arial" w:cs="Arial"/>
              </w:rPr>
              <w:tab/>
              <w:t xml:space="preserve">                                 </w:t>
            </w:r>
          </w:p>
        </w:tc>
        <w:tc>
          <w:tcPr>
            <w:tcW w:w="2702" w:type="dxa"/>
            <w:tcMar>
              <w:top w:w="0" w:type="dxa"/>
              <w:left w:w="108" w:type="dxa"/>
              <w:bottom w:w="0" w:type="dxa"/>
              <w:right w:w="108" w:type="dxa"/>
            </w:tcMar>
          </w:tcPr>
          <w:p w14:paraId="13C5A89F" w14:textId="77777777" w:rsidR="000B7C9A" w:rsidRPr="00241AB8" w:rsidRDefault="000B7C9A" w:rsidP="00241AB8">
            <w:pPr>
              <w:spacing w:after="160"/>
              <w:jc w:val="both"/>
              <w:rPr>
                <w:rFonts w:ascii="Arial" w:hAnsi="Arial" w:cs="Arial"/>
              </w:rPr>
            </w:pPr>
            <w:r w:rsidRPr="00241AB8">
              <w:rPr>
                <w:rFonts w:ascii="Arial" w:hAnsi="Arial" w:cs="Arial"/>
              </w:rPr>
              <w:t xml:space="preserve">             2 (7%)                            </w:t>
            </w:r>
          </w:p>
        </w:tc>
        <w:tc>
          <w:tcPr>
            <w:tcW w:w="1641" w:type="dxa"/>
            <w:tcMar>
              <w:top w:w="0" w:type="dxa"/>
              <w:left w:w="108" w:type="dxa"/>
              <w:bottom w:w="0" w:type="dxa"/>
              <w:right w:w="108" w:type="dxa"/>
            </w:tcMar>
          </w:tcPr>
          <w:p w14:paraId="20E28859" w14:textId="77777777" w:rsidR="000B7C9A" w:rsidRPr="00241AB8" w:rsidRDefault="000B7C9A" w:rsidP="00241AB8">
            <w:pPr>
              <w:spacing w:after="160"/>
              <w:jc w:val="both"/>
              <w:rPr>
                <w:rFonts w:ascii="Arial" w:hAnsi="Arial" w:cs="Arial"/>
              </w:rPr>
            </w:pPr>
            <w:r w:rsidRPr="00241AB8">
              <w:rPr>
                <w:rFonts w:ascii="Arial" w:hAnsi="Arial" w:cs="Arial"/>
              </w:rPr>
              <w:t xml:space="preserve">    5 </w:t>
            </w:r>
            <w:r w:rsidRPr="00241AB8">
              <w:rPr>
                <w:rFonts w:ascii="Arial" w:hAnsi="Arial" w:cs="Arial"/>
                <w:kern w:val="2"/>
              </w:rPr>
              <w:t>(8%)</w:t>
            </w:r>
          </w:p>
        </w:tc>
      </w:tr>
      <w:tr w:rsidR="000B7C9A" w:rsidRPr="00241AB8" w14:paraId="41908725" w14:textId="77777777" w:rsidTr="00273016">
        <w:tc>
          <w:tcPr>
            <w:tcW w:w="1620" w:type="dxa"/>
            <w:tcMar>
              <w:top w:w="0" w:type="dxa"/>
              <w:left w:w="108" w:type="dxa"/>
              <w:bottom w:w="0" w:type="dxa"/>
              <w:right w:w="108" w:type="dxa"/>
            </w:tcMar>
          </w:tcPr>
          <w:p w14:paraId="59ABFED3" w14:textId="77777777" w:rsidR="000B7C9A" w:rsidRPr="00241AB8" w:rsidRDefault="000B7C9A" w:rsidP="00241AB8">
            <w:pPr>
              <w:spacing w:after="160"/>
              <w:jc w:val="both"/>
              <w:rPr>
                <w:rFonts w:ascii="Arial" w:hAnsi="Arial" w:cs="Arial"/>
              </w:rPr>
            </w:pPr>
            <w:r w:rsidRPr="00241AB8">
              <w:rPr>
                <w:rFonts w:ascii="Arial" w:hAnsi="Arial" w:cs="Arial"/>
                <w:b/>
                <w:bCs/>
              </w:rPr>
              <w:t>Sex</w:t>
            </w:r>
          </w:p>
        </w:tc>
        <w:tc>
          <w:tcPr>
            <w:tcW w:w="3402" w:type="dxa"/>
            <w:tcMar>
              <w:top w:w="0" w:type="dxa"/>
              <w:left w:w="108" w:type="dxa"/>
              <w:bottom w:w="0" w:type="dxa"/>
              <w:right w:w="108" w:type="dxa"/>
            </w:tcMar>
          </w:tcPr>
          <w:p w14:paraId="365BDD23" w14:textId="77777777" w:rsidR="000B7C9A" w:rsidRPr="00241AB8" w:rsidRDefault="000B7C9A" w:rsidP="00241AB8">
            <w:pPr>
              <w:spacing w:after="160"/>
              <w:jc w:val="both"/>
              <w:rPr>
                <w:rFonts w:ascii="Arial" w:hAnsi="Arial" w:cs="Arial"/>
              </w:rPr>
            </w:pPr>
          </w:p>
        </w:tc>
        <w:tc>
          <w:tcPr>
            <w:tcW w:w="2702" w:type="dxa"/>
            <w:tcMar>
              <w:top w:w="0" w:type="dxa"/>
              <w:left w:w="108" w:type="dxa"/>
              <w:bottom w:w="0" w:type="dxa"/>
              <w:right w:w="108" w:type="dxa"/>
            </w:tcMar>
          </w:tcPr>
          <w:p w14:paraId="7D3F648C" w14:textId="77777777" w:rsidR="000B7C9A" w:rsidRPr="00241AB8" w:rsidRDefault="000B7C9A" w:rsidP="00241AB8">
            <w:pPr>
              <w:spacing w:after="160"/>
              <w:jc w:val="both"/>
              <w:rPr>
                <w:rFonts w:ascii="Arial" w:hAnsi="Arial" w:cs="Arial"/>
              </w:rPr>
            </w:pPr>
            <w:r w:rsidRPr="00241AB8">
              <w:rPr>
                <w:rFonts w:ascii="Arial" w:hAnsi="Arial" w:cs="Arial"/>
              </w:rPr>
              <w:tab/>
              <w:t xml:space="preserve">               </w:t>
            </w:r>
          </w:p>
        </w:tc>
        <w:tc>
          <w:tcPr>
            <w:tcW w:w="1641" w:type="dxa"/>
            <w:tcMar>
              <w:top w:w="0" w:type="dxa"/>
              <w:left w:w="108" w:type="dxa"/>
              <w:bottom w:w="0" w:type="dxa"/>
              <w:right w:w="108" w:type="dxa"/>
            </w:tcMar>
          </w:tcPr>
          <w:p w14:paraId="04015117" w14:textId="77777777" w:rsidR="000B7C9A" w:rsidRPr="00241AB8" w:rsidRDefault="000B7C9A" w:rsidP="00241AB8">
            <w:pPr>
              <w:spacing w:after="160"/>
              <w:jc w:val="both"/>
              <w:rPr>
                <w:rFonts w:ascii="Arial" w:hAnsi="Arial" w:cs="Arial"/>
              </w:rPr>
            </w:pPr>
          </w:p>
        </w:tc>
      </w:tr>
      <w:tr w:rsidR="000B7C9A" w:rsidRPr="00241AB8" w14:paraId="7F7D8ACA" w14:textId="77777777" w:rsidTr="00273016">
        <w:tc>
          <w:tcPr>
            <w:tcW w:w="1620" w:type="dxa"/>
            <w:tcMar>
              <w:top w:w="0" w:type="dxa"/>
              <w:left w:w="108" w:type="dxa"/>
              <w:bottom w:w="0" w:type="dxa"/>
              <w:right w:w="108" w:type="dxa"/>
            </w:tcMar>
          </w:tcPr>
          <w:p w14:paraId="609D5B39" w14:textId="77777777" w:rsidR="000B7C9A" w:rsidRPr="00241AB8" w:rsidRDefault="000B7C9A" w:rsidP="00241AB8">
            <w:pPr>
              <w:spacing w:after="160"/>
              <w:jc w:val="both"/>
              <w:rPr>
                <w:rFonts w:ascii="Arial" w:hAnsi="Arial" w:cs="Arial"/>
              </w:rPr>
            </w:pPr>
            <w:r w:rsidRPr="00241AB8">
              <w:rPr>
                <w:rFonts w:ascii="Arial" w:hAnsi="Arial" w:cs="Arial"/>
                <w:kern w:val="2"/>
              </w:rPr>
              <w:t>Male</w:t>
            </w:r>
            <w:r w:rsidRPr="00241AB8">
              <w:rPr>
                <w:rFonts w:ascii="Arial" w:hAnsi="Arial" w:cs="Arial"/>
              </w:rPr>
              <w:tab/>
              <w:t xml:space="preserve">   </w:t>
            </w:r>
          </w:p>
        </w:tc>
        <w:tc>
          <w:tcPr>
            <w:tcW w:w="3402" w:type="dxa"/>
            <w:tcMar>
              <w:top w:w="0" w:type="dxa"/>
              <w:left w:w="108" w:type="dxa"/>
              <w:bottom w:w="0" w:type="dxa"/>
              <w:right w:w="108" w:type="dxa"/>
            </w:tcMar>
          </w:tcPr>
          <w:p w14:paraId="0FC1902C" w14:textId="77777777" w:rsidR="000B7C9A" w:rsidRPr="00241AB8" w:rsidRDefault="000B7C9A" w:rsidP="00241AB8">
            <w:pPr>
              <w:spacing w:after="160"/>
              <w:jc w:val="both"/>
              <w:rPr>
                <w:rFonts w:ascii="Arial" w:hAnsi="Arial" w:cs="Arial"/>
              </w:rPr>
            </w:pPr>
            <w:r w:rsidRPr="00241AB8">
              <w:rPr>
                <w:rFonts w:ascii="Arial" w:hAnsi="Arial" w:cs="Arial"/>
              </w:rPr>
              <w:t xml:space="preserve">                 13</w:t>
            </w:r>
            <w:r w:rsidRPr="00241AB8">
              <w:rPr>
                <w:rFonts w:ascii="Arial" w:hAnsi="Arial" w:cs="Arial"/>
                <w:kern w:val="2"/>
              </w:rPr>
              <w:t>(43%)</w:t>
            </w:r>
          </w:p>
        </w:tc>
        <w:tc>
          <w:tcPr>
            <w:tcW w:w="2702" w:type="dxa"/>
            <w:tcMar>
              <w:top w:w="0" w:type="dxa"/>
              <w:left w:w="108" w:type="dxa"/>
              <w:bottom w:w="0" w:type="dxa"/>
              <w:right w:w="108" w:type="dxa"/>
            </w:tcMar>
          </w:tcPr>
          <w:p w14:paraId="0FC4A222" w14:textId="77777777" w:rsidR="000B7C9A" w:rsidRPr="00241AB8" w:rsidRDefault="000B7C9A" w:rsidP="00241AB8">
            <w:pPr>
              <w:spacing w:after="160"/>
              <w:jc w:val="both"/>
              <w:rPr>
                <w:rFonts w:ascii="Arial" w:hAnsi="Arial" w:cs="Arial"/>
              </w:rPr>
            </w:pPr>
            <w:r w:rsidRPr="00241AB8">
              <w:rPr>
                <w:rFonts w:ascii="Arial" w:hAnsi="Arial" w:cs="Arial"/>
              </w:rPr>
              <w:t xml:space="preserve">              11 (37%)</w:t>
            </w:r>
          </w:p>
        </w:tc>
        <w:tc>
          <w:tcPr>
            <w:tcW w:w="1641" w:type="dxa"/>
            <w:tcMar>
              <w:top w:w="0" w:type="dxa"/>
              <w:left w:w="108" w:type="dxa"/>
              <w:bottom w:w="0" w:type="dxa"/>
              <w:right w:w="108" w:type="dxa"/>
            </w:tcMar>
          </w:tcPr>
          <w:p w14:paraId="058CA408" w14:textId="77777777" w:rsidR="000B7C9A" w:rsidRPr="00241AB8" w:rsidRDefault="000B7C9A" w:rsidP="00241AB8">
            <w:pPr>
              <w:spacing w:after="160"/>
              <w:jc w:val="both"/>
              <w:rPr>
                <w:rFonts w:ascii="Arial" w:hAnsi="Arial" w:cs="Arial"/>
              </w:rPr>
            </w:pPr>
            <w:r w:rsidRPr="00241AB8">
              <w:rPr>
                <w:rFonts w:ascii="Arial" w:hAnsi="Arial" w:cs="Arial"/>
              </w:rPr>
              <w:t xml:space="preserve">   24 (40%)</w:t>
            </w:r>
          </w:p>
        </w:tc>
      </w:tr>
      <w:tr w:rsidR="000B7C9A" w:rsidRPr="00241AB8" w14:paraId="0DC9C673" w14:textId="77777777" w:rsidTr="00273016">
        <w:tc>
          <w:tcPr>
            <w:tcW w:w="1620" w:type="dxa"/>
            <w:tcMar>
              <w:top w:w="0" w:type="dxa"/>
              <w:left w:w="108" w:type="dxa"/>
              <w:bottom w:w="0" w:type="dxa"/>
              <w:right w:w="108" w:type="dxa"/>
            </w:tcMar>
          </w:tcPr>
          <w:p w14:paraId="0E4256F4" w14:textId="77777777" w:rsidR="000B7C9A" w:rsidRPr="00241AB8" w:rsidRDefault="000B7C9A" w:rsidP="00241AB8">
            <w:pPr>
              <w:spacing w:after="160"/>
              <w:jc w:val="both"/>
              <w:rPr>
                <w:rFonts w:ascii="Arial" w:hAnsi="Arial" w:cs="Arial"/>
              </w:rPr>
            </w:pPr>
            <w:r w:rsidRPr="00241AB8">
              <w:rPr>
                <w:rFonts w:ascii="Arial" w:hAnsi="Arial" w:cs="Arial"/>
                <w:kern w:val="2"/>
              </w:rPr>
              <w:t>Female</w:t>
            </w:r>
            <w:r w:rsidRPr="00241AB8">
              <w:rPr>
                <w:rFonts w:ascii="Arial" w:hAnsi="Arial" w:cs="Arial"/>
              </w:rPr>
              <w:tab/>
              <w:t xml:space="preserve">             </w:t>
            </w:r>
          </w:p>
        </w:tc>
        <w:tc>
          <w:tcPr>
            <w:tcW w:w="3402" w:type="dxa"/>
            <w:tcMar>
              <w:top w:w="0" w:type="dxa"/>
              <w:left w:w="108" w:type="dxa"/>
              <w:bottom w:w="0" w:type="dxa"/>
              <w:right w:w="108" w:type="dxa"/>
            </w:tcMar>
          </w:tcPr>
          <w:p w14:paraId="220E93F4" w14:textId="77777777" w:rsidR="000B7C9A" w:rsidRPr="00241AB8" w:rsidRDefault="000B7C9A" w:rsidP="00241AB8">
            <w:pPr>
              <w:spacing w:after="160"/>
              <w:jc w:val="both"/>
              <w:rPr>
                <w:rFonts w:ascii="Arial" w:hAnsi="Arial" w:cs="Arial"/>
              </w:rPr>
            </w:pPr>
            <w:r w:rsidRPr="00241AB8">
              <w:rPr>
                <w:rFonts w:ascii="Arial" w:hAnsi="Arial" w:cs="Arial"/>
              </w:rPr>
              <w:t xml:space="preserve">                 17</w:t>
            </w:r>
            <w:r w:rsidRPr="00241AB8">
              <w:rPr>
                <w:rFonts w:ascii="Arial" w:hAnsi="Arial" w:cs="Arial"/>
                <w:kern w:val="2"/>
              </w:rPr>
              <w:t>(57%)</w:t>
            </w:r>
          </w:p>
        </w:tc>
        <w:tc>
          <w:tcPr>
            <w:tcW w:w="2702" w:type="dxa"/>
            <w:tcMar>
              <w:top w:w="0" w:type="dxa"/>
              <w:left w:w="108" w:type="dxa"/>
              <w:bottom w:w="0" w:type="dxa"/>
              <w:right w:w="108" w:type="dxa"/>
            </w:tcMar>
          </w:tcPr>
          <w:p w14:paraId="244EABCB" w14:textId="77777777" w:rsidR="000B7C9A" w:rsidRPr="00241AB8" w:rsidRDefault="000B7C9A" w:rsidP="00241AB8">
            <w:pPr>
              <w:spacing w:after="160"/>
              <w:jc w:val="both"/>
              <w:rPr>
                <w:rFonts w:ascii="Arial" w:hAnsi="Arial" w:cs="Arial"/>
              </w:rPr>
            </w:pPr>
            <w:r w:rsidRPr="00241AB8">
              <w:rPr>
                <w:rFonts w:ascii="Arial" w:hAnsi="Arial" w:cs="Arial"/>
              </w:rPr>
              <w:t xml:space="preserve">             19 </w:t>
            </w:r>
            <w:r w:rsidRPr="00241AB8">
              <w:rPr>
                <w:rFonts w:ascii="Arial" w:hAnsi="Arial" w:cs="Arial"/>
                <w:kern w:val="2"/>
              </w:rPr>
              <w:t>(63%)</w:t>
            </w:r>
            <w:r w:rsidRPr="00241AB8">
              <w:rPr>
                <w:rFonts w:ascii="Arial" w:hAnsi="Arial" w:cs="Arial"/>
              </w:rPr>
              <w:tab/>
              <w:t xml:space="preserve">                </w:t>
            </w:r>
          </w:p>
        </w:tc>
        <w:tc>
          <w:tcPr>
            <w:tcW w:w="1641" w:type="dxa"/>
            <w:tcMar>
              <w:top w:w="0" w:type="dxa"/>
              <w:left w:w="108" w:type="dxa"/>
              <w:bottom w:w="0" w:type="dxa"/>
              <w:right w:w="108" w:type="dxa"/>
            </w:tcMar>
          </w:tcPr>
          <w:p w14:paraId="79214E67" w14:textId="77777777" w:rsidR="000B7C9A" w:rsidRPr="00241AB8" w:rsidRDefault="000B7C9A" w:rsidP="00241AB8">
            <w:pPr>
              <w:spacing w:after="160"/>
              <w:jc w:val="both"/>
              <w:rPr>
                <w:rFonts w:ascii="Arial" w:hAnsi="Arial" w:cs="Arial"/>
              </w:rPr>
            </w:pPr>
            <w:r w:rsidRPr="00241AB8">
              <w:rPr>
                <w:rFonts w:ascii="Arial" w:hAnsi="Arial" w:cs="Arial"/>
              </w:rPr>
              <w:t xml:space="preserve">   36 </w:t>
            </w:r>
            <w:r w:rsidRPr="00241AB8">
              <w:rPr>
                <w:rFonts w:ascii="Arial" w:hAnsi="Arial" w:cs="Arial"/>
                <w:kern w:val="2"/>
              </w:rPr>
              <w:t>(60%)</w:t>
            </w:r>
          </w:p>
        </w:tc>
      </w:tr>
    </w:tbl>
    <w:p w14:paraId="10CED52A" w14:textId="77777777" w:rsidR="000B7C9A" w:rsidRPr="00241AB8" w:rsidRDefault="000B7C9A" w:rsidP="000B7C9A">
      <w:pPr>
        <w:spacing w:line="480" w:lineRule="auto"/>
        <w:rPr>
          <w:rFonts w:ascii="Arial" w:hAnsi="Arial" w:cs="Arial"/>
        </w:rPr>
      </w:pPr>
    </w:p>
    <w:p w14:paraId="61FF067F" w14:textId="20E0C97B" w:rsidR="000B7C9A" w:rsidRPr="00241AB8" w:rsidRDefault="000B7C9A" w:rsidP="00C608A0">
      <w:pPr>
        <w:spacing w:after="160"/>
        <w:jc w:val="both"/>
        <w:rPr>
          <w:rFonts w:ascii="Arial" w:hAnsi="Arial" w:cs="Arial"/>
        </w:rPr>
      </w:pPr>
      <w:r w:rsidRPr="00241AB8">
        <w:rPr>
          <w:rFonts w:ascii="Arial" w:hAnsi="Arial" w:cs="Arial"/>
          <w:b/>
          <w:bCs/>
          <w:kern w:val="2"/>
        </w:rPr>
        <w:t>Table 2: Clinical Characteristics of ART Patients</w:t>
      </w:r>
    </w:p>
    <w:tbl>
      <w:tblPr>
        <w:tblW w:w="0" w:type="auto"/>
        <w:tblBorders>
          <w:top w:val="single" w:sz="4" w:space="0" w:color="auto"/>
          <w:bottom w:val="single" w:sz="4" w:space="0" w:color="auto"/>
        </w:tblBorders>
        <w:tblLook w:val="04A0" w:firstRow="1" w:lastRow="0" w:firstColumn="1" w:lastColumn="0" w:noHBand="0" w:noVBand="1"/>
      </w:tblPr>
      <w:tblGrid>
        <w:gridCol w:w="2988"/>
        <w:gridCol w:w="2499"/>
        <w:gridCol w:w="2721"/>
      </w:tblGrid>
      <w:tr w:rsidR="000B7C9A" w:rsidRPr="00241AB8" w14:paraId="4D7C8E86" w14:textId="77777777" w:rsidTr="00273016">
        <w:tc>
          <w:tcPr>
            <w:tcW w:w="3256" w:type="dxa"/>
            <w:tcBorders>
              <w:top w:val="single" w:sz="4" w:space="0" w:color="auto"/>
              <w:bottom w:val="single" w:sz="4" w:space="0" w:color="auto"/>
            </w:tcBorders>
            <w:tcMar>
              <w:top w:w="0" w:type="dxa"/>
              <w:left w:w="108" w:type="dxa"/>
              <w:bottom w:w="0" w:type="dxa"/>
              <w:right w:w="108" w:type="dxa"/>
            </w:tcMar>
          </w:tcPr>
          <w:p w14:paraId="0FA9111A" w14:textId="77777777" w:rsidR="000B7C9A" w:rsidRPr="00241AB8" w:rsidRDefault="000B7C9A" w:rsidP="00241AB8">
            <w:pPr>
              <w:rPr>
                <w:rFonts w:ascii="Arial" w:hAnsi="Arial" w:cs="Arial"/>
              </w:rPr>
            </w:pPr>
            <w:r w:rsidRPr="00241AB8">
              <w:rPr>
                <w:rFonts w:ascii="Arial" w:hAnsi="Arial" w:cs="Arial"/>
                <w:b/>
                <w:bCs/>
                <w:kern w:val="2"/>
              </w:rPr>
              <w:t>Variable</w:t>
            </w:r>
          </w:p>
        </w:tc>
        <w:tc>
          <w:tcPr>
            <w:tcW w:w="2754" w:type="dxa"/>
            <w:tcBorders>
              <w:top w:val="single" w:sz="4" w:space="0" w:color="auto"/>
              <w:bottom w:val="single" w:sz="4" w:space="0" w:color="auto"/>
            </w:tcBorders>
            <w:tcMar>
              <w:top w:w="0" w:type="dxa"/>
              <w:left w:w="108" w:type="dxa"/>
              <w:bottom w:w="0" w:type="dxa"/>
              <w:right w:w="108" w:type="dxa"/>
            </w:tcMar>
          </w:tcPr>
          <w:p w14:paraId="6401D98D" w14:textId="77777777" w:rsidR="000B7C9A" w:rsidRPr="00241AB8" w:rsidRDefault="000B7C9A" w:rsidP="00241AB8">
            <w:pPr>
              <w:rPr>
                <w:rFonts w:ascii="Arial" w:hAnsi="Arial" w:cs="Arial"/>
              </w:rPr>
            </w:pPr>
            <w:r w:rsidRPr="00241AB8">
              <w:rPr>
                <w:rFonts w:ascii="Arial" w:hAnsi="Arial" w:cs="Arial"/>
                <w:b/>
                <w:bCs/>
              </w:rPr>
              <w:t xml:space="preserve">       </w:t>
            </w:r>
            <w:r w:rsidRPr="00241AB8">
              <w:rPr>
                <w:rFonts w:ascii="Arial" w:hAnsi="Arial" w:cs="Arial"/>
                <w:b/>
                <w:bCs/>
                <w:kern w:val="2"/>
              </w:rPr>
              <w:t>Frequency (n=30)</w:t>
            </w:r>
            <w:r w:rsidRPr="00241AB8">
              <w:rPr>
                <w:rFonts w:ascii="Arial" w:hAnsi="Arial" w:cs="Arial"/>
              </w:rPr>
              <w:tab/>
            </w:r>
          </w:p>
        </w:tc>
        <w:tc>
          <w:tcPr>
            <w:tcW w:w="3006" w:type="dxa"/>
            <w:tcBorders>
              <w:top w:val="single" w:sz="4" w:space="0" w:color="auto"/>
              <w:bottom w:val="single" w:sz="4" w:space="0" w:color="auto"/>
            </w:tcBorders>
            <w:tcMar>
              <w:top w:w="0" w:type="dxa"/>
              <w:left w:w="108" w:type="dxa"/>
              <w:bottom w:w="0" w:type="dxa"/>
              <w:right w:w="108" w:type="dxa"/>
            </w:tcMar>
          </w:tcPr>
          <w:p w14:paraId="3603DE86" w14:textId="77777777" w:rsidR="000B7C9A" w:rsidRPr="00241AB8" w:rsidRDefault="000B7C9A" w:rsidP="00241AB8">
            <w:pPr>
              <w:spacing w:after="160"/>
              <w:jc w:val="both"/>
              <w:rPr>
                <w:rFonts w:ascii="Arial" w:hAnsi="Arial" w:cs="Arial"/>
              </w:rPr>
            </w:pPr>
            <w:r w:rsidRPr="00241AB8">
              <w:rPr>
                <w:rFonts w:ascii="Arial" w:hAnsi="Arial" w:cs="Arial"/>
                <w:b/>
                <w:bCs/>
              </w:rPr>
              <w:t xml:space="preserve">      </w:t>
            </w:r>
            <w:r w:rsidRPr="00241AB8">
              <w:rPr>
                <w:rFonts w:ascii="Arial" w:hAnsi="Arial" w:cs="Arial"/>
                <w:b/>
                <w:bCs/>
                <w:kern w:val="2"/>
              </w:rPr>
              <w:t>Percentage (%)</w:t>
            </w:r>
          </w:p>
        </w:tc>
      </w:tr>
      <w:tr w:rsidR="000B7C9A" w:rsidRPr="00241AB8" w14:paraId="3BA7C4C3" w14:textId="77777777" w:rsidTr="00273016">
        <w:tc>
          <w:tcPr>
            <w:tcW w:w="3256" w:type="dxa"/>
            <w:tcBorders>
              <w:top w:val="single" w:sz="4" w:space="0" w:color="auto"/>
            </w:tcBorders>
            <w:tcMar>
              <w:top w:w="0" w:type="dxa"/>
              <w:left w:w="108" w:type="dxa"/>
              <w:bottom w:w="0" w:type="dxa"/>
              <w:right w:w="108" w:type="dxa"/>
            </w:tcMar>
          </w:tcPr>
          <w:p w14:paraId="3E748E56" w14:textId="77777777" w:rsidR="000B7C9A" w:rsidRPr="00241AB8" w:rsidRDefault="000B7C9A" w:rsidP="00241AB8">
            <w:pPr>
              <w:rPr>
                <w:rFonts w:ascii="Arial" w:hAnsi="Arial" w:cs="Arial"/>
              </w:rPr>
            </w:pPr>
            <w:r w:rsidRPr="00241AB8">
              <w:rPr>
                <w:rFonts w:ascii="Arial" w:hAnsi="Arial" w:cs="Arial"/>
                <w:kern w:val="2"/>
              </w:rPr>
              <w:t>Duration on ART &lt; 2 years</w:t>
            </w:r>
          </w:p>
        </w:tc>
        <w:tc>
          <w:tcPr>
            <w:tcW w:w="2754" w:type="dxa"/>
            <w:tcBorders>
              <w:top w:val="single" w:sz="4" w:space="0" w:color="auto"/>
            </w:tcBorders>
            <w:tcMar>
              <w:top w:w="0" w:type="dxa"/>
              <w:left w:w="108" w:type="dxa"/>
              <w:bottom w:w="0" w:type="dxa"/>
              <w:right w:w="108" w:type="dxa"/>
            </w:tcMar>
          </w:tcPr>
          <w:p w14:paraId="1885430D" w14:textId="15A3DFFB" w:rsidR="000B7C9A" w:rsidRPr="00241AB8" w:rsidRDefault="000B7C9A" w:rsidP="00241AB8">
            <w:pPr>
              <w:jc w:val="center"/>
              <w:rPr>
                <w:rFonts w:ascii="Arial" w:hAnsi="Arial" w:cs="Arial"/>
              </w:rPr>
            </w:pPr>
            <w:r w:rsidRPr="00241AB8">
              <w:rPr>
                <w:rFonts w:ascii="Arial" w:hAnsi="Arial" w:cs="Arial"/>
              </w:rPr>
              <w:t>9</w:t>
            </w:r>
          </w:p>
        </w:tc>
        <w:tc>
          <w:tcPr>
            <w:tcW w:w="3006" w:type="dxa"/>
            <w:tcBorders>
              <w:top w:val="single" w:sz="4" w:space="0" w:color="auto"/>
            </w:tcBorders>
            <w:tcMar>
              <w:top w:w="0" w:type="dxa"/>
              <w:left w:w="108" w:type="dxa"/>
              <w:bottom w:w="0" w:type="dxa"/>
              <w:right w:w="108" w:type="dxa"/>
            </w:tcMar>
          </w:tcPr>
          <w:p w14:paraId="4B69F9FA" w14:textId="4D8A8E33" w:rsidR="000B7C9A" w:rsidRPr="00241AB8" w:rsidRDefault="000B7C9A" w:rsidP="00241AB8">
            <w:pPr>
              <w:spacing w:after="160"/>
              <w:jc w:val="center"/>
              <w:rPr>
                <w:rFonts w:ascii="Arial" w:hAnsi="Arial" w:cs="Arial"/>
              </w:rPr>
            </w:pPr>
            <w:r w:rsidRPr="00241AB8">
              <w:rPr>
                <w:rFonts w:ascii="Arial" w:hAnsi="Arial" w:cs="Arial"/>
              </w:rPr>
              <w:t>30</w:t>
            </w:r>
            <w:r w:rsidRPr="00241AB8">
              <w:rPr>
                <w:rFonts w:ascii="Arial" w:hAnsi="Arial" w:cs="Arial"/>
                <w:kern w:val="2"/>
              </w:rPr>
              <w:t>%</w:t>
            </w:r>
          </w:p>
        </w:tc>
      </w:tr>
      <w:tr w:rsidR="000B7C9A" w:rsidRPr="00241AB8" w14:paraId="66E9943E" w14:textId="77777777" w:rsidTr="00273016">
        <w:tc>
          <w:tcPr>
            <w:tcW w:w="3256" w:type="dxa"/>
            <w:tcMar>
              <w:top w:w="0" w:type="dxa"/>
              <w:left w:w="108" w:type="dxa"/>
              <w:bottom w:w="0" w:type="dxa"/>
              <w:right w:w="108" w:type="dxa"/>
            </w:tcMar>
          </w:tcPr>
          <w:p w14:paraId="2E34379F" w14:textId="77777777" w:rsidR="000B7C9A" w:rsidRPr="00241AB8" w:rsidRDefault="000B7C9A" w:rsidP="00241AB8">
            <w:pPr>
              <w:rPr>
                <w:rFonts w:ascii="Arial" w:hAnsi="Arial" w:cs="Arial"/>
              </w:rPr>
            </w:pPr>
            <w:r w:rsidRPr="00241AB8">
              <w:rPr>
                <w:rFonts w:ascii="Arial" w:hAnsi="Arial" w:cs="Arial"/>
                <w:kern w:val="2"/>
              </w:rPr>
              <w:t>Duration on ART 2–5 years</w:t>
            </w:r>
          </w:p>
        </w:tc>
        <w:tc>
          <w:tcPr>
            <w:tcW w:w="2754" w:type="dxa"/>
            <w:tcMar>
              <w:top w:w="0" w:type="dxa"/>
              <w:left w:w="108" w:type="dxa"/>
              <w:bottom w:w="0" w:type="dxa"/>
              <w:right w:w="108" w:type="dxa"/>
            </w:tcMar>
          </w:tcPr>
          <w:p w14:paraId="24468CE1" w14:textId="4AD44A98" w:rsidR="000B7C9A" w:rsidRPr="00241AB8" w:rsidRDefault="000B7C9A" w:rsidP="00241AB8">
            <w:pPr>
              <w:jc w:val="center"/>
              <w:rPr>
                <w:rFonts w:ascii="Arial" w:hAnsi="Arial" w:cs="Arial"/>
              </w:rPr>
            </w:pPr>
            <w:r w:rsidRPr="00241AB8">
              <w:rPr>
                <w:rFonts w:ascii="Arial" w:hAnsi="Arial" w:cs="Arial"/>
              </w:rPr>
              <w:t>14</w:t>
            </w:r>
          </w:p>
        </w:tc>
        <w:tc>
          <w:tcPr>
            <w:tcW w:w="3006" w:type="dxa"/>
            <w:tcMar>
              <w:top w:w="0" w:type="dxa"/>
              <w:left w:w="108" w:type="dxa"/>
              <w:bottom w:w="0" w:type="dxa"/>
              <w:right w:w="108" w:type="dxa"/>
            </w:tcMar>
          </w:tcPr>
          <w:p w14:paraId="41975D78" w14:textId="577E127E" w:rsidR="000B7C9A" w:rsidRPr="00241AB8" w:rsidRDefault="000B7C9A" w:rsidP="00241AB8">
            <w:pPr>
              <w:jc w:val="center"/>
              <w:rPr>
                <w:rFonts w:ascii="Arial" w:hAnsi="Arial" w:cs="Arial"/>
              </w:rPr>
            </w:pPr>
            <w:r w:rsidRPr="00241AB8">
              <w:rPr>
                <w:rFonts w:ascii="Arial" w:hAnsi="Arial" w:cs="Arial"/>
              </w:rPr>
              <w:t>47%</w:t>
            </w:r>
          </w:p>
        </w:tc>
      </w:tr>
      <w:tr w:rsidR="000B7C9A" w:rsidRPr="00241AB8" w14:paraId="0BBAE624" w14:textId="77777777" w:rsidTr="00273016">
        <w:tc>
          <w:tcPr>
            <w:tcW w:w="3256" w:type="dxa"/>
            <w:tcMar>
              <w:top w:w="0" w:type="dxa"/>
              <w:left w:w="108" w:type="dxa"/>
              <w:bottom w:w="0" w:type="dxa"/>
              <w:right w:w="108" w:type="dxa"/>
            </w:tcMar>
          </w:tcPr>
          <w:p w14:paraId="29E8EB96" w14:textId="77777777" w:rsidR="000B7C9A" w:rsidRPr="00241AB8" w:rsidRDefault="000B7C9A" w:rsidP="00241AB8">
            <w:pPr>
              <w:rPr>
                <w:rFonts w:ascii="Arial" w:hAnsi="Arial" w:cs="Arial"/>
              </w:rPr>
            </w:pPr>
            <w:r w:rsidRPr="00241AB8">
              <w:rPr>
                <w:rFonts w:ascii="Arial" w:hAnsi="Arial" w:cs="Arial"/>
                <w:kern w:val="2"/>
              </w:rPr>
              <w:t xml:space="preserve">Duration on ART &gt; 5 years          </w:t>
            </w:r>
          </w:p>
        </w:tc>
        <w:tc>
          <w:tcPr>
            <w:tcW w:w="2754" w:type="dxa"/>
            <w:tcMar>
              <w:top w:w="0" w:type="dxa"/>
              <w:left w:w="108" w:type="dxa"/>
              <w:bottom w:w="0" w:type="dxa"/>
              <w:right w:w="108" w:type="dxa"/>
            </w:tcMar>
          </w:tcPr>
          <w:p w14:paraId="67A2A3E5" w14:textId="4D3E7BB7" w:rsidR="000B7C9A" w:rsidRPr="00241AB8" w:rsidRDefault="000B7C9A" w:rsidP="00241AB8">
            <w:pPr>
              <w:jc w:val="center"/>
              <w:rPr>
                <w:rFonts w:ascii="Arial" w:hAnsi="Arial" w:cs="Arial"/>
              </w:rPr>
            </w:pPr>
            <w:r w:rsidRPr="00241AB8">
              <w:rPr>
                <w:rFonts w:ascii="Arial" w:hAnsi="Arial" w:cs="Arial"/>
              </w:rPr>
              <w:t>7</w:t>
            </w:r>
          </w:p>
        </w:tc>
        <w:tc>
          <w:tcPr>
            <w:tcW w:w="3006" w:type="dxa"/>
            <w:tcMar>
              <w:top w:w="0" w:type="dxa"/>
              <w:left w:w="108" w:type="dxa"/>
              <w:bottom w:w="0" w:type="dxa"/>
              <w:right w:w="108" w:type="dxa"/>
            </w:tcMar>
          </w:tcPr>
          <w:p w14:paraId="65767031" w14:textId="1A984F0E" w:rsidR="000B7C9A" w:rsidRPr="00241AB8" w:rsidRDefault="000B7C9A" w:rsidP="00241AB8">
            <w:pPr>
              <w:jc w:val="center"/>
              <w:rPr>
                <w:rFonts w:ascii="Arial" w:hAnsi="Arial" w:cs="Arial"/>
              </w:rPr>
            </w:pPr>
            <w:r w:rsidRPr="00241AB8">
              <w:rPr>
                <w:rFonts w:ascii="Arial" w:hAnsi="Arial" w:cs="Arial"/>
              </w:rPr>
              <w:t>23%</w:t>
            </w:r>
          </w:p>
        </w:tc>
      </w:tr>
      <w:tr w:rsidR="000B7C9A" w:rsidRPr="00241AB8" w14:paraId="58E1FBBA" w14:textId="77777777" w:rsidTr="00273016">
        <w:tc>
          <w:tcPr>
            <w:tcW w:w="3256" w:type="dxa"/>
            <w:tcMar>
              <w:top w:w="0" w:type="dxa"/>
              <w:left w:w="108" w:type="dxa"/>
              <w:bottom w:w="0" w:type="dxa"/>
              <w:right w:w="108" w:type="dxa"/>
            </w:tcMar>
          </w:tcPr>
          <w:p w14:paraId="1C1B9A7E" w14:textId="77777777" w:rsidR="000B7C9A" w:rsidRPr="00241AB8" w:rsidRDefault="000B7C9A" w:rsidP="00241AB8">
            <w:pPr>
              <w:rPr>
                <w:rFonts w:ascii="Arial" w:hAnsi="Arial" w:cs="Arial"/>
              </w:rPr>
            </w:pPr>
            <w:r w:rsidRPr="00241AB8">
              <w:rPr>
                <w:rFonts w:ascii="Arial" w:hAnsi="Arial" w:cs="Arial"/>
                <w:kern w:val="2"/>
              </w:rPr>
              <w:lastRenderedPageBreak/>
              <w:t xml:space="preserve">ART regimen (TDF/3TC/EFV)    </w:t>
            </w:r>
          </w:p>
        </w:tc>
        <w:tc>
          <w:tcPr>
            <w:tcW w:w="2754" w:type="dxa"/>
            <w:tcMar>
              <w:top w:w="0" w:type="dxa"/>
              <w:left w:w="108" w:type="dxa"/>
              <w:bottom w:w="0" w:type="dxa"/>
              <w:right w:w="108" w:type="dxa"/>
            </w:tcMar>
          </w:tcPr>
          <w:p w14:paraId="6A029C14" w14:textId="711CF4CB" w:rsidR="000B7C9A" w:rsidRPr="00241AB8" w:rsidRDefault="000B7C9A" w:rsidP="00241AB8">
            <w:pPr>
              <w:jc w:val="center"/>
              <w:rPr>
                <w:rFonts w:ascii="Arial" w:hAnsi="Arial" w:cs="Arial"/>
              </w:rPr>
            </w:pPr>
            <w:r w:rsidRPr="00241AB8">
              <w:rPr>
                <w:rFonts w:ascii="Arial" w:hAnsi="Arial" w:cs="Arial"/>
              </w:rPr>
              <w:t>16</w:t>
            </w:r>
          </w:p>
        </w:tc>
        <w:tc>
          <w:tcPr>
            <w:tcW w:w="3006" w:type="dxa"/>
            <w:tcMar>
              <w:top w:w="0" w:type="dxa"/>
              <w:left w:w="108" w:type="dxa"/>
              <w:bottom w:w="0" w:type="dxa"/>
              <w:right w:w="108" w:type="dxa"/>
            </w:tcMar>
          </w:tcPr>
          <w:p w14:paraId="012A8FF9" w14:textId="601D9969" w:rsidR="000B7C9A" w:rsidRPr="00241AB8" w:rsidRDefault="000B7C9A" w:rsidP="00241AB8">
            <w:pPr>
              <w:jc w:val="center"/>
              <w:rPr>
                <w:rFonts w:ascii="Arial" w:hAnsi="Arial" w:cs="Arial"/>
              </w:rPr>
            </w:pPr>
            <w:r w:rsidRPr="00241AB8">
              <w:rPr>
                <w:rFonts w:ascii="Arial" w:hAnsi="Arial" w:cs="Arial"/>
              </w:rPr>
              <w:t>53%</w:t>
            </w:r>
          </w:p>
        </w:tc>
      </w:tr>
      <w:tr w:rsidR="000B7C9A" w:rsidRPr="00241AB8" w14:paraId="68D9F185" w14:textId="77777777" w:rsidTr="00273016">
        <w:tc>
          <w:tcPr>
            <w:tcW w:w="3256" w:type="dxa"/>
            <w:tcMar>
              <w:top w:w="0" w:type="dxa"/>
              <w:left w:w="108" w:type="dxa"/>
              <w:bottom w:w="0" w:type="dxa"/>
              <w:right w:w="108" w:type="dxa"/>
            </w:tcMar>
          </w:tcPr>
          <w:p w14:paraId="7082F838" w14:textId="77777777" w:rsidR="000B7C9A" w:rsidRPr="00241AB8" w:rsidRDefault="000B7C9A" w:rsidP="00241AB8">
            <w:pPr>
              <w:rPr>
                <w:rFonts w:ascii="Arial" w:hAnsi="Arial" w:cs="Arial"/>
              </w:rPr>
            </w:pPr>
            <w:r w:rsidRPr="00241AB8">
              <w:rPr>
                <w:rFonts w:ascii="Arial" w:hAnsi="Arial" w:cs="Arial"/>
                <w:kern w:val="2"/>
              </w:rPr>
              <w:t xml:space="preserve">ART regimen (TDF/3TC/DTG)   </w:t>
            </w:r>
          </w:p>
        </w:tc>
        <w:tc>
          <w:tcPr>
            <w:tcW w:w="2754" w:type="dxa"/>
            <w:tcMar>
              <w:top w:w="0" w:type="dxa"/>
              <w:left w:w="108" w:type="dxa"/>
              <w:bottom w:w="0" w:type="dxa"/>
              <w:right w:w="108" w:type="dxa"/>
            </w:tcMar>
          </w:tcPr>
          <w:p w14:paraId="6B7965FE" w14:textId="7EE7FD5D" w:rsidR="000B7C9A" w:rsidRPr="00241AB8" w:rsidRDefault="000B7C9A" w:rsidP="00241AB8">
            <w:pPr>
              <w:jc w:val="center"/>
              <w:rPr>
                <w:rFonts w:ascii="Arial" w:hAnsi="Arial" w:cs="Arial"/>
              </w:rPr>
            </w:pPr>
            <w:r w:rsidRPr="00241AB8">
              <w:rPr>
                <w:rFonts w:ascii="Arial" w:hAnsi="Arial" w:cs="Arial"/>
              </w:rPr>
              <w:t>8</w:t>
            </w:r>
          </w:p>
        </w:tc>
        <w:tc>
          <w:tcPr>
            <w:tcW w:w="3006" w:type="dxa"/>
            <w:tcMar>
              <w:top w:w="0" w:type="dxa"/>
              <w:left w:w="108" w:type="dxa"/>
              <w:bottom w:w="0" w:type="dxa"/>
              <w:right w:w="108" w:type="dxa"/>
            </w:tcMar>
          </w:tcPr>
          <w:p w14:paraId="2B4A9F9C" w14:textId="6A933C5D" w:rsidR="000B7C9A" w:rsidRPr="00241AB8" w:rsidRDefault="000B7C9A" w:rsidP="00241AB8">
            <w:pPr>
              <w:jc w:val="center"/>
              <w:rPr>
                <w:rFonts w:ascii="Arial" w:hAnsi="Arial" w:cs="Arial"/>
              </w:rPr>
            </w:pPr>
            <w:r w:rsidRPr="00241AB8">
              <w:rPr>
                <w:rFonts w:ascii="Arial" w:hAnsi="Arial" w:cs="Arial"/>
              </w:rPr>
              <w:t>27%</w:t>
            </w:r>
          </w:p>
        </w:tc>
      </w:tr>
      <w:tr w:rsidR="000B7C9A" w:rsidRPr="00241AB8" w14:paraId="04A5609D" w14:textId="77777777" w:rsidTr="00273016">
        <w:tc>
          <w:tcPr>
            <w:tcW w:w="3256" w:type="dxa"/>
            <w:tcMar>
              <w:top w:w="0" w:type="dxa"/>
              <w:left w:w="108" w:type="dxa"/>
              <w:bottom w:w="0" w:type="dxa"/>
              <w:right w:w="108" w:type="dxa"/>
            </w:tcMar>
          </w:tcPr>
          <w:p w14:paraId="0C1370F5" w14:textId="77777777" w:rsidR="000B7C9A" w:rsidRPr="00241AB8" w:rsidRDefault="000B7C9A" w:rsidP="00241AB8">
            <w:pPr>
              <w:rPr>
                <w:rFonts w:ascii="Arial" w:hAnsi="Arial" w:cs="Arial"/>
              </w:rPr>
            </w:pPr>
            <w:r w:rsidRPr="00241AB8">
              <w:rPr>
                <w:rFonts w:ascii="Arial" w:hAnsi="Arial" w:cs="Arial"/>
                <w:kern w:val="2"/>
              </w:rPr>
              <w:t xml:space="preserve">ART regimen (Others)                  </w:t>
            </w:r>
          </w:p>
        </w:tc>
        <w:tc>
          <w:tcPr>
            <w:tcW w:w="2754" w:type="dxa"/>
            <w:tcMar>
              <w:top w:w="0" w:type="dxa"/>
              <w:left w:w="108" w:type="dxa"/>
              <w:bottom w:w="0" w:type="dxa"/>
              <w:right w:w="108" w:type="dxa"/>
            </w:tcMar>
          </w:tcPr>
          <w:p w14:paraId="60E12139" w14:textId="24EFCF19" w:rsidR="000B7C9A" w:rsidRPr="00241AB8" w:rsidRDefault="000B7C9A" w:rsidP="00241AB8">
            <w:pPr>
              <w:jc w:val="center"/>
              <w:rPr>
                <w:rFonts w:ascii="Arial" w:hAnsi="Arial" w:cs="Arial"/>
              </w:rPr>
            </w:pPr>
            <w:r w:rsidRPr="00241AB8">
              <w:rPr>
                <w:rFonts w:ascii="Arial" w:hAnsi="Arial" w:cs="Arial"/>
              </w:rPr>
              <w:t>6</w:t>
            </w:r>
          </w:p>
        </w:tc>
        <w:tc>
          <w:tcPr>
            <w:tcW w:w="3006" w:type="dxa"/>
            <w:tcMar>
              <w:top w:w="0" w:type="dxa"/>
              <w:left w:w="108" w:type="dxa"/>
              <w:bottom w:w="0" w:type="dxa"/>
              <w:right w:w="108" w:type="dxa"/>
            </w:tcMar>
          </w:tcPr>
          <w:p w14:paraId="37C466B8" w14:textId="2D7FB937" w:rsidR="000B7C9A" w:rsidRPr="00241AB8" w:rsidRDefault="000B7C9A" w:rsidP="00241AB8">
            <w:pPr>
              <w:jc w:val="center"/>
              <w:rPr>
                <w:rFonts w:ascii="Arial" w:hAnsi="Arial" w:cs="Arial"/>
              </w:rPr>
            </w:pPr>
            <w:r w:rsidRPr="00241AB8">
              <w:rPr>
                <w:rFonts w:ascii="Arial" w:hAnsi="Arial" w:cs="Arial"/>
              </w:rPr>
              <w:t>20%</w:t>
            </w:r>
          </w:p>
        </w:tc>
      </w:tr>
    </w:tbl>
    <w:p w14:paraId="57780A40" w14:textId="77777777" w:rsidR="000B7C9A" w:rsidRPr="00241AB8" w:rsidRDefault="000B7C9A" w:rsidP="000B7C9A">
      <w:pPr>
        <w:spacing w:line="480" w:lineRule="auto"/>
        <w:rPr>
          <w:rFonts w:ascii="Arial" w:hAnsi="Arial" w:cs="Arial"/>
        </w:rPr>
      </w:pPr>
    </w:p>
    <w:p w14:paraId="2CE29A1A" w14:textId="0FCCBFA5" w:rsidR="000B7C9A" w:rsidRPr="00241AB8" w:rsidRDefault="000B7C9A" w:rsidP="00C608A0">
      <w:pPr>
        <w:spacing w:after="160"/>
        <w:jc w:val="both"/>
        <w:rPr>
          <w:rFonts w:ascii="Arial" w:hAnsi="Arial" w:cs="Arial"/>
        </w:rPr>
      </w:pPr>
      <w:r w:rsidRPr="004F3B7E">
        <w:rPr>
          <w:rFonts w:ascii="Arial" w:hAnsi="Arial" w:cs="Arial"/>
          <w:b/>
          <w:bCs/>
          <w:kern w:val="2"/>
        </w:rPr>
        <w:t>Table 3:</w:t>
      </w:r>
      <w:r w:rsidRPr="00241AB8">
        <w:rPr>
          <w:rFonts w:ascii="Arial" w:hAnsi="Arial" w:cs="Arial"/>
          <w:kern w:val="2"/>
        </w:rPr>
        <w:t xml:space="preserve"> </w:t>
      </w:r>
      <w:r w:rsidRPr="00241AB8">
        <w:rPr>
          <w:rFonts w:ascii="Arial" w:hAnsi="Arial" w:cs="Arial"/>
          <w:b/>
          <w:bCs/>
          <w:kern w:val="2"/>
        </w:rPr>
        <w:t>Serum Calcium Levels in Naïve and ART Patients</w:t>
      </w:r>
    </w:p>
    <w:tbl>
      <w:tblPr>
        <w:tblW w:w="8511" w:type="dxa"/>
        <w:tblInd w:w="-289" w:type="dxa"/>
        <w:tblBorders>
          <w:top w:val="single" w:sz="4" w:space="0" w:color="auto"/>
          <w:bottom w:val="single" w:sz="4" w:space="0" w:color="auto"/>
        </w:tblBorders>
        <w:tblLook w:val="04A0" w:firstRow="1" w:lastRow="0" w:firstColumn="1" w:lastColumn="0" w:noHBand="0" w:noVBand="1"/>
      </w:tblPr>
      <w:tblGrid>
        <w:gridCol w:w="2127"/>
        <w:gridCol w:w="2552"/>
        <w:gridCol w:w="2126"/>
        <w:gridCol w:w="1706"/>
      </w:tblGrid>
      <w:tr w:rsidR="000B7C9A" w:rsidRPr="00241AB8" w14:paraId="52218AB3" w14:textId="77777777" w:rsidTr="004F3B7E">
        <w:tc>
          <w:tcPr>
            <w:tcW w:w="2127" w:type="dxa"/>
            <w:tcBorders>
              <w:top w:val="single" w:sz="4" w:space="0" w:color="auto"/>
              <w:bottom w:val="single" w:sz="4" w:space="0" w:color="auto"/>
            </w:tcBorders>
            <w:tcMar>
              <w:top w:w="0" w:type="dxa"/>
              <w:left w:w="108" w:type="dxa"/>
              <w:bottom w:w="0" w:type="dxa"/>
              <w:right w:w="108" w:type="dxa"/>
            </w:tcMar>
          </w:tcPr>
          <w:p w14:paraId="0C3EAF57" w14:textId="77777777" w:rsidR="000B7C9A" w:rsidRPr="00241AB8" w:rsidRDefault="000B7C9A" w:rsidP="004F3B7E">
            <w:pPr>
              <w:spacing w:after="160"/>
              <w:jc w:val="both"/>
              <w:rPr>
                <w:rFonts w:ascii="Arial" w:hAnsi="Arial" w:cs="Arial"/>
              </w:rPr>
            </w:pPr>
            <w:r w:rsidRPr="00241AB8">
              <w:rPr>
                <w:rFonts w:ascii="Arial" w:hAnsi="Arial" w:cs="Arial"/>
                <w:kern w:val="2"/>
              </w:rPr>
              <w:t>Group</w:t>
            </w:r>
            <w:r w:rsidRPr="00241AB8">
              <w:rPr>
                <w:rFonts w:ascii="Arial" w:hAnsi="Arial" w:cs="Arial"/>
              </w:rPr>
              <w:tab/>
              <w:t xml:space="preserve">                </w:t>
            </w:r>
          </w:p>
        </w:tc>
        <w:tc>
          <w:tcPr>
            <w:tcW w:w="2552" w:type="dxa"/>
            <w:tcBorders>
              <w:top w:val="single" w:sz="4" w:space="0" w:color="auto"/>
              <w:bottom w:val="single" w:sz="4" w:space="0" w:color="auto"/>
            </w:tcBorders>
            <w:tcMar>
              <w:top w:w="0" w:type="dxa"/>
              <w:left w:w="108" w:type="dxa"/>
              <w:bottom w:w="0" w:type="dxa"/>
              <w:right w:w="108" w:type="dxa"/>
            </w:tcMar>
          </w:tcPr>
          <w:p w14:paraId="5BD9528D" w14:textId="77777777" w:rsidR="000B7C9A" w:rsidRPr="00241AB8" w:rsidRDefault="000B7C9A" w:rsidP="004F3B7E">
            <w:pPr>
              <w:spacing w:after="160"/>
              <w:jc w:val="center"/>
              <w:rPr>
                <w:rFonts w:ascii="Arial" w:hAnsi="Arial" w:cs="Arial"/>
                <w:b/>
              </w:rPr>
            </w:pPr>
            <w:r w:rsidRPr="00241AB8">
              <w:rPr>
                <w:rFonts w:ascii="Arial" w:hAnsi="Arial" w:cs="Arial"/>
                <w:b/>
              </w:rPr>
              <w:t xml:space="preserve">Mean </w:t>
            </w:r>
            <m:oMath>
              <m:r>
                <m:rPr>
                  <m:sty m:val="bi"/>
                </m:rPr>
                <w:rPr>
                  <w:rFonts w:ascii="Cambria Math" w:hAnsi="Cambria Math" w:cs="Arial"/>
                </w:rPr>
                <m:t>±</m:t>
              </m:r>
            </m:oMath>
            <w:r w:rsidRPr="00241AB8">
              <w:rPr>
                <w:rFonts w:ascii="Arial" w:hAnsi="Arial" w:cs="Arial"/>
                <w:b/>
              </w:rPr>
              <w:t xml:space="preserve"> SD</w:t>
            </w:r>
          </w:p>
        </w:tc>
        <w:tc>
          <w:tcPr>
            <w:tcW w:w="2126" w:type="dxa"/>
            <w:tcBorders>
              <w:top w:val="single" w:sz="4" w:space="0" w:color="auto"/>
              <w:bottom w:val="single" w:sz="4" w:space="0" w:color="auto"/>
            </w:tcBorders>
            <w:tcMar>
              <w:top w:w="0" w:type="dxa"/>
              <w:left w:w="108" w:type="dxa"/>
              <w:bottom w:w="0" w:type="dxa"/>
              <w:right w:w="108" w:type="dxa"/>
            </w:tcMar>
          </w:tcPr>
          <w:p w14:paraId="3B40E309" w14:textId="77777777" w:rsidR="000B7C9A" w:rsidRPr="00241AB8" w:rsidRDefault="000B7C9A" w:rsidP="004F3B7E">
            <w:pPr>
              <w:spacing w:after="160"/>
              <w:jc w:val="center"/>
              <w:rPr>
                <w:rFonts w:ascii="Arial" w:hAnsi="Arial" w:cs="Arial"/>
              </w:rPr>
            </w:pPr>
            <w:r w:rsidRPr="00241AB8">
              <w:rPr>
                <w:rFonts w:ascii="Arial" w:hAnsi="Arial" w:cs="Arial"/>
                <w:b/>
                <w:bCs/>
                <w:kern w:val="2"/>
              </w:rPr>
              <w:t>P-value</w:t>
            </w:r>
          </w:p>
        </w:tc>
        <w:tc>
          <w:tcPr>
            <w:tcW w:w="1706" w:type="dxa"/>
            <w:tcBorders>
              <w:top w:val="single" w:sz="4" w:space="0" w:color="auto"/>
              <w:bottom w:val="single" w:sz="4" w:space="0" w:color="auto"/>
            </w:tcBorders>
            <w:tcMar>
              <w:top w:w="0" w:type="dxa"/>
              <w:left w:w="108" w:type="dxa"/>
              <w:bottom w:w="0" w:type="dxa"/>
              <w:right w:w="108" w:type="dxa"/>
            </w:tcMar>
          </w:tcPr>
          <w:p w14:paraId="435294C1" w14:textId="77777777" w:rsidR="000B7C9A" w:rsidRPr="00241AB8" w:rsidRDefault="000B7C9A" w:rsidP="004F3B7E">
            <w:pPr>
              <w:spacing w:after="160"/>
              <w:jc w:val="center"/>
              <w:rPr>
                <w:rFonts w:ascii="Arial" w:hAnsi="Arial" w:cs="Arial"/>
                <w:b/>
              </w:rPr>
            </w:pPr>
            <w:r w:rsidRPr="00241AB8">
              <w:rPr>
                <w:rFonts w:ascii="Arial" w:hAnsi="Arial" w:cs="Arial"/>
                <w:b/>
              </w:rPr>
              <w:t>Remark</w:t>
            </w:r>
          </w:p>
        </w:tc>
      </w:tr>
      <w:tr w:rsidR="000B7C9A" w:rsidRPr="00241AB8" w14:paraId="01D4E2DB" w14:textId="77777777" w:rsidTr="004F3B7E">
        <w:tc>
          <w:tcPr>
            <w:tcW w:w="2127" w:type="dxa"/>
            <w:tcBorders>
              <w:top w:val="single" w:sz="4" w:space="0" w:color="auto"/>
            </w:tcBorders>
            <w:tcMar>
              <w:top w:w="0" w:type="dxa"/>
              <w:left w:w="108" w:type="dxa"/>
              <w:bottom w:w="0" w:type="dxa"/>
              <w:right w:w="108" w:type="dxa"/>
            </w:tcMar>
          </w:tcPr>
          <w:p w14:paraId="6BD2E604" w14:textId="77777777" w:rsidR="000B7C9A" w:rsidRPr="00241AB8" w:rsidRDefault="000B7C9A" w:rsidP="004F3B7E">
            <w:pPr>
              <w:spacing w:after="160"/>
              <w:jc w:val="both"/>
              <w:rPr>
                <w:rFonts w:ascii="Arial" w:hAnsi="Arial" w:cs="Arial"/>
              </w:rPr>
            </w:pPr>
            <w:r w:rsidRPr="00241AB8">
              <w:rPr>
                <w:rFonts w:ascii="Arial" w:hAnsi="Arial" w:cs="Arial"/>
                <w:kern w:val="2"/>
              </w:rPr>
              <w:t>Naïve HIV Patients</w:t>
            </w:r>
          </w:p>
        </w:tc>
        <w:tc>
          <w:tcPr>
            <w:tcW w:w="2552" w:type="dxa"/>
            <w:tcBorders>
              <w:top w:val="single" w:sz="4" w:space="0" w:color="auto"/>
            </w:tcBorders>
            <w:tcMar>
              <w:top w:w="0" w:type="dxa"/>
              <w:left w:w="108" w:type="dxa"/>
              <w:bottom w:w="0" w:type="dxa"/>
              <w:right w:w="108" w:type="dxa"/>
            </w:tcMar>
          </w:tcPr>
          <w:p w14:paraId="14CF245D" w14:textId="77777777" w:rsidR="000B7C9A" w:rsidRPr="00241AB8" w:rsidRDefault="000B7C9A" w:rsidP="004F3B7E">
            <w:pPr>
              <w:spacing w:after="160"/>
              <w:jc w:val="center"/>
              <w:rPr>
                <w:rFonts w:ascii="Arial" w:hAnsi="Arial" w:cs="Arial"/>
              </w:rPr>
            </w:pPr>
            <w:r w:rsidRPr="00241AB8">
              <w:rPr>
                <w:rFonts w:ascii="Arial" w:hAnsi="Arial" w:cs="Arial"/>
              </w:rPr>
              <w:t>8.22</w:t>
            </w:r>
            <m:oMath>
              <m:r>
                <w:rPr>
                  <w:rFonts w:ascii="Cambria Math" w:hAnsi="Cambria Math" w:cs="Arial"/>
                </w:rPr>
                <m:t>±</m:t>
              </m:r>
            </m:oMath>
            <w:r w:rsidRPr="00241AB8">
              <w:rPr>
                <w:rFonts w:ascii="Arial" w:hAnsi="Arial" w:cs="Arial"/>
              </w:rPr>
              <w:t xml:space="preserve"> 0.75</w:t>
            </w:r>
          </w:p>
        </w:tc>
        <w:tc>
          <w:tcPr>
            <w:tcW w:w="2126" w:type="dxa"/>
            <w:tcBorders>
              <w:top w:val="single" w:sz="4" w:space="0" w:color="auto"/>
            </w:tcBorders>
            <w:tcMar>
              <w:top w:w="0" w:type="dxa"/>
              <w:left w:w="108" w:type="dxa"/>
              <w:bottom w:w="0" w:type="dxa"/>
              <w:right w:w="108" w:type="dxa"/>
            </w:tcMar>
          </w:tcPr>
          <w:p w14:paraId="69B2AF77" w14:textId="77777777" w:rsidR="000B7C9A" w:rsidRPr="00241AB8" w:rsidRDefault="000B7C9A" w:rsidP="004F3B7E">
            <w:pPr>
              <w:spacing w:after="160"/>
              <w:jc w:val="center"/>
              <w:rPr>
                <w:rFonts w:ascii="Arial" w:hAnsi="Arial" w:cs="Arial"/>
              </w:rPr>
            </w:pPr>
            <w:r w:rsidRPr="00241AB8">
              <w:rPr>
                <w:rFonts w:ascii="Arial" w:hAnsi="Arial" w:cs="Arial"/>
                <w:kern w:val="2"/>
              </w:rPr>
              <w:t>0.001</w:t>
            </w:r>
          </w:p>
        </w:tc>
        <w:tc>
          <w:tcPr>
            <w:tcW w:w="1706" w:type="dxa"/>
            <w:tcBorders>
              <w:top w:val="single" w:sz="4" w:space="0" w:color="auto"/>
            </w:tcBorders>
            <w:tcMar>
              <w:top w:w="0" w:type="dxa"/>
              <w:left w:w="108" w:type="dxa"/>
              <w:bottom w:w="0" w:type="dxa"/>
              <w:right w:w="108" w:type="dxa"/>
            </w:tcMar>
          </w:tcPr>
          <w:p w14:paraId="07026477" w14:textId="77777777" w:rsidR="000B7C9A" w:rsidRPr="00241AB8" w:rsidRDefault="000B7C9A" w:rsidP="004F3B7E">
            <w:pPr>
              <w:spacing w:after="160"/>
              <w:jc w:val="center"/>
              <w:rPr>
                <w:rFonts w:ascii="Arial" w:hAnsi="Arial" w:cs="Arial"/>
              </w:rPr>
            </w:pPr>
            <w:r w:rsidRPr="00241AB8">
              <w:rPr>
                <w:rFonts w:ascii="Arial" w:hAnsi="Arial" w:cs="Arial"/>
                <w:kern w:val="2"/>
              </w:rPr>
              <w:t>Significant</w:t>
            </w:r>
          </w:p>
        </w:tc>
      </w:tr>
      <w:tr w:rsidR="000B7C9A" w:rsidRPr="00241AB8" w14:paraId="48BC7F34" w14:textId="77777777" w:rsidTr="004F3B7E">
        <w:tc>
          <w:tcPr>
            <w:tcW w:w="2127" w:type="dxa"/>
            <w:tcMar>
              <w:top w:w="0" w:type="dxa"/>
              <w:left w:w="108" w:type="dxa"/>
              <w:bottom w:w="0" w:type="dxa"/>
              <w:right w:w="108" w:type="dxa"/>
            </w:tcMar>
          </w:tcPr>
          <w:p w14:paraId="5F0F92D2" w14:textId="77777777" w:rsidR="000B7C9A" w:rsidRPr="00241AB8" w:rsidRDefault="000B7C9A" w:rsidP="004F3B7E">
            <w:pPr>
              <w:spacing w:after="160"/>
              <w:jc w:val="both"/>
              <w:rPr>
                <w:rFonts w:ascii="Arial" w:hAnsi="Arial" w:cs="Arial"/>
              </w:rPr>
            </w:pPr>
            <w:r w:rsidRPr="00241AB8">
              <w:rPr>
                <w:rFonts w:ascii="Arial" w:hAnsi="Arial" w:cs="Arial"/>
                <w:kern w:val="2"/>
              </w:rPr>
              <w:t>ART Patients</w:t>
            </w:r>
            <w:r w:rsidRPr="00241AB8">
              <w:rPr>
                <w:rFonts w:ascii="Arial" w:hAnsi="Arial" w:cs="Arial"/>
              </w:rPr>
              <w:tab/>
              <w:t xml:space="preserve">                       </w:t>
            </w:r>
          </w:p>
        </w:tc>
        <w:tc>
          <w:tcPr>
            <w:tcW w:w="2552" w:type="dxa"/>
            <w:tcMar>
              <w:top w:w="0" w:type="dxa"/>
              <w:left w:w="108" w:type="dxa"/>
              <w:bottom w:w="0" w:type="dxa"/>
              <w:right w:w="108" w:type="dxa"/>
            </w:tcMar>
          </w:tcPr>
          <w:p w14:paraId="73806305" w14:textId="77777777" w:rsidR="000B7C9A" w:rsidRPr="00241AB8" w:rsidRDefault="000B7C9A" w:rsidP="004F3B7E">
            <w:pPr>
              <w:spacing w:after="160"/>
              <w:jc w:val="center"/>
              <w:rPr>
                <w:rFonts w:ascii="Arial" w:hAnsi="Arial" w:cs="Arial"/>
              </w:rPr>
            </w:pPr>
            <w:r w:rsidRPr="00241AB8">
              <w:rPr>
                <w:rFonts w:ascii="Arial" w:hAnsi="Arial" w:cs="Arial"/>
              </w:rPr>
              <w:t xml:space="preserve">6.49 </w:t>
            </w:r>
            <m:oMath>
              <m:r>
                <w:rPr>
                  <w:rFonts w:ascii="Cambria Math" w:hAnsi="Cambria Math" w:cs="Arial"/>
                </w:rPr>
                <m:t>±</m:t>
              </m:r>
            </m:oMath>
            <w:r w:rsidRPr="00241AB8">
              <w:rPr>
                <w:rFonts w:ascii="Arial" w:hAnsi="Arial" w:cs="Arial"/>
              </w:rPr>
              <w:t xml:space="preserve"> 0.68</w:t>
            </w:r>
          </w:p>
        </w:tc>
        <w:tc>
          <w:tcPr>
            <w:tcW w:w="2126" w:type="dxa"/>
            <w:tcMar>
              <w:top w:w="0" w:type="dxa"/>
              <w:left w:w="108" w:type="dxa"/>
              <w:bottom w:w="0" w:type="dxa"/>
              <w:right w:w="108" w:type="dxa"/>
            </w:tcMar>
          </w:tcPr>
          <w:p w14:paraId="1F63BAC4" w14:textId="77777777" w:rsidR="000B7C9A" w:rsidRPr="00241AB8" w:rsidRDefault="000B7C9A" w:rsidP="004F3B7E">
            <w:pPr>
              <w:spacing w:after="160"/>
              <w:jc w:val="center"/>
              <w:rPr>
                <w:rFonts w:ascii="Arial" w:hAnsi="Arial" w:cs="Arial"/>
              </w:rPr>
            </w:pPr>
            <w:r w:rsidRPr="00241AB8">
              <w:rPr>
                <w:rFonts w:ascii="Arial" w:hAnsi="Arial" w:cs="Arial"/>
                <w:kern w:val="2"/>
              </w:rPr>
              <w:t>0.001</w:t>
            </w:r>
          </w:p>
        </w:tc>
        <w:tc>
          <w:tcPr>
            <w:tcW w:w="1706" w:type="dxa"/>
            <w:tcMar>
              <w:top w:w="0" w:type="dxa"/>
              <w:left w:w="108" w:type="dxa"/>
              <w:bottom w:w="0" w:type="dxa"/>
              <w:right w:w="108" w:type="dxa"/>
            </w:tcMar>
          </w:tcPr>
          <w:p w14:paraId="5000C619" w14:textId="77777777" w:rsidR="000B7C9A" w:rsidRPr="00241AB8" w:rsidRDefault="000B7C9A" w:rsidP="004F3B7E">
            <w:pPr>
              <w:spacing w:after="160"/>
              <w:jc w:val="center"/>
              <w:rPr>
                <w:rFonts w:ascii="Arial" w:hAnsi="Arial" w:cs="Arial"/>
              </w:rPr>
            </w:pPr>
            <w:r w:rsidRPr="00241AB8">
              <w:rPr>
                <w:rFonts w:ascii="Arial" w:hAnsi="Arial" w:cs="Arial"/>
                <w:kern w:val="2"/>
              </w:rPr>
              <w:t xml:space="preserve">Significant </w:t>
            </w:r>
          </w:p>
        </w:tc>
      </w:tr>
    </w:tbl>
    <w:p w14:paraId="113C2729" w14:textId="77777777" w:rsidR="000B7C9A" w:rsidRPr="00241AB8" w:rsidRDefault="000B7C9A" w:rsidP="000B7C9A">
      <w:pPr>
        <w:spacing w:after="160" w:line="480" w:lineRule="auto"/>
        <w:jc w:val="both"/>
        <w:rPr>
          <w:rFonts w:ascii="Arial" w:hAnsi="Arial" w:cs="Arial"/>
        </w:rPr>
      </w:pPr>
    </w:p>
    <w:p w14:paraId="2D9384F2" w14:textId="0715833A" w:rsidR="000B7C9A" w:rsidRPr="00241AB8" w:rsidRDefault="000B7C9A" w:rsidP="00C608A0">
      <w:pPr>
        <w:spacing w:after="160"/>
        <w:jc w:val="both"/>
        <w:rPr>
          <w:rFonts w:ascii="Arial" w:hAnsi="Arial" w:cs="Arial"/>
        </w:rPr>
      </w:pPr>
      <w:r w:rsidRPr="00241AB8">
        <w:rPr>
          <w:rFonts w:ascii="Arial" w:hAnsi="Arial" w:cs="Arial"/>
          <w:b/>
          <w:bCs/>
          <w:kern w:val="2"/>
        </w:rPr>
        <w:t>Table 4: Serum FSH Levels in Naïve and ART Patients</w:t>
      </w:r>
    </w:p>
    <w:tbl>
      <w:tblPr>
        <w:tblW w:w="8275" w:type="dxa"/>
        <w:tblInd w:w="90" w:type="dxa"/>
        <w:tblBorders>
          <w:top w:val="single" w:sz="4" w:space="0" w:color="auto"/>
          <w:bottom w:val="single" w:sz="4" w:space="0" w:color="auto"/>
        </w:tblBorders>
        <w:tblLook w:val="04A0" w:firstRow="1" w:lastRow="0" w:firstColumn="1" w:lastColumn="0" w:noHBand="0" w:noVBand="1"/>
      </w:tblPr>
      <w:tblGrid>
        <w:gridCol w:w="2521"/>
        <w:gridCol w:w="2416"/>
        <w:gridCol w:w="1980"/>
        <w:gridCol w:w="1358"/>
      </w:tblGrid>
      <w:tr w:rsidR="000B7C9A" w:rsidRPr="00241AB8" w14:paraId="16C535F7" w14:textId="77777777" w:rsidTr="004F3B7E">
        <w:trPr>
          <w:trHeight w:val="309"/>
        </w:trPr>
        <w:tc>
          <w:tcPr>
            <w:tcW w:w="2521" w:type="dxa"/>
            <w:tcBorders>
              <w:top w:val="single" w:sz="4" w:space="0" w:color="auto"/>
              <w:bottom w:val="single" w:sz="4" w:space="0" w:color="auto"/>
            </w:tcBorders>
            <w:tcMar>
              <w:top w:w="0" w:type="dxa"/>
              <w:left w:w="108" w:type="dxa"/>
              <w:bottom w:w="0" w:type="dxa"/>
              <w:right w:w="108" w:type="dxa"/>
            </w:tcMar>
          </w:tcPr>
          <w:p w14:paraId="0F5FF7E8" w14:textId="77777777" w:rsidR="000B7C9A" w:rsidRPr="00241AB8" w:rsidRDefault="000B7C9A" w:rsidP="004F3B7E">
            <w:pPr>
              <w:jc w:val="both"/>
              <w:rPr>
                <w:rFonts w:ascii="Arial" w:hAnsi="Arial" w:cs="Arial"/>
              </w:rPr>
            </w:pPr>
            <w:r w:rsidRPr="00241AB8">
              <w:rPr>
                <w:rFonts w:ascii="Arial" w:hAnsi="Arial" w:cs="Arial"/>
                <w:b/>
                <w:bCs/>
                <w:kern w:val="2"/>
              </w:rPr>
              <w:t xml:space="preserve">Group  </w:t>
            </w:r>
          </w:p>
        </w:tc>
        <w:tc>
          <w:tcPr>
            <w:tcW w:w="2416" w:type="dxa"/>
            <w:tcBorders>
              <w:top w:val="single" w:sz="4" w:space="0" w:color="auto"/>
              <w:bottom w:val="single" w:sz="4" w:space="0" w:color="auto"/>
            </w:tcBorders>
            <w:tcMar>
              <w:top w:w="0" w:type="dxa"/>
              <w:left w:w="108" w:type="dxa"/>
              <w:bottom w:w="0" w:type="dxa"/>
              <w:right w:w="108" w:type="dxa"/>
            </w:tcMar>
          </w:tcPr>
          <w:p w14:paraId="6FB63766" w14:textId="77777777" w:rsidR="000B7C9A" w:rsidRPr="00241AB8" w:rsidRDefault="000B7C9A" w:rsidP="004F3B7E">
            <w:pPr>
              <w:jc w:val="center"/>
              <w:rPr>
                <w:rFonts w:ascii="Arial" w:hAnsi="Arial" w:cs="Arial"/>
                <w:b/>
              </w:rPr>
            </w:pPr>
            <w:r w:rsidRPr="00241AB8">
              <w:rPr>
                <w:rFonts w:ascii="Arial" w:hAnsi="Arial" w:cs="Arial"/>
                <w:b/>
              </w:rPr>
              <w:t xml:space="preserve">Mean </w:t>
            </w:r>
            <m:oMath>
              <m:r>
                <m:rPr>
                  <m:sty m:val="bi"/>
                </m:rPr>
                <w:rPr>
                  <w:rFonts w:ascii="Cambria Math" w:hAnsi="Cambria Math" w:cs="Arial"/>
                </w:rPr>
                <m:t>±</m:t>
              </m:r>
            </m:oMath>
            <w:r w:rsidRPr="00241AB8">
              <w:rPr>
                <w:rFonts w:ascii="Arial" w:hAnsi="Arial" w:cs="Arial"/>
                <w:b/>
              </w:rPr>
              <w:t xml:space="preserve"> SD</w:t>
            </w:r>
          </w:p>
        </w:tc>
        <w:tc>
          <w:tcPr>
            <w:tcW w:w="1980" w:type="dxa"/>
            <w:tcBorders>
              <w:top w:val="single" w:sz="4" w:space="0" w:color="auto"/>
              <w:bottom w:val="single" w:sz="4" w:space="0" w:color="auto"/>
            </w:tcBorders>
          </w:tcPr>
          <w:p w14:paraId="3C784621" w14:textId="77777777" w:rsidR="000B7C9A" w:rsidRPr="00241AB8" w:rsidRDefault="000B7C9A" w:rsidP="004F3B7E">
            <w:pPr>
              <w:jc w:val="both"/>
              <w:rPr>
                <w:rFonts w:ascii="Arial" w:hAnsi="Arial" w:cs="Arial"/>
              </w:rPr>
            </w:pPr>
            <w:r w:rsidRPr="00241AB8">
              <w:rPr>
                <w:rFonts w:ascii="Arial" w:hAnsi="Arial" w:cs="Arial"/>
                <w:b/>
                <w:bCs/>
                <w:kern w:val="2"/>
              </w:rPr>
              <w:t xml:space="preserve">    P-value</w:t>
            </w:r>
          </w:p>
        </w:tc>
        <w:tc>
          <w:tcPr>
            <w:tcW w:w="1358" w:type="dxa"/>
            <w:tcBorders>
              <w:top w:val="single" w:sz="4" w:space="0" w:color="auto"/>
              <w:bottom w:val="single" w:sz="4" w:space="0" w:color="auto"/>
            </w:tcBorders>
            <w:tcMar>
              <w:top w:w="0" w:type="dxa"/>
              <w:left w:w="108" w:type="dxa"/>
              <w:bottom w:w="0" w:type="dxa"/>
              <w:right w:w="108" w:type="dxa"/>
            </w:tcMar>
          </w:tcPr>
          <w:p w14:paraId="6D27466A" w14:textId="77777777" w:rsidR="000B7C9A" w:rsidRPr="00241AB8" w:rsidRDefault="000B7C9A" w:rsidP="004F3B7E">
            <w:pPr>
              <w:jc w:val="both"/>
              <w:rPr>
                <w:rFonts w:ascii="Arial" w:hAnsi="Arial" w:cs="Arial"/>
                <w:b/>
              </w:rPr>
            </w:pPr>
            <w:r w:rsidRPr="00241AB8">
              <w:rPr>
                <w:rFonts w:ascii="Arial" w:hAnsi="Arial" w:cs="Arial"/>
                <w:b/>
              </w:rPr>
              <w:t>Remark</w:t>
            </w:r>
          </w:p>
        </w:tc>
      </w:tr>
      <w:tr w:rsidR="000B7C9A" w:rsidRPr="00241AB8" w14:paraId="01A7B6A4" w14:textId="77777777" w:rsidTr="004F3B7E">
        <w:trPr>
          <w:trHeight w:val="271"/>
        </w:trPr>
        <w:tc>
          <w:tcPr>
            <w:tcW w:w="2521" w:type="dxa"/>
            <w:tcBorders>
              <w:top w:val="single" w:sz="4" w:space="0" w:color="auto"/>
            </w:tcBorders>
            <w:tcMar>
              <w:top w:w="0" w:type="dxa"/>
              <w:left w:w="108" w:type="dxa"/>
              <w:bottom w:w="0" w:type="dxa"/>
              <w:right w:w="108" w:type="dxa"/>
            </w:tcMar>
          </w:tcPr>
          <w:p w14:paraId="26B3F61C" w14:textId="77777777" w:rsidR="000B7C9A" w:rsidRPr="00241AB8" w:rsidRDefault="000B7C9A" w:rsidP="004F3B7E">
            <w:pPr>
              <w:jc w:val="both"/>
              <w:rPr>
                <w:rFonts w:ascii="Arial" w:hAnsi="Arial" w:cs="Arial"/>
              </w:rPr>
            </w:pPr>
            <w:r w:rsidRPr="00241AB8">
              <w:rPr>
                <w:rFonts w:ascii="Arial" w:hAnsi="Arial" w:cs="Arial"/>
                <w:kern w:val="2"/>
              </w:rPr>
              <w:t>Naïve HIV Patients</w:t>
            </w:r>
          </w:p>
        </w:tc>
        <w:tc>
          <w:tcPr>
            <w:tcW w:w="2416" w:type="dxa"/>
            <w:tcBorders>
              <w:top w:val="single" w:sz="4" w:space="0" w:color="auto"/>
            </w:tcBorders>
            <w:tcMar>
              <w:top w:w="0" w:type="dxa"/>
              <w:left w:w="108" w:type="dxa"/>
              <w:bottom w:w="0" w:type="dxa"/>
              <w:right w:w="108" w:type="dxa"/>
            </w:tcMar>
          </w:tcPr>
          <w:p w14:paraId="60F55E8C" w14:textId="77777777" w:rsidR="000B7C9A" w:rsidRPr="00241AB8" w:rsidRDefault="000B7C9A" w:rsidP="004F3B7E">
            <w:pPr>
              <w:jc w:val="both"/>
              <w:rPr>
                <w:rFonts w:ascii="Arial" w:hAnsi="Arial" w:cs="Arial"/>
              </w:rPr>
            </w:pPr>
            <w:r w:rsidRPr="00241AB8">
              <w:rPr>
                <w:rFonts w:ascii="Arial" w:hAnsi="Arial" w:cs="Arial"/>
              </w:rPr>
              <w:t xml:space="preserve">            6.96</w:t>
            </w:r>
            <m:oMath>
              <m:r>
                <w:rPr>
                  <w:rFonts w:ascii="Cambria Math" w:hAnsi="Cambria Math" w:cs="Arial"/>
                </w:rPr>
                <m:t>±</m:t>
              </m:r>
            </m:oMath>
            <w:r w:rsidRPr="00241AB8">
              <w:rPr>
                <w:rFonts w:ascii="Arial" w:hAnsi="Arial" w:cs="Arial"/>
              </w:rPr>
              <w:t xml:space="preserve"> 0.96</w:t>
            </w:r>
          </w:p>
        </w:tc>
        <w:tc>
          <w:tcPr>
            <w:tcW w:w="1980" w:type="dxa"/>
            <w:tcBorders>
              <w:top w:val="single" w:sz="4" w:space="0" w:color="auto"/>
            </w:tcBorders>
          </w:tcPr>
          <w:p w14:paraId="4038FA8D" w14:textId="77777777" w:rsidR="000B7C9A" w:rsidRPr="00241AB8" w:rsidRDefault="000B7C9A" w:rsidP="004F3B7E">
            <w:pPr>
              <w:jc w:val="both"/>
              <w:rPr>
                <w:rFonts w:ascii="Arial" w:hAnsi="Arial" w:cs="Arial"/>
              </w:rPr>
            </w:pPr>
            <w:r w:rsidRPr="00241AB8">
              <w:rPr>
                <w:rFonts w:ascii="Arial" w:hAnsi="Arial" w:cs="Arial"/>
                <w:kern w:val="2"/>
              </w:rPr>
              <w:t xml:space="preserve">      0.001</w:t>
            </w:r>
          </w:p>
        </w:tc>
        <w:tc>
          <w:tcPr>
            <w:tcW w:w="1358" w:type="dxa"/>
            <w:tcBorders>
              <w:top w:val="single" w:sz="4" w:space="0" w:color="auto"/>
            </w:tcBorders>
            <w:tcMar>
              <w:top w:w="0" w:type="dxa"/>
              <w:left w:w="108" w:type="dxa"/>
              <w:bottom w:w="0" w:type="dxa"/>
              <w:right w:w="108" w:type="dxa"/>
            </w:tcMar>
          </w:tcPr>
          <w:p w14:paraId="64F0B6F5" w14:textId="77777777" w:rsidR="000B7C9A" w:rsidRPr="00241AB8" w:rsidRDefault="000B7C9A" w:rsidP="004F3B7E">
            <w:pPr>
              <w:jc w:val="both"/>
              <w:rPr>
                <w:rFonts w:ascii="Arial" w:hAnsi="Arial" w:cs="Arial"/>
              </w:rPr>
            </w:pPr>
            <w:r w:rsidRPr="00241AB8">
              <w:rPr>
                <w:rFonts w:ascii="Arial" w:hAnsi="Arial" w:cs="Arial"/>
              </w:rPr>
              <w:t>Significant</w:t>
            </w:r>
          </w:p>
        </w:tc>
      </w:tr>
      <w:tr w:rsidR="000B7C9A" w:rsidRPr="00241AB8" w14:paraId="4191AFAD" w14:textId="77777777" w:rsidTr="004F3B7E">
        <w:trPr>
          <w:trHeight w:val="569"/>
        </w:trPr>
        <w:tc>
          <w:tcPr>
            <w:tcW w:w="2521" w:type="dxa"/>
            <w:tcMar>
              <w:top w:w="0" w:type="dxa"/>
              <w:left w:w="108" w:type="dxa"/>
              <w:bottom w:w="0" w:type="dxa"/>
              <w:right w:w="108" w:type="dxa"/>
            </w:tcMar>
          </w:tcPr>
          <w:p w14:paraId="1A1658B1" w14:textId="77777777" w:rsidR="000B7C9A" w:rsidRPr="00241AB8" w:rsidRDefault="000B7C9A" w:rsidP="004F3B7E">
            <w:pPr>
              <w:jc w:val="both"/>
              <w:rPr>
                <w:rFonts w:ascii="Arial" w:hAnsi="Arial" w:cs="Arial"/>
              </w:rPr>
            </w:pPr>
            <w:r w:rsidRPr="00241AB8">
              <w:rPr>
                <w:rFonts w:ascii="Arial" w:hAnsi="Arial" w:cs="Arial"/>
                <w:kern w:val="2"/>
              </w:rPr>
              <w:t>ART Patients</w:t>
            </w:r>
          </w:p>
        </w:tc>
        <w:tc>
          <w:tcPr>
            <w:tcW w:w="2416" w:type="dxa"/>
            <w:tcMar>
              <w:top w:w="0" w:type="dxa"/>
              <w:left w:w="108" w:type="dxa"/>
              <w:bottom w:w="0" w:type="dxa"/>
              <w:right w:w="108" w:type="dxa"/>
            </w:tcMar>
          </w:tcPr>
          <w:p w14:paraId="66555118" w14:textId="77777777" w:rsidR="000B7C9A" w:rsidRPr="00241AB8" w:rsidRDefault="000B7C9A" w:rsidP="004F3B7E">
            <w:pPr>
              <w:jc w:val="both"/>
              <w:rPr>
                <w:rFonts w:ascii="Arial" w:hAnsi="Arial" w:cs="Arial"/>
              </w:rPr>
            </w:pPr>
            <w:r w:rsidRPr="00241AB8">
              <w:rPr>
                <w:rFonts w:ascii="Arial" w:hAnsi="Arial" w:cs="Arial"/>
              </w:rPr>
              <w:t xml:space="preserve">           10.64 </w:t>
            </w:r>
            <m:oMath>
              <m:r>
                <w:rPr>
                  <w:rFonts w:ascii="Cambria Math" w:hAnsi="Cambria Math" w:cs="Arial"/>
                </w:rPr>
                <m:t>±</m:t>
              </m:r>
            </m:oMath>
            <w:r w:rsidRPr="00241AB8">
              <w:rPr>
                <w:rFonts w:ascii="Arial" w:hAnsi="Arial" w:cs="Arial"/>
              </w:rPr>
              <w:tab/>
              <w:t xml:space="preserve"> 1.14                  </w:t>
            </w:r>
          </w:p>
        </w:tc>
        <w:tc>
          <w:tcPr>
            <w:tcW w:w="1980" w:type="dxa"/>
          </w:tcPr>
          <w:p w14:paraId="72150668" w14:textId="77777777" w:rsidR="000B7C9A" w:rsidRPr="00241AB8" w:rsidRDefault="000B7C9A" w:rsidP="004F3B7E">
            <w:pPr>
              <w:jc w:val="both"/>
              <w:rPr>
                <w:rFonts w:ascii="Arial" w:hAnsi="Arial" w:cs="Arial"/>
              </w:rPr>
            </w:pPr>
            <w:r w:rsidRPr="00241AB8">
              <w:rPr>
                <w:rFonts w:ascii="Arial" w:hAnsi="Arial" w:cs="Arial"/>
                <w:kern w:val="2"/>
              </w:rPr>
              <w:t xml:space="preserve">      0.001</w:t>
            </w:r>
          </w:p>
        </w:tc>
        <w:tc>
          <w:tcPr>
            <w:tcW w:w="1358" w:type="dxa"/>
            <w:tcMar>
              <w:top w:w="0" w:type="dxa"/>
              <w:left w:w="108" w:type="dxa"/>
              <w:bottom w:w="0" w:type="dxa"/>
              <w:right w:w="108" w:type="dxa"/>
            </w:tcMar>
          </w:tcPr>
          <w:p w14:paraId="2BA3AF88" w14:textId="77777777" w:rsidR="000B7C9A" w:rsidRPr="00241AB8" w:rsidRDefault="000B7C9A" w:rsidP="004F3B7E">
            <w:pPr>
              <w:jc w:val="both"/>
              <w:rPr>
                <w:rFonts w:ascii="Arial" w:hAnsi="Arial" w:cs="Arial"/>
              </w:rPr>
            </w:pPr>
            <w:r w:rsidRPr="00241AB8">
              <w:rPr>
                <w:rFonts w:ascii="Arial" w:hAnsi="Arial" w:cs="Arial"/>
              </w:rPr>
              <w:t xml:space="preserve">Significant </w:t>
            </w:r>
          </w:p>
        </w:tc>
      </w:tr>
    </w:tbl>
    <w:p w14:paraId="0D0D4D54" w14:textId="77777777" w:rsidR="000B7C9A" w:rsidRPr="00241AB8" w:rsidRDefault="000B7C9A" w:rsidP="000B7C9A">
      <w:pPr>
        <w:spacing w:after="160" w:line="480" w:lineRule="auto"/>
        <w:jc w:val="both"/>
        <w:rPr>
          <w:rFonts w:ascii="Arial" w:hAnsi="Arial" w:cs="Arial"/>
        </w:rPr>
      </w:pPr>
    </w:p>
    <w:p w14:paraId="65F2ADEA" w14:textId="05D646D7" w:rsidR="000B7C9A" w:rsidRPr="00241AB8" w:rsidRDefault="000B7C9A" w:rsidP="00C608A0">
      <w:pPr>
        <w:spacing w:after="160"/>
        <w:jc w:val="both"/>
        <w:rPr>
          <w:rFonts w:ascii="Arial" w:hAnsi="Arial" w:cs="Arial"/>
        </w:rPr>
      </w:pPr>
      <w:r w:rsidRPr="00241AB8">
        <w:rPr>
          <w:rFonts w:ascii="Arial" w:hAnsi="Arial" w:cs="Arial"/>
          <w:b/>
          <w:bCs/>
          <w:kern w:val="2"/>
        </w:rPr>
        <w:t>Table 5: Statistical Comparison of Naïve vs ART Patients</w:t>
      </w:r>
    </w:p>
    <w:tbl>
      <w:tblPr>
        <w:tblW w:w="8502" w:type="dxa"/>
        <w:tblInd w:w="-180" w:type="dxa"/>
        <w:tblBorders>
          <w:top w:val="single" w:sz="4" w:space="0" w:color="auto"/>
          <w:bottom w:val="single" w:sz="4" w:space="0" w:color="auto"/>
        </w:tblBorders>
        <w:tblLayout w:type="fixed"/>
        <w:tblLook w:val="04A0" w:firstRow="1" w:lastRow="0" w:firstColumn="1" w:lastColumn="0" w:noHBand="0" w:noVBand="1"/>
      </w:tblPr>
      <w:tblGrid>
        <w:gridCol w:w="2596"/>
        <w:gridCol w:w="1695"/>
        <w:gridCol w:w="1817"/>
        <w:gridCol w:w="917"/>
        <w:gridCol w:w="1235"/>
        <w:gridCol w:w="242"/>
      </w:tblGrid>
      <w:tr w:rsidR="000B7C9A" w:rsidRPr="00241AB8" w14:paraId="2DAAA6C7" w14:textId="77777777" w:rsidTr="00C608A0">
        <w:trPr>
          <w:trHeight w:val="585"/>
        </w:trPr>
        <w:tc>
          <w:tcPr>
            <w:tcW w:w="2596" w:type="dxa"/>
            <w:tcBorders>
              <w:top w:val="single" w:sz="4" w:space="0" w:color="auto"/>
              <w:bottom w:val="single" w:sz="4" w:space="0" w:color="auto"/>
            </w:tcBorders>
            <w:tcMar>
              <w:top w:w="0" w:type="dxa"/>
              <w:left w:w="108" w:type="dxa"/>
              <w:bottom w:w="0" w:type="dxa"/>
              <w:right w:w="108" w:type="dxa"/>
            </w:tcMar>
          </w:tcPr>
          <w:p w14:paraId="2A06DA54" w14:textId="77777777" w:rsidR="000B7C9A" w:rsidRPr="00241AB8" w:rsidRDefault="000B7C9A" w:rsidP="00361C45">
            <w:pPr>
              <w:jc w:val="both"/>
              <w:rPr>
                <w:rFonts w:ascii="Arial" w:hAnsi="Arial" w:cs="Arial"/>
              </w:rPr>
            </w:pPr>
            <w:r w:rsidRPr="00241AB8">
              <w:rPr>
                <w:rFonts w:ascii="Arial" w:hAnsi="Arial" w:cs="Arial"/>
                <w:b/>
                <w:bCs/>
                <w:kern w:val="2"/>
              </w:rPr>
              <w:t>Parameter</w:t>
            </w:r>
          </w:p>
        </w:tc>
        <w:tc>
          <w:tcPr>
            <w:tcW w:w="1695" w:type="dxa"/>
            <w:tcBorders>
              <w:top w:val="single" w:sz="4" w:space="0" w:color="auto"/>
              <w:bottom w:val="single" w:sz="4" w:space="0" w:color="auto"/>
            </w:tcBorders>
            <w:tcMar>
              <w:top w:w="0" w:type="dxa"/>
              <w:left w:w="108" w:type="dxa"/>
              <w:bottom w:w="0" w:type="dxa"/>
              <w:right w:w="108" w:type="dxa"/>
            </w:tcMar>
          </w:tcPr>
          <w:p w14:paraId="63F286B4" w14:textId="77777777" w:rsidR="000B7C9A" w:rsidRPr="00241AB8" w:rsidRDefault="000B7C9A" w:rsidP="00361C45">
            <w:pPr>
              <w:jc w:val="center"/>
              <w:rPr>
                <w:rFonts w:ascii="Arial" w:hAnsi="Arial" w:cs="Arial"/>
              </w:rPr>
            </w:pPr>
            <w:r w:rsidRPr="00241AB8">
              <w:rPr>
                <w:rFonts w:ascii="Arial" w:hAnsi="Arial" w:cs="Arial"/>
                <w:b/>
                <w:bCs/>
                <w:kern w:val="2"/>
              </w:rPr>
              <w:t>Naïve Patients (Mean ± SD)</w:t>
            </w:r>
          </w:p>
        </w:tc>
        <w:tc>
          <w:tcPr>
            <w:tcW w:w="1817" w:type="dxa"/>
            <w:tcBorders>
              <w:top w:val="single" w:sz="4" w:space="0" w:color="auto"/>
              <w:bottom w:val="single" w:sz="4" w:space="0" w:color="auto"/>
            </w:tcBorders>
            <w:tcMar>
              <w:top w:w="0" w:type="dxa"/>
              <w:left w:w="108" w:type="dxa"/>
              <w:bottom w:w="0" w:type="dxa"/>
              <w:right w:w="108" w:type="dxa"/>
            </w:tcMar>
          </w:tcPr>
          <w:p w14:paraId="6A269E73" w14:textId="4339CCFE" w:rsidR="000B7C9A" w:rsidRPr="00241AB8" w:rsidRDefault="000B7C9A" w:rsidP="00C608A0">
            <w:pPr>
              <w:jc w:val="center"/>
              <w:rPr>
                <w:rFonts w:ascii="Arial" w:hAnsi="Arial" w:cs="Arial"/>
              </w:rPr>
            </w:pPr>
            <w:r w:rsidRPr="00241AB8">
              <w:rPr>
                <w:rFonts w:ascii="Arial" w:hAnsi="Arial" w:cs="Arial"/>
                <w:b/>
                <w:bCs/>
                <w:kern w:val="2"/>
              </w:rPr>
              <w:t>ART Patients (Mean ± SD)</w:t>
            </w:r>
          </w:p>
        </w:tc>
        <w:tc>
          <w:tcPr>
            <w:tcW w:w="917" w:type="dxa"/>
            <w:tcBorders>
              <w:top w:val="single" w:sz="4" w:space="0" w:color="auto"/>
              <w:bottom w:val="single" w:sz="4" w:space="0" w:color="auto"/>
            </w:tcBorders>
            <w:tcMar>
              <w:top w:w="0" w:type="dxa"/>
              <w:left w:w="108" w:type="dxa"/>
              <w:bottom w:w="0" w:type="dxa"/>
              <w:right w:w="108" w:type="dxa"/>
            </w:tcMar>
          </w:tcPr>
          <w:p w14:paraId="669993AB" w14:textId="77777777" w:rsidR="000B7C9A" w:rsidRPr="00241AB8" w:rsidRDefault="000B7C9A" w:rsidP="00361C45">
            <w:pPr>
              <w:jc w:val="both"/>
              <w:rPr>
                <w:rFonts w:ascii="Arial" w:hAnsi="Arial" w:cs="Arial"/>
              </w:rPr>
            </w:pPr>
            <w:r w:rsidRPr="00241AB8">
              <w:rPr>
                <w:rFonts w:ascii="Arial" w:hAnsi="Arial" w:cs="Arial"/>
                <w:b/>
                <w:bCs/>
                <w:kern w:val="2"/>
              </w:rPr>
              <w:t xml:space="preserve"> P-value</w:t>
            </w:r>
          </w:p>
        </w:tc>
        <w:tc>
          <w:tcPr>
            <w:tcW w:w="1235" w:type="dxa"/>
            <w:tcBorders>
              <w:top w:val="single" w:sz="4" w:space="0" w:color="auto"/>
              <w:bottom w:val="single" w:sz="4" w:space="0" w:color="auto"/>
            </w:tcBorders>
          </w:tcPr>
          <w:p w14:paraId="2CC2E48F" w14:textId="77777777" w:rsidR="000B7C9A" w:rsidRPr="00241AB8" w:rsidRDefault="000B7C9A" w:rsidP="00361C45">
            <w:pPr>
              <w:jc w:val="both"/>
              <w:rPr>
                <w:rFonts w:ascii="Arial" w:hAnsi="Arial" w:cs="Arial"/>
                <w:b/>
              </w:rPr>
            </w:pPr>
            <w:r w:rsidRPr="00241AB8">
              <w:rPr>
                <w:rFonts w:ascii="Arial" w:hAnsi="Arial" w:cs="Arial"/>
                <w:b/>
              </w:rPr>
              <w:t>Remark</w:t>
            </w:r>
          </w:p>
        </w:tc>
        <w:tc>
          <w:tcPr>
            <w:tcW w:w="242" w:type="dxa"/>
            <w:tcBorders>
              <w:top w:val="single" w:sz="4" w:space="0" w:color="auto"/>
              <w:bottom w:val="single" w:sz="4" w:space="0" w:color="auto"/>
            </w:tcBorders>
          </w:tcPr>
          <w:p w14:paraId="4BC708D5" w14:textId="77777777" w:rsidR="000B7C9A" w:rsidRPr="00241AB8" w:rsidRDefault="000B7C9A" w:rsidP="00361C45">
            <w:pPr>
              <w:jc w:val="both"/>
              <w:rPr>
                <w:rFonts w:ascii="Arial" w:hAnsi="Arial" w:cs="Arial"/>
                <w:b/>
                <w:bCs/>
                <w:kern w:val="2"/>
              </w:rPr>
            </w:pPr>
          </w:p>
        </w:tc>
      </w:tr>
      <w:tr w:rsidR="000B7C9A" w:rsidRPr="00241AB8" w14:paraId="27B93405" w14:textId="77777777" w:rsidTr="00C608A0">
        <w:trPr>
          <w:trHeight w:val="409"/>
        </w:trPr>
        <w:tc>
          <w:tcPr>
            <w:tcW w:w="2596" w:type="dxa"/>
            <w:tcBorders>
              <w:top w:val="single" w:sz="4" w:space="0" w:color="auto"/>
            </w:tcBorders>
            <w:tcMar>
              <w:top w:w="0" w:type="dxa"/>
              <w:left w:w="108" w:type="dxa"/>
              <w:bottom w:w="0" w:type="dxa"/>
              <w:right w:w="108" w:type="dxa"/>
            </w:tcMar>
          </w:tcPr>
          <w:p w14:paraId="06CCDA24" w14:textId="77777777" w:rsidR="000B7C9A" w:rsidRPr="00241AB8" w:rsidRDefault="000B7C9A" w:rsidP="00361C45">
            <w:pPr>
              <w:rPr>
                <w:rFonts w:ascii="Arial" w:hAnsi="Arial" w:cs="Arial"/>
              </w:rPr>
            </w:pPr>
            <w:r w:rsidRPr="00241AB8">
              <w:rPr>
                <w:rFonts w:ascii="Arial" w:hAnsi="Arial" w:cs="Arial"/>
                <w:kern w:val="2"/>
              </w:rPr>
              <w:t>Serum Cal1cium (mg/dL)</w:t>
            </w:r>
          </w:p>
        </w:tc>
        <w:tc>
          <w:tcPr>
            <w:tcW w:w="1695" w:type="dxa"/>
            <w:tcBorders>
              <w:top w:val="single" w:sz="4" w:space="0" w:color="auto"/>
            </w:tcBorders>
            <w:tcMar>
              <w:top w:w="0" w:type="dxa"/>
              <w:left w:w="108" w:type="dxa"/>
              <w:bottom w:w="0" w:type="dxa"/>
              <w:right w:w="108" w:type="dxa"/>
            </w:tcMar>
          </w:tcPr>
          <w:p w14:paraId="7BD9533E" w14:textId="77777777" w:rsidR="000B7C9A" w:rsidRPr="00241AB8" w:rsidRDefault="000B7C9A" w:rsidP="00361C45">
            <w:pPr>
              <w:jc w:val="center"/>
              <w:rPr>
                <w:rFonts w:ascii="Arial" w:hAnsi="Arial" w:cs="Arial"/>
              </w:rPr>
            </w:pPr>
            <w:r w:rsidRPr="00241AB8">
              <w:rPr>
                <w:rFonts w:ascii="Arial" w:hAnsi="Arial" w:cs="Arial"/>
              </w:rPr>
              <w:t>8.22</w:t>
            </w:r>
            <w:r w:rsidRPr="00241AB8">
              <w:rPr>
                <w:rFonts w:ascii="Arial" w:hAnsi="Arial" w:cs="Arial"/>
                <w:kern w:val="2"/>
              </w:rPr>
              <w:t xml:space="preserve"> ± 0.75</w:t>
            </w:r>
          </w:p>
        </w:tc>
        <w:tc>
          <w:tcPr>
            <w:tcW w:w="1817" w:type="dxa"/>
            <w:tcBorders>
              <w:top w:val="single" w:sz="4" w:space="0" w:color="auto"/>
            </w:tcBorders>
            <w:tcMar>
              <w:top w:w="0" w:type="dxa"/>
              <w:left w:w="108" w:type="dxa"/>
              <w:bottom w:w="0" w:type="dxa"/>
              <w:right w:w="108" w:type="dxa"/>
            </w:tcMar>
          </w:tcPr>
          <w:p w14:paraId="5B5B6C41" w14:textId="33211A05" w:rsidR="000B7C9A" w:rsidRPr="00241AB8" w:rsidRDefault="000B7C9A" w:rsidP="00C608A0">
            <w:pPr>
              <w:jc w:val="center"/>
              <w:rPr>
                <w:rFonts w:ascii="Arial" w:hAnsi="Arial" w:cs="Arial"/>
              </w:rPr>
            </w:pPr>
            <w:r w:rsidRPr="00241AB8">
              <w:rPr>
                <w:rFonts w:ascii="Arial" w:hAnsi="Arial" w:cs="Arial"/>
              </w:rPr>
              <w:t>6.49</w:t>
            </w:r>
            <w:r w:rsidRPr="00241AB8">
              <w:rPr>
                <w:rFonts w:ascii="Arial" w:hAnsi="Arial" w:cs="Arial"/>
                <w:kern w:val="2"/>
              </w:rPr>
              <w:t xml:space="preserve"> ± 0.68</w:t>
            </w:r>
          </w:p>
        </w:tc>
        <w:tc>
          <w:tcPr>
            <w:tcW w:w="917" w:type="dxa"/>
            <w:tcBorders>
              <w:top w:val="single" w:sz="4" w:space="0" w:color="auto"/>
            </w:tcBorders>
            <w:tcMar>
              <w:top w:w="0" w:type="dxa"/>
              <w:left w:w="108" w:type="dxa"/>
              <w:bottom w:w="0" w:type="dxa"/>
              <w:right w:w="108" w:type="dxa"/>
            </w:tcMar>
          </w:tcPr>
          <w:p w14:paraId="5D54E7D5" w14:textId="77777777" w:rsidR="000B7C9A" w:rsidRPr="00241AB8" w:rsidRDefault="000B7C9A" w:rsidP="00361C45">
            <w:pPr>
              <w:jc w:val="both"/>
              <w:rPr>
                <w:rFonts w:ascii="Arial" w:hAnsi="Arial" w:cs="Arial"/>
              </w:rPr>
            </w:pPr>
            <w:r w:rsidRPr="00241AB8">
              <w:rPr>
                <w:rFonts w:ascii="Arial" w:hAnsi="Arial" w:cs="Arial"/>
                <w:kern w:val="2"/>
              </w:rPr>
              <w:t>0.001</w:t>
            </w:r>
          </w:p>
        </w:tc>
        <w:tc>
          <w:tcPr>
            <w:tcW w:w="1235" w:type="dxa"/>
            <w:tcBorders>
              <w:top w:val="single" w:sz="4" w:space="0" w:color="auto"/>
            </w:tcBorders>
          </w:tcPr>
          <w:p w14:paraId="1D4EB7A3" w14:textId="77777777" w:rsidR="000B7C9A" w:rsidRPr="00241AB8" w:rsidRDefault="000B7C9A" w:rsidP="00361C45">
            <w:pPr>
              <w:jc w:val="both"/>
              <w:rPr>
                <w:rFonts w:ascii="Arial" w:hAnsi="Arial" w:cs="Arial"/>
              </w:rPr>
            </w:pPr>
            <w:r w:rsidRPr="00241AB8">
              <w:rPr>
                <w:rFonts w:ascii="Arial" w:hAnsi="Arial" w:cs="Arial"/>
              </w:rPr>
              <w:t>Significant</w:t>
            </w:r>
          </w:p>
        </w:tc>
        <w:tc>
          <w:tcPr>
            <w:tcW w:w="242" w:type="dxa"/>
            <w:tcBorders>
              <w:top w:val="single" w:sz="4" w:space="0" w:color="auto"/>
            </w:tcBorders>
          </w:tcPr>
          <w:p w14:paraId="6FE7B936" w14:textId="77777777" w:rsidR="000B7C9A" w:rsidRPr="00241AB8" w:rsidRDefault="000B7C9A" w:rsidP="00361C45">
            <w:pPr>
              <w:jc w:val="both"/>
              <w:rPr>
                <w:rFonts w:ascii="Arial" w:hAnsi="Arial" w:cs="Arial"/>
                <w:kern w:val="2"/>
              </w:rPr>
            </w:pPr>
          </w:p>
        </w:tc>
      </w:tr>
      <w:tr w:rsidR="000B7C9A" w:rsidRPr="00241AB8" w14:paraId="4893B316" w14:textId="77777777" w:rsidTr="00C608A0">
        <w:trPr>
          <w:trHeight w:val="60"/>
        </w:trPr>
        <w:tc>
          <w:tcPr>
            <w:tcW w:w="2596" w:type="dxa"/>
            <w:tcMar>
              <w:top w:w="0" w:type="dxa"/>
              <w:left w:w="108" w:type="dxa"/>
              <w:bottom w:w="0" w:type="dxa"/>
              <w:right w:w="108" w:type="dxa"/>
            </w:tcMar>
          </w:tcPr>
          <w:p w14:paraId="070D70C6" w14:textId="77777777" w:rsidR="000B7C9A" w:rsidRPr="00241AB8" w:rsidRDefault="000B7C9A" w:rsidP="00361C45">
            <w:pPr>
              <w:rPr>
                <w:rFonts w:ascii="Arial" w:hAnsi="Arial" w:cs="Arial"/>
              </w:rPr>
            </w:pPr>
            <w:r w:rsidRPr="00241AB8">
              <w:rPr>
                <w:rFonts w:ascii="Arial" w:hAnsi="Arial" w:cs="Arial"/>
                <w:kern w:val="2"/>
              </w:rPr>
              <w:t>Serum FSH (mIU/mL)</w:t>
            </w:r>
          </w:p>
        </w:tc>
        <w:tc>
          <w:tcPr>
            <w:tcW w:w="1695" w:type="dxa"/>
            <w:tcMar>
              <w:top w:w="0" w:type="dxa"/>
              <w:left w:w="108" w:type="dxa"/>
              <w:bottom w:w="0" w:type="dxa"/>
              <w:right w:w="108" w:type="dxa"/>
            </w:tcMar>
          </w:tcPr>
          <w:p w14:paraId="29ABFDF3" w14:textId="77777777" w:rsidR="000B7C9A" w:rsidRPr="00241AB8" w:rsidRDefault="000B7C9A" w:rsidP="00361C45">
            <w:pPr>
              <w:jc w:val="center"/>
              <w:rPr>
                <w:rFonts w:ascii="Arial" w:hAnsi="Arial" w:cs="Arial"/>
              </w:rPr>
            </w:pPr>
            <w:r w:rsidRPr="00241AB8">
              <w:rPr>
                <w:rFonts w:ascii="Arial" w:hAnsi="Arial" w:cs="Arial"/>
              </w:rPr>
              <w:t>6.96</w:t>
            </w:r>
            <w:r w:rsidRPr="00241AB8">
              <w:rPr>
                <w:rFonts w:ascii="Arial" w:hAnsi="Arial" w:cs="Arial"/>
                <w:kern w:val="2"/>
              </w:rPr>
              <w:t xml:space="preserve"> ± 0.96</w:t>
            </w:r>
          </w:p>
        </w:tc>
        <w:tc>
          <w:tcPr>
            <w:tcW w:w="1817" w:type="dxa"/>
            <w:tcMar>
              <w:top w:w="0" w:type="dxa"/>
              <w:left w:w="108" w:type="dxa"/>
              <w:bottom w:w="0" w:type="dxa"/>
              <w:right w:w="108" w:type="dxa"/>
            </w:tcMar>
          </w:tcPr>
          <w:p w14:paraId="463A1896" w14:textId="6C109F53" w:rsidR="000B7C9A" w:rsidRPr="00241AB8" w:rsidRDefault="000B7C9A" w:rsidP="00C608A0">
            <w:pPr>
              <w:jc w:val="center"/>
              <w:rPr>
                <w:rFonts w:ascii="Arial" w:hAnsi="Arial" w:cs="Arial"/>
              </w:rPr>
            </w:pPr>
            <w:r w:rsidRPr="00241AB8">
              <w:rPr>
                <w:rFonts w:ascii="Arial" w:hAnsi="Arial" w:cs="Arial"/>
              </w:rPr>
              <w:t>10.64</w:t>
            </w:r>
            <w:r w:rsidRPr="00241AB8">
              <w:rPr>
                <w:rFonts w:ascii="Arial" w:hAnsi="Arial" w:cs="Arial"/>
                <w:kern w:val="2"/>
              </w:rPr>
              <w:t xml:space="preserve"> ± 1.14</w:t>
            </w:r>
          </w:p>
        </w:tc>
        <w:tc>
          <w:tcPr>
            <w:tcW w:w="917" w:type="dxa"/>
            <w:tcMar>
              <w:top w:w="0" w:type="dxa"/>
              <w:left w:w="108" w:type="dxa"/>
              <w:bottom w:w="0" w:type="dxa"/>
              <w:right w:w="108" w:type="dxa"/>
            </w:tcMar>
          </w:tcPr>
          <w:p w14:paraId="3DCE0D02" w14:textId="77777777" w:rsidR="000B7C9A" w:rsidRPr="00241AB8" w:rsidRDefault="000B7C9A" w:rsidP="00361C45">
            <w:pPr>
              <w:jc w:val="both"/>
              <w:rPr>
                <w:rFonts w:ascii="Arial" w:hAnsi="Arial" w:cs="Arial"/>
              </w:rPr>
            </w:pPr>
            <w:r w:rsidRPr="00241AB8">
              <w:rPr>
                <w:rFonts w:ascii="Arial" w:hAnsi="Arial" w:cs="Arial"/>
                <w:kern w:val="2"/>
              </w:rPr>
              <w:t>0.001</w:t>
            </w:r>
          </w:p>
        </w:tc>
        <w:tc>
          <w:tcPr>
            <w:tcW w:w="1235" w:type="dxa"/>
          </w:tcPr>
          <w:p w14:paraId="24D5C964" w14:textId="77777777" w:rsidR="000B7C9A" w:rsidRPr="00241AB8" w:rsidRDefault="000B7C9A" w:rsidP="00361C45">
            <w:pPr>
              <w:jc w:val="both"/>
              <w:rPr>
                <w:rFonts w:ascii="Arial" w:hAnsi="Arial" w:cs="Arial"/>
              </w:rPr>
            </w:pPr>
            <w:r w:rsidRPr="00241AB8">
              <w:rPr>
                <w:rFonts w:ascii="Arial" w:hAnsi="Arial" w:cs="Arial"/>
              </w:rPr>
              <w:t xml:space="preserve">Significant </w:t>
            </w:r>
          </w:p>
        </w:tc>
        <w:tc>
          <w:tcPr>
            <w:tcW w:w="242" w:type="dxa"/>
          </w:tcPr>
          <w:p w14:paraId="389BB5A1" w14:textId="77777777" w:rsidR="000B7C9A" w:rsidRPr="00241AB8" w:rsidRDefault="000B7C9A" w:rsidP="00361C45">
            <w:pPr>
              <w:jc w:val="both"/>
              <w:rPr>
                <w:rFonts w:ascii="Arial" w:hAnsi="Arial" w:cs="Arial"/>
                <w:kern w:val="2"/>
              </w:rPr>
            </w:pPr>
          </w:p>
        </w:tc>
      </w:tr>
    </w:tbl>
    <w:p w14:paraId="654A2569" w14:textId="77777777" w:rsidR="000B7C9A" w:rsidRPr="00241AB8" w:rsidRDefault="000B7C9A" w:rsidP="000B7C9A">
      <w:pPr>
        <w:spacing w:after="160" w:line="480" w:lineRule="auto"/>
        <w:jc w:val="both"/>
        <w:rPr>
          <w:rFonts w:ascii="Arial" w:hAnsi="Arial" w:cs="Arial"/>
        </w:rPr>
      </w:pPr>
      <w:r w:rsidRPr="00241AB8">
        <w:rPr>
          <w:rFonts w:ascii="Arial" w:hAnsi="Arial" w:cs="Arial"/>
          <w:i/>
          <w:iCs/>
          <w:kern w:val="2"/>
        </w:rPr>
        <w:t>Significant at p &lt; 0.05</w:t>
      </w:r>
    </w:p>
    <w:p w14:paraId="5D18F14F" w14:textId="588FF794" w:rsidR="00685D38" w:rsidRPr="00685D38" w:rsidRDefault="00685D38" w:rsidP="00685D38">
      <w:pPr>
        <w:pStyle w:val="Body"/>
        <w:rPr>
          <w:rFonts w:ascii="Arial" w:hAnsi="Arial" w:cs="Arial"/>
        </w:rPr>
      </w:pPr>
      <w:r w:rsidRPr="00685D38">
        <w:rPr>
          <w:rFonts w:ascii="Arial" w:hAnsi="Arial" w:cs="Arial"/>
        </w:rPr>
        <w:t xml:space="preserve">This study was conducted in Rivers State University Teaching Hospital, Port Harcourt. A total of 60 participants were recruited for the study: 30 were naïve HIV patients (had not started ART). 30 were on ART for at least 6 months. The age range of participants was 18–58 years, with a mean age of 34.6 ± 8.2 years. The study had slightly more females (60%) than males (40%), which reflects the higher clinic attendance of women for HIV care in Nigeria. </w:t>
      </w:r>
      <w:r w:rsidR="00C608A0" w:rsidRPr="00685D38">
        <w:rPr>
          <w:rFonts w:ascii="Arial" w:hAnsi="Arial" w:cs="Arial"/>
        </w:rPr>
        <w:t>Most</w:t>
      </w:r>
      <w:r w:rsidRPr="00685D38">
        <w:rPr>
          <w:rFonts w:ascii="Arial" w:hAnsi="Arial" w:cs="Arial"/>
        </w:rPr>
        <w:t xml:space="preserve"> participants were between 30–39 years, which is consistent with the sexually active and economically were s productive age group most affected by HIV in Sub-Saharan Africa </w:t>
      </w:r>
      <w:r w:rsidR="00A83A16" w:rsidRPr="00B54D1E">
        <w:rPr>
          <w:rFonts w:ascii="Arial" w:eastAsia="Calibri" w:hAnsi="Arial" w:cs="Arial"/>
          <w:szCs w:val="22"/>
        </w:rPr>
        <w:t>[</w:t>
      </w:r>
      <w:r w:rsidR="00F55AC5">
        <w:rPr>
          <w:rFonts w:ascii="Arial" w:eastAsia="Calibri" w:hAnsi="Arial" w:cs="Arial"/>
          <w:szCs w:val="22"/>
        </w:rPr>
        <w:t>14</w:t>
      </w:r>
      <w:r w:rsidR="00A83A16" w:rsidRPr="00B54D1E">
        <w:rPr>
          <w:rFonts w:ascii="Arial" w:hAnsi="Arial" w:cs="Arial"/>
        </w:rPr>
        <w:t>]</w:t>
      </w:r>
      <w:r w:rsidRPr="00685D38">
        <w:rPr>
          <w:rFonts w:ascii="Arial" w:hAnsi="Arial" w:cs="Arial"/>
        </w:rPr>
        <w:t>. Most participants ingle (55%), which shows that HIV affects young people who are sexually active yet carefree.</w:t>
      </w:r>
    </w:p>
    <w:p w14:paraId="20EE4316" w14:textId="11306D40" w:rsidR="00685D38" w:rsidRPr="00685D38" w:rsidRDefault="00685D38" w:rsidP="00685D38">
      <w:pPr>
        <w:pStyle w:val="Body"/>
        <w:rPr>
          <w:rFonts w:ascii="Arial" w:hAnsi="Arial" w:cs="Arial"/>
        </w:rPr>
      </w:pPr>
      <w:r w:rsidRPr="00685D38">
        <w:rPr>
          <w:rFonts w:ascii="Arial" w:hAnsi="Arial" w:cs="Arial"/>
        </w:rPr>
        <w:t xml:space="preserve">The study found that naïve HIV </w:t>
      </w:r>
      <w:r w:rsidR="00C608A0">
        <w:rPr>
          <w:rFonts w:ascii="Arial" w:hAnsi="Arial" w:cs="Arial"/>
        </w:rPr>
        <w:t>subjects</w:t>
      </w:r>
      <w:r w:rsidRPr="00685D38">
        <w:rPr>
          <w:rFonts w:ascii="Arial" w:hAnsi="Arial" w:cs="Arial"/>
        </w:rPr>
        <w:t xml:space="preserve"> had a mean serum calcium of 8.22 mg/dL, while ART </w:t>
      </w:r>
      <w:r w:rsidR="00C608A0">
        <w:rPr>
          <w:rFonts w:ascii="Arial" w:hAnsi="Arial" w:cs="Arial"/>
        </w:rPr>
        <w:t>subjects</w:t>
      </w:r>
      <w:r w:rsidRPr="00685D38">
        <w:rPr>
          <w:rFonts w:ascii="Arial" w:hAnsi="Arial" w:cs="Arial"/>
        </w:rPr>
        <w:t xml:space="preserve"> had a lower mean value of 6.49mg/dL. Although both were within the normal reference range (8.8–10.2 mg/dL), the difference was statistically significant (p = 0.001). This agrees with the findings of </w:t>
      </w:r>
      <w:r w:rsidRPr="00DC10BE">
        <w:rPr>
          <w:rFonts w:ascii="Arial" w:hAnsi="Arial" w:cs="Arial"/>
        </w:rPr>
        <w:t xml:space="preserve">Brown et al. </w:t>
      </w:r>
      <w:r w:rsidR="00A83A16" w:rsidRPr="00DC10BE">
        <w:rPr>
          <w:rFonts w:ascii="Arial" w:eastAsia="Calibri" w:hAnsi="Arial" w:cs="Arial"/>
          <w:szCs w:val="22"/>
        </w:rPr>
        <w:t>[</w:t>
      </w:r>
      <w:r w:rsidR="00F55AC5" w:rsidRPr="00DC10BE">
        <w:rPr>
          <w:rFonts w:ascii="Arial" w:eastAsia="Calibri" w:hAnsi="Arial" w:cs="Arial"/>
          <w:szCs w:val="22"/>
        </w:rPr>
        <w:t>15</w:t>
      </w:r>
      <w:r w:rsidR="00A83A16" w:rsidRPr="00DC10BE">
        <w:rPr>
          <w:rFonts w:ascii="Arial" w:hAnsi="Arial" w:cs="Arial"/>
        </w:rPr>
        <w:t>]</w:t>
      </w:r>
      <w:r w:rsidRPr="00685D38">
        <w:rPr>
          <w:rFonts w:ascii="Arial" w:hAnsi="Arial" w:cs="Arial"/>
        </w:rPr>
        <w:t xml:space="preserve"> who reported that long-term ART, especially Tenofovir disoproxil fumarate (TDF), is associated with bone mineral loss due to increased renal calcium excretion. In simpler terms, ART can make calcium “leak” from the bones and kidney, reducing the total calcium available in the blood. Over time, this may increase the risk of osteopenia or osteoporosis in HIV </w:t>
      </w:r>
      <w:r w:rsidR="00C608A0">
        <w:rPr>
          <w:rFonts w:ascii="Arial" w:hAnsi="Arial" w:cs="Arial"/>
        </w:rPr>
        <w:t>subjects</w:t>
      </w:r>
      <w:r w:rsidRPr="00685D38">
        <w:rPr>
          <w:rFonts w:ascii="Arial" w:hAnsi="Arial" w:cs="Arial"/>
        </w:rPr>
        <w:t>.</w:t>
      </w:r>
    </w:p>
    <w:p w14:paraId="6F905F3B" w14:textId="40D08D52" w:rsidR="00685D38" w:rsidRPr="00685D38" w:rsidRDefault="00685D38" w:rsidP="00685D38">
      <w:pPr>
        <w:pStyle w:val="Body"/>
        <w:rPr>
          <w:rFonts w:ascii="Arial" w:hAnsi="Arial" w:cs="Arial"/>
        </w:rPr>
      </w:pPr>
      <w:r w:rsidRPr="00685D38">
        <w:rPr>
          <w:rFonts w:ascii="Arial" w:hAnsi="Arial" w:cs="Arial"/>
        </w:rPr>
        <w:lastRenderedPageBreak/>
        <w:t xml:space="preserve">In Nigeria, a study by Okeke et al. </w:t>
      </w:r>
      <w:r w:rsidR="00A83A16" w:rsidRPr="00B54D1E">
        <w:rPr>
          <w:rFonts w:ascii="Arial" w:eastAsia="Calibri" w:hAnsi="Arial" w:cs="Arial"/>
          <w:szCs w:val="22"/>
        </w:rPr>
        <w:t>[</w:t>
      </w:r>
      <w:r w:rsidR="00F55AC5">
        <w:rPr>
          <w:rFonts w:ascii="Arial" w:eastAsia="Calibri" w:hAnsi="Arial" w:cs="Arial"/>
          <w:szCs w:val="22"/>
        </w:rPr>
        <w:t>16</w:t>
      </w:r>
      <w:r w:rsidR="00A83A16" w:rsidRPr="00B54D1E">
        <w:rPr>
          <w:rFonts w:ascii="Arial" w:hAnsi="Arial" w:cs="Arial"/>
        </w:rPr>
        <w:t>]</w:t>
      </w:r>
      <w:r w:rsidRPr="00685D38">
        <w:rPr>
          <w:rFonts w:ascii="Arial" w:hAnsi="Arial" w:cs="Arial"/>
        </w:rPr>
        <w:t xml:space="preserve"> in Enugu also showed significantly reduced calcium levels in </w:t>
      </w:r>
      <w:r w:rsidR="00C608A0">
        <w:rPr>
          <w:rFonts w:ascii="Arial" w:hAnsi="Arial" w:cs="Arial"/>
        </w:rPr>
        <w:t>subjects</w:t>
      </w:r>
      <w:r w:rsidRPr="00685D38">
        <w:rPr>
          <w:rFonts w:ascii="Arial" w:hAnsi="Arial" w:cs="Arial"/>
        </w:rPr>
        <w:t xml:space="preserve"> on ART compared to ART-naïve </w:t>
      </w:r>
      <w:r w:rsidR="00C608A0">
        <w:rPr>
          <w:rFonts w:ascii="Arial" w:hAnsi="Arial" w:cs="Arial"/>
        </w:rPr>
        <w:t>subjects</w:t>
      </w:r>
      <w:r w:rsidRPr="00685D38">
        <w:rPr>
          <w:rFonts w:ascii="Arial" w:hAnsi="Arial" w:cs="Arial"/>
        </w:rPr>
        <w:t xml:space="preserve">. This finding confirms that what we observed in Port Harcourt is not an isolated case but part of a consistent pattern across different populations. Possible reasons for reduced calcium levels in ART </w:t>
      </w:r>
      <w:r w:rsidR="00C608A0">
        <w:rPr>
          <w:rFonts w:ascii="Arial" w:hAnsi="Arial" w:cs="Arial"/>
        </w:rPr>
        <w:t>subjects</w:t>
      </w:r>
      <w:r w:rsidRPr="00685D38">
        <w:rPr>
          <w:rFonts w:ascii="Arial" w:hAnsi="Arial" w:cs="Arial"/>
        </w:rPr>
        <w:t xml:space="preserve"> include: Direct effect of Tenofovir: Causes renal phosphate </w:t>
      </w:r>
      <w:r w:rsidR="00990E32" w:rsidRPr="00685D38">
        <w:rPr>
          <w:rFonts w:ascii="Arial" w:hAnsi="Arial" w:cs="Arial"/>
        </w:rPr>
        <w:t>waste</w:t>
      </w:r>
      <w:r w:rsidRPr="00685D38">
        <w:rPr>
          <w:rFonts w:ascii="Arial" w:hAnsi="Arial" w:cs="Arial"/>
        </w:rPr>
        <w:t xml:space="preserve"> and low calcium retention. Vitamin D deficiency: Common in HIV </w:t>
      </w:r>
      <w:r w:rsidR="00C608A0">
        <w:rPr>
          <w:rFonts w:ascii="Arial" w:hAnsi="Arial" w:cs="Arial"/>
        </w:rPr>
        <w:t>subjects</w:t>
      </w:r>
      <w:r w:rsidRPr="00685D38">
        <w:rPr>
          <w:rFonts w:ascii="Arial" w:hAnsi="Arial" w:cs="Arial"/>
        </w:rPr>
        <w:t xml:space="preserve">, worsens calcium imbalance. Chronic inflammation: HIV infection itself disrupts bone metabolism by increasing cytokines that reduce calcium absorption. Lower calcium levels may not immediately cause symptoms, but with long-term ART, </w:t>
      </w:r>
      <w:r w:rsidR="00C608A0">
        <w:rPr>
          <w:rFonts w:ascii="Arial" w:hAnsi="Arial" w:cs="Arial"/>
        </w:rPr>
        <w:t>subjects</w:t>
      </w:r>
      <w:r w:rsidRPr="00685D38">
        <w:rPr>
          <w:rFonts w:ascii="Arial" w:hAnsi="Arial" w:cs="Arial"/>
        </w:rPr>
        <w:t xml:space="preserve"> are at higher risk of bone weakness, fractures, and dental problems. Therefore, monitoring calcium levels should be part of HIV care. The study revealed that naïve HIV </w:t>
      </w:r>
      <w:r w:rsidR="00C608A0">
        <w:rPr>
          <w:rFonts w:ascii="Arial" w:hAnsi="Arial" w:cs="Arial"/>
        </w:rPr>
        <w:t>subjects</w:t>
      </w:r>
      <w:r w:rsidRPr="00685D38">
        <w:rPr>
          <w:rFonts w:ascii="Arial" w:hAnsi="Arial" w:cs="Arial"/>
        </w:rPr>
        <w:t xml:space="preserve"> had a mean serum FSH of 6.96 mIU/mL, while ART </w:t>
      </w:r>
      <w:r w:rsidR="00C608A0">
        <w:rPr>
          <w:rFonts w:ascii="Arial" w:hAnsi="Arial" w:cs="Arial"/>
        </w:rPr>
        <w:t>subjects</w:t>
      </w:r>
      <w:r w:rsidRPr="00685D38">
        <w:rPr>
          <w:rFonts w:ascii="Arial" w:hAnsi="Arial" w:cs="Arial"/>
        </w:rPr>
        <w:t xml:space="preserve"> had significantly higher levels (10.64 mIU/mL, p = 0.001)</w:t>
      </w:r>
      <w:r w:rsidR="00F55AC5">
        <w:rPr>
          <w:rFonts w:ascii="Arial" w:hAnsi="Arial" w:cs="Arial"/>
        </w:rPr>
        <w:t xml:space="preserve"> </w:t>
      </w:r>
      <w:r w:rsidR="00F55AC5" w:rsidRPr="00B54D1E">
        <w:rPr>
          <w:rFonts w:ascii="Arial" w:eastAsia="Calibri" w:hAnsi="Arial" w:cs="Arial"/>
          <w:szCs w:val="22"/>
        </w:rPr>
        <w:t>[</w:t>
      </w:r>
      <w:r w:rsidR="00F55AC5">
        <w:rPr>
          <w:rFonts w:ascii="Arial" w:eastAsia="Calibri" w:hAnsi="Arial" w:cs="Arial"/>
          <w:szCs w:val="22"/>
        </w:rPr>
        <w:t>16</w:t>
      </w:r>
      <w:r w:rsidR="00F55AC5" w:rsidRPr="00B54D1E">
        <w:rPr>
          <w:rFonts w:ascii="Arial" w:hAnsi="Arial" w:cs="Arial"/>
        </w:rPr>
        <w:t>]</w:t>
      </w:r>
      <w:r w:rsidRPr="00685D38">
        <w:rPr>
          <w:rFonts w:ascii="Arial" w:hAnsi="Arial" w:cs="Arial"/>
        </w:rPr>
        <w:t>.</w:t>
      </w:r>
    </w:p>
    <w:p w14:paraId="3FB56E60" w14:textId="47B4049E" w:rsidR="00685D38" w:rsidRPr="00685D38" w:rsidRDefault="00685D38" w:rsidP="00685D38">
      <w:pPr>
        <w:pStyle w:val="Body"/>
        <w:rPr>
          <w:rFonts w:ascii="Arial" w:hAnsi="Arial" w:cs="Arial"/>
        </w:rPr>
      </w:pPr>
      <w:r w:rsidRPr="00685D38">
        <w:rPr>
          <w:rFonts w:ascii="Arial" w:hAnsi="Arial" w:cs="Arial"/>
        </w:rPr>
        <w:t xml:space="preserve">This means that ART </w:t>
      </w:r>
      <w:r w:rsidR="00C608A0">
        <w:rPr>
          <w:rFonts w:ascii="Arial" w:hAnsi="Arial" w:cs="Arial"/>
        </w:rPr>
        <w:t>subjects</w:t>
      </w:r>
      <w:r w:rsidRPr="00685D38">
        <w:rPr>
          <w:rFonts w:ascii="Arial" w:hAnsi="Arial" w:cs="Arial"/>
        </w:rPr>
        <w:t xml:space="preserve"> </w:t>
      </w:r>
      <w:r w:rsidR="00361C45" w:rsidRPr="00685D38">
        <w:rPr>
          <w:rFonts w:ascii="Arial" w:hAnsi="Arial" w:cs="Arial"/>
        </w:rPr>
        <w:t>tend</w:t>
      </w:r>
      <w:r w:rsidRPr="00685D38">
        <w:rPr>
          <w:rFonts w:ascii="Arial" w:hAnsi="Arial" w:cs="Arial"/>
        </w:rPr>
        <w:t xml:space="preserve"> to have elevated FSH levels, which is a sign of possible gonadal dysfunction. When the testes in men or ovaries in women do not function properly, the pituitary gland responds by releasing more FSH </w:t>
      </w:r>
      <w:r w:rsidR="00AF77B0" w:rsidRPr="00685D38">
        <w:rPr>
          <w:rFonts w:ascii="Arial" w:hAnsi="Arial" w:cs="Arial"/>
        </w:rPr>
        <w:t>to</w:t>
      </w:r>
      <w:r w:rsidRPr="00685D38">
        <w:rPr>
          <w:rFonts w:ascii="Arial" w:hAnsi="Arial" w:cs="Arial"/>
        </w:rPr>
        <w:t xml:space="preserve"> stimulate them.</w:t>
      </w:r>
      <w:r w:rsidR="00BC2150">
        <w:rPr>
          <w:rFonts w:ascii="Arial" w:hAnsi="Arial" w:cs="Arial"/>
        </w:rPr>
        <w:t xml:space="preserve"> </w:t>
      </w:r>
      <w:r w:rsidRPr="00685D38">
        <w:rPr>
          <w:rFonts w:ascii="Arial" w:hAnsi="Arial" w:cs="Arial"/>
        </w:rPr>
        <w:t xml:space="preserve">This is consistent with the work of </w:t>
      </w:r>
      <w:r w:rsidR="00A83A16" w:rsidRPr="00B54D1E">
        <w:rPr>
          <w:rFonts w:ascii="Arial" w:eastAsia="Calibri" w:hAnsi="Arial" w:cs="Arial"/>
          <w:szCs w:val="22"/>
        </w:rPr>
        <w:t>[</w:t>
      </w:r>
      <w:r w:rsidR="00F55AC5">
        <w:rPr>
          <w:rFonts w:ascii="Arial" w:eastAsia="Calibri" w:hAnsi="Arial" w:cs="Arial"/>
          <w:szCs w:val="22"/>
        </w:rPr>
        <w:t>17</w:t>
      </w:r>
      <w:r w:rsidR="00A83A16" w:rsidRPr="00B54D1E">
        <w:rPr>
          <w:rFonts w:ascii="Arial" w:hAnsi="Arial" w:cs="Arial"/>
        </w:rPr>
        <w:t>]</w:t>
      </w:r>
      <w:r w:rsidRPr="00685D38">
        <w:rPr>
          <w:rFonts w:ascii="Arial" w:hAnsi="Arial" w:cs="Arial"/>
        </w:rPr>
        <w:t xml:space="preserve">, who reported that HIV </w:t>
      </w:r>
      <w:r w:rsidR="00C608A0">
        <w:rPr>
          <w:rFonts w:ascii="Arial" w:hAnsi="Arial" w:cs="Arial"/>
        </w:rPr>
        <w:t>subjects</w:t>
      </w:r>
      <w:r w:rsidRPr="00685D38">
        <w:rPr>
          <w:rFonts w:ascii="Arial" w:hAnsi="Arial" w:cs="Arial"/>
        </w:rPr>
        <w:t xml:space="preserve"> on ART had higher rates of hypogonadism compared to those not yet on treatment. Similarly, </w:t>
      </w:r>
      <w:bookmarkStart w:id="2" w:name="_Hlk215908285"/>
      <w:r w:rsidR="00583753" w:rsidRPr="00583753">
        <w:rPr>
          <w:rFonts w:ascii="Arial" w:hAnsi="Arial" w:cs="Arial"/>
        </w:rPr>
        <w:t>Ezeugwunne</w:t>
      </w:r>
      <w:r w:rsidRPr="00583753">
        <w:rPr>
          <w:rFonts w:ascii="Arial" w:hAnsi="Arial" w:cs="Arial"/>
        </w:rPr>
        <w:t xml:space="preserve"> et al.</w:t>
      </w:r>
      <w:r w:rsidR="00A83A16" w:rsidRPr="00583753">
        <w:rPr>
          <w:rFonts w:ascii="Arial" w:eastAsia="Calibri" w:hAnsi="Arial" w:cs="Arial"/>
          <w:szCs w:val="22"/>
        </w:rPr>
        <w:t xml:space="preserve"> </w:t>
      </w:r>
      <w:bookmarkEnd w:id="2"/>
      <w:r w:rsidR="00A83A16" w:rsidRPr="00583753">
        <w:rPr>
          <w:rFonts w:ascii="Arial" w:eastAsia="Calibri" w:hAnsi="Arial" w:cs="Arial"/>
          <w:szCs w:val="22"/>
        </w:rPr>
        <w:t>[</w:t>
      </w:r>
      <w:r w:rsidR="00F55AC5" w:rsidRPr="00583753">
        <w:rPr>
          <w:rFonts w:ascii="Arial" w:eastAsia="Calibri" w:hAnsi="Arial" w:cs="Arial"/>
          <w:szCs w:val="22"/>
        </w:rPr>
        <w:t>18</w:t>
      </w:r>
      <w:r w:rsidR="00A83A16" w:rsidRPr="00583753">
        <w:rPr>
          <w:rFonts w:ascii="Arial" w:hAnsi="Arial" w:cs="Arial"/>
        </w:rPr>
        <w:t>]</w:t>
      </w:r>
      <w:r w:rsidRPr="00583753">
        <w:rPr>
          <w:rFonts w:ascii="Arial" w:hAnsi="Arial" w:cs="Arial"/>
        </w:rPr>
        <w:t xml:space="preserve"> in</w:t>
      </w:r>
      <w:r w:rsidRPr="00685D38">
        <w:rPr>
          <w:rFonts w:ascii="Arial" w:hAnsi="Arial" w:cs="Arial"/>
        </w:rPr>
        <w:t xml:space="preserve"> Lagos, Nigeria, observed significantly higher FSH and LH levels in male HIV </w:t>
      </w:r>
      <w:r w:rsidR="00C608A0">
        <w:rPr>
          <w:rFonts w:ascii="Arial" w:hAnsi="Arial" w:cs="Arial"/>
        </w:rPr>
        <w:t>subjects</w:t>
      </w:r>
      <w:r w:rsidRPr="00685D38">
        <w:rPr>
          <w:rFonts w:ascii="Arial" w:hAnsi="Arial" w:cs="Arial"/>
        </w:rPr>
        <w:t xml:space="preserve"> on ART, suggesting testicular failure. ART drugs, particularly protease inhibitors, may interfere with steroid hormone synthesis. HIV infection itself causes chronic immune activation, damaging reproductive organs. Long-term illness and malnutrition also contribute to reduced gonadal function.</w:t>
      </w:r>
    </w:p>
    <w:p w14:paraId="2E58338A" w14:textId="41D06DEA" w:rsidR="00685D38" w:rsidRPr="00685D38" w:rsidRDefault="00685D38" w:rsidP="00685D38">
      <w:pPr>
        <w:pStyle w:val="Body"/>
        <w:rPr>
          <w:rFonts w:ascii="Arial" w:hAnsi="Arial" w:cs="Arial"/>
        </w:rPr>
      </w:pPr>
      <w:r w:rsidRPr="00685D38">
        <w:rPr>
          <w:rFonts w:ascii="Arial" w:hAnsi="Arial" w:cs="Arial"/>
        </w:rPr>
        <w:t xml:space="preserve">Raised FSH levels suggest that ART </w:t>
      </w:r>
      <w:r w:rsidR="00C608A0">
        <w:rPr>
          <w:rFonts w:ascii="Arial" w:hAnsi="Arial" w:cs="Arial"/>
        </w:rPr>
        <w:t>subjects</w:t>
      </w:r>
      <w:r w:rsidRPr="00685D38">
        <w:rPr>
          <w:rFonts w:ascii="Arial" w:hAnsi="Arial" w:cs="Arial"/>
        </w:rPr>
        <w:t xml:space="preserve"> may be at risk of reproductive problems, including infertility, menstrual irregularities in women, and low sperm counts in men. This is especially important in Port Harcourt, where many HIV </w:t>
      </w:r>
      <w:r w:rsidR="00C608A0">
        <w:rPr>
          <w:rFonts w:ascii="Arial" w:hAnsi="Arial" w:cs="Arial"/>
        </w:rPr>
        <w:t>subjects</w:t>
      </w:r>
      <w:r w:rsidRPr="00685D38">
        <w:rPr>
          <w:rFonts w:ascii="Arial" w:hAnsi="Arial" w:cs="Arial"/>
        </w:rPr>
        <w:t xml:space="preserve"> are within the reproductive age group (20–40 years) and may wish to have children. Taken together, this study shows that ART significantly alters both calcium and FSH levels in HIV </w:t>
      </w:r>
      <w:r w:rsidR="00C608A0">
        <w:rPr>
          <w:rFonts w:ascii="Arial" w:hAnsi="Arial" w:cs="Arial"/>
        </w:rPr>
        <w:t>subjects</w:t>
      </w:r>
      <w:r w:rsidRPr="00685D38">
        <w:rPr>
          <w:rFonts w:ascii="Arial" w:hAnsi="Arial" w:cs="Arial"/>
        </w:rPr>
        <w:t xml:space="preserve">. While ART is lifesaving and reduces HIV-related deaths, it comes with side effects that affect bone metabolism (via calcium) and reproductive function (via FSH). This dual effect has also been highlighted by </w:t>
      </w:r>
      <w:bookmarkStart w:id="3" w:name="_Hlk215908437"/>
      <w:r w:rsidRPr="00DB3D24">
        <w:rPr>
          <w:rFonts w:ascii="Arial" w:hAnsi="Arial" w:cs="Arial"/>
        </w:rPr>
        <w:t>WHO (2021)</w:t>
      </w:r>
      <w:r w:rsidR="00A83A16" w:rsidRPr="00DB3D24">
        <w:rPr>
          <w:rFonts w:ascii="Arial" w:eastAsia="Calibri" w:hAnsi="Arial" w:cs="Arial"/>
          <w:szCs w:val="22"/>
        </w:rPr>
        <w:t xml:space="preserve"> </w:t>
      </w:r>
      <w:bookmarkEnd w:id="3"/>
      <w:r w:rsidR="00A83A16" w:rsidRPr="00DB3D24">
        <w:rPr>
          <w:rFonts w:ascii="Arial" w:eastAsia="Calibri" w:hAnsi="Arial" w:cs="Arial"/>
          <w:szCs w:val="22"/>
        </w:rPr>
        <w:t>[</w:t>
      </w:r>
      <w:r w:rsidR="00F55AC5" w:rsidRPr="00DB3D24">
        <w:rPr>
          <w:rFonts w:ascii="Arial" w:eastAsia="Calibri" w:hAnsi="Arial" w:cs="Arial"/>
          <w:szCs w:val="22"/>
        </w:rPr>
        <w:t>19</w:t>
      </w:r>
      <w:r w:rsidR="00A83A16" w:rsidRPr="00DB3D24">
        <w:rPr>
          <w:rFonts w:ascii="Arial" w:hAnsi="Arial" w:cs="Arial"/>
        </w:rPr>
        <w:t>]</w:t>
      </w:r>
      <w:r w:rsidRPr="00DB3D24">
        <w:rPr>
          <w:rFonts w:ascii="Arial" w:hAnsi="Arial" w:cs="Arial"/>
        </w:rPr>
        <w:t>,</w:t>
      </w:r>
      <w:r w:rsidRPr="00685D38">
        <w:rPr>
          <w:rFonts w:ascii="Arial" w:hAnsi="Arial" w:cs="Arial"/>
        </w:rPr>
        <w:t xml:space="preserve"> which recommends that HIV care should not only focus on viral suppression but also on the long-term metabolic and hormonal complications of ART. Our findings also agree with the broader evidence that ART, while essential, must be monitored carefully, with periodic checks on calcium and hormone levels to prevent long-term complications. </w:t>
      </w:r>
      <w:r w:rsidR="00F55AC5" w:rsidRPr="00685D38">
        <w:rPr>
          <w:rFonts w:ascii="Arial" w:hAnsi="Arial" w:cs="Arial"/>
        </w:rPr>
        <w:t>Like</w:t>
      </w:r>
      <w:r w:rsidRPr="00685D38">
        <w:rPr>
          <w:rFonts w:ascii="Arial" w:hAnsi="Arial" w:cs="Arial"/>
        </w:rPr>
        <w:t xml:space="preserve"> Okeke et al. </w:t>
      </w:r>
      <w:r w:rsidR="00A83A16" w:rsidRPr="00B54D1E">
        <w:rPr>
          <w:rFonts w:ascii="Arial" w:eastAsia="Calibri" w:hAnsi="Arial" w:cs="Arial"/>
          <w:szCs w:val="22"/>
        </w:rPr>
        <w:t>[</w:t>
      </w:r>
      <w:r w:rsidR="00F55AC5">
        <w:rPr>
          <w:rFonts w:ascii="Arial" w:eastAsia="Calibri" w:hAnsi="Arial" w:cs="Arial"/>
          <w:szCs w:val="22"/>
        </w:rPr>
        <w:t>16</w:t>
      </w:r>
      <w:r w:rsidR="00A83A16" w:rsidRPr="00B54D1E">
        <w:rPr>
          <w:rFonts w:ascii="Arial" w:hAnsi="Arial" w:cs="Arial"/>
        </w:rPr>
        <w:t>]</w:t>
      </w:r>
      <w:r w:rsidRPr="00685D38">
        <w:rPr>
          <w:rFonts w:ascii="Arial" w:hAnsi="Arial" w:cs="Arial"/>
        </w:rPr>
        <w:t xml:space="preserve"> and </w:t>
      </w:r>
      <w:r w:rsidR="00FC7EFD" w:rsidRPr="008714E3">
        <w:rPr>
          <w:rFonts w:ascii="Arial" w:hAnsi="Arial" w:cs="Arial"/>
        </w:rPr>
        <w:t>Asha</w:t>
      </w:r>
      <w:r w:rsidR="00FC7EFD" w:rsidRPr="00FC7EFD">
        <w:rPr>
          <w:rFonts w:ascii="Arial" w:hAnsi="Arial" w:cs="Arial"/>
        </w:rPr>
        <w:t>, et al.</w:t>
      </w:r>
      <w:r w:rsidRPr="00FC7EFD">
        <w:rPr>
          <w:rFonts w:ascii="Arial" w:hAnsi="Arial" w:cs="Arial"/>
        </w:rPr>
        <w:t xml:space="preserve"> </w:t>
      </w:r>
      <w:r w:rsidR="00A83A16" w:rsidRPr="00FC7EFD">
        <w:rPr>
          <w:rFonts w:ascii="Arial" w:eastAsia="Calibri" w:hAnsi="Arial" w:cs="Arial"/>
          <w:szCs w:val="22"/>
        </w:rPr>
        <w:t>[</w:t>
      </w:r>
      <w:r w:rsidR="0099268A" w:rsidRPr="00FC7EFD">
        <w:rPr>
          <w:rFonts w:ascii="Arial" w:eastAsia="Calibri" w:hAnsi="Arial" w:cs="Arial"/>
          <w:szCs w:val="22"/>
        </w:rPr>
        <w:t>15</w:t>
      </w:r>
      <w:r w:rsidR="00A83A16" w:rsidRPr="00FC7EFD">
        <w:rPr>
          <w:rFonts w:ascii="Arial" w:hAnsi="Arial" w:cs="Arial"/>
        </w:rPr>
        <w:t>]</w:t>
      </w:r>
      <w:r w:rsidRPr="00685D38">
        <w:rPr>
          <w:rFonts w:ascii="Arial" w:hAnsi="Arial" w:cs="Arial"/>
        </w:rPr>
        <w:t xml:space="preserve"> who reported reduced calcium in ART </w:t>
      </w:r>
      <w:r w:rsidR="00C608A0">
        <w:rPr>
          <w:rFonts w:ascii="Arial" w:hAnsi="Arial" w:cs="Arial"/>
        </w:rPr>
        <w:t>subjects</w:t>
      </w:r>
      <w:r w:rsidRPr="00685D38">
        <w:rPr>
          <w:rFonts w:ascii="Arial" w:hAnsi="Arial" w:cs="Arial"/>
        </w:rPr>
        <w:t xml:space="preserve">. Slightly different from Mugisha et al. </w:t>
      </w:r>
      <w:r w:rsidR="0099268A" w:rsidRPr="00B54D1E">
        <w:rPr>
          <w:rFonts w:ascii="Arial" w:eastAsia="Calibri" w:hAnsi="Arial" w:cs="Arial"/>
          <w:szCs w:val="22"/>
        </w:rPr>
        <w:t>[</w:t>
      </w:r>
      <w:r w:rsidR="0099268A">
        <w:rPr>
          <w:rFonts w:ascii="Arial" w:eastAsia="Calibri" w:hAnsi="Arial" w:cs="Arial"/>
          <w:szCs w:val="22"/>
        </w:rPr>
        <w:t>20</w:t>
      </w:r>
      <w:r w:rsidR="0099268A" w:rsidRPr="00B54D1E">
        <w:rPr>
          <w:rFonts w:ascii="Arial" w:hAnsi="Arial" w:cs="Arial"/>
        </w:rPr>
        <w:t>]</w:t>
      </w:r>
      <w:r w:rsidRPr="00685D38">
        <w:rPr>
          <w:rFonts w:ascii="Arial" w:hAnsi="Arial" w:cs="Arial"/>
        </w:rPr>
        <w:t>, where no significant calcium differences were found. The difference could be due to dietary calcium intake in Ugandan populations being higher (milk-based diets).</w:t>
      </w:r>
    </w:p>
    <w:p w14:paraId="08BE06BC" w14:textId="4123DD4D" w:rsidR="00685D38" w:rsidRPr="00685D38" w:rsidRDefault="00685D38" w:rsidP="00685D38">
      <w:pPr>
        <w:pStyle w:val="Body"/>
        <w:rPr>
          <w:rFonts w:ascii="Arial" w:hAnsi="Arial" w:cs="Arial"/>
        </w:rPr>
      </w:pPr>
      <w:r w:rsidRPr="00685D38">
        <w:rPr>
          <w:rFonts w:ascii="Arial" w:hAnsi="Arial" w:cs="Arial"/>
        </w:rPr>
        <w:t>Consistent with Schwartz et al.</w:t>
      </w:r>
      <w:r w:rsidR="0099268A">
        <w:rPr>
          <w:rFonts w:ascii="Arial" w:hAnsi="Arial" w:cs="Arial"/>
        </w:rPr>
        <w:t xml:space="preserve"> </w:t>
      </w:r>
      <w:r w:rsidR="0099268A" w:rsidRPr="00B54D1E">
        <w:rPr>
          <w:rFonts w:ascii="Arial" w:eastAsia="Calibri" w:hAnsi="Arial" w:cs="Arial"/>
          <w:szCs w:val="22"/>
        </w:rPr>
        <w:t>[</w:t>
      </w:r>
      <w:r w:rsidR="0099268A">
        <w:rPr>
          <w:rFonts w:ascii="Arial" w:eastAsia="Calibri" w:hAnsi="Arial" w:cs="Arial"/>
          <w:szCs w:val="22"/>
        </w:rPr>
        <w:t>17</w:t>
      </w:r>
      <w:r w:rsidR="0099268A" w:rsidRPr="00B54D1E">
        <w:rPr>
          <w:rFonts w:ascii="Arial" w:hAnsi="Arial" w:cs="Arial"/>
        </w:rPr>
        <w:t>]</w:t>
      </w:r>
      <w:r w:rsidR="0099268A" w:rsidRPr="00685D38">
        <w:rPr>
          <w:rFonts w:ascii="Arial" w:hAnsi="Arial" w:cs="Arial"/>
        </w:rPr>
        <w:t xml:space="preserve"> and</w:t>
      </w:r>
      <w:r w:rsidRPr="00685D38">
        <w:rPr>
          <w:rFonts w:ascii="Arial" w:hAnsi="Arial" w:cs="Arial"/>
        </w:rPr>
        <w:t xml:space="preserve"> </w:t>
      </w:r>
      <w:r w:rsidR="004F707D" w:rsidRPr="000C79C5">
        <w:rPr>
          <w:rFonts w:ascii="Arial" w:hAnsi="Arial" w:cs="Arial"/>
        </w:rPr>
        <w:t>Ezeugwunne</w:t>
      </w:r>
      <w:r w:rsidRPr="00685D38">
        <w:rPr>
          <w:rFonts w:ascii="Arial" w:hAnsi="Arial" w:cs="Arial"/>
        </w:rPr>
        <w:t xml:space="preserve"> et al. </w:t>
      </w:r>
      <w:r w:rsidR="00A83A16" w:rsidRPr="00B54D1E">
        <w:rPr>
          <w:rFonts w:ascii="Arial" w:eastAsia="Calibri" w:hAnsi="Arial" w:cs="Arial"/>
          <w:szCs w:val="22"/>
        </w:rPr>
        <w:t>[</w:t>
      </w:r>
      <w:r w:rsidR="0099268A">
        <w:rPr>
          <w:rFonts w:ascii="Arial" w:eastAsia="Calibri" w:hAnsi="Arial" w:cs="Arial"/>
          <w:szCs w:val="22"/>
        </w:rPr>
        <w:t>18</w:t>
      </w:r>
      <w:r w:rsidR="00A83A16" w:rsidRPr="00B54D1E">
        <w:rPr>
          <w:rFonts w:ascii="Arial" w:hAnsi="Arial" w:cs="Arial"/>
        </w:rPr>
        <w:t>]</w:t>
      </w:r>
      <w:r w:rsidRPr="00685D38">
        <w:rPr>
          <w:rFonts w:ascii="Arial" w:hAnsi="Arial" w:cs="Arial"/>
        </w:rPr>
        <w:t xml:space="preserve"> who observed increased FSH in ART </w:t>
      </w:r>
      <w:r w:rsidR="00C608A0">
        <w:rPr>
          <w:rFonts w:ascii="Arial" w:hAnsi="Arial" w:cs="Arial"/>
        </w:rPr>
        <w:t>subjects</w:t>
      </w:r>
      <w:r w:rsidRPr="00685D38">
        <w:rPr>
          <w:rFonts w:ascii="Arial" w:hAnsi="Arial" w:cs="Arial"/>
        </w:rPr>
        <w:t xml:space="preserve">. Contradicts some earlier studies, where no change in FSH was observed. Differences may be due to shorter ART duration in their sample. The results of this study have major implications for both clinicians and </w:t>
      </w:r>
      <w:r w:rsidR="00C608A0">
        <w:rPr>
          <w:rFonts w:ascii="Arial" w:hAnsi="Arial" w:cs="Arial"/>
        </w:rPr>
        <w:t>subjects</w:t>
      </w:r>
      <w:r w:rsidRPr="00685D38">
        <w:rPr>
          <w:rFonts w:ascii="Arial" w:hAnsi="Arial" w:cs="Arial"/>
        </w:rPr>
        <w:t xml:space="preserve">: ART </w:t>
      </w:r>
      <w:r w:rsidR="00C608A0">
        <w:rPr>
          <w:rFonts w:ascii="Arial" w:hAnsi="Arial" w:cs="Arial"/>
        </w:rPr>
        <w:t>subjects</w:t>
      </w:r>
      <w:r w:rsidRPr="00685D38">
        <w:rPr>
          <w:rFonts w:ascii="Arial" w:hAnsi="Arial" w:cs="Arial"/>
        </w:rPr>
        <w:t xml:space="preserve"> are at higher risk of low calcium, which can lead to fragile bones.</w:t>
      </w:r>
    </w:p>
    <w:p w14:paraId="2AA1A368" w14:textId="0AC754DA" w:rsidR="00685D38" w:rsidRPr="00685D38" w:rsidRDefault="00685D38" w:rsidP="00685D38">
      <w:pPr>
        <w:pStyle w:val="Body"/>
        <w:rPr>
          <w:rFonts w:ascii="Arial" w:hAnsi="Arial" w:cs="Arial"/>
        </w:rPr>
      </w:pPr>
      <w:r w:rsidRPr="00685D38">
        <w:rPr>
          <w:rFonts w:ascii="Arial" w:hAnsi="Arial" w:cs="Arial"/>
        </w:rPr>
        <w:t>Routine serum calcium and Vitamin D monitoring should be introduced in HIV clinics.</w:t>
      </w:r>
      <w:r w:rsidR="0099268A">
        <w:rPr>
          <w:rFonts w:ascii="Arial" w:hAnsi="Arial" w:cs="Arial"/>
        </w:rPr>
        <w:t xml:space="preserve"> </w:t>
      </w:r>
      <w:r w:rsidRPr="00685D38">
        <w:rPr>
          <w:rFonts w:ascii="Arial" w:hAnsi="Arial" w:cs="Arial"/>
        </w:rPr>
        <w:t xml:space="preserve">Higher FSH levels point to possible fertility problems. HIV care should integrate reproductive counseling and hormonal assessments. Nigerian HIV treatment guidelines should include calcium and hormone monitoring for </w:t>
      </w:r>
      <w:r w:rsidR="00C608A0">
        <w:rPr>
          <w:rFonts w:ascii="Arial" w:hAnsi="Arial" w:cs="Arial"/>
        </w:rPr>
        <w:t>subjects</w:t>
      </w:r>
      <w:r w:rsidRPr="00685D38">
        <w:rPr>
          <w:rFonts w:ascii="Arial" w:hAnsi="Arial" w:cs="Arial"/>
        </w:rPr>
        <w:t xml:space="preserve"> on ART. </w:t>
      </w:r>
      <w:r w:rsidR="00C608A0">
        <w:rPr>
          <w:rFonts w:ascii="Arial" w:hAnsi="Arial" w:cs="Arial"/>
        </w:rPr>
        <w:t>Subjects</w:t>
      </w:r>
      <w:r w:rsidRPr="00685D38">
        <w:rPr>
          <w:rFonts w:ascii="Arial" w:hAnsi="Arial" w:cs="Arial"/>
        </w:rPr>
        <w:t xml:space="preserve"> should be educated about nutrition e.g., eating calcium-rich foods (milk, fish, vegetables).</w:t>
      </w:r>
    </w:p>
    <w:p w14:paraId="0C294C1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70C8745" w14:textId="1FB21716" w:rsidR="00685D38" w:rsidRDefault="00685D38" w:rsidP="00685D38">
      <w:pPr>
        <w:pStyle w:val="Body"/>
        <w:spacing w:after="0"/>
        <w:rPr>
          <w:rFonts w:ascii="Arial" w:hAnsi="Arial" w:cs="Arial"/>
        </w:rPr>
      </w:pPr>
      <w:r w:rsidRPr="00685D38">
        <w:rPr>
          <w:rFonts w:ascii="Arial" w:hAnsi="Arial" w:cs="Arial"/>
        </w:rPr>
        <w:t xml:space="preserve">HIV </w:t>
      </w:r>
      <w:r w:rsidR="00C608A0">
        <w:rPr>
          <w:rFonts w:ascii="Arial" w:hAnsi="Arial" w:cs="Arial"/>
        </w:rPr>
        <w:t>subjects</w:t>
      </w:r>
      <w:r w:rsidRPr="00685D38">
        <w:rPr>
          <w:rFonts w:ascii="Arial" w:hAnsi="Arial" w:cs="Arial"/>
        </w:rPr>
        <w:t xml:space="preserve"> on ART had significantly lower serum calcium levels compared to naïve </w:t>
      </w:r>
      <w:r w:rsidR="00C608A0">
        <w:rPr>
          <w:rFonts w:ascii="Arial" w:hAnsi="Arial" w:cs="Arial"/>
        </w:rPr>
        <w:t>subjects</w:t>
      </w:r>
      <w:r w:rsidRPr="00685D38">
        <w:rPr>
          <w:rFonts w:ascii="Arial" w:hAnsi="Arial" w:cs="Arial"/>
        </w:rPr>
        <w:t xml:space="preserve">. HIV </w:t>
      </w:r>
      <w:r w:rsidR="00C608A0">
        <w:rPr>
          <w:rFonts w:ascii="Arial" w:hAnsi="Arial" w:cs="Arial"/>
        </w:rPr>
        <w:t>subjects</w:t>
      </w:r>
      <w:r w:rsidRPr="00685D38">
        <w:rPr>
          <w:rFonts w:ascii="Arial" w:hAnsi="Arial" w:cs="Arial"/>
        </w:rPr>
        <w:t xml:space="preserve"> on ART had significantly higher serum FSH levels compared to naïve </w:t>
      </w:r>
      <w:r w:rsidR="00C608A0">
        <w:rPr>
          <w:rFonts w:ascii="Arial" w:hAnsi="Arial" w:cs="Arial"/>
        </w:rPr>
        <w:t>subjects</w:t>
      </w:r>
      <w:r w:rsidRPr="00685D38">
        <w:rPr>
          <w:rFonts w:ascii="Arial" w:hAnsi="Arial" w:cs="Arial"/>
        </w:rPr>
        <w:t xml:space="preserve">. These changes suggest that ART affects both bone metabolism and reproductive hormone regulation in HIV </w:t>
      </w:r>
      <w:r w:rsidR="00C608A0">
        <w:rPr>
          <w:rFonts w:ascii="Arial" w:hAnsi="Arial" w:cs="Arial"/>
        </w:rPr>
        <w:t>subjects</w:t>
      </w:r>
      <w:r w:rsidRPr="00685D38">
        <w:rPr>
          <w:rFonts w:ascii="Arial" w:hAnsi="Arial" w:cs="Arial"/>
        </w:rPr>
        <w:t>. Therefore, while ART is essential for survival, it comes with side effects that require early detection and management.</w:t>
      </w:r>
      <w:r w:rsidR="00E64AC3">
        <w:rPr>
          <w:rFonts w:ascii="Arial" w:hAnsi="Arial" w:cs="Arial"/>
        </w:rPr>
        <w:t xml:space="preserve"> </w:t>
      </w:r>
      <w:r w:rsidR="00E64AC3" w:rsidRPr="00E64AC3">
        <w:rPr>
          <w:rFonts w:ascii="Arial" w:hAnsi="Arial" w:cs="Arial"/>
          <w:highlight w:val="yellow"/>
        </w:rPr>
        <w:t>The elevated FSH levels in ART patients indicate possible pituitary-gonadal axis dysfunction, underscoring reproductive health risks such as infertility that are often overlooked in HIV care guidelines.  By advocating for routine monitoring and dietary interventions in Nigeria's HIV protocols, this study promotes proactive strategies to improve long-term patient outcomes, bridging gaps in global HIV research focused on Western populations.</w:t>
      </w:r>
    </w:p>
    <w:p w14:paraId="7F6FCEC2" w14:textId="77777777" w:rsidR="00790ADA" w:rsidRPr="00FB3A86" w:rsidRDefault="00790ADA" w:rsidP="00441B6F">
      <w:pPr>
        <w:pStyle w:val="Body"/>
        <w:spacing w:after="0"/>
        <w:rPr>
          <w:rFonts w:ascii="Arial" w:hAnsi="Arial" w:cs="Arial"/>
        </w:rPr>
      </w:pPr>
    </w:p>
    <w:p w14:paraId="5C43B7B5" w14:textId="77777777" w:rsidR="002B685A" w:rsidRDefault="002B685A" w:rsidP="00441B6F">
      <w:pPr>
        <w:pStyle w:val="ReferHead"/>
        <w:spacing w:after="0"/>
        <w:jc w:val="both"/>
        <w:rPr>
          <w:rFonts w:ascii="Arial" w:hAnsi="Arial" w:cs="Arial"/>
          <w:b w:val="0"/>
          <w:caps w:val="0"/>
          <w:sz w:val="20"/>
        </w:rPr>
      </w:pPr>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961162E" w14:textId="3715D308" w:rsidR="00AF77B0" w:rsidRDefault="00F20624" w:rsidP="00AF77B0">
      <w:pPr>
        <w:pStyle w:val="ReferHead"/>
        <w:spacing w:after="0"/>
        <w:jc w:val="both"/>
        <w:rPr>
          <w:rFonts w:ascii="Arial" w:hAnsi="Arial" w:cs="Arial"/>
          <w:b w:val="0"/>
          <w:caps w:val="0"/>
          <w:sz w:val="20"/>
        </w:rPr>
      </w:pPr>
      <w:r>
        <w:rPr>
          <w:rFonts w:ascii="Arial" w:hAnsi="Arial" w:cs="Arial"/>
          <w:b w:val="0"/>
          <w:caps w:val="0"/>
          <w:sz w:val="20"/>
        </w:rPr>
        <w:t>Written i</w:t>
      </w:r>
      <w:r w:rsidR="00AF77B0" w:rsidRPr="00EA7006">
        <w:rPr>
          <w:rFonts w:ascii="Arial" w:hAnsi="Arial" w:cs="Arial"/>
          <w:b w:val="0"/>
          <w:caps w:val="0"/>
          <w:sz w:val="20"/>
        </w:rPr>
        <w:t>nformed consent was obtained from every participant after the study's purpose, procedures, potential risks, and benefits have been fully explained in a language they understand. Participation was entirely voluntary, and participants could withdraw at any time without penalty or loss of medical care. All data was anonymized and kept confidential to protect participant privacy</w:t>
      </w:r>
      <w:r w:rsidR="00AF77B0">
        <w:rPr>
          <w:rFonts w:ascii="Arial" w:hAnsi="Arial" w:cs="Arial"/>
          <w:b w:val="0"/>
          <w:caps w:val="0"/>
          <w:sz w:val="20"/>
        </w:rPr>
        <w:t>.</w:t>
      </w:r>
    </w:p>
    <w:p w14:paraId="73437BC9" w14:textId="77777777" w:rsidR="001A29D8" w:rsidRDefault="001A29D8" w:rsidP="00441B6F">
      <w:pPr>
        <w:pStyle w:val="ReferHead"/>
        <w:spacing w:after="0"/>
        <w:jc w:val="both"/>
        <w:rPr>
          <w:rFonts w:ascii="Arial" w:hAnsi="Arial" w:cs="Arial"/>
          <w:b w:val="0"/>
          <w:caps w:val="0"/>
          <w:sz w:val="20"/>
        </w:rPr>
      </w:pP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0817092" w14:textId="4EB3B5E2" w:rsidR="00536A8C" w:rsidRDefault="00536A8C" w:rsidP="00536A8C">
      <w:pPr>
        <w:pStyle w:val="Body"/>
        <w:rPr>
          <w:rFonts w:ascii="Arial" w:eastAsia="Calibri" w:hAnsi="Arial" w:cs="Arial"/>
          <w:szCs w:val="22"/>
        </w:rPr>
      </w:pPr>
      <w:r w:rsidRPr="0065420A">
        <w:rPr>
          <w:rFonts w:ascii="Arial" w:eastAsia="Calibri" w:hAnsi="Arial" w:cs="Arial"/>
          <w:szCs w:val="22"/>
        </w:rPr>
        <w:t xml:space="preserve">Prior to data collection, full ethical approval was obtained from the Health Research Ethics Committee (HREC) of Rivers State University Teaching Hospital, Port Harcourt. Permission </w:t>
      </w:r>
      <w:r w:rsidR="00C817E4" w:rsidRPr="0065420A">
        <w:rPr>
          <w:rFonts w:ascii="Arial" w:eastAsia="Calibri" w:hAnsi="Arial" w:cs="Arial"/>
          <w:szCs w:val="22"/>
        </w:rPr>
        <w:t>was</w:t>
      </w:r>
      <w:r w:rsidRPr="0065420A">
        <w:rPr>
          <w:rFonts w:ascii="Arial" w:eastAsia="Calibri" w:hAnsi="Arial" w:cs="Arial"/>
          <w:szCs w:val="22"/>
        </w:rPr>
        <w:t xml:space="preserve"> also gotten from the management of the HIV comprehensive care clinic. </w:t>
      </w:r>
    </w:p>
    <w:p w14:paraId="58EBB2EF" w14:textId="77777777" w:rsidR="00D45A40" w:rsidRPr="00F20624" w:rsidRDefault="00D45A40" w:rsidP="00D45A40">
      <w:pPr>
        <w:rPr>
          <w:b/>
          <w:highlight w:val="yellow"/>
        </w:rPr>
      </w:pPr>
      <w:r w:rsidRPr="00F20624">
        <w:rPr>
          <w:b/>
          <w:highlight w:val="yellow"/>
        </w:rPr>
        <w:t>Disclaimer (Artificial intelligence)</w:t>
      </w:r>
    </w:p>
    <w:p w14:paraId="653C6E5D" w14:textId="77777777" w:rsidR="00D45A40" w:rsidRPr="00740879" w:rsidRDefault="00D45A40" w:rsidP="00D45A40">
      <w:pPr>
        <w:rPr>
          <w:highlight w:val="yellow"/>
        </w:rPr>
      </w:pPr>
      <w:r w:rsidRPr="00740879">
        <w:rPr>
          <w:highlight w:val="yellow"/>
        </w:rPr>
        <w:t xml:space="preserve">Option 1: </w:t>
      </w:r>
    </w:p>
    <w:p w14:paraId="5A62C312" w14:textId="77777777" w:rsidR="00D45A40" w:rsidRPr="00740879" w:rsidRDefault="00D45A40" w:rsidP="00D45A4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9E268DA" w14:textId="77777777" w:rsidR="00D45A40" w:rsidRPr="00740879" w:rsidRDefault="00D45A40" w:rsidP="00D45A40">
      <w:pPr>
        <w:rPr>
          <w:highlight w:val="yellow"/>
        </w:rPr>
      </w:pPr>
      <w:r w:rsidRPr="00740879">
        <w:rPr>
          <w:highlight w:val="yellow"/>
        </w:rPr>
        <w:t xml:space="preserve">Option 2: </w:t>
      </w:r>
    </w:p>
    <w:p w14:paraId="1DDD2879" w14:textId="77777777" w:rsidR="00D45A40" w:rsidRPr="00740879" w:rsidRDefault="00D45A40" w:rsidP="00D45A4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66630D" w14:textId="77777777" w:rsidR="00D45A40" w:rsidRPr="00740879" w:rsidRDefault="00D45A40" w:rsidP="00D45A40">
      <w:pPr>
        <w:rPr>
          <w:highlight w:val="yellow"/>
        </w:rPr>
      </w:pPr>
      <w:r w:rsidRPr="00740879">
        <w:rPr>
          <w:highlight w:val="yellow"/>
        </w:rPr>
        <w:t>Details of the AI usage are given below:</w:t>
      </w:r>
    </w:p>
    <w:p w14:paraId="1AF2D34D" w14:textId="77777777" w:rsidR="00D45A40" w:rsidRPr="00740879" w:rsidRDefault="00D45A40" w:rsidP="00D45A40">
      <w:pPr>
        <w:rPr>
          <w:highlight w:val="yellow"/>
        </w:rPr>
      </w:pPr>
      <w:r w:rsidRPr="00740879">
        <w:rPr>
          <w:highlight w:val="yellow"/>
        </w:rPr>
        <w:t>1.</w:t>
      </w:r>
    </w:p>
    <w:p w14:paraId="70A0E1D3" w14:textId="77777777" w:rsidR="00D45A40" w:rsidRPr="00740879" w:rsidRDefault="00D45A40" w:rsidP="00D45A40">
      <w:pPr>
        <w:rPr>
          <w:highlight w:val="yellow"/>
        </w:rPr>
      </w:pPr>
      <w:r w:rsidRPr="00740879">
        <w:rPr>
          <w:highlight w:val="yellow"/>
        </w:rPr>
        <w:t>2.</w:t>
      </w:r>
    </w:p>
    <w:p w14:paraId="670445F9" w14:textId="77777777" w:rsidR="00D45A40" w:rsidRPr="00D047BB" w:rsidRDefault="00D45A40" w:rsidP="00D45A40">
      <w:r w:rsidRPr="00740879">
        <w:rPr>
          <w:highlight w:val="yellow"/>
        </w:rPr>
        <w:t>3.</w:t>
      </w:r>
    </w:p>
    <w:p w14:paraId="5F55792A" w14:textId="77777777" w:rsidR="00D45A40" w:rsidRPr="0065420A" w:rsidRDefault="00D45A40" w:rsidP="00536A8C">
      <w:pPr>
        <w:pStyle w:val="Body"/>
        <w:rPr>
          <w:rFonts w:ascii="Arial" w:eastAsia="Calibri" w:hAnsi="Arial" w:cs="Arial"/>
          <w:szCs w:val="22"/>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0572EF" w14:textId="19C80530" w:rsidR="0031575A" w:rsidRPr="00FD553B" w:rsidRDefault="00BB000D"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Joint United Nations Programme on HIV/AIDS. (2023). The path that ends AIDS: UNAIDS Global AIDS Update 2023. UNAIDS. https://www.unaids.org/en/resources/documents/2023/2023_global-aids-update</w:t>
      </w:r>
    </w:p>
    <w:p w14:paraId="2E16F65B" w14:textId="2750AFA1" w:rsidR="0031575A" w:rsidRPr="00FD553B" w:rsidRDefault="0032138E"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Forsythe, S. S., McGreevey, W., Whiteside, A., Shah, M., Cohen, J., Hecht, R., Bollinger, L. A., &amp; Kinghorn, A. (2019). Twenty years of antiretroviral therapy for people living with HIV: Global costs, health achievements, economic benefits. Health Affairs, 38(7), 1163–1172. https://doi.org/10.1377/hlthaff.2018.05391</w:t>
      </w:r>
    </w:p>
    <w:p w14:paraId="41F5D3BE" w14:textId="50668201" w:rsidR="0031575A" w:rsidRPr="00FD553B" w:rsidRDefault="00841042"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Zaid, D., &amp; Greenman, Y. (2019). Human immunodeficiency virus infection and the endocrine system. Endocrinology and Metabolism. https://doi.org/10.3803/EnM.2019.34.2.95</w:t>
      </w:r>
    </w:p>
    <w:p w14:paraId="0EC8F795" w14:textId="09CDD6EF" w:rsidR="0031575A" w:rsidRPr="00FD553B" w:rsidRDefault="00051A9B"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lastRenderedPageBreak/>
        <w:t>Beto, J. A. (2015). The role of calcium in human aging. Clinical Nutrition Research, 4(1), 1-8. https://doi.org/10.7762/cnr.2015.4.1.1</w:t>
      </w:r>
    </w:p>
    <w:p w14:paraId="4ECEB8F0" w14:textId="520FB979" w:rsidR="0031575A" w:rsidRPr="00FD553B" w:rsidRDefault="003F5083"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Delpino, M. V., &amp; Quarleri, J. (2020). Influence of HIV infection and antiretroviral therapy on bone homeostasis. Frontiers in Endocrinology. https://doi.org/10.3389/fendo.2020.00502</w:t>
      </w:r>
    </w:p>
    <w:p w14:paraId="6B99B6A9" w14:textId="13EDBB75" w:rsidR="0031575A" w:rsidRPr="00FD553B" w:rsidRDefault="0016404B"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Akhigbe, R. E., Dutta, S., Hamed, M. A., Ajayi, A. F., Sengupta, P., &amp; Ahmad, G. (2022). Viral Infections and Male Infertility: A Comprehensive Review of the Role of Oxidative Stress. Frontiers in Reproductive Health. https://doi.org/10.3389/frph.2022.782915</w:t>
      </w:r>
    </w:p>
    <w:p w14:paraId="03016BAE" w14:textId="215180E9" w:rsidR="0031575A" w:rsidRPr="00FD553B" w:rsidRDefault="00655F5E"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Ukoaka, B. M., Abiodun, A. H., Daniel, F. M., Gbuchie, M. A., Okesanya, O. J., Adam, T. W., Ogieuhi, I. J., &amp; Ajah, K. U. (2024). The burden of menstrual irregularities among women living with HIV in Nigeria: a comprehensive review. Reproductive Health, 21(1), 156. https://doi.org/10.1186/s12978-024-01892-0</w:t>
      </w:r>
    </w:p>
    <w:p w14:paraId="688CB678" w14:textId="58825D5B" w:rsidR="0031575A" w:rsidRPr="00FD553B" w:rsidRDefault="002B4F4B"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Brown, T. T., &amp; Qaqish, R. B. (2006). Antiretroviral therapy and the prevalence of osteopenia and osteoporosis: A meta-analytic review. AIDS, 20(17), 2165–2174. https://doi.org/10.1097/QAD.0b013e32801022eb</w:t>
      </w:r>
    </w:p>
    <w:p w14:paraId="794105A4" w14:textId="5458A116" w:rsidR="0031575A" w:rsidRPr="00FD553B" w:rsidRDefault="002B4F4B"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Mohammed, R., &amp; Altaf, N. (2022). Highly Active Antiretroviral Therapy on Serum Micronutrients and Electrolytes Levels among HIV Infected patients. European Journal of Cardiovascular Medicine, 12(2), 66-73.</w:t>
      </w:r>
    </w:p>
    <w:p w14:paraId="4E825293" w14:textId="4FC29085" w:rsidR="0031575A" w:rsidRPr="00FD553B" w:rsidRDefault="00D01D6F"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Ukibe, N. R., Ukibe, S. N., Emelumadu, O. F., Onyenekwe, C. C., Ahaneku, J. E., Igwegbe, A. O., &amp; Ilika, A. L. (2017). Impact of thyroid function abnormalities on reproductive hormones during menstrual cycle in premenopausal HIV infected females at NAUTH, Nnewi, Nigeria. PLoS One, 12(7), e0176361. https://doi.org/10.1371/journal.pone.0176361</w:t>
      </w:r>
    </w:p>
    <w:p w14:paraId="78A69DC0" w14:textId="7D9E595B" w:rsidR="0031575A" w:rsidRPr="00FD553B" w:rsidRDefault="009E7668" w:rsidP="0031575A">
      <w:pPr>
        <w:pStyle w:val="ListParagraph"/>
        <w:numPr>
          <w:ilvl w:val="0"/>
          <w:numId w:val="33"/>
        </w:numPr>
        <w:spacing w:after="0" w:line="240" w:lineRule="auto"/>
        <w:ind w:left="567" w:hanging="425"/>
        <w:rPr>
          <w:rFonts w:ascii="Arial" w:hAnsi="Arial" w:cs="Arial"/>
          <w:sz w:val="20"/>
          <w:szCs w:val="20"/>
        </w:rPr>
      </w:pPr>
      <w:r w:rsidRPr="00FD553B">
        <w:rPr>
          <w:rFonts w:ascii="Arial" w:hAnsi="Arial" w:cs="Arial"/>
          <w:sz w:val="20"/>
          <w:szCs w:val="20"/>
        </w:rPr>
        <w:t>Onovo, A. A., Adeyemi, A., Onime, D., Kalnoky, M., Kagniniwa, B., Dessie, M., Lee, L., Parrish, D., Adebobola, B., Ashefor, G., Ogorry, O., Goldstein, R., &amp; Meri, H. (2023). Estimation of HIV prevalence and burden in Nigeria: a Bayesian predictive modelling study. EClinicalMedicine. https://doi.org/10.1016/j.eclinm.2023.102098</w:t>
      </w:r>
    </w:p>
    <w:p w14:paraId="2AFED27A" w14:textId="5ABCEE76" w:rsidR="0031575A" w:rsidRPr="00FD553B" w:rsidRDefault="00985086" w:rsidP="0031575A">
      <w:pPr>
        <w:pStyle w:val="ListParagraph"/>
        <w:numPr>
          <w:ilvl w:val="0"/>
          <w:numId w:val="33"/>
        </w:numPr>
        <w:spacing w:after="0" w:line="240" w:lineRule="auto"/>
        <w:ind w:left="567" w:hanging="425"/>
        <w:rPr>
          <w:rFonts w:ascii="Arial" w:hAnsi="Arial" w:cs="Arial"/>
          <w:sz w:val="20"/>
          <w:szCs w:val="20"/>
        </w:rPr>
      </w:pPr>
      <w:r w:rsidRPr="00FD553B">
        <w:rPr>
          <w:rFonts w:ascii="Arial" w:hAnsi="Arial" w:cs="Arial"/>
          <w:sz w:val="20"/>
          <w:szCs w:val="20"/>
        </w:rPr>
        <w:t>Cochran, W. G. (1977). Sampling techniques (3rd ed.). John Wiley &amp; Sons. https://www.wiley.com/en-us/Sampling+Techniques,+3rd+Edition-p-9780471162407</w:t>
      </w:r>
    </w:p>
    <w:p w14:paraId="0CDD5263" w14:textId="17B17D16" w:rsidR="0031575A" w:rsidRPr="00FD553B" w:rsidRDefault="00AB6968"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Sajeed, S., &amp; Shetkar, N. R. (2023). Study of Serum Magnesium, Potassium and Calcium in Acute Myocardial Infarction Patients. Biomedical and Pharmacology Journal, 16(4), 2173-2176. https://doi.org/10.13005/bpj/2793</w:t>
      </w:r>
    </w:p>
    <w:p w14:paraId="21AE5F0F" w14:textId="1BEFCA0A" w:rsidR="0031575A" w:rsidRPr="00FD553B" w:rsidRDefault="00293F47"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UNAIDS. (2023). Global HIV statistics — Fact sheet. https://www.unaids.org/sites/default/files/media_asset/2023-unaids-factsheet_en.pdf</w:t>
      </w:r>
    </w:p>
    <w:p w14:paraId="398173AE" w14:textId="14B8A65C" w:rsidR="0031575A" w:rsidRPr="00FD553B" w:rsidRDefault="005E1A8C"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Asha Kiran, N., Kanth, M. R., Satyannarayana, V. A. R., &amp; Kumar, P. S. G. (2020). Serum calcium and phosphorus levels in patients of HIV positive under the treatment. International Journal of Clinical Biochemistry and Research, 7(2), 164-167. https://doi.org/10.18231/j.ijcbr.2020.035</w:t>
      </w:r>
    </w:p>
    <w:p w14:paraId="363F9AA6" w14:textId="4185F847" w:rsidR="0031575A" w:rsidRPr="00FD553B" w:rsidRDefault="004040CC"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Okeke, N. L., Craig, D. M., Muehlbauer, M. J., Ilkayeva, O., Clement, M. E., Naggie, S., &amp; Shah, S. H. (2018). Metabolites predict cardiovascular disease events in persons living with HIV: A pilot case–control study. Metabolomics, 14(3), 23. https://doi.org/10.1007/s11306-018-1318-z</w:t>
      </w:r>
    </w:p>
    <w:p w14:paraId="411CB43C" w14:textId="77777777" w:rsidR="0031575A" w:rsidRPr="00FD553B" w:rsidRDefault="0031575A"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Schwartz, A. Come as You are: Art of the 1990s, 2015. Univ of California Press.</w:t>
      </w:r>
    </w:p>
    <w:p w14:paraId="053B4B26" w14:textId="350D8876" w:rsidR="0031575A" w:rsidRPr="00FD553B" w:rsidRDefault="00FE000F"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Ezeugwunne, I. P., Onyenekwe, C. C., Ahaneku, J. E., Ifeanyichukwu, M., Meludu, S. C., Onwurah, O. W., &amp; Osuji, F. N. (2012). Serum hormonal levels in HIV/AIDS infected male subjects on antiretroviral therapy (ART) in Nnewi, Nigeria. International Journal of Biological and Chemical Sciences, 6(4), 1409-1418. https://doi.org/10.4314/ijbcs.v6i4.1</w:t>
      </w:r>
    </w:p>
    <w:p w14:paraId="4EBEB31E" w14:textId="143808CE" w:rsidR="0031575A" w:rsidRPr="00FD553B" w:rsidRDefault="00A11641"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World Health Organization. (2023). New WHO guidance on HIV viral suppression and scientific updates released at IAS 2023. https://www.who.int/news/item/23-07-2023-new-who-guidance-on-hiv-viral-suppression-and-scientific-updates-released-at-ias-2023</w:t>
      </w:r>
    </w:p>
    <w:p w14:paraId="04EA563A" w14:textId="6E997838" w:rsidR="0031575A" w:rsidRDefault="00321A14" w:rsidP="0031575A">
      <w:pPr>
        <w:pStyle w:val="ListParagraph"/>
        <w:numPr>
          <w:ilvl w:val="0"/>
          <w:numId w:val="33"/>
        </w:numPr>
        <w:spacing w:after="0" w:line="240" w:lineRule="auto"/>
        <w:ind w:left="567" w:hanging="425"/>
        <w:jc w:val="both"/>
        <w:rPr>
          <w:rFonts w:ascii="Arial" w:hAnsi="Arial" w:cs="Arial"/>
          <w:sz w:val="20"/>
          <w:szCs w:val="20"/>
        </w:rPr>
      </w:pPr>
      <w:r w:rsidRPr="00FD553B">
        <w:rPr>
          <w:rFonts w:ascii="Arial" w:hAnsi="Arial" w:cs="Arial"/>
          <w:sz w:val="20"/>
          <w:szCs w:val="20"/>
        </w:rPr>
        <w:t xml:space="preserve">Mugisha, J., Wasswa, P., Bahati-Kajunju, N. H., &amp; Atukwase, A. (2023). Inclusion of farmer communities in value chain development: A case of potato in South-western </w:t>
      </w:r>
      <w:r w:rsidRPr="00FD553B">
        <w:rPr>
          <w:rFonts w:ascii="Arial" w:hAnsi="Arial" w:cs="Arial"/>
          <w:sz w:val="20"/>
          <w:szCs w:val="20"/>
        </w:rPr>
        <w:lastRenderedPageBreak/>
        <w:t xml:space="preserve">Uganda. In A. Egeru, M. Lindow, &amp; K. M. Leresche (Eds.), University Engagement with Farming Communities in Africa (pp. 187-198). Routledge. </w:t>
      </w:r>
      <w:hyperlink r:id="rId15" w:history="1">
        <w:r w:rsidR="00465C21" w:rsidRPr="00E97351">
          <w:rPr>
            <w:rStyle w:val="Hyperlink"/>
            <w:rFonts w:ascii="Arial" w:hAnsi="Arial" w:cs="Arial"/>
            <w:sz w:val="20"/>
            <w:szCs w:val="20"/>
          </w:rPr>
          <w:t>https://doi.org/10.4324/9781003387497</w:t>
        </w:r>
      </w:hyperlink>
      <w:r w:rsidR="00465C21">
        <w:rPr>
          <w:rFonts w:ascii="Arial" w:hAnsi="Arial" w:cs="Arial"/>
          <w:sz w:val="20"/>
          <w:szCs w:val="20"/>
        </w:rPr>
        <w:t>.</w:t>
      </w:r>
    </w:p>
    <w:p w14:paraId="20AAE39A" w14:textId="61DAF1F6" w:rsidR="00465C21" w:rsidRPr="00465C21" w:rsidRDefault="00465C21" w:rsidP="0031575A">
      <w:pPr>
        <w:pStyle w:val="ListParagraph"/>
        <w:numPr>
          <w:ilvl w:val="0"/>
          <w:numId w:val="33"/>
        </w:numPr>
        <w:spacing w:after="0" w:line="240" w:lineRule="auto"/>
        <w:ind w:left="567" w:hanging="425"/>
        <w:jc w:val="both"/>
        <w:rPr>
          <w:rFonts w:ascii="Arial" w:hAnsi="Arial" w:cs="Arial"/>
          <w:sz w:val="20"/>
          <w:szCs w:val="20"/>
          <w:highlight w:val="yellow"/>
        </w:rPr>
      </w:pPr>
      <w:r w:rsidRPr="00465C21">
        <w:rPr>
          <w:rFonts w:ascii="Arial" w:hAnsi="Arial" w:cs="Arial"/>
          <w:sz w:val="20"/>
          <w:szCs w:val="20"/>
          <w:highlight w:val="yellow"/>
        </w:rPr>
        <w:t>Cochran, W. G. Sampling techniques (3rd ed.). New York, NY: John Wiley &amp; Sons, 1977.</w:t>
      </w:r>
    </w:p>
    <w:p w14:paraId="2CFA97C2" w14:textId="77777777" w:rsidR="0031575A" w:rsidRDefault="0031575A" w:rsidP="0031575A">
      <w:pPr>
        <w:pStyle w:val="ListParagraph"/>
        <w:spacing w:after="0" w:line="240" w:lineRule="auto"/>
        <w:ind w:left="567" w:hanging="425"/>
        <w:jc w:val="both"/>
        <w:rPr>
          <w:rFonts w:ascii="Arial" w:hAnsi="Arial" w:cs="Arial"/>
          <w:sz w:val="20"/>
          <w:szCs w:val="20"/>
        </w:rPr>
      </w:pPr>
    </w:p>
    <w:p w14:paraId="249CB928" w14:textId="77777777" w:rsidR="0031575A" w:rsidRDefault="0031575A" w:rsidP="0031575A">
      <w:pPr>
        <w:pStyle w:val="ListParagraph"/>
        <w:spacing w:after="0" w:line="240" w:lineRule="auto"/>
        <w:ind w:left="567" w:hanging="425"/>
        <w:jc w:val="both"/>
        <w:rPr>
          <w:rFonts w:ascii="Arial" w:hAnsi="Arial" w:cs="Arial"/>
          <w:sz w:val="20"/>
          <w:szCs w:val="20"/>
        </w:rPr>
      </w:pPr>
    </w:p>
    <w:p w14:paraId="2B77F88B" w14:textId="77777777" w:rsidR="0031575A" w:rsidRDefault="0031575A" w:rsidP="0031575A">
      <w:pPr>
        <w:pStyle w:val="ListParagraph"/>
        <w:spacing w:after="0" w:line="240" w:lineRule="auto"/>
        <w:ind w:left="567" w:hanging="425"/>
        <w:jc w:val="both"/>
        <w:rPr>
          <w:rFonts w:ascii="Arial" w:hAnsi="Arial" w:cs="Arial"/>
          <w:sz w:val="20"/>
          <w:szCs w:val="20"/>
        </w:rPr>
      </w:pPr>
    </w:p>
    <w:p w14:paraId="3486AB23" w14:textId="77777777" w:rsidR="0031575A" w:rsidRDefault="0031575A" w:rsidP="0031575A">
      <w:pPr>
        <w:pStyle w:val="ListParagraph"/>
        <w:spacing w:after="0" w:line="240" w:lineRule="auto"/>
        <w:ind w:left="567" w:hanging="425"/>
        <w:jc w:val="both"/>
        <w:rPr>
          <w:rFonts w:ascii="Arial" w:hAnsi="Arial" w:cs="Arial"/>
          <w:sz w:val="20"/>
          <w:szCs w:val="20"/>
        </w:rPr>
      </w:pPr>
    </w:p>
    <w:p w14:paraId="7213F846" w14:textId="2D6031DC" w:rsidR="00395507" w:rsidRDefault="00395507" w:rsidP="00395507">
      <w:pPr>
        <w:pStyle w:val="Body"/>
        <w:spacing w:after="0"/>
        <w:rPr>
          <w:rFonts w:ascii="Arial" w:hAnsi="Arial" w:cs="Arial"/>
        </w:rPr>
      </w:pPr>
    </w:p>
    <w:p w14:paraId="6F14A7D8" w14:textId="29420A08" w:rsidR="004D4277" w:rsidRPr="00FB3A86" w:rsidRDefault="004D4277" w:rsidP="00441B6F">
      <w:pPr>
        <w:pStyle w:val="Appendix"/>
        <w:spacing w:after="0"/>
        <w:jc w:val="both"/>
        <w:rPr>
          <w:rFonts w:ascii="Arial" w:hAnsi="Arial" w:cs="Arial"/>
          <w:b w:val="0"/>
        </w:rPr>
        <w:sectPr w:rsidR="004D4277" w:rsidRPr="00FB3A86" w:rsidSect="0031135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3113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3A0E1" w14:textId="77777777" w:rsidR="00282884" w:rsidRDefault="00282884" w:rsidP="00C37E61">
      <w:r>
        <w:separator/>
      </w:r>
    </w:p>
  </w:endnote>
  <w:endnote w:type="continuationSeparator" w:id="0">
    <w:p w14:paraId="5BE11992" w14:textId="77777777" w:rsidR="00282884" w:rsidRDefault="002828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D810" w14:textId="77777777" w:rsidR="00311352" w:rsidRDefault="0031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9D9D" w14:textId="2926E03A" w:rsidR="00C37E61" w:rsidRPr="0076528A" w:rsidRDefault="00C37E61" w:rsidP="00765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49F6" w14:textId="486086C6" w:rsidR="00754C9A" w:rsidRPr="005F7103" w:rsidRDefault="00754C9A" w:rsidP="005F71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38CD" w14:textId="77777777" w:rsidR="00282884" w:rsidRDefault="00282884" w:rsidP="00C37E61">
      <w:r>
        <w:separator/>
      </w:r>
    </w:p>
  </w:footnote>
  <w:footnote w:type="continuationSeparator" w:id="0">
    <w:p w14:paraId="719A2CDE" w14:textId="77777777" w:rsidR="00282884" w:rsidRDefault="002828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4E3C" w14:textId="1ECCB74F" w:rsidR="00311352" w:rsidRDefault="00282884">
    <w:pPr>
      <w:pStyle w:val="Header"/>
    </w:pPr>
    <w:r>
      <w:rPr>
        <w:noProof/>
      </w:rPr>
      <w:pict w14:anchorId="75D59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12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BF26" w14:textId="02B9585F" w:rsidR="00311352" w:rsidRDefault="00282884">
    <w:pPr>
      <w:pStyle w:val="Header"/>
    </w:pPr>
    <w:r>
      <w:rPr>
        <w:noProof/>
      </w:rPr>
      <w:pict w14:anchorId="7A9A0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12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4AEDD200" w:rsidR="00296529" w:rsidRPr="00296529" w:rsidRDefault="00282884" w:rsidP="00296529">
    <w:pPr>
      <w:ind w:left="2160"/>
      <w:jc w:val="center"/>
      <w:rPr>
        <w:rFonts w:ascii="Times New Roman" w:eastAsia="Calibri" w:hAnsi="Times New Roman"/>
        <w:i/>
        <w:sz w:val="18"/>
        <w:szCs w:val="22"/>
      </w:rPr>
    </w:pPr>
    <w:r>
      <w:rPr>
        <w:noProof/>
      </w:rPr>
      <w:pict w14:anchorId="04730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12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29AE" w14:textId="4F6A8601" w:rsidR="00311352" w:rsidRDefault="00282884">
    <w:pPr>
      <w:pStyle w:val="Header"/>
    </w:pPr>
    <w:r>
      <w:rPr>
        <w:noProof/>
      </w:rPr>
      <w:pict w14:anchorId="36860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12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31704" w14:textId="4B23391C" w:rsidR="00311352" w:rsidRDefault="00282884">
    <w:pPr>
      <w:pStyle w:val="Header"/>
    </w:pPr>
    <w:r>
      <w:rPr>
        <w:noProof/>
      </w:rPr>
      <w:pict w14:anchorId="555C2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12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F343" w14:textId="24E43C38" w:rsidR="00311352" w:rsidRDefault="00282884">
    <w:pPr>
      <w:pStyle w:val="Header"/>
    </w:pPr>
    <w:r>
      <w:rPr>
        <w:noProof/>
      </w:rPr>
      <w:pict w14:anchorId="23C70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12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9B2B85"/>
    <w:multiLevelType w:val="hybridMultilevel"/>
    <w:tmpl w:val="1DD4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60D150D"/>
    <w:multiLevelType w:val="hybridMultilevel"/>
    <w:tmpl w:val="DF62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562E52"/>
    <w:multiLevelType w:val="hybridMultilevel"/>
    <w:tmpl w:val="9DBA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0"/>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21"/>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A3C"/>
    <w:rsid w:val="00022622"/>
    <w:rsid w:val="00030174"/>
    <w:rsid w:val="00036900"/>
    <w:rsid w:val="0004579C"/>
    <w:rsid w:val="00051A9B"/>
    <w:rsid w:val="000A47FA"/>
    <w:rsid w:val="000A65D3"/>
    <w:rsid w:val="000B1E33"/>
    <w:rsid w:val="000B444D"/>
    <w:rsid w:val="000B7C9A"/>
    <w:rsid w:val="000D689F"/>
    <w:rsid w:val="000E6426"/>
    <w:rsid w:val="000E7B7B"/>
    <w:rsid w:val="000E7D62"/>
    <w:rsid w:val="00103357"/>
    <w:rsid w:val="00123C9F"/>
    <w:rsid w:val="00126190"/>
    <w:rsid w:val="00130F17"/>
    <w:rsid w:val="001320BF"/>
    <w:rsid w:val="00133FA4"/>
    <w:rsid w:val="00163BC4"/>
    <w:rsid w:val="0016404B"/>
    <w:rsid w:val="00175078"/>
    <w:rsid w:val="00191062"/>
    <w:rsid w:val="00192B72"/>
    <w:rsid w:val="001A23EA"/>
    <w:rsid w:val="001A29D8"/>
    <w:rsid w:val="001A5CAA"/>
    <w:rsid w:val="001B0427"/>
    <w:rsid w:val="001D3A51"/>
    <w:rsid w:val="001D7C54"/>
    <w:rsid w:val="001E10D2"/>
    <w:rsid w:val="001E1F73"/>
    <w:rsid w:val="001E25B4"/>
    <w:rsid w:val="001E44FE"/>
    <w:rsid w:val="001E6199"/>
    <w:rsid w:val="00200595"/>
    <w:rsid w:val="00204835"/>
    <w:rsid w:val="002073E2"/>
    <w:rsid w:val="00211408"/>
    <w:rsid w:val="00231920"/>
    <w:rsid w:val="0023195C"/>
    <w:rsid w:val="00241AB8"/>
    <w:rsid w:val="0024282C"/>
    <w:rsid w:val="002460DC"/>
    <w:rsid w:val="00250985"/>
    <w:rsid w:val="002556F6"/>
    <w:rsid w:val="00261D1A"/>
    <w:rsid w:val="00282884"/>
    <w:rsid w:val="00283105"/>
    <w:rsid w:val="00284C4C"/>
    <w:rsid w:val="00293F47"/>
    <w:rsid w:val="00296529"/>
    <w:rsid w:val="002A3DDE"/>
    <w:rsid w:val="002B27FB"/>
    <w:rsid w:val="002B4F4B"/>
    <w:rsid w:val="002B685A"/>
    <w:rsid w:val="002C57D2"/>
    <w:rsid w:val="002D2997"/>
    <w:rsid w:val="002E0D56"/>
    <w:rsid w:val="00311352"/>
    <w:rsid w:val="00315186"/>
    <w:rsid w:val="0031575A"/>
    <w:rsid w:val="0032138E"/>
    <w:rsid w:val="00321A14"/>
    <w:rsid w:val="0033343E"/>
    <w:rsid w:val="003512C2"/>
    <w:rsid w:val="003561CE"/>
    <w:rsid w:val="00361C45"/>
    <w:rsid w:val="00370936"/>
    <w:rsid w:val="00371FB6"/>
    <w:rsid w:val="003763C1"/>
    <w:rsid w:val="00376BBE"/>
    <w:rsid w:val="0039224F"/>
    <w:rsid w:val="00392512"/>
    <w:rsid w:val="00395507"/>
    <w:rsid w:val="003A43A4"/>
    <w:rsid w:val="003A7E18"/>
    <w:rsid w:val="003C4C86"/>
    <w:rsid w:val="003C6258"/>
    <w:rsid w:val="003D7741"/>
    <w:rsid w:val="003E2904"/>
    <w:rsid w:val="003E2B89"/>
    <w:rsid w:val="003E6728"/>
    <w:rsid w:val="003F5083"/>
    <w:rsid w:val="00401927"/>
    <w:rsid w:val="00401964"/>
    <w:rsid w:val="004040CC"/>
    <w:rsid w:val="0041027F"/>
    <w:rsid w:val="00412475"/>
    <w:rsid w:val="00413734"/>
    <w:rsid w:val="00423789"/>
    <w:rsid w:val="00440F43"/>
    <w:rsid w:val="004417FF"/>
    <w:rsid w:val="00441B6F"/>
    <w:rsid w:val="00446221"/>
    <w:rsid w:val="00450E62"/>
    <w:rsid w:val="004539DB"/>
    <w:rsid w:val="00465C21"/>
    <w:rsid w:val="00471A80"/>
    <w:rsid w:val="00483372"/>
    <w:rsid w:val="004D305E"/>
    <w:rsid w:val="004D4277"/>
    <w:rsid w:val="004F3B7E"/>
    <w:rsid w:val="004F707D"/>
    <w:rsid w:val="00502516"/>
    <w:rsid w:val="00505F06"/>
    <w:rsid w:val="00506828"/>
    <w:rsid w:val="0053056E"/>
    <w:rsid w:val="00536A8C"/>
    <w:rsid w:val="00554FDA"/>
    <w:rsid w:val="00583753"/>
    <w:rsid w:val="00597704"/>
    <w:rsid w:val="005C784C"/>
    <w:rsid w:val="005D17F6"/>
    <w:rsid w:val="005E1A8C"/>
    <w:rsid w:val="005E5539"/>
    <w:rsid w:val="005F7103"/>
    <w:rsid w:val="005F76B0"/>
    <w:rsid w:val="00602BF5"/>
    <w:rsid w:val="00617FDD"/>
    <w:rsid w:val="00633614"/>
    <w:rsid w:val="00633F68"/>
    <w:rsid w:val="00636EB2"/>
    <w:rsid w:val="006375B8"/>
    <w:rsid w:val="0065420A"/>
    <w:rsid w:val="00655F5E"/>
    <w:rsid w:val="0066510A"/>
    <w:rsid w:val="00673F9F"/>
    <w:rsid w:val="00685D38"/>
    <w:rsid w:val="00686953"/>
    <w:rsid w:val="00687DEA"/>
    <w:rsid w:val="00687E67"/>
    <w:rsid w:val="006967F7"/>
    <w:rsid w:val="006A250C"/>
    <w:rsid w:val="006B21D3"/>
    <w:rsid w:val="006B57D0"/>
    <w:rsid w:val="006D30FF"/>
    <w:rsid w:val="006D6940"/>
    <w:rsid w:val="006F11EC"/>
    <w:rsid w:val="0070082C"/>
    <w:rsid w:val="007369E6"/>
    <w:rsid w:val="00746E59"/>
    <w:rsid w:val="00753986"/>
    <w:rsid w:val="00754C9A"/>
    <w:rsid w:val="0075599A"/>
    <w:rsid w:val="00761D52"/>
    <w:rsid w:val="0076528A"/>
    <w:rsid w:val="0077749E"/>
    <w:rsid w:val="0078526A"/>
    <w:rsid w:val="00790ADA"/>
    <w:rsid w:val="007923E8"/>
    <w:rsid w:val="007A4556"/>
    <w:rsid w:val="007C6BBE"/>
    <w:rsid w:val="007C76AA"/>
    <w:rsid w:val="007D2288"/>
    <w:rsid w:val="007D2B34"/>
    <w:rsid w:val="007E088F"/>
    <w:rsid w:val="007F21AE"/>
    <w:rsid w:val="007F7B32"/>
    <w:rsid w:val="00804BC2"/>
    <w:rsid w:val="008126DC"/>
    <w:rsid w:val="0081431A"/>
    <w:rsid w:val="008178FF"/>
    <w:rsid w:val="008245EF"/>
    <w:rsid w:val="0083216F"/>
    <w:rsid w:val="00841042"/>
    <w:rsid w:val="00850CE8"/>
    <w:rsid w:val="00860000"/>
    <w:rsid w:val="00863BD3"/>
    <w:rsid w:val="00866D66"/>
    <w:rsid w:val="008671C6"/>
    <w:rsid w:val="00875803"/>
    <w:rsid w:val="008B459E"/>
    <w:rsid w:val="008B606D"/>
    <w:rsid w:val="008B71EA"/>
    <w:rsid w:val="008D1E92"/>
    <w:rsid w:val="008E13AE"/>
    <w:rsid w:val="008E1506"/>
    <w:rsid w:val="008E710C"/>
    <w:rsid w:val="008F69D6"/>
    <w:rsid w:val="00902823"/>
    <w:rsid w:val="00915CA6"/>
    <w:rsid w:val="00927834"/>
    <w:rsid w:val="009500A6"/>
    <w:rsid w:val="00957C18"/>
    <w:rsid w:val="009659BA"/>
    <w:rsid w:val="009709C3"/>
    <w:rsid w:val="00983040"/>
    <w:rsid w:val="00985086"/>
    <w:rsid w:val="00990E32"/>
    <w:rsid w:val="0099268A"/>
    <w:rsid w:val="009B3FB9"/>
    <w:rsid w:val="009C0F84"/>
    <w:rsid w:val="009C2465"/>
    <w:rsid w:val="009D35A0"/>
    <w:rsid w:val="009D501E"/>
    <w:rsid w:val="009D63D8"/>
    <w:rsid w:val="009D7EB7"/>
    <w:rsid w:val="009E048A"/>
    <w:rsid w:val="009E08E9"/>
    <w:rsid w:val="009E3DB9"/>
    <w:rsid w:val="009E6E35"/>
    <w:rsid w:val="009E7668"/>
    <w:rsid w:val="009F0EDA"/>
    <w:rsid w:val="00A03B96"/>
    <w:rsid w:val="00A05B19"/>
    <w:rsid w:val="00A06D41"/>
    <w:rsid w:val="00A1134E"/>
    <w:rsid w:val="00A11641"/>
    <w:rsid w:val="00A12C32"/>
    <w:rsid w:val="00A24E7E"/>
    <w:rsid w:val="00A258C3"/>
    <w:rsid w:val="00A258DC"/>
    <w:rsid w:val="00A347C0"/>
    <w:rsid w:val="00A51431"/>
    <w:rsid w:val="00A516DC"/>
    <w:rsid w:val="00A52DC3"/>
    <w:rsid w:val="00A539AD"/>
    <w:rsid w:val="00A5743E"/>
    <w:rsid w:val="00A83A16"/>
    <w:rsid w:val="00A93348"/>
    <w:rsid w:val="00A94063"/>
    <w:rsid w:val="00AA6219"/>
    <w:rsid w:val="00AA74E0"/>
    <w:rsid w:val="00AB6968"/>
    <w:rsid w:val="00AB703F"/>
    <w:rsid w:val="00AC6BB8"/>
    <w:rsid w:val="00AD3135"/>
    <w:rsid w:val="00AE008F"/>
    <w:rsid w:val="00AF77B0"/>
    <w:rsid w:val="00B01FCD"/>
    <w:rsid w:val="00B1776C"/>
    <w:rsid w:val="00B249BC"/>
    <w:rsid w:val="00B255A9"/>
    <w:rsid w:val="00B45F13"/>
    <w:rsid w:val="00B52896"/>
    <w:rsid w:val="00B5433B"/>
    <w:rsid w:val="00B911A2"/>
    <w:rsid w:val="00B95236"/>
    <w:rsid w:val="00B96BD9"/>
    <w:rsid w:val="00BA1B01"/>
    <w:rsid w:val="00BA2641"/>
    <w:rsid w:val="00BB000D"/>
    <w:rsid w:val="00BB37AA"/>
    <w:rsid w:val="00BC2150"/>
    <w:rsid w:val="00BC53A0"/>
    <w:rsid w:val="00BD28FB"/>
    <w:rsid w:val="00BD7E92"/>
    <w:rsid w:val="00BE62AD"/>
    <w:rsid w:val="00BF121F"/>
    <w:rsid w:val="00BF1F80"/>
    <w:rsid w:val="00BF77A6"/>
    <w:rsid w:val="00C166EF"/>
    <w:rsid w:val="00C17EB0"/>
    <w:rsid w:val="00C27F5F"/>
    <w:rsid w:val="00C30A0F"/>
    <w:rsid w:val="00C37E61"/>
    <w:rsid w:val="00C608A0"/>
    <w:rsid w:val="00C63EE8"/>
    <w:rsid w:val="00C70F1B"/>
    <w:rsid w:val="00C71A47"/>
    <w:rsid w:val="00C7464C"/>
    <w:rsid w:val="00C817E4"/>
    <w:rsid w:val="00C85588"/>
    <w:rsid w:val="00CC525E"/>
    <w:rsid w:val="00CD6755"/>
    <w:rsid w:val="00CD6856"/>
    <w:rsid w:val="00CE0089"/>
    <w:rsid w:val="00CE793C"/>
    <w:rsid w:val="00CF0D30"/>
    <w:rsid w:val="00D01D6F"/>
    <w:rsid w:val="00D141E5"/>
    <w:rsid w:val="00D173F1"/>
    <w:rsid w:val="00D36520"/>
    <w:rsid w:val="00D41D7F"/>
    <w:rsid w:val="00D45A40"/>
    <w:rsid w:val="00D56D16"/>
    <w:rsid w:val="00D8295D"/>
    <w:rsid w:val="00DB3D24"/>
    <w:rsid w:val="00DC10BE"/>
    <w:rsid w:val="00DC2A65"/>
    <w:rsid w:val="00DE15F0"/>
    <w:rsid w:val="00DE5663"/>
    <w:rsid w:val="00DE78AA"/>
    <w:rsid w:val="00E053D0"/>
    <w:rsid w:val="00E15994"/>
    <w:rsid w:val="00E234FA"/>
    <w:rsid w:val="00E3114E"/>
    <w:rsid w:val="00E31A70"/>
    <w:rsid w:val="00E35B02"/>
    <w:rsid w:val="00E64AC3"/>
    <w:rsid w:val="00E66496"/>
    <w:rsid w:val="00E66B35"/>
    <w:rsid w:val="00E66E10"/>
    <w:rsid w:val="00E769F6"/>
    <w:rsid w:val="00E8407C"/>
    <w:rsid w:val="00E84F3C"/>
    <w:rsid w:val="00EA012C"/>
    <w:rsid w:val="00EA1A35"/>
    <w:rsid w:val="00EB65A1"/>
    <w:rsid w:val="00EC0D21"/>
    <w:rsid w:val="00ED0288"/>
    <w:rsid w:val="00EE52CB"/>
    <w:rsid w:val="00EF105E"/>
    <w:rsid w:val="00EF581D"/>
    <w:rsid w:val="00EF7FD8"/>
    <w:rsid w:val="00F06F59"/>
    <w:rsid w:val="00F17988"/>
    <w:rsid w:val="00F20624"/>
    <w:rsid w:val="00F22683"/>
    <w:rsid w:val="00F469F0"/>
    <w:rsid w:val="00F53273"/>
    <w:rsid w:val="00F55AC5"/>
    <w:rsid w:val="00F74954"/>
    <w:rsid w:val="00F755E4"/>
    <w:rsid w:val="00F77D02"/>
    <w:rsid w:val="00FB3A86"/>
    <w:rsid w:val="00FC12F0"/>
    <w:rsid w:val="00FC7EFD"/>
    <w:rsid w:val="00FD36C8"/>
    <w:rsid w:val="00FD553B"/>
    <w:rsid w:val="00FE000F"/>
    <w:rsid w:val="00FE2F31"/>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31575A"/>
    <w:pPr>
      <w:spacing w:after="200" w:line="276" w:lineRule="auto"/>
      <w:ind w:left="720"/>
      <w:contextualSpacing/>
    </w:pPr>
    <w:rPr>
      <w:rFonts w:ascii="Calibri" w:eastAsia="SimSun" w:hAnsi="Calibri"/>
      <w:sz w:val="22"/>
      <w:szCs w:val="22"/>
      <w:lang w:eastAsia="zh-CN"/>
    </w:rPr>
  </w:style>
  <w:style w:type="character" w:styleId="UnresolvedMention">
    <w:name w:val="Unresolved Mention"/>
    <w:basedOn w:val="DefaultParagraphFont"/>
    <w:uiPriority w:val="99"/>
    <w:semiHidden/>
    <w:unhideWhenUsed/>
    <w:rsid w:val="00765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324/9781003387497"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B9C9-B591-4093-B7DF-A6360C51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10</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2025-12-12T18:16:00Z</dcterms:created>
  <dcterms:modified xsi:type="dcterms:W3CDTF">2025-12-15T08:51:00Z</dcterms:modified>
</cp:coreProperties>
</file>