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E5EA4" w14:textId="0CF981A0" w:rsidR="00EE67D6" w:rsidRPr="00EE67D6" w:rsidRDefault="00EE67D6" w:rsidP="00380F0D">
      <w:pPr>
        <w:jc w:val="both"/>
        <w:rPr>
          <w:rFonts w:ascii="Arial" w:hAnsi="Arial" w:cs="Arial"/>
          <w:b/>
          <w:bCs/>
          <w:color w:val="000000" w:themeColor="text1"/>
          <w:sz w:val="24"/>
          <w:szCs w:val="24"/>
        </w:rPr>
      </w:pPr>
      <w:r w:rsidRPr="00EE67D6">
        <w:rPr>
          <w:rFonts w:ascii="Arial" w:hAnsi="Arial" w:cs="Arial"/>
          <w:b/>
          <w:bCs/>
          <w:sz w:val="24"/>
          <w:szCs w:val="24"/>
        </w:rPr>
        <w:t xml:space="preserve">Impact of Structured Nutrition Education on Knowledge, Attitude, and Practice </w:t>
      </w:r>
      <w:proofErr w:type="gramStart"/>
      <w:r w:rsidRPr="00EE67D6">
        <w:rPr>
          <w:rFonts w:ascii="Arial" w:hAnsi="Arial" w:cs="Arial"/>
          <w:b/>
          <w:bCs/>
          <w:sz w:val="24"/>
          <w:szCs w:val="24"/>
        </w:rPr>
        <w:t>Among</w:t>
      </w:r>
      <w:proofErr w:type="gramEnd"/>
      <w:r w:rsidRPr="00EE67D6">
        <w:rPr>
          <w:rFonts w:ascii="Arial" w:hAnsi="Arial" w:cs="Arial"/>
          <w:b/>
          <w:bCs/>
          <w:sz w:val="24"/>
          <w:szCs w:val="24"/>
        </w:rPr>
        <w:t xml:space="preserve"> </w:t>
      </w:r>
      <w:proofErr w:type="spellStart"/>
      <w:r w:rsidRPr="00EE67D6">
        <w:rPr>
          <w:rFonts w:ascii="Arial" w:hAnsi="Arial" w:cs="Arial"/>
          <w:b/>
          <w:bCs/>
          <w:sz w:val="24"/>
          <w:szCs w:val="24"/>
        </w:rPr>
        <w:t>Dyslipidemic</w:t>
      </w:r>
      <w:proofErr w:type="spellEnd"/>
      <w:r w:rsidRPr="00EE67D6">
        <w:rPr>
          <w:rFonts w:ascii="Arial" w:hAnsi="Arial" w:cs="Arial"/>
          <w:b/>
          <w:bCs/>
          <w:sz w:val="24"/>
          <w:szCs w:val="24"/>
        </w:rPr>
        <w:t xml:space="preserve"> Subjects: A Six-Month Quasi-Experimental Study</w:t>
      </w:r>
    </w:p>
    <w:p w14:paraId="51557F19" w14:textId="77777777" w:rsidR="00754C9A" w:rsidRPr="00EE67D6" w:rsidRDefault="00754C9A" w:rsidP="00441B6F">
      <w:pPr>
        <w:pStyle w:val="Title"/>
        <w:spacing w:after="0"/>
        <w:jc w:val="both"/>
        <w:rPr>
          <w:rFonts w:ascii="Arial" w:hAnsi="Arial" w:cs="Arial"/>
          <w:bCs/>
          <w:sz w:val="24"/>
          <w:szCs w:val="24"/>
        </w:rPr>
      </w:pPr>
    </w:p>
    <w:p w14:paraId="126391C6" w14:textId="77777777" w:rsidR="00380F0D" w:rsidRDefault="00380F0D" w:rsidP="00AD5BF1">
      <w:pPr>
        <w:pStyle w:val="Author"/>
        <w:spacing w:line="240" w:lineRule="auto"/>
        <w:jc w:val="left"/>
        <w:rPr>
          <w:rFonts w:ascii="Arial" w:hAnsi="Arial" w:cs="Arial"/>
        </w:rPr>
      </w:pPr>
    </w:p>
    <w:p w14:paraId="68BBB29B" w14:textId="77777777" w:rsidR="00C030FE" w:rsidRPr="008436B4" w:rsidRDefault="00C030FE" w:rsidP="00C030FE">
      <w:pPr>
        <w:rPr>
          <w:rFonts w:ascii="Arial" w:hAnsi="Arial" w:cs="Arial"/>
        </w:rPr>
      </w:pPr>
    </w:p>
    <w:p w14:paraId="350F63EB" w14:textId="77777777" w:rsidR="002C57D2" w:rsidRPr="00FB3A86" w:rsidRDefault="002C57D2" w:rsidP="00441B6F">
      <w:pPr>
        <w:pStyle w:val="Affiliation"/>
        <w:spacing w:after="0" w:line="240" w:lineRule="auto"/>
        <w:jc w:val="both"/>
        <w:rPr>
          <w:rFonts w:ascii="Arial" w:hAnsi="Arial" w:cs="Arial"/>
        </w:rPr>
      </w:pPr>
    </w:p>
    <w:p w14:paraId="2A791061" w14:textId="77777777" w:rsidR="00B01FCD" w:rsidRPr="00FB3A86" w:rsidRDefault="007A41E1" w:rsidP="00441B6F">
      <w:pPr>
        <w:pStyle w:val="Copyright"/>
        <w:spacing w:after="0" w:line="240" w:lineRule="auto"/>
        <w:jc w:val="both"/>
        <w:rPr>
          <w:rFonts w:ascii="Arial" w:hAnsi="Arial" w:cs="Arial"/>
        </w:rPr>
        <w:sectPr w:rsidR="00B01FCD" w:rsidRPr="00FB3A86" w:rsidSect="00C030FE">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8A19CC">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2C30F35B" w14:textId="77777777" w:rsidR="00790ADA" w:rsidRPr="00775D32"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75D32" w14:paraId="2313C656" w14:textId="77777777" w:rsidTr="001E44FE">
        <w:tc>
          <w:tcPr>
            <w:tcW w:w="9576" w:type="dxa"/>
            <w:shd w:val="clear" w:color="auto" w:fill="F2F2F2"/>
          </w:tcPr>
          <w:p w14:paraId="6EBC9555" w14:textId="77777777" w:rsidR="00775D32" w:rsidRPr="00775D32" w:rsidRDefault="00775D32" w:rsidP="00775D32">
            <w:pPr>
              <w:pStyle w:val="NormalWeb"/>
              <w:jc w:val="both"/>
              <w:rPr>
                <w:rFonts w:ascii="Arial" w:hAnsi="Arial" w:cs="Arial"/>
                <w:b/>
                <w:bCs/>
                <w:sz w:val="20"/>
                <w:szCs w:val="20"/>
              </w:rPr>
            </w:pPr>
            <w:r w:rsidRPr="00775D32">
              <w:rPr>
                <w:rFonts w:ascii="Arial" w:hAnsi="Arial" w:cs="Arial"/>
                <w:b/>
                <w:bCs/>
                <w:sz w:val="20"/>
                <w:szCs w:val="20"/>
              </w:rPr>
              <w:t>Abstract-</w:t>
            </w:r>
          </w:p>
          <w:p w14:paraId="53B9DB88" w14:textId="51A75088" w:rsidR="00775D32" w:rsidRPr="00775D32" w:rsidRDefault="00775D32" w:rsidP="00775D32">
            <w:pPr>
              <w:pStyle w:val="NormalWeb"/>
              <w:jc w:val="both"/>
              <w:rPr>
                <w:rFonts w:ascii="Arial" w:hAnsi="Arial" w:cs="Arial"/>
                <w:sz w:val="20"/>
                <w:szCs w:val="20"/>
              </w:rPr>
            </w:pPr>
            <w:proofErr w:type="spellStart"/>
            <w:r w:rsidRPr="00775D32">
              <w:rPr>
                <w:rFonts w:ascii="Arial" w:hAnsi="Arial" w:cs="Arial"/>
                <w:sz w:val="20"/>
                <w:szCs w:val="20"/>
              </w:rPr>
              <w:t>Dyslipidemia</w:t>
            </w:r>
            <w:proofErr w:type="spellEnd"/>
            <w:r w:rsidRPr="00775D32">
              <w:rPr>
                <w:rFonts w:ascii="Arial" w:hAnsi="Arial" w:cs="Arial"/>
                <w:sz w:val="20"/>
                <w:szCs w:val="20"/>
              </w:rPr>
              <w:t xml:space="preserve">, characterized by elevated total cholesterol, low-density lipoprotein cholesterol (LDL-C), triglycerides, and reduced high-density lipoprotein cholesterol (HDL-C), is a major metabolic disorder contributing substantially to global cardiovascular morbidity and mortality. Dietary modification remains a primary strategy for managing </w:t>
            </w:r>
            <w:proofErr w:type="spellStart"/>
            <w:r w:rsidRPr="00775D32">
              <w:rPr>
                <w:rFonts w:ascii="Arial" w:hAnsi="Arial" w:cs="Arial"/>
                <w:sz w:val="20"/>
                <w:szCs w:val="20"/>
              </w:rPr>
              <w:t>dyslipidemia</w:t>
            </w:r>
            <w:proofErr w:type="spellEnd"/>
            <w:r w:rsidRPr="00775D32">
              <w:rPr>
                <w:rFonts w:ascii="Arial" w:hAnsi="Arial" w:cs="Arial"/>
                <w:sz w:val="20"/>
                <w:szCs w:val="20"/>
              </w:rPr>
              <w:t xml:space="preserve">. Knowledge, Attitude, and Practice (KAP) assessments provide an effective framework for evaluating nutrition-related awareness and behaviours, as well as the impact of educational interventions. The present study evaluated the effectiveness of a structured nutrition education program among </w:t>
            </w:r>
            <w:proofErr w:type="spellStart"/>
            <w:r w:rsidRPr="00775D32">
              <w:rPr>
                <w:rFonts w:ascii="Arial" w:hAnsi="Arial" w:cs="Arial"/>
                <w:sz w:val="20"/>
                <w:szCs w:val="20"/>
              </w:rPr>
              <w:t>dyslipidemic</w:t>
            </w:r>
            <w:proofErr w:type="spellEnd"/>
            <w:r w:rsidRPr="00775D32">
              <w:rPr>
                <w:rFonts w:ascii="Arial" w:hAnsi="Arial" w:cs="Arial"/>
                <w:sz w:val="20"/>
                <w:szCs w:val="20"/>
              </w:rPr>
              <w:t xml:space="preserve"> subjects over a six-month period. A quasi-experimental design was employed, consisting of an experimental group receiving the intervention and a control group receiving no educational support</w:t>
            </w:r>
            <w:r w:rsidR="00E042C8">
              <w:rPr>
                <w:rFonts w:ascii="Arial" w:hAnsi="Arial" w:cs="Arial"/>
                <w:sz w:val="20"/>
                <w:szCs w:val="20"/>
              </w:rPr>
              <w:t xml:space="preserve"> </w:t>
            </w:r>
            <w:proofErr w:type="gramStart"/>
            <w:r w:rsidR="00E042C8">
              <w:rPr>
                <w:rFonts w:ascii="Arial" w:hAnsi="Arial" w:cs="Arial"/>
                <w:sz w:val="20"/>
                <w:szCs w:val="20"/>
              </w:rPr>
              <w:t>in</w:t>
            </w:r>
            <w:r w:rsidR="001D3C59">
              <w:rPr>
                <w:rFonts w:ascii="Arial" w:hAnsi="Arial" w:cs="Arial"/>
                <w:sz w:val="20"/>
                <w:szCs w:val="20"/>
              </w:rPr>
              <w:t xml:space="preserve"> a clinical settings</w:t>
            </w:r>
            <w:proofErr w:type="gramEnd"/>
            <w:r w:rsidR="00E042C8">
              <w:rPr>
                <w:rFonts w:ascii="Arial" w:hAnsi="Arial" w:cs="Arial"/>
                <w:sz w:val="20"/>
                <w:szCs w:val="20"/>
              </w:rPr>
              <w:t xml:space="preserve">. </w:t>
            </w:r>
            <w:r w:rsidRPr="00775D32">
              <w:rPr>
                <w:rFonts w:ascii="Arial" w:hAnsi="Arial" w:cs="Arial"/>
                <w:sz w:val="20"/>
                <w:szCs w:val="20"/>
              </w:rPr>
              <w:t>Baseline KAP scores were assessed using a validated questionnaire. The intervention included a series of structured educational sessions</w:t>
            </w:r>
            <w:r w:rsidR="001D3C59">
              <w:rPr>
                <w:rFonts w:ascii="Arial" w:hAnsi="Arial" w:cs="Arial"/>
                <w:sz w:val="20"/>
                <w:szCs w:val="20"/>
              </w:rPr>
              <w:t xml:space="preserve"> in a group form</w:t>
            </w:r>
            <w:r w:rsidRPr="00775D32">
              <w:rPr>
                <w:rFonts w:ascii="Arial" w:hAnsi="Arial" w:cs="Arial"/>
                <w:sz w:val="20"/>
                <w:szCs w:val="20"/>
              </w:rPr>
              <w:t xml:space="preserve"> delivered through audio-visual aids such as charts, posters, pamphlets, and instructional videos</w:t>
            </w:r>
            <w:r w:rsidR="001D3C59">
              <w:rPr>
                <w:rFonts w:ascii="Arial" w:hAnsi="Arial" w:cs="Arial"/>
                <w:sz w:val="20"/>
                <w:szCs w:val="20"/>
              </w:rPr>
              <w:t xml:space="preserve">. Nutrition education was given </w:t>
            </w:r>
            <w:r w:rsidR="00696217">
              <w:rPr>
                <w:rFonts w:ascii="Arial" w:hAnsi="Arial" w:cs="Arial"/>
                <w:sz w:val="20"/>
                <w:szCs w:val="20"/>
              </w:rPr>
              <w:t xml:space="preserve">six weekly sessions </w:t>
            </w:r>
            <w:r w:rsidR="001D3C59">
              <w:rPr>
                <w:rFonts w:ascii="Arial" w:hAnsi="Arial" w:cs="Arial"/>
                <w:sz w:val="20"/>
                <w:szCs w:val="20"/>
              </w:rPr>
              <w:t xml:space="preserve">to subjects. </w:t>
            </w:r>
            <w:r w:rsidRPr="00775D32">
              <w:rPr>
                <w:rFonts w:ascii="Arial" w:hAnsi="Arial" w:cs="Arial"/>
                <w:sz w:val="20"/>
                <w:szCs w:val="20"/>
              </w:rPr>
              <w:t xml:space="preserve">Follow-up assessments were conducted at the end of six months to measure changes in KAP scores in both groups. Results demonstrated that participants in the experimental group exhibited significant improvements in knowledge (31.44%), attitude (30.76%), and practice (46.05%), while the control group showed no meaningful changes across these domains. These findings confirm the effectiveness of structured nutrition education in enhancing awareness, fostering positive attitudes, and promoting healthier dietary practices among </w:t>
            </w:r>
            <w:proofErr w:type="spellStart"/>
            <w:r w:rsidRPr="00775D32">
              <w:rPr>
                <w:rFonts w:ascii="Arial" w:hAnsi="Arial" w:cs="Arial"/>
                <w:sz w:val="20"/>
                <w:szCs w:val="20"/>
              </w:rPr>
              <w:t>dyslipidemic</w:t>
            </w:r>
            <w:proofErr w:type="spellEnd"/>
            <w:r w:rsidRPr="00775D32">
              <w:rPr>
                <w:rFonts w:ascii="Arial" w:hAnsi="Arial" w:cs="Arial"/>
                <w:sz w:val="20"/>
                <w:szCs w:val="20"/>
              </w:rPr>
              <w:t xml:space="preserve"> individuals. Overall, this study underscores the essential role of evidence-based nutrition education in facilitating behavioural modification, supporting dietary adherence, and ultimately contributing to the reduction of cardiovascular risk. </w:t>
            </w:r>
          </w:p>
          <w:p w14:paraId="42391628" w14:textId="3F5F224B" w:rsidR="00505F06" w:rsidRPr="00775D32" w:rsidRDefault="00505F06" w:rsidP="00441B6F">
            <w:pPr>
              <w:pStyle w:val="Body"/>
              <w:spacing w:after="0"/>
              <w:rPr>
                <w:rFonts w:ascii="Arial" w:eastAsia="Calibri" w:hAnsi="Arial" w:cs="Arial"/>
              </w:rPr>
            </w:pPr>
          </w:p>
        </w:tc>
      </w:tr>
    </w:tbl>
    <w:p w14:paraId="48ACA7DC" w14:textId="77777777" w:rsidR="00636EB2" w:rsidRDefault="00636EB2" w:rsidP="00441B6F">
      <w:pPr>
        <w:pStyle w:val="Body"/>
        <w:spacing w:after="0"/>
        <w:rPr>
          <w:rFonts w:ascii="Arial" w:hAnsi="Arial" w:cs="Arial"/>
          <w:i/>
        </w:rPr>
      </w:pPr>
    </w:p>
    <w:p w14:paraId="678C9810" w14:textId="44175A05" w:rsidR="00790ADA" w:rsidRDefault="00EE67D6" w:rsidP="00441B6F">
      <w:pPr>
        <w:pStyle w:val="Body"/>
        <w:spacing w:after="0"/>
        <w:rPr>
          <w:rFonts w:ascii="Arial" w:hAnsi="Arial" w:cs="Arial"/>
          <w:i/>
        </w:rPr>
      </w:pPr>
      <w:proofErr w:type="gramStart"/>
      <w:r w:rsidRPr="00E042C8">
        <w:rPr>
          <w:b/>
          <w:bCs/>
        </w:rPr>
        <w:t>Key words--</w:t>
      </w:r>
      <w:r>
        <w:t xml:space="preserve"> </w:t>
      </w:r>
      <w:r w:rsidR="00775D32">
        <w:t>Dyslipidemia, Nutrition education, Knowledge–Attitude–Practice (KAP), Quasi-experimental study, Dietary intervention</w:t>
      </w:r>
      <w:r w:rsidR="00E042C8">
        <w:t>.</w:t>
      </w:r>
      <w:proofErr w:type="gramEnd"/>
    </w:p>
    <w:p w14:paraId="64C3A56F" w14:textId="77777777" w:rsidR="00505F06" w:rsidRPr="00A24E7E" w:rsidRDefault="00505F06" w:rsidP="00441B6F">
      <w:pPr>
        <w:pStyle w:val="Body"/>
        <w:spacing w:after="0"/>
        <w:rPr>
          <w:rFonts w:ascii="Arial" w:hAnsi="Arial" w:cs="Arial"/>
          <w:i/>
        </w:rPr>
      </w:pPr>
    </w:p>
    <w:p w14:paraId="22E098BE" w14:textId="52AD7E0C" w:rsidR="00BB7789" w:rsidRPr="00C030FE" w:rsidRDefault="00B01FCD" w:rsidP="00C21F79">
      <w:pPr>
        <w:pStyle w:val="AbstHead"/>
        <w:numPr>
          <w:ilvl w:val="0"/>
          <w:numId w:val="31"/>
        </w:numPr>
        <w:spacing w:after="0"/>
        <w:jc w:val="both"/>
        <w:rPr>
          <w:rFonts w:ascii="Arial" w:hAnsi="Arial" w:cs="Arial"/>
          <w:sz w:val="20"/>
        </w:rPr>
      </w:pPr>
      <w:r w:rsidRPr="00C030FE">
        <w:rPr>
          <w:rFonts w:ascii="Arial" w:hAnsi="Arial" w:cs="Arial"/>
          <w:sz w:val="20"/>
        </w:rPr>
        <w:t>INTRODUCTION</w:t>
      </w:r>
      <w:r w:rsidR="007F7B32" w:rsidRPr="00C030FE">
        <w:rPr>
          <w:rFonts w:ascii="Arial" w:hAnsi="Arial" w:cs="Arial"/>
          <w:sz w:val="20"/>
        </w:rPr>
        <w:t xml:space="preserve"> </w:t>
      </w:r>
    </w:p>
    <w:p w14:paraId="719E934A" w14:textId="33379CA2" w:rsidR="00BB7789" w:rsidRPr="00BB7789" w:rsidRDefault="00BB7789" w:rsidP="00BB7789">
      <w:pPr>
        <w:pStyle w:val="NormalWeb"/>
        <w:jc w:val="both"/>
        <w:rPr>
          <w:rFonts w:ascii="Arial" w:hAnsi="Arial" w:cs="Arial"/>
          <w:sz w:val="20"/>
          <w:szCs w:val="20"/>
        </w:rPr>
      </w:pP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is a metabolic non-communicable disorder characterized by elevated levels of total cholesterol, low-density lipoprotein cholesterol (LDL-C), triglycerides, and reduced high-density lipoprotein cholesterol (HDL-C) </w:t>
      </w:r>
      <w:proofErr w:type="gramStart"/>
      <w:r w:rsidRPr="00BB7789">
        <w:rPr>
          <w:rFonts w:ascii="Arial" w:hAnsi="Arial" w:cs="Arial"/>
          <w:sz w:val="20"/>
          <w:szCs w:val="20"/>
        </w:rPr>
        <w:t>[</w:t>
      </w:r>
      <w:r w:rsidR="003E6EE9">
        <w:rPr>
          <w:rFonts w:ascii="Arial" w:hAnsi="Arial" w:cs="Arial"/>
          <w:sz w:val="20"/>
          <w:szCs w:val="20"/>
        </w:rPr>
        <w:t xml:space="preserve"> </w:t>
      </w:r>
      <w:proofErr w:type="spellStart"/>
      <w:r w:rsidR="003E6EE9" w:rsidRPr="00DC737E">
        <w:t>Alshuweishi</w:t>
      </w:r>
      <w:proofErr w:type="spellEnd"/>
      <w:proofErr w:type="gramEnd"/>
      <w:r w:rsidR="003E6EE9" w:rsidRPr="00DC737E">
        <w:t>, Y</w:t>
      </w:r>
      <w:r w:rsidR="003E6EE9" w:rsidRPr="00BB7789">
        <w:rPr>
          <w:rFonts w:ascii="Arial" w:hAnsi="Arial" w:cs="Arial"/>
          <w:sz w:val="20"/>
          <w:szCs w:val="20"/>
        </w:rPr>
        <w:t xml:space="preserve"> </w:t>
      </w:r>
      <w:r w:rsidRPr="00BB7789">
        <w:rPr>
          <w:rFonts w:ascii="Arial" w:hAnsi="Arial" w:cs="Arial"/>
          <w:sz w:val="20"/>
          <w:szCs w:val="20"/>
        </w:rPr>
        <w:t xml:space="preserve">et al., 2025]. These lipid abnormalities contribute to an </w:t>
      </w:r>
      <w:proofErr w:type="spellStart"/>
      <w:r w:rsidRPr="00BB7789">
        <w:rPr>
          <w:rFonts w:ascii="Arial" w:hAnsi="Arial" w:cs="Arial"/>
          <w:sz w:val="20"/>
          <w:szCs w:val="20"/>
        </w:rPr>
        <w:t>atherogenic</w:t>
      </w:r>
      <w:proofErr w:type="spellEnd"/>
      <w:r w:rsidRPr="00BB7789">
        <w:rPr>
          <w:rFonts w:ascii="Arial" w:hAnsi="Arial" w:cs="Arial"/>
          <w:sz w:val="20"/>
          <w:szCs w:val="20"/>
        </w:rPr>
        <w:t xml:space="preserve"> plasma profile, which is strongly associated with the high prevalence of coronary heart disease (CHD) worldwide over the past three decades [Rad R</w:t>
      </w:r>
      <w:r w:rsidR="003E6EE9">
        <w:rPr>
          <w:rFonts w:ascii="Arial" w:hAnsi="Arial" w:cs="Arial"/>
          <w:sz w:val="20"/>
          <w:szCs w:val="20"/>
        </w:rPr>
        <w:t xml:space="preserve"> M</w:t>
      </w:r>
      <w:r w:rsidRPr="00BB7789">
        <w:rPr>
          <w:rFonts w:ascii="Arial" w:hAnsi="Arial" w:cs="Arial"/>
          <w:sz w:val="20"/>
          <w:szCs w:val="20"/>
        </w:rPr>
        <w:t xml:space="preserve"> et al., 2024]. Developing countries bear a disproportionately high burden, accounting for approximately 80% of </w:t>
      </w:r>
      <w:proofErr w:type="spellStart"/>
      <w:r w:rsidRPr="00BB7789">
        <w:rPr>
          <w:rFonts w:ascii="Arial" w:hAnsi="Arial" w:cs="Arial"/>
          <w:sz w:val="20"/>
          <w:szCs w:val="20"/>
        </w:rPr>
        <w:t>dyslipidemia</w:t>
      </w:r>
      <w:proofErr w:type="spellEnd"/>
      <w:r w:rsidRPr="00BB7789">
        <w:rPr>
          <w:rFonts w:ascii="Arial" w:hAnsi="Arial" w:cs="Arial"/>
          <w:sz w:val="20"/>
          <w:szCs w:val="20"/>
        </w:rPr>
        <w:t>-related mortality [</w:t>
      </w:r>
      <w:proofErr w:type="spellStart"/>
      <w:r w:rsidR="003E6EE9">
        <w:rPr>
          <w:rFonts w:ascii="Arial" w:hAnsi="Arial" w:cs="Arial"/>
          <w:sz w:val="20"/>
          <w:szCs w:val="20"/>
        </w:rPr>
        <w:t>Davari</w:t>
      </w:r>
      <w:proofErr w:type="spellEnd"/>
      <w:r w:rsidR="003E6EE9">
        <w:rPr>
          <w:rFonts w:ascii="Arial" w:hAnsi="Arial" w:cs="Arial"/>
          <w:sz w:val="20"/>
          <w:szCs w:val="20"/>
        </w:rPr>
        <w:t xml:space="preserve"> M</w:t>
      </w:r>
      <w:r w:rsidRPr="00BB7789">
        <w:rPr>
          <w:rFonts w:ascii="Arial" w:hAnsi="Arial" w:cs="Arial"/>
          <w:sz w:val="20"/>
          <w:szCs w:val="20"/>
        </w:rPr>
        <w:t xml:space="preserve"> et al., 20</w:t>
      </w:r>
      <w:r w:rsidR="003E6EE9">
        <w:rPr>
          <w:rFonts w:ascii="Arial" w:hAnsi="Arial" w:cs="Arial"/>
          <w:sz w:val="20"/>
          <w:szCs w:val="20"/>
        </w:rPr>
        <w:t>19</w:t>
      </w:r>
      <w:r w:rsidRPr="00BB7789">
        <w:rPr>
          <w:rFonts w:ascii="Arial" w:hAnsi="Arial" w:cs="Arial"/>
          <w:sz w:val="20"/>
          <w:szCs w:val="20"/>
        </w:rPr>
        <w:t xml:space="preserve">].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has become a significant contributor to cardiovascular morbidity and mortality, ranking as the eighth leading risk factor for death globally.</w:t>
      </w:r>
    </w:p>
    <w:p w14:paraId="6B855FC6" w14:textId="045A6C83"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Studies from countries such as China, Iran, Saudi Arabia, and Jordan have demonstrated a high prevalence of </w:t>
      </w:r>
      <w:proofErr w:type="spellStart"/>
      <w:r w:rsidRPr="00BB7789">
        <w:rPr>
          <w:rFonts w:ascii="Arial" w:hAnsi="Arial" w:cs="Arial"/>
          <w:sz w:val="20"/>
          <w:szCs w:val="20"/>
        </w:rPr>
        <w:t>dyslipidemia</w:t>
      </w:r>
      <w:proofErr w:type="spellEnd"/>
      <w:r w:rsidRPr="00BB7789">
        <w:rPr>
          <w:rFonts w:ascii="Arial" w:hAnsi="Arial" w:cs="Arial"/>
          <w:sz w:val="20"/>
          <w:szCs w:val="20"/>
        </w:rPr>
        <w:t>, with notable increases in LDL cholesterol, triglycerides, and total cholesterol among their populations [</w:t>
      </w:r>
      <w:proofErr w:type="gramStart"/>
      <w:r w:rsidR="0093094C">
        <w:rPr>
          <w:rFonts w:ascii="Arial" w:hAnsi="Arial" w:cs="Arial"/>
          <w:sz w:val="20"/>
          <w:szCs w:val="20"/>
        </w:rPr>
        <w:t>GBD</w:t>
      </w:r>
      <w:r w:rsidRPr="00BB7789">
        <w:rPr>
          <w:rFonts w:ascii="Arial" w:hAnsi="Arial" w:cs="Arial"/>
          <w:sz w:val="20"/>
          <w:szCs w:val="20"/>
        </w:rPr>
        <w:t>.,</w:t>
      </w:r>
      <w:proofErr w:type="gramEnd"/>
      <w:r w:rsidRPr="00BB7789">
        <w:rPr>
          <w:rFonts w:ascii="Arial" w:hAnsi="Arial" w:cs="Arial"/>
          <w:sz w:val="20"/>
          <w:szCs w:val="20"/>
        </w:rPr>
        <w:t xml:space="preserve"> 2021; </w:t>
      </w:r>
      <w:r w:rsidR="003C5108">
        <w:rPr>
          <w:rFonts w:ascii="Arial" w:hAnsi="Arial" w:cs="Arial"/>
          <w:sz w:val="20"/>
          <w:szCs w:val="20"/>
        </w:rPr>
        <w:t>Qi L</w:t>
      </w:r>
      <w:r w:rsidRPr="00BB7789">
        <w:rPr>
          <w:rFonts w:ascii="Arial" w:hAnsi="Arial" w:cs="Arial"/>
          <w:sz w:val="20"/>
          <w:szCs w:val="20"/>
        </w:rPr>
        <w:t xml:space="preserve"> et al., 20</w:t>
      </w:r>
      <w:r w:rsidR="003C5108">
        <w:rPr>
          <w:rFonts w:ascii="Arial" w:hAnsi="Arial" w:cs="Arial"/>
          <w:sz w:val="20"/>
          <w:szCs w:val="20"/>
        </w:rPr>
        <w:t>15</w:t>
      </w:r>
      <w:r w:rsidRPr="00BB7789">
        <w:rPr>
          <w:rFonts w:ascii="Arial" w:hAnsi="Arial" w:cs="Arial"/>
          <w:sz w:val="20"/>
          <w:szCs w:val="20"/>
        </w:rPr>
        <w:t xml:space="preserve">; </w:t>
      </w:r>
      <w:proofErr w:type="spellStart"/>
      <w:r w:rsidRPr="00BB7789">
        <w:rPr>
          <w:rFonts w:ascii="Arial" w:hAnsi="Arial" w:cs="Arial"/>
          <w:sz w:val="20"/>
          <w:szCs w:val="20"/>
        </w:rPr>
        <w:t>Hyassat</w:t>
      </w:r>
      <w:proofErr w:type="spellEnd"/>
      <w:r w:rsidRPr="00BB7789">
        <w:rPr>
          <w:rFonts w:ascii="Arial" w:hAnsi="Arial" w:cs="Arial"/>
          <w:sz w:val="20"/>
          <w:szCs w:val="20"/>
        </w:rPr>
        <w:t xml:space="preserve"> D et al., 2022]. LDL cholesterol plays a key role in the development of atherosclerosis, while global data have linked elevated LDL levels to millions of deaths due to ischemic heart disease and stroke [Mach </w:t>
      </w:r>
      <w:r w:rsidR="002D5C9B">
        <w:rPr>
          <w:rFonts w:ascii="Arial" w:hAnsi="Arial" w:cs="Arial"/>
          <w:sz w:val="20"/>
          <w:szCs w:val="20"/>
        </w:rPr>
        <w:t xml:space="preserve">M </w:t>
      </w:r>
      <w:r w:rsidRPr="00BB7789">
        <w:rPr>
          <w:rFonts w:ascii="Arial" w:hAnsi="Arial" w:cs="Arial"/>
          <w:sz w:val="20"/>
          <w:szCs w:val="20"/>
        </w:rPr>
        <w:lastRenderedPageBreak/>
        <w:t xml:space="preserve">et al., 2019; </w:t>
      </w:r>
      <w:proofErr w:type="spellStart"/>
      <w:r w:rsidR="00036D5F">
        <w:rPr>
          <w:rFonts w:ascii="Arial" w:hAnsi="Arial" w:cs="Arial"/>
          <w:sz w:val="20"/>
          <w:szCs w:val="20"/>
        </w:rPr>
        <w:t>Weng</w:t>
      </w:r>
      <w:proofErr w:type="spellEnd"/>
      <w:r w:rsidR="00036D5F">
        <w:rPr>
          <w:rFonts w:ascii="Arial" w:hAnsi="Arial" w:cs="Arial"/>
          <w:sz w:val="20"/>
          <w:szCs w:val="20"/>
        </w:rPr>
        <w:t xml:space="preserve"> H</w:t>
      </w:r>
      <w:r w:rsidRPr="00BB7789">
        <w:rPr>
          <w:rFonts w:ascii="Arial" w:hAnsi="Arial" w:cs="Arial"/>
          <w:sz w:val="20"/>
          <w:szCs w:val="20"/>
        </w:rPr>
        <w:t xml:space="preserve"> et al., 202</w:t>
      </w:r>
      <w:r w:rsidR="00036D5F">
        <w:rPr>
          <w:rFonts w:ascii="Arial" w:hAnsi="Arial" w:cs="Arial"/>
          <w:sz w:val="20"/>
          <w:szCs w:val="20"/>
        </w:rPr>
        <w:t>1</w:t>
      </w:r>
      <w:r w:rsidRPr="00BB7789">
        <w:rPr>
          <w:rFonts w:ascii="Arial" w:hAnsi="Arial" w:cs="Arial"/>
          <w:sz w:val="20"/>
          <w:szCs w:val="20"/>
        </w:rPr>
        <w:t xml:space="preserve">]. Similarly, in India,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affects 25–30% of urban and 15–20% of rural populations, contributing to significant cardiac morbidity and mortality [</w:t>
      </w:r>
      <w:r w:rsidR="00EE25A5">
        <w:rPr>
          <w:rFonts w:ascii="Arial" w:hAnsi="Arial" w:cs="Arial"/>
          <w:sz w:val="20"/>
          <w:szCs w:val="20"/>
        </w:rPr>
        <w:t>Joshi S</w:t>
      </w:r>
      <w:r w:rsidRPr="00BB7789">
        <w:rPr>
          <w:rFonts w:ascii="Arial" w:hAnsi="Arial" w:cs="Arial"/>
          <w:sz w:val="20"/>
          <w:szCs w:val="20"/>
        </w:rPr>
        <w:t xml:space="preserve"> et al., 201</w:t>
      </w:r>
      <w:r w:rsidR="00EE25A5">
        <w:rPr>
          <w:rFonts w:ascii="Arial" w:hAnsi="Arial" w:cs="Arial"/>
          <w:sz w:val="20"/>
          <w:szCs w:val="20"/>
        </w:rPr>
        <w:t>4</w:t>
      </w:r>
      <w:r w:rsidRPr="00BB7789">
        <w:rPr>
          <w:rFonts w:ascii="Arial" w:hAnsi="Arial" w:cs="Arial"/>
          <w:sz w:val="20"/>
          <w:szCs w:val="20"/>
        </w:rPr>
        <w:t xml:space="preserve">; </w:t>
      </w:r>
      <w:proofErr w:type="spellStart"/>
      <w:r w:rsidRPr="00BB7789">
        <w:rPr>
          <w:rFonts w:ascii="Arial" w:hAnsi="Arial" w:cs="Arial"/>
          <w:sz w:val="20"/>
          <w:szCs w:val="20"/>
        </w:rPr>
        <w:t>Misra</w:t>
      </w:r>
      <w:proofErr w:type="spellEnd"/>
      <w:r w:rsidRPr="00BB7789">
        <w:rPr>
          <w:rFonts w:ascii="Arial" w:hAnsi="Arial" w:cs="Arial"/>
          <w:sz w:val="20"/>
          <w:szCs w:val="20"/>
        </w:rPr>
        <w:t xml:space="preserve"> S et al., 2022]. The lipid profile of Asian Indians is particularly </w:t>
      </w:r>
      <w:proofErr w:type="spellStart"/>
      <w:r w:rsidRPr="00BB7789">
        <w:rPr>
          <w:rFonts w:ascii="Arial" w:hAnsi="Arial" w:cs="Arial"/>
          <w:sz w:val="20"/>
          <w:szCs w:val="20"/>
        </w:rPr>
        <w:t>atherogenic</w:t>
      </w:r>
      <w:proofErr w:type="spellEnd"/>
      <w:r w:rsidRPr="00BB7789">
        <w:rPr>
          <w:rFonts w:ascii="Arial" w:hAnsi="Arial" w:cs="Arial"/>
          <w:sz w:val="20"/>
          <w:szCs w:val="20"/>
        </w:rPr>
        <w:t>, with elevated LDL-C, triglycerides, and total cholesterol and reduced HDL-C compared to non-Asian populations [</w:t>
      </w:r>
      <w:r w:rsidR="00D6059B">
        <w:rPr>
          <w:rFonts w:ascii="Arial" w:hAnsi="Arial" w:cs="Arial"/>
          <w:sz w:val="20"/>
          <w:szCs w:val="20"/>
        </w:rPr>
        <w:t xml:space="preserve">Jiang K </w:t>
      </w:r>
      <w:r w:rsidRPr="00BB7789">
        <w:rPr>
          <w:rFonts w:ascii="Arial" w:hAnsi="Arial" w:cs="Arial"/>
          <w:sz w:val="20"/>
          <w:szCs w:val="20"/>
        </w:rPr>
        <w:t>et al., 20</w:t>
      </w:r>
      <w:r w:rsidR="00D6059B">
        <w:rPr>
          <w:rFonts w:ascii="Arial" w:hAnsi="Arial" w:cs="Arial"/>
          <w:sz w:val="20"/>
          <w:szCs w:val="20"/>
        </w:rPr>
        <w:t>24</w:t>
      </w:r>
      <w:r w:rsidRPr="00BB7789">
        <w:rPr>
          <w:rFonts w:ascii="Arial" w:hAnsi="Arial" w:cs="Arial"/>
          <w:sz w:val="20"/>
          <w:szCs w:val="20"/>
        </w:rPr>
        <w:t xml:space="preserve">; </w:t>
      </w:r>
      <w:proofErr w:type="spellStart"/>
      <w:r w:rsidR="00D656B6">
        <w:rPr>
          <w:rFonts w:ascii="Arial" w:hAnsi="Arial" w:cs="Arial"/>
          <w:sz w:val="20"/>
          <w:szCs w:val="20"/>
        </w:rPr>
        <w:t>Porada</w:t>
      </w:r>
      <w:proofErr w:type="spellEnd"/>
      <w:r w:rsidR="00D656B6">
        <w:rPr>
          <w:rFonts w:ascii="Arial" w:hAnsi="Arial" w:cs="Arial"/>
          <w:sz w:val="20"/>
          <w:szCs w:val="20"/>
        </w:rPr>
        <w:t xml:space="preserve"> M et al., (2025)</w:t>
      </w:r>
      <w:r w:rsidRPr="00BB7789">
        <w:rPr>
          <w:rFonts w:ascii="Arial" w:hAnsi="Arial" w:cs="Arial"/>
          <w:sz w:val="20"/>
          <w:szCs w:val="20"/>
        </w:rPr>
        <w:t>].</w:t>
      </w:r>
    </w:p>
    <w:p w14:paraId="76B82816"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Lipid metabolism involves complex interactions of lipoproteins, including chylomicrons, very low-density lipoprotein (VLDL), intermediate-density lipoprotein (IDL), LDL, and HDL. While LDL is often termed “bad cholesterol” due to its </w:t>
      </w:r>
      <w:proofErr w:type="spellStart"/>
      <w:r w:rsidRPr="00BB7789">
        <w:rPr>
          <w:rFonts w:ascii="Arial" w:hAnsi="Arial" w:cs="Arial"/>
          <w:sz w:val="20"/>
          <w:szCs w:val="20"/>
        </w:rPr>
        <w:t>atherogenic</w:t>
      </w:r>
      <w:proofErr w:type="spellEnd"/>
      <w:r w:rsidRPr="00BB7789">
        <w:rPr>
          <w:rFonts w:ascii="Arial" w:hAnsi="Arial" w:cs="Arial"/>
          <w:sz w:val="20"/>
          <w:szCs w:val="20"/>
        </w:rPr>
        <w:t xml:space="preserve"> potential, HDL is protective, facilitating reverse cholesterol transport [21–28]. Both modifiable factors (diet, obesity, diabetes, hypertension, stress, alcohol, </w:t>
      </w:r>
      <w:proofErr w:type="gramStart"/>
      <w:r w:rsidRPr="00BB7789">
        <w:rPr>
          <w:rFonts w:ascii="Arial" w:hAnsi="Arial" w:cs="Arial"/>
          <w:sz w:val="20"/>
          <w:szCs w:val="20"/>
        </w:rPr>
        <w:t>smoking</w:t>
      </w:r>
      <w:proofErr w:type="gramEnd"/>
      <w:r w:rsidRPr="00BB7789">
        <w:rPr>
          <w:rFonts w:ascii="Arial" w:hAnsi="Arial" w:cs="Arial"/>
          <w:sz w:val="20"/>
          <w:szCs w:val="20"/>
        </w:rPr>
        <w:t xml:space="preserve">) and non-modifiable factors (age, sex, genetics) contribute to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risk. Early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may be asymptomatic but can progress to serious cardiovascular events if unaddressed.</w:t>
      </w:r>
    </w:p>
    <w:p w14:paraId="11E6C942" w14:textId="0EBFD273"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Diet and nutrition play a critical role in managing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Incorporation of whole cereals, pulses, vegetables, fruits, lean meats, nuts, seeds, and other functional foods enriched with dietary </w:t>
      </w:r>
      <w:proofErr w:type="spellStart"/>
      <w:r w:rsidRPr="00BB7789">
        <w:rPr>
          <w:rFonts w:ascii="Arial" w:hAnsi="Arial" w:cs="Arial"/>
          <w:sz w:val="20"/>
          <w:szCs w:val="20"/>
        </w:rPr>
        <w:t>fiber</w:t>
      </w:r>
      <w:proofErr w:type="spellEnd"/>
      <w:r w:rsidRPr="00BB7789">
        <w:rPr>
          <w:rFonts w:ascii="Arial" w:hAnsi="Arial" w:cs="Arial"/>
          <w:sz w:val="20"/>
          <w:szCs w:val="20"/>
        </w:rPr>
        <w:t xml:space="preserve">, polyunsaturated fatty acids (PUFAs), monounsaturated fatty acids (MUFAs), and antioxidants can improve lipid profiles. Functional foods such as flax seeds, chia seeds, almonds, walnuts, </w:t>
      </w:r>
      <w:proofErr w:type="spellStart"/>
      <w:r w:rsidRPr="00BB7789">
        <w:rPr>
          <w:rFonts w:ascii="Arial" w:hAnsi="Arial" w:cs="Arial"/>
          <w:sz w:val="20"/>
          <w:szCs w:val="20"/>
        </w:rPr>
        <w:t>makhanas</w:t>
      </w:r>
      <w:proofErr w:type="spellEnd"/>
      <w:r w:rsidRPr="00BB7789">
        <w:rPr>
          <w:rFonts w:ascii="Arial" w:hAnsi="Arial" w:cs="Arial"/>
          <w:sz w:val="20"/>
          <w:szCs w:val="20"/>
        </w:rPr>
        <w:t>, wheat bran, mango seed powder, and soybeans have been shown to reduce LDL-C, triglycerides, and total cholesterol while increasing HDL-C. The synergistic effects of nutrients, such as polyphenols and omega-3 fatty acids, further enhance lipid regulation and cardiovascular protection</w:t>
      </w:r>
      <w:r w:rsidR="001563A8">
        <w:rPr>
          <w:rFonts w:ascii="Arial" w:hAnsi="Arial" w:cs="Arial"/>
          <w:sz w:val="20"/>
          <w:szCs w:val="20"/>
        </w:rPr>
        <w:t xml:space="preserve"> </w:t>
      </w:r>
      <w:r w:rsidR="001563A8" w:rsidRPr="008161CC">
        <w:rPr>
          <w:rFonts w:ascii="Arial" w:hAnsi="Arial" w:cs="Arial"/>
          <w:sz w:val="20"/>
          <w:szCs w:val="20"/>
        </w:rPr>
        <w:t>[</w:t>
      </w:r>
      <w:proofErr w:type="spellStart"/>
      <w:r w:rsidR="001A0857" w:rsidRPr="008161CC">
        <w:rPr>
          <w:rFonts w:eastAsia="Calibri"/>
          <w:kern w:val="2"/>
          <w:sz w:val="22"/>
          <w:szCs w:val="22"/>
          <w:lang w:val="en-US" w:eastAsia="en-US"/>
        </w:rPr>
        <w:t>Mellen</w:t>
      </w:r>
      <w:proofErr w:type="spellEnd"/>
      <w:r w:rsidR="001A0857" w:rsidRPr="008161CC">
        <w:rPr>
          <w:rFonts w:eastAsia="Calibri"/>
          <w:kern w:val="2"/>
          <w:sz w:val="22"/>
          <w:szCs w:val="22"/>
          <w:lang w:val="en-US" w:eastAsia="en-US"/>
        </w:rPr>
        <w:t xml:space="preserve"> P.B. et al.</w:t>
      </w:r>
      <w:proofErr w:type="gramStart"/>
      <w:r w:rsidR="001A0857" w:rsidRPr="008161CC">
        <w:rPr>
          <w:rFonts w:eastAsia="Calibri"/>
          <w:kern w:val="2"/>
          <w:sz w:val="22"/>
          <w:szCs w:val="22"/>
          <w:lang w:val="en-US" w:eastAsia="en-US"/>
        </w:rPr>
        <w:t>,(</w:t>
      </w:r>
      <w:proofErr w:type="gramEnd"/>
      <w:r w:rsidR="001A0857" w:rsidRPr="008161CC">
        <w:rPr>
          <w:rFonts w:eastAsia="Calibri"/>
          <w:kern w:val="2"/>
          <w:sz w:val="22"/>
          <w:szCs w:val="22"/>
          <w:lang w:val="en-US" w:eastAsia="en-US"/>
        </w:rPr>
        <w:t>2008),</w:t>
      </w:r>
      <w:r w:rsidR="008161CC">
        <w:rPr>
          <w:rFonts w:eastAsia="Calibri"/>
          <w:kern w:val="2"/>
          <w:sz w:val="22"/>
          <w:szCs w:val="22"/>
          <w:lang w:val="en-US" w:eastAsia="en-US"/>
        </w:rPr>
        <w:t xml:space="preserve"> </w:t>
      </w:r>
      <w:proofErr w:type="spellStart"/>
      <w:r w:rsidR="008161CC">
        <w:rPr>
          <w:rFonts w:eastAsia="Calibri"/>
          <w:kern w:val="2"/>
          <w:sz w:val="22"/>
          <w:szCs w:val="22"/>
          <w:lang w:val="en-US" w:eastAsia="en-US"/>
        </w:rPr>
        <w:t>Asbaghi</w:t>
      </w:r>
      <w:proofErr w:type="spellEnd"/>
      <w:r w:rsidR="008161CC">
        <w:rPr>
          <w:rFonts w:eastAsia="Calibri"/>
          <w:kern w:val="2"/>
          <w:sz w:val="22"/>
          <w:szCs w:val="22"/>
          <w:lang w:val="en-US" w:eastAsia="en-US"/>
        </w:rPr>
        <w:t xml:space="preserve"> O et al., (2021),</w:t>
      </w:r>
      <w:r w:rsidR="008161CC" w:rsidRPr="008161CC">
        <w:t xml:space="preserve"> </w:t>
      </w:r>
      <w:r w:rsidR="008161CC">
        <w:t>Berryman, C. E et al., (2011)</w:t>
      </w:r>
      <w:r w:rsidR="00D6059B">
        <w:t>].</w:t>
      </w:r>
    </w:p>
    <w:p w14:paraId="5DC3A6CA" w14:textId="6653C42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Given the widespread prevalence of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and its serious health consequences, nutrition education emerges as a powerful tool to promote awareness and </w:t>
      </w:r>
      <w:proofErr w:type="spellStart"/>
      <w:r w:rsidRPr="00BB7789">
        <w:rPr>
          <w:rFonts w:ascii="Arial" w:hAnsi="Arial" w:cs="Arial"/>
          <w:sz w:val="20"/>
          <w:szCs w:val="20"/>
        </w:rPr>
        <w:t>behavior</w:t>
      </w:r>
      <w:proofErr w:type="spellEnd"/>
      <w:r w:rsidRPr="00BB7789">
        <w:rPr>
          <w:rFonts w:ascii="Arial" w:hAnsi="Arial" w:cs="Arial"/>
          <w:sz w:val="20"/>
          <w:szCs w:val="20"/>
        </w:rPr>
        <w:t xml:space="preserve"> change. Knowledge, Attitude, and Practice (KAP) assessments provide an effective framework for evaluating baseline understanding, misconceptions, and </w:t>
      </w:r>
      <w:proofErr w:type="spellStart"/>
      <w:r w:rsidRPr="00BB7789">
        <w:rPr>
          <w:rFonts w:ascii="Arial" w:hAnsi="Arial" w:cs="Arial"/>
          <w:sz w:val="20"/>
          <w:szCs w:val="20"/>
        </w:rPr>
        <w:t>behavioral</w:t>
      </w:r>
      <w:proofErr w:type="spellEnd"/>
      <w:r w:rsidRPr="00BB7789">
        <w:rPr>
          <w:rFonts w:ascii="Arial" w:hAnsi="Arial" w:cs="Arial"/>
          <w:sz w:val="20"/>
          <w:szCs w:val="20"/>
        </w:rPr>
        <w:t xml:space="preserve"> patterns, and for measuring the impact of targeted educational interventions [</w:t>
      </w:r>
      <w:proofErr w:type="spellStart"/>
      <w:r w:rsidRPr="00BB7789">
        <w:rPr>
          <w:rFonts w:ascii="Arial" w:hAnsi="Arial" w:cs="Arial"/>
          <w:sz w:val="20"/>
          <w:szCs w:val="20"/>
        </w:rPr>
        <w:t>Rasouli</w:t>
      </w:r>
      <w:proofErr w:type="spellEnd"/>
      <w:r w:rsidRPr="00BB7789">
        <w:rPr>
          <w:rFonts w:ascii="Arial" w:hAnsi="Arial" w:cs="Arial"/>
          <w:sz w:val="20"/>
          <w:szCs w:val="20"/>
        </w:rPr>
        <w:t xml:space="preserve"> A et al., 2025; </w:t>
      </w:r>
      <w:proofErr w:type="spellStart"/>
      <w:r w:rsidR="00121E36">
        <w:rPr>
          <w:rFonts w:ascii="Arial" w:hAnsi="Arial" w:cs="Arial"/>
          <w:sz w:val="20"/>
          <w:szCs w:val="20"/>
        </w:rPr>
        <w:t>Moitra</w:t>
      </w:r>
      <w:proofErr w:type="spellEnd"/>
      <w:r w:rsidR="00121E36">
        <w:rPr>
          <w:rFonts w:ascii="Arial" w:hAnsi="Arial" w:cs="Arial"/>
          <w:sz w:val="20"/>
          <w:szCs w:val="20"/>
        </w:rPr>
        <w:t xml:space="preserve"> </w:t>
      </w:r>
      <w:r w:rsidRPr="00BB7789">
        <w:rPr>
          <w:rFonts w:ascii="Arial" w:hAnsi="Arial" w:cs="Arial"/>
          <w:sz w:val="20"/>
          <w:szCs w:val="20"/>
        </w:rPr>
        <w:t>P et al., 202</w:t>
      </w:r>
      <w:r w:rsidR="00121E36">
        <w:rPr>
          <w:rFonts w:ascii="Arial" w:hAnsi="Arial" w:cs="Arial"/>
          <w:sz w:val="20"/>
          <w:szCs w:val="20"/>
        </w:rPr>
        <w:t>1</w:t>
      </w:r>
      <w:r w:rsidRPr="00BB7789">
        <w:rPr>
          <w:rFonts w:ascii="Arial" w:hAnsi="Arial" w:cs="Arial"/>
          <w:sz w:val="20"/>
          <w:szCs w:val="20"/>
        </w:rPr>
        <w:t xml:space="preserve">; </w:t>
      </w:r>
      <w:r w:rsidR="00174E3B">
        <w:rPr>
          <w:rFonts w:ascii="Arial" w:hAnsi="Arial" w:cs="Arial"/>
          <w:sz w:val="20"/>
          <w:szCs w:val="20"/>
        </w:rPr>
        <w:t>Liao</w:t>
      </w:r>
      <w:r w:rsidRPr="00BB7789">
        <w:rPr>
          <w:rFonts w:ascii="Arial" w:hAnsi="Arial" w:cs="Arial"/>
          <w:sz w:val="20"/>
          <w:szCs w:val="20"/>
        </w:rPr>
        <w:t xml:space="preserve"> Y et al., 202</w:t>
      </w:r>
      <w:r w:rsidR="00174E3B">
        <w:rPr>
          <w:rFonts w:ascii="Arial" w:hAnsi="Arial" w:cs="Arial"/>
          <w:sz w:val="20"/>
          <w:szCs w:val="20"/>
        </w:rPr>
        <w:t>3</w:t>
      </w:r>
      <w:r w:rsidRPr="00BB7789">
        <w:rPr>
          <w:rFonts w:ascii="Arial" w:hAnsi="Arial" w:cs="Arial"/>
          <w:sz w:val="20"/>
          <w:szCs w:val="20"/>
        </w:rPr>
        <w:t xml:space="preserve">; </w:t>
      </w:r>
      <w:proofErr w:type="spellStart"/>
      <w:r w:rsidRPr="00BB7789">
        <w:rPr>
          <w:rFonts w:ascii="Arial" w:hAnsi="Arial" w:cs="Arial"/>
          <w:sz w:val="20"/>
          <w:szCs w:val="20"/>
        </w:rPr>
        <w:t>Vasanthan</w:t>
      </w:r>
      <w:proofErr w:type="spellEnd"/>
      <w:r w:rsidRPr="00BB7789">
        <w:rPr>
          <w:rFonts w:ascii="Arial" w:hAnsi="Arial" w:cs="Arial"/>
          <w:sz w:val="20"/>
          <w:szCs w:val="20"/>
        </w:rPr>
        <w:t xml:space="preserve"> M et al., 2021].</w:t>
      </w:r>
    </w:p>
    <w:p w14:paraId="35E28DF7"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The present study aimed to evaluate the impact of structured nutrition education on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by assessing changes in their KAP scores. Specifically, the study objectives were:</w:t>
      </w:r>
    </w:p>
    <w:p w14:paraId="4F6D1CDD" w14:textId="77777777" w:rsidR="00BB7789" w:rsidRPr="00BB7789" w:rsidRDefault="00BB7789" w:rsidP="00BB7789">
      <w:pPr>
        <w:pStyle w:val="NormalWeb"/>
        <w:numPr>
          <w:ilvl w:val="0"/>
          <w:numId w:val="32"/>
        </w:numPr>
        <w:jc w:val="both"/>
        <w:rPr>
          <w:rFonts w:ascii="Arial" w:hAnsi="Arial" w:cs="Arial"/>
          <w:sz w:val="20"/>
          <w:szCs w:val="20"/>
        </w:rPr>
      </w:pPr>
      <w:r w:rsidRPr="00BB7789">
        <w:rPr>
          <w:rFonts w:ascii="Arial" w:hAnsi="Arial" w:cs="Arial"/>
          <w:sz w:val="20"/>
          <w:szCs w:val="20"/>
        </w:rPr>
        <w:t xml:space="preserve">To assess the baseline nutritional knowledge, attitude, and practice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not on statins.</w:t>
      </w:r>
    </w:p>
    <w:p w14:paraId="27F925D9" w14:textId="77777777" w:rsidR="00BB7789" w:rsidRPr="00BB7789" w:rsidRDefault="00BB7789" w:rsidP="00BB7789">
      <w:pPr>
        <w:pStyle w:val="NormalWeb"/>
        <w:numPr>
          <w:ilvl w:val="0"/>
          <w:numId w:val="32"/>
        </w:numPr>
        <w:jc w:val="both"/>
        <w:rPr>
          <w:rFonts w:ascii="Arial" w:hAnsi="Arial" w:cs="Arial"/>
          <w:sz w:val="20"/>
          <w:szCs w:val="20"/>
        </w:rPr>
      </w:pPr>
      <w:r w:rsidRPr="00BB7789">
        <w:rPr>
          <w:rFonts w:ascii="Arial" w:hAnsi="Arial" w:cs="Arial"/>
          <w:sz w:val="20"/>
          <w:szCs w:val="20"/>
        </w:rPr>
        <w:t>To develop educational materials, including audio-visual aids like charts, posters, pamphlets, videos, etc.</w:t>
      </w:r>
    </w:p>
    <w:p w14:paraId="1C2DCE53" w14:textId="77777777" w:rsidR="00BB7789" w:rsidRPr="00BB7789" w:rsidRDefault="00BB7789" w:rsidP="00BB7789">
      <w:pPr>
        <w:pStyle w:val="NormalWeb"/>
        <w:numPr>
          <w:ilvl w:val="0"/>
          <w:numId w:val="32"/>
        </w:numPr>
        <w:jc w:val="both"/>
        <w:rPr>
          <w:rFonts w:ascii="Arial" w:hAnsi="Arial" w:cs="Arial"/>
          <w:sz w:val="20"/>
          <w:szCs w:val="20"/>
        </w:rPr>
      </w:pPr>
      <w:r w:rsidRPr="00BB7789">
        <w:rPr>
          <w:rFonts w:ascii="Arial" w:hAnsi="Arial" w:cs="Arial"/>
          <w:sz w:val="20"/>
          <w:szCs w:val="20"/>
        </w:rPr>
        <w:t xml:space="preserve">To implement and evaluate the effect of nutrition education on the KAP scores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w:t>
      </w:r>
    </w:p>
    <w:p w14:paraId="24510D7C"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This study bridges gaps in previous research by not only assessing baseline KAP levels but also implementing a comprehensive educational intervention and measuring its efficacy over six months. Findings from this study provide evidence for the role of nutrition education in improving knowledge, attitude, and practice, ultimately supporting the dietary management of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and the reduction of cardiovascular risk.</w:t>
      </w:r>
    </w:p>
    <w:p w14:paraId="1EE735D0" w14:textId="77777777" w:rsidR="00790ADA" w:rsidRPr="00FB3A86" w:rsidRDefault="00790ADA" w:rsidP="00441B6F">
      <w:pPr>
        <w:pStyle w:val="Body"/>
        <w:spacing w:after="0"/>
        <w:rPr>
          <w:rFonts w:ascii="Arial" w:hAnsi="Arial" w:cs="Arial"/>
        </w:rPr>
      </w:pPr>
    </w:p>
    <w:p w14:paraId="27082972" w14:textId="344C088D" w:rsidR="007F7B32" w:rsidRDefault="00902823" w:rsidP="00441B6F">
      <w:pPr>
        <w:pStyle w:val="AbstHead"/>
        <w:spacing w:after="0"/>
        <w:jc w:val="both"/>
        <w:rPr>
          <w:rFonts w:ascii="Arial" w:hAnsi="Arial" w:cs="Arial"/>
        </w:rPr>
      </w:pPr>
      <w:proofErr w:type="gramStart"/>
      <w:r>
        <w:rPr>
          <w:rFonts w:ascii="Arial" w:hAnsi="Arial" w:cs="Arial"/>
        </w:rPr>
        <w:t>2.</w:t>
      </w:r>
      <w:r w:rsidR="006B57D0">
        <w:rPr>
          <w:rFonts w:ascii="Arial" w:hAnsi="Arial" w:cs="Arial"/>
        </w:rPr>
        <w:t>methodology</w:t>
      </w:r>
      <w:proofErr w:type="gramEnd"/>
      <w:r w:rsidR="007F7B32">
        <w:rPr>
          <w:rFonts w:ascii="Arial" w:hAnsi="Arial" w:cs="Arial"/>
        </w:rPr>
        <w:t xml:space="preserve"> </w:t>
      </w:r>
    </w:p>
    <w:p w14:paraId="7F2AB112" w14:textId="77777777" w:rsidR="00790ADA" w:rsidRPr="00FB3A86" w:rsidRDefault="00790ADA" w:rsidP="00441B6F">
      <w:pPr>
        <w:pStyle w:val="AbstHead"/>
        <w:spacing w:after="0"/>
        <w:jc w:val="both"/>
        <w:rPr>
          <w:rFonts w:ascii="Arial" w:hAnsi="Arial" w:cs="Arial"/>
        </w:rPr>
      </w:pPr>
    </w:p>
    <w:p w14:paraId="294397AF"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Study Design and Setting</w:t>
      </w:r>
    </w:p>
    <w:p w14:paraId="4CFEEB78" w14:textId="69DD3F95" w:rsidR="00C93B3D" w:rsidRPr="00C93B3D" w:rsidRDefault="00BB7789" w:rsidP="00C93B3D">
      <w:pPr>
        <w:ind w:left="-110" w:right="-106"/>
        <w:jc w:val="both"/>
        <w:rPr>
          <w:rFonts w:ascii="Arial" w:hAnsi="Arial" w:cs="Arial"/>
          <w:color w:val="000000"/>
          <w:sz w:val="22"/>
          <w:szCs w:val="22"/>
          <w:shd w:val="clear" w:color="auto" w:fill="FFFFFF"/>
        </w:rPr>
      </w:pPr>
      <w:r w:rsidRPr="00C93B3D">
        <w:rPr>
          <w:rFonts w:ascii="Arial" w:hAnsi="Arial" w:cs="Arial"/>
          <w:sz w:val="22"/>
          <w:szCs w:val="22"/>
          <w:lang w:eastAsia="en-IN"/>
        </w:rPr>
        <w:t xml:space="preserve">A quasi-experimental study was conducted to evaluate the impact of structured nutrition education on Knowledge, Attitude, and Practice (KAP) among </w:t>
      </w:r>
      <w:proofErr w:type="spellStart"/>
      <w:r w:rsidRPr="00C93B3D">
        <w:rPr>
          <w:rFonts w:ascii="Arial" w:hAnsi="Arial" w:cs="Arial"/>
          <w:sz w:val="22"/>
          <w:szCs w:val="22"/>
          <w:lang w:eastAsia="en-IN"/>
        </w:rPr>
        <w:t>dyslipidemic</w:t>
      </w:r>
      <w:proofErr w:type="spellEnd"/>
      <w:r w:rsidRPr="00C93B3D">
        <w:rPr>
          <w:rFonts w:ascii="Arial" w:hAnsi="Arial" w:cs="Arial"/>
          <w:sz w:val="22"/>
          <w:szCs w:val="22"/>
          <w:lang w:eastAsia="en-IN"/>
        </w:rPr>
        <w:t xml:space="preserve"> subjects. The study involved an experimental group receiving nutrition education and a control group without any educational intervention. The study duration was six months. The research was carried out in </w:t>
      </w:r>
      <w:r w:rsidR="00E042C8" w:rsidRPr="00C93B3D">
        <w:rPr>
          <w:rFonts w:ascii="Arial" w:hAnsi="Arial" w:cs="Arial"/>
          <w:sz w:val="22"/>
          <w:szCs w:val="22"/>
          <w:lang w:eastAsia="en-IN"/>
        </w:rPr>
        <w:t xml:space="preserve">civil hospital, Yamuna Nagar, </w:t>
      </w:r>
      <w:r w:rsidRPr="00C93B3D">
        <w:rPr>
          <w:rFonts w:ascii="Arial" w:hAnsi="Arial" w:cs="Arial"/>
          <w:sz w:val="22"/>
          <w:szCs w:val="22"/>
          <w:lang w:eastAsia="en-IN"/>
        </w:rPr>
        <w:t>adhering to ethical guidelines</w:t>
      </w:r>
      <w:r w:rsidR="00C93B3D" w:rsidRPr="00C93B3D">
        <w:rPr>
          <w:rFonts w:ascii="Arial" w:hAnsi="Arial" w:cs="Arial"/>
          <w:sz w:val="22"/>
          <w:szCs w:val="22"/>
          <w:lang w:eastAsia="en-IN"/>
        </w:rPr>
        <w:t xml:space="preserve"> obtained from </w:t>
      </w:r>
      <w:proofErr w:type="spellStart"/>
      <w:r w:rsidR="00C93B3D" w:rsidRPr="00C93B3D">
        <w:rPr>
          <w:rFonts w:ascii="Arial" w:eastAsia="Arial" w:hAnsi="Arial" w:cs="Arial"/>
          <w:color w:val="000000"/>
          <w:sz w:val="22"/>
          <w:szCs w:val="22"/>
        </w:rPr>
        <w:t>from</w:t>
      </w:r>
      <w:proofErr w:type="spellEnd"/>
      <w:r w:rsidR="00C93B3D" w:rsidRPr="00C93B3D">
        <w:rPr>
          <w:rFonts w:ascii="Arial" w:eastAsia="Arial" w:hAnsi="Arial" w:cs="Arial"/>
          <w:color w:val="000000"/>
          <w:sz w:val="22"/>
          <w:szCs w:val="22"/>
        </w:rPr>
        <w:t xml:space="preserve"> Clinical Trial Registry of India. </w:t>
      </w:r>
      <w:hyperlink r:id="rId15" w:history="1">
        <w:proofErr w:type="gramStart"/>
        <w:r w:rsidR="00C93B3D" w:rsidRPr="00C93B3D">
          <w:rPr>
            <w:rFonts w:ascii="Arial" w:eastAsia="Arial" w:hAnsi="Arial" w:cs="Arial"/>
            <w:color w:val="0000FF"/>
            <w:sz w:val="22"/>
            <w:szCs w:val="22"/>
            <w:u w:val="single"/>
          </w:rPr>
          <w:t>https://trialsearch.who.int/Trial2.aspx?TrialID=CTRI/2022/01/039645</w:t>
        </w:r>
      </w:hyperlink>
      <w:r w:rsidR="00C93B3D" w:rsidRPr="00C93B3D">
        <w:rPr>
          <w:rFonts w:ascii="Arial" w:hAnsi="Arial" w:cs="Arial"/>
          <w:sz w:val="22"/>
          <w:szCs w:val="22"/>
        </w:rPr>
        <w:t xml:space="preserve">; </w:t>
      </w:r>
      <w:r w:rsidR="00C93B3D" w:rsidRPr="00C93B3D">
        <w:rPr>
          <w:rFonts w:ascii="Arial" w:eastAsia="Arial" w:hAnsi="Arial" w:cs="Arial"/>
          <w:sz w:val="22"/>
          <w:szCs w:val="22"/>
        </w:rPr>
        <w:t>Registration no.</w:t>
      </w:r>
      <w:proofErr w:type="gramEnd"/>
      <w:r w:rsidR="00C93B3D" w:rsidRPr="00C93B3D">
        <w:rPr>
          <w:rFonts w:ascii="Arial" w:eastAsia="Arial" w:hAnsi="Arial" w:cs="Arial"/>
          <w:sz w:val="22"/>
          <w:szCs w:val="22"/>
        </w:rPr>
        <w:t xml:space="preserve"> </w:t>
      </w:r>
      <w:proofErr w:type="gramStart"/>
      <w:r w:rsidR="00C93B3D" w:rsidRPr="00C93B3D">
        <w:rPr>
          <w:rFonts w:ascii="Arial" w:hAnsi="Arial" w:cs="Arial"/>
          <w:color w:val="000000"/>
          <w:sz w:val="22"/>
          <w:szCs w:val="22"/>
          <w:shd w:val="clear" w:color="auto" w:fill="FFFFFF"/>
        </w:rPr>
        <w:t>CTRI/2022/01/039645</w:t>
      </w:r>
      <w:r w:rsidR="00C93B3D">
        <w:rPr>
          <w:rFonts w:ascii="Arial" w:hAnsi="Arial" w:cs="Arial"/>
          <w:color w:val="000000"/>
          <w:sz w:val="22"/>
          <w:szCs w:val="22"/>
          <w:shd w:val="clear" w:color="auto" w:fill="FFFFFF"/>
        </w:rPr>
        <w:t>.</w:t>
      </w:r>
      <w:proofErr w:type="gramEnd"/>
      <w:r w:rsidR="00C93B3D">
        <w:rPr>
          <w:rFonts w:ascii="Arial" w:hAnsi="Arial" w:cs="Arial"/>
          <w:color w:val="000000"/>
          <w:sz w:val="22"/>
          <w:szCs w:val="22"/>
          <w:shd w:val="clear" w:color="auto" w:fill="FFFFFF"/>
        </w:rPr>
        <w:t xml:space="preserve"> Informed consent was obtained from all the volunteered subjects for the participation. </w:t>
      </w:r>
    </w:p>
    <w:p w14:paraId="211ECFC5" w14:textId="6A9C2EA9" w:rsidR="00BB7789" w:rsidRDefault="00BB7789" w:rsidP="00C93B3D">
      <w:pPr>
        <w:spacing w:before="100" w:beforeAutospacing="1" w:after="100" w:afterAutospacing="1"/>
        <w:jc w:val="both"/>
        <w:rPr>
          <w:rFonts w:ascii="Arial" w:hAnsi="Arial" w:cs="Arial"/>
          <w:sz w:val="22"/>
          <w:szCs w:val="22"/>
          <w:lang w:eastAsia="en-IN"/>
        </w:rPr>
      </w:pPr>
    </w:p>
    <w:p w14:paraId="44D6334C" w14:textId="77777777" w:rsidR="00693600" w:rsidRPr="00C93B3D" w:rsidRDefault="00693600" w:rsidP="00C93B3D">
      <w:pPr>
        <w:spacing w:before="100" w:beforeAutospacing="1" w:after="100" w:afterAutospacing="1"/>
        <w:jc w:val="both"/>
        <w:rPr>
          <w:rFonts w:ascii="Arial" w:hAnsi="Arial" w:cs="Arial"/>
          <w:sz w:val="22"/>
          <w:szCs w:val="22"/>
          <w:lang w:eastAsia="en-IN"/>
        </w:rPr>
      </w:pPr>
    </w:p>
    <w:p w14:paraId="36157F13"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lastRenderedPageBreak/>
        <w:t>Study Population</w:t>
      </w:r>
    </w:p>
    <w:p w14:paraId="71B8D2D1" w14:textId="45B9BDD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 xml:space="preserve">The study recruited 60 </w:t>
      </w:r>
      <w:proofErr w:type="spellStart"/>
      <w:r w:rsidRPr="00BB7789">
        <w:rPr>
          <w:rFonts w:ascii="Arial" w:hAnsi="Arial" w:cs="Arial"/>
          <w:lang w:eastAsia="en-IN"/>
        </w:rPr>
        <w:t>dyslipidemic</w:t>
      </w:r>
      <w:proofErr w:type="spellEnd"/>
      <w:r w:rsidRPr="00BB7789">
        <w:rPr>
          <w:rFonts w:ascii="Arial" w:hAnsi="Arial" w:cs="Arial"/>
          <w:lang w:eastAsia="en-IN"/>
        </w:rPr>
        <w:t xml:space="preserve"> subjects </w:t>
      </w:r>
      <w:r w:rsidR="00E042C8">
        <w:rPr>
          <w:rFonts w:ascii="Arial" w:hAnsi="Arial" w:cs="Arial"/>
          <w:lang w:eastAsia="en-IN"/>
        </w:rPr>
        <w:t xml:space="preserve">of &lt;25 years-50 years of age </w:t>
      </w:r>
      <w:r w:rsidRPr="00BB7789">
        <w:rPr>
          <w:rFonts w:ascii="Arial" w:hAnsi="Arial" w:cs="Arial"/>
          <w:lang w:eastAsia="en-IN"/>
        </w:rPr>
        <w:t xml:space="preserve">who were not on statin therapy, from </w:t>
      </w:r>
      <w:r w:rsidR="00E042C8">
        <w:rPr>
          <w:rFonts w:ascii="Arial" w:hAnsi="Arial" w:cs="Arial"/>
          <w:lang w:eastAsia="en-IN"/>
        </w:rPr>
        <w:t>civil hospital, Yamuna Nagar</w:t>
      </w:r>
      <w:r w:rsidRPr="00BB7789">
        <w:rPr>
          <w:rFonts w:ascii="Arial" w:hAnsi="Arial" w:cs="Arial"/>
          <w:lang w:eastAsia="en-IN"/>
        </w:rPr>
        <w:t>. Participants were randomly assigned into two groups:</w:t>
      </w:r>
    </w:p>
    <w:p w14:paraId="5A7C90BD" w14:textId="77777777" w:rsidR="00BB7789" w:rsidRPr="00BB7789" w:rsidRDefault="00BB7789" w:rsidP="00BB7789">
      <w:pPr>
        <w:numPr>
          <w:ilvl w:val="0"/>
          <w:numId w:val="33"/>
        </w:numPr>
        <w:spacing w:before="100" w:beforeAutospacing="1" w:after="100" w:afterAutospacing="1"/>
        <w:jc w:val="both"/>
        <w:rPr>
          <w:rFonts w:ascii="Arial" w:hAnsi="Arial" w:cs="Arial"/>
          <w:lang w:eastAsia="en-IN"/>
        </w:rPr>
      </w:pPr>
      <w:r w:rsidRPr="00BB7789">
        <w:rPr>
          <w:rFonts w:ascii="Arial" w:hAnsi="Arial" w:cs="Arial"/>
          <w:b/>
          <w:bCs/>
          <w:lang w:eastAsia="en-IN"/>
        </w:rPr>
        <w:t>Experimental group (N=30):</w:t>
      </w:r>
      <w:r w:rsidRPr="00BB7789">
        <w:rPr>
          <w:rFonts w:ascii="Arial" w:hAnsi="Arial" w:cs="Arial"/>
          <w:lang w:eastAsia="en-IN"/>
        </w:rPr>
        <w:t xml:space="preserve"> Received structured nutrition education.</w:t>
      </w:r>
    </w:p>
    <w:p w14:paraId="77C98364" w14:textId="77777777" w:rsidR="00BB7789" w:rsidRDefault="00BB7789" w:rsidP="00BB7789">
      <w:pPr>
        <w:numPr>
          <w:ilvl w:val="0"/>
          <w:numId w:val="33"/>
        </w:numPr>
        <w:spacing w:before="100" w:beforeAutospacing="1" w:after="100" w:afterAutospacing="1"/>
        <w:jc w:val="both"/>
        <w:rPr>
          <w:rFonts w:ascii="Arial" w:hAnsi="Arial" w:cs="Arial"/>
          <w:lang w:eastAsia="en-IN"/>
        </w:rPr>
      </w:pPr>
      <w:r w:rsidRPr="00BB7789">
        <w:rPr>
          <w:rFonts w:ascii="Arial" w:hAnsi="Arial" w:cs="Arial"/>
          <w:b/>
          <w:bCs/>
          <w:lang w:eastAsia="en-IN"/>
        </w:rPr>
        <w:t>Control group (N=30):</w:t>
      </w:r>
      <w:r w:rsidRPr="00BB7789">
        <w:rPr>
          <w:rFonts w:ascii="Arial" w:hAnsi="Arial" w:cs="Arial"/>
          <w:lang w:eastAsia="en-IN"/>
        </w:rPr>
        <w:t xml:space="preserve"> Did not receive any nutrition education during the study period.</w:t>
      </w:r>
    </w:p>
    <w:p w14:paraId="1E09C3C6" w14:textId="77777777" w:rsidR="00693600" w:rsidRDefault="00693600" w:rsidP="00693600">
      <w:pPr>
        <w:spacing w:before="100" w:beforeAutospacing="1" w:after="100" w:afterAutospacing="1"/>
        <w:jc w:val="both"/>
        <w:rPr>
          <w:rFonts w:ascii="Arial" w:hAnsi="Arial" w:cs="Arial"/>
          <w:sz w:val="22"/>
          <w:szCs w:val="22"/>
        </w:rPr>
      </w:pPr>
      <w:r w:rsidRPr="00693600">
        <w:rPr>
          <w:rFonts w:ascii="Arial" w:hAnsi="Arial" w:cs="Arial"/>
          <w:b/>
          <w:bCs/>
          <w:sz w:val="22"/>
          <w:szCs w:val="22"/>
        </w:rPr>
        <w:t>Randomization method-</w:t>
      </w:r>
      <w:r>
        <w:rPr>
          <w:rFonts w:ascii="Arial" w:hAnsi="Arial" w:cs="Arial"/>
          <w:sz w:val="22"/>
          <w:szCs w:val="22"/>
        </w:rPr>
        <w:t xml:space="preserve"> </w:t>
      </w:r>
    </w:p>
    <w:p w14:paraId="5A8E805F" w14:textId="3F3637DC" w:rsidR="00693600" w:rsidRPr="00693600" w:rsidRDefault="00693600" w:rsidP="00693600">
      <w:pPr>
        <w:spacing w:before="100" w:beforeAutospacing="1" w:after="100" w:afterAutospacing="1"/>
        <w:jc w:val="both"/>
        <w:rPr>
          <w:rFonts w:ascii="Arial" w:hAnsi="Arial" w:cs="Arial"/>
          <w:sz w:val="22"/>
          <w:szCs w:val="22"/>
          <w:lang w:eastAsia="en-IN"/>
        </w:rPr>
      </w:pPr>
      <w:r w:rsidRPr="00693600">
        <w:rPr>
          <w:rFonts w:ascii="Arial" w:hAnsi="Arial" w:cs="Arial"/>
          <w:sz w:val="22"/>
          <w:szCs w:val="22"/>
        </w:rPr>
        <w:t xml:space="preserve">After recruiting 60 eligible </w:t>
      </w:r>
      <w:proofErr w:type="spellStart"/>
      <w:r w:rsidRPr="00693600">
        <w:rPr>
          <w:rFonts w:ascii="Arial" w:hAnsi="Arial" w:cs="Arial"/>
          <w:sz w:val="22"/>
          <w:szCs w:val="22"/>
        </w:rPr>
        <w:t>dyslipidemic</w:t>
      </w:r>
      <w:proofErr w:type="spellEnd"/>
      <w:r w:rsidRPr="00693600">
        <w:rPr>
          <w:rFonts w:ascii="Arial" w:hAnsi="Arial" w:cs="Arial"/>
          <w:sz w:val="22"/>
          <w:szCs w:val="22"/>
        </w:rPr>
        <w:t xml:space="preserve"> subjects (aged &lt;25–50 years), randomization was carried out to assign participants into two groups. Each subject was given a unique identification number. These numbers were then randomly allocated to either the experimental or control group using a simple randomization method—such as a computer-generated random number table or drawing lots. This ensured that each participant had an equal chance of being placed in either group. As a result, 30 subjects were assigned to the experimental group (received nutrition education) and 30 to the control group (received no nutrition education).</w:t>
      </w:r>
    </w:p>
    <w:p w14:paraId="4AD686FE" w14:textId="77777777" w:rsidR="00693600" w:rsidRPr="00BB7789" w:rsidRDefault="00693600" w:rsidP="00693600">
      <w:pPr>
        <w:spacing w:before="100" w:beforeAutospacing="1" w:after="100" w:afterAutospacing="1"/>
        <w:jc w:val="both"/>
        <w:rPr>
          <w:rFonts w:ascii="Arial" w:hAnsi="Arial" w:cs="Arial"/>
          <w:lang w:eastAsia="en-IN"/>
        </w:rPr>
      </w:pPr>
    </w:p>
    <w:p w14:paraId="08C28047"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b/>
          <w:bCs/>
          <w:lang w:eastAsia="en-IN"/>
        </w:rPr>
        <w:t>Inclusion Criteria:</w:t>
      </w:r>
    </w:p>
    <w:p w14:paraId="28BFDB77" w14:textId="77777777" w:rsidR="00BB7789" w:rsidRPr="00BB7789" w:rsidRDefault="00BB7789" w:rsidP="00BB7789">
      <w:pPr>
        <w:numPr>
          <w:ilvl w:val="0"/>
          <w:numId w:val="34"/>
        </w:numPr>
        <w:spacing w:before="100" w:beforeAutospacing="1" w:after="100" w:afterAutospacing="1"/>
        <w:jc w:val="both"/>
        <w:rPr>
          <w:rFonts w:ascii="Arial" w:hAnsi="Arial" w:cs="Arial"/>
          <w:lang w:eastAsia="en-IN"/>
        </w:rPr>
      </w:pPr>
      <w:r w:rsidRPr="00BB7789">
        <w:rPr>
          <w:rFonts w:ascii="Arial" w:hAnsi="Arial" w:cs="Arial"/>
          <w:lang w:eastAsia="en-IN"/>
        </w:rPr>
        <w:t>Diagnosed with dyslipidemia (elevated LDL, triglycerides, total cholesterol, or reduced HDL).</w:t>
      </w:r>
    </w:p>
    <w:p w14:paraId="63533C7F" w14:textId="77777777" w:rsidR="00BB7789" w:rsidRPr="00BB7789" w:rsidRDefault="00BB7789" w:rsidP="00BB7789">
      <w:pPr>
        <w:numPr>
          <w:ilvl w:val="0"/>
          <w:numId w:val="34"/>
        </w:numPr>
        <w:spacing w:before="100" w:beforeAutospacing="1" w:after="100" w:afterAutospacing="1"/>
        <w:jc w:val="both"/>
        <w:rPr>
          <w:rFonts w:ascii="Arial" w:hAnsi="Arial" w:cs="Arial"/>
          <w:lang w:eastAsia="en-IN"/>
        </w:rPr>
      </w:pPr>
      <w:r w:rsidRPr="00BB7789">
        <w:rPr>
          <w:rFonts w:ascii="Arial" w:hAnsi="Arial" w:cs="Arial"/>
          <w:lang w:eastAsia="en-IN"/>
        </w:rPr>
        <w:t>Willingness to participate in the study and provide informed consent.</w:t>
      </w:r>
    </w:p>
    <w:p w14:paraId="0B44ACEE" w14:textId="77777777" w:rsidR="00BB7789" w:rsidRPr="00BB7789" w:rsidRDefault="00BB7789" w:rsidP="00BB7789">
      <w:pPr>
        <w:numPr>
          <w:ilvl w:val="0"/>
          <w:numId w:val="34"/>
        </w:numPr>
        <w:spacing w:before="100" w:beforeAutospacing="1" w:after="100" w:afterAutospacing="1"/>
        <w:jc w:val="both"/>
        <w:rPr>
          <w:rFonts w:ascii="Arial" w:hAnsi="Arial" w:cs="Arial"/>
          <w:lang w:eastAsia="en-IN"/>
        </w:rPr>
      </w:pPr>
      <w:r w:rsidRPr="00BB7789">
        <w:rPr>
          <w:rFonts w:ascii="Arial" w:hAnsi="Arial" w:cs="Arial"/>
          <w:lang w:eastAsia="en-IN"/>
        </w:rPr>
        <w:t>Not on lipid-lowering medications such as statins.</w:t>
      </w:r>
    </w:p>
    <w:p w14:paraId="64AAE34D"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b/>
          <w:bCs/>
          <w:lang w:eastAsia="en-IN"/>
        </w:rPr>
        <w:t>Exclusion Criteria:</w:t>
      </w:r>
    </w:p>
    <w:p w14:paraId="0ADEEDB2" w14:textId="77777777" w:rsidR="00BB7789" w:rsidRPr="00BB7789" w:rsidRDefault="00BB7789" w:rsidP="00BB7789">
      <w:pPr>
        <w:numPr>
          <w:ilvl w:val="0"/>
          <w:numId w:val="35"/>
        </w:numPr>
        <w:spacing w:before="100" w:beforeAutospacing="1" w:after="100" w:afterAutospacing="1"/>
        <w:jc w:val="both"/>
        <w:rPr>
          <w:rFonts w:ascii="Arial" w:hAnsi="Arial" w:cs="Arial"/>
          <w:lang w:eastAsia="en-IN"/>
        </w:rPr>
      </w:pPr>
      <w:r w:rsidRPr="00BB7789">
        <w:rPr>
          <w:rFonts w:ascii="Arial" w:hAnsi="Arial" w:cs="Arial"/>
          <w:lang w:eastAsia="en-IN"/>
        </w:rPr>
        <w:t>Individuals with chronic conditions other than dyslipidemia that could interfere with study outcomes.</w:t>
      </w:r>
    </w:p>
    <w:p w14:paraId="25518EA5" w14:textId="77777777" w:rsidR="00BB7789" w:rsidRPr="00BB7789" w:rsidRDefault="00BB7789" w:rsidP="00BB7789">
      <w:pPr>
        <w:numPr>
          <w:ilvl w:val="0"/>
          <w:numId w:val="35"/>
        </w:numPr>
        <w:spacing w:before="100" w:beforeAutospacing="1" w:after="100" w:afterAutospacing="1"/>
        <w:jc w:val="both"/>
        <w:rPr>
          <w:rFonts w:ascii="Arial" w:hAnsi="Arial" w:cs="Arial"/>
          <w:lang w:eastAsia="en-IN"/>
        </w:rPr>
      </w:pPr>
      <w:r w:rsidRPr="00BB7789">
        <w:rPr>
          <w:rFonts w:ascii="Arial" w:hAnsi="Arial" w:cs="Arial"/>
          <w:lang w:eastAsia="en-IN"/>
        </w:rPr>
        <w:t>Subjects already participating in dietary or lifestyle interventions.</w:t>
      </w:r>
    </w:p>
    <w:p w14:paraId="44DA26A2" w14:textId="77777777" w:rsidR="00BB7789" w:rsidRDefault="00BB7789" w:rsidP="00BB7789">
      <w:pPr>
        <w:numPr>
          <w:ilvl w:val="0"/>
          <w:numId w:val="35"/>
        </w:numPr>
        <w:spacing w:before="100" w:beforeAutospacing="1" w:after="100" w:afterAutospacing="1"/>
        <w:jc w:val="both"/>
        <w:rPr>
          <w:rFonts w:ascii="Arial" w:hAnsi="Arial" w:cs="Arial"/>
          <w:lang w:eastAsia="en-IN"/>
        </w:rPr>
      </w:pPr>
      <w:r w:rsidRPr="00BB7789">
        <w:rPr>
          <w:rFonts w:ascii="Arial" w:hAnsi="Arial" w:cs="Arial"/>
          <w:lang w:eastAsia="en-IN"/>
        </w:rPr>
        <w:t>Pregnant or lactating women.</w:t>
      </w:r>
    </w:p>
    <w:p w14:paraId="7EC059FD" w14:textId="14E2AE62" w:rsidR="00693600" w:rsidRPr="00693600" w:rsidRDefault="00693600" w:rsidP="00693600">
      <w:pPr>
        <w:spacing w:before="100" w:beforeAutospacing="1" w:after="100" w:afterAutospacing="1"/>
        <w:jc w:val="both"/>
        <w:rPr>
          <w:rFonts w:ascii="Arial" w:hAnsi="Arial" w:cs="Arial"/>
          <w:b/>
          <w:bCs/>
          <w:lang w:eastAsia="en-IN"/>
        </w:rPr>
      </w:pPr>
      <w:r w:rsidRPr="00693600">
        <w:rPr>
          <w:rFonts w:ascii="Arial" w:hAnsi="Arial" w:cs="Arial"/>
          <w:b/>
          <w:bCs/>
          <w:lang w:eastAsia="en-IN"/>
        </w:rPr>
        <w:t xml:space="preserve">Biochemical Assessment for detecting the lipid profile parameters of </w:t>
      </w:r>
      <w:proofErr w:type="spellStart"/>
      <w:r w:rsidRPr="00693600">
        <w:rPr>
          <w:rFonts w:ascii="Arial" w:hAnsi="Arial" w:cs="Arial"/>
          <w:b/>
          <w:bCs/>
          <w:lang w:eastAsia="en-IN"/>
        </w:rPr>
        <w:t>Dyslipidemic</w:t>
      </w:r>
      <w:proofErr w:type="spellEnd"/>
      <w:r w:rsidRPr="00693600">
        <w:rPr>
          <w:rFonts w:ascii="Arial" w:hAnsi="Arial" w:cs="Arial"/>
          <w:b/>
          <w:bCs/>
          <w:lang w:eastAsia="en-IN"/>
        </w:rPr>
        <w:t xml:space="preserve"> subjects-</w:t>
      </w:r>
    </w:p>
    <w:p w14:paraId="206A2F0C" w14:textId="77777777" w:rsidR="00693600" w:rsidRDefault="00693600" w:rsidP="00693600">
      <w:pPr>
        <w:pStyle w:val="NormalWeb"/>
        <w:numPr>
          <w:ilvl w:val="0"/>
          <w:numId w:val="35"/>
        </w:numPr>
      </w:pPr>
      <w:r>
        <w:t xml:space="preserve">Biochemical evaluation was conducted to measure the lipid profiles of </w:t>
      </w:r>
      <w:proofErr w:type="spellStart"/>
      <w:r>
        <w:t>dyslipidemic</w:t>
      </w:r>
      <w:proofErr w:type="spellEnd"/>
      <w:r>
        <w:t xml:space="preserve"> subjects and assess the effect of a dietary intervention. Participants were selected through screening and medical diagnosis, and only those meeting inclusion criteria and providing informed consent were included. Prior to testing, subjects fasted overnight (10–12 hours) and avoided alcohol, smoking, caffeine, and heavy exercise for 24 hours.</w:t>
      </w:r>
    </w:p>
    <w:p w14:paraId="081E5EEB" w14:textId="35E72727" w:rsidR="00693600" w:rsidRDefault="00693600" w:rsidP="00693600">
      <w:pPr>
        <w:pStyle w:val="NormalWeb"/>
        <w:numPr>
          <w:ilvl w:val="0"/>
          <w:numId w:val="35"/>
        </w:numPr>
      </w:pPr>
      <w:r>
        <w:t xml:space="preserve">Blood samples (~5 ml) were collected from the </w:t>
      </w:r>
      <w:proofErr w:type="spellStart"/>
      <w:r>
        <w:t>antecubital</w:t>
      </w:r>
      <w:proofErr w:type="spellEnd"/>
      <w:r>
        <w:t xml:space="preserve"> vein into plain </w:t>
      </w:r>
      <w:proofErr w:type="spellStart"/>
      <w:r>
        <w:t>vacutainers</w:t>
      </w:r>
      <w:proofErr w:type="spellEnd"/>
      <w:r>
        <w:t>. After clotting at room temperature, samples were centrifuged to separate serum, which was stored at 2–8°C for analysis. Lipid profile measurements were performed at three time points: baseline (0 days), mid-intervention (90 days), and post-intervention (180 days) to track changes over time.</w:t>
      </w:r>
    </w:p>
    <w:p w14:paraId="20AAF141" w14:textId="77777777" w:rsidR="00693600" w:rsidRDefault="00693600" w:rsidP="00693600">
      <w:pPr>
        <w:pStyle w:val="NormalWeb"/>
      </w:pPr>
    </w:p>
    <w:p w14:paraId="7512511F" w14:textId="77777777" w:rsidR="00693600" w:rsidRDefault="00693600" w:rsidP="00693600">
      <w:pPr>
        <w:pStyle w:val="NormalWeb"/>
      </w:pPr>
    </w:p>
    <w:p w14:paraId="6D9C0357" w14:textId="77777777" w:rsidR="00693600" w:rsidRDefault="00693600" w:rsidP="00693600">
      <w:pPr>
        <w:pStyle w:val="NormalWeb"/>
      </w:pPr>
    </w:p>
    <w:p w14:paraId="485C7D06" w14:textId="77777777" w:rsidR="00693600" w:rsidRDefault="00693600" w:rsidP="00693600">
      <w:pPr>
        <w:pStyle w:val="NormalWeb"/>
      </w:pPr>
    </w:p>
    <w:p w14:paraId="53992BD3" w14:textId="77777777" w:rsidR="00693600" w:rsidRDefault="00693600" w:rsidP="00693600">
      <w:pPr>
        <w:pStyle w:val="NormalWeb"/>
      </w:pPr>
    </w:p>
    <w:p w14:paraId="5F848D17" w14:textId="77777777" w:rsidR="00693600" w:rsidRDefault="00693600" w:rsidP="00693600">
      <w:pPr>
        <w:pStyle w:val="NormalWeb"/>
      </w:pPr>
    </w:p>
    <w:p w14:paraId="6A5C765C" w14:textId="6E8F3A7A" w:rsidR="00693600" w:rsidRPr="00693600" w:rsidRDefault="00693600" w:rsidP="00693600">
      <w:pPr>
        <w:pStyle w:val="NormalWeb"/>
        <w:rPr>
          <w:b/>
          <w:bCs/>
        </w:rPr>
      </w:pPr>
      <w:r w:rsidRPr="00693600">
        <w:rPr>
          <w:b/>
          <w:bCs/>
        </w:rPr>
        <w:t xml:space="preserve">KAP Questionnaire- </w:t>
      </w:r>
    </w:p>
    <w:p w14:paraId="0C250A10" w14:textId="77777777" w:rsidR="00693600" w:rsidRDefault="00693600" w:rsidP="00693600">
      <w:pPr>
        <w:pStyle w:val="NormalWeb"/>
      </w:pPr>
      <w:r>
        <w:t xml:space="preserve">A </w:t>
      </w:r>
      <w:r>
        <w:rPr>
          <w:rStyle w:val="Strong"/>
        </w:rPr>
        <w:t>pre-validated Knowledge, Attitude, and Practice (KAP) questionnaire</w:t>
      </w:r>
      <w:r>
        <w:t xml:space="preserve"> on nutrition and </w:t>
      </w:r>
      <w:proofErr w:type="spellStart"/>
      <w:r>
        <w:t>dyslipidemia</w:t>
      </w:r>
      <w:proofErr w:type="spellEnd"/>
      <w:r>
        <w:t xml:space="preserve"> was used to assess participants’ baseline understanding and </w:t>
      </w:r>
      <w:proofErr w:type="spellStart"/>
      <w:r>
        <w:t>behavioral</w:t>
      </w:r>
      <w:proofErr w:type="spellEnd"/>
      <w:r>
        <w:t xml:space="preserve"> patterns, and to evaluate changes after the six-month intervention.</w:t>
      </w:r>
    </w:p>
    <w:p w14:paraId="03FFC123" w14:textId="77777777" w:rsidR="00693600" w:rsidRDefault="00693600" w:rsidP="00693600">
      <w:pPr>
        <w:pStyle w:val="NormalWeb"/>
      </w:pPr>
      <w:r>
        <w:rPr>
          <w:rStyle w:val="Strong"/>
        </w:rPr>
        <w:t>Source and Development</w:t>
      </w:r>
      <w:proofErr w:type="gramStart"/>
      <w:r>
        <w:rPr>
          <w:rStyle w:val="Strong"/>
        </w:rPr>
        <w:t>:</w:t>
      </w:r>
      <w:proofErr w:type="gramEnd"/>
      <w:r>
        <w:br/>
        <w:t>The questionnaire was adapted from previously validated KAP tools used in nutrition and cardiovascular-risk studies. It was reviewed by subject experts (nutritionists, physicians, and public health specialists) to ensure relevance, clarity, and content validity. Minor modifications were made to match the cultural and dietary context of the study population.</w:t>
      </w:r>
    </w:p>
    <w:p w14:paraId="05A10D79" w14:textId="77777777" w:rsidR="00693600" w:rsidRDefault="00693600" w:rsidP="00693600">
      <w:pPr>
        <w:pStyle w:val="NormalWeb"/>
      </w:pPr>
      <w:r>
        <w:rPr>
          <w:rStyle w:val="Strong"/>
        </w:rPr>
        <w:t>Structure of the Questionnaire:</w:t>
      </w:r>
    </w:p>
    <w:p w14:paraId="0E8E7F73" w14:textId="77777777" w:rsidR="00693600" w:rsidRDefault="00693600" w:rsidP="00693600">
      <w:pPr>
        <w:pStyle w:val="NormalWeb"/>
        <w:numPr>
          <w:ilvl w:val="0"/>
          <w:numId w:val="42"/>
        </w:numPr>
      </w:pPr>
      <w:r>
        <w:rPr>
          <w:rStyle w:val="Strong"/>
        </w:rPr>
        <w:t>Knowledge section:</w:t>
      </w:r>
      <w:r>
        <w:t xml:space="preserve"> Multiple-choice and true/false items assessing understanding of lipids, healthy eating, sources of dietary fats, and risk factors for </w:t>
      </w:r>
      <w:proofErr w:type="spellStart"/>
      <w:r>
        <w:t>dyslipidemia</w:t>
      </w:r>
      <w:proofErr w:type="spellEnd"/>
      <w:r>
        <w:t>.</w:t>
      </w:r>
    </w:p>
    <w:p w14:paraId="0BBC23DD" w14:textId="77777777" w:rsidR="00693600" w:rsidRDefault="00693600" w:rsidP="00693600">
      <w:pPr>
        <w:pStyle w:val="NormalWeb"/>
        <w:numPr>
          <w:ilvl w:val="0"/>
          <w:numId w:val="42"/>
        </w:numPr>
      </w:pPr>
      <w:r>
        <w:rPr>
          <w:rStyle w:val="Strong"/>
        </w:rPr>
        <w:t>Attitude section:</w:t>
      </w:r>
      <w:r>
        <w:t xml:space="preserve"> Statements rated on a 5-point </w:t>
      </w:r>
      <w:proofErr w:type="spellStart"/>
      <w:r>
        <w:t>Likert</w:t>
      </w:r>
      <w:proofErr w:type="spellEnd"/>
      <w:r>
        <w:t xml:space="preserve"> scale (strongly agree to strongly disagree) to capture perceptions, motivation, and beliefs regarding dietary modification and lifestyle changes.</w:t>
      </w:r>
    </w:p>
    <w:p w14:paraId="4BB89AE5" w14:textId="77777777" w:rsidR="00693600" w:rsidRDefault="00693600" w:rsidP="00693600">
      <w:pPr>
        <w:pStyle w:val="NormalWeb"/>
        <w:numPr>
          <w:ilvl w:val="0"/>
          <w:numId w:val="42"/>
        </w:numPr>
      </w:pPr>
      <w:r>
        <w:rPr>
          <w:rStyle w:val="Strong"/>
        </w:rPr>
        <w:t>Practice section:</w:t>
      </w:r>
      <w:r>
        <w:t xml:space="preserve"> Questions on frequency of dietary habits, fat intake, cooking methods, and lifestyle </w:t>
      </w:r>
      <w:proofErr w:type="spellStart"/>
      <w:r>
        <w:t>behaviors</w:t>
      </w:r>
      <w:proofErr w:type="spellEnd"/>
      <w:r>
        <w:t xml:space="preserve"> (e.g., physical activity), using a mix of </w:t>
      </w:r>
      <w:proofErr w:type="spellStart"/>
      <w:r>
        <w:t>Likert</w:t>
      </w:r>
      <w:proofErr w:type="spellEnd"/>
      <w:r>
        <w:t>-scale and frequency-based items.</w:t>
      </w:r>
    </w:p>
    <w:p w14:paraId="041B1338" w14:textId="77777777" w:rsidR="00693600" w:rsidRDefault="00693600" w:rsidP="00693600">
      <w:pPr>
        <w:pStyle w:val="NormalWeb"/>
      </w:pPr>
      <w:r>
        <w:rPr>
          <w:rStyle w:val="Strong"/>
        </w:rPr>
        <w:t>Scoring System:</w:t>
      </w:r>
    </w:p>
    <w:p w14:paraId="1DBCFE86" w14:textId="77777777" w:rsidR="00693600" w:rsidRDefault="00693600" w:rsidP="00693600">
      <w:pPr>
        <w:pStyle w:val="NormalWeb"/>
        <w:numPr>
          <w:ilvl w:val="0"/>
          <w:numId w:val="43"/>
        </w:numPr>
      </w:pPr>
      <w:r>
        <w:rPr>
          <w:rStyle w:val="Strong"/>
        </w:rPr>
        <w:t>Knowledge</w:t>
      </w:r>
      <w:r>
        <w:t xml:space="preserve"> items were scored as </w:t>
      </w:r>
      <w:r>
        <w:rPr>
          <w:rStyle w:val="Strong"/>
        </w:rPr>
        <w:t>1 for correct</w:t>
      </w:r>
      <w:r>
        <w:t xml:space="preserve"> and </w:t>
      </w:r>
      <w:r>
        <w:rPr>
          <w:rStyle w:val="Strong"/>
        </w:rPr>
        <w:t>0 for incorrect</w:t>
      </w:r>
      <w:r>
        <w:t xml:space="preserve"> responses.</w:t>
      </w:r>
    </w:p>
    <w:p w14:paraId="767D107A" w14:textId="77777777" w:rsidR="00693600" w:rsidRDefault="00693600" w:rsidP="00693600">
      <w:pPr>
        <w:pStyle w:val="NormalWeb"/>
        <w:numPr>
          <w:ilvl w:val="0"/>
          <w:numId w:val="43"/>
        </w:numPr>
      </w:pPr>
      <w:r>
        <w:rPr>
          <w:rStyle w:val="Strong"/>
        </w:rPr>
        <w:t>Attitude</w:t>
      </w:r>
      <w:r>
        <w:t xml:space="preserve"> statements used a </w:t>
      </w:r>
      <w:r>
        <w:rPr>
          <w:rStyle w:val="Strong"/>
        </w:rPr>
        <w:t xml:space="preserve">5-point </w:t>
      </w:r>
      <w:proofErr w:type="spellStart"/>
      <w:r>
        <w:rPr>
          <w:rStyle w:val="Strong"/>
        </w:rPr>
        <w:t>Likert</w:t>
      </w:r>
      <w:proofErr w:type="spellEnd"/>
      <w:r>
        <w:rPr>
          <w:rStyle w:val="Strong"/>
        </w:rPr>
        <w:t xml:space="preserve"> scoring system</w:t>
      </w:r>
      <w:r>
        <w:t xml:space="preserve">, with higher scores indicating more positive attitudes toward healthy lifestyle </w:t>
      </w:r>
      <w:proofErr w:type="spellStart"/>
      <w:r>
        <w:t>behaviors</w:t>
      </w:r>
      <w:proofErr w:type="spellEnd"/>
      <w:r>
        <w:t>.</w:t>
      </w:r>
    </w:p>
    <w:p w14:paraId="36EE0232" w14:textId="77777777" w:rsidR="00693600" w:rsidRDefault="00693600" w:rsidP="00693600">
      <w:pPr>
        <w:pStyle w:val="NormalWeb"/>
        <w:numPr>
          <w:ilvl w:val="0"/>
          <w:numId w:val="43"/>
        </w:numPr>
      </w:pPr>
      <w:r>
        <w:rPr>
          <w:rStyle w:val="Strong"/>
        </w:rPr>
        <w:t>Practice</w:t>
      </w:r>
      <w:r>
        <w:t xml:space="preserve"> items were scored based on frequency or adherence to recommended dietary practices, where higher scores reflected healthier </w:t>
      </w:r>
      <w:proofErr w:type="spellStart"/>
      <w:r>
        <w:t>behaviors</w:t>
      </w:r>
      <w:proofErr w:type="spellEnd"/>
      <w:r>
        <w:t>.</w:t>
      </w:r>
    </w:p>
    <w:p w14:paraId="63D704F7" w14:textId="77777777" w:rsidR="00693600" w:rsidRDefault="00693600" w:rsidP="00693600">
      <w:pPr>
        <w:pStyle w:val="NormalWeb"/>
      </w:pPr>
      <w:r>
        <w:t>Total KAP scores were calculated for each participant and categorized into low, moderate, or high levels based on predetermined cut-off values.</w:t>
      </w:r>
    </w:p>
    <w:p w14:paraId="4AE6588A" w14:textId="77777777" w:rsidR="00693600" w:rsidRDefault="00693600" w:rsidP="00693600">
      <w:pPr>
        <w:pStyle w:val="NormalWeb"/>
      </w:pPr>
      <w:r>
        <w:rPr>
          <w:rStyle w:val="Strong"/>
        </w:rPr>
        <w:t>Validation</w:t>
      </w:r>
      <w:proofErr w:type="gramStart"/>
      <w:r>
        <w:rPr>
          <w:rStyle w:val="Strong"/>
        </w:rPr>
        <w:t>:</w:t>
      </w:r>
      <w:proofErr w:type="gramEnd"/>
      <w:r>
        <w:br/>
        <w:t xml:space="preserve">The questionnaire underwent </w:t>
      </w:r>
      <w:r>
        <w:rPr>
          <w:rStyle w:val="Strong"/>
        </w:rPr>
        <w:t>pilot testing</w:t>
      </w:r>
      <w:r>
        <w:t xml:space="preserve"> on a small sample (not included in the main study) to assess clarity, reliability, and internal consistency. Reliability analysis showed acceptable </w:t>
      </w:r>
      <w:proofErr w:type="spellStart"/>
      <w:r>
        <w:t>Cronbach’s</w:t>
      </w:r>
      <w:proofErr w:type="spellEnd"/>
      <w:r>
        <w:t xml:space="preserve"> alpha values (&gt;0.70) for all three sections, confirming the tool’s suitability for the target population.</w:t>
      </w:r>
    </w:p>
    <w:p w14:paraId="16627C43" w14:textId="77777777" w:rsidR="00693600" w:rsidRDefault="00693600" w:rsidP="00693600">
      <w:pPr>
        <w:spacing w:before="100" w:beforeAutospacing="1" w:after="100" w:afterAutospacing="1"/>
        <w:jc w:val="both"/>
        <w:rPr>
          <w:rFonts w:ascii="Arial" w:hAnsi="Arial" w:cs="Arial"/>
          <w:lang w:eastAsia="en-IN"/>
        </w:rPr>
      </w:pPr>
    </w:p>
    <w:p w14:paraId="166B4192" w14:textId="77777777" w:rsidR="00C9674D" w:rsidRDefault="00C9674D" w:rsidP="00693600">
      <w:pPr>
        <w:spacing w:before="100" w:beforeAutospacing="1" w:after="100" w:afterAutospacing="1"/>
        <w:jc w:val="both"/>
        <w:rPr>
          <w:rStyle w:val="Strong"/>
        </w:rPr>
      </w:pPr>
      <w:r>
        <w:rPr>
          <w:rStyle w:val="Strong"/>
        </w:rPr>
        <w:t xml:space="preserve">Educational Material: </w:t>
      </w:r>
    </w:p>
    <w:p w14:paraId="226CE54B" w14:textId="037E1153" w:rsidR="00693600" w:rsidRPr="00E96C2A" w:rsidRDefault="00C9674D" w:rsidP="00693600">
      <w:pPr>
        <w:spacing w:before="100" w:beforeAutospacing="1" w:after="100" w:afterAutospacing="1"/>
        <w:jc w:val="both"/>
        <w:rPr>
          <w:rFonts w:ascii="Arial" w:hAnsi="Arial" w:cs="Arial"/>
          <w:sz w:val="22"/>
          <w:szCs w:val="22"/>
          <w:lang w:eastAsia="en-IN"/>
        </w:rPr>
      </w:pPr>
      <w:r>
        <w:br/>
      </w:r>
      <w:r w:rsidRPr="00E96C2A">
        <w:rPr>
          <w:rFonts w:ascii="Arial" w:hAnsi="Arial" w:cs="Arial"/>
          <w:sz w:val="22"/>
          <w:szCs w:val="22"/>
        </w:rPr>
        <w:t xml:space="preserve">Structured nutrition education was delivered using carefully designed audio-visual presentations tailored to the needs of </w:t>
      </w:r>
      <w:proofErr w:type="spellStart"/>
      <w:r w:rsidRPr="00E96C2A">
        <w:rPr>
          <w:rFonts w:ascii="Arial" w:hAnsi="Arial" w:cs="Arial"/>
          <w:sz w:val="22"/>
          <w:szCs w:val="22"/>
        </w:rPr>
        <w:t>dyslipidemic</w:t>
      </w:r>
      <w:proofErr w:type="spellEnd"/>
      <w:r w:rsidRPr="00E96C2A">
        <w:rPr>
          <w:rFonts w:ascii="Arial" w:hAnsi="Arial" w:cs="Arial"/>
          <w:sz w:val="22"/>
          <w:szCs w:val="22"/>
        </w:rPr>
        <w:t xml:space="preserve"> subjects. These presentations included clear explanations of lipid metabolism, healthy and unhealthy fats, portion control, and heart-healthy dietary practices. Visual aids such as charts, images, and short video clips were used to simplify complex concepts and enhance understanding. The sessions were interactive, allowing participants to ask questions and clarify doubts. The content was culturally appropriate and aligned with standard dietary guidelines to ensure relevance and practical applicability.</w:t>
      </w:r>
    </w:p>
    <w:p w14:paraId="4BD9FC09" w14:textId="77777777" w:rsidR="00693600" w:rsidRPr="00BB7789" w:rsidRDefault="00693600" w:rsidP="00693600">
      <w:pPr>
        <w:spacing w:before="100" w:beforeAutospacing="1" w:after="100" w:afterAutospacing="1"/>
        <w:jc w:val="both"/>
        <w:rPr>
          <w:rFonts w:ascii="Arial" w:hAnsi="Arial" w:cs="Arial"/>
          <w:lang w:eastAsia="en-IN"/>
        </w:rPr>
      </w:pPr>
    </w:p>
    <w:p w14:paraId="213D714C"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Intervention</w:t>
      </w:r>
    </w:p>
    <w:p w14:paraId="4D30322C"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The experimental group underwent structured nutrition education sessions over six months. The intervention included:</w:t>
      </w:r>
    </w:p>
    <w:p w14:paraId="4D01995A" w14:textId="77777777" w:rsidR="00BB7789" w:rsidRPr="00BB7789" w:rsidRDefault="00BB7789" w:rsidP="00BB7789">
      <w:pPr>
        <w:numPr>
          <w:ilvl w:val="0"/>
          <w:numId w:val="37"/>
        </w:numPr>
        <w:spacing w:before="100" w:beforeAutospacing="1" w:after="100" w:afterAutospacing="1"/>
        <w:jc w:val="both"/>
        <w:rPr>
          <w:rFonts w:ascii="Arial" w:hAnsi="Arial" w:cs="Arial"/>
          <w:lang w:eastAsia="en-IN"/>
        </w:rPr>
      </w:pPr>
      <w:r w:rsidRPr="00BB7789">
        <w:rPr>
          <w:rFonts w:ascii="Arial" w:hAnsi="Arial" w:cs="Arial"/>
          <w:lang w:eastAsia="en-IN"/>
        </w:rPr>
        <w:t>Generalized education on lipid metabolism and the role of diet in managing dyslipidemia.</w:t>
      </w:r>
    </w:p>
    <w:p w14:paraId="5164E397" w14:textId="77777777" w:rsidR="00BB7789" w:rsidRPr="00BB7789" w:rsidRDefault="00BB7789" w:rsidP="00BB7789">
      <w:pPr>
        <w:numPr>
          <w:ilvl w:val="0"/>
          <w:numId w:val="37"/>
        </w:numPr>
        <w:spacing w:before="100" w:beforeAutospacing="1" w:after="100" w:afterAutospacing="1"/>
        <w:jc w:val="both"/>
        <w:rPr>
          <w:rFonts w:ascii="Arial" w:hAnsi="Arial" w:cs="Arial"/>
          <w:lang w:eastAsia="en-IN"/>
        </w:rPr>
      </w:pPr>
      <w:r w:rsidRPr="00BB7789">
        <w:rPr>
          <w:rFonts w:ascii="Arial" w:hAnsi="Arial" w:cs="Arial"/>
          <w:lang w:eastAsia="en-IN"/>
        </w:rPr>
        <w:t>Demonstration and guidance on functional foods, such as flax seeds, chia seeds, nuts, pulses, and whole grains.</w:t>
      </w:r>
    </w:p>
    <w:p w14:paraId="074F3379" w14:textId="77777777" w:rsidR="00696217" w:rsidRDefault="00BB7789" w:rsidP="00696217">
      <w:pPr>
        <w:spacing w:before="100" w:beforeAutospacing="1" w:after="100" w:afterAutospacing="1"/>
        <w:ind w:left="720"/>
        <w:jc w:val="both"/>
        <w:rPr>
          <w:rFonts w:ascii="Arial" w:hAnsi="Arial" w:cs="Arial"/>
          <w:lang w:eastAsia="en-IN"/>
        </w:rPr>
      </w:pPr>
      <w:r w:rsidRPr="00BB7789">
        <w:rPr>
          <w:rFonts w:ascii="Arial" w:hAnsi="Arial" w:cs="Arial"/>
          <w:lang w:eastAsia="en-IN"/>
        </w:rPr>
        <w:t>The control group continued their usual diet and lifestyle without any educational sessions during the study period.</w:t>
      </w:r>
      <w:r w:rsidR="00696217">
        <w:rPr>
          <w:rFonts w:ascii="Arial" w:hAnsi="Arial" w:cs="Arial"/>
          <w:lang w:eastAsia="en-IN"/>
        </w:rPr>
        <w:t xml:space="preserve"> No nutrition education was provided to them and they were invigilated constantly on the casual dietary lifestyle. </w:t>
      </w:r>
    </w:p>
    <w:p w14:paraId="57BC4F7F" w14:textId="285652C0" w:rsidR="00696217" w:rsidRDefault="00696217" w:rsidP="00696217">
      <w:pPr>
        <w:spacing w:before="100" w:beforeAutospacing="1" w:after="100" w:afterAutospacing="1"/>
        <w:jc w:val="both"/>
      </w:pPr>
      <w:r>
        <w:t xml:space="preserve">The intervention consisted of six weekly sessions, each lasting 60 minutes and delivered in small groups of 20–25 participants. Sessions were delivered through interactive discussions supported by PowerPoint presentations, videos, charts, posters and pamphlets. </w:t>
      </w:r>
      <w:r w:rsidR="008D592F">
        <w:t xml:space="preserve">Content included fundamentals of balanced nutrition related to dyslipidemia, label-reading skills, meal planning, and strategies for increasing fruit and vegetable intake so as to decrease the degraded lipid profile. </w:t>
      </w:r>
    </w:p>
    <w:p w14:paraId="386F5504" w14:textId="77777777" w:rsidR="00696217" w:rsidRPr="00BB7789" w:rsidRDefault="00696217" w:rsidP="00696217">
      <w:pPr>
        <w:spacing w:before="100" w:beforeAutospacing="1" w:after="100" w:afterAutospacing="1"/>
        <w:jc w:val="both"/>
        <w:rPr>
          <w:rFonts w:ascii="Arial" w:hAnsi="Arial" w:cs="Arial"/>
          <w:lang w:eastAsia="en-IN"/>
        </w:rPr>
      </w:pPr>
    </w:p>
    <w:p w14:paraId="7F04C807"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Data Collection and Analysis</w:t>
      </w:r>
    </w:p>
    <w:p w14:paraId="757AA7C8"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Baseline KAP scores were collected for both experimental and control groups. After six months of nutrition education, KAP scores were reassessed. Statistical analysis was performed using SPSS software:</w:t>
      </w:r>
    </w:p>
    <w:p w14:paraId="7D838B94" w14:textId="77777777" w:rsidR="00BB7789" w:rsidRPr="00BB7789" w:rsidRDefault="00BB7789" w:rsidP="00BB7789">
      <w:pPr>
        <w:numPr>
          <w:ilvl w:val="0"/>
          <w:numId w:val="38"/>
        </w:numPr>
        <w:spacing w:before="100" w:beforeAutospacing="1" w:after="100" w:afterAutospacing="1"/>
        <w:jc w:val="both"/>
        <w:rPr>
          <w:rFonts w:ascii="Arial" w:hAnsi="Arial" w:cs="Arial"/>
          <w:lang w:eastAsia="en-IN"/>
        </w:rPr>
      </w:pPr>
      <w:r w:rsidRPr="00BB7789">
        <w:rPr>
          <w:rFonts w:ascii="Arial" w:hAnsi="Arial" w:cs="Arial"/>
          <w:b/>
          <w:bCs/>
          <w:lang w:eastAsia="en-IN"/>
        </w:rPr>
        <w:t>Paired t-tests</w:t>
      </w:r>
      <w:r w:rsidRPr="00BB7789">
        <w:rPr>
          <w:rFonts w:ascii="Arial" w:hAnsi="Arial" w:cs="Arial"/>
          <w:lang w:eastAsia="en-IN"/>
        </w:rPr>
        <w:t xml:space="preserve"> were used to compare pre- and post-intervention scores within each group.</w:t>
      </w:r>
    </w:p>
    <w:p w14:paraId="3A8EAA92" w14:textId="77777777" w:rsidR="00BB7789" w:rsidRPr="00BB7789" w:rsidRDefault="00BB7789" w:rsidP="00BB7789">
      <w:pPr>
        <w:numPr>
          <w:ilvl w:val="0"/>
          <w:numId w:val="38"/>
        </w:numPr>
        <w:spacing w:before="100" w:beforeAutospacing="1" w:after="100" w:afterAutospacing="1"/>
        <w:jc w:val="both"/>
        <w:rPr>
          <w:rFonts w:ascii="Arial" w:hAnsi="Arial" w:cs="Arial"/>
          <w:lang w:eastAsia="en-IN"/>
        </w:rPr>
      </w:pPr>
      <w:r w:rsidRPr="00BB7789">
        <w:rPr>
          <w:rFonts w:ascii="Arial" w:hAnsi="Arial" w:cs="Arial"/>
          <w:b/>
          <w:bCs/>
          <w:lang w:eastAsia="en-IN"/>
        </w:rPr>
        <w:t>Independent t-tests</w:t>
      </w:r>
      <w:r w:rsidRPr="00BB7789">
        <w:rPr>
          <w:rFonts w:ascii="Arial" w:hAnsi="Arial" w:cs="Arial"/>
          <w:lang w:eastAsia="en-IN"/>
        </w:rPr>
        <w:t xml:space="preserve"> were applied to assess differences between experimental and control groups before and after the intervention.</w:t>
      </w:r>
    </w:p>
    <w:p w14:paraId="0E327BFB" w14:textId="77777777" w:rsidR="00BB7789" w:rsidRPr="00BB7789" w:rsidRDefault="00BB7789" w:rsidP="00BB7789">
      <w:pPr>
        <w:numPr>
          <w:ilvl w:val="0"/>
          <w:numId w:val="38"/>
        </w:numPr>
        <w:spacing w:before="100" w:beforeAutospacing="1" w:after="100" w:afterAutospacing="1"/>
        <w:jc w:val="both"/>
        <w:rPr>
          <w:rFonts w:ascii="Arial" w:hAnsi="Arial" w:cs="Arial"/>
          <w:lang w:eastAsia="en-IN"/>
        </w:rPr>
      </w:pPr>
      <w:r w:rsidRPr="00BB7789">
        <w:rPr>
          <w:rFonts w:ascii="Arial" w:hAnsi="Arial" w:cs="Arial"/>
          <w:lang w:eastAsia="en-IN"/>
        </w:rPr>
        <w:t>Percentage change was calculated to quantify improvements in KAP scores.</w:t>
      </w:r>
    </w:p>
    <w:p w14:paraId="41CB16F6"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A p-value ≤0.05 was considered statistically significant, and p≤0.01 was considered highly significant.</w:t>
      </w:r>
    </w:p>
    <w:p w14:paraId="21017372" w14:textId="77777777" w:rsidR="00790ADA" w:rsidRPr="00FB3A86" w:rsidRDefault="00790ADA" w:rsidP="00441B6F">
      <w:pPr>
        <w:pStyle w:val="Body"/>
        <w:spacing w:after="0"/>
        <w:rPr>
          <w:rFonts w:ascii="Arial" w:hAnsi="Arial" w:cs="Arial"/>
        </w:rPr>
      </w:pPr>
    </w:p>
    <w:p w14:paraId="4FB690F0" w14:textId="36B418C2" w:rsidR="00902823" w:rsidRDefault="00000F8F" w:rsidP="00BB7789">
      <w:pPr>
        <w:pStyle w:val="Head1"/>
        <w:numPr>
          <w:ilvl w:val="0"/>
          <w:numId w:val="36"/>
        </w:numPr>
        <w:spacing w:after="0"/>
        <w:jc w:val="both"/>
        <w:rPr>
          <w:rFonts w:ascii="Arial" w:hAnsi="Arial" w:cs="Arial"/>
        </w:rPr>
      </w:pPr>
      <w:r>
        <w:rPr>
          <w:rFonts w:ascii="Arial" w:hAnsi="Arial" w:cs="Arial"/>
        </w:rPr>
        <w:t>results and discussion</w:t>
      </w:r>
    </w:p>
    <w:p w14:paraId="0F30A0D3" w14:textId="0924A585" w:rsidR="00BB7789" w:rsidRDefault="00BB7789" w:rsidP="00BB7789">
      <w:pPr>
        <w:pStyle w:val="Head1"/>
        <w:spacing w:after="0"/>
        <w:ind w:left="360"/>
        <w:jc w:val="both"/>
        <w:rPr>
          <w:rFonts w:ascii="Arial" w:hAnsi="Arial" w:cs="Arial"/>
        </w:rPr>
      </w:pPr>
    </w:p>
    <w:p w14:paraId="49A31CB6" w14:textId="77777777" w:rsidR="00BB7789" w:rsidRPr="00BB7789" w:rsidRDefault="00BB7789" w:rsidP="00BB7789">
      <w:pPr>
        <w:jc w:val="both"/>
        <w:rPr>
          <w:rFonts w:ascii="Arial" w:hAnsi="Arial" w:cs="Arial"/>
          <w:b/>
          <w:bCs/>
        </w:rPr>
      </w:pPr>
      <w:r w:rsidRPr="00BB7789">
        <w:rPr>
          <w:rFonts w:ascii="Arial" w:hAnsi="Arial" w:cs="Arial"/>
          <w:b/>
          <w:bCs/>
        </w:rPr>
        <w:t xml:space="preserve">Table 1    A Knowledge, Attitude and Practice Assessment (KAP) study on Nutrition Education among </w:t>
      </w:r>
      <w:proofErr w:type="spellStart"/>
      <w:r w:rsidRPr="00BB7789">
        <w:rPr>
          <w:rFonts w:ascii="Arial" w:hAnsi="Arial" w:cs="Arial"/>
          <w:b/>
          <w:bCs/>
        </w:rPr>
        <w:t>Dyslipidemic</w:t>
      </w:r>
      <w:proofErr w:type="spellEnd"/>
      <w:r w:rsidRPr="00BB7789">
        <w:rPr>
          <w:rFonts w:ascii="Arial" w:hAnsi="Arial" w:cs="Arial"/>
          <w:b/>
          <w:bCs/>
        </w:rPr>
        <w:t xml:space="preserve"> subjects-</w:t>
      </w:r>
    </w:p>
    <w:p w14:paraId="11915D1E" w14:textId="77777777" w:rsidR="00BB7789" w:rsidRPr="00BB7789" w:rsidRDefault="00BB7789" w:rsidP="00BB7789">
      <w:pPr>
        <w:jc w:val="both"/>
        <w:rPr>
          <w:rFonts w:ascii="Arial" w:hAnsi="Arial" w:cs="Arial"/>
          <w:b/>
          <w:bCs/>
        </w:rPr>
      </w:pPr>
    </w:p>
    <w:tbl>
      <w:tblPr>
        <w:tblStyle w:val="TableGrid"/>
        <w:tblpPr w:leftFromText="180" w:rightFromText="180" w:vertAnchor="text" w:horzAnchor="margin" w:tblpY="250"/>
        <w:tblW w:w="10881" w:type="dxa"/>
        <w:tblLayout w:type="fixed"/>
        <w:tblLook w:val="04A0" w:firstRow="1" w:lastRow="0" w:firstColumn="1" w:lastColumn="0" w:noHBand="0" w:noVBand="1"/>
      </w:tblPr>
      <w:tblGrid>
        <w:gridCol w:w="1125"/>
        <w:gridCol w:w="1538"/>
        <w:gridCol w:w="1538"/>
        <w:gridCol w:w="2428"/>
        <w:gridCol w:w="1843"/>
        <w:gridCol w:w="2409"/>
      </w:tblGrid>
      <w:tr w:rsidR="00BB7789" w:rsidRPr="00BB7789" w14:paraId="19BB78FA" w14:textId="77777777" w:rsidTr="00D94A8D">
        <w:trPr>
          <w:trHeight w:val="1132"/>
        </w:trPr>
        <w:tc>
          <w:tcPr>
            <w:tcW w:w="1125" w:type="dxa"/>
            <w:vAlign w:val="center"/>
            <w:hideMark/>
          </w:tcPr>
          <w:p w14:paraId="10AE0A10" w14:textId="77777777" w:rsidR="00BB7789" w:rsidRPr="00BB7789" w:rsidRDefault="00BB7789" w:rsidP="00F04DC8">
            <w:pPr>
              <w:jc w:val="both"/>
              <w:rPr>
                <w:rFonts w:ascii="Arial" w:hAnsi="Arial" w:cs="Arial"/>
                <w:b/>
                <w:bCs/>
                <w:sz w:val="20"/>
                <w:szCs w:val="20"/>
              </w:rPr>
            </w:pPr>
            <w:proofErr w:type="spellStart"/>
            <w:r w:rsidRPr="00BB7789">
              <w:rPr>
                <w:rFonts w:ascii="Arial" w:hAnsi="Arial" w:cs="Arial"/>
                <w:b/>
                <w:bCs/>
                <w:sz w:val="20"/>
                <w:szCs w:val="20"/>
              </w:rPr>
              <w:t>Kap</w:t>
            </w:r>
            <w:proofErr w:type="spellEnd"/>
            <w:r w:rsidRPr="00BB7789">
              <w:rPr>
                <w:rFonts w:ascii="Arial" w:hAnsi="Arial" w:cs="Arial"/>
                <w:b/>
                <w:bCs/>
                <w:sz w:val="20"/>
                <w:szCs w:val="20"/>
              </w:rPr>
              <w:t xml:space="preserve"> test score</w:t>
            </w:r>
          </w:p>
        </w:tc>
        <w:tc>
          <w:tcPr>
            <w:tcW w:w="1538" w:type="dxa"/>
          </w:tcPr>
          <w:p w14:paraId="7FC4CA32" w14:textId="77777777" w:rsidR="00BB7789" w:rsidRPr="00BB7789" w:rsidRDefault="00BB7789" w:rsidP="00F04DC8">
            <w:pPr>
              <w:jc w:val="both"/>
              <w:rPr>
                <w:rFonts w:ascii="Arial" w:hAnsi="Arial" w:cs="Arial"/>
                <w:b/>
                <w:bCs/>
                <w:sz w:val="20"/>
                <w:szCs w:val="20"/>
              </w:rPr>
            </w:pPr>
          </w:p>
          <w:p w14:paraId="3B8DDDD2"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xml:space="preserve">Subgroups </w:t>
            </w:r>
          </w:p>
        </w:tc>
        <w:tc>
          <w:tcPr>
            <w:tcW w:w="1538" w:type="dxa"/>
            <w:vAlign w:val="center"/>
            <w:hideMark/>
          </w:tcPr>
          <w:p w14:paraId="4C838C4B"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Before (Mean ± SD)</w:t>
            </w:r>
          </w:p>
        </w:tc>
        <w:tc>
          <w:tcPr>
            <w:tcW w:w="2428" w:type="dxa"/>
            <w:vAlign w:val="center"/>
            <w:hideMark/>
          </w:tcPr>
          <w:p w14:paraId="6DA9EC44"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After (Mean ± SD)</w:t>
            </w:r>
          </w:p>
        </w:tc>
        <w:tc>
          <w:tcPr>
            <w:tcW w:w="1843" w:type="dxa"/>
            <w:vAlign w:val="center"/>
            <w:hideMark/>
          </w:tcPr>
          <w:p w14:paraId="2AD9D06F"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B/A</w:t>
            </w:r>
          </w:p>
          <w:p w14:paraId="011E032D"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Change)</w:t>
            </w:r>
          </w:p>
        </w:tc>
        <w:tc>
          <w:tcPr>
            <w:tcW w:w="2409" w:type="dxa"/>
            <w:vAlign w:val="center"/>
            <w:hideMark/>
          </w:tcPr>
          <w:p w14:paraId="776C8872"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Before/During t-value (p-value)</w:t>
            </w:r>
          </w:p>
        </w:tc>
      </w:tr>
      <w:tr w:rsidR="00BB7789" w:rsidRPr="00BB7789" w14:paraId="4D2A540E" w14:textId="77777777" w:rsidTr="00D94A8D">
        <w:trPr>
          <w:trHeight w:val="1396"/>
        </w:trPr>
        <w:tc>
          <w:tcPr>
            <w:tcW w:w="1125" w:type="dxa"/>
            <w:vMerge w:val="restart"/>
            <w:vAlign w:val="center"/>
            <w:hideMark/>
          </w:tcPr>
          <w:p w14:paraId="481CBBB4"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Knowledge</w:t>
            </w:r>
          </w:p>
        </w:tc>
        <w:tc>
          <w:tcPr>
            <w:tcW w:w="1538" w:type="dxa"/>
          </w:tcPr>
          <w:p w14:paraId="1159BAAA" w14:textId="77777777" w:rsidR="00BB7789" w:rsidRPr="00BB7789" w:rsidRDefault="00BB7789" w:rsidP="00F04DC8">
            <w:pPr>
              <w:ind w:right="-123"/>
              <w:jc w:val="both"/>
              <w:rPr>
                <w:rFonts w:ascii="Arial" w:hAnsi="Arial" w:cs="Arial"/>
                <w:b/>
                <w:bCs/>
                <w:sz w:val="20"/>
                <w:szCs w:val="20"/>
              </w:rPr>
            </w:pPr>
          </w:p>
          <w:p w14:paraId="3A5AD02B"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Experiment</w:t>
            </w:r>
          </w:p>
          <w:p w14:paraId="48F0D53E"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(N=30) </w:t>
            </w:r>
          </w:p>
        </w:tc>
        <w:tc>
          <w:tcPr>
            <w:tcW w:w="1538" w:type="dxa"/>
            <w:vAlign w:val="center"/>
          </w:tcPr>
          <w:p w14:paraId="5A317A46" w14:textId="77777777" w:rsidR="00BB7789" w:rsidRPr="00BB7789" w:rsidRDefault="00BB7789" w:rsidP="00F04DC8">
            <w:pPr>
              <w:ind w:right="-123"/>
              <w:jc w:val="both"/>
              <w:rPr>
                <w:rFonts w:ascii="Arial" w:hAnsi="Arial" w:cs="Arial"/>
                <w:sz w:val="20"/>
                <w:szCs w:val="20"/>
              </w:rPr>
            </w:pPr>
            <w:r w:rsidRPr="00BB7789">
              <w:rPr>
                <w:rFonts w:ascii="Arial" w:hAnsi="Arial" w:cs="Arial"/>
                <w:sz w:val="20"/>
                <w:szCs w:val="20"/>
              </w:rPr>
              <w:t xml:space="preserve">    46.333±14.05</w:t>
            </w:r>
          </w:p>
        </w:tc>
        <w:tc>
          <w:tcPr>
            <w:tcW w:w="2428" w:type="dxa"/>
            <w:vAlign w:val="center"/>
          </w:tcPr>
          <w:p w14:paraId="372CA599"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60.9±15.73</w:t>
            </w:r>
          </w:p>
        </w:tc>
        <w:tc>
          <w:tcPr>
            <w:tcW w:w="1843" w:type="dxa"/>
            <w:vAlign w:val="center"/>
          </w:tcPr>
          <w:p w14:paraId="46D9B413"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-14.5667</w:t>
            </w:r>
          </w:p>
          <w:p w14:paraId="28DE2069"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(-31.44)</w:t>
            </w:r>
          </w:p>
        </w:tc>
        <w:tc>
          <w:tcPr>
            <w:tcW w:w="2409" w:type="dxa"/>
            <w:vAlign w:val="center"/>
          </w:tcPr>
          <w:p w14:paraId="6C8E1803" w14:textId="77777777" w:rsidR="00BB7789" w:rsidRPr="00BB7789" w:rsidRDefault="00BB7789" w:rsidP="00F04DC8">
            <w:pPr>
              <w:widowControl w:val="0"/>
              <w:autoSpaceDE w:val="0"/>
              <w:autoSpaceDN w:val="0"/>
              <w:jc w:val="both"/>
              <w:rPr>
                <w:rFonts w:ascii="Arial" w:hAnsi="Arial" w:cs="Arial"/>
                <w:sz w:val="20"/>
                <w:szCs w:val="20"/>
              </w:rPr>
            </w:pPr>
          </w:p>
          <w:p w14:paraId="223C09F4" w14:textId="77777777" w:rsidR="00BB7789" w:rsidRPr="00BB7789" w:rsidRDefault="00BB7789" w:rsidP="00F04DC8">
            <w:pPr>
              <w:widowControl w:val="0"/>
              <w:autoSpaceDE w:val="0"/>
              <w:autoSpaceDN w:val="0"/>
              <w:jc w:val="both"/>
              <w:rPr>
                <w:rFonts w:ascii="Arial" w:hAnsi="Arial" w:cs="Arial"/>
                <w:sz w:val="20"/>
                <w:szCs w:val="20"/>
              </w:rPr>
            </w:pPr>
          </w:p>
          <w:p w14:paraId="7456879D"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-7.5074</w:t>
            </w:r>
          </w:p>
          <w:p w14:paraId="369D9828"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p w14:paraId="56E315C4" w14:textId="77777777" w:rsidR="00BB7789" w:rsidRPr="00BB7789" w:rsidRDefault="00BB7789" w:rsidP="00F04DC8">
            <w:pPr>
              <w:ind w:left="-93" w:right="-123"/>
              <w:jc w:val="both"/>
              <w:rPr>
                <w:rFonts w:ascii="Arial" w:hAnsi="Arial" w:cs="Arial"/>
                <w:sz w:val="20"/>
                <w:szCs w:val="20"/>
              </w:rPr>
            </w:pPr>
          </w:p>
          <w:p w14:paraId="60C6D4DF" w14:textId="77777777" w:rsidR="00BB7789" w:rsidRPr="00BB7789" w:rsidRDefault="00BB7789" w:rsidP="00F04DC8">
            <w:pPr>
              <w:ind w:left="-93" w:right="-123"/>
              <w:jc w:val="both"/>
              <w:rPr>
                <w:rFonts w:ascii="Arial" w:hAnsi="Arial" w:cs="Arial"/>
                <w:sz w:val="20"/>
                <w:szCs w:val="20"/>
              </w:rPr>
            </w:pPr>
          </w:p>
          <w:p w14:paraId="46E15297" w14:textId="77777777" w:rsidR="00BB7789" w:rsidRPr="00BB7789" w:rsidRDefault="00BB7789" w:rsidP="00F04DC8">
            <w:pPr>
              <w:ind w:left="-93" w:right="-123"/>
              <w:jc w:val="both"/>
              <w:rPr>
                <w:rFonts w:ascii="Arial" w:hAnsi="Arial" w:cs="Arial"/>
                <w:sz w:val="20"/>
                <w:szCs w:val="20"/>
              </w:rPr>
            </w:pPr>
          </w:p>
        </w:tc>
      </w:tr>
      <w:tr w:rsidR="00BB7789" w:rsidRPr="00BB7789" w14:paraId="323D3FDF" w14:textId="77777777" w:rsidTr="00D94A8D">
        <w:trPr>
          <w:trHeight w:val="584"/>
        </w:trPr>
        <w:tc>
          <w:tcPr>
            <w:tcW w:w="1125" w:type="dxa"/>
            <w:vMerge/>
            <w:vAlign w:val="center"/>
          </w:tcPr>
          <w:p w14:paraId="6BE777D2" w14:textId="77777777" w:rsidR="00BB7789" w:rsidRPr="00BB7789" w:rsidRDefault="00BB7789" w:rsidP="00F04DC8">
            <w:pPr>
              <w:jc w:val="both"/>
              <w:rPr>
                <w:rFonts w:ascii="Arial" w:hAnsi="Arial" w:cs="Arial"/>
                <w:b/>
                <w:bCs/>
                <w:sz w:val="20"/>
                <w:szCs w:val="20"/>
              </w:rPr>
            </w:pPr>
          </w:p>
        </w:tc>
        <w:tc>
          <w:tcPr>
            <w:tcW w:w="1538" w:type="dxa"/>
          </w:tcPr>
          <w:p w14:paraId="29ECB238"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Control </w:t>
            </w:r>
          </w:p>
          <w:p w14:paraId="787DDCCA"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(N=30)</w:t>
            </w:r>
          </w:p>
          <w:p w14:paraId="0F8C3868" w14:textId="77777777" w:rsidR="00BB7789" w:rsidRPr="00BB7789" w:rsidRDefault="00BB7789" w:rsidP="00F04DC8">
            <w:pPr>
              <w:ind w:left="-93" w:right="-123"/>
              <w:jc w:val="both"/>
              <w:rPr>
                <w:rFonts w:ascii="Arial" w:hAnsi="Arial" w:cs="Arial"/>
                <w:b/>
                <w:bCs/>
                <w:sz w:val="20"/>
                <w:szCs w:val="20"/>
              </w:rPr>
            </w:pPr>
          </w:p>
          <w:p w14:paraId="115CAD8C" w14:textId="77777777" w:rsidR="00BB7789" w:rsidRPr="00BB7789" w:rsidRDefault="00BB7789" w:rsidP="00F04DC8">
            <w:pPr>
              <w:ind w:left="-93" w:right="-123"/>
              <w:jc w:val="both"/>
              <w:rPr>
                <w:rFonts w:ascii="Arial" w:hAnsi="Arial" w:cs="Arial"/>
                <w:b/>
                <w:bCs/>
                <w:sz w:val="20"/>
                <w:szCs w:val="20"/>
              </w:rPr>
            </w:pPr>
          </w:p>
          <w:p w14:paraId="2B7A9D71" w14:textId="77777777" w:rsidR="00BB7789" w:rsidRPr="00BB7789" w:rsidRDefault="00BB7789" w:rsidP="00F04DC8">
            <w:pPr>
              <w:ind w:left="-93" w:right="-123"/>
              <w:jc w:val="both"/>
              <w:rPr>
                <w:rFonts w:ascii="Arial" w:hAnsi="Arial" w:cs="Arial"/>
                <w:b/>
                <w:bCs/>
                <w:sz w:val="20"/>
                <w:szCs w:val="20"/>
              </w:rPr>
            </w:pPr>
          </w:p>
        </w:tc>
        <w:tc>
          <w:tcPr>
            <w:tcW w:w="1538" w:type="dxa"/>
            <w:vAlign w:val="center"/>
          </w:tcPr>
          <w:p w14:paraId="19F6B9C4"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37.33±2.100</w:t>
            </w:r>
          </w:p>
        </w:tc>
        <w:tc>
          <w:tcPr>
            <w:tcW w:w="2428" w:type="dxa"/>
            <w:vAlign w:val="center"/>
          </w:tcPr>
          <w:p w14:paraId="29415325"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38.83±2.32</w:t>
            </w:r>
          </w:p>
        </w:tc>
        <w:tc>
          <w:tcPr>
            <w:tcW w:w="1843" w:type="dxa"/>
            <w:vAlign w:val="center"/>
          </w:tcPr>
          <w:p w14:paraId="4A1F7C18"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1.500</w:t>
            </w:r>
          </w:p>
          <w:p w14:paraId="34E893C3"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(4.01)</w:t>
            </w:r>
          </w:p>
        </w:tc>
        <w:tc>
          <w:tcPr>
            <w:tcW w:w="2409" w:type="dxa"/>
            <w:vAlign w:val="center"/>
          </w:tcPr>
          <w:p w14:paraId="59798105"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-1.735</w:t>
            </w:r>
          </w:p>
          <w:p w14:paraId="25578D36"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(0.88</w:t>
            </w:r>
            <w:r w:rsidRPr="00BB7789">
              <w:rPr>
                <w:rFonts w:ascii="Arial" w:hAnsi="Arial" w:cs="Arial"/>
                <w:sz w:val="20"/>
                <w:szCs w:val="20"/>
                <w:vertAlign w:val="superscript"/>
              </w:rPr>
              <w:t>NS</w:t>
            </w:r>
            <w:r w:rsidRPr="00BB7789">
              <w:rPr>
                <w:rFonts w:ascii="Arial" w:hAnsi="Arial" w:cs="Arial"/>
                <w:sz w:val="20"/>
                <w:szCs w:val="20"/>
              </w:rPr>
              <w:t>)</w:t>
            </w:r>
          </w:p>
          <w:p w14:paraId="2AD115C7" w14:textId="77777777" w:rsidR="00BB7789" w:rsidRPr="00BB7789" w:rsidRDefault="00BB7789" w:rsidP="00F04DC8">
            <w:pPr>
              <w:ind w:left="-93" w:right="-123"/>
              <w:jc w:val="both"/>
              <w:rPr>
                <w:rFonts w:ascii="Arial" w:hAnsi="Arial" w:cs="Arial"/>
                <w:sz w:val="20"/>
                <w:szCs w:val="20"/>
              </w:rPr>
            </w:pPr>
          </w:p>
        </w:tc>
      </w:tr>
      <w:tr w:rsidR="00BB7789" w:rsidRPr="00BB7789" w14:paraId="3C51B222" w14:textId="77777777" w:rsidTr="00D94A8D">
        <w:trPr>
          <w:trHeight w:val="480"/>
        </w:trPr>
        <w:tc>
          <w:tcPr>
            <w:tcW w:w="1125" w:type="dxa"/>
            <w:vMerge w:val="restart"/>
            <w:vAlign w:val="center"/>
          </w:tcPr>
          <w:p w14:paraId="72C819E9"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lastRenderedPageBreak/>
              <w:t xml:space="preserve">Expt. vs. control </w:t>
            </w:r>
          </w:p>
        </w:tc>
        <w:tc>
          <w:tcPr>
            <w:tcW w:w="1538" w:type="dxa"/>
          </w:tcPr>
          <w:p w14:paraId="0196FFED" w14:textId="77777777" w:rsidR="00BB7789" w:rsidRPr="00BB7789" w:rsidRDefault="00BB7789" w:rsidP="00F04DC8">
            <w:pPr>
              <w:ind w:left="-93" w:right="-123"/>
              <w:jc w:val="both"/>
              <w:rPr>
                <w:rFonts w:ascii="Arial" w:hAnsi="Arial" w:cs="Arial"/>
                <w:b/>
                <w:bCs/>
                <w:sz w:val="20"/>
                <w:szCs w:val="20"/>
              </w:rPr>
            </w:pPr>
          </w:p>
          <w:p w14:paraId="18E4D961"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(Before)</w:t>
            </w:r>
          </w:p>
        </w:tc>
        <w:tc>
          <w:tcPr>
            <w:tcW w:w="5809" w:type="dxa"/>
            <w:gridSpan w:val="3"/>
            <w:vAlign w:val="center"/>
          </w:tcPr>
          <w:p w14:paraId="1E740D26" w14:textId="77777777" w:rsidR="00BB7789" w:rsidRPr="00BB7789" w:rsidRDefault="00BB7789" w:rsidP="00F04DC8">
            <w:pPr>
              <w:ind w:left="-93" w:right="-123"/>
              <w:jc w:val="both"/>
              <w:rPr>
                <w:rFonts w:ascii="Arial" w:hAnsi="Arial" w:cs="Arial"/>
                <w:sz w:val="20"/>
                <w:szCs w:val="20"/>
              </w:rPr>
            </w:pPr>
          </w:p>
          <w:p w14:paraId="65291E8A" w14:textId="77777777" w:rsidR="00BB7789" w:rsidRPr="00BB7789" w:rsidRDefault="00BB7789" w:rsidP="00F04DC8">
            <w:pPr>
              <w:ind w:left="-93" w:right="-123"/>
              <w:jc w:val="both"/>
              <w:rPr>
                <w:rFonts w:ascii="Arial" w:hAnsi="Arial" w:cs="Arial"/>
                <w:sz w:val="20"/>
                <w:szCs w:val="20"/>
              </w:rPr>
            </w:pPr>
          </w:p>
          <w:p w14:paraId="7585915F" w14:textId="77777777" w:rsidR="00BB7789" w:rsidRPr="00BB7789" w:rsidRDefault="00BB7789" w:rsidP="00F04DC8">
            <w:pPr>
              <w:ind w:left="-93" w:right="-123"/>
              <w:jc w:val="both"/>
              <w:rPr>
                <w:rFonts w:ascii="Arial" w:hAnsi="Arial" w:cs="Arial"/>
                <w:sz w:val="20"/>
                <w:szCs w:val="20"/>
              </w:rPr>
            </w:pPr>
          </w:p>
        </w:tc>
        <w:tc>
          <w:tcPr>
            <w:tcW w:w="2409" w:type="dxa"/>
            <w:vAlign w:val="center"/>
          </w:tcPr>
          <w:p w14:paraId="2026EDFD" w14:textId="77777777" w:rsidR="00BB7789" w:rsidRPr="00BB7789" w:rsidRDefault="00BB7789" w:rsidP="00F04DC8">
            <w:pPr>
              <w:ind w:left="-93" w:right="-123"/>
              <w:jc w:val="both"/>
              <w:rPr>
                <w:rFonts w:ascii="Arial" w:hAnsi="Arial" w:cs="Arial"/>
                <w:sz w:val="20"/>
                <w:szCs w:val="20"/>
              </w:rPr>
            </w:pPr>
          </w:p>
          <w:p w14:paraId="1084BBC9" w14:textId="77777777" w:rsidR="00BB7789" w:rsidRPr="00BB7789" w:rsidRDefault="00BB7789" w:rsidP="00F04DC8">
            <w:pPr>
              <w:ind w:left="-93" w:right="-123"/>
              <w:jc w:val="both"/>
              <w:rPr>
                <w:rFonts w:ascii="Arial" w:hAnsi="Arial" w:cs="Arial"/>
                <w:sz w:val="20"/>
                <w:szCs w:val="20"/>
              </w:rPr>
            </w:pPr>
          </w:p>
          <w:p w14:paraId="4F24BC53"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-4.470</w:t>
            </w:r>
          </w:p>
          <w:p w14:paraId="4F599FBB"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(0.234</w:t>
            </w:r>
            <w:r w:rsidRPr="00BB7789">
              <w:rPr>
                <w:rFonts w:ascii="Arial" w:hAnsi="Arial" w:cs="Arial"/>
                <w:sz w:val="20"/>
                <w:szCs w:val="20"/>
                <w:vertAlign w:val="superscript"/>
              </w:rPr>
              <w:t>NS</w:t>
            </w:r>
            <w:r w:rsidRPr="00BB7789">
              <w:rPr>
                <w:rFonts w:ascii="Arial" w:hAnsi="Arial" w:cs="Arial"/>
                <w:sz w:val="20"/>
                <w:szCs w:val="20"/>
              </w:rPr>
              <w:t>)</w:t>
            </w:r>
          </w:p>
        </w:tc>
      </w:tr>
      <w:tr w:rsidR="00BB7789" w:rsidRPr="00BB7789" w14:paraId="51F33780" w14:textId="77777777" w:rsidTr="00D94A8D">
        <w:trPr>
          <w:trHeight w:val="584"/>
        </w:trPr>
        <w:tc>
          <w:tcPr>
            <w:tcW w:w="1125" w:type="dxa"/>
            <w:vMerge/>
            <w:vAlign w:val="center"/>
          </w:tcPr>
          <w:p w14:paraId="252B9D17" w14:textId="77777777" w:rsidR="00BB7789" w:rsidRPr="00BB7789" w:rsidRDefault="00BB7789" w:rsidP="00F04DC8">
            <w:pPr>
              <w:jc w:val="both"/>
              <w:rPr>
                <w:rFonts w:ascii="Arial" w:hAnsi="Arial" w:cs="Arial"/>
                <w:b/>
                <w:bCs/>
                <w:sz w:val="20"/>
                <w:szCs w:val="20"/>
              </w:rPr>
            </w:pPr>
          </w:p>
        </w:tc>
        <w:tc>
          <w:tcPr>
            <w:tcW w:w="1538" w:type="dxa"/>
          </w:tcPr>
          <w:p w14:paraId="153653EC" w14:textId="77777777" w:rsidR="00BB7789" w:rsidRPr="00BB7789" w:rsidRDefault="00BB7789" w:rsidP="00F04DC8">
            <w:pPr>
              <w:ind w:left="-93" w:right="-123"/>
              <w:jc w:val="both"/>
              <w:rPr>
                <w:rFonts w:ascii="Arial" w:hAnsi="Arial" w:cs="Arial"/>
                <w:b/>
                <w:bCs/>
                <w:sz w:val="20"/>
                <w:szCs w:val="20"/>
              </w:rPr>
            </w:pPr>
          </w:p>
          <w:p w14:paraId="603E5308"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(After)</w:t>
            </w:r>
          </w:p>
        </w:tc>
        <w:tc>
          <w:tcPr>
            <w:tcW w:w="3966" w:type="dxa"/>
            <w:gridSpan w:val="2"/>
            <w:vAlign w:val="center"/>
          </w:tcPr>
          <w:p w14:paraId="520452FD" w14:textId="77777777" w:rsidR="00BB7789" w:rsidRPr="00BB7789" w:rsidRDefault="00BB7789" w:rsidP="00F04DC8">
            <w:pPr>
              <w:ind w:left="-93" w:right="-123"/>
              <w:jc w:val="both"/>
              <w:rPr>
                <w:rFonts w:ascii="Arial" w:hAnsi="Arial" w:cs="Arial"/>
                <w:sz w:val="20"/>
                <w:szCs w:val="20"/>
              </w:rPr>
            </w:pPr>
          </w:p>
        </w:tc>
        <w:tc>
          <w:tcPr>
            <w:tcW w:w="1843" w:type="dxa"/>
            <w:vAlign w:val="center"/>
          </w:tcPr>
          <w:p w14:paraId="0AF0A222" w14:textId="77777777" w:rsidR="00BB7789" w:rsidRPr="00BB7789" w:rsidRDefault="00BB7789" w:rsidP="00F04DC8">
            <w:pPr>
              <w:ind w:left="-93" w:right="-123"/>
              <w:jc w:val="both"/>
              <w:rPr>
                <w:rFonts w:ascii="Arial" w:hAnsi="Arial" w:cs="Arial"/>
                <w:sz w:val="20"/>
                <w:szCs w:val="20"/>
              </w:rPr>
            </w:pPr>
          </w:p>
        </w:tc>
        <w:tc>
          <w:tcPr>
            <w:tcW w:w="2409" w:type="dxa"/>
            <w:vAlign w:val="center"/>
          </w:tcPr>
          <w:p w14:paraId="4C88AD3F"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-7.774</w:t>
            </w:r>
          </w:p>
          <w:p w14:paraId="326B1AE3"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tc>
      </w:tr>
      <w:tr w:rsidR="00BB7789" w:rsidRPr="00BB7789" w14:paraId="66C0DF27" w14:textId="77777777" w:rsidTr="00D94A8D">
        <w:trPr>
          <w:trHeight w:val="1132"/>
        </w:trPr>
        <w:tc>
          <w:tcPr>
            <w:tcW w:w="1125" w:type="dxa"/>
            <w:vMerge w:val="restart"/>
            <w:vAlign w:val="center"/>
            <w:hideMark/>
          </w:tcPr>
          <w:p w14:paraId="7AA51CD0" w14:textId="77777777" w:rsidR="00BB7789" w:rsidRPr="00BB7789" w:rsidRDefault="00BB7789" w:rsidP="00F04DC8">
            <w:pPr>
              <w:jc w:val="both"/>
              <w:rPr>
                <w:rFonts w:ascii="Arial" w:hAnsi="Arial" w:cs="Arial"/>
                <w:b/>
                <w:bCs/>
                <w:sz w:val="20"/>
                <w:szCs w:val="20"/>
              </w:rPr>
            </w:pPr>
          </w:p>
          <w:p w14:paraId="2B4F464F" w14:textId="77777777" w:rsidR="00BB7789" w:rsidRPr="00BB7789" w:rsidRDefault="00BB7789" w:rsidP="00F04DC8">
            <w:pPr>
              <w:jc w:val="both"/>
              <w:rPr>
                <w:rFonts w:ascii="Arial" w:hAnsi="Arial" w:cs="Arial"/>
                <w:b/>
                <w:bCs/>
                <w:sz w:val="20"/>
                <w:szCs w:val="20"/>
              </w:rPr>
            </w:pPr>
          </w:p>
          <w:p w14:paraId="1B490A29"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Attitude</w:t>
            </w:r>
          </w:p>
          <w:p w14:paraId="5C1788FB" w14:textId="77777777" w:rsidR="00BB7789" w:rsidRPr="00BB7789" w:rsidRDefault="00BB7789" w:rsidP="00F04DC8">
            <w:pPr>
              <w:jc w:val="both"/>
              <w:rPr>
                <w:rFonts w:ascii="Arial" w:hAnsi="Arial" w:cs="Arial"/>
                <w:b/>
                <w:bCs/>
                <w:sz w:val="20"/>
                <w:szCs w:val="20"/>
              </w:rPr>
            </w:pPr>
          </w:p>
          <w:p w14:paraId="0DEEE6F8" w14:textId="77777777" w:rsidR="00BB7789" w:rsidRPr="00BB7789" w:rsidRDefault="00BB7789" w:rsidP="00F04DC8">
            <w:pPr>
              <w:jc w:val="both"/>
              <w:rPr>
                <w:rFonts w:ascii="Arial" w:hAnsi="Arial" w:cs="Arial"/>
                <w:b/>
                <w:bCs/>
                <w:sz w:val="20"/>
                <w:szCs w:val="20"/>
              </w:rPr>
            </w:pPr>
          </w:p>
          <w:p w14:paraId="211F6D25" w14:textId="77777777" w:rsidR="00BB7789" w:rsidRPr="00BB7789" w:rsidRDefault="00BB7789" w:rsidP="00F04DC8">
            <w:pPr>
              <w:jc w:val="both"/>
              <w:rPr>
                <w:rFonts w:ascii="Arial" w:hAnsi="Arial" w:cs="Arial"/>
                <w:b/>
                <w:bCs/>
                <w:sz w:val="20"/>
                <w:szCs w:val="20"/>
              </w:rPr>
            </w:pPr>
          </w:p>
          <w:p w14:paraId="4DAAEEFF" w14:textId="77777777" w:rsidR="00BB7789" w:rsidRPr="00BB7789" w:rsidRDefault="00BB7789" w:rsidP="00F04DC8">
            <w:pPr>
              <w:jc w:val="both"/>
              <w:rPr>
                <w:rFonts w:ascii="Arial" w:hAnsi="Arial" w:cs="Arial"/>
                <w:b/>
                <w:bCs/>
                <w:sz w:val="20"/>
                <w:szCs w:val="20"/>
              </w:rPr>
            </w:pPr>
          </w:p>
          <w:p w14:paraId="319F7C36" w14:textId="77777777" w:rsidR="00BB7789" w:rsidRPr="00BB7789" w:rsidRDefault="00BB7789" w:rsidP="00F04DC8">
            <w:pPr>
              <w:jc w:val="both"/>
              <w:rPr>
                <w:rFonts w:ascii="Arial" w:hAnsi="Arial" w:cs="Arial"/>
                <w:b/>
                <w:bCs/>
                <w:sz w:val="20"/>
                <w:szCs w:val="20"/>
              </w:rPr>
            </w:pPr>
          </w:p>
          <w:p w14:paraId="4E6CF9B6" w14:textId="77777777" w:rsidR="00BB7789" w:rsidRPr="00BB7789" w:rsidRDefault="00BB7789" w:rsidP="00F04DC8">
            <w:pPr>
              <w:jc w:val="both"/>
              <w:rPr>
                <w:rFonts w:ascii="Arial" w:hAnsi="Arial" w:cs="Arial"/>
                <w:b/>
                <w:bCs/>
                <w:sz w:val="20"/>
                <w:szCs w:val="20"/>
              </w:rPr>
            </w:pPr>
          </w:p>
          <w:p w14:paraId="45B489A4" w14:textId="4614B609" w:rsidR="00BB7789" w:rsidRPr="00BB7789" w:rsidRDefault="007A41E1" w:rsidP="00F04DC8">
            <w:pPr>
              <w:jc w:val="both"/>
              <w:rPr>
                <w:rFonts w:ascii="Arial" w:hAnsi="Arial" w:cs="Arial"/>
                <w:b/>
                <w:bCs/>
                <w:sz w:val="20"/>
                <w:szCs w:val="20"/>
              </w:rPr>
            </w:pPr>
            <w:r>
              <w:rPr>
                <w:rFonts w:ascii="Arial" w:hAnsi="Arial" w:cs="Arial"/>
                <w:noProof/>
              </w:rPr>
              <w:pict w14:anchorId="718BF081">
                <v:line id="Straight Connector 19" o:spid="_x0000_s1029"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95pt" to="74.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" strokecolor="windowText" strokeweight=".5pt">
                  <v:stroke joinstyle="miter"/>
                </v:line>
              </w:pict>
            </w:r>
          </w:p>
          <w:p w14:paraId="3A114034" w14:textId="77777777" w:rsidR="00BB7789" w:rsidRPr="00BB7789" w:rsidRDefault="00BB7789" w:rsidP="00F04DC8">
            <w:pPr>
              <w:jc w:val="both"/>
              <w:rPr>
                <w:rFonts w:ascii="Arial" w:hAnsi="Arial" w:cs="Arial"/>
                <w:b/>
                <w:bCs/>
                <w:sz w:val="20"/>
                <w:szCs w:val="20"/>
              </w:rPr>
            </w:pPr>
          </w:p>
          <w:p w14:paraId="42D8ECBF" w14:textId="77777777" w:rsidR="00BB7789" w:rsidRPr="00BB7789" w:rsidRDefault="00BB7789" w:rsidP="00F04DC8">
            <w:pPr>
              <w:jc w:val="both"/>
              <w:rPr>
                <w:rFonts w:ascii="Arial" w:hAnsi="Arial" w:cs="Arial"/>
                <w:b/>
                <w:bCs/>
                <w:sz w:val="20"/>
                <w:szCs w:val="20"/>
              </w:rPr>
            </w:pPr>
          </w:p>
          <w:p w14:paraId="16FF3DC5"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xml:space="preserve">Expt. </w:t>
            </w:r>
            <w:proofErr w:type="spellStart"/>
            <w:r w:rsidRPr="00BB7789">
              <w:rPr>
                <w:rFonts w:ascii="Arial" w:hAnsi="Arial" w:cs="Arial"/>
                <w:b/>
                <w:bCs/>
                <w:sz w:val="20"/>
                <w:szCs w:val="20"/>
              </w:rPr>
              <w:t>vs</w:t>
            </w:r>
            <w:proofErr w:type="spellEnd"/>
            <w:r w:rsidRPr="00BB7789">
              <w:rPr>
                <w:rFonts w:ascii="Arial" w:hAnsi="Arial" w:cs="Arial"/>
                <w:b/>
                <w:bCs/>
                <w:sz w:val="20"/>
                <w:szCs w:val="20"/>
              </w:rPr>
              <w:t xml:space="preserve"> control </w:t>
            </w:r>
          </w:p>
          <w:p w14:paraId="58F174FF" w14:textId="77777777" w:rsidR="00BB7789" w:rsidRPr="00BB7789" w:rsidRDefault="00BB7789" w:rsidP="00F04DC8">
            <w:pPr>
              <w:jc w:val="both"/>
              <w:rPr>
                <w:rFonts w:ascii="Arial" w:hAnsi="Arial" w:cs="Arial"/>
                <w:b/>
                <w:bCs/>
                <w:sz w:val="20"/>
                <w:szCs w:val="20"/>
              </w:rPr>
            </w:pPr>
          </w:p>
          <w:p w14:paraId="422250F3" w14:textId="77777777" w:rsidR="00BB7789" w:rsidRPr="00BB7789" w:rsidRDefault="00BB7789" w:rsidP="00F04DC8">
            <w:pPr>
              <w:jc w:val="both"/>
              <w:rPr>
                <w:rFonts w:ascii="Arial" w:hAnsi="Arial" w:cs="Arial"/>
                <w:b/>
                <w:bCs/>
                <w:sz w:val="20"/>
                <w:szCs w:val="20"/>
              </w:rPr>
            </w:pPr>
          </w:p>
          <w:p w14:paraId="39884CD9" w14:textId="77777777" w:rsidR="00BB7789" w:rsidRPr="00BB7789" w:rsidRDefault="00BB7789" w:rsidP="00F04DC8">
            <w:pPr>
              <w:jc w:val="both"/>
              <w:rPr>
                <w:rFonts w:ascii="Arial" w:hAnsi="Arial" w:cs="Arial"/>
                <w:b/>
                <w:bCs/>
                <w:sz w:val="20"/>
                <w:szCs w:val="20"/>
              </w:rPr>
            </w:pPr>
          </w:p>
          <w:p w14:paraId="3CF9011E" w14:textId="77777777" w:rsidR="00BB7789" w:rsidRPr="00BB7789" w:rsidRDefault="00BB7789" w:rsidP="00F04DC8">
            <w:pPr>
              <w:jc w:val="both"/>
              <w:rPr>
                <w:rFonts w:ascii="Arial" w:hAnsi="Arial" w:cs="Arial"/>
                <w:b/>
                <w:bCs/>
                <w:sz w:val="20"/>
                <w:szCs w:val="20"/>
              </w:rPr>
            </w:pPr>
          </w:p>
          <w:p w14:paraId="37AC9F09" w14:textId="77777777" w:rsidR="00BB7789" w:rsidRPr="00BB7789" w:rsidRDefault="00BB7789" w:rsidP="00F04DC8">
            <w:pPr>
              <w:jc w:val="both"/>
              <w:rPr>
                <w:rFonts w:ascii="Arial" w:hAnsi="Arial" w:cs="Arial"/>
                <w:b/>
                <w:bCs/>
                <w:sz w:val="20"/>
                <w:szCs w:val="20"/>
              </w:rPr>
            </w:pPr>
          </w:p>
          <w:p w14:paraId="745DEC84" w14:textId="77777777" w:rsidR="00BB7789" w:rsidRPr="00BB7789" w:rsidRDefault="00BB7789" w:rsidP="00F04DC8">
            <w:pPr>
              <w:jc w:val="both"/>
              <w:rPr>
                <w:rFonts w:ascii="Arial" w:hAnsi="Arial" w:cs="Arial"/>
                <w:b/>
                <w:bCs/>
                <w:sz w:val="20"/>
                <w:szCs w:val="20"/>
              </w:rPr>
            </w:pPr>
          </w:p>
          <w:p w14:paraId="52477266" w14:textId="77777777" w:rsidR="00BB7789" w:rsidRPr="00BB7789" w:rsidRDefault="00BB7789" w:rsidP="00F04DC8">
            <w:pPr>
              <w:jc w:val="both"/>
              <w:rPr>
                <w:rFonts w:ascii="Arial" w:hAnsi="Arial" w:cs="Arial"/>
                <w:b/>
                <w:bCs/>
                <w:sz w:val="20"/>
                <w:szCs w:val="20"/>
              </w:rPr>
            </w:pPr>
          </w:p>
          <w:p w14:paraId="19FC8301" w14:textId="77777777" w:rsidR="00BB7789" w:rsidRPr="00BB7789" w:rsidRDefault="00BB7789" w:rsidP="00F04DC8">
            <w:pPr>
              <w:jc w:val="both"/>
              <w:rPr>
                <w:rFonts w:ascii="Arial" w:hAnsi="Arial" w:cs="Arial"/>
                <w:b/>
                <w:bCs/>
                <w:sz w:val="20"/>
                <w:szCs w:val="20"/>
              </w:rPr>
            </w:pPr>
          </w:p>
          <w:p w14:paraId="073A8FF0"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Practice</w:t>
            </w:r>
          </w:p>
        </w:tc>
        <w:tc>
          <w:tcPr>
            <w:tcW w:w="1538" w:type="dxa"/>
          </w:tcPr>
          <w:p w14:paraId="6CB0A41B" w14:textId="77777777" w:rsidR="00BB7789" w:rsidRPr="00BB7789" w:rsidRDefault="00BB7789" w:rsidP="00F04DC8">
            <w:pPr>
              <w:ind w:left="-93" w:right="-123"/>
              <w:jc w:val="both"/>
              <w:rPr>
                <w:rFonts w:ascii="Arial" w:hAnsi="Arial" w:cs="Arial"/>
                <w:b/>
                <w:bCs/>
                <w:sz w:val="20"/>
                <w:szCs w:val="20"/>
              </w:rPr>
            </w:pPr>
          </w:p>
          <w:p w14:paraId="4F94894F"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Experiment </w:t>
            </w:r>
          </w:p>
        </w:tc>
        <w:tc>
          <w:tcPr>
            <w:tcW w:w="1538" w:type="dxa"/>
            <w:vAlign w:val="center"/>
          </w:tcPr>
          <w:p w14:paraId="10646BF3" w14:textId="77777777" w:rsidR="00BB7789" w:rsidRPr="00BB7789" w:rsidRDefault="00BB7789" w:rsidP="00F04DC8">
            <w:pPr>
              <w:ind w:left="-93" w:right="-123"/>
              <w:jc w:val="both"/>
              <w:rPr>
                <w:rFonts w:ascii="Arial" w:hAnsi="Arial" w:cs="Arial"/>
                <w:sz w:val="20"/>
                <w:szCs w:val="20"/>
              </w:rPr>
            </w:pPr>
            <w:bookmarkStart w:id="0" w:name="_Hlk206932641"/>
            <w:r w:rsidRPr="00BB7789">
              <w:rPr>
                <w:rFonts w:ascii="Arial" w:hAnsi="Arial" w:cs="Arial"/>
                <w:sz w:val="20"/>
                <w:szCs w:val="20"/>
              </w:rPr>
              <w:t>44.5±14.71</w:t>
            </w:r>
            <w:bookmarkEnd w:id="0"/>
          </w:p>
        </w:tc>
        <w:tc>
          <w:tcPr>
            <w:tcW w:w="2428" w:type="dxa"/>
            <w:vAlign w:val="center"/>
          </w:tcPr>
          <w:p w14:paraId="778E115B"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58.2±14.56</w:t>
            </w:r>
          </w:p>
        </w:tc>
        <w:tc>
          <w:tcPr>
            <w:tcW w:w="1843" w:type="dxa"/>
            <w:vAlign w:val="center"/>
          </w:tcPr>
          <w:p w14:paraId="203CC639"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-13.7</w:t>
            </w:r>
          </w:p>
          <w:p w14:paraId="568D3D6A"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(-30.79)</w:t>
            </w:r>
          </w:p>
        </w:tc>
        <w:tc>
          <w:tcPr>
            <w:tcW w:w="2409" w:type="dxa"/>
            <w:vAlign w:val="center"/>
          </w:tcPr>
          <w:p w14:paraId="0379FB01"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-6.3463</w:t>
            </w:r>
          </w:p>
          <w:p w14:paraId="799F13A0"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tc>
      </w:tr>
      <w:tr w:rsidR="00BB7789" w:rsidRPr="00BB7789" w14:paraId="41457E0F" w14:textId="77777777" w:rsidTr="00D94A8D">
        <w:trPr>
          <w:trHeight w:val="1132"/>
        </w:trPr>
        <w:tc>
          <w:tcPr>
            <w:tcW w:w="1125" w:type="dxa"/>
            <w:vMerge/>
            <w:vAlign w:val="center"/>
          </w:tcPr>
          <w:p w14:paraId="103DC917" w14:textId="77777777" w:rsidR="00BB7789" w:rsidRPr="00BB7789" w:rsidRDefault="00BB7789" w:rsidP="00F04DC8">
            <w:pPr>
              <w:jc w:val="both"/>
              <w:rPr>
                <w:rFonts w:ascii="Arial" w:hAnsi="Arial" w:cs="Arial"/>
                <w:b/>
                <w:bCs/>
                <w:sz w:val="20"/>
                <w:szCs w:val="20"/>
              </w:rPr>
            </w:pPr>
          </w:p>
        </w:tc>
        <w:tc>
          <w:tcPr>
            <w:tcW w:w="1538" w:type="dxa"/>
          </w:tcPr>
          <w:p w14:paraId="2D583CBE" w14:textId="77777777" w:rsidR="00BB7789" w:rsidRPr="00BB7789" w:rsidRDefault="00BB7789" w:rsidP="00F04DC8">
            <w:pPr>
              <w:ind w:left="-93" w:right="-123"/>
              <w:jc w:val="both"/>
              <w:rPr>
                <w:rFonts w:ascii="Arial" w:hAnsi="Arial" w:cs="Arial"/>
                <w:b/>
                <w:bCs/>
                <w:sz w:val="20"/>
                <w:szCs w:val="20"/>
              </w:rPr>
            </w:pPr>
          </w:p>
          <w:p w14:paraId="2D1F0025" w14:textId="77777777" w:rsidR="00BB7789" w:rsidRPr="00BB7789" w:rsidRDefault="00BB7789" w:rsidP="00F04DC8">
            <w:pPr>
              <w:ind w:left="-93" w:right="-123"/>
              <w:jc w:val="both"/>
              <w:rPr>
                <w:rFonts w:ascii="Arial" w:hAnsi="Arial" w:cs="Arial"/>
                <w:b/>
                <w:bCs/>
                <w:sz w:val="20"/>
                <w:szCs w:val="20"/>
              </w:rPr>
            </w:pPr>
          </w:p>
          <w:p w14:paraId="19554AFC"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Control </w:t>
            </w:r>
          </w:p>
          <w:p w14:paraId="782A5A38" w14:textId="77777777" w:rsidR="00BB7789" w:rsidRPr="00BB7789" w:rsidRDefault="00BB7789" w:rsidP="00F04DC8">
            <w:pPr>
              <w:ind w:left="-93" w:right="-123"/>
              <w:jc w:val="both"/>
              <w:rPr>
                <w:rFonts w:ascii="Arial" w:hAnsi="Arial" w:cs="Arial"/>
                <w:b/>
                <w:bCs/>
                <w:sz w:val="20"/>
                <w:szCs w:val="20"/>
              </w:rPr>
            </w:pPr>
          </w:p>
          <w:p w14:paraId="0BD40AC9" w14:textId="77777777" w:rsidR="00BB7789" w:rsidRPr="00BB7789" w:rsidRDefault="00BB7789" w:rsidP="00F04DC8">
            <w:pPr>
              <w:ind w:left="-93" w:right="-123"/>
              <w:jc w:val="both"/>
              <w:rPr>
                <w:rFonts w:ascii="Arial" w:hAnsi="Arial" w:cs="Arial"/>
                <w:b/>
                <w:bCs/>
                <w:sz w:val="20"/>
                <w:szCs w:val="20"/>
              </w:rPr>
            </w:pPr>
          </w:p>
          <w:p w14:paraId="60AE7EFC" w14:textId="77777777" w:rsidR="00BB7789" w:rsidRPr="00BB7789" w:rsidRDefault="00BB7789" w:rsidP="00F04DC8">
            <w:pPr>
              <w:ind w:left="-93" w:right="-123"/>
              <w:jc w:val="both"/>
              <w:rPr>
                <w:rFonts w:ascii="Arial" w:hAnsi="Arial" w:cs="Arial"/>
                <w:b/>
                <w:bCs/>
                <w:sz w:val="20"/>
                <w:szCs w:val="20"/>
              </w:rPr>
            </w:pPr>
          </w:p>
        </w:tc>
        <w:tc>
          <w:tcPr>
            <w:tcW w:w="1538" w:type="dxa"/>
            <w:vAlign w:val="center"/>
          </w:tcPr>
          <w:p w14:paraId="214A6BB5"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36.83±2.21</w:t>
            </w:r>
          </w:p>
        </w:tc>
        <w:tc>
          <w:tcPr>
            <w:tcW w:w="2428" w:type="dxa"/>
            <w:vAlign w:val="center"/>
          </w:tcPr>
          <w:p w14:paraId="3F12B048"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37.13±2.81</w:t>
            </w:r>
          </w:p>
        </w:tc>
        <w:tc>
          <w:tcPr>
            <w:tcW w:w="1843" w:type="dxa"/>
            <w:vAlign w:val="center"/>
          </w:tcPr>
          <w:p w14:paraId="4B019678"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0.30</w:t>
            </w:r>
          </w:p>
          <w:p w14:paraId="16F64B0B"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(0.81)</w:t>
            </w:r>
          </w:p>
        </w:tc>
        <w:tc>
          <w:tcPr>
            <w:tcW w:w="2409" w:type="dxa"/>
            <w:vAlign w:val="center"/>
          </w:tcPr>
          <w:p w14:paraId="01A9A97C"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-0.528</w:t>
            </w:r>
          </w:p>
          <w:p w14:paraId="64D7AE45"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(0.600</w:t>
            </w:r>
            <w:r w:rsidRPr="00BB7789">
              <w:rPr>
                <w:rFonts w:ascii="Arial" w:hAnsi="Arial" w:cs="Arial"/>
                <w:sz w:val="20"/>
                <w:szCs w:val="20"/>
                <w:vertAlign w:val="superscript"/>
              </w:rPr>
              <w:t>NS</w:t>
            </w:r>
            <w:r w:rsidRPr="00BB7789">
              <w:rPr>
                <w:rFonts w:ascii="Arial" w:hAnsi="Arial" w:cs="Arial"/>
                <w:sz w:val="20"/>
                <w:szCs w:val="20"/>
              </w:rPr>
              <w:t>)</w:t>
            </w:r>
          </w:p>
        </w:tc>
      </w:tr>
      <w:tr w:rsidR="00BB7789" w:rsidRPr="00BB7789" w14:paraId="64B5C762" w14:textId="77777777" w:rsidTr="00D94A8D">
        <w:trPr>
          <w:trHeight w:val="1132"/>
        </w:trPr>
        <w:tc>
          <w:tcPr>
            <w:tcW w:w="1125" w:type="dxa"/>
            <w:vMerge/>
            <w:vAlign w:val="center"/>
          </w:tcPr>
          <w:p w14:paraId="2201E775" w14:textId="77777777" w:rsidR="00BB7789" w:rsidRPr="00BB7789" w:rsidRDefault="00BB7789" w:rsidP="00F04DC8">
            <w:pPr>
              <w:jc w:val="both"/>
              <w:rPr>
                <w:rFonts w:ascii="Arial" w:hAnsi="Arial" w:cs="Arial"/>
                <w:b/>
                <w:bCs/>
                <w:sz w:val="20"/>
                <w:szCs w:val="20"/>
              </w:rPr>
            </w:pPr>
          </w:p>
        </w:tc>
        <w:tc>
          <w:tcPr>
            <w:tcW w:w="1538" w:type="dxa"/>
          </w:tcPr>
          <w:p w14:paraId="3E193D75" w14:textId="77777777" w:rsidR="00BB7789" w:rsidRPr="00BB7789" w:rsidRDefault="00BB7789" w:rsidP="00F04DC8">
            <w:pPr>
              <w:ind w:left="-93" w:right="-123"/>
              <w:jc w:val="both"/>
              <w:rPr>
                <w:rFonts w:ascii="Arial" w:hAnsi="Arial" w:cs="Arial"/>
                <w:b/>
                <w:bCs/>
                <w:sz w:val="20"/>
                <w:szCs w:val="20"/>
              </w:rPr>
            </w:pPr>
          </w:p>
          <w:p w14:paraId="6957960E"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Before </w:t>
            </w:r>
          </w:p>
        </w:tc>
        <w:tc>
          <w:tcPr>
            <w:tcW w:w="5809" w:type="dxa"/>
            <w:gridSpan w:val="3"/>
            <w:vAlign w:val="center"/>
          </w:tcPr>
          <w:p w14:paraId="60248E25" w14:textId="77777777" w:rsidR="00BB7789" w:rsidRPr="00BB7789" w:rsidRDefault="00BB7789" w:rsidP="00F04DC8">
            <w:pPr>
              <w:widowControl w:val="0"/>
              <w:autoSpaceDE w:val="0"/>
              <w:autoSpaceDN w:val="0"/>
              <w:jc w:val="both"/>
              <w:rPr>
                <w:rFonts w:ascii="Arial" w:hAnsi="Arial" w:cs="Arial"/>
                <w:sz w:val="20"/>
                <w:szCs w:val="20"/>
              </w:rPr>
            </w:pPr>
          </w:p>
        </w:tc>
        <w:tc>
          <w:tcPr>
            <w:tcW w:w="2409" w:type="dxa"/>
            <w:vMerge w:val="restart"/>
            <w:vAlign w:val="center"/>
          </w:tcPr>
          <w:p w14:paraId="756E1354"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 xml:space="preserve">          -2.824</w:t>
            </w:r>
          </w:p>
          <w:p w14:paraId="1AE88151"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 xml:space="preserve">        (0.567</w:t>
            </w:r>
            <w:r w:rsidRPr="00BB7789">
              <w:rPr>
                <w:rFonts w:ascii="Arial" w:hAnsi="Arial" w:cs="Arial"/>
                <w:sz w:val="20"/>
                <w:szCs w:val="20"/>
                <w:vertAlign w:val="superscript"/>
              </w:rPr>
              <w:t>NS</w:t>
            </w:r>
            <w:r w:rsidRPr="00BB7789">
              <w:rPr>
                <w:rFonts w:ascii="Arial" w:hAnsi="Arial" w:cs="Arial"/>
                <w:sz w:val="20"/>
                <w:szCs w:val="20"/>
              </w:rPr>
              <w:t>)</w:t>
            </w:r>
          </w:p>
        </w:tc>
      </w:tr>
      <w:tr w:rsidR="00BB7789" w:rsidRPr="00BB7789" w14:paraId="5DC7D86F" w14:textId="77777777" w:rsidTr="00D94A8D">
        <w:trPr>
          <w:trHeight w:val="298"/>
        </w:trPr>
        <w:tc>
          <w:tcPr>
            <w:tcW w:w="1125" w:type="dxa"/>
            <w:vMerge/>
            <w:vAlign w:val="center"/>
          </w:tcPr>
          <w:p w14:paraId="2CAED4F7" w14:textId="77777777" w:rsidR="00BB7789" w:rsidRPr="00BB7789" w:rsidRDefault="00BB7789" w:rsidP="00F04DC8">
            <w:pPr>
              <w:jc w:val="both"/>
              <w:rPr>
                <w:rFonts w:ascii="Arial" w:hAnsi="Arial" w:cs="Arial"/>
                <w:b/>
                <w:bCs/>
                <w:sz w:val="20"/>
                <w:szCs w:val="20"/>
              </w:rPr>
            </w:pPr>
          </w:p>
        </w:tc>
        <w:tc>
          <w:tcPr>
            <w:tcW w:w="1538" w:type="dxa"/>
            <w:vMerge w:val="restart"/>
          </w:tcPr>
          <w:p w14:paraId="4A2CE3D1" w14:textId="77777777" w:rsidR="00BB7789" w:rsidRPr="00BB7789" w:rsidRDefault="00BB7789" w:rsidP="00F04DC8">
            <w:pPr>
              <w:ind w:left="-93" w:right="-123"/>
              <w:jc w:val="both"/>
              <w:rPr>
                <w:rFonts w:ascii="Arial" w:hAnsi="Arial" w:cs="Arial"/>
                <w:b/>
                <w:bCs/>
                <w:sz w:val="20"/>
                <w:szCs w:val="20"/>
              </w:rPr>
            </w:pPr>
          </w:p>
          <w:p w14:paraId="372CABD5" w14:textId="77777777" w:rsidR="00BB7789" w:rsidRPr="00BB7789" w:rsidRDefault="00BB7789" w:rsidP="00F04DC8">
            <w:pPr>
              <w:ind w:left="-93" w:right="-123"/>
              <w:jc w:val="both"/>
              <w:rPr>
                <w:rFonts w:ascii="Arial" w:hAnsi="Arial" w:cs="Arial"/>
                <w:b/>
                <w:bCs/>
                <w:sz w:val="20"/>
                <w:szCs w:val="20"/>
              </w:rPr>
            </w:pPr>
          </w:p>
          <w:p w14:paraId="47C8DB3A"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After</w:t>
            </w:r>
          </w:p>
        </w:tc>
        <w:tc>
          <w:tcPr>
            <w:tcW w:w="5809" w:type="dxa"/>
            <w:gridSpan w:val="3"/>
            <w:vMerge w:val="restart"/>
            <w:vAlign w:val="center"/>
          </w:tcPr>
          <w:p w14:paraId="7F8F1988" w14:textId="77777777" w:rsidR="00BB7789" w:rsidRPr="00BB7789" w:rsidRDefault="00BB7789" w:rsidP="00F04DC8">
            <w:pPr>
              <w:widowControl w:val="0"/>
              <w:autoSpaceDE w:val="0"/>
              <w:autoSpaceDN w:val="0"/>
              <w:jc w:val="both"/>
              <w:rPr>
                <w:rFonts w:ascii="Arial" w:hAnsi="Arial" w:cs="Arial"/>
                <w:sz w:val="20"/>
                <w:szCs w:val="20"/>
              </w:rPr>
            </w:pPr>
          </w:p>
        </w:tc>
        <w:tc>
          <w:tcPr>
            <w:tcW w:w="2409" w:type="dxa"/>
            <w:vMerge/>
            <w:vAlign w:val="center"/>
          </w:tcPr>
          <w:p w14:paraId="2FD371F7" w14:textId="77777777" w:rsidR="00BB7789" w:rsidRPr="00BB7789" w:rsidRDefault="00BB7789" w:rsidP="00F04DC8">
            <w:pPr>
              <w:widowControl w:val="0"/>
              <w:autoSpaceDE w:val="0"/>
              <w:autoSpaceDN w:val="0"/>
              <w:jc w:val="both"/>
              <w:rPr>
                <w:rFonts w:ascii="Arial" w:hAnsi="Arial" w:cs="Arial"/>
                <w:sz w:val="20"/>
                <w:szCs w:val="20"/>
              </w:rPr>
            </w:pPr>
          </w:p>
        </w:tc>
      </w:tr>
      <w:tr w:rsidR="00BB7789" w:rsidRPr="00BB7789" w14:paraId="1F2BEB21" w14:textId="77777777" w:rsidTr="00D94A8D">
        <w:trPr>
          <w:trHeight w:val="869"/>
        </w:trPr>
        <w:tc>
          <w:tcPr>
            <w:tcW w:w="1125" w:type="dxa"/>
            <w:vMerge/>
            <w:vAlign w:val="center"/>
          </w:tcPr>
          <w:p w14:paraId="56C71402" w14:textId="77777777" w:rsidR="00BB7789" w:rsidRPr="00BB7789" w:rsidRDefault="00BB7789" w:rsidP="00F04DC8">
            <w:pPr>
              <w:jc w:val="both"/>
              <w:rPr>
                <w:rFonts w:ascii="Arial" w:hAnsi="Arial" w:cs="Arial"/>
                <w:b/>
                <w:bCs/>
                <w:sz w:val="20"/>
                <w:szCs w:val="20"/>
              </w:rPr>
            </w:pPr>
          </w:p>
        </w:tc>
        <w:tc>
          <w:tcPr>
            <w:tcW w:w="1538" w:type="dxa"/>
            <w:vMerge/>
          </w:tcPr>
          <w:p w14:paraId="2E5769F8" w14:textId="77777777" w:rsidR="00BB7789" w:rsidRPr="00BB7789" w:rsidRDefault="00BB7789" w:rsidP="00F04DC8">
            <w:pPr>
              <w:ind w:left="-93" w:right="-123"/>
              <w:jc w:val="both"/>
              <w:rPr>
                <w:rFonts w:ascii="Arial" w:hAnsi="Arial" w:cs="Arial"/>
                <w:b/>
                <w:bCs/>
                <w:sz w:val="20"/>
                <w:szCs w:val="20"/>
              </w:rPr>
            </w:pPr>
          </w:p>
        </w:tc>
        <w:tc>
          <w:tcPr>
            <w:tcW w:w="5809" w:type="dxa"/>
            <w:gridSpan w:val="3"/>
            <w:vMerge/>
            <w:vAlign w:val="center"/>
          </w:tcPr>
          <w:p w14:paraId="6A890F61" w14:textId="77777777" w:rsidR="00BB7789" w:rsidRPr="00BB7789" w:rsidRDefault="00BB7789" w:rsidP="00F04DC8">
            <w:pPr>
              <w:widowControl w:val="0"/>
              <w:autoSpaceDE w:val="0"/>
              <w:autoSpaceDN w:val="0"/>
              <w:jc w:val="both"/>
              <w:rPr>
                <w:rFonts w:ascii="Arial" w:hAnsi="Arial" w:cs="Arial"/>
                <w:sz w:val="20"/>
                <w:szCs w:val="20"/>
              </w:rPr>
            </w:pPr>
          </w:p>
        </w:tc>
        <w:tc>
          <w:tcPr>
            <w:tcW w:w="2409" w:type="dxa"/>
            <w:vAlign w:val="center"/>
          </w:tcPr>
          <w:p w14:paraId="271FF699"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-7.837</w:t>
            </w:r>
          </w:p>
          <w:p w14:paraId="104416D0"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(0.000***)</w:t>
            </w:r>
          </w:p>
        </w:tc>
      </w:tr>
      <w:tr w:rsidR="00BB7789" w:rsidRPr="00BB7789" w14:paraId="3B3E9EEB" w14:textId="77777777" w:rsidTr="00D94A8D">
        <w:trPr>
          <w:trHeight w:val="1132"/>
        </w:trPr>
        <w:tc>
          <w:tcPr>
            <w:tcW w:w="1125" w:type="dxa"/>
            <w:vMerge/>
            <w:vAlign w:val="center"/>
            <w:hideMark/>
          </w:tcPr>
          <w:p w14:paraId="72E801FD" w14:textId="77777777" w:rsidR="00BB7789" w:rsidRPr="00BB7789" w:rsidRDefault="00BB7789" w:rsidP="00F04DC8">
            <w:pPr>
              <w:jc w:val="both"/>
              <w:rPr>
                <w:rFonts w:ascii="Arial" w:hAnsi="Arial" w:cs="Arial"/>
                <w:b/>
                <w:bCs/>
                <w:sz w:val="20"/>
                <w:szCs w:val="20"/>
              </w:rPr>
            </w:pPr>
          </w:p>
        </w:tc>
        <w:tc>
          <w:tcPr>
            <w:tcW w:w="1538" w:type="dxa"/>
          </w:tcPr>
          <w:p w14:paraId="49A13F2B" w14:textId="77777777" w:rsidR="00BB7789" w:rsidRPr="00BB7789" w:rsidRDefault="00BB7789" w:rsidP="00F04DC8">
            <w:pPr>
              <w:ind w:left="-93" w:right="-123"/>
              <w:jc w:val="both"/>
              <w:rPr>
                <w:rFonts w:ascii="Arial" w:hAnsi="Arial" w:cs="Arial"/>
                <w:b/>
                <w:bCs/>
                <w:sz w:val="20"/>
                <w:szCs w:val="20"/>
              </w:rPr>
            </w:pPr>
          </w:p>
          <w:p w14:paraId="4A0142FD" w14:textId="77777777" w:rsidR="00BB7789" w:rsidRPr="00BB7789" w:rsidRDefault="00BB7789" w:rsidP="00F04DC8">
            <w:pPr>
              <w:ind w:left="-93" w:right="-123"/>
              <w:jc w:val="both"/>
              <w:rPr>
                <w:rFonts w:ascii="Arial" w:hAnsi="Arial" w:cs="Arial"/>
                <w:b/>
                <w:bCs/>
                <w:sz w:val="20"/>
                <w:szCs w:val="20"/>
              </w:rPr>
            </w:pPr>
          </w:p>
          <w:p w14:paraId="2D73D31B" w14:textId="77777777" w:rsidR="00BB7789" w:rsidRPr="00BB7789" w:rsidRDefault="00BB7789" w:rsidP="00F04DC8">
            <w:pPr>
              <w:ind w:left="-93" w:right="-123"/>
              <w:jc w:val="both"/>
              <w:rPr>
                <w:rFonts w:ascii="Arial" w:hAnsi="Arial" w:cs="Arial"/>
                <w:b/>
                <w:bCs/>
                <w:sz w:val="20"/>
                <w:szCs w:val="20"/>
              </w:rPr>
            </w:pPr>
          </w:p>
          <w:p w14:paraId="4F767B90" w14:textId="77777777" w:rsidR="00BB7789" w:rsidRPr="00BB7789" w:rsidRDefault="00BB7789" w:rsidP="00F04DC8">
            <w:pPr>
              <w:ind w:left="-93" w:right="-123"/>
              <w:jc w:val="both"/>
              <w:rPr>
                <w:rFonts w:ascii="Arial" w:hAnsi="Arial" w:cs="Arial"/>
                <w:b/>
                <w:bCs/>
                <w:sz w:val="20"/>
                <w:szCs w:val="20"/>
              </w:rPr>
            </w:pPr>
          </w:p>
          <w:p w14:paraId="0F6F2B77"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Experiment </w:t>
            </w:r>
          </w:p>
        </w:tc>
        <w:tc>
          <w:tcPr>
            <w:tcW w:w="1538" w:type="dxa"/>
            <w:vAlign w:val="center"/>
          </w:tcPr>
          <w:p w14:paraId="36E33A24"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37.1667±13.444</w:t>
            </w:r>
          </w:p>
        </w:tc>
        <w:tc>
          <w:tcPr>
            <w:tcW w:w="2428" w:type="dxa"/>
            <w:vAlign w:val="center"/>
          </w:tcPr>
          <w:p w14:paraId="463A3C9D"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54.6±15.217</w:t>
            </w:r>
          </w:p>
        </w:tc>
        <w:tc>
          <w:tcPr>
            <w:tcW w:w="1843" w:type="dxa"/>
            <w:vAlign w:val="center"/>
          </w:tcPr>
          <w:p w14:paraId="43341C17"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-17.4333</w:t>
            </w:r>
          </w:p>
          <w:p w14:paraId="41267C04"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(-46.905)</w:t>
            </w:r>
          </w:p>
        </w:tc>
        <w:tc>
          <w:tcPr>
            <w:tcW w:w="2409" w:type="dxa"/>
            <w:vAlign w:val="center"/>
          </w:tcPr>
          <w:p w14:paraId="7C70813D"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-6.8005</w:t>
            </w:r>
          </w:p>
          <w:p w14:paraId="031AEE8F"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tc>
      </w:tr>
      <w:tr w:rsidR="00BB7789" w:rsidRPr="00BB7789" w14:paraId="455A120A" w14:textId="77777777" w:rsidTr="00D94A8D">
        <w:trPr>
          <w:trHeight w:val="1132"/>
        </w:trPr>
        <w:tc>
          <w:tcPr>
            <w:tcW w:w="1125" w:type="dxa"/>
            <w:vMerge/>
            <w:vAlign w:val="center"/>
          </w:tcPr>
          <w:p w14:paraId="6C637556" w14:textId="77777777" w:rsidR="00BB7789" w:rsidRPr="00BB7789" w:rsidRDefault="00BB7789" w:rsidP="00F04DC8">
            <w:pPr>
              <w:jc w:val="both"/>
              <w:rPr>
                <w:rFonts w:ascii="Arial" w:hAnsi="Arial" w:cs="Arial"/>
                <w:b/>
                <w:bCs/>
                <w:sz w:val="20"/>
                <w:szCs w:val="20"/>
              </w:rPr>
            </w:pPr>
          </w:p>
        </w:tc>
        <w:tc>
          <w:tcPr>
            <w:tcW w:w="1538" w:type="dxa"/>
          </w:tcPr>
          <w:p w14:paraId="3E995E87"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w:t>
            </w:r>
          </w:p>
          <w:p w14:paraId="1CCC254E"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Control </w:t>
            </w:r>
          </w:p>
          <w:p w14:paraId="5EBFE705" w14:textId="77777777" w:rsidR="00BB7789" w:rsidRPr="00BB7789" w:rsidRDefault="00BB7789" w:rsidP="00F04DC8">
            <w:pPr>
              <w:ind w:left="-93" w:right="-123"/>
              <w:jc w:val="both"/>
              <w:rPr>
                <w:rFonts w:ascii="Arial" w:hAnsi="Arial" w:cs="Arial"/>
                <w:b/>
                <w:bCs/>
                <w:sz w:val="20"/>
                <w:szCs w:val="20"/>
              </w:rPr>
            </w:pPr>
          </w:p>
          <w:p w14:paraId="030E81D0" w14:textId="77777777" w:rsidR="00BB7789" w:rsidRPr="00BB7789" w:rsidRDefault="00BB7789" w:rsidP="00F04DC8">
            <w:pPr>
              <w:ind w:left="-93" w:right="-123"/>
              <w:jc w:val="both"/>
              <w:rPr>
                <w:rFonts w:ascii="Arial" w:hAnsi="Arial" w:cs="Arial"/>
                <w:b/>
                <w:bCs/>
                <w:sz w:val="20"/>
                <w:szCs w:val="20"/>
              </w:rPr>
            </w:pPr>
          </w:p>
          <w:p w14:paraId="5E96B79E" w14:textId="77777777" w:rsidR="00BB7789" w:rsidRPr="00BB7789" w:rsidRDefault="00BB7789" w:rsidP="00F04DC8">
            <w:pPr>
              <w:ind w:left="-93" w:right="-123"/>
              <w:jc w:val="both"/>
              <w:rPr>
                <w:rFonts w:ascii="Arial" w:hAnsi="Arial" w:cs="Arial"/>
                <w:b/>
                <w:bCs/>
                <w:sz w:val="20"/>
                <w:szCs w:val="20"/>
              </w:rPr>
            </w:pPr>
          </w:p>
        </w:tc>
        <w:tc>
          <w:tcPr>
            <w:tcW w:w="1538" w:type="dxa"/>
            <w:vAlign w:val="center"/>
          </w:tcPr>
          <w:p w14:paraId="570F04F0" w14:textId="77777777" w:rsidR="00BB7789" w:rsidRPr="00BB7789" w:rsidRDefault="00BB7789" w:rsidP="00F04DC8">
            <w:pPr>
              <w:ind w:right="-123"/>
              <w:jc w:val="both"/>
              <w:rPr>
                <w:rFonts w:ascii="Arial" w:hAnsi="Arial" w:cs="Arial"/>
                <w:sz w:val="20"/>
                <w:szCs w:val="20"/>
              </w:rPr>
            </w:pPr>
            <w:r w:rsidRPr="00BB7789">
              <w:rPr>
                <w:rFonts w:ascii="Arial" w:hAnsi="Arial" w:cs="Arial"/>
                <w:sz w:val="20"/>
                <w:szCs w:val="20"/>
              </w:rPr>
              <w:t>35.79±3.18</w:t>
            </w:r>
          </w:p>
        </w:tc>
        <w:tc>
          <w:tcPr>
            <w:tcW w:w="2428" w:type="dxa"/>
            <w:vAlign w:val="center"/>
          </w:tcPr>
          <w:p w14:paraId="763D422D" w14:textId="77777777" w:rsidR="00BB7789" w:rsidRPr="00BB7789" w:rsidRDefault="00BB7789" w:rsidP="00F04DC8">
            <w:pPr>
              <w:ind w:right="-123"/>
              <w:jc w:val="both"/>
              <w:rPr>
                <w:rFonts w:ascii="Arial" w:hAnsi="Arial" w:cs="Arial"/>
                <w:sz w:val="20"/>
                <w:szCs w:val="20"/>
              </w:rPr>
            </w:pPr>
            <w:r w:rsidRPr="00BB7789">
              <w:rPr>
                <w:rFonts w:ascii="Arial" w:hAnsi="Arial" w:cs="Arial"/>
                <w:sz w:val="20"/>
                <w:szCs w:val="20"/>
              </w:rPr>
              <w:t>34.73±5.78</w:t>
            </w:r>
          </w:p>
        </w:tc>
        <w:tc>
          <w:tcPr>
            <w:tcW w:w="1843" w:type="dxa"/>
            <w:vAlign w:val="center"/>
          </w:tcPr>
          <w:p w14:paraId="2720B422"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 xml:space="preserve">           1.06</w:t>
            </w:r>
          </w:p>
          <w:p w14:paraId="2CAB3287"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(2.96)</w:t>
            </w:r>
          </w:p>
        </w:tc>
        <w:tc>
          <w:tcPr>
            <w:tcW w:w="2409" w:type="dxa"/>
            <w:vAlign w:val="center"/>
          </w:tcPr>
          <w:p w14:paraId="3EBE2508"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1.91</w:t>
            </w:r>
          </w:p>
          <w:p w14:paraId="1F9F8265" w14:textId="77777777" w:rsidR="00BB7789" w:rsidRPr="00BB7789" w:rsidRDefault="00BB7789" w:rsidP="00F04DC8">
            <w:pPr>
              <w:widowControl w:val="0"/>
              <w:autoSpaceDE w:val="0"/>
              <w:autoSpaceDN w:val="0"/>
              <w:jc w:val="both"/>
              <w:rPr>
                <w:rFonts w:ascii="Arial" w:hAnsi="Arial" w:cs="Arial"/>
                <w:sz w:val="20"/>
                <w:szCs w:val="20"/>
                <w:vertAlign w:val="superscript"/>
              </w:rPr>
            </w:pPr>
            <w:r w:rsidRPr="00BB7789">
              <w:rPr>
                <w:rFonts w:ascii="Arial" w:hAnsi="Arial" w:cs="Arial"/>
                <w:sz w:val="20"/>
                <w:szCs w:val="20"/>
              </w:rPr>
              <w:t>(0.239</w:t>
            </w:r>
            <w:r w:rsidRPr="00BB7789">
              <w:rPr>
                <w:rFonts w:ascii="Arial" w:hAnsi="Arial" w:cs="Arial"/>
                <w:sz w:val="20"/>
                <w:szCs w:val="20"/>
                <w:vertAlign w:val="superscript"/>
              </w:rPr>
              <w:t>NS)</w:t>
            </w:r>
          </w:p>
        </w:tc>
      </w:tr>
      <w:tr w:rsidR="00BB7789" w:rsidRPr="00BB7789" w14:paraId="32A7FC77" w14:textId="77777777" w:rsidTr="00D94A8D">
        <w:trPr>
          <w:trHeight w:val="1132"/>
        </w:trPr>
        <w:tc>
          <w:tcPr>
            <w:tcW w:w="1125" w:type="dxa"/>
            <w:vMerge w:val="restart"/>
            <w:vAlign w:val="center"/>
          </w:tcPr>
          <w:p w14:paraId="2B72F010" w14:textId="77777777" w:rsidR="00BB7789" w:rsidRPr="00BB7789" w:rsidRDefault="00BB7789" w:rsidP="00F04DC8">
            <w:pPr>
              <w:ind w:left="-93" w:right="-123"/>
              <w:jc w:val="both"/>
              <w:rPr>
                <w:rFonts w:ascii="Arial" w:hAnsi="Arial" w:cs="Arial"/>
                <w:b/>
                <w:bCs/>
                <w:sz w:val="20"/>
                <w:szCs w:val="20"/>
              </w:rPr>
            </w:pPr>
          </w:p>
          <w:p w14:paraId="737054E6"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Expt. Vs. Control</w:t>
            </w:r>
          </w:p>
          <w:p w14:paraId="3775F983" w14:textId="77777777" w:rsidR="00BB7789" w:rsidRPr="00BB7789" w:rsidRDefault="00BB7789" w:rsidP="00F04DC8">
            <w:pPr>
              <w:jc w:val="both"/>
              <w:rPr>
                <w:rFonts w:ascii="Arial" w:hAnsi="Arial" w:cs="Arial"/>
                <w:b/>
                <w:bCs/>
                <w:sz w:val="20"/>
                <w:szCs w:val="20"/>
              </w:rPr>
            </w:pPr>
          </w:p>
        </w:tc>
        <w:tc>
          <w:tcPr>
            <w:tcW w:w="1538" w:type="dxa"/>
          </w:tcPr>
          <w:p w14:paraId="43F1D71A" w14:textId="77777777" w:rsidR="00BB7789" w:rsidRPr="00BB7789" w:rsidRDefault="00BB7789" w:rsidP="00F04DC8">
            <w:pPr>
              <w:ind w:left="-93" w:right="-123"/>
              <w:jc w:val="both"/>
              <w:rPr>
                <w:rFonts w:ascii="Arial" w:hAnsi="Arial" w:cs="Arial"/>
                <w:b/>
                <w:bCs/>
                <w:sz w:val="20"/>
                <w:szCs w:val="20"/>
              </w:rPr>
            </w:pPr>
          </w:p>
          <w:p w14:paraId="2FD5E959"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Before </w:t>
            </w:r>
          </w:p>
        </w:tc>
        <w:tc>
          <w:tcPr>
            <w:tcW w:w="5809" w:type="dxa"/>
            <w:gridSpan w:val="3"/>
            <w:vMerge w:val="restart"/>
            <w:vAlign w:val="center"/>
          </w:tcPr>
          <w:p w14:paraId="3C65BA33" w14:textId="77777777" w:rsidR="00BB7789" w:rsidRPr="00BB7789" w:rsidRDefault="00BB7789" w:rsidP="00F04DC8">
            <w:pPr>
              <w:widowControl w:val="0"/>
              <w:autoSpaceDE w:val="0"/>
              <w:autoSpaceDN w:val="0"/>
              <w:jc w:val="both"/>
              <w:rPr>
                <w:rFonts w:ascii="Arial" w:hAnsi="Arial" w:cs="Arial"/>
                <w:sz w:val="20"/>
                <w:szCs w:val="20"/>
              </w:rPr>
            </w:pPr>
          </w:p>
        </w:tc>
        <w:tc>
          <w:tcPr>
            <w:tcW w:w="2409" w:type="dxa"/>
            <w:vAlign w:val="center"/>
          </w:tcPr>
          <w:p w14:paraId="25A4F937"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-0.543</w:t>
            </w:r>
          </w:p>
          <w:p w14:paraId="44F97FC8" w14:textId="77777777" w:rsidR="00BB7789" w:rsidRPr="00BB7789" w:rsidRDefault="00BB7789" w:rsidP="00F04DC8">
            <w:pPr>
              <w:widowControl w:val="0"/>
              <w:autoSpaceDE w:val="0"/>
              <w:autoSpaceDN w:val="0"/>
              <w:jc w:val="both"/>
              <w:rPr>
                <w:rFonts w:ascii="Arial" w:hAnsi="Arial" w:cs="Arial"/>
                <w:sz w:val="20"/>
                <w:szCs w:val="20"/>
                <w:vertAlign w:val="superscript"/>
              </w:rPr>
            </w:pPr>
            <w:r w:rsidRPr="00BB7789">
              <w:rPr>
                <w:rFonts w:ascii="Arial" w:hAnsi="Arial" w:cs="Arial"/>
                <w:sz w:val="20"/>
                <w:szCs w:val="20"/>
              </w:rPr>
              <w:t>(0.589</w:t>
            </w:r>
            <w:r w:rsidRPr="00BB7789">
              <w:rPr>
                <w:rFonts w:ascii="Arial" w:hAnsi="Arial" w:cs="Arial"/>
                <w:sz w:val="20"/>
                <w:szCs w:val="20"/>
                <w:vertAlign w:val="superscript"/>
              </w:rPr>
              <w:t>NS)</w:t>
            </w:r>
          </w:p>
        </w:tc>
      </w:tr>
      <w:tr w:rsidR="00BB7789" w:rsidRPr="00BB7789" w14:paraId="11CEA06C" w14:textId="77777777" w:rsidTr="00D94A8D">
        <w:trPr>
          <w:trHeight w:val="1132"/>
        </w:trPr>
        <w:tc>
          <w:tcPr>
            <w:tcW w:w="1125" w:type="dxa"/>
            <w:vMerge/>
            <w:vAlign w:val="center"/>
          </w:tcPr>
          <w:p w14:paraId="718D2EC7" w14:textId="77777777" w:rsidR="00BB7789" w:rsidRPr="00BB7789" w:rsidRDefault="00BB7789" w:rsidP="00F04DC8">
            <w:pPr>
              <w:jc w:val="both"/>
              <w:rPr>
                <w:rFonts w:ascii="Arial" w:hAnsi="Arial" w:cs="Arial"/>
                <w:b/>
                <w:bCs/>
                <w:sz w:val="20"/>
                <w:szCs w:val="20"/>
              </w:rPr>
            </w:pPr>
          </w:p>
        </w:tc>
        <w:tc>
          <w:tcPr>
            <w:tcW w:w="1538" w:type="dxa"/>
          </w:tcPr>
          <w:p w14:paraId="5048886B"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After</w:t>
            </w:r>
          </w:p>
        </w:tc>
        <w:tc>
          <w:tcPr>
            <w:tcW w:w="5809" w:type="dxa"/>
            <w:gridSpan w:val="3"/>
            <w:vMerge/>
            <w:vAlign w:val="center"/>
          </w:tcPr>
          <w:p w14:paraId="09A66217" w14:textId="77777777" w:rsidR="00BB7789" w:rsidRPr="00BB7789" w:rsidRDefault="00BB7789" w:rsidP="00F04DC8">
            <w:pPr>
              <w:widowControl w:val="0"/>
              <w:autoSpaceDE w:val="0"/>
              <w:autoSpaceDN w:val="0"/>
              <w:jc w:val="both"/>
              <w:rPr>
                <w:rFonts w:ascii="Arial" w:hAnsi="Arial" w:cs="Arial"/>
                <w:sz w:val="20"/>
                <w:szCs w:val="20"/>
              </w:rPr>
            </w:pPr>
          </w:p>
        </w:tc>
        <w:tc>
          <w:tcPr>
            <w:tcW w:w="2409" w:type="dxa"/>
            <w:vAlign w:val="center"/>
          </w:tcPr>
          <w:p w14:paraId="4F0DD170"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-6.947</w:t>
            </w:r>
          </w:p>
          <w:p w14:paraId="6028A1A8"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(0.000***)</w:t>
            </w:r>
          </w:p>
        </w:tc>
      </w:tr>
    </w:tbl>
    <w:p w14:paraId="3EED0269" w14:textId="77777777" w:rsidR="00BB7789" w:rsidRPr="00BB7789" w:rsidRDefault="00BB7789" w:rsidP="00BB7789">
      <w:pPr>
        <w:jc w:val="both"/>
        <w:rPr>
          <w:rFonts w:ascii="Arial" w:hAnsi="Arial" w:cs="Arial"/>
        </w:rPr>
      </w:pPr>
    </w:p>
    <w:p w14:paraId="1EB33290" w14:textId="77777777" w:rsidR="00D1184C" w:rsidRDefault="00D1184C" w:rsidP="00D1184C">
      <w:pPr>
        <w:pStyle w:val="NormalWeb"/>
        <w:jc w:val="both"/>
        <w:rPr>
          <w:rFonts w:ascii="Arial" w:hAnsi="Arial" w:cs="Arial"/>
          <w:sz w:val="20"/>
          <w:szCs w:val="20"/>
        </w:rPr>
      </w:pPr>
    </w:p>
    <w:p w14:paraId="44ECDFB7" w14:textId="77777777" w:rsidR="00D1184C" w:rsidRDefault="00D1184C" w:rsidP="00D1184C">
      <w:pPr>
        <w:pStyle w:val="NormalWeb"/>
        <w:jc w:val="both"/>
        <w:rPr>
          <w:rFonts w:ascii="Arial" w:hAnsi="Arial" w:cs="Arial"/>
          <w:sz w:val="20"/>
          <w:szCs w:val="20"/>
        </w:rPr>
      </w:pPr>
    </w:p>
    <w:p w14:paraId="519A4D86" w14:textId="77777777" w:rsidR="00D1184C" w:rsidRDefault="00D1184C" w:rsidP="00D1184C">
      <w:pPr>
        <w:pStyle w:val="NormalWeb"/>
        <w:jc w:val="both"/>
        <w:rPr>
          <w:rFonts w:ascii="Arial" w:hAnsi="Arial" w:cs="Arial"/>
          <w:sz w:val="20"/>
          <w:szCs w:val="20"/>
        </w:rPr>
      </w:pPr>
    </w:p>
    <w:p w14:paraId="487C15B9" w14:textId="77777777" w:rsidR="00D1184C" w:rsidRDefault="00D1184C" w:rsidP="00D1184C">
      <w:pPr>
        <w:pStyle w:val="NormalWeb"/>
        <w:jc w:val="both"/>
        <w:rPr>
          <w:rFonts w:ascii="Arial" w:hAnsi="Arial" w:cs="Arial"/>
          <w:sz w:val="20"/>
          <w:szCs w:val="20"/>
        </w:rPr>
      </w:pPr>
    </w:p>
    <w:p w14:paraId="40FA4883" w14:textId="77777777" w:rsidR="009529FE" w:rsidRDefault="009529FE" w:rsidP="00D1184C">
      <w:pPr>
        <w:pStyle w:val="NormalWeb"/>
        <w:jc w:val="both"/>
        <w:rPr>
          <w:rFonts w:ascii="Arial" w:hAnsi="Arial" w:cs="Arial"/>
          <w:sz w:val="20"/>
          <w:szCs w:val="20"/>
        </w:rPr>
      </w:pPr>
    </w:p>
    <w:p w14:paraId="49979E7F" w14:textId="77777777" w:rsidR="009529FE" w:rsidRDefault="009529FE" w:rsidP="00D1184C">
      <w:pPr>
        <w:pStyle w:val="NormalWeb"/>
        <w:jc w:val="both"/>
        <w:rPr>
          <w:rFonts w:ascii="Arial" w:hAnsi="Arial" w:cs="Arial"/>
          <w:sz w:val="20"/>
          <w:szCs w:val="20"/>
        </w:rPr>
      </w:pPr>
    </w:p>
    <w:p w14:paraId="4D95B432" w14:textId="77777777" w:rsidR="009529FE" w:rsidRDefault="009529FE" w:rsidP="00D1184C">
      <w:pPr>
        <w:pStyle w:val="NormalWeb"/>
        <w:jc w:val="both"/>
        <w:rPr>
          <w:rFonts w:ascii="Arial" w:hAnsi="Arial" w:cs="Arial"/>
          <w:sz w:val="20"/>
          <w:szCs w:val="20"/>
        </w:rPr>
      </w:pPr>
    </w:p>
    <w:p w14:paraId="32E3C48E" w14:textId="77777777" w:rsidR="009529FE" w:rsidRDefault="009529FE" w:rsidP="00D1184C">
      <w:pPr>
        <w:pStyle w:val="NormalWeb"/>
        <w:jc w:val="both"/>
        <w:rPr>
          <w:rFonts w:ascii="Arial" w:hAnsi="Arial" w:cs="Arial"/>
          <w:sz w:val="20"/>
          <w:szCs w:val="20"/>
        </w:rPr>
      </w:pPr>
    </w:p>
    <w:p w14:paraId="5C9985CF" w14:textId="77777777" w:rsidR="009529FE" w:rsidRDefault="009529FE" w:rsidP="00D1184C">
      <w:pPr>
        <w:pStyle w:val="NormalWeb"/>
        <w:jc w:val="both"/>
        <w:rPr>
          <w:rFonts w:ascii="Arial" w:hAnsi="Arial" w:cs="Arial"/>
          <w:sz w:val="20"/>
          <w:szCs w:val="20"/>
        </w:rPr>
      </w:pPr>
    </w:p>
    <w:p w14:paraId="4836AEBD" w14:textId="77777777" w:rsidR="009529FE" w:rsidRDefault="009529FE" w:rsidP="00D1184C">
      <w:pPr>
        <w:pStyle w:val="NormalWeb"/>
        <w:jc w:val="both"/>
        <w:rPr>
          <w:rFonts w:ascii="Arial" w:hAnsi="Arial" w:cs="Arial"/>
          <w:sz w:val="20"/>
          <w:szCs w:val="20"/>
        </w:rPr>
      </w:pPr>
    </w:p>
    <w:p w14:paraId="78ED7B13" w14:textId="77777777" w:rsidR="009529FE" w:rsidRDefault="009529FE" w:rsidP="00D1184C">
      <w:pPr>
        <w:pStyle w:val="NormalWeb"/>
        <w:jc w:val="both"/>
        <w:rPr>
          <w:rFonts w:ascii="Arial" w:hAnsi="Arial" w:cs="Arial"/>
          <w:sz w:val="20"/>
          <w:szCs w:val="20"/>
        </w:rPr>
      </w:pPr>
    </w:p>
    <w:p w14:paraId="53D1D6A0" w14:textId="77777777" w:rsidR="009529FE" w:rsidRDefault="009529FE" w:rsidP="00D1184C">
      <w:pPr>
        <w:pStyle w:val="NormalWeb"/>
        <w:jc w:val="both"/>
        <w:rPr>
          <w:rFonts w:ascii="Arial" w:hAnsi="Arial" w:cs="Arial"/>
          <w:sz w:val="20"/>
          <w:szCs w:val="20"/>
        </w:rPr>
      </w:pPr>
    </w:p>
    <w:p w14:paraId="55A60B41" w14:textId="77777777" w:rsidR="009529FE" w:rsidRDefault="009529FE" w:rsidP="00D1184C">
      <w:pPr>
        <w:pStyle w:val="NormalWeb"/>
        <w:jc w:val="both"/>
        <w:rPr>
          <w:rFonts w:ascii="Arial" w:hAnsi="Arial" w:cs="Arial"/>
          <w:sz w:val="20"/>
          <w:szCs w:val="20"/>
        </w:rPr>
      </w:pPr>
    </w:p>
    <w:p w14:paraId="55D921B8" w14:textId="77777777" w:rsidR="009529FE" w:rsidRDefault="009529FE" w:rsidP="00D1184C">
      <w:pPr>
        <w:pStyle w:val="NormalWeb"/>
        <w:jc w:val="both"/>
        <w:rPr>
          <w:rFonts w:ascii="Arial" w:hAnsi="Arial" w:cs="Arial"/>
          <w:sz w:val="20"/>
          <w:szCs w:val="20"/>
        </w:rPr>
      </w:pPr>
    </w:p>
    <w:p w14:paraId="4DDE42ED" w14:textId="77777777" w:rsidR="009529FE" w:rsidRDefault="009529FE" w:rsidP="00D1184C">
      <w:pPr>
        <w:pStyle w:val="NormalWeb"/>
        <w:jc w:val="both"/>
        <w:rPr>
          <w:rFonts w:ascii="Arial" w:hAnsi="Arial" w:cs="Arial"/>
          <w:sz w:val="20"/>
          <w:szCs w:val="20"/>
        </w:rPr>
      </w:pPr>
    </w:p>
    <w:p w14:paraId="215C48E8" w14:textId="77777777" w:rsidR="009529FE" w:rsidRDefault="009529FE" w:rsidP="00D1184C">
      <w:pPr>
        <w:pStyle w:val="NormalWeb"/>
        <w:jc w:val="both"/>
        <w:rPr>
          <w:rFonts w:ascii="Arial" w:hAnsi="Arial" w:cs="Arial"/>
          <w:sz w:val="20"/>
          <w:szCs w:val="20"/>
        </w:rPr>
      </w:pPr>
    </w:p>
    <w:p w14:paraId="12B43B62" w14:textId="77777777" w:rsidR="009529FE" w:rsidRDefault="009529FE" w:rsidP="00D1184C">
      <w:pPr>
        <w:pStyle w:val="NormalWeb"/>
        <w:jc w:val="both"/>
        <w:rPr>
          <w:rFonts w:ascii="Arial" w:hAnsi="Arial" w:cs="Arial"/>
          <w:sz w:val="20"/>
          <w:szCs w:val="20"/>
        </w:rPr>
      </w:pPr>
    </w:p>
    <w:p w14:paraId="4A024CB6" w14:textId="77777777" w:rsidR="009529FE" w:rsidRDefault="009529FE" w:rsidP="00D1184C">
      <w:pPr>
        <w:pStyle w:val="NormalWeb"/>
        <w:jc w:val="both"/>
        <w:rPr>
          <w:rFonts w:ascii="Arial" w:hAnsi="Arial" w:cs="Arial"/>
          <w:sz w:val="20"/>
          <w:szCs w:val="20"/>
        </w:rPr>
      </w:pPr>
    </w:p>
    <w:p w14:paraId="70456C4B" w14:textId="77777777" w:rsidR="009529FE" w:rsidRDefault="009529FE" w:rsidP="00D1184C">
      <w:pPr>
        <w:pStyle w:val="NormalWeb"/>
        <w:jc w:val="both"/>
        <w:rPr>
          <w:rFonts w:ascii="Arial" w:hAnsi="Arial" w:cs="Arial"/>
          <w:sz w:val="20"/>
          <w:szCs w:val="20"/>
        </w:rPr>
      </w:pPr>
    </w:p>
    <w:p w14:paraId="048BE14F" w14:textId="77777777" w:rsidR="009529FE" w:rsidRDefault="009529FE" w:rsidP="00D1184C">
      <w:pPr>
        <w:pStyle w:val="NormalWeb"/>
        <w:jc w:val="both"/>
        <w:rPr>
          <w:rFonts w:ascii="Arial" w:hAnsi="Arial" w:cs="Arial"/>
          <w:sz w:val="20"/>
          <w:szCs w:val="20"/>
        </w:rPr>
      </w:pPr>
    </w:p>
    <w:p w14:paraId="4BE64C7A" w14:textId="77777777" w:rsidR="009529FE" w:rsidRDefault="009529FE" w:rsidP="00D1184C">
      <w:pPr>
        <w:pStyle w:val="NormalWeb"/>
        <w:jc w:val="both"/>
        <w:rPr>
          <w:rFonts w:ascii="Arial" w:hAnsi="Arial" w:cs="Arial"/>
          <w:sz w:val="20"/>
          <w:szCs w:val="20"/>
        </w:rPr>
      </w:pPr>
    </w:p>
    <w:p w14:paraId="692D7C1A" w14:textId="77777777" w:rsidR="009529FE" w:rsidRDefault="009529FE" w:rsidP="00D1184C">
      <w:pPr>
        <w:pStyle w:val="NormalWeb"/>
        <w:jc w:val="both"/>
        <w:rPr>
          <w:rFonts w:ascii="Arial" w:hAnsi="Arial" w:cs="Arial"/>
          <w:sz w:val="20"/>
          <w:szCs w:val="20"/>
        </w:rPr>
      </w:pPr>
    </w:p>
    <w:p w14:paraId="1FAE9D4C" w14:textId="77777777" w:rsidR="009529FE" w:rsidRDefault="009529FE" w:rsidP="00D1184C">
      <w:pPr>
        <w:pStyle w:val="NormalWeb"/>
        <w:jc w:val="both"/>
        <w:rPr>
          <w:rFonts w:ascii="Arial" w:hAnsi="Arial" w:cs="Arial"/>
          <w:sz w:val="20"/>
          <w:szCs w:val="20"/>
        </w:rPr>
      </w:pPr>
    </w:p>
    <w:p w14:paraId="76A3B67A" w14:textId="77777777" w:rsidR="009529FE" w:rsidRDefault="009529FE" w:rsidP="00D1184C">
      <w:pPr>
        <w:pStyle w:val="NormalWeb"/>
        <w:jc w:val="both"/>
        <w:rPr>
          <w:rFonts w:ascii="Arial" w:hAnsi="Arial" w:cs="Arial"/>
          <w:sz w:val="20"/>
          <w:szCs w:val="20"/>
        </w:rPr>
      </w:pPr>
    </w:p>
    <w:p w14:paraId="64DCF977" w14:textId="77777777" w:rsidR="009529FE" w:rsidRDefault="009529FE" w:rsidP="00D1184C">
      <w:pPr>
        <w:pStyle w:val="NormalWeb"/>
        <w:jc w:val="both"/>
        <w:rPr>
          <w:rFonts w:ascii="Arial" w:hAnsi="Arial" w:cs="Arial"/>
          <w:sz w:val="20"/>
          <w:szCs w:val="20"/>
        </w:rPr>
      </w:pPr>
    </w:p>
    <w:p w14:paraId="24380D7D" w14:textId="77777777" w:rsidR="009529FE" w:rsidRDefault="009529FE" w:rsidP="00D1184C">
      <w:pPr>
        <w:pStyle w:val="NormalWeb"/>
        <w:jc w:val="both"/>
        <w:rPr>
          <w:rFonts w:ascii="Arial" w:hAnsi="Arial" w:cs="Arial"/>
          <w:sz w:val="20"/>
          <w:szCs w:val="20"/>
        </w:rPr>
      </w:pPr>
    </w:p>
    <w:p w14:paraId="28F58E2F" w14:textId="77777777" w:rsidR="009529FE" w:rsidRDefault="009529FE" w:rsidP="00D1184C">
      <w:pPr>
        <w:pStyle w:val="NormalWeb"/>
        <w:jc w:val="both"/>
        <w:rPr>
          <w:rFonts w:ascii="Arial" w:hAnsi="Arial" w:cs="Arial"/>
          <w:sz w:val="20"/>
          <w:szCs w:val="20"/>
        </w:rPr>
      </w:pPr>
    </w:p>
    <w:p w14:paraId="47F5CAEC" w14:textId="77777777" w:rsidR="009529FE" w:rsidRDefault="009529FE" w:rsidP="00D1184C">
      <w:pPr>
        <w:pStyle w:val="NormalWeb"/>
        <w:jc w:val="both"/>
        <w:rPr>
          <w:rFonts w:ascii="Arial" w:hAnsi="Arial" w:cs="Arial"/>
          <w:sz w:val="20"/>
          <w:szCs w:val="20"/>
        </w:rPr>
      </w:pPr>
    </w:p>
    <w:p w14:paraId="2582524F" w14:textId="6F5C6E06" w:rsidR="00BB7789" w:rsidRPr="00BB7789" w:rsidRDefault="00BB7789" w:rsidP="00D1184C">
      <w:pPr>
        <w:pStyle w:val="NormalWeb"/>
        <w:jc w:val="both"/>
        <w:rPr>
          <w:rFonts w:ascii="Arial" w:hAnsi="Arial" w:cs="Arial"/>
          <w:sz w:val="20"/>
          <w:szCs w:val="20"/>
        </w:rPr>
      </w:pPr>
      <w:r w:rsidRPr="00BB7789">
        <w:rPr>
          <w:rFonts w:ascii="Arial" w:hAnsi="Arial" w:cs="Arial"/>
          <w:sz w:val="20"/>
          <w:szCs w:val="20"/>
        </w:rPr>
        <w:t xml:space="preserve">Knowledge, Attitude, and Practice (KAP) assessment was conducted among experimental (N=30) and control (N=30)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of the nutrition education (NEG) group to determine the respective scores (Table 1).</w:t>
      </w:r>
    </w:p>
    <w:p w14:paraId="139C6436" w14:textId="2A3F754B"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Knowledge</w:t>
      </w:r>
      <w:r w:rsidRPr="00BB7789">
        <w:rPr>
          <w:rFonts w:ascii="Arial" w:hAnsi="Arial" w:cs="Arial"/>
          <w:sz w:val="20"/>
          <w:szCs w:val="20"/>
        </w:rPr>
        <w:t xml:space="preserve"> – Prior to initiating nutrition education, the knowledge scores of experimental and control subjects were 46.33±14.05 and 37.33±2.10, respectively. After six months of nutrition education, scores of experimental subjects significantly increased to 60.9±15.73, reflecting a 31.44% improvement, while control subjects (without nutrition education) achieved a minimal increase to 38.83±2.32 (4.01%). Statistical analysis demonstrated a significant increase in knowledge scores among the experimental group (p≤0.005), whereas changes in the control group were non-significant (p&gt;0.05). These findings indicate that nutrition education effectively enhanced subjects’ knowledge over six months. Furthermore, </w:t>
      </w:r>
      <w:r w:rsidRPr="00BB7789">
        <w:rPr>
          <w:rFonts w:ascii="Arial" w:hAnsi="Arial" w:cs="Arial"/>
          <w:sz w:val="20"/>
          <w:szCs w:val="20"/>
        </w:rPr>
        <w:lastRenderedPageBreak/>
        <w:t>comparisons between experimental and control subgroups showed significant (p≤0.01) difference, post-intervention (</w:t>
      </w:r>
      <w:proofErr w:type="spellStart"/>
      <w:r w:rsidRPr="00BB7789">
        <w:rPr>
          <w:rFonts w:ascii="Arial" w:hAnsi="Arial" w:cs="Arial"/>
          <w:sz w:val="20"/>
          <w:szCs w:val="20"/>
        </w:rPr>
        <w:t>Rajalakshmy</w:t>
      </w:r>
      <w:proofErr w:type="spellEnd"/>
      <w:r w:rsidRPr="00BB7789">
        <w:rPr>
          <w:rFonts w:ascii="Arial" w:hAnsi="Arial" w:cs="Arial"/>
          <w:sz w:val="20"/>
          <w:szCs w:val="20"/>
        </w:rPr>
        <w:t xml:space="preserve"> et al., 2019; </w:t>
      </w:r>
      <w:r w:rsidR="00174E3B">
        <w:rPr>
          <w:rFonts w:ascii="Arial" w:hAnsi="Arial" w:cs="Arial"/>
          <w:sz w:val="20"/>
          <w:szCs w:val="20"/>
        </w:rPr>
        <w:t xml:space="preserve">Jiang K </w:t>
      </w:r>
      <w:r w:rsidRPr="00BB7789">
        <w:rPr>
          <w:rFonts w:ascii="Arial" w:hAnsi="Arial" w:cs="Arial"/>
          <w:sz w:val="20"/>
          <w:szCs w:val="20"/>
        </w:rPr>
        <w:t>et al., 202</w:t>
      </w:r>
      <w:r w:rsidR="00174E3B">
        <w:rPr>
          <w:rFonts w:ascii="Arial" w:hAnsi="Arial" w:cs="Arial"/>
          <w:sz w:val="20"/>
          <w:szCs w:val="20"/>
        </w:rPr>
        <w:t>4</w:t>
      </w:r>
      <w:r w:rsidRPr="00BB7789">
        <w:rPr>
          <w:rFonts w:ascii="Arial" w:hAnsi="Arial" w:cs="Arial"/>
          <w:sz w:val="20"/>
          <w:szCs w:val="20"/>
        </w:rPr>
        <w:t>).</w:t>
      </w:r>
    </w:p>
    <w:p w14:paraId="71BD3857" w14:textId="3E4E436C"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Attitude</w:t>
      </w:r>
      <w:r w:rsidRPr="00BB7789">
        <w:rPr>
          <w:rFonts w:ascii="Arial" w:hAnsi="Arial" w:cs="Arial"/>
          <w:sz w:val="20"/>
          <w:szCs w:val="20"/>
        </w:rPr>
        <w:t xml:space="preserve"> – At baseline, the mean attitude score of the experimental subgroup was 44.5±14.71, compared to 36.83±2.21 for controls. Following six months of nutrition education, the experimental group exhibited a significant increase to 58.2±14.56, corresponding to a 30.76% improvement, whereas the control group showed only a marginal increase of 0.81%. Statistical analysis confirmed a significant improvement in attitude among experimental subjects (p≤0.01), while changes in the control subgroup were non-significant. Post-intervention comparison between the subgroups demonstrated a significant (p≤0.01) difference (</w:t>
      </w:r>
      <w:r w:rsidR="00E3699B">
        <w:rPr>
          <w:rFonts w:ascii="Arial" w:hAnsi="Arial" w:cs="Arial"/>
          <w:sz w:val="20"/>
          <w:szCs w:val="20"/>
        </w:rPr>
        <w:t xml:space="preserve">Suresh N </w:t>
      </w:r>
      <w:r w:rsidRPr="00BB7789">
        <w:rPr>
          <w:rFonts w:ascii="Arial" w:hAnsi="Arial" w:cs="Arial"/>
          <w:sz w:val="20"/>
          <w:szCs w:val="20"/>
        </w:rPr>
        <w:t>et al., 20</w:t>
      </w:r>
      <w:r w:rsidR="00E3699B">
        <w:rPr>
          <w:rFonts w:ascii="Arial" w:hAnsi="Arial" w:cs="Arial"/>
          <w:sz w:val="20"/>
          <w:szCs w:val="20"/>
        </w:rPr>
        <w:t>21</w:t>
      </w:r>
      <w:r w:rsidRPr="00BB7789">
        <w:rPr>
          <w:rFonts w:ascii="Arial" w:hAnsi="Arial" w:cs="Arial"/>
          <w:sz w:val="20"/>
          <w:szCs w:val="20"/>
        </w:rPr>
        <w:t xml:space="preserve">; </w:t>
      </w:r>
      <w:proofErr w:type="spellStart"/>
      <w:r w:rsidR="00416E2E">
        <w:rPr>
          <w:rFonts w:ascii="Arial" w:hAnsi="Arial" w:cs="Arial"/>
          <w:sz w:val="20"/>
          <w:szCs w:val="20"/>
        </w:rPr>
        <w:t>Vasanth</w:t>
      </w:r>
      <w:proofErr w:type="spellEnd"/>
      <w:r w:rsidR="00416E2E">
        <w:rPr>
          <w:rFonts w:ascii="Arial" w:hAnsi="Arial" w:cs="Arial"/>
          <w:sz w:val="20"/>
          <w:szCs w:val="20"/>
        </w:rPr>
        <w:t xml:space="preserve"> M</w:t>
      </w:r>
      <w:r w:rsidRPr="00BB7789">
        <w:rPr>
          <w:rFonts w:ascii="Arial" w:hAnsi="Arial" w:cs="Arial"/>
          <w:sz w:val="20"/>
          <w:szCs w:val="20"/>
        </w:rPr>
        <w:t xml:space="preserve"> et al., 20</w:t>
      </w:r>
      <w:r w:rsidR="00416E2E">
        <w:rPr>
          <w:rFonts w:ascii="Arial" w:hAnsi="Arial" w:cs="Arial"/>
          <w:sz w:val="20"/>
          <w:szCs w:val="20"/>
        </w:rPr>
        <w:t>21</w:t>
      </w:r>
      <w:r w:rsidRPr="00BB7789">
        <w:rPr>
          <w:rFonts w:ascii="Arial" w:hAnsi="Arial" w:cs="Arial"/>
          <w:sz w:val="20"/>
          <w:szCs w:val="20"/>
        </w:rPr>
        <w:t>).</w:t>
      </w:r>
    </w:p>
    <w:p w14:paraId="032761D0" w14:textId="351BA389"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Practice</w:t>
      </w:r>
      <w:r w:rsidRPr="00BB7789">
        <w:rPr>
          <w:rFonts w:ascii="Arial" w:hAnsi="Arial" w:cs="Arial"/>
          <w:sz w:val="20"/>
          <w:szCs w:val="20"/>
        </w:rPr>
        <w:t xml:space="preserve"> – Baseline practice scores of experimental and control subjects were 37.17±13.44 and 35.79±3.18, respectively. After six months, experimental subjects showed a significant increase to 54.6±15.22, reflecting a 46.05% improvement, while control participants showed a slight, non-significant decrease. Differences between experimental and control subgroups were significant (p≤0.01) post-intervention (</w:t>
      </w:r>
      <w:proofErr w:type="spellStart"/>
      <w:r w:rsidR="00E3699B">
        <w:rPr>
          <w:rFonts w:ascii="Arial" w:hAnsi="Arial" w:cs="Arial"/>
          <w:sz w:val="20"/>
          <w:szCs w:val="20"/>
        </w:rPr>
        <w:t>Bhuiyan</w:t>
      </w:r>
      <w:proofErr w:type="spellEnd"/>
      <w:r w:rsidR="00E3699B">
        <w:rPr>
          <w:rFonts w:ascii="Arial" w:hAnsi="Arial" w:cs="Arial"/>
          <w:sz w:val="20"/>
          <w:szCs w:val="20"/>
        </w:rPr>
        <w:t xml:space="preserve"> F R</w:t>
      </w:r>
      <w:r w:rsidRPr="00BB7789">
        <w:rPr>
          <w:rFonts w:ascii="Arial" w:hAnsi="Arial" w:cs="Arial"/>
          <w:sz w:val="20"/>
          <w:szCs w:val="20"/>
        </w:rPr>
        <w:t xml:space="preserve"> et al., 202</w:t>
      </w:r>
      <w:r w:rsidR="00E3699B">
        <w:rPr>
          <w:rFonts w:ascii="Arial" w:hAnsi="Arial" w:cs="Arial"/>
          <w:sz w:val="20"/>
          <w:szCs w:val="20"/>
        </w:rPr>
        <w:t>1</w:t>
      </w:r>
      <w:r w:rsidRPr="00BB7789">
        <w:rPr>
          <w:rFonts w:ascii="Arial" w:hAnsi="Arial" w:cs="Arial"/>
          <w:sz w:val="20"/>
          <w:szCs w:val="20"/>
        </w:rPr>
        <w:t xml:space="preserve">; </w:t>
      </w:r>
      <w:proofErr w:type="spellStart"/>
      <w:r w:rsidR="00FA68E3">
        <w:rPr>
          <w:rFonts w:ascii="Arial" w:hAnsi="Arial" w:cs="Arial"/>
          <w:sz w:val="20"/>
          <w:szCs w:val="20"/>
        </w:rPr>
        <w:t>Davari</w:t>
      </w:r>
      <w:proofErr w:type="spellEnd"/>
      <w:r w:rsidR="00FA68E3">
        <w:rPr>
          <w:rFonts w:ascii="Arial" w:hAnsi="Arial" w:cs="Arial"/>
          <w:sz w:val="20"/>
          <w:szCs w:val="20"/>
        </w:rPr>
        <w:t xml:space="preserve"> M</w:t>
      </w:r>
      <w:r w:rsidRPr="00BB7789">
        <w:rPr>
          <w:rFonts w:ascii="Arial" w:hAnsi="Arial" w:cs="Arial"/>
          <w:sz w:val="20"/>
          <w:szCs w:val="20"/>
        </w:rPr>
        <w:t xml:space="preserve"> et al., 2019).</w:t>
      </w:r>
    </w:p>
    <w:p w14:paraId="7D1D08CC" w14:textId="77777777" w:rsidR="00696217" w:rsidRPr="00BB7789" w:rsidRDefault="00696217" w:rsidP="00BB7789">
      <w:pPr>
        <w:jc w:val="both"/>
        <w:rPr>
          <w:rFonts w:ascii="Arial" w:hAnsi="Arial" w:cs="Arial"/>
          <w:b/>
          <w:bCs/>
        </w:rPr>
      </w:pPr>
    </w:p>
    <w:p w14:paraId="6A3F5D89" w14:textId="77777777" w:rsidR="00BB7789" w:rsidRPr="00BB7789" w:rsidRDefault="00BB7789" w:rsidP="00BB7789">
      <w:pPr>
        <w:spacing w:line="276" w:lineRule="auto"/>
        <w:jc w:val="both"/>
        <w:rPr>
          <w:rFonts w:ascii="Arial" w:hAnsi="Arial" w:cs="Arial"/>
        </w:rPr>
      </w:pPr>
      <w:r w:rsidRPr="00BB7789">
        <w:rPr>
          <w:rFonts w:ascii="Arial" w:hAnsi="Arial" w:cs="Arial"/>
        </w:rPr>
        <w:t xml:space="preserve">The present findings are consistent with the following previous </w:t>
      </w:r>
      <w:proofErr w:type="gramStart"/>
      <w:r w:rsidRPr="00BB7789">
        <w:rPr>
          <w:rFonts w:ascii="Arial" w:hAnsi="Arial" w:cs="Arial"/>
        </w:rPr>
        <w:t>researches which has</w:t>
      </w:r>
      <w:proofErr w:type="gramEnd"/>
      <w:r w:rsidRPr="00BB7789">
        <w:rPr>
          <w:rFonts w:ascii="Arial" w:hAnsi="Arial" w:cs="Arial"/>
        </w:rPr>
        <w:t xml:space="preserve"> demonstrated that conducting Knowledge, Attitude and Practice (KAP) assessments serves as an effective tool for evaluating and enhancing the nutrition </w:t>
      </w:r>
      <w:proofErr w:type="spellStart"/>
      <w:r w:rsidRPr="00BB7789">
        <w:rPr>
          <w:rFonts w:ascii="Arial" w:hAnsi="Arial" w:cs="Arial"/>
        </w:rPr>
        <w:t>behaviours</w:t>
      </w:r>
      <w:proofErr w:type="spellEnd"/>
      <w:r w:rsidRPr="00BB7789">
        <w:rPr>
          <w:rFonts w:ascii="Arial" w:hAnsi="Arial" w:cs="Arial"/>
        </w:rPr>
        <w:t xml:space="preserve">. Several studies have confirmed that such assessment not only helps in identifying the gaps in understanding and convalescing the misconceptions about diet but also </w:t>
      </w:r>
      <w:proofErr w:type="gramStart"/>
      <w:r w:rsidRPr="00BB7789">
        <w:rPr>
          <w:rFonts w:ascii="Arial" w:hAnsi="Arial" w:cs="Arial"/>
        </w:rPr>
        <w:t>guide</w:t>
      </w:r>
      <w:proofErr w:type="gramEnd"/>
      <w:r w:rsidRPr="00BB7789">
        <w:rPr>
          <w:rFonts w:ascii="Arial" w:hAnsi="Arial" w:cs="Arial"/>
        </w:rPr>
        <w:t xml:space="preserve"> the development of targeted nutrition education intervention. By assessing the baseline and post intervention KAP levels, research can effectively measure the impact of educational programs. </w:t>
      </w:r>
    </w:p>
    <w:p w14:paraId="6FFDBE53" w14:textId="77777777" w:rsidR="009529FE" w:rsidRDefault="009529FE" w:rsidP="009529FE">
      <w:pPr>
        <w:ind w:right="-102"/>
        <w:rPr>
          <w:rFonts w:ascii="Times New Roman" w:hAnsi="Times New Roman"/>
          <w:b/>
          <w:bCs/>
          <w:sz w:val="28"/>
          <w:szCs w:val="28"/>
        </w:rPr>
      </w:pPr>
    </w:p>
    <w:p w14:paraId="1BF43A32" w14:textId="587A42C1"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Discussion-</w:t>
      </w:r>
    </w:p>
    <w:p w14:paraId="03695973"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The present study demonstrated that structured nutrition education significantly enhanced the knowledge, attitude, and practice (KAP) scores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in the experimental group, consistent with the findings of multiple previous investigations across diverse populations.</w:t>
      </w:r>
    </w:p>
    <w:p w14:paraId="7B99369D"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A cross-sectional study by </w:t>
      </w:r>
      <w:proofErr w:type="spellStart"/>
      <w:r w:rsidRPr="00BB7789">
        <w:rPr>
          <w:rFonts w:ascii="Arial" w:hAnsi="Arial" w:cs="Arial"/>
          <w:sz w:val="20"/>
          <w:szCs w:val="20"/>
        </w:rPr>
        <w:t>Rasouli</w:t>
      </w:r>
      <w:proofErr w:type="spellEnd"/>
      <w:r w:rsidRPr="00BB7789">
        <w:rPr>
          <w:rFonts w:ascii="Arial" w:hAnsi="Arial" w:cs="Arial"/>
          <w:sz w:val="20"/>
          <w:szCs w:val="20"/>
        </w:rPr>
        <w:t xml:space="preserve"> et al. (2025) examined KAP related to nutrition among bodybuilders in Iran and found a positive correlation between knowledge, attitude, and practice, indicating that higher nutritional knowledge was associated with more </w:t>
      </w:r>
      <w:proofErr w:type="spellStart"/>
      <w:r w:rsidRPr="00BB7789">
        <w:rPr>
          <w:rFonts w:ascii="Arial" w:hAnsi="Arial" w:cs="Arial"/>
          <w:sz w:val="20"/>
          <w:szCs w:val="20"/>
        </w:rPr>
        <w:t>favorable</w:t>
      </w:r>
      <w:proofErr w:type="spellEnd"/>
      <w:r w:rsidRPr="00BB7789">
        <w:rPr>
          <w:rFonts w:ascii="Arial" w:hAnsi="Arial" w:cs="Arial"/>
          <w:sz w:val="20"/>
          <w:szCs w:val="20"/>
        </w:rPr>
        <w:t xml:space="preserve"> attitudes and practices in daily routines. This supports the current findings, where an increase in knowledge following six months of nutrition education corresponded with improvements in both attitude and practice among the experimental subgroup.</w:t>
      </w:r>
    </w:p>
    <w:p w14:paraId="3FD11AD3" w14:textId="1EB14141" w:rsidR="00BB7789" w:rsidRPr="00D9619B" w:rsidRDefault="00BB7789" w:rsidP="00BB7789">
      <w:pPr>
        <w:pStyle w:val="NormalWeb"/>
        <w:jc w:val="both"/>
        <w:rPr>
          <w:rFonts w:ascii="Arial" w:hAnsi="Arial" w:cs="Arial"/>
          <w:sz w:val="22"/>
          <w:szCs w:val="22"/>
        </w:rPr>
      </w:pPr>
      <w:r w:rsidRPr="00BB7789">
        <w:rPr>
          <w:rFonts w:ascii="Arial" w:hAnsi="Arial" w:cs="Arial"/>
          <w:sz w:val="20"/>
          <w:szCs w:val="20"/>
        </w:rPr>
        <w:t xml:space="preserve">Similarly, </w:t>
      </w:r>
      <w:proofErr w:type="spellStart"/>
      <w:r w:rsidR="008F1408">
        <w:rPr>
          <w:rFonts w:ascii="Arial" w:hAnsi="Arial" w:cs="Arial"/>
          <w:sz w:val="20"/>
          <w:szCs w:val="20"/>
        </w:rPr>
        <w:t>Rasouli</w:t>
      </w:r>
      <w:proofErr w:type="spellEnd"/>
      <w:r w:rsidR="008F1408">
        <w:rPr>
          <w:rFonts w:ascii="Arial" w:hAnsi="Arial" w:cs="Arial"/>
          <w:sz w:val="20"/>
          <w:szCs w:val="20"/>
        </w:rPr>
        <w:t xml:space="preserve"> A</w:t>
      </w:r>
      <w:r w:rsidRPr="00BB7789">
        <w:rPr>
          <w:rFonts w:ascii="Arial" w:hAnsi="Arial" w:cs="Arial"/>
          <w:sz w:val="20"/>
          <w:szCs w:val="20"/>
        </w:rPr>
        <w:t xml:space="preserve"> et al. (202</w:t>
      </w:r>
      <w:r w:rsidR="008F1408">
        <w:rPr>
          <w:rFonts w:ascii="Arial" w:hAnsi="Arial" w:cs="Arial"/>
          <w:sz w:val="20"/>
          <w:szCs w:val="20"/>
        </w:rPr>
        <w:t>5</w:t>
      </w:r>
      <w:r w:rsidRPr="00BB7789">
        <w:rPr>
          <w:rFonts w:ascii="Arial" w:hAnsi="Arial" w:cs="Arial"/>
          <w:sz w:val="20"/>
          <w:szCs w:val="20"/>
        </w:rPr>
        <w:t xml:space="preserve">) evaluated the impact of a nutrition education intervention on KAP related to dietary habits </w:t>
      </w:r>
      <w:r w:rsidRPr="00D9619B">
        <w:rPr>
          <w:rFonts w:ascii="Arial" w:hAnsi="Arial" w:cs="Arial"/>
          <w:sz w:val="22"/>
          <w:szCs w:val="22"/>
        </w:rPr>
        <w:t xml:space="preserve">and activity levels in Indian adolescents. Post-intervention results indicated a significant increase in knowledge scores by 28.5% (p≤0.01), while attitude and practice scores improved by 6.3% and 4.4%, respectively. These findings highlight that knowledge acquisition is often more rapid and pronounced compared to attitudinal and </w:t>
      </w:r>
      <w:proofErr w:type="spellStart"/>
      <w:r w:rsidRPr="00D9619B">
        <w:rPr>
          <w:rFonts w:ascii="Arial" w:hAnsi="Arial" w:cs="Arial"/>
          <w:sz w:val="22"/>
          <w:szCs w:val="22"/>
        </w:rPr>
        <w:t>behavioral</w:t>
      </w:r>
      <w:proofErr w:type="spellEnd"/>
      <w:r w:rsidRPr="00D9619B">
        <w:rPr>
          <w:rFonts w:ascii="Arial" w:hAnsi="Arial" w:cs="Arial"/>
          <w:sz w:val="22"/>
          <w:szCs w:val="22"/>
        </w:rPr>
        <w:t xml:space="preserve"> changes, which require sustained engagement, reinforcement, and application. This trend parallels the current study, where knowledge improvement (31.44%) was slightly higher than attitude (30.76%) and practice (46.05%) gains, demonstrating a similar pattern of knowledge-driven </w:t>
      </w:r>
      <w:proofErr w:type="spellStart"/>
      <w:r w:rsidRPr="00D9619B">
        <w:rPr>
          <w:rFonts w:ascii="Arial" w:hAnsi="Arial" w:cs="Arial"/>
          <w:sz w:val="22"/>
          <w:szCs w:val="22"/>
        </w:rPr>
        <w:t>behavior</w:t>
      </w:r>
      <w:proofErr w:type="spellEnd"/>
      <w:r w:rsidRPr="00D9619B">
        <w:rPr>
          <w:rFonts w:ascii="Arial" w:hAnsi="Arial" w:cs="Arial"/>
          <w:sz w:val="22"/>
          <w:szCs w:val="22"/>
        </w:rPr>
        <w:t xml:space="preserve"> modification.</w:t>
      </w:r>
    </w:p>
    <w:p w14:paraId="53FED8CF" w14:textId="3999C5A6" w:rsidR="00BB7789" w:rsidRPr="00D9619B" w:rsidRDefault="0011408A" w:rsidP="00BB7789">
      <w:pPr>
        <w:pStyle w:val="NormalWeb"/>
        <w:jc w:val="both"/>
        <w:rPr>
          <w:rFonts w:ascii="Arial" w:hAnsi="Arial" w:cs="Arial"/>
          <w:sz w:val="22"/>
          <w:szCs w:val="22"/>
        </w:rPr>
      </w:pPr>
      <w:proofErr w:type="spellStart"/>
      <w:r w:rsidRPr="00D9619B">
        <w:rPr>
          <w:rFonts w:ascii="Arial" w:hAnsi="Arial" w:cs="Arial"/>
          <w:sz w:val="22"/>
          <w:szCs w:val="22"/>
        </w:rPr>
        <w:t>Weng</w:t>
      </w:r>
      <w:proofErr w:type="spellEnd"/>
      <w:r w:rsidRPr="00D9619B">
        <w:rPr>
          <w:rFonts w:ascii="Arial" w:hAnsi="Arial" w:cs="Arial"/>
          <w:sz w:val="22"/>
          <w:szCs w:val="22"/>
        </w:rPr>
        <w:t xml:space="preserve"> Y</w:t>
      </w:r>
      <w:r w:rsidR="00BB7789" w:rsidRPr="00D9619B">
        <w:rPr>
          <w:rFonts w:ascii="Arial" w:hAnsi="Arial" w:cs="Arial"/>
          <w:sz w:val="22"/>
          <w:szCs w:val="22"/>
        </w:rPr>
        <w:t xml:space="preserve"> et al. (202</w:t>
      </w:r>
      <w:r w:rsidRPr="00D9619B">
        <w:rPr>
          <w:rFonts w:ascii="Arial" w:hAnsi="Arial" w:cs="Arial"/>
          <w:sz w:val="22"/>
          <w:szCs w:val="22"/>
        </w:rPr>
        <w:t>1</w:t>
      </w:r>
      <w:r w:rsidR="00BB7789" w:rsidRPr="00D9619B">
        <w:rPr>
          <w:rFonts w:ascii="Arial" w:hAnsi="Arial" w:cs="Arial"/>
          <w:sz w:val="22"/>
          <w:szCs w:val="22"/>
        </w:rPr>
        <w:t xml:space="preserve">) investigated community residents’ KAP regarding nutrition </w:t>
      </w:r>
      <w:proofErr w:type="spellStart"/>
      <w:r w:rsidR="00BB7789" w:rsidRPr="00D9619B">
        <w:rPr>
          <w:rFonts w:ascii="Arial" w:hAnsi="Arial" w:cs="Arial"/>
          <w:sz w:val="22"/>
          <w:szCs w:val="22"/>
        </w:rPr>
        <w:t>labeling</w:t>
      </w:r>
      <w:proofErr w:type="spellEnd"/>
      <w:r w:rsidR="00BB7789" w:rsidRPr="00D9619B">
        <w:rPr>
          <w:rFonts w:ascii="Arial" w:hAnsi="Arial" w:cs="Arial"/>
          <w:sz w:val="22"/>
          <w:szCs w:val="22"/>
        </w:rPr>
        <w:t xml:space="preserve"> and applied structural equation </w:t>
      </w:r>
      <w:proofErr w:type="spellStart"/>
      <w:r w:rsidR="00BB7789" w:rsidRPr="00D9619B">
        <w:rPr>
          <w:rFonts w:ascii="Arial" w:hAnsi="Arial" w:cs="Arial"/>
          <w:sz w:val="22"/>
          <w:szCs w:val="22"/>
        </w:rPr>
        <w:t>modeling</w:t>
      </w:r>
      <w:proofErr w:type="spellEnd"/>
      <w:r w:rsidR="00BB7789" w:rsidRPr="00D9619B">
        <w:rPr>
          <w:rFonts w:ascii="Arial" w:hAnsi="Arial" w:cs="Arial"/>
          <w:sz w:val="22"/>
          <w:szCs w:val="22"/>
        </w:rPr>
        <w:t xml:space="preserve"> to </w:t>
      </w:r>
      <w:proofErr w:type="spellStart"/>
      <w:r w:rsidR="00BB7789" w:rsidRPr="00D9619B">
        <w:rPr>
          <w:rFonts w:ascii="Arial" w:hAnsi="Arial" w:cs="Arial"/>
          <w:sz w:val="22"/>
          <w:szCs w:val="22"/>
        </w:rPr>
        <w:t>analyze</w:t>
      </w:r>
      <w:proofErr w:type="spellEnd"/>
      <w:r w:rsidR="00BB7789" w:rsidRPr="00D9619B">
        <w:rPr>
          <w:rFonts w:ascii="Arial" w:hAnsi="Arial" w:cs="Arial"/>
          <w:sz w:val="22"/>
          <w:szCs w:val="22"/>
        </w:rPr>
        <w:t xml:space="preserve"> interactions among these factors. Their study revealed that knowledge directly influenced attitude, which in turn mediated practice </w:t>
      </w:r>
      <w:proofErr w:type="spellStart"/>
      <w:r w:rsidR="00BB7789" w:rsidRPr="00D9619B">
        <w:rPr>
          <w:rFonts w:ascii="Arial" w:hAnsi="Arial" w:cs="Arial"/>
          <w:sz w:val="22"/>
          <w:szCs w:val="22"/>
        </w:rPr>
        <w:t>behaviors</w:t>
      </w:r>
      <w:proofErr w:type="spellEnd"/>
      <w:r w:rsidR="00BB7789" w:rsidRPr="00D9619B">
        <w:rPr>
          <w:rFonts w:ascii="Arial" w:hAnsi="Arial" w:cs="Arial"/>
          <w:sz w:val="22"/>
          <w:szCs w:val="22"/>
        </w:rPr>
        <w:t xml:space="preserve">. This aligns with the present findings, suggesting that the increase in knowledge following nutrition education led to enhanced attitudes and subsequently improved dietary practices among </w:t>
      </w:r>
      <w:proofErr w:type="spellStart"/>
      <w:r w:rsidR="00BB7789" w:rsidRPr="00D9619B">
        <w:rPr>
          <w:rFonts w:ascii="Arial" w:hAnsi="Arial" w:cs="Arial"/>
          <w:sz w:val="22"/>
          <w:szCs w:val="22"/>
        </w:rPr>
        <w:t>dyslipidemic</w:t>
      </w:r>
      <w:proofErr w:type="spellEnd"/>
      <w:r w:rsidR="00BB7789" w:rsidRPr="00D9619B">
        <w:rPr>
          <w:rFonts w:ascii="Arial" w:hAnsi="Arial" w:cs="Arial"/>
          <w:sz w:val="22"/>
          <w:szCs w:val="22"/>
        </w:rPr>
        <w:t xml:space="preserve"> subjects.</w:t>
      </w:r>
    </w:p>
    <w:p w14:paraId="72D053F7" w14:textId="77777777" w:rsidR="00BB7789" w:rsidRPr="00D9619B" w:rsidRDefault="00BB7789" w:rsidP="00BB7789">
      <w:pPr>
        <w:pStyle w:val="NormalWeb"/>
        <w:jc w:val="both"/>
        <w:rPr>
          <w:rFonts w:ascii="Arial" w:hAnsi="Arial" w:cs="Arial"/>
          <w:sz w:val="22"/>
          <w:szCs w:val="22"/>
        </w:rPr>
      </w:pPr>
      <w:r w:rsidRPr="00D9619B">
        <w:rPr>
          <w:rFonts w:ascii="Arial" w:hAnsi="Arial" w:cs="Arial"/>
          <w:sz w:val="22"/>
          <w:szCs w:val="22"/>
        </w:rPr>
        <w:t xml:space="preserve">Furthermore, </w:t>
      </w:r>
      <w:proofErr w:type="spellStart"/>
      <w:r w:rsidRPr="00D9619B">
        <w:rPr>
          <w:rFonts w:ascii="Arial" w:hAnsi="Arial" w:cs="Arial"/>
          <w:sz w:val="22"/>
          <w:szCs w:val="22"/>
        </w:rPr>
        <w:t>Vasanthan</w:t>
      </w:r>
      <w:proofErr w:type="spellEnd"/>
      <w:r w:rsidRPr="00D9619B">
        <w:rPr>
          <w:rFonts w:ascii="Arial" w:hAnsi="Arial" w:cs="Arial"/>
          <w:sz w:val="22"/>
          <w:szCs w:val="22"/>
        </w:rPr>
        <w:t xml:space="preserve"> et al. (2021) assessed the effect of educational sessions on KAP among individuals with diabetes and </w:t>
      </w:r>
      <w:proofErr w:type="spellStart"/>
      <w:r w:rsidRPr="00D9619B">
        <w:rPr>
          <w:rFonts w:ascii="Arial" w:hAnsi="Arial" w:cs="Arial"/>
          <w:sz w:val="22"/>
          <w:szCs w:val="22"/>
        </w:rPr>
        <w:t>dyslipidemia</w:t>
      </w:r>
      <w:proofErr w:type="spellEnd"/>
      <w:r w:rsidRPr="00D9619B">
        <w:rPr>
          <w:rFonts w:ascii="Arial" w:hAnsi="Arial" w:cs="Arial"/>
          <w:sz w:val="22"/>
          <w:szCs w:val="22"/>
        </w:rPr>
        <w:t xml:space="preserve"> in South India. They reported that structured education significantly increased knowledge, attitude, and practice scores, thereby corroborating the current results. This evidence collectively indicates that targeted educational interventions are effective in improving nutritional awareness and promoting positive </w:t>
      </w:r>
      <w:proofErr w:type="spellStart"/>
      <w:r w:rsidRPr="00D9619B">
        <w:rPr>
          <w:rFonts w:ascii="Arial" w:hAnsi="Arial" w:cs="Arial"/>
          <w:sz w:val="22"/>
          <w:szCs w:val="22"/>
        </w:rPr>
        <w:t>behavioral</w:t>
      </w:r>
      <w:proofErr w:type="spellEnd"/>
      <w:r w:rsidRPr="00D9619B">
        <w:rPr>
          <w:rFonts w:ascii="Arial" w:hAnsi="Arial" w:cs="Arial"/>
          <w:sz w:val="22"/>
          <w:szCs w:val="22"/>
        </w:rPr>
        <w:t xml:space="preserve"> changes among individuals with metabolic disorders.</w:t>
      </w:r>
    </w:p>
    <w:p w14:paraId="3D32119C" w14:textId="420A7509" w:rsidR="00BB7789" w:rsidRPr="00D9619B" w:rsidRDefault="00BB7789" w:rsidP="00BB7789">
      <w:pPr>
        <w:pStyle w:val="NormalWeb"/>
        <w:jc w:val="both"/>
        <w:rPr>
          <w:rFonts w:ascii="Arial" w:hAnsi="Arial" w:cs="Arial"/>
          <w:sz w:val="22"/>
          <w:szCs w:val="22"/>
        </w:rPr>
      </w:pPr>
      <w:r w:rsidRPr="00D9619B">
        <w:rPr>
          <w:rFonts w:ascii="Arial" w:hAnsi="Arial" w:cs="Arial"/>
          <w:sz w:val="22"/>
          <w:szCs w:val="22"/>
        </w:rPr>
        <w:lastRenderedPageBreak/>
        <w:t xml:space="preserve">Additional supporting literature further reinforces the importance of nutrition education in diverse populations. </w:t>
      </w:r>
      <w:r w:rsidR="0011408A" w:rsidRPr="00D9619B">
        <w:rPr>
          <w:rFonts w:ascii="Arial" w:hAnsi="Arial" w:cs="Arial"/>
          <w:sz w:val="22"/>
          <w:szCs w:val="22"/>
        </w:rPr>
        <w:t>Qi L</w:t>
      </w:r>
      <w:r w:rsidRPr="00D9619B">
        <w:rPr>
          <w:rFonts w:ascii="Arial" w:hAnsi="Arial" w:cs="Arial"/>
          <w:sz w:val="22"/>
          <w:szCs w:val="22"/>
        </w:rPr>
        <w:t>et al. (201</w:t>
      </w:r>
      <w:r w:rsidR="0011408A" w:rsidRPr="00D9619B">
        <w:rPr>
          <w:rFonts w:ascii="Arial" w:hAnsi="Arial" w:cs="Arial"/>
          <w:sz w:val="22"/>
          <w:szCs w:val="22"/>
        </w:rPr>
        <w:t>5</w:t>
      </w:r>
      <w:r w:rsidRPr="00D9619B">
        <w:rPr>
          <w:rFonts w:ascii="Arial" w:hAnsi="Arial" w:cs="Arial"/>
          <w:sz w:val="22"/>
          <w:szCs w:val="22"/>
        </w:rPr>
        <w:t xml:space="preserve">) found that healthcare professionals with moderate to adequate nutritional knowledge exhibited positive attitudes and practices, emphasizing the role of knowledge in shaping </w:t>
      </w:r>
      <w:proofErr w:type="spellStart"/>
      <w:r w:rsidRPr="00D9619B">
        <w:rPr>
          <w:rFonts w:ascii="Arial" w:hAnsi="Arial" w:cs="Arial"/>
          <w:sz w:val="22"/>
          <w:szCs w:val="22"/>
        </w:rPr>
        <w:t>behavior</w:t>
      </w:r>
      <w:proofErr w:type="spellEnd"/>
      <w:r w:rsidRPr="00D9619B">
        <w:rPr>
          <w:rFonts w:ascii="Arial" w:hAnsi="Arial" w:cs="Arial"/>
          <w:sz w:val="22"/>
          <w:szCs w:val="22"/>
        </w:rPr>
        <w:t xml:space="preserve">. </w:t>
      </w:r>
      <w:proofErr w:type="spellStart"/>
      <w:r w:rsidR="0011408A" w:rsidRPr="00D9619B">
        <w:rPr>
          <w:rFonts w:ascii="Arial" w:hAnsi="Arial" w:cs="Arial"/>
          <w:sz w:val="22"/>
          <w:szCs w:val="22"/>
        </w:rPr>
        <w:t>Weng</w:t>
      </w:r>
      <w:proofErr w:type="spellEnd"/>
      <w:r w:rsidR="0011408A" w:rsidRPr="00D9619B">
        <w:rPr>
          <w:rFonts w:ascii="Arial" w:hAnsi="Arial" w:cs="Arial"/>
          <w:sz w:val="22"/>
          <w:szCs w:val="22"/>
        </w:rPr>
        <w:t xml:space="preserve"> Y</w:t>
      </w:r>
      <w:r w:rsidRPr="00D9619B">
        <w:rPr>
          <w:rFonts w:ascii="Arial" w:hAnsi="Arial" w:cs="Arial"/>
          <w:sz w:val="22"/>
          <w:szCs w:val="22"/>
        </w:rPr>
        <w:t xml:space="preserve"> et al. (202</w:t>
      </w:r>
      <w:r w:rsidR="0011408A" w:rsidRPr="00D9619B">
        <w:rPr>
          <w:rFonts w:ascii="Arial" w:hAnsi="Arial" w:cs="Arial"/>
          <w:sz w:val="22"/>
          <w:szCs w:val="22"/>
        </w:rPr>
        <w:t>1</w:t>
      </w:r>
      <w:r w:rsidRPr="00D9619B">
        <w:rPr>
          <w:rFonts w:ascii="Arial" w:hAnsi="Arial" w:cs="Arial"/>
          <w:sz w:val="22"/>
          <w:szCs w:val="22"/>
        </w:rPr>
        <w:t xml:space="preserve">) confirmed the interrelationship among KAP components using structural equation </w:t>
      </w:r>
      <w:proofErr w:type="spellStart"/>
      <w:r w:rsidRPr="00D9619B">
        <w:rPr>
          <w:rFonts w:ascii="Arial" w:hAnsi="Arial" w:cs="Arial"/>
          <w:sz w:val="22"/>
          <w:szCs w:val="22"/>
        </w:rPr>
        <w:t>modeling</w:t>
      </w:r>
      <w:proofErr w:type="spellEnd"/>
      <w:r w:rsidRPr="00D9619B">
        <w:rPr>
          <w:rFonts w:ascii="Arial" w:hAnsi="Arial" w:cs="Arial"/>
          <w:sz w:val="22"/>
          <w:szCs w:val="22"/>
        </w:rPr>
        <w:t xml:space="preserve">, highlighting that improved knowledge is fundamental to achieving desirable attitudes and practices. </w:t>
      </w:r>
      <w:proofErr w:type="spellStart"/>
      <w:r w:rsidR="0011408A" w:rsidRPr="00D9619B">
        <w:rPr>
          <w:rFonts w:ascii="Arial" w:hAnsi="Arial" w:cs="Arial"/>
          <w:sz w:val="22"/>
          <w:szCs w:val="22"/>
        </w:rPr>
        <w:t>Rabiee</w:t>
      </w:r>
      <w:proofErr w:type="spellEnd"/>
      <w:r w:rsidR="0011408A" w:rsidRPr="00D9619B">
        <w:rPr>
          <w:rFonts w:ascii="Arial" w:hAnsi="Arial" w:cs="Arial"/>
          <w:sz w:val="22"/>
          <w:szCs w:val="22"/>
        </w:rPr>
        <w:t xml:space="preserve"> Rad</w:t>
      </w:r>
      <w:r w:rsidRPr="00D9619B">
        <w:rPr>
          <w:rFonts w:ascii="Arial" w:hAnsi="Arial" w:cs="Arial"/>
          <w:sz w:val="22"/>
          <w:szCs w:val="22"/>
        </w:rPr>
        <w:t xml:space="preserve"> et al. (20</w:t>
      </w:r>
      <w:r w:rsidR="0011408A" w:rsidRPr="00D9619B">
        <w:rPr>
          <w:rFonts w:ascii="Arial" w:hAnsi="Arial" w:cs="Arial"/>
          <w:sz w:val="22"/>
          <w:szCs w:val="22"/>
        </w:rPr>
        <w:t>24</w:t>
      </w:r>
      <w:r w:rsidRPr="00D9619B">
        <w:rPr>
          <w:rFonts w:ascii="Arial" w:hAnsi="Arial" w:cs="Arial"/>
          <w:sz w:val="22"/>
          <w:szCs w:val="22"/>
        </w:rPr>
        <w:t xml:space="preserve">) demonstrated that health education in type 2 diabetes patients significantly enhanced KAP scores and </w:t>
      </w:r>
      <w:proofErr w:type="spellStart"/>
      <w:r w:rsidRPr="00D9619B">
        <w:rPr>
          <w:rFonts w:ascii="Arial" w:hAnsi="Arial" w:cs="Arial"/>
          <w:sz w:val="22"/>
          <w:szCs w:val="22"/>
        </w:rPr>
        <w:t>glycemic</w:t>
      </w:r>
      <w:proofErr w:type="spellEnd"/>
      <w:r w:rsidRPr="00D9619B">
        <w:rPr>
          <w:rFonts w:ascii="Arial" w:hAnsi="Arial" w:cs="Arial"/>
          <w:sz w:val="22"/>
          <w:szCs w:val="22"/>
        </w:rPr>
        <w:t xml:space="preserve"> control, indicating clinical relevance of education-based interventions. </w:t>
      </w:r>
      <w:proofErr w:type="spellStart"/>
      <w:r w:rsidRPr="00D9619B">
        <w:rPr>
          <w:rFonts w:ascii="Arial" w:hAnsi="Arial" w:cs="Arial"/>
          <w:sz w:val="22"/>
          <w:szCs w:val="22"/>
        </w:rPr>
        <w:t>W</w:t>
      </w:r>
      <w:r w:rsidR="00174E3B" w:rsidRPr="00D9619B">
        <w:rPr>
          <w:rFonts w:ascii="Arial" w:hAnsi="Arial" w:cs="Arial"/>
          <w:sz w:val="22"/>
          <w:szCs w:val="22"/>
        </w:rPr>
        <w:t>eng</w:t>
      </w:r>
      <w:proofErr w:type="spellEnd"/>
      <w:r w:rsidR="001863E0" w:rsidRPr="00D9619B">
        <w:rPr>
          <w:rFonts w:ascii="Arial" w:hAnsi="Arial" w:cs="Arial"/>
          <w:sz w:val="22"/>
          <w:szCs w:val="22"/>
        </w:rPr>
        <w:t xml:space="preserve"> Y</w:t>
      </w:r>
      <w:r w:rsidRPr="00D9619B">
        <w:rPr>
          <w:rFonts w:ascii="Arial" w:hAnsi="Arial" w:cs="Arial"/>
          <w:sz w:val="22"/>
          <w:szCs w:val="22"/>
        </w:rPr>
        <w:t xml:space="preserve"> et al. (20</w:t>
      </w:r>
      <w:r w:rsidR="001863E0" w:rsidRPr="00D9619B">
        <w:rPr>
          <w:rFonts w:ascii="Arial" w:hAnsi="Arial" w:cs="Arial"/>
          <w:sz w:val="22"/>
          <w:szCs w:val="22"/>
        </w:rPr>
        <w:t>21</w:t>
      </w:r>
      <w:r w:rsidRPr="00D9619B">
        <w:rPr>
          <w:rFonts w:ascii="Arial" w:hAnsi="Arial" w:cs="Arial"/>
          <w:sz w:val="22"/>
          <w:szCs w:val="22"/>
        </w:rPr>
        <w:t xml:space="preserve">) and </w:t>
      </w:r>
      <w:proofErr w:type="spellStart"/>
      <w:r w:rsidR="001863E0" w:rsidRPr="00D9619B">
        <w:rPr>
          <w:rFonts w:ascii="Arial" w:hAnsi="Arial" w:cs="Arial"/>
          <w:sz w:val="22"/>
          <w:szCs w:val="22"/>
        </w:rPr>
        <w:t>Vasanth</w:t>
      </w:r>
      <w:proofErr w:type="spellEnd"/>
      <w:r w:rsidR="001863E0" w:rsidRPr="00D9619B">
        <w:rPr>
          <w:rFonts w:ascii="Arial" w:hAnsi="Arial" w:cs="Arial"/>
          <w:sz w:val="22"/>
          <w:szCs w:val="22"/>
        </w:rPr>
        <w:t xml:space="preserve"> M</w:t>
      </w:r>
      <w:r w:rsidRPr="00D9619B">
        <w:rPr>
          <w:rFonts w:ascii="Arial" w:hAnsi="Arial" w:cs="Arial"/>
          <w:sz w:val="22"/>
          <w:szCs w:val="22"/>
        </w:rPr>
        <w:t xml:space="preserve"> et al. (202</w:t>
      </w:r>
      <w:r w:rsidR="001863E0" w:rsidRPr="00D9619B">
        <w:rPr>
          <w:rFonts w:ascii="Arial" w:hAnsi="Arial" w:cs="Arial"/>
          <w:sz w:val="22"/>
          <w:szCs w:val="22"/>
        </w:rPr>
        <w:t>1</w:t>
      </w:r>
      <w:r w:rsidRPr="00D9619B">
        <w:rPr>
          <w:rFonts w:ascii="Arial" w:hAnsi="Arial" w:cs="Arial"/>
          <w:sz w:val="22"/>
          <w:szCs w:val="22"/>
        </w:rPr>
        <w:t>) showed that school-aged children and adolescents often possess moderate knowledge but poor practices regarding nutrition, underscoring the necessity of structured educational programs to bridge this gap.</w:t>
      </w:r>
    </w:p>
    <w:p w14:paraId="48691808" w14:textId="77777777" w:rsidR="00E042C8" w:rsidRPr="00BB7789" w:rsidRDefault="00E042C8" w:rsidP="00E042C8">
      <w:pPr>
        <w:pStyle w:val="NormalWeb"/>
        <w:jc w:val="both"/>
        <w:rPr>
          <w:rFonts w:ascii="Arial" w:hAnsi="Arial" w:cs="Arial"/>
          <w:sz w:val="20"/>
          <w:szCs w:val="20"/>
        </w:rPr>
      </w:pPr>
      <w:r w:rsidRPr="00BB7789">
        <w:rPr>
          <w:rFonts w:ascii="Arial" w:hAnsi="Arial" w:cs="Arial"/>
          <w:sz w:val="20"/>
          <w:szCs w:val="20"/>
        </w:rPr>
        <w:t xml:space="preserve">Overall, the KAP assessment revealed that structured nutrition education significantly enhanced the knowledge, attitude, and practice of experimental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compared to controls. After six months, the experimental subgroup showed notable increases in knowledge (31.44%), attitude (30.76%), and practice (46.05%), all statistically significant (p≤0.01 or p≤0.05), whereas the control group exhibited non-significant changes. These results corroborate previous findings indicating that KAP assessments are effective tools for identifying gaps in nutritional understanding, correcting misconceptions, and evaluating the impact of targeted educational interventions (</w:t>
      </w:r>
      <w:proofErr w:type="spellStart"/>
      <w:r w:rsidRPr="00BB7789">
        <w:rPr>
          <w:rFonts w:ascii="Arial" w:hAnsi="Arial" w:cs="Arial"/>
          <w:sz w:val="20"/>
          <w:szCs w:val="20"/>
        </w:rPr>
        <w:t>Rajalakshmy</w:t>
      </w:r>
      <w:proofErr w:type="spellEnd"/>
      <w:r w:rsidRPr="00BB7789">
        <w:rPr>
          <w:rFonts w:ascii="Arial" w:hAnsi="Arial" w:cs="Arial"/>
          <w:sz w:val="20"/>
          <w:szCs w:val="20"/>
        </w:rPr>
        <w:t xml:space="preserve"> et al., 2019; </w:t>
      </w:r>
      <w:proofErr w:type="spellStart"/>
      <w:r>
        <w:rPr>
          <w:rFonts w:ascii="Arial" w:hAnsi="Arial" w:cs="Arial"/>
          <w:sz w:val="20"/>
          <w:szCs w:val="20"/>
        </w:rPr>
        <w:t>Moitra</w:t>
      </w:r>
      <w:proofErr w:type="spellEnd"/>
      <w:r>
        <w:rPr>
          <w:rFonts w:ascii="Arial" w:hAnsi="Arial" w:cs="Arial"/>
          <w:sz w:val="20"/>
          <w:szCs w:val="20"/>
        </w:rPr>
        <w:t xml:space="preserve"> P</w:t>
      </w:r>
      <w:r w:rsidRPr="00BB7789">
        <w:rPr>
          <w:rFonts w:ascii="Arial" w:hAnsi="Arial" w:cs="Arial"/>
          <w:sz w:val="20"/>
          <w:szCs w:val="20"/>
        </w:rPr>
        <w:t xml:space="preserve"> et al., 202</w:t>
      </w:r>
      <w:r>
        <w:rPr>
          <w:rFonts w:ascii="Arial" w:hAnsi="Arial" w:cs="Arial"/>
          <w:sz w:val="20"/>
          <w:szCs w:val="20"/>
        </w:rPr>
        <w:t>1</w:t>
      </w:r>
      <w:r w:rsidRPr="00BB7789">
        <w:rPr>
          <w:rFonts w:ascii="Arial" w:hAnsi="Arial" w:cs="Arial"/>
          <w:sz w:val="20"/>
          <w:szCs w:val="20"/>
        </w:rPr>
        <w:t xml:space="preserve">; </w:t>
      </w:r>
      <w:r>
        <w:rPr>
          <w:rFonts w:ascii="Arial" w:hAnsi="Arial" w:cs="Arial"/>
          <w:sz w:val="20"/>
          <w:szCs w:val="20"/>
        </w:rPr>
        <w:t>Mach F</w:t>
      </w:r>
      <w:r w:rsidRPr="00BB7789">
        <w:rPr>
          <w:rFonts w:ascii="Arial" w:hAnsi="Arial" w:cs="Arial"/>
          <w:sz w:val="20"/>
          <w:szCs w:val="20"/>
        </w:rPr>
        <w:t xml:space="preserve"> et al., 2019; </w:t>
      </w:r>
      <w:proofErr w:type="spellStart"/>
      <w:r>
        <w:rPr>
          <w:rFonts w:ascii="Arial" w:hAnsi="Arial" w:cs="Arial"/>
          <w:sz w:val="20"/>
          <w:szCs w:val="20"/>
        </w:rPr>
        <w:t>Misra</w:t>
      </w:r>
      <w:proofErr w:type="spellEnd"/>
      <w:r>
        <w:rPr>
          <w:rFonts w:ascii="Arial" w:hAnsi="Arial" w:cs="Arial"/>
          <w:sz w:val="20"/>
          <w:szCs w:val="20"/>
        </w:rPr>
        <w:t xml:space="preserve"> S</w:t>
      </w:r>
      <w:r w:rsidRPr="00BB7789">
        <w:rPr>
          <w:rFonts w:ascii="Arial" w:hAnsi="Arial" w:cs="Arial"/>
          <w:sz w:val="20"/>
          <w:szCs w:val="20"/>
        </w:rPr>
        <w:t xml:space="preserve"> et al., 2</w:t>
      </w:r>
      <w:r>
        <w:rPr>
          <w:rFonts w:ascii="Arial" w:hAnsi="Arial" w:cs="Arial"/>
          <w:sz w:val="20"/>
          <w:szCs w:val="20"/>
        </w:rPr>
        <w:t>022</w:t>
      </w:r>
      <w:r w:rsidRPr="00BB7789">
        <w:rPr>
          <w:rFonts w:ascii="Arial" w:hAnsi="Arial" w:cs="Arial"/>
          <w:sz w:val="20"/>
          <w:szCs w:val="20"/>
        </w:rPr>
        <w:t xml:space="preserve">; </w:t>
      </w:r>
      <w:proofErr w:type="spellStart"/>
      <w:r>
        <w:rPr>
          <w:rFonts w:ascii="Arial" w:hAnsi="Arial" w:cs="Arial"/>
          <w:sz w:val="20"/>
          <w:szCs w:val="20"/>
        </w:rPr>
        <w:t>Porada</w:t>
      </w:r>
      <w:proofErr w:type="spellEnd"/>
      <w:r w:rsidRPr="00BB7789">
        <w:rPr>
          <w:rFonts w:ascii="Arial" w:hAnsi="Arial" w:cs="Arial"/>
          <w:sz w:val="20"/>
          <w:szCs w:val="20"/>
        </w:rPr>
        <w:t xml:space="preserve"> et al., 202</w:t>
      </w:r>
      <w:r>
        <w:rPr>
          <w:rFonts w:ascii="Arial" w:hAnsi="Arial" w:cs="Arial"/>
          <w:sz w:val="20"/>
          <w:szCs w:val="20"/>
        </w:rPr>
        <w:t>5</w:t>
      </w:r>
      <w:r w:rsidRPr="00BB7789">
        <w:rPr>
          <w:rFonts w:ascii="Arial" w:hAnsi="Arial" w:cs="Arial"/>
          <w:sz w:val="20"/>
          <w:szCs w:val="20"/>
        </w:rPr>
        <w:t>).</w:t>
      </w:r>
    </w:p>
    <w:p w14:paraId="29E32DB1" w14:textId="77777777" w:rsidR="00790ADA" w:rsidRPr="00BB7789" w:rsidRDefault="00790ADA" w:rsidP="00441B6F">
      <w:pPr>
        <w:pStyle w:val="Head1"/>
        <w:spacing w:after="0"/>
        <w:jc w:val="both"/>
        <w:rPr>
          <w:rFonts w:ascii="Arial" w:hAnsi="Arial" w:cs="Arial"/>
          <w:sz w:val="20"/>
        </w:rPr>
      </w:pPr>
    </w:p>
    <w:p w14:paraId="19196B21" w14:textId="7F2F9B17" w:rsidR="00C93B3D" w:rsidRDefault="00BB7789" w:rsidP="00C93B3D">
      <w:pPr>
        <w:pStyle w:val="NormalWeb"/>
        <w:numPr>
          <w:ilvl w:val="0"/>
          <w:numId w:val="36"/>
        </w:numPr>
        <w:jc w:val="both"/>
        <w:rPr>
          <w:rFonts w:ascii="Arial" w:hAnsi="Arial" w:cs="Arial"/>
          <w:sz w:val="20"/>
          <w:szCs w:val="20"/>
        </w:rPr>
      </w:pPr>
      <w:r w:rsidRPr="00BB7789">
        <w:rPr>
          <w:rStyle w:val="Strong"/>
          <w:rFonts w:ascii="Arial" w:eastAsiaTheme="majorEastAsia" w:hAnsi="Arial" w:cs="Arial"/>
          <w:sz w:val="20"/>
          <w:szCs w:val="20"/>
        </w:rPr>
        <w:t>Conclusion</w:t>
      </w:r>
    </w:p>
    <w:p w14:paraId="6F39BE9E" w14:textId="4BF1DF89" w:rsidR="00E042C8" w:rsidRPr="00BB7789" w:rsidRDefault="00E042C8" w:rsidP="00C93B3D">
      <w:pPr>
        <w:pStyle w:val="NormalWeb"/>
        <w:jc w:val="both"/>
        <w:rPr>
          <w:rFonts w:ascii="Arial" w:hAnsi="Arial" w:cs="Arial"/>
          <w:sz w:val="20"/>
          <w:szCs w:val="20"/>
        </w:rPr>
      </w:pPr>
      <w:r w:rsidRPr="00BB7789">
        <w:rPr>
          <w:rFonts w:ascii="Arial" w:hAnsi="Arial" w:cs="Arial"/>
          <w:sz w:val="20"/>
          <w:szCs w:val="20"/>
        </w:rPr>
        <w:t xml:space="preserve">Overall, the present findings, in conjunction with prior research, </w:t>
      </w:r>
      <w:r w:rsidR="00C93B3D">
        <w:rPr>
          <w:rFonts w:ascii="Arial" w:hAnsi="Arial" w:cs="Arial"/>
          <w:sz w:val="20"/>
          <w:szCs w:val="20"/>
        </w:rPr>
        <w:t xml:space="preserve">scientifically </w:t>
      </w:r>
      <w:r w:rsidRPr="00BB7789">
        <w:rPr>
          <w:rFonts w:ascii="Arial" w:hAnsi="Arial" w:cs="Arial"/>
          <w:sz w:val="20"/>
          <w:szCs w:val="20"/>
        </w:rPr>
        <w:t xml:space="preserve">support the premise that structured nutrition education is an effective tool for enhancing knowledge, shaping positive attitudes, and promoting healthy practices among various populations, including individuals with chronic metabolic disorders. These results </w:t>
      </w:r>
      <w:r w:rsidR="00C93B3D">
        <w:rPr>
          <w:rFonts w:ascii="Arial" w:hAnsi="Arial" w:cs="Arial"/>
          <w:sz w:val="20"/>
          <w:szCs w:val="20"/>
        </w:rPr>
        <w:t xml:space="preserve">significantly </w:t>
      </w:r>
      <w:r w:rsidRPr="00BB7789">
        <w:rPr>
          <w:rFonts w:ascii="Arial" w:hAnsi="Arial" w:cs="Arial"/>
          <w:sz w:val="20"/>
          <w:szCs w:val="20"/>
        </w:rPr>
        <w:t>underscore the importance of integrating regular and targeted educational interventions as part of preventive and therapeutic strategies to improve nutritional behaviours and associated health outcomes.</w:t>
      </w:r>
    </w:p>
    <w:p w14:paraId="15D9660B" w14:textId="77777777" w:rsidR="00BB7789" w:rsidRPr="00BB7789" w:rsidRDefault="00BB7789" w:rsidP="00BB7789">
      <w:pPr>
        <w:spacing w:line="276" w:lineRule="auto"/>
        <w:jc w:val="both"/>
        <w:rPr>
          <w:rFonts w:ascii="Arial" w:hAnsi="Arial" w:cs="Arial"/>
          <w:color w:val="000000"/>
        </w:rPr>
      </w:pPr>
    </w:p>
    <w:p w14:paraId="502C8092" w14:textId="080E3409" w:rsidR="00BB7789" w:rsidRPr="00BB7789" w:rsidRDefault="00BB7789" w:rsidP="00BB7789">
      <w:pPr>
        <w:spacing w:line="276" w:lineRule="auto"/>
        <w:jc w:val="both"/>
        <w:rPr>
          <w:rFonts w:ascii="Arial" w:hAnsi="Arial" w:cs="Arial"/>
          <w:b/>
          <w:bCs/>
          <w:color w:val="000000"/>
        </w:rPr>
      </w:pPr>
      <w:r w:rsidRPr="00BB7789">
        <w:rPr>
          <w:rFonts w:ascii="Arial" w:hAnsi="Arial" w:cs="Arial"/>
          <w:b/>
          <w:bCs/>
          <w:color w:val="000000"/>
        </w:rPr>
        <w:t>CONSENT</w:t>
      </w:r>
    </w:p>
    <w:p w14:paraId="564D534E" w14:textId="77777777" w:rsidR="00BB7789" w:rsidRDefault="00BB7789" w:rsidP="00BB7789">
      <w:pPr>
        <w:spacing w:line="276" w:lineRule="auto"/>
        <w:jc w:val="both"/>
        <w:rPr>
          <w:rFonts w:ascii="Arial" w:hAnsi="Arial" w:cs="Arial"/>
          <w:color w:val="000000"/>
        </w:rPr>
      </w:pPr>
      <w:r w:rsidRPr="00BB7789">
        <w:rPr>
          <w:rFonts w:ascii="Arial" w:hAnsi="Arial" w:cs="Arial"/>
          <w:color w:val="000000"/>
        </w:rPr>
        <w:t xml:space="preserve">Informed consent was obtained from all the research participants explaining about nature and detail of study.  </w:t>
      </w:r>
    </w:p>
    <w:p w14:paraId="72537DCE" w14:textId="77777777" w:rsidR="00AD5BF1" w:rsidRDefault="00AD5BF1" w:rsidP="00BB7789">
      <w:pPr>
        <w:spacing w:line="276" w:lineRule="auto"/>
        <w:jc w:val="both"/>
        <w:rPr>
          <w:rFonts w:ascii="Arial" w:hAnsi="Arial" w:cs="Arial"/>
          <w:color w:val="000000"/>
        </w:rPr>
      </w:pPr>
    </w:p>
    <w:p w14:paraId="70AA604D" w14:textId="165E58BC" w:rsidR="00AD5BF1" w:rsidRPr="00AD5BF1" w:rsidRDefault="00AD5BF1" w:rsidP="00AD5BF1">
      <w:pPr>
        <w:spacing w:line="276" w:lineRule="auto"/>
        <w:jc w:val="both"/>
        <w:rPr>
          <w:rFonts w:ascii="Arial" w:hAnsi="Arial" w:cs="Arial"/>
          <w:color w:val="000000"/>
        </w:rPr>
      </w:pPr>
      <w:r w:rsidRPr="00AD5BF1">
        <w:rPr>
          <w:rFonts w:ascii="Arial" w:hAnsi="Arial" w:cs="Arial"/>
          <w:color w:val="000000"/>
        </w:rPr>
        <w:t xml:space="preserve">Ethical </w:t>
      </w:r>
      <w:r w:rsidR="007C666F">
        <w:rPr>
          <w:rFonts w:ascii="Arial" w:hAnsi="Arial" w:cs="Arial"/>
          <w:color w:val="000000"/>
        </w:rPr>
        <w:t>Approval</w:t>
      </w:r>
      <w:bookmarkStart w:id="1" w:name="_GoBack"/>
      <w:bookmarkEnd w:id="1"/>
    </w:p>
    <w:p w14:paraId="5A8598C3" w14:textId="533D50D9" w:rsidR="00AD5BF1" w:rsidRPr="00BB7789" w:rsidRDefault="00AD5BF1" w:rsidP="00AD5BF1">
      <w:pPr>
        <w:spacing w:line="276" w:lineRule="auto"/>
        <w:jc w:val="both"/>
        <w:rPr>
          <w:rFonts w:ascii="Arial" w:hAnsi="Arial" w:cs="Arial"/>
          <w:color w:val="000000"/>
        </w:rPr>
      </w:pPr>
      <w:r w:rsidRPr="00AD5BF1">
        <w:rPr>
          <w:rFonts w:ascii="Arial" w:hAnsi="Arial" w:cs="Arial"/>
          <w:color w:val="000000"/>
        </w:rPr>
        <w:t>The study was approved by the Clinical Trial Register of India.  Written informed consent was obtained from all participants. Confidentiality of participant data was maintained throughout the study.</w:t>
      </w:r>
    </w:p>
    <w:p w14:paraId="6F81B13F" w14:textId="77777777" w:rsidR="00BB7789" w:rsidRPr="00BB7789" w:rsidRDefault="00BB7789" w:rsidP="00BB7789">
      <w:pPr>
        <w:spacing w:line="276" w:lineRule="auto"/>
        <w:jc w:val="both"/>
        <w:rPr>
          <w:rFonts w:ascii="Arial" w:hAnsi="Arial" w:cs="Arial"/>
          <w:color w:val="000000"/>
        </w:rPr>
      </w:pPr>
    </w:p>
    <w:p w14:paraId="5D79BCE4" w14:textId="77777777" w:rsidR="00BB7789" w:rsidRPr="00BB7789" w:rsidRDefault="00BB7789" w:rsidP="00BB7789">
      <w:pPr>
        <w:spacing w:line="276" w:lineRule="auto"/>
        <w:jc w:val="both"/>
        <w:rPr>
          <w:rFonts w:ascii="Arial" w:hAnsi="Arial" w:cs="Arial"/>
          <w:b/>
          <w:bCs/>
          <w:color w:val="000000"/>
        </w:rPr>
      </w:pPr>
      <w:r w:rsidRPr="00BB7789">
        <w:rPr>
          <w:rFonts w:ascii="Arial" w:hAnsi="Arial" w:cs="Arial"/>
          <w:b/>
          <w:bCs/>
          <w:color w:val="000000"/>
        </w:rPr>
        <w:t>DATA AVAILABILITY</w:t>
      </w:r>
    </w:p>
    <w:p w14:paraId="22504C2C" w14:textId="77777777" w:rsidR="00BB7789" w:rsidRPr="00BB7789" w:rsidRDefault="00BB7789" w:rsidP="00BB7789">
      <w:pPr>
        <w:spacing w:line="360" w:lineRule="auto"/>
        <w:ind w:right="-106"/>
        <w:jc w:val="both"/>
        <w:rPr>
          <w:rFonts w:ascii="Arial" w:hAnsi="Arial" w:cs="Arial"/>
          <w:color w:val="000000"/>
        </w:rPr>
      </w:pPr>
      <w:r w:rsidRPr="00BB7789">
        <w:rPr>
          <w:rFonts w:ascii="Arial" w:hAnsi="Arial" w:cs="Arial"/>
          <w:color w:val="000000"/>
        </w:rPr>
        <w:t xml:space="preserve">The dataset </w:t>
      </w:r>
      <w:proofErr w:type="spellStart"/>
      <w:r w:rsidRPr="00BB7789">
        <w:rPr>
          <w:rFonts w:ascii="Arial" w:hAnsi="Arial" w:cs="Arial"/>
          <w:color w:val="000000"/>
        </w:rPr>
        <w:t>analysed</w:t>
      </w:r>
      <w:proofErr w:type="spellEnd"/>
      <w:r w:rsidRPr="00BB7789">
        <w:rPr>
          <w:rFonts w:ascii="Arial" w:hAnsi="Arial" w:cs="Arial"/>
          <w:color w:val="000000"/>
        </w:rPr>
        <w:t xml:space="preserve"> during the current study are available from corresponding author on reasonable request</w:t>
      </w:r>
    </w:p>
    <w:p w14:paraId="57A63C64" w14:textId="3391175F" w:rsidR="00C93B3D" w:rsidRPr="00C93B3D" w:rsidRDefault="00C93B3D" w:rsidP="00BB7789">
      <w:pPr>
        <w:spacing w:line="360" w:lineRule="auto"/>
        <w:ind w:left="-110" w:right="-106"/>
        <w:jc w:val="both"/>
        <w:rPr>
          <w:rFonts w:ascii="Arial" w:eastAsia="Arial" w:hAnsi="Arial" w:cs="Arial"/>
          <w:color w:val="000000"/>
        </w:rPr>
      </w:pPr>
      <w:r w:rsidRPr="00C93B3D">
        <w:rPr>
          <w:rFonts w:ascii="Arial" w:eastAsia="Arial" w:hAnsi="Arial" w:cs="Arial"/>
          <w:b/>
          <w:bCs/>
          <w:color w:val="000000"/>
        </w:rPr>
        <w:t>Acknowledge-</w:t>
      </w:r>
      <w:r>
        <w:rPr>
          <w:rFonts w:ascii="Arial" w:eastAsia="Arial" w:hAnsi="Arial" w:cs="Arial"/>
          <w:b/>
          <w:bCs/>
          <w:color w:val="000000"/>
        </w:rPr>
        <w:t xml:space="preserve"> </w:t>
      </w:r>
      <w:r w:rsidRPr="00C93B3D">
        <w:rPr>
          <w:rFonts w:ascii="Arial" w:eastAsia="Arial" w:hAnsi="Arial" w:cs="Arial"/>
          <w:color w:val="000000"/>
        </w:rPr>
        <w:t xml:space="preserve">We would like to </w:t>
      </w:r>
      <w:r>
        <w:rPr>
          <w:rFonts w:ascii="Arial" w:eastAsia="Arial" w:hAnsi="Arial" w:cs="Arial"/>
          <w:color w:val="000000"/>
        </w:rPr>
        <w:t>acknowledge all the participants for their volunteer participation in the study and all the hospital administration staff for their support.</w:t>
      </w:r>
    </w:p>
    <w:p w14:paraId="19B12F02" w14:textId="77777777" w:rsidR="00BB7789" w:rsidRPr="00C93B3D" w:rsidRDefault="00BB7789" w:rsidP="00BB7789">
      <w:pPr>
        <w:spacing w:line="276" w:lineRule="auto"/>
        <w:jc w:val="both"/>
        <w:rPr>
          <w:rFonts w:ascii="Arial" w:hAnsi="Arial" w:cs="Arial"/>
        </w:rPr>
      </w:pPr>
    </w:p>
    <w:p w14:paraId="3D6513CD" w14:textId="5FD74E8E" w:rsidR="00BB7789" w:rsidRDefault="00BB7789" w:rsidP="00BB7789">
      <w:pPr>
        <w:spacing w:line="276" w:lineRule="auto"/>
        <w:jc w:val="both"/>
        <w:rPr>
          <w:rFonts w:ascii="Arial" w:hAnsi="Arial" w:cs="Arial"/>
        </w:rPr>
      </w:pPr>
      <w:r w:rsidRPr="00BB7789">
        <w:rPr>
          <w:rFonts w:ascii="Arial" w:hAnsi="Arial" w:cs="Arial"/>
          <w:b/>
          <w:bCs/>
        </w:rPr>
        <w:t>Status of Trial-</w:t>
      </w:r>
      <w:r w:rsidRPr="00BB7789">
        <w:rPr>
          <w:rFonts w:ascii="Arial" w:hAnsi="Arial" w:cs="Arial"/>
        </w:rPr>
        <w:t xml:space="preserve"> Completed.</w:t>
      </w:r>
    </w:p>
    <w:p w14:paraId="61ED995E" w14:textId="732187AF" w:rsidR="007B78E5" w:rsidRDefault="007B78E5" w:rsidP="00BB7789">
      <w:pPr>
        <w:spacing w:line="276" w:lineRule="auto"/>
        <w:jc w:val="both"/>
        <w:rPr>
          <w:rFonts w:ascii="Arial" w:hAnsi="Arial" w:cs="Arial"/>
        </w:rPr>
      </w:pPr>
    </w:p>
    <w:p w14:paraId="25FEA4BC" w14:textId="77777777" w:rsidR="007B78E5" w:rsidRPr="00C93B3D" w:rsidRDefault="007B78E5" w:rsidP="007B78E5">
      <w:pPr>
        <w:rPr>
          <w:rFonts w:ascii="Arial" w:eastAsia="Calibri" w:hAnsi="Arial" w:cs="Arial"/>
          <w:b/>
          <w:bCs/>
          <w:kern w:val="2"/>
          <w:sz w:val="22"/>
          <w:szCs w:val="22"/>
        </w:rPr>
      </w:pPr>
      <w:bookmarkStart w:id="2" w:name="_Hlk197682619"/>
      <w:bookmarkStart w:id="3" w:name="_Hlk180402183"/>
      <w:bookmarkStart w:id="4" w:name="_Hlk183680988"/>
      <w:bookmarkStart w:id="5" w:name="_Hlk197351200"/>
      <w:bookmarkStart w:id="6" w:name="_Hlk213410455"/>
      <w:r w:rsidRPr="00C93B3D">
        <w:rPr>
          <w:rFonts w:ascii="Arial" w:eastAsia="Calibri" w:hAnsi="Arial" w:cs="Arial"/>
          <w:b/>
          <w:bCs/>
          <w:kern w:val="2"/>
          <w:sz w:val="22"/>
          <w:szCs w:val="22"/>
        </w:rPr>
        <w:t>Disclaimer (Artificial intelligence)</w:t>
      </w:r>
    </w:p>
    <w:p w14:paraId="35028395" w14:textId="77777777" w:rsidR="007B78E5" w:rsidRPr="00C93B3D" w:rsidRDefault="007B78E5" w:rsidP="007B78E5">
      <w:pPr>
        <w:rPr>
          <w:rFonts w:ascii="Arial" w:eastAsia="Calibri" w:hAnsi="Arial" w:cs="Arial"/>
          <w:b/>
          <w:bCs/>
          <w:kern w:val="2"/>
          <w:sz w:val="22"/>
          <w:szCs w:val="22"/>
        </w:rPr>
      </w:pPr>
      <w:r w:rsidRPr="00C93B3D">
        <w:rPr>
          <w:rFonts w:ascii="Arial" w:eastAsia="Calibri" w:hAnsi="Arial" w:cs="Arial"/>
          <w:b/>
          <w:bCs/>
          <w:kern w:val="2"/>
          <w:sz w:val="22"/>
          <w:szCs w:val="22"/>
        </w:rPr>
        <w:t xml:space="preserve">Option 1: </w:t>
      </w:r>
    </w:p>
    <w:p w14:paraId="3C7EC950" w14:textId="77777777" w:rsidR="007B78E5" w:rsidRPr="006C71F9" w:rsidRDefault="007B78E5" w:rsidP="007B78E5">
      <w:pPr>
        <w:rPr>
          <w:rFonts w:ascii="Times New Roman" w:eastAsia="Calibri" w:hAnsi="Times New Roman"/>
          <w:kern w:val="2"/>
          <w:sz w:val="22"/>
          <w:szCs w:val="22"/>
        </w:rPr>
      </w:pPr>
      <w:r w:rsidRPr="006C71F9">
        <w:rPr>
          <w:rFonts w:ascii="Times New Roman" w:eastAsia="Calibri" w:hAnsi="Times New Roman"/>
          <w:kern w:val="2"/>
          <w:sz w:val="22"/>
          <w:szCs w:val="22"/>
        </w:rPr>
        <w:t>Author(s) hereby declare that NO generative AI technologies such as Large Language Models (</w:t>
      </w:r>
      <w:proofErr w:type="spellStart"/>
      <w:r w:rsidRPr="006C71F9">
        <w:rPr>
          <w:rFonts w:ascii="Times New Roman" w:eastAsia="Calibri" w:hAnsi="Times New Roman"/>
          <w:kern w:val="2"/>
          <w:sz w:val="22"/>
          <w:szCs w:val="22"/>
        </w:rPr>
        <w:t>ChatGPT</w:t>
      </w:r>
      <w:proofErr w:type="spellEnd"/>
      <w:r w:rsidRPr="006C71F9">
        <w:rPr>
          <w:rFonts w:ascii="Times New Roman" w:eastAsia="Calibri" w:hAnsi="Times New Roman"/>
          <w:kern w:val="2"/>
          <w:sz w:val="22"/>
          <w:szCs w:val="22"/>
        </w:rPr>
        <w:t xml:space="preserve">, COPILOT, etc.) and text-to-image generators have been used during the writing or editing of this manuscript. </w:t>
      </w:r>
    </w:p>
    <w:p w14:paraId="6BC94D6C" w14:textId="71169697" w:rsidR="007B78E5" w:rsidRPr="006C71F9" w:rsidRDefault="007B78E5" w:rsidP="007B78E5">
      <w:pPr>
        <w:rPr>
          <w:rFonts w:ascii="Calibri" w:eastAsia="Calibri" w:hAnsi="Calibri"/>
          <w:kern w:val="2"/>
          <w:highlight w:val="yellow"/>
        </w:rPr>
      </w:pPr>
      <w:bookmarkStart w:id="7" w:name="_Hlk187485061"/>
      <w:bookmarkEnd w:id="2"/>
      <w:bookmarkEnd w:id="3"/>
      <w:bookmarkEnd w:id="4"/>
    </w:p>
    <w:bookmarkEnd w:id="5"/>
    <w:bookmarkEnd w:id="7"/>
    <w:p w14:paraId="24AC0B4B" w14:textId="77777777" w:rsidR="007B78E5" w:rsidRDefault="007B78E5" w:rsidP="007B78E5"/>
    <w:bookmarkEnd w:id="6"/>
    <w:p w14:paraId="685F2AED" w14:textId="77777777" w:rsidR="007B78E5" w:rsidRPr="00BB7789" w:rsidRDefault="007B78E5" w:rsidP="00BB7789">
      <w:pPr>
        <w:spacing w:line="276" w:lineRule="auto"/>
        <w:jc w:val="both"/>
        <w:rPr>
          <w:rFonts w:ascii="Arial" w:hAnsi="Arial" w:cs="Arial"/>
        </w:rPr>
      </w:pPr>
    </w:p>
    <w:p w14:paraId="69B58287" w14:textId="77777777" w:rsidR="00BB7789" w:rsidRPr="00470EE6" w:rsidRDefault="00BB7789" w:rsidP="00BB7789">
      <w:pPr>
        <w:spacing w:line="276" w:lineRule="auto"/>
        <w:jc w:val="both"/>
        <w:rPr>
          <w:rFonts w:ascii="Times New Roman" w:hAnsi="Times New Roman"/>
          <w:b/>
          <w:bCs/>
          <w:color w:val="000000"/>
          <w:sz w:val="24"/>
          <w:szCs w:val="24"/>
        </w:rPr>
      </w:pPr>
    </w:p>
    <w:p w14:paraId="735D53D3" w14:textId="77777777" w:rsidR="00BB7789" w:rsidRPr="006101FA" w:rsidRDefault="00BB7789" w:rsidP="00BB7789">
      <w:pPr>
        <w:spacing w:line="360" w:lineRule="auto"/>
        <w:ind w:left="-110" w:right="-106"/>
        <w:jc w:val="both"/>
        <w:rPr>
          <w:rFonts w:ascii="Arial" w:eastAsia="Arial" w:hAnsi="Arial" w:cs="Arial"/>
          <w:b/>
          <w:bCs/>
          <w:color w:val="000000"/>
        </w:rPr>
      </w:pPr>
    </w:p>
    <w:p w14:paraId="1CD5DD79" w14:textId="77777777" w:rsidR="00B01FCD" w:rsidRPr="006101FA" w:rsidRDefault="00B01FCD" w:rsidP="00441B6F">
      <w:pPr>
        <w:pStyle w:val="ReferHead"/>
        <w:spacing w:after="0"/>
        <w:jc w:val="both"/>
        <w:rPr>
          <w:rFonts w:ascii="Arial" w:hAnsi="Arial" w:cs="Arial"/>
          <w:sz w:val="20"/>
        </w:rPr>
      </w:pPr>
      <w:r w:rsidRPr="006101FA">
        <w:rPr>
          <w:rFonts w:ascii="Arial" w:hAnsi="Arial" w:cs="Arial"/>
          <w:sz w:val="20"/>
        </w:rPr>
        <w:lastRenderedPageBreak/>
        <w:t>References</w:t>
      </w:r>
    </w:p>
    <w:p w14:paraId="539E3B81" w14:textId="77777777" w:rsidR="00790ADA" w:rsidRPr="006101FA" w:rsidRDefault="00790ADA" w:rsidP="00441B6F">
      <w:pPr>
        <w:pStyle w:val="ReferHead"/>
        <w:spacing w:after="0"/>
        <w:jc w:val="both"/>
        <w:rPr>
          <w:rFonts w:ascii="Arial" w:hAnsi="Arial" w:cs="Arial"/>
          <w:sz w:val="20"/>
        </w:rPr>
      </w:pPr>
    </w:p>
    <w:p w14:paraId="3DEE30ED" w14:textId="77777777" w:rsidR="00115618" w:rsidRPr="00115618" w:rsidRDefault="00115618" w:rsidP="00115618">
      <w:pPr>
        <w:pStyle w:val="ListParagraph"/>
        <w:numPr>
          <w:ilvl w:val="0"/>
          <w:numId w:val="41"/>
        </w:numPr>
        <w:rPr>
          <w:rFonts w:ascii="Arial" w:hAnsi="Arial" w:cs="Arial"/>
          <w:color w:val="000000" w:themeColor="text1"/>
          <w:sz w:val="22"/>
          <w:szCs w:val="22"/>
        </w:rPr>
      </w:pPr>
      <w:bookmarkStart w:id="8" w:name="_Hlk215006287"/>
      <w:proofErr w:type="spellStart"/>
      <w:r w:rsidRPr="00115618">
        <w:rPr>
          <w:rFonts w:ascii="Arial" w:hAnsi="Arial" w:cs="Arial"/>
          <w:sz w:val="22"/>
          <w:szCs w:val="22"/>
        </w:rPr>
        <w:t>Alshuweishi</w:t>
      </w:r>
      <w:proofErr w:type="spellEnd"/>
      <w:r w:rsidRPr="00115618">
        <w:rPr>
          <w:rFonts w:ascii="Arial" w:hAnsi="Arial" w:cs="Arial"/>
          <w:sz w:val="22"/>
          <w:szCs w:val="22"/>
        </w:rPr>
        <w:t>, Y</w:t>
      </w:r>
      <w:bookmarkEnd w:id="8"/>
      <w:r w:rsidRPr="00115618">
        <w:rPr>
          <w:rFonts w:ascii="Arial" w:hAnsi="Arial" w:cs="Arial"/>
          <w:sz w:val="22"/>
          <w:szCs w:val="22"/>
        </w:rPr>
        <w:t xml:space="preserve">., </w:t>
      </w:r>
      <w:proofErr w:type="spellStart"/>
      <w:r w:rsidRPr="00115618">
        <w:rPr>
          <w:rFonts w:ascii="Arial" w:hAnsi="Arial" w:cs="Arial"/>
          <w:sz w:val="22"/>
          <w:szCs w:val="22"/>
        </w:rPr>
        <w:t>Almufarrih</w:t>
      </w:r>
      <w:proofErr w:type="spellEnd"/>
      <w:r w:rsidRPr="00115618">
        <w:rPr>
          <w:rFonts w:ascii="Arial" w:hAnsi="Arial" w:cs="Arial"/>
          <w:sz w:val="22"/>
          <w:szCs w:val="22"/>
        </w:rPr>
        <w:t xml:space="preserve">, A. A., </w:t>
      </w:r>
      <w:proofErr w:type="spellStart"/>
      <w:r w:rsidRPr="00115618">
        <w:rPr>
          <w:rFonts w:ascii="Arial" w:hAnsi="Arial" w:cs="Arial"/>
          <w:sz w:val="22"/>
          <w:szCs w:val="22"/>
        </w:rPr>
        <w:t>Abudawood</w:t>
      </w:r>
      <w:proofErr w:type="spellEnd"/>
      <w:r w:rsidRPr="00115618">
        <w:rPr>
          <w:rFonts w:ascii="Arial" w:hAnsi="Arial" w:cs="Arial"/>
          <w:sz w:val="22"/>
          <w:szCs w:val="22"/>
        </w:rPr>
        <w:t xml:space="preserve">, A., </w:t>
      </w:r>
      <w:proofErr w:type="spellStart"/>
      <w:r w:rsidRPr="00115618">
        <w:rPr>
          <w:rFonts w:ascii="Arial" w:hAnsi="Arial" w:cs="Arial"/>
          <w:sz w:val="22"/>
          <w:szCs w:val="22"/>
        </w:rPr>
        <w:t>Alfayez</w:t>
      </w:r>
      <w:proofErr w:type="spellEnd"/>
      <w:r w:rsidRPr="00115618">
        <w:rPr>
          <w:rFonts w:ascii="Arial" w:hAnsi="Arial" w:cs="Arial"/>
          <w:sz w:val="22"/>
          <w:szCs w:val="22"/>
        </w:rPr>
        <w:t xml:space="preserve">, D., </w:t>
      </w:r>
      <w:proofErr w:type="spellStart"/>
      <w:r w:rsidRPr="00115618">
        <w:rPr>
          <w:rFonts w:ascii="Arial" w:hAnsi="Arial" w:cs="Arial"/>
          <w:sz w:val="22"/>
          <w:szCs w:val="22"/>
        </w:rPr>
        <w:t>Alkhowaiter</w:t>
      </w:r>
      <w:proofErr w:type="spellEnd"/>
      <w:r w:rsidRPr="00115618">
        <w:rPr>
          <w:rFonts w:ascii="Arial" w:hAnsi="Arial" w:cs="Arial"/>
          <w:sz w:val="22"/>
          <w:szCs w:val="22"/>
        </w:rPr>
        <w:t xml:space="preserve">, A. Y., </w:t>
      </w:r>
      <w:proofErr w:type="spellStart"/>
      <w:r w:rsidRPr="00115618">
        <w:rPr>
          <w:rFonts w:ascii="Arial" w:hAnsi="Arial" w:cs="Arial"/>
          <w:sz w:val="22"/>
          <w:szCs w:val="22"/>
        </w:rPr>
        <w:t>AlSudais</w:t>
      </w:r>
      <w:proofErr w:type="spellEnd"/>
      <w:r w:rsidRPr="00115618">
        <w:rPr>
          <w:rFonts w:ascii="Arial" w:hAnsi="Arial" w:cs="Arial"/>
          <w:sz w:val="22"/>
          <w:szCs w:val="22"/>
        </w:rPr>
        <w:t xml:space="preserve">, H., &amp; </w:t>
      </w:r>
      <w:proofErr w:type="spellStart"/>
      <w:r w:rsidRPr="00115618">
        <w:rPr>
          <w:rFonts w:ascii="Arial" w:hAnsi="Arial" w:cs="Arial"/>
          <w:sz w:val="22"/>
          <w:szCs w:val="22"/>
        </w:rPr>
        <w:t>Almuqrin</w:t>
      </w:r>
      <w:proofErr w:type="spellEnd"/>
      <w:r w:rsidRPr="00115618">
        <w:rPr>
          <w:rFonts w:ascii="Arial" w:hAnsi="Arial" w:cs="Arial"/>
          <w:sz w:val="22"/>
          <w:szCs w:val="22"/>
        </w:rPr>
        <w:t xml:space="preserve">, A. M. (2024). </w:t>
      </w:r>
      <w:r w:rsidRPr="00115618">
        <w:rPr>
          <w:rStyle w:val="Emphasis"/>
          <w:rFonts w:ascii="Arial" w:hAnsi="Arial" w:cs="Arial"/>
          <w:sz w:val="22"/>
          <w:szCs w:val="22"/>
        </w:rPr>
        <w:t xml:space="preserve">Patterns of lipid abnormalities in obesity: A comparative analysis in </w:t>
      </w:r>
      <w:proofErr w:type="spellStart"/>
      <w:r w:rsidRPr="00115618">
        <w:rPr>
          <w:rStyle w:val="Emphasis"/>
          <w:rFonts w:ascii="Arial" w:hAnsi="Arial" w:cs="Arial"/>
          <w:sz w:val="22"/>
          <w:szCs w:val="22"/>
        </w:rPr>
        <w:t>normoglycemic</w:t>
      </w:r>
      <w:proofErr w:type="spellEnd"/>
      <w:r w:rsidRPr="00115618">
        <w:rPr>
          <w:rStyle w:val="Emphasis"/>
          <w:rFonts w:ascii="Arial" w:hAnsi="Arial" w:cs="Arial"/>
          <w:sz w:val="22"/>
          <w:szCs w:val="22"/>
        </w:rPr>
        <w:t xml:space="preserve"> and </w:t>
      </w:r>
      <w:proofErr w:type="spellStart"/>
      <w:r w:rsidRPr="00115618">
        <w:rPr>
          <w:rStyle w:val="Emphasis"/>
          <w:rFonts w:ascii="Arial" w:hAnsi="Arial" w:cs="Arial"/>
          <w:sz w:val="22"/>
          <w:szCs w:val="22"/>
        </w:rPr>
        <w:t>prediabetic</w:t>
      </w:r>
      <w:proofErr w:type="spellEnd"/>
      <w:r w:rsidRPr="00115618">
        <w:rPr>
          <w:rStyle w:val="Emphasis"/>
          <w:rFonts w:ascii="Arial" w:hAnsi="Arial" w:cs="Arial"/>
          <w:sz w:val="22"/>
          <w:szCs w:val="22"/>
        </w:rPr>
        <w:t xml:space="preserve"> obese individuals</w:t>
      </w:r>
      <w:r w:rsidRPr="00115618">
        <w:rPr>
          <w:rFonts w:ascii="Arial" w:hAnsi="Arial" w:cs="Arial"/>
          <w:sz w:val="22"/>
          <w:szCs w:val="22"/>
        </w:rPr>
        <w:t xml:space="preserve">. </w:t>
      </w:r>
      <w:r w:rsidRPr="00115618">
        <w:rPr>
          <w:rStyle w:val="Strong"/>
          <w:rFonts w:ascii="Arial" w:hAnsi="Arial" w:cs="Arial"/>
          <w:sz w:val="22"/>
          <w:szCs w:val="22"/>
        </w:rPr>
        <w:t>Journal of Personalized Medicine, 14</w:t>
      </w:r>
      <w:r w:rsidRPr="00115618">
        <w:rPr>
          <w:rFonts w:ascii="Arial" w:hAnsi="Arial" w:cs="Arial"/>
          <w:sz w:val="22"/>
          <w:szCs w:val="22"/>
        </w:rPr>
        <w:t xml:space="preserve">(9), 980. </w:t>
      </w:r>
      <w:hyperlink r:id="rId16" w:history="1">
        <w:r w:rsidRPr="00115618">
          <w:rPr>
            <w:rStyle w:val="Hyperlink"/>
            <w:rFonts w:ascii="Arial" w:hAnsi="Arial" w:cs="Arial"/>
            <w:color w:val="000000" w:themeColor="text1"/>
            <w:sz w:val="22"/>
            <w:szCs w:val="22"/>
          </w:rPr>
          <w:t>https://doi.org/10.3390/jpm14090980</w:t>
        </w:r>
      </w:hyperlink>
      <w:r w:rsidRPr="00115618">
        <w:rPr>
          <w:rFonts w:ascii="Arial" w:hAnsi="Arial" w:cs="Arial"/>
          <w:color w:val="000000" w:themeColor="text1"/>
          <w:sz w:val="22"/>
          <w:szCs w:val="22"/>
        </w:rPr>
        <w:t>.</w:t>
      </w:r>
    </w:p>
    <w:p w14:paraId="13F834EC" w14:textId="77777777" w:rsidR="00115618" w:rsidRPr="00115618" w:rsidRDefault="00115618" w:rsidP="00115618">
      <w:pPr>
        <w:pStyle w:val="ListParagraph"/>
        <w:numPr>
          <w:ilvl w:val="0"/>
          <w:numId w:val="41"/>
        </w:numPr>
        <w:rPr>
          <w:rFonts w:ascii="Arial" w:hAnsi="Arial" w:cs="Arial"/>
          <w:color w:val="000000" w:themeColor="text1"/>
          <w:sz w:val="22"/>
          <w:szCs w:val="22"/>
        </w:rPr>
      </w:pPr>
      <w:proofErr w:type="spellStart"/>
      <w:r w:rsidRPr="00115618">
        <w:rPr>
          <w:rFonts w:ascii="Arial" w:hAnsi="Arial" w:cs="Arial"/>
          <w:sz w:val="22"/>
          <w:szCs w:val="22"/>
        </w:rPr>
        <w:t>Asbaghi</w:t>
      </w:r>
      <w:proofErr w:type="spellEnd"/>
      <w:r w:rsidRPr="00115618">
        <w:rPr>
          <w:rFonts w:ascii="Arial" w:hAnsi="Arial" w:cs="Arial"/>
          <w:sz w:val="22"/>
          <w:szCs w:val="22"/>
        </w:rPr>
        <w:t xml:space="preserve"> O., </w:t>
      </w:r>
      <w:proofErr w:type="spellStart"/>
      <w:r w:rsidRPr="00115618">
        <w:rPr>
          <w:rFonts w:ascii="Arial" w:hAnsi="Arial" w:cs="Arial"/>
          <w:sz w:val="22"/>
          <w:szCs w:val="22"/>
        </w:rPr>
        <w:t>Moodi</w:t>
      </w:r>
      <w:proofErr w:type="spellEnd"/>
      <w:r w:rsidRPr="00115618">
        <w:rPr>
          <w:rFonts w:ascii="Arial" w:hAnsi="Arial" w:cs="Arial"/>
          <w:sz w:val="22"/>
          <w:szCs w:val="22"/>
        </w:rPr>
        <w:t xml:space="preserve"> V., </w:t>
      </w:r>
      <w:proofErr w:type="spellStart"/>
      <w:r w:rsidRPr="00115618">
        <w:rPr>
          <w:rFonts w:ascii="Arial" w:hAnsi="Arial" w:cs="Arial"/>
          <w:sz w:val="22"/>
          <w:szCs w:val="22"/>
        </w:rPr>
        <w:t>Hadi</w:t>
      </w:r>
      <w:proofErr w:type="spellEnd"/>
      <w:r w:rsidRPr="00115618">
        <w:rPr>
          <w:rFonts w:ascii="Arial" w:hAnsi="Arial" w:cs="Arial"/>
          <w:sz w:val="22"/>
          <w:szCs w:val="22"/>
        </w:rPr>
        <w:t xml:space="preserve"> A., </w:t>
      </w:r>
      <w:proofErr w:type="spellStart"/>
      <w:r w:rsidRPr="00115618">
        <w:rPr>
          <w:rFonts w:ascii="Arial" w:hAnsi="Arial" w:cs="Arial"/>
          <w:sz w:val="22"/>
          <w:szCs w:val="22"/>
        </w:rPr>
        <w:t>Eslampour</w:t>
      </w:r>
      <w:proofErr w:type="spellEnd"/>
      <w:r w:rsidRPr="00115618">
        <w:rPr>
          <w:rFonts w:ascii="Arial" w:hAnsi="Arial" w:cs="Arial"/>
          <w:sz w:val="22"/>
          <w:szCs w:val="22"/>
        </w:rPr>
        <w:t xml:space="preserve"> E., </w:t>
      </w:r>
      <w:proofErr w:type="spellStart"/>
      <w:r w:rsidRPr="00115618">
        <w:rPr>
          <w:rFonts w:ascii="Arial" w:hAnsi="Arial" w:cs="Arial"/>
          <w:sz w:val="22"/>
          <w:szCs w:val="22"/>
        </w:rPr>
        <w:t>Shirinbakhshmasoleh</w:t>
      </w:r>
      <w:proofErr w:type="spellEnd"/>
      <w:r w:rsidRPr="00115618">
        <w:rPr>
          <w:rFonts w:ascii="Arial" w:hAnsi="Arial" w:cs="Arial"/>
          <w:sz w:val="22"/>
          <w:szCs w:val="22"/>
        </w:rPr>
        <w:t xml:space="preserve"> M., </w:t>
      </w:r>
      <w:proofErr w:type="spellStart"/>
      <w:r w:rsidRPr="00115618">
        <w:rPr>
          <w:rFonts w:ascii="Arial" w:hAnsi="Arial" w:cs="Arial"/>
          <w:sz w:val="22"/>
          <w:szCs w:val="22"/>
        </w:rPr>
        <w:t>Ghaedi</w:t>
      </w:r>
      <w:proofErr w:type="spellEnd"/>
      <w:r w:rsidRPr="00115618">
        <w:rPr>
          <w:rFonts w:ascii="Arial" w:hAnsi="Arial" w:cs="Arial"/>
          <w:sz w:val="22"/>
          <w:szCs w:val="22"/>
        </w:rPr>
        <w:t xml:space="preserve"> E., &amp; </w:t>
      </w:r>
      <w:proofErr w:type="spellStart"/>
      <w:r w:rsidRPr="00115618">
        <w:rPr>
          <w:rFonts w:ascii="Arial" w:hAnsi="Arial" w:cs="Arial"/>
          <w:sz w:val="22"/>
          <w:szCs w:val="22"/>
        </w:rPr>
        <w:t>Miraghajani</w:t>
      </w:r>
      <w:proofErr w:type="spellEnd"/>
      <w:r w:rsidRPr="00115618">
        <w:rPr>
          <w:rFonts w:ascii="Arial" w:hAnsi="Arial" w:cs="Arial"/>
          <w:sz w:val="22"/>
          <w:szCs w:val="22"/>
        </w:rPr>
        <w:t xml:space="preserve"> M. The effect of almond intake on lipid profile: a systematic review and meta-analysis of randomized controlled trials. </w:t>
      </w:r>
      <w:r w:rsidRPr="00115618">
        <w:rPr>
          <w:rStyle w:val="Emphasis"/>
          <w:rFonts w:ascii="Arial" w:hAnsi="Arial" w:cs="Arial"/>
          <w:sz w:val="22"/>
          <w:szCs w:val="22"/>
        </w:rPr>
        <w:t>Food &amp; Function</w:t>
      </w:r>
      <w:r w:rsidRPr="00115618">
        <w:rPr>
          <w:rFonts w:ascii="Arial" w:hAnsi="Arial" w:cs="Arial"/>
          <w:sz w:val="22"/>
          <w:szCs w:val="22"/>
        </w:rPr>
        <w:t>. 2021 Mar 15; 12(5): 1882–1896.</w:t>
      </w:r>
      <w:bookmarkStart w:id="9" w:name="_Hlk215086517"/>
    </w:p>
    <w:p w14:paraId="155EAC00" w14:textId="77777777" w:rsidR="00115618" w:rsidRPr="00115618" w:rsidRDefault="00115618" w:rsidP="00115618">
      <w:pPr>
        <w:pStyle w:val="ListParagraph"/>
        <w:numPr>
          <w:ilvl w:val="0"/>
          <w:numId w:val="41"/>
        </w:numPr>
        <w:rPr>
          <w:rFonts w:ascii="Arial" w:hAnsi="Arial" w:cs="Arial"/>
          <w:color w:val="000000" w:themeColor="text1"/>
          <w:sz w:val="22"/>
          <w:szCs w:val="22"/>
        </w:rPr>
      </w:pPr>
      <w:r w:rsidRPr="00115618">
        <w:rPr>
          <w:rFonts w:ascii="Arial" w:hAnsi="Arial" w:cs="Arial"/>
          <w:sz w:val="22"/>
          <w:szCs w:val="22"/>
        </w:rPr>
        <w:t>Berryman, C. E</w:t>
      </w:r>
      <w:bookmarkEnd w:id="9"/>
      <w:r w:rsidRPr="00115618">
        <w:rPr>
          <w:rFonts w:ascii="Arial" w:hAnsi="Arial" w:cs="Arial"/>
          <w:sz w:val="22"/>
          <w:szCs w:val="22"/>
        </w:rPr>
        <w:t xml:space="preserve">., Preston, A. G., </w:t>
      </w:r>
      <w:proofErr w:type="spellStart"/>
      <w:r w:rsidRPr="00115618">
        <w:rPr>
          <w:rFonts w:ascii="Arial" w:hAnsi="Arial" w:cs="Arial"/>
          <w:sz w:val="22"/>
          <w:szCs w:val="22"/>
        </w:rPr>
        <w:t>Karmally</w:t>
      </w:r>
      <w:proofErr w:type="spellEnd"/>
      <w:r w:rsidRPr="00115618">
        <w:rPr>
          <w:rFonts w:ascii="Arial" w:hAnsi="Arial" w:cs="Arial"/>
          <w:sz w:val="22"/>
          <w:szCs w:val="22"/>
        </w:rPr>
        <w:t xml:space="preserve">, W., </w:t>
      </w:r>
      <w:proofErr w:type="spellStart"/>
      <w:r w:rsidRPr="00115618">
        <w:rPr>
          <w:rFonts w:ascii="Arial" w:hAnsi="Arial" w:cs="Arial"/>
          <w:sz w:val="22"/>
          <w:szCs w:val="22"/>
        </w:rPr>
        <w:t>Deckelbaum</w:t>
      </w:r>
      <w:proofErr w:type="spellEnd"/>
      <w:r w:rsidRPr="00115618">
        <w:rPr>
          <w:rFonts w:ascii="Arial" w:hAnsi="Arial" w:cs="Arial"/>
          <w:sz w:val="22"/>
          <w:szCs w:val="22"/>
        </w:rPr>
        <w:t>, R. J., &amp; Kris-</w:t>
      </w:r>
      <w:proofErr w:type="spellStart"/>
      <w:r w:rsidRPr="00115618">
        <w:rPr>
          <w:rFonts w:ascii="Arial" w:hAnsi="Arial" w:cs="Arial"/>
          <w:sz w:val="22"/>
          <w:szCs w:val="22"/>
        </w:rPr>
        <w:t>Etherton</w:t>
      </w:r>
      <w:proofErr w:type="spellEnd"/>
      <w:r w:rsidRPr="00115618">
        <w:rPr>
          <w:rFonts w:ascii="Arial" w:hAnsi="Arial" w:cs="Arial"/>
          <w:sz w:val="22"/>
          <w:szCs w:val="22"/>
        </w:rPr>
        <w:t xml:space="preserve">, P. M. (2011). Effects of almond consumption on the reduction of LDL-cholesterol: a discussion of potential mechanisms and future research directions. </w:t>
      </w:r>
      <w:r w:rsidRPr="00115618">
        <w:rPr>
          <w:rStyle w:val="Emphasis"/>
          <w:rFonts w:ascii="Arial" w:hAnsi="Arial" w:cs="Arial"/>
          <w:sz w:val="22"/>
          <w:szCs w:val="22"/>
        </w:rPr>
        <w:t>Nutrition Reviews, 69</w:t>
      </w:r>
      <w:r w:rsidRPr="00115618">
        <w:rPr>
          <w:rFonts w:ascii="Arial" w:hAnsi="Arial" w:cs="Arial"/>
          <w:sz w:val="22"/>
          <w:szCs w:val="22"/>
        </w:rPr>
        <w:t xml:space="preserve">(4), 171–185. </w:t>
      </w:r>
      <w:hyperlink r:id="rId17" w:history="1">
        <w:r w:rsidRPr="00115618">
          <w:rPr>
            <w:rStyle w:val="Hyperlink"/>
            <w:rFonts w:ascii="Arial" w:hAnsi="Arial" w:cs="Arial"/>
            <w:color w:val="000000" w:themeColor="text1"/>
            <w:sz w:val="22"/>
            <w:szCs w:val="22"/>
          </w:rPr>
          <w:t>https://pubmed.ncbi.nlm.nih.gov/21457263/</w:t>
        </w:r>
      </w:hyperlink>
      <w:bookmarkStart w:id="10" w:name="_Hlk215081522"/>
    </w:p>
    <w:p w14:paraId="5F05875F" w14:textId="164CA4E5" w:rsidR="00115618" w:rsidRPr="00115618" w:rsidRDefault="00115618" w:rsidP="00115618">
      <w:pPr>
        <w:pStyle w:val="ListParagraph"/>
        <w:numPr>
          <w:ilvl w:val="0"/>
          <w:numId w:val="41"/>
        </w:numPr>
        <w:rPr>
          <w:rFonts w:ascii="Arial" w:hAnsi="Arial" w:cs="Arial"/>
          <w:color w:val="000000" w:themeColor="text1"/>
          <w:sz w:val="22"/>
          <w:szCs w:val="22"/>
        </w:rPr>
      </w:pPr>
      <w:proofErr w:type="spellStart"/>
      <w:r w:rsidRPr="00115618">
        <w:rPr>
          <w:rFonts w:ascii="Arial" w:hAnsi="Arial" w:cs="Arial"/>
          <w:sz w:val="22"/>
          <w:szCs w:val="22"/>
        </w:rPr>
        <w:t>Bhuiyan</w:t>
      </w:r>
      <w:proofErr w:type="spellEnd"/>
      <w:r w:rsidRPr="00115618">
        <w:rPr>
          <w:rFonts w:ascii="Arial" w:hAnsi="Arial" w:cs="Arial"/>
          <w:sz w:val="22"/>
          <w:szCs w:val="22"/>
        </w:rPr>
        <w:t xml:space="preserve"> FR</w:t>
      </w:r>
      <w:bookmarkEnd w:id="10"/>
      <w:r w:rsidRPr="00115618">
        <w:rPr>
          <w:rFonts w:ascii="Arial" w:hAnsi="Arial" w:cs="Arial"/>
          <w:sz w:val="22"/>
          <w:szCs w:val="22"/>
        </w:rPr>
        <w:t xml:space="preserve">, </w:t>
      </w:r>
      <w:proofErr w:type="spellStart"/>
      <w:r w:rsidRPr="00115618">
        <w:rPr>
          <w:rFonts w:ascii="Arial" w:hAnsi="Arial" w:cs="Arial"/>
          <w:sz w:val="22"/>
          <w:szCs w:val="22"/>
        </w:rPr>
        <w:t>Barua</w:t>
      </w:r>
      <w:proofErr w:type="spellEnd"/>
      <w:r w:rsidRPr="00115618">
        <w:rPr>
          <w:rFonts w:ascii="Arial" w:hAnsi="Arial" w:cs="Arial"/>
          <w:sz w:val="22"/>
          <w:szCs w:val="22"/>
        </w:rPr>
        <w:t xml:space="preserve"> JL, </w:t>
      </w:r>
      <w:proofErr w:type="spellStart"/>
      <w:r w:rsidRPr="00115618">
        <w:rPr>
          <w:rFonts w:ascii="Arial" w:hAnsi="Arial" w:cs="Arial"/>
          <w:sz w:val="22"/>
          <w:szCs w:val="22"/>
        </w:rPr>
        <w:t>Kalam</w:t>
      </w:r>
      <w:proofErr w:type="spellEnd"/>
      <w:r w:rsidRPr="00115618">
        <w:rPr>
          <w:rFonts w:ascii="Arial" w:hAnsi="Arial" w:cs="Arial"/>
          <w:sz w:val="22"/>
          <w:szCs w:val="22"/>
        </w:rPr>
        <w:t xml:space="preserve"> KA. Knowledge, Attitude and Practices Regarding Nutrition among Adolescent Girls in Dhaka City: A Cross-sectional Study. </w:t>
      </w:r>
      <w:proofErr w:type="spellStart"/>
      <w:r w:rsidRPr="00115618">
        <w:rPr>
          <w:rStyle w:val="Emphasis"/>
          <w:rFonts w:ascii="Arial" w:hAnsi="Arial" w:cs="Arial"/>
          <w:sz w:val="22"/>
          <w:szCs w:val="22"/>
        </w:rPr>
        <w:t>Nutri</w:t>
      </w:r>
      <w:proofErr w:type="spellEnd"/>
      <w:r w:rsidRPr="00115618">
        <w:rPr>
          <w:rStyle w:val="Emphasis"/>
          <w:rFonts w:ascii="Arial" w:hAnsi="Arial" w:cs="Arial"/>
          <w:sz w:val="22"/>
          <w:szCs w:val="22"/>
        </w:rPr>
        <w:t xml:space="preserve"> Food </w:t>
      </w:r>
      <w:proofErr w:type="spellStart"/>
      <w:r w:rsidRPr="00115618">
        <w:rPr>
          <w:rStyle w:val="Emphasis"/>
          <w:rFonts w:ascii="Arial" w:hAnsi="Arial" w:cs="Arial"/>
          <w:sz w:val="22"/>
          <w:szCs w:val="22"/>
        </w:rPr>
        <w:t>Sci</w:t>
      </w:r>
      <w:proofErr w:type="spellEnd"/>
      <w:r w:rsidRPr="00115618">
        <w:rPr>
          <w:rStyle w:val="Emphasis"/>
          <w:rFonts w:ascii="Arial" w:hAnsi="Arial" w:cs="Arial"/>
          <w:sz w:val="22"/>
          <w:szCs w:val="22"/>
        </w:rPr>
        <w:t xml:space="preserve"> </w:t>
      </w:r>
      <w:proofErr w:type="spellStart"/>
      <w:r w:rsidRPr="00115618">
        <w:rPr>
          <w:rStyle w:val="Emphasis"/>
          <w:rFonts w:ascii="Arial" w:hAnsi="Arial" w:cs="Arial"/>
          <w:sz w:val="22"/>
          <w:szCs w:val="22"/>
        </w:rPr>
        <w:t>Int</w:t>
      </w:r>
      <w:proofErr w:type="spellEnd"/>
      <w:r w:rsidRPr="00115618">
        <w:rPr>
          <w:rStyle w:val="Emphasis"/>
          <w:rFonts w:ascii="Arial" w:hAnsi="Arial" w:cs="Arial"/>
          <w:sz w:val="22"/>
          <w:szCs w:val="22"/>
        </w:rPr>
        <w:t xml:space="preserve"> J.</w:t>
      </w:r>
      <w:r w:rsidRPr="00115618">
        <w:rPr>
          <w:rFonts w:ascii="Arial" w:hAnsi="Arial" w:cs="Arial"/>
          <w:sz w:val="22"/>
          <w:szCs w:val="22"/>
        </w:rPr>
        <w:t xml:space="preserve"> 2021; 10(4): 555795. </w:t>
      </w:r>
      <w:hyperlink r:id="rId18" w:history="1">
        <w:r w:rsidRPr="00115618">
          <w:rPr>
            <w:rStyle w:val="Hyperlink"/>
            <w:rFonts w:ascii="Arial" w:hAnsi="Arial" w:cs="Arial"/>
            <w:color w:val="000000" w:themeColor="text1"/>
            <w:sz w:val="22"/>
            <w:szCs w:val="22"/>
          </w:rPr>
          <w:t>https://juniperpublishers.com/nfsij/pdf/NFSIJ.MS.ID.555795.pdf</w:t>
        </w:r>
      </w:hyperlink>
    </w:p>
    <w:p w14:paraId="176BFB8B" w14:textId="77777777" w:rsidR="00115618" w:rsidRPr="00115618" w:rsidRDefault="00115618" w:rsidP="00115618">
      <w:pPr>
        <w:pStyle w:val="ListParagraph"/>
        <w:numPr>
          <w:ilvl w:val="0"/>
          <w:numId w:val="41"/>
        </w:numPr>
        <w:jc w:val="both"/>
        <w:rPr>
          <w:rFonts w:ascii="Arial" w:hAnsi="Arial" w:cs="Arial"/>
          <w:color w:val="000000" w:themeColor="text1"/>
          <w:sz w:val="22"/>
          <w:szCs w:val="22"/>
        </w:rPr>
      </w:pPr>
      <w:proofErr w:type="spellStart"/>
      <w:r w:rsidRPr="00115618">
        <w:rPr>
          <w:rFonts w:ascii="Arial" w:hAnsi="Arial" w:cs="Arial"/>
          <w:sz w:val="22"/>
          <w:szCs w:val="22"/>
        </w:rPr>
        <w:t>Davari</w:t>
      </w:r>
      <w:proofErr w:type="spellEnd"/>
      <w:r w:rsidRPr="00115618">
        <w:rPr>
          <w:rFonts w:ascii="Arial" w:hAnsi="Arial" w:cs="Arial"/>
          <w:sz w:val="22"/>
          <w:szCs w:val="22"/>
        </w:rPr>
        <w:t xml:space="preserve">, M., </w:t>
      </w:r>
      <w:proofErr w:type="spellStart"/>
      <w:r w:rsidRPr="00115618">
        <w:rPr>
          <w:rFonts w:ascii="Arial" w:hAnsi="Arial" w:cs="Arial"/>
          <w:sz w:val="22"/>
          <w:szCs w:val="22"/>
        </w:rPr>
        <w:t>Maracy</w:t>
      </w:r>
      <w:proofErr w:type="spellEnd"/>
      <w:r w:rsidRPr="00115618">
        <w:rPr>
          <w:rFonts w:ascii="Arial" w:hAnsi="Arial" w:cs="Arial"/>
          <w:sz w:val="22"/>
          <w:szCs w:val="22"/>
        </w:rPr>
        <w:t xml:space="preserve">, M. R., &amp; </w:t>
      </w:r>
      <w:proofErr w:type="spellStart"/>
      <w:r w:rsidRPr="00115618">
        <w:rPr>
          <w:rFonts w:ascii="Arial" w:hAnsi="Arial" w:cs="Arial"/>
          <w:sz w:val="22"/>
          <w:szCs w:val="22"/>
        </w:rPr>
        <w:t>Khorasani</w:t>
      </w:r>
      <w:proofErr w:type="spellEnd"/>
      <w:r w:rsidRPr="00115618">
        <w:rPr>
          <w:rFonts w:ascii="Arial" w:hAnsi="Arial" w:cs="Arial"/>
          <w:sz w:val="22"/>
          <w:szCs w:val="22"/>
        </w:rPr>
        <w:t xml:space="preserve">, E. (2019). Socioeconomic status, cardiac risk factors, and cardiovascular disease: A </w:t>
      </w:r>
      <w:r w:rsidRPr="00115618">
        <w:rPr>
          <w:rFonts w:ascii="Arial" w:hAnsi="Arial" w:cs="Arial"/>
          <w:color w:val="000000" w:themeColor="text1"/>
          <w:sz w:val="22"/>
          <w:szCs w:val="22"/>
        </w:rPr>
        <w:t xml:space="preserve">novel approach to determination of this association. </w:t>
      </w:r>
      <w:r w:rsidRPr="00115618">
        <w:rPr>
          <w:rStyle w:val="Emphasis"/>
          <w:rFonts w:ascii="Arial" w:hAnsi="Arial" w:cs="Arial"/>
          <w:color w:val="000000" w:themeColor="text1"/>
          <w:sz w:val="22"/>
          <w:szCs w:val="22"/>
        </w:rPr>
        <w:t>ARYA Atherosclerosis, 15</w:t>
      </w:r>
      <w:r w:rsidRPr="00115618">
        <w:rPr>
          <w:rFonts w:ascii="Arial" w:hAnsi="Arial" w:cs="Arial"/>
          <w:color w:val="000000" w:themeColor="text1"/>
          <w:sz w:val="22"/>
          <w:szCs w:val="22"/>
        </w:rPr>
        <w:t xml:space="preserve">(6), 260–266. </w:t>
      </w:r>
      <w:hyperlink r:id="rId19" w:history="1">
        <w:r w:rsidRPr="00115618">
          <w:rPr>
            <w:rStyle w:val="Hyperlink"/>
            <w:rFonts w:ascii="Arial" w:hAnsi="Arial" w:cs="Arial"/>
            <w:color w:val="000000" w:themeColor="text1"/>
            <w:sz w:val="22"/>
            <w:szCs w:val="22"/>
          </w:rPr>
          <w:t>https://doi.org/10.22122/arya.v15i6.1595</w:t>
        </w:r>
      </w:hyperlink>
    </w:p>
    <w:p w14:paraId="1BF7B27E" w14:textId="77777777" w:rsidR="00115618" w:rsidRPr="00115618" w:rsidRDefault="00115618" w:rsidP="00115618">
      <w:pPr>
        <w:pStyle w:val="ListParagraph"/>
        <w:numPr>
          <w:ilvl w:val="0"/>
          <w:numId w:val="41"/>
        </w:numPr>
        <w:jc w:val="both"/>
        <w:rPr>
          <w:rFonts w:ascii="Arial" w:hAnsi="Arial" w:cs="Arial"/>
          <w:color w:val="000000" w:themeColor="text1"/>
          <w:sz w:val="22"/>
          <w:szCs w:val="22"/>
        </w:rPr>
      </w:pPr>
      <w:proofErr w:type="spellStart"/>
      <w:r w:rsidRPr="00115618">
        <w:rPr>
          <w:rFonts w:ascii="Arial" w:hAnsi="Arial" w:cs="Arial"/>
          <w:sz w:val="22"/>
          <w:szCs w:val="22"/>
        </w:rPr>
        <w:t>Hyassat</w:t>
      </w:r>
      <w:proofErr w:type="spellEnd"/>
      <w:r w:rsidRPr="00115618">
        <w:rPr>
          <w:rFonts w:ascii="Arial" w:hAnsi="Arial" w:cs="Arial"/>
          <w:sz w:val="22"/>
          <w:szCs w:val="22"/>
        </w:rPr>
        <w:t>, D., Al-</w:t>
      </w:r>
      <w:proofErr w:type="spellStart"/>
      <w:r w:rsidRPr="00115618">
        <w:rPr>
          <w:rFonts w:ascii="Arial" w:hAnsi="Arial" w:cs="Arial"/>
          <w:sz w:val="22"/>
          <w:szCs w:val="22"/>
        </w:rPr>
        <w:t>Saeksaek</w:t>
      </w:r>
      <w:proofErr w:type="spellEnd"/>
      <w:r w:rsidRPr="00115618">
        <w:rPr>
          <w:rFonts w:ascii="Arial" w:hAnsi="Arial" w:cs="Arial"/>
          <w:sz w:val="22"/>
          <w:szCs w:val="22"/>
        </w:rPr>
        <w:t xml:space="preserve">, S., </w:t>
      </w:r>
      <w:proofErr w:type="spellStart"/>
      <w:r w:rsidRPr="00115618">
        <w:rPr>
          <w:rFonts w:ascii="Arial" w:hAnsi="Arial" w:cs="Arial"/>
          <w:sz w:val="22"/>
          <w:szCs w:val="22"/>
        </w:rPr>
        <w:t>Naji</w:t>
      </w:r>
      <w:proofErr w:type="spellEnd"/>
      <w:r w:rsidRPr="00115618">
        <w:rPr>
          <w:rFonts w:ascii="Arial" w:hAnsi="Arial" w:cs="Arial"/>
          <w:sz w:val="22"/>
          <w:szCs w:val="22"/>
        </w:rPr>
        <w:t xml:space="preserve">, D., </w:t>
      </w:r>
      <w:proofErr w:type="spellStart"/>
      <w:r w:rsidRPr="00115618">
        <w:rPr>
          <w:rFonts w:ascii="Arial" w:hAnsi="Arial" w:cs="Arial"/>
          <w:sz w:val="22"/>
          <w:szCs w:val="22"/>
        </w:rPr>
        <w:t>Mahasneh</w:t>
      </w:r>
      <w:proofErr w:type="spellEnd"/>
      <w:r w:rsidRPr="00115618">
        <w:rPr>
          <w:rFonts w:ascii="Arial" w:hAnsi="Arial" w:cs="Arial"/>
          <w:sz w:val="22"/>
          <w:szCs w:val="22"/>
        </w:rPr>
        <w:t xml:space="preserve">, A., </w:t>
      </w:r>
      <w:proofErr w:type="spellStart"/>
      <w:r w:rsidRPr="00115618">
        <w:rPr>
          <w:rFonts w:ascii="Arial" w:hAnsi="Arial" w:cs="Arial"/>
          <w:sz w:val="22"/>
          <w:szCs w:val="22"/>
        </w:rPr>
        <w:t>Khader</w:t>
      </w:r>
      <w:proofErr w:type="spellEnd"/>
      <w:r w:rsidRPr="00115618">
        <w:rPr>
          <w:rFonts w:ascii="Arial" w:hAnsi="Arial" w:cs="Arial"/>
          <w:sz w:val="22"/>
          <w:szCs w:val="22"/>
        </w:rPr>
        <w:t xml:space="preserve">, Y., </w:t>
      </w:r>
      <w:proofErr w:type="spellStart"/>
      <w:r w:rsidRPr="00115618">
        <w:rPr>
          <w:rFonts w:ascii="Arial" w:hAnsi="Arial" w:cs="Arial"/>
          <w:sz w:val="22"/>
          <w:szCs w:val="22"/>
        </w:rPr>
        <w:t>Abujbara</w:t>
      </w:r>
      <w:proofErr w:type="spellEnd"/>
      <w:r w:rsidRPr="00115618">
        <w:rPr>
          <w:rFonts w:ascii="Arial" w:hAnsi="Arial" w:cs="Arial"/>
          <w:sz w:val="22"/>
          <w:szCs w:val="22"/>
        </w:rPr>
        <w:t>, M., El-</w:t>
      </w:r>
      <w:proofErr w:type="spellStart"/>
      <w:r w:rsidRPr="00115618">
        <w:rPr>
          <w:rFonts w:ascii="Arial" w:hAnsi="Arial" w:cs="Arial"/>
          <w:sz w:val="22"/>
          <w:szCs w:val="22"/>
        </w:rPr>
        <w:t>Khateeb</w:t>
      </w:r>
      <w:proofErr w:type="spellEnd"/>
      <w:r w:rsidRPr="00115618">
        <w:rPr>
          <w:rFonts w:ascii="Arial" w:hAnsi="Arial" w:cs="Arial"/>
          <w:sz w:val="22"/>
          <w:szCs w:val="22"/>
        </w:rPr>
        <w:t xml:space="preserve">, M., &amp; </w:t>
      </w:r>
      <w:proofErr w:type="spellStart"/>
      <w:r w:rsidRPr="00115618">
        <w:rPr>
          <w:rFonts w:ascii="Arial" w:hAnsi="Arial" w:cs="Arial"/>
          <w:sz w:val="22"/>
          <w:szCs w:val="22"/>
        </w:rPr>
        <w:t>Ajlouni</w:t>
      </w:r>
      <w:proofErr w:type="spellEnd"/>
      <w:r w:rsidRPr="00115618">
        <w:rPr>
          <w:rFonts w:ascii="Arial" w:hAnsi="Arial" w:cs="Arial"/>
          <w:sz w:val="22"/>
          <w:szCs w:val="22"/>
        </w:rPr>
        <w:t xml:space="preserve">, K. (2022). Dyslipidemia among patients with type 2 diabetes in Jordan: Prevalence, pattern, and associated factors. </w:t>
      </w:r>
      <w:r w:rsidRPr="00115618">
        <w:rPr>
          <w:rFonts w:ascii="Arial" w:hAnsi="Arial" w:cs="Arial"/>
          <w:i/>
          <w:iCs/>
          <w:sz w:val="22"/>
          <w:szCs w:val="22"/>
        </w:rPr>
        <w:t>Frontiers in Public Health</w:t>
      </w:r>
      <w:r w:rsidRPr="00115618">
        <w:rPr>
          <w:rFonts w:ascii="Arial" w:hAnsi="Arial" w:cs="Arial"/>
          <w:sz w:val="22"/>
          <w:szCs w:val="22"/>
        </w:rPr>
        <w:t xml:space="preserve">, 10, 1002466. </w:t>
      </w:r>
      <w:hyperlink r:id="rId20" w:history="1">
        <w:r w:rsidRPr="00115618">
          <w:rPr>
            <w:rFonts w:ascii="Arial" w:hAnsi="Arial" w:cs="Arial"/>
            <w:color w:val="0000FF" w:themeColor="hyperlink"/>
            <w:sz w:val="22"/>
            <w:szCs w:val="22"/>
            <w:u w:val="single"/>
          </w:rPr>
          <w:t>https://www.frontiersin.org/journals/public-health/articles/10.3389/fpubh.2022.1002466/pdf</w:t>
        </w:r>
      </w:hyperlink>
    </w:p>
    <w:p w14:paraId="36D2CE6E" w14:textId="4FBCE05A" w:rsidR="00115618" w:rsidRPr="00245121" w:rsidRDefault="00115618" w:rsidP="00115618">
      <w:pPr>
        <w:pStyle w:val="ListParagraph"/>
        <w:numPr>
          <w:ilvl w:val="0"/>
          <w:numId w:val="41"/>
        </w:numPr>
        <w:jc w:val="both"/>
        <w:rPr>
          <w:rFonts w:ascii="Arial" w:hAnsi="Arial" w:cs="Arial"/>
          <w:color w:val="000000" w:themeColor="text1"/>
          <w:sz w:val="22"/>
          <w:szCs w:val="22"/>
        </w:rPr>
      </w:pPr>
      <w:r w:rsidRPr="00115618">
        <w:rPr>
          <w:rFonts w:ascii="Arial" w:hAnsi="Arial" w:cs="Arial"/>
          <w:kern w:val="2"/>
          <w:sz w:val="22"/>
          <w:szCs w:val="22"/>
        </w:rPr>
        <w:t xml:space="preserve">Jiang, K., Zhang, L., </w:t>
      </w:r>
      <w:proofErr w:type="spellStart"/>
      <w:r w:rsidRPr="00115618">
        <w:rPr>
          <w:rFonts w:ascii="Arial" w:hAnsi="Arial" w:cs="Arial"/>
          <w:kern w:val="2"/>
          <w:sz w:val="22"/>
          <w:szCs w:val="22"/>
        </w:rPr>
        <w:t>Xie</w:t>
      </w:r>
      <w:proofErr w:type="spellEnd"/>
      <w:r w:rsidRPr="00115618">
        <w:rPr>
          <w:rFonts w:ascii="Arial" w:hAnsi="Arial" w:cs="Arial"/>
          <w:kern w:val="2"/>
          <w:sz w:val="22"/>
          <w:szCs w:val="22"/>
        </w:rPr>
        <w:t xml:space="preserve">, C., Li, Z., Shi, Z., Sharma, M., &amp; Zhao, Y. (2024). Understanding the Knowledge, Attitudes, and Practices of Healthy Eating among Adolescents in Chongqing, China: An Empirical Study Utilizing Structural Equation Modeling. </w:t>
      </w:r>
      <w:r w:rsidRPr="00115618">
        <w:rPr>
          <w:rFonts w:ascii="Arial" w:hAnsi="Arial" w:cs="Arial"/>
          <w:i/>
          <w:iCs/>
          <w:kern w:val="2"/>
          <w:sz w:val="22"/>
          <w:szCs w:val="22"/>
        </w:rPr>
        <w:t>Nutrients, 16</w:t>
      </w:r>
      <w:r w:rsidRPr="00115618">
        <w:rPr>
          <w:rFonts w:ascii="Arial" w:hAnsi="Arial" w:cs="Arial"/>
          <w:kern w:val="2"/>
          <w:sz w:val="22"/>
          <w:szCs w:val="22"/>
        </w:rPr>
        <w:t xml:space="preserve">(1), 167. </w:t>
      </w:r>
      <w:hyperlink r:id="rId21" w:tgtFrame="_new" w:history="1">
        <w:r w:rsidRPr="00245121">
          <w:rPr>
            <w:rFonts w:ascii="Arial" w:hAnsi="Arial" w:cs="Arial"/>
            <w:color w:val="0000FF"/>
            <w:kern w:val="2"/>
            <w:sz w:val="22"/>
            <w:szCs w:val="22"/>
            <w:u w:val="single"/>
          </w:rPr>
          <w:t>https://doi.org/10.3390/nu16010167</w:t>
        </w:r>
      </w:hyperlink>
    </w:p>
    <w:p w14:paraId="4E3E7997" w14:textId="77777777" w:rsidR="00245121" w:rsidRPr="00245121" w:rsidRDefault="00115618" w:rsidP="00245121">
      <w:pPr>
        <w:pStyle w:val="ListParagraph"/>
        <w:numPr>
          <w:ilvl w:val="0"/>
          <w:numId w:val="41"/>
        </w:numPr>
        <w:jc w:val="both"/>
        <w:rPr>
          <w:rFonts w:ascii="Arial" w:hAnsi="Arial" w:cs="Arial"/>
          <w:color w:val="000000" w:themeColor="text1"/>
          <w:sz w:val="22"/>
          <w:szCs w:val="22"/>
        </w:rPr>
      </w:pPr>
      <w:r w:rsidRPr="00245121">
        <w:rPr>
          <w:rFonts w:ascii="Arial" w:hAnsi="Arial" w:cs="Arial"/>
          <w:sz w:val="22"/>
          <w:szCs w:val="22"/>
        </w:rPr>
        <w:t xml:space="preserve">Joshi, S. R., </w:t>
      </w:r>
      <w:proofErr w:type="spellStart"/>
      <w:r w:rsidRPr="00245121">
        <w:rPr>
          <w:rFonts w:ascii="Arial" w:hAnsi="Arial" w:cs="Arial"/>
          <w:sz w:val="22"/>
          <w:szCs w:val="22"/>
        </w:rPr>
        <w:t>Anjana</w:t>
      </w:r>
      <w:proofErr w:type="spellEnd"/>
      <w:r w:rsidRPr="00245121">
        <w:rPr>
          <w:rFonts w:ascii="Arial" w:hAnsi="Arial" w:cs="Arial"/>
          <w:sz w:val="22"/>
          <w:szCs w:val="22"/>
        </w:rPr>
        <w:t xml:space="preserve">, R. M., </w:t>
      </w:r>
      <w:proofErr w:type="spellStart"/>
      <w:r w:rsidRPr="00245121">
        <w:rPr>
          <w:rFonts w:ascii="Arial" w:hAnsi="Arial" w:cs="Arial"/>
          <w:sz w:val="22"/>
          <w:szCs w:val="22"/>
        </w:rPr>
        <w:t>Deepa</w:t>
      </w:r>
      <w:proofErr w:type="spellEnd"/>
      <w:r w:rsidRPr="00245121">
        <w:rPr>
          <w:rFonts w:ascii="Arial" w:hAnsi="Arial" w:cs="Arial"/>
          <w:sz w:val="22"/>
          <w:szCs w:val="22"/>
        </w:rPr>
        <w:t xml:space="preserve">, M., </w:t>
      </w:r>
      <w:proofErr w:type="spellStart"/>
      <w:r w:rsidRPr="00245121">
        <w:rPr>
          <w:rFonts w:ascii="Arial" w:hAnsi="Arial" w:cs="Arial"/>
          <w:sz w:val="22"/>
          <w:szCs w:val="22"/>
        </w:rPr>
        <w:t>Pradeepa</w:t>
      </w:r>
      <w:proofErr w:type="spellEnd"/>
      <w:r w:rsidRPr="00245121">
        <w:rPr>
          <w:rFonts w:ascii="Arial" w:hAnsi="Arial" w:cs="Arial"/>
          <w:sz w:val="22"/>
          <w:szCs w:val="22"/>
        </w:rPr>
        <w:t xml:space="preserve">, R., </w:t>
      </w:r>
      <w:proofErr w:type="spellStart"/>
      <w:r w:rsidRPr="00245121">
        <w:rPr>
          <w:rFonts w:ascii="Arial" w:hAnsi="Arial" w:cs="Arial"/>
          <w:sz w:val="22"/>
          <w:szCs w:val="22"/>
        </w:rPr>
        <w:t>Bhansali</w:t>
      </w:r>
      <w:proofErr w:type="spellEnd"/>
      <w:r w:rsidRPr="00245121">
        <w:rPr>
          <w:rFonts w:ascii="Arial" w:hAnsi="Arial" w:cs="Arial"/>
          <w:sz w:val="22"/>
          <w:szCs w:val="22"/>
        </w:rPr>
        <w:t xml:space="preserve">, A., </w:t>
      </w:r>
      <w:proofErr w:type="spellStart"/>
      <w:r w:rsidRPr="00245121">
        <w:rPr>
          <w:rFonts w:ascii="Arial" w:hAnsi="Arial" w:cs="Arial"/>
          <w:sz w:val="22"/>
          <w:szCs w:val="22"/>
        </w:rPr>
        <w:t>Dhandania</w:t>
      </w:r>
      <w:proofErr w:type="spellEnd"/>
      <w:r w:rsidRPr="00245121">
        <w:rPr>
          <w:rFonts w:ascii="Arial" w:hAnsi="Arial" w:cs="Arial"/>
          <w:sz w:val="22"/>
          <w:szCs w:val="22"/>
        </w:rPr>
        <w:t xml:space="preserve">, V. K., Joshi, P. P., </w:t>
      </w:r>
      <w:proofErr w:type="spellStart"/>
      <w:r w:rsidRPr="00245121">
        <w:rPr>
          <w:rFonts w:ascii="Arial" w:hAnsi="Arial" w:cs="Arial"/>
          <w:color w:val="000000" w:themeColor="text1"/>
          <w:sz w:val="22"/>
          <w:szCs w:val="22"/>
        </w:rPr>
        <w:t>Unnikrishnan</w:t>
      </w:r>
      <w:proofErr w:type="spellEnd"/>
      <w:r w:rsidRPr="00245121">
        <w:rPr>
          <w:rFonts w:ascii="Arial" w:hAnsi="Arial" w:cs="Arial"/>
          <w:color w:val="000000" w:themeColor="text1"/>
          <w:sz w:val="22"/>
          <w:szCs w:val="22"/>
        </w:rPr>
        <w:t xml:space="preserve">, R., </w:t>
      </w:r>
      <w:proofErr w:type="spellStart"/>
      <w:r w:rsidRPr="00245121">
        <w:rPr>
          <w:rFonts w:ascii="Arial" w:hAnsi="Arial" w:cs="Arial"/>
          <w:color w:val="000000" w:themeColor="text1"/>
          <w:sz w:val="22"/>
          <w:szCs w:val="22"/>
        </w:rPr>
        <w:t>Nirmal</w:t>
      </w:r>
      <w:proofErr w:type="spellEnd"/>
      <w:r w:rsidRPr="00245121">
        <w:rPr>
          <w:rFonts w:ascii="Arial" w:hAnsi="Arial" w:cs="Arial"/>
          <w:color w:val="000000" w:themeColor="text1"/>
          <w:sz w:val="22"/>
          <w:szCs w:val="22"/>
        </w:rPr>
        <w:t xml:space="preserve">, E., </w:t>
      </w:r>
      <w:proofErr w:type="spellStart"/>
      <w:r w:rsidRPr="00245121">
        <w:rPr>
          <w:rFonts w:ascii="Arial" w:hAnsi="Arial" w:cs="Arial"/>
          <w:color w:val="000000" w:themeColor="text1"/>
          <w:sz w:val="22"/>
          <w:szCs w:val="22"/>
        </w:rPr>
        <w:t>Subashini</w:t>
      </w:r>
      <w:proofErr w:type="spellEnd"/>
      <w:r w:rsidRPr="00245121">
        <w:rPr>
          <w:rFonts w:ascii="Arial" w:hAnsi="Arial" w:cs="Arial"/>
          <w:color w:val="000000" w:themeColor="text1"/>
          <w:sz w:val="22"/>
          <w:szCs w:val="22"/>
        </w:rPr>
        <w:t xml:space="preserve">, R., </w:t>
      </w:r>
      <w:proofErr w:type="spellStart"/>
      <w:r w:rsidRPr="00245121">
        <w:rPr>
          <w:rFonts w:ascii="Arial" w:hAnsi="Arial" w:cs="Arial"/>
          <w:color w:val="000000" w:themeColor="text1"/>
          <w:sz w:val="22"/>
          <w:szCs w:val="22"/>
        </w:rPr>
        <w:t>Madhu</w:t>
      </w:r>
      <w:proofErr w:type="spellEnd"/>
      <w:r w:rsidRPr="00245121">
        <w:rPr>
          <w:rFonts w:ascii="Arial" w:hAnsi="Arial" w:cs="Arial"/>
          <w:color w:val="000000" w:themeColor="text1"/>
          <w:sz w:val="22"/>
          <w:szCs w:val="22"/>
        </w:rPr>
        <w:t xml:space="preserve">, S. V., </w:t>
      </w:r>
      <w:proofErr w:type="spellStart"/>
      <w:r w:rsidRPr="00245121">
        <w:rPr>
          <w:rFonts w:ascii="Arial" w:hAnsi="Arial" w:cs="Arial"/>
          <w:color w:val="000000" w:themeColor="text1"/>
          <w:sz w:val="22"/>
          <w:szCs w:val="22"/>
        </w:rPr>
        <w:t>Rao</w:t>
      </w:r>
      <w:proofErr w:type="spellEnd"/>
      <w:r w:rsidRPr="00245121">
        <w:rPr>
          <w:rFonts w:ascii="Arial" w:hAnsi="Arial" w:cs="Arial"/>
          <w:color w:val="000000" w:themeColor="text1"/>
          <w:sz w:val="22"/>
          <w:szCs w:val="22"/>
        </w:rPr>
        <w:t xml:space="preserve">, P. V., Das, A. K., </w:t>
      </w:r>
      <w:proofErr w:type="spellStart"/>
      <w:r w:rsidRPr="00245121">
        <w:rPr>
          <w:rFonts w:ascii="Arial" w:hAnsi="Arial" w:cs="Arial"/>
          <w:color w:val="000000" w:themeColor="text1"/>
          <w:sz w:val="22"/>
          <w:szCs w:val="22"/>
        </w:rPr>
        <w:t>Kaur</w:t>
      </w:r>
      <w:proofErr w:type="spellEnd"/>
      <w:r w:rsidRPr="00245121">
        <w:rPr>
          <w:rFonts w:ascii="Arial" w:hAnsi="Arial" w:cs="Arial"/>
          <w:color w:val="000000" w:themeColor="text1"/>
          <w:sz w:val="22"/>
          <w:szCs w:val="22"/>
        </w:rPr>
        <w:t xml:space="preserve">, T., </w:t>
      </w:r>
      <w:proofErr w:type="spellStart"/>
      <w:r w:rsidRPr="00245121">
        <w:rPr>
          <w:rFonts w:ascii="Arial" w:hAnsi="Arial" w:cs="Arial"/>
          <w:color w:val="000000" w:themeColor="text1"/>
          <w:sz w:val="22"/>
          <w:szCs w:val="22"/>
        </w:rPr>
        <w:t>Shukla</w:t>
      </w:r>
      <w:proofErr w:type="spellEnd"/>
      <w:r w:rsidRPr="00245121">
        <w:rPr>
          <w:rFonts w:ascii="Arial" w:hAnsi="Arial" w:cs="Arial"/>
          <w:color w:val="000000" w:themeColor="text1"/>
          <w:sz w:val="22"/>
          <w:szCs w:val="22"/>
        </w:rPr>
        <w:t xml:space="preserve">, D. K., &amp; Mohan, V.; ICMR-INDIAB Collaborative Study Group. (2014). </w:t>
      </w:r>
      <w:r w:rsidRPr="00245121">
        <w:rPr>
          <w:rStyle w:val="Emphasis"/>
          <w:rFonts w:ascii="Arial" w:hAnsi="Arial" w:cs="Arial"/>
          <w:color w:val="000000" w:themeColor="text1"/>
          <w:sz w:val="22"/>
          <w:szCs w:val="22"/>
        </w:rPr>
        <w:t>Prevalence of dyslipidemia in urban and rural India: The ICMR-INDIAB study.</w:t>
      </w:r>
      <w:r w:rsidRPr="00245121">
        <w:rPr>
          <w:rFonts w:ascii="Arial" w:hAnsi="Arial" w:cs="Arial"/>
          <w:color w:val="000000" w:themeColor="text1"/>
          <w:sz w:val="22"/>
          <w:szCs w:val="22"/>
        </w:rPr>
        <w:t xml:space="preserve"> </w:t>
      </w:r>
      <w:proofErr w:type="spellStart"/>
      <w:r w:rsidRPr="00245121">
        <w:rPr>
          <w:rStyle w:val="Strong"/>
          <w:rFonts w:ascii="Arial" w:hAnsi="Arial" w:cs="Arial"/>
          <w:color w:val="000000" w:themeColor="text1"/>
          <w:sz w:val="22"/>
          <w:szCs w:val="22"/>
        </w:rPr>
        <w:t>PLoS</w:t>
      </w:r>
      <w:proofErr w:type="spellEnd"/>
      <w:r w:rsidRPr="00245121">
        <w:rPr>
          <w:rStyle w:val="Strong"/>
          <w:rFonts w:ascii="Arial" w:hAnsi="Arial" w:cs="Arial"/>
          <w:color w:val="000000" w:themeColor="text1"/>
          <w:sz w:val="22"/>
          <w:szCs w:val="22"/>
        </w:rPr>
        <w:t xml:space="preserve"> ONE, 9</w:t>
      </w:r>
      <w:r w:rsidRPr="00245121">
        <w:rPr>
          <w:rFonts w:ascii="Arial" w:hAnsi="Arial" w:cs="Arial"/>
          <w:color w:val="000000" w:themeColor="text1"/>
          <w:sz w:val="22"/>
          <w:szCs w:val="22"/>
        </w:rPr>
        <w:t xml:space="preserve">(5), e9680. </w:t>
      </w:r>
      <w:bookmarkStart w:id="11" w:name="_Hlk215087308"/>
      <w:r w:rsidRPr="00245121">
        <w:rPr>
          <w:rFonts w:ascii="Arial" w:hAnsi="Arial" w:cs="Arial"/>
          <w:color w:val="000000" w:themeColor="text1"/>
          <w:sz w:val="22"/>
          <w:szCs w:val="22"/>
        </w:rPr>
        <w:fldChar w:fldCharType="begin"/>
      </w:r>
      <w:r w:rsidRPr="00245121">
        <w:rPr>
          <w:rFonts w:ascii="Arial" w:hAnsi="Arial" w:cs="Arial"/>
          <w:color w:val="000000" w:themeColor="text1"/>
          <w:sz w:val="22"/>
          <w:szCs w:val="22"/>
        </w:rPr>
        <w:instrText>HYPERLINK "https://doi.org/10.1371/journal.pone.0096808"</w:instrText>
      </w:r>
      <w:r w:rsidRPr="00245121">
        <w:rPr>
          <w:rFonts w:ascii="Arial" w:hAnsi="Arial" w:cs="Arial"/>
          <w:color w:val="000000" w:themeColor="text1"/>
          <w:sz w:val="22"/>
          <w:szCs w:val="22"/>
        </w:rPr>
        <w:fldChar w:fldCharType="separate"/>
      </w:r>
      <w:r w:rsidRPr="00245121">
        <w:rPr>
          <w:rStyle w:val="Hyperlink"/>
          <w:rFonts w:ascii="Arial" w:hAnsi="Arial" w:cs="Arial"/>
          <w:color w:val="000000" w:themeColor="text1"/>
          <w:sz w:val="22"/>
          <w:szCs w:val="22"/>
        </w:rPr>
        <w:t>https://doi.org/10.1371/journal.pone.0096808</w:t>
      </w:r>
      <w:r w:rsidRPr="00245121">
        <w:rPr>
          <w:rFonts w:ascii="Arial" w:hAnsi="Arial" w:cs="Arial"/>
          <w:color w:val="000000" w:themeColor="text1"/>
          <w:sz w:val="22"/>
          <w:szCs w:val="22"/>
        </w:rPr>
        <w:fldChar w:fldCharType="end"/>
      </w:r>
      <w:bookmarkEnd w:id="11"/>
    </w:p>
    <w:p w14:paraId="5E644BEB"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r w:rsidRPr="00245121">
        <w:rPr>
          <w:rFonts w:ascii="Arial" w:hAnsi="Arial" w:cs="Arial"/>
          <w:sz w:val="22"/>
          <w:szCs w:val="22"/>
        </w:rPr>
        <w:t xml:space="preserve">Liao, Y., &amp; Yang, J. (2023). Status of nutrition labeling knowledge, attitude, and practice (KAP) of residents in the community and structural equation modeling analysis. </w:t>
      </w:r>
      <w:r w:rsidRPr="00245121">
        <w:rPr>
          <w:rStyle w:val="Emphasis"/>
          <w:rFonts w:ascii="Arial" w:hAnsi="Arial" w:cs="Arial"/>
          <w:sz w:val="22"/>
          <w:szCs w:val="22"/>
        </w:rPr>
        <w:t>Frontiers in Nutrition, 10</w:t>
      </w:r>
      <w:r w:rsidRPr="00245121">
        <w:rPr>
          <w:rFonts w:ascii="Arial" w:hAnsi="Arial" w:cs="Arial"/>
          <w:sz w:val="22"/>
          <w:szCs w:val="22"/>
        </w:rPr>
        <w:t xml:space="preserve">, 1097562. </w:t>
      </w:r>
      <w:hyperlink r:id="rId22" w:history="1">
        <w:r w:rsidRPr="00245121">
          <w:rPr>
            <w:rStyle w:val="Hyperlink"/>
            <w:rFonts w:ascii="Arial" w:hAnsi="Arial" w:cs="Arial"/>
            <w:color w:val="000000" w:themeColor="text1"/>
            <w:sz w:val="22"/>
            <w:szCs w:val="22"/>
          </w:rPr>
          <w:t>https://doi.org/10.3389/fnut.2023.1097562</w:t>
        </w:r>
      </w:hyperlink>
    </w:p>
    <w:p w14:paraId="48609A53"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r w:rsidRPr="00245121">
        <w:rPr>
          <w:rFonts w:ascii="Arial" w:hAnsi="Arial" w:cs="Arial"/>
          <w:sz w:val="22"/>
          <w:szCs w:val="22"/>
        </w:rPr>
        <w:t xml:space="preserve">Mach, F., </w:t>
      </w:r>
      <w:proofErr w:type="spellStart"/>
      <w:r w:rsidRPr="00245121">
        <w:rPr>
          <w:rFonts w:ascii="Arial" w:hAnsi="Arial" w:cs="Arial"/>
          <w:sz w:val="22"/>
          <w:szCs w:val="22"/>
        </w:rPr>
        <w:t>Baigent</w:t>
      </w:r>
      <w:proofErr w:type="spellEnd"/>
      <w:r w:rsidRPr="00245121">
        <w:rPr>
          <w:rFonts w:ascii="Arial" w:hAnsi="Arial" w:cs="Arial"/>
          <w:sz w:val="22"/>
          <w:szCs w:val="22"/>
        </w:rPr>
        <w:t xml:space="preserve">, C., &amp; </w:t>
      </w:r>
      <w:proofErr w:type="spellStart"/>
      <w:r w:rsidRPr="00245121">
        <w:rPr>
          <w:rFonts w:ascii="Arial" w:hAnsi="Arial" w:cs="Arial"/>
          <w:sz w:val="22"/>
          <w:szCs w:val="22"/>
        </w:rPr>
        <w:t>Catapano</w:t>
      </w:r>
      <w:proofErr w:type="spellEnd"/>
      <w:r w:rsidRPr="00245121">
        <w:rPr>
          <w:rFonts w:ascii="Arial" w:hAnsi="Arial" w:cs="Arial"/>
          <w:sz w:val="22"/>
          <w:szCs w:val="22"/>
        </w:rPr>
        <w:t xml:space="preserve">, A. L. (2019). 2019 ESC/EAS guidelines for the management of </w:t>
      </w:r>
      <w:proofErr w:type="spellStart"/>
      <w:r w:rsidRPr="00245121">
        <w:rPr>
          <w:rFonts w:ascii="Arial" w:hAnsi="Arial" w:cs="Arial"/>
          <w:sz w:val="22"/>
          <w:szCs w:val="22"/>
        </w:rPr>
        <w:t>dyslipidaemias</w:t>
      </w:r>
      <w:proofErr w:type="spellEnd"/>
      <w:r w:rsidRPr="00245121">
        <w:rPr>
          <w:rFonts w:ascii="Arial" w:hAnsi="Arial" w:cs="Arial"/>
          <w:sz w:val="22"/>
          <w:szCs w:val="22"/>
        </w:rPr>
        <w:t xml:space="preserve">. </w:t>
      </w:r>
      <w:r w:rsidRPr="00245121">
        <w:rPr>
          <w:rFonts w:ascii="Arial" w:hAnsi="Arial" w:cs="Arial"/>
          <w:i/>
          <w:iCs/>
          <w:sz w:val="22"/>
          <w:szCs w:val="22"/>
        </w:rPr>
        <w:t>European Heart Journal</w:t>
      </w:r>
      <w:r w:rsidRPr="00245121">
        <w:rPr>
          <w:rFonts w:ascii="Arial" w:hAnsi="Arial" w:cs="Arial"/>
          <w:sz w:val="22"/>
          <w:szCs w:val="22"/>
        </w:rPr>
        <w:t xml:space="preserve">, 41(1), 111-188. </w:t>
      </w:r>
      <w:hyperlink r:id="rId23" w:history="1">
        <w:r w:rsidRPr="00245121">
          <w:rPr>
            <w:rStyle w:val="Hyperlink"/>
            <w:rFonts w:ascii="Arial" w:hAnsi="Arial" w:cs="Arial"/>
            <w:color w:val="000000" w:themeColor="text1"/>
            <w:sz w:val="22"/>
            <w:szCs w:val="22"/>
          </w:rPr>
          <w:t>https://academic.oup.com/eurheartj/article/41/1/111/5556353</w:t>
        </w:r>
      </w:hyperlink>
    </w:p>
    <w:p w14:paraId="46E3EA98" w14:textId="77777777" w:rsid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Style w:val="Strong"/>
          <w:rFonts w:ascii="Arial" w:hAnsi="Arial" w:cs="Arial"/>
          <w:b w:val="0"/>
          <w:bCs w:val="0"/>
          <w:sz w:val="22"/>
          <w:szCs w:val="22"/>
        </w:rPr>
        <w:t>Mellen</w:t>
      </w:r>
      <w:proofErr w:type="spellEnd"/>
      <w:r w:rsidRPr="00245121">
        <w:rPr>
          <w:rStyle w:val="Strong"/>
          <w:rFonts w:ascii="Arial" w:hAnsi="Arial" w:cs="Arial"/>
          <w:b w:val="0"/>
          <w:bCs w:val="0"/>
          <w:sz w:val="22"/>
          <w:szCs w:val="22"/>
        </w:rPr>
        <w:t>, P. B., Walsh, T. F., &amp; Herrington, D. M. (2008).</w:t>
      </w:r>
      <w:r w:rsidRPr="00245121">
        <w:rPr>
          <w:rFonts w:ascii="Arial" w:hAnsi="Arial" w:cs="Arial"/>
          <w:sz w:val="22"/>
          <w:szCs w:val="22"/>
        </w:rPr>
        <w:t xml:space="preserve"> Whole grain intake and cardiovascular disease: A meta-analysis. </w:t>
      </w:r>
      <w:r w:rsidRPr="00245121">
        <w:rPr>
          <w:rStyle w:val="Emphasis"/>
          <w:rFonts w:ascii="Arial" w:hAnsi="Arial" w:cs="Arial"/>
          <w:sz w:val="22"/>
          <w:szCs w:val="22"/>
        </w:rPr>
        <w:t>Nutrition, Metabolism &amp; Cardiovascular Diseases</w:t>
      </w:r>
      <w:r w:rsidRPr="00245121">
        <w:rPr>
          <w:rFonts w:ascii="Arial" w:hAnsi="Arial" w:cs="Arial"/>
          <w:sz w:val="22"/>
          <w:szCs w:val="22"/>
        </w:rPr>
        <w:t xml:space="preserve">, 18(4), 283–290. </w:t>
      </w:r>
      <w:hyperlink r:id="rId24" w:history="1">
        <w:r w:rsidRPr="00245121">
          <w:rPr>
            <w:rStyle w:val="Hyperlink"/>
            <w:rFonts w:ascii="Arial" w:hAnsi="Arial" w:cs="Arial"/>
            <w:color w:val="000000" w:themeColor="text1"/>
            <w:sz w:val="22"/>
            <w:szCs w:val="22"/>
          </w:rPr>
          <w:t>https://pubmed.ncbi.nlm.nih.gov/17449231/</w:t>
        </w:r>
      </w:hyperlink>
    </w:p>
    <w:p w14:paraId="43782360"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sz w:val="22"/>
          <w:szCs w:val="22"/>
        </w:rPr>
        <w:t>Moitra</w:t>
      </w:r>
      <w:proofErr w:type="spellEnd"/>
      <w:r w:rsidRPr="00245121">
        <w:rPr>
          <w:rFonts w:ascii="Arial" w:hAnsi="Arial" w:cs="Arial"/>
          <w:sz w:val="22"/>
          <w:szCs w:val="22"/>
        </w:rPr>
        <w:t xml:space="preserve">, P., </w:t>
      </w:r>
      <w:proofErr w:type="spellStart"/>
      <w:r w:rsidRPr="00245121">
        <w:rPr>
          <w:rFonts w:ascii="Arial" w:hAnsi="Arial" w:cs="Arial"/>
          <w:sz w:val="22"/>
          <w:szCs w:val="22"/>
        </w:rPr>
        <w:t>Madan</w:t>
      </w:r>
      <w:proofErr w:type="spellEnd"/>
      <w:r w:rsidRPr="00245121">
        <w:rPr>
          <w:rFonts w:ascii="Arial" w:hAnsi="Arial" w:cs="Arial"/>
          <w:sz w:val="22"/>
          <w:szCs w:val="22"/>
        </w:rPr>
        <w:t xml:space="preserve">, J., &amp; </w:t>
      </w:r>
      <w:proofErr w:type="spellStart"/>
      <w:r w:rsidRPr="00245121">
        <w:rPr>
          <w:rFonts w:ascii="Arial" w:hAnsi="Arial" w:cs="Arial"/>
          <w:sz w:val="22"/>
          <w:szCs w:val="22"/>
        </w:rPr>
        <w:t>Verma</w:t>
      </w:r>
      <w:proofErr w:type="spellEnd"/>
      <w:r w:rsidRPr="00245121">
        <w:rPr>
          <w:rFonts w:ascii="Arial" w:hAnsi="Arial" w:cs="Arial"/>
          <w:sz w:val="22"/>
          <w:szCs w:val="22"/>
        </w:rPr>
        <w:t xml:space="preserve">, P. (2021). Impact of a </w:t>
      </w:r>
      <w:proofErr w:type="spellStart"/>
      <w:r w:rsidRPr="00245121">
        <w:rPr>
          <w:rFonts w:ascii="Arial" w:hAnsi="Arial" w:cs="Arial"/>
          <w:sz w:val="22"/>
          <w:szCs w:val="22"/>
        </w:rPr>
        <w:t>behaviourally</w:t>
      </w:r>
      <w:proofErr w:type="spellEnd"/>
      <w:r w:rsidRPr="00245121">
        <w:rPr>
          <w:rFonts w:ascii="Arial" w:hAnsi="Arial" w:cs="Arial"/>
          <w:sz w:val="22"/>
          <w:szCs w:val="22"/>
        </w:rPr>
        <w:t xml:space="preserve"> focused nutrition education intervention on attitudes and practices related to eating habits and activity levels in Indian adolescents. </w:t>
      </w:r>
      <w:r w:rsidRPr="00245121">
        <w:rPr>
          <w:rStyle w:val="Emphasis"/>
          <w:rFonts w:ascii="Arial" w:hAnsi="Arial" w:cs="Arial"/>
          <w:sz w:val="22"/>
          <w:szCs w:val="22"/>
        </w:rPr>
        <w:t>Public Health Nutrition, 24</w:t>
      </w:r>
      <w:r w:rsidRPr="00245121">
        <w:rPr>
          <w:rFonts w:ascii="Arial" w:hAnsi="Arial" w:cs="Arial"/>
          <w:sz w:val="22"/>
          <w:szCs w:val="22"/>
        </w:rPr>
        <w:t xml:space="preserve">(9), 2715–2726. </w:t>
      </w:r>
      <w:hyperlink r:id="rId25" w:history="1">
        <w:r w:rsidRPr="00245121">
          <w:rPr>
            <w:rStyle w:val="Hyperlink"/>
            <w:rFonts w:ascii="Arial" w:hAnsi="Arial" w:cs="Arial"/>
            <w:color w:val="000000" w:themeColor="text1"/>
            <w:sz w:val="22"/>
            <w:szCs w:val="22"/>
          </w:rPr>
          <w:t>https://doi.org/10.1017/S1368980021000203</w:t>
        </w:r>
      </w:hyperlink>
    </w:p>
    <w:p w14:paraId="76C72DB1" w14:textId="77777777" w:rsid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sz w:val="22"/>
          <w:szCs w:val="22"/>
        </w:rPr>
        <w:t>Misra</w:t>
      </w:r>
      <w:proofErr w:type="spellEnd"/>
      <w:r w:rsidRPr="00245121">
        <w:rPr>
          <w:rFonts w:ascii="Arial" w:hAnsi="Arial" w:cs="Arial"/>
          <w:sz w:val="22"/>
          <w:szCs w:val="22"/>
        </w:rPr>
        <w:t xml:space="preserve">, S., &amp; </w:t>
      </w:r>
      <w:proofErr w:type="spellStart"/>
      <w:r w:rsidRPr="00245121">
        <w:rPr>
          <w:rFonts w:ascii="Arial" w:hAnsi="Arial" w:cs="Arial"/>
          <w:sz w:val="22"/>
          <w:szCs w:val="22"/>
        </w:rPr>
        <w:t>Khurana</w:t>
      </w:r>
      <w:proofErr w:type="spellEnd"/>
      <w:r w:rsidRPr="00245121">
        <w:rPr>
          <w:rFonts w:ascii="Arial" w:hAnsi="Arial" w:cs="Arial"/>
          <w:sz w:val="22"/>
          <w:szCs w:val="22"/>
        </w:rPr>
        <w:t xml:space="preserve">, L. (2022). Dyslipidemia in India: A review. </w:t>
      </w:r>
      <w:r w:rsidRPr="00245121">
        <w:rPr>
          <w:rFonts w:ascii="Arial" w:hAnsi="Arial" w:cs="Arial"/>
          <w:i/>
          <w:iCs/>
          <w:sz w:val="22"/>
          <w:szCs w:val="22"/>
        </w:rPr>
        <w:t xml:space="preserve">Journal of Clinical </w:t>
      </w:r>
      <w:proofErr w:type="spellStart"/>
      <w:r w:rsidRPr="00245121">
        <w:rPr>
          <w:rFonts w:ascii="Arial" w:hAnsi="Arial" w:cs="Arial"/>
          <w:i/>
          <w:iCs/>
          <w:sz w:val="22"/>
          <w:szCs w:val="22"/>
        </w:rPr>
        <w:t>Lipidology</w:t>
      </w:r>
      <w:proofErr w:type="spellEnd"/>
      <w:r w:rsidRPr="00245121">
        <w:rPr>
          <w:rFonts w:ascii="Arial" w:hAnsi="Arial" w:cs="Arial"/>
          <w:sz w:val="22"/>
          <w:szCs w:val="22"/>
        </w:rPr>
        <w:t>, 16(3), 300-310</w:t>
      </w:r>
      <w:r w:rsidRPr="00245121">
        <w:rPr>
          <w:rFonts w:ascii="Arial" w:hAnsi="Arial" w:cs="Arial"/>
          <w:color w:val="000000" w:themeColor="text1"/>
          <w:sz w:val="22"/>
          <w:szCs w:val="22"/>
        </w:rPr>
        <w:t xml:space="preserve">. </w:t>
      </w:r>
      <w:hyperlink r:id="rId26" w:history="1">
        <w:r w:rsidRPr="00245121">
          <w:rPr>
            <w:rStyle w:val="Hyperlink"/>
            <w:rFonts w:ascii="Arial" w:hAnsi="Arial" w:cs="Arial"/>
            <w:color w:val="000000" w:themeColor="text1"/>
            <w:sz w:val="22"/>
            <w:szCs w:val="22"/>
          </w:rPr>
          <w:t>https://pubmed.ncbi.nlm.nih.gov/35940234/</w:t>
        </w:r>
      </w:hyperlink>
      <w:r>
        <w:rPr>
          <w:rFonts w:ascii="Arial" w:hAnsi="Arial" w:cs="Arial"/>
          <w:color w:val="000000" w:themeColor="text1"/>
          <w:sz w:val="22"/>
          <w:szCs w:val="22"/>
        </w:rPr>
        <w:t>.</w:t>
      </w:r>
    </w:p>
    <w:p w14:paraId="25D24A98"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r w:rsidRPr="00245121">
        <w:rPr>
          <w:rStyle w:val="Strong"/>
          <w:rFonts w:ascii="Arial" w:hAnsi="Arial" w:cs="Arial"/>
          <w:b w:val="0"/>
          <w:bCs w:val="0"/>
          <w:sz w:val="22"/>
          <w:szCs w:val="22"/>
        </w:rPr>
        <w:t>GBD 2021 Causes of Death Collaborators.</w:t>
      </w:r>
      <w:r w:rsidRPr="00245121">
        <w:rPr>
          <w:rFonts w:ascii="Arial" w:hAnsi="Arial" w:cs="Arial"/>
          <w:sz w:val="22"/>
          <w:szCs w:val="22"/>
        </w:rPr>
        <w:t xml:space="preserve"> Global burden of 288 causes of death and life expectancy </w:t>
      </w:r>
      <w:r w:rsidRPr="00245121">
        <w:rPr>
          <w:rFonts w:ascii="Arial" w:hAnsi="Arial" w:cs="Arial"/>
          <w:color w:val="000000" w:themeColor="text1"/>
          <w:sz w:val="22"/>
          <w:szCs w:val="22"/>
        </w:rPr>
        <w:t xml:space="preserve">decomposition in 204 countries and territories and 811 subnational locations, 1990–2021: a systematic analysis for the Global Burden of Disease Study 2021. </w:t>
      </w:r>
      <w:r w:rsidRPr="00245121">
        <w:rPr>
          <w:rStyle w:val="Emphasis"/>
          <w:rFonts w:ascii="Arial" w:hAnsi="Arial" w:cs="Arial"/>
          <w:color w:val="000000" w:themeColor="text1"/>
          <w:sz w:val="22"/>
          <w:szCs w:val="22"/>
        </w:rPr>
        <w:t>The Lancet</w:t>
      </w:r>
      <w:r w:rsidRPr="00245121">
        <w:rPr>
          <w:rFonts w:ascii="Arial" w:hAnsi="Arial" w:cs="Arial"/>
          <w:color w:val="000000" w:themeColor="text1"/>
          <w:sz w:val="22"/>
          <w:szCs w:val="22"/>
        </w:rPr>
        <w:t xml:space="preserve">. 2024 May 18; 403(10440): 2100–2132. </w:t>
      </w:r>
      <w:hyperlink r:id="rId27" w:history="1">
        <w:r w:rsidRPr="00245121">
          <w:rPr>
            <w:rStyle w:val="Hyperlink"/>
            <w:rFonts w:ascii="Arial" w:hAnsi="Arial" w:cs="Arial"/>
            <w:color w:val="000000" w:themeColor="text1"/>
            <w:sz w:val="22"/>
            <w:szCs w:val="22"/>
          </w:rPr>
          <w:t>https://pubmed.ncbi.nlm.nih.gov/38582094/</w:t>
        </w:r>
      </w:hyperlink>
    </w:p>
    <w:p w14:paraId="21D9F9F2"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color w:val="000000" w:themeColor="text1"/>
          <w:sz w:val="22"/>
          <w:szCs w:val="22"/>
        </w:rPr>
        <w:t>Porada</w:t>
      </w:r>
      <w:proofErr w:type="spellEnd"/>
      <w:r w:rsidRPr="00245121">
        <w:rPr>
          <w:rFonts w:ascii="Arial" w:hAnsi="Arial" w:cs="Arial"/>
          <w:color w:val="000000" w:themeColor="text1"/>
          <w:sz w:val="22"/>
          <w:szCs w:val="22"/>
        </w:rPr>
        <w:t xml:space="preserve">, M., &amp; </w:t>
      </w:r>
      <w:proofErr w:type="spellStart"/>
      <w:r w:rsidRPr="00245121">
        <w:rPr>
          <w:rFonts w:ascii="Arial" w:hAnsi="Arial" w:cs="Arial"/>
          <w:color w:val="000000" w:themeColor="text1"/>
          <w:sz w:val="22"/>
          <w:szCs w:val="22"/>
        </w:rPr>
        <w:t>Bułdak</w:t>
      </w:r>
      <w:proofErr w:type="spellEnd"/>
      <w:r w:rsidRPr="00245121">
        <w:rPr>
          <w:rFonts w:ascii="Arial" w:hAnsi="Arial" w:cs="Arial"/>
          <w:color w:val="000000" w:themeColor="text1"/>
          <w:sz w:val="22"/>
          <w:szCs w:val="22"/>
        </w:rPr>
        <w:t xml:space="preserve">, Ł. (2025). </w:t>
      </w:r>
      <w:r w:rsidRPr="00245121">
        <w:rPr>
          <w:rStyle w:val="Emphasis"/>
          <w:rFonts w:ascii="Arial" w:hAnsi="Arial" w:cs="Arial"/>
          <w:i w:val="0"/>
          <w:iCs w:val="0"/>
          <w:color w:val="000000" w:themeColor="text1"/>
          <w:sz w:val="22"/>
          <w:szCs w:val="22"/>
        </w:rPr>
        <w:t xml:space="preserve">From pathophysiology to practice: Evolving pharmacological therapies, clinical complications, and </w:t>
      </w:r>
      <w:proofErr w:type="spellStart"/>
      <w:r w:rsidRPr="00245121">
        <w:rPr>
          <w:rStyle w:val="Emphasis"/>
          <w:rFonts w:ascii="Arial" w:hAnsi="Arial" w:cs="Arial"/>
          <w:i w:val="0"/>
          <w:iCs w:val="0"/>
          <w:color w:val="000000" w:themeColor="text1"/>
          <w:sz w:val="22"/>
          <w:szCs w:val="22"/>
        </w:rPr>
        <w:t>pharmacogenetic</w:t>
      </w:r>
      <w:proofErr w:type="spellEnd"/>
      <w:r w:rsidRPr="00245121">
        <w:rPr>
          <w:rStyle w:val="Emphasis"/>
          <w:rFonts w:ascii="Arial" w:hAnsi="Arial" w:cs="Arial"/>
          <w:i w:val="0"/>
          <w:iCs w:val="0"/>
          <w:color w:val="000000" w:themeColor="text1"/>
          <w:sz w:val="22"/>
          <w:szCs w:val="22"/>
        </w:rPr>
        <w:t xml:space="preserve"> considerations in portal hypertension.</w:t>
      </w:r>
      <w:r w:rsidRPr="00245121">
        <w:rPr>
          <w:rFonts w:ascii="Arial" w:hAnsi="Arial" w:cs="Arial"/>
          <w:color w:val="000000" w:themeColor="text1"/>
          <w:sz w:val="22"/>
          <w:szCs w:val="22"/>
        </w:rPr>
        <w:t xml:space="preserve"> </w:t>
      </w:r>
      <w:r w:rsidRPr="00245121">
        <w:rPr>
          <w:rStyle w:val="Strong"/>
          <w:rFonts w:ascii="Arial" w:hAnsi="Arial" w:cs="Arial"/>
          <w:color w:val="000000" w:themeColor="text1"/>
          <w:sz w:val="22"/>
          <w:szCs w:val="22"/>
        </w:rPr>
        <w:t>Metabolites, 15</w:t>
      </w:r>
      <w:r w:rsidRPr="00245121">
        <w:rPr>
          <w:rFonts w:ascii="Arial" w:hAnsi="Arial" w:cs="Arial"/>
          <w:color w:val="000000" w:themeColor="text1"/>
          <w:sz w:val="22"/>
          <w:szCs w:val="22"/>
        </w:rPr>
        <w:t xml:space="preserve">(2), 72. </w:t>
      </w:r>
      <w:hyperlink r:id="rId28" w:history="1">
        <w:r w:rsidRPr="00245121">
          <w:rPr>
            <w:rStyle w:val="Hyperlink"/>
            <w:rFonts w:ascii="Arial" w:hAnsi="Arial" w:cs="Arial"/>
            <w:color w:val="000000" w:themeColor="text1"/>
            <w:sz w:val="22"/>
            <w:szCs w:val="22"/>
          </w:rPr>
          <w:t>https://doi.org/10.3390/metabo15020072</w:t>
        </w:r>
      </w:hyperlink>
    </w:p>
    <w:p w14:paraId="4FFB69E5" w14:textId="54BAEB19" w:rsidR="00245121" w:rsidRP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color w:val="000000" w:themeColor="text1"/>
          <w:sz w:val="22"/>
          <w:szCs w:val="22"/>
        </w:rPr>
        <w:lastRenderedPageBreak/>
        <w:t>Rajalakshmy</w:t>
      </w:r>
      <w:proofErr w:type="spellEnd"/>
      <w:r w:rsidRPr="00245121">
        <w:rPr>
          <w:rFonts w:ascii="Arial" w:hAnsi="Arial" w:cs="Arial"/>
          <w:color w:val="000000" w:themeColor="text1"/>
          <w:sz w:val="22"/>
          <w:szCs w:val="22"/>
        </w:rPr>
        <w:t xml:space="preserve">, P., &amp; </w:t>
      </w:r>
      <w:proofErr w:type="spellStart"/>
      <w:r w:rsidRPr="00245121">
        <w:rPr>
          <w:rFonts w:ascii="Arial" w:hAnsi="Arial" w:cs="Arial"/>
          <w:color w:val="000000" w:themeColor="text1"/>
          <w:sz w:val="22"/>
          <w:szCs w:val="22"/>
        </w:rPr>
        <w:t>Srinivasan</w:t>
      </w:r>
      <w:proofErr w:type="spellEnd"/>
      <w:r w:rsidRPr="00245121">
        <w:rPr>
          <w:rFonts w:ascii="Arial" w:hAnsi="Arial" w:cs="Arial"/>
          <w:color w:val="000000" w:themeColor="text1"/>
          <w:sz w:val="22"/>
          <w:szCs w:val="22"/>
        </w:rPr>
        <w:t xml:space="preserve">, K. (2019). Knowledge, attitude, and practice regarding nutrition among healthcare professionals. </w:t>
      </w:r>
      <w:r w:rsidRPr="00245121">
        <w:rPr>
          <w:rFonts w:ascii="Arial" w:hAnsi="Arial" w:cs="Arial"/>
          <w:i/>
          <w:iCs/>
          <w:color w:val="000000" w:themeColor="text1"/>
          <w:sz w:val="22"/>
          <w:szCs w:val="22"/>
        </w:rPr>
        <w:t>Journal of Clinical Nutrition</w:t>
      </w:r>
      <w:r w:rsidRPr="00245121">
        <w:rPr>
          <w:rFonts w:ascii="Arial" w:hAnsi="Arial" w:cs="Arial"/>
          <w:color w:val="000000" w:themeColor="text1"/>
          <w:sz w:val="22"/>
          <w:szCs w:val="22"/>
        </w:rPr>
        <w:t xml:space="preserve">, 33(2), 123-130. </w:t>
      </w:r>
      <w:hyperlink r:id="rId29" w:history="1">
        <w:r w:rsidRPr="00245121">
          <w:rPr>
            <w:rStyle w:val="Hyperlink"/>
            <w:rFonts w:ascii="Arial" w:hAnsi="Arial" w:cs="Arial"/>
            <w:color w:val="000000" w:themeColor="text1"/>
            <w:sz w:val="22"/>
            <w:szCs w:val="22"/>
          </w:rPr>
          <w:t>https://www.ijmbs.info/index.php/ijmbs/article/view/261</w:t>
        </w:r>
      </w:hyperlink>
    </w:p>
    <w:p w14:paraId="18555D11" w14:textId="77777777" w:rsid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color w:val="000000" w:themeColor="text1"/>
          <w:sz w:val="22"/>
          <w:szCs w:val="22"/>
        </w:rPr>
        <w:t>Rasouli</w:t>
      </w:r>
      <w:proofErr w:type="spellEnd"/>
      <w:r w:rsidRPr="00245121">
        <w:rPr>
          <w:rFonts w:ascii="Arial" w:hAnsi="Arial" w:cs="Arial"/>
          <w:color w:val="000000" w:themeColor="text1"/>
          <w:sz w:val="22"/>
          <w:szCs w:val="22"/>
        </w:rPr>
        <w:t xml:space="preserve">, A., </w:t>
      </w:r>
      <w:proofErr w:type="spellStart"/>
      <w:r w:rsidRPr="00245121">
        <w:rPr>
          <w:rFonts w:ascii="Arial" w:hAnsi="Arial" w:cs="Arial"/>
          <w:color w:val="000000" w:themeColor="text1"/>
          <w:sz w:val="22"/>
          <w:szCs w:val="22"/>
        </w:rPr>
        <w:t>Badpeyma</w:t>
      </w:r>
      <w:proofErr w:type="spellEnd"/>
      <w:r w:rsidRPr="00245121">
        <w:rPr>
          <w:rFonts w:ascii="Arial" w:hAnsi="Arial" w:cs="Arial"/>
          <w:color w:val="000000" w:themeColor="text1"/>
          <w:sz w:val="22"/>
          <w:szCs w:val="22"/>
        </w:rPr>
        <w:t xml:space="preserve">, M., </w:t>
      </w:r>
      <w:proofErr w:type="spellStart"/>
      <w:r w:rsidRPr="00245121">
        <w:rPr>
          <w:rFonts w:ascii="Arial" w:hAnsi="Arial" w:cs="Arial"/>
          <w:color w:val="000000" w:themeColor="text1"/>
          <w:sz w:val="22"/>
          <w:szCs w:val="22"/>
        </w:rPr>
        <w:t>Kazemi</w:t>
      </w:r>
      <w:proofErr w:type="spellEnd"/>
      <w:r w:rsidRPr="00245121">
        <w:rPr>
          <w:rFonts w:ascii="Arial" w:hAnsi="Arial" w:cs="Arial"/>
          <w:color w:val="000000" w:themeColor="text1"/>
          <w:sz w:val="22"/>
          <w:szCs w:val="22"/>
        </w:rPr>
        <w:t xml:space="preserve">, M., &amp; et al. (2025). Knowledge, attitudes, and practices (KAP) regarding nutrition among bodybuilders of </w:t>
      </w:r>
      <w:proofErr w:type="spellStart"/>
      <w:r w:rsidRPr="00245121">
        <w:rPr>
          <w:rFonts w:ascii="Arial" w:hAnsi="Arial" w:cs="Arial"/>
          <w:color w:val="000000" w:themeColor="text1"/>
          <w:sz w:val="22"/>
          <w:szCs w:val="22"/>
        </w:rPr>
        <w:t>Zanjan</w:t>
      </w:r>
      <w:proofErr w:type="spellEnd"/>
      <w:r w:rsidRPr="00245121">
        <w:rPr>
          <w:rFonts w:ascii="Arial" w:hAnsi="Arial" w:cs="Arial"/>
          <w:color w:val="000000" w:themeColor="text1"/>
          <w:sz w:val="22"/>
          <w:szCs w:val="22"/>
        </w:rPr>
        <w:t xml:space="preserve">, Northwest of Iran: A cross-sectional study. </w:t>
      </w:r>
      <w:r w:rsidRPr="00245121">
        <w:rPr>
          <w:rFonts w:ascii="Arial" w:hAnsi="Arial" w:cs="Arial"/>
          <w:i/>
          <w:iCs/>
          <w:color w:val="000000" w:themeColor="text1"/>
          <w:sz w:val="22"/>
          <w:szCs w:val="22"/>
        </w:rPr>
        <w:t>BMC Sports Science, Medicine and Rehabilitation</w:t>
      </w:r>
      <w:r w:rsidRPr="00245121">
        <w:rPr>
          <w:rFonts w:ascii="Arial" w:hAnsi="Arial" w:cs="Arial"/>
          <w:color w:val="000000" w:themeColor="text1"/>
          <w:sz w:val="22"/>
          <w:szCs w:val="22"/>
        </w:rPr>
        <w:t xml:space="preserve">, 17, 235. </w:t>
      </w:r>
      <w:hyperlink r:id="rId30" w:history="1">
        <w:r w:rsidRPr="00245121">
          <w:rPr>
            <w:rFonts w:ascii="Arial" w:hAnsi="Arial" w:cs="Arial"/>
            <w:color w:val="000000" w:themeColor="text1"/>
            <w:sz w:val="22"/>
            <w:szCs w:val="22"/>
            <w:u w:val="single"/>
          </w:rPr>
          <w:t>https://link.springer.com/content/pdf/10.1186/s13102-025-01196-1.pdf</w:t>
        </w:r>
      </w:hyperlink>
    </w:p>
    <w:p w14:paraId="45DE544A"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color w:val="000000" w:themeColor="text1"/>
          <w:sz w:val="22"/>
          <w:szCs w:val="22"/>
        </w:rPr>
        <w:t>Rabiee</w:t>
      </w:r>
      <w:proofErr w:type="spellEnd"/>
      <w:r w:rsidRPr="00245121">
        <w:rPr>
          <w:rFonts w:ascii="Arial" w:hAnsi="Arial" w:cs="Arial"/>
          <w:color w:val="000000" w:themeColor="text1"/>
          <w:sz w:val="22"/>
          <w:szCs w:val="22"/>
        </w:rPr>
        <w:t xml:space="preserve"> Rad, M., </w:t>
      </w:r>
      <w:proofErr w:type="spellStart"/>
      <w:r w:rsidRPr="00245121">
        <w:rPr>
          <w:rFonts w:ascii="Arial" w:hAnsi="Arial" w:cs="Arial"/>
          <w:color w:val="000000" w:themeColor="text1"/>
          <w:sz w:val="22"/>
          <w:szCs w:val="22"/>
        </w:rPr>
        <w:t>Ghasempour</w:t>
      </w:r>
      <w:proofErr w:type="spellEnd"/>
      <w:r w:rsidRPr="00245121">
        <w:rPr>
          <w:rFonts w:ascii="Arial" w:hAnsi="Arial" w:cs="Arial"/>
          <w:color w:val="000000" w:themeColor="text1"/>
          <w:sz w:val="22"/>
          <w:szCs w:val="22"/>
        </w:rPr>
        <w:t xml:space="preserve"> </w:t>
      </w:r>
      <w:proofErr w:type="spellStart"/>
      <w:r w:rsidRPr="00245121">
        <w:rPr>
          <w:rFonts w:ascii="Arial" w:hAnsi="Arial" w:cs="Arial"/>
          <w:color w:val="000000" w:themeColor="text1"/>
          <w:sz w:val="22"/>
          <w:szCs w:val="22"/>
        </w:rPr>
        <w:t>Dabaghi</w:t>
      </w:r>
      <w:proofErr w:type="spellEnd"/>
      <w:r w:rsidRPr="00245121">
        <w:rPr>
          <w:rFonts w:ascii="Arial" w:hAnsi="Arial" w:cs="Arial"/>
          <w:color w:val="000000" w:themeColor="text1"/>
          <w:sz w:val="22"/>
          <w:szCs w:val="22"/>
        </w:rPr>
        <w:t xml:space="preserve">, G., </w:t>
      </w:r>
      <w:proofErr w:type="spellStart"/>
      <w:r w:rsidRPr="00245121">
        <w:rPr>
          <w:rFonts w:ascii="Arial" w:hAnsi="Arial" w:cs="Arial"/>
          <w:color w:val="000000" w:themeColor="text1"/>
          <w:sz w:val="22"/>
          <w:szCs w:val="22"/>
        </w:rPr>
        <w:t>Darouei</w:t>
      </w:r>
      <w:proofErr w:type="spellEnd"/>
      <w:r w:rsidRPr="00245121">
        <w:rPr>
          <w:rFonts w:ascii="Arial" w:hAnsi="Arial" w:cs="Arial"/>
          <w:color w:val="000000" w:themeColor="text1"/>
          <w:sz w:val="22"/>
          <w:szCs w:val="22"/>
        </w:rPr>
        <w:t xml:space="preserve">, B., &amp; </w:t>
      </w:r>
      <w:proofErr w:type="spellStart"/>
      <w:r w:rsidRPr="00245121">
        <w:rPr>
          <w:rFonts w:ascii="Arial" w:hAnsi="Arial" w:cs="Arial"/>
          <w:color w:val="000000" w:themeColor="text1"/>
          <w:sz w:val="22"/>
          <w:szCs w:val="22"/>
        </w:rPr>
        <w:t>Amani-Beni</w:t>
      </w:r>
      <w:proofErr w:type="spellEnd"/>
      <w:r w:rsidRPr="00245121">
        <w:rPr>
          <w:rFonts w:ascii="Arial" w:hAnsi="Arial" w:cs="Arial"/>
          <w:color w:val="000000" w:themeColor="text1"/>
          <w:sz w:val="22"/>
          <w:szCs w:val="22"/>
        </w:rPr>
        <w:t xml:space="preserve">, R. (2024). </w:t>
      </w:r>
      <w:r w:rsidRPr="00245121">
        <w:rPr>
          <w:rStyle w:val="Emphasis"/>
          <w:rFonts w:ascii="Arial" w:hAnsi="Arial" w:cs="Arial"/>
          <w:color w:val="000000" w:themeColor="text1"/>
          <w:sz w:val="22"/>
          <w:szCs w:val="22"/>
        </w:rPr>
        <w:t xml:space="preserve">The association of </w:t>
      </w:r>
      <w:proofErr w:type="spellStart"/>
      <w:r w:rsidRPr="00245121">
        <w:rPr>
          <w:rStyle w:val="Emphasis"/>
          <w:rFonts w:ascii="Arial" w:hAnsi="Arial" w:cs="Arial"/>
          <w:color w:val="000000" w:themeColor="text1"/>
          <w:sz w:val="22"/>
          <w:szCs w:val="22"/>
        </w:rPr>
        <w:t>atherogenic</w:t>
      </w:r>
      <w:proofErr w:type="spellEnd"/>
      <w:r w:rsidRPr="00245121">
        <w:rPr>
          <w:rStyle w:val="Emphasis"/>
          <w:rFonts w:ascii="Arial" w:hAnsi="Arial" w:cs="Arial"/>
          <w:color w:val="000000" w:themeColor="text1"/>
          <w:sz w:val="22"/>
          <w:szCs w:val="22"/>
        </w:rPr>
        <w:t xml:space="preserve"> index of plasma with cardiovascular outcomes in patients with coronary artery disease: A systematic review and meta-analysis</w:t>
      </w:r>
      <w:r w:rsidRPr="00245121">
        <w:rPr>
          <w:rFonts w:ascii="Arial" w:hAnsi="Arial" w:cs="Arial"/>
          <w:color w:val="000000" w:themeColor="text1"/>
          <w:sz w:val="22"/>
          <w:szCs w:val="22"/>
        </w:rPr>
        <w:t xml:space="preserve">. </w:t>
      </w:r>
      <w:r w:rsidRPr="00245121">
        <w:rPr>
          <w:rStyle w:val="Strong"/>
          <w:rFonts w:ascii="Arial" w:hAnsi="Arial" w:cs="Arial"/>
          <w:color w:val="000000" w:themeColor="text1"/>
          <w:sz w:val="22"/>
          <w:szCs w:val="22"/>
        </w:rPr>
        <w:t xml:space="preserve">Cardiovascular </w:t>
      </w:r>
      <w:proofErr w:type="spellStart"/>
      <w:r w:rsidRPr="00245121">
        <w:rPr>
          <w:rStyle w:val="Strong"/>
          <w:rFonts w:ascii="Arial" w:hAnsi="Arial" w:cs="Arial"/>
          <w:color w:val="000000" w:themeColor="text1"/>
          <w:sz w:val="22"/>
          <w:szCs w:val="22"/>
        </w:rPr>
        <w:t>Diabetology</w:t>
      </w:r>
      <w:proofErr w:type="spellEnd"/>
      <w:r w:rsidRPr="00245121">
        <w:rPr>
          <w:rStyle w:val="Strong"/>
          <w:rFonts w:ascii="Arial" w:hAnsi="Arial" w:cs="Arial"/>
          <w:color w:val="000000" w:themeColor="text1"/>
          <w:sz w:val="22"/>
          <w:szCs w:val="22"/>
        </w:rPr>
        <w:t>, 23</w:t>
      </w:r>
      <w:r w:rsidRPr="00245121">
        <w:rPr>
          <w:rFonts w:ascii="Arial" w:hAnsi="Arial" w:cs="Arial"/>
          <w:color w:val="000000" w:themeColor="text1"/>
          <w:sz w:val="22"/>
          <w:szCs w:val="22"/>
        </w:rPr>
        <w:t xml:space="preserve">, 119. </w:t>
      </w:r>
      <w:hyperlink r:id="rId31" w:history="1">
        <w:r w:rsidRPr="00245121">
          <w:rPr>
            <w:rStyle w:val="Hyperlink"/>
            <w:rFonts w:ascii="Times New Roman" w:hAnsi="Times New Roman"/>
            <w:color w:val="000000" w:themeColor="text1"/>
            <w:sz w:val="24"/>
            <w:szCs w:val="24"/>
          </w:rPr>
          <w:t>https://doi.org/10.1186/s12933-024-02198-y</w:t>
        </w:r>
      </w:hyperlink>
    </w:p>
    <w:p w14:paraId="48CCB011" w14:textId="77777777" w:rsidR="00245121" w:rsidRPr="00245121" w:rsidRDefault="00245121" w:rsidP="00245121">
      <w:pPr>
        <w:pStyle w:val="ListParagraph"/>
        <w:numPr>
          <w:ilvl w:val="0"/>
          <w:numId w:val="41"/>
        </w:numPr>
        <w:jc w:val="both"/>
        <w:rPr>
          <w:rFonts w:ascii="Arial" w:hAnsi="Arial" w:cs="Arial"/>
          <w:color w:val="000000" w:themeColor="text1"/>
          <w:sz w:val="22"/>
          <w:szCs w:val="22"/>
        </w:rPr>
      </w:pPr>
      <w:r w:rsidRPr="00245121">
        <w:rPr>
          <w:rStyle w:val="Strong"/>
          <w:rFonts w:ascii="Times New Roman" w:hAnsi="Times New Roman"/>
          <w:b w:val="0"/>
          <w:bCs w:val="0"/>
          <w:sz w:val="24"/>
          <w:szCs w:val="24"/>
        </w:rPr>
        <w:t xml:space="preserve">Suresh N., Sunil Kumar D., </w:t>
      </w:r>
      <w:proofErr w:type="spellStart"/>
      <w:r w:rsidRPr="00245121">
        <w:rPr>
          <w:rStyle w:val="Strong"/>
          <w:rFonts w:ascii="Times New Roman" w:hAnsi="Times New Roman"/>
          <w:b w:val="0"/>
          <w:bCs w:val="0"/>
          <w:sz w:val="24"/>
          <w:szCs w:val="24"/>
        </w:rPr>
        <w:t>Chandan</w:t>
      </w:r>
      <w:proofErr w:type="spellEnd"/>
      <w:r w:rsidRPr="00245121">
        <w:rPr>
          <w:rStyle w:val="Strong"/>
          <w:rFonts w:ascii="Times New Roman" w:hAnsi="Times New Roman"/>
          <w:b w:val="0"/>
          <w:bCs w:val="0"/>
          <w:sz w:val="24"/>
          <w:szCs w:val="24"/>
        </w:rPr>
        <w:t xml:space="preserve"> N., Murthy M. R. N.</w:t>
      </w:r>
      <w:r w:rsidRPr="00245121">
        <w:rPr>
          <w:rFonts w:ascii="Times New Roman" w:hAnsi="Times New Roman"/>
          <w:sz w:val="24"/>
          <w:szCs w:val="24"/>
        </w:rPr>
        <w:t xml:space="preserve"> “Assessment of knowledge, attitude and </w:t>
      </w:r>
      <w:r w:rsidRPr="00245121">
        <w:rPr>
          <w:rFonts w:ascii="Arial" w:hAnsi="Arial" w:cs="Arial"/>
          <w:color w:val="000000" w:themeColor="text1"/>
          <w:sz w:val="24"/>
          <w:szCs w:val="24"/>
        </w:rPr>
        <w:t xml:space="preserve">practice towards diabetes among type 2 diabetes patients in rural </w:t>
      </w:r>
      <w:proofErr w:type="spellStart"/>
      <w:r w:rsidRPr="00245121">
        <w:rPr>
          <w:rFonts w:ascii="Arial" w:hAnsi="Arial" w:cs="Arial"/>
          <w:color w:val="000000" w:themeColor="text1"/>
          <w:sz w:val="24"/>
          <w:szCs w:val="24"/>
        </w:rPr>
        <w:t>Mysuru</w:t>
      </w:r>
      <w:proofErr w:type="spellEnd"/>
      <w:r w:rsidRPr="00245121">
        <w:rPr>
          <w:rFonts w:ascii="Arial" w:hAnsi="Arial" w:cs="Arial"/>
          <w:color w:val="000000" w:themeColor="text1"/>
          <w:sz w:val="24"/>
          <w:szCs w:val="24"/>
        </w:rPr>
        <w:t xml:space="preserve">.” </w:t>
      </w:r>
      <w:r w:rsidRPr="00245121">
        <w:rPr>
          <w:rStyle w:val="Emphasis"/>
          <w:rFonts w:ascii="Arial" w:hAnsi="Arial" w:cs="Arial"/>
          <w:color w:val="000000" w:themeColor="text1"/>
          <w:sz w:val="24"/>
          <w:szCs w:val="24"/>
        </w:rPr>
        <w:t>International Journal of Community Medicine and Public Health</w:t>
      </w:r>
      <w:r w:rsidRPr="00245121">
        <w:rPr>
          <w:rFonts w:ascii="Arial" w:hAnsi="Arial" w:cs="Arial"/>
          <w:color w:val="000000" w:themeColor="text1"/>
          <w:sz w:val="24"/>
          <w:szCs w:val="24"/>
        </w:rPr>
        <w:t xml:space="preserve">. 2021; 8(10): 4857–4861. </w:t>
      </w:r>
      <w:hyperlink r:id="rId32" w:history="1">
        <w:r w:rsidRPr="00245121">
          <w:rPr>
            <w:rStyle w:val="Hyperlink"/>
            <w:rFonts w:ascii="Arial" w:hAnsi="Arial" w:cs="Arial"/>
            <w:color w:val="000000" w:themeColor="text1"/>
            <w:sz w:val="24"/>
            <w:szCs w:val="24"/>
          </w:rPr>
          <w:t>https://doi.org/10.18203/2394-6040.ijcmph20213782</w:t>
        </w:r>
      </w:hyperlink>
      <w:r w:rsidRPr="00245121">
        <w:rPr>
          <w:rFonts w:ascii="Arial" w:hAnsi="Arial" w:cs="Arial"/>
          <w:color w:val="000000" w:themeColor="text1"/>
          <w:sz w:val="24"/>
          <w:szCs w:val="24"/>
        </w:rPr>
        <w:t>.</w:t>
      </w:r>
    </w:p>
    <w:p w14:paraId="0B8C5194" w14:textId="77777777" w:rsidR="006C71F9" w:rsidRPr="006C71F9" w:rsidRDefault="00245121" w:rsidP="006C71F9">
      <w:pPr>
        <w:pStyle w:val="ListParagraph"/>
        <w:numPr>
          <w:ilvl w:val="0"/>
          <w:numId w:val="41"/>
        </w:numPr>
        <w:jc w:val="both"/>
        <w:rPr>
          <w:rFonts w:ascii="Arial" w:hAnsi="Arial" w:cs="Arial"/>
          <w:color w:val="000000" w:themeColor="text1"/>
          <w:sz w:val="22"/>
          <w:szCs w:val="22"/>
        </w:rPr>
      </w:pPr>
      <w:proofErr w:type="spellStart"/>
      <w:r w:rsidRPr="00245121">
        <w:rPr>
          <w:rFonts w:ascii="Arial" w:hAnsi="Arial" w:cs="Arial"/>
          <w:color w:val="000000" w:themeColor="text1"/>
          <w:sz w:val="24"/>
          <w:szCs w:val="24"/>
        </w:rPr>
        <w:t>Vasanthan</w:t>
      </w:r>
      <w:proofErr w:type="spellEnd"/>
      <w:r w:rsidRPr="00245121">
        <w:rPr>
          <w:rFonts w:ascii="Arial" w:hAnsi="Arial" w:cs="Arial"/>
          <w:color w:val="000000" w:themeColor="text1"/>
          <w:sz w:val="24"/>
          <w:szCs w:val="24"/>
        </w:rPr>
        <w:t xml:space="preserve">, M., &amp; Reddy, R. (2021). Effect of educational sessions on KAP among individuals with diabetes and dyslipidemia in South India. </w:t>
      </w:r>
      <w:r w:rsidRPr="00245121">
        <w:rPr>
          <w:rFonts w:ascii="Arial" w:hAnsi="Arial" w:cs="Arial"/>
          <w:i/>
          <w:iCs/>
          <w:color w:val="000000" w:themeColor="text1"/>
          <w:sz w:val="24"/>
          <w:szCs w:val="24"/>
        </w:rPr>
        <w:t>Journal of Clinical Nutrition</w:t>
      </w:r>
      <w:r w:rsidRPr="00245121">
        <w:rPr>
          <w:rFonts w:ascii="Arial" w:hAnsi="Arial" w:cs="Arial"/>
          <w:color w:val="000000" w:themeColor="text1"/>
          <w:sz w:val="24"/>
          <w:szCs w:val="24"/>
        </w:rPr>
        <w:t xml:space="preserve">, 39(4), 345-352. </w:t>
      </w:r>
      <w:hyperlink r:id="rId33" w:history="1">
        <w:r w:rsidRPr="006C71F9">
          <w:rPr>
            <w:rStyle w:val="Hyperlink"/>
            <w:rFonts w:ascii="Arial" w:hAnsi="Arial" w:cs="Arial"/>
            <w:color w:val="000000" w:themeColor="text1"/>
            <w:sz w:val="22"/>
            <w:szCs w:val="22"/>
          </w:rPr>
          <w:t>https://biomedpharmajournal.org/vol14no4/effectiveness-of-educative-session-on-knowledge-attitude-and-practice-on-diabetes-and-dyslipidemia-of-patients-attending-a-private-medical-college-hospital-in-south-india/</w:t>
        </w:r>
      </w:hyperlink>
      <w:r w:rsidR="006C71F9" w:rsidRPr="006C71F9">
        <w:rPr>
          <w:rFonts w:ascii="Arial" w:hAnsi="Arial" w:cs="Arial"/>
          <w:color w:val="000000" w:themeColor="text1"/>
          <w:sz w:val="22"/>
          <w:szCs w:val="22"/>
        </w:rPr>
        <w:t>.</w:t>
      </w:r>
    </w:p>
    <w:p w14:paraId="38917B40" w14:textId="77777777" w:rsidR="006C71F9" w:rsidRPr="006C71F9" w:rsidRDefault="006C71F9" w:rsidP="006C71F9">
      <w:pPr>
        <w:pStyle w:val="ListParagraph"/>
        <w:numPr>
          <w:ilvl w:val="0"/>
          <w:numId w:val="41"/>
        </w:numPr>
        <w:jc w:val="both"/>
        <w:rPr>
          <w:rFonts w:ascii="Arial" w:hAnsi="Arial" w:cs="Arial"/>
          <w:color w:val="000000" w:themeColor="text1"/>
          <w:sz w:val="22"/>
          <w:szCs w:val="22"/>
        </w:rPr>
      </w:pPr>
      <w:r w:rsidRPr="006C71F9">
        <w:rPr>
          <w:rFonts w:ascii="Arial" w:hAnsi="Arial" w:cs="Arial"/>
          <w:sz w:val="22"/>
          <w:szCs w:val="22"/>
        </w:rPr>
        <w:t xml:space="preserve">Qi, L., Ding, X., Tang, W., Li, Q., Mao, D., &amp; Wang, Y. (2015). </w:t>
      </w:r>
      <w:r w:rsidRPr="006C71F9">
        <w:rPr>
          <w:rStyle w:val="Emphasis"/>
          <w:rFonts w:ascii="Arial" w:hAnsi="Arial" w:cs="Arial"/>
          <w:sz w:val="22"/>
          <w:szCs w:val="22"/>
        </w:rPr>
        <w:t>Prevalence and risk factors associated with dyslipidemia in Chongqing, China.</w:t>
      </w:r>
      <w:r w:rsidRPr="006C71F9">
        <w:rPr>
          <w:rFonts w:ascii="Arial" w:hAnsi="Arial" w:cs="Arial"/>
          <w:sz w:val="22"/>
          <w:szCs w:val="22"/>
        </w:rPr>
        <w:t xml:space="preserve"> </w:t>
      </w:r>
      <w:r w:rsidRPr="006C71F9">
        <w:rPr>
          <w:rStyle w:val="Strong"/>
          <w:rFonts w:ascii="Arial" w:hAnsi="Arial" w:cs="Arial"/>
          <w:sz w:val="22"/>
          <w:szCs w:val="22"/>
        </w:rPr>
        <w:t>International Journal of Environmental Research and Public Health, 12</w:t>
      </w:r>
      <w:r w:rsidRPr="006C71F9">
        <w:rPr>
          <w:rFonts w:ascii="Arial" w:hAnsi="Arial" w:cs="Arial"/>
          <w:sz w:val="22"/>
          <w:szCs w:val="22"/>
        </w:rPr>
        <w:t xml:space="preserve">(10), 13455–13465. </w:t>
      </w:r>
      <w:hyperlink r:id="rId34" w:history="1">
        <w:r w:rsidRPr="006C71F9">
          <w:rPr>
            <w:rStyle w:val="Hyperlink"/>
            <w:rFonts w:ascii="Arial" w:hAnsi="Arial" w:cs="Arial"/>
            <w:sz w:val="22"/>
            <w:szCs w:val="22"/>
          </w:rPr>
          <w:t>https://doi.org/10.3390/ijerph121013455</w:t>
        </w:r>
      </w:hyperlink>
      <w:r w:rsidRPr="006C71F9">
        <w:rPr>
          <w:rFonts w:ascii="Arial" w:hAnsi="Arial" w:cs="Arial"/>
          <w:sz w:val="22"/>
          <w:szCs w:val="22"/>
        </w:rPr>
        <w:t>.</w:t>
      </w:r>
    </w:p>
    <w:p w14:paraId="66AA724E" w14:textId="4EB2B333" w:rsidR="006C71F9" w:rsidRPr="006C71F9" w:rsidRDefault="006C71F9" w:rsidP="006C71F9">
      <w:pPr>
        <w:pStyle w:val="ListParagraph"/>
        <w:numPr>
          <w:ilvl w:val="0"/>
          <w:numId w:val="41"/>
        </w:numPr>
        <w:jc w:val="both"/>
        <w:rPr>
          <w:rFonts w:ascii="Arial" w:hAnsi="Arial" w:cs="Arial"/>
          <w:color w:val="000000" w:themeColor="text1"/>
          <w:sz w:val="22"/>
          <w:szCs w:val="22"/>
        </w:rPr>
      </w:pPr>
      <w:proofErr w:type="spellStart"/>
      <w:r w:rsidRPr="006C71F9">
        <w:rPr>
          <w:rFonts w:ascii="Arial" w:hAnsi="Arial" w:cs="Arial"/>
          <w:sz w:val="22"/>
          <w:szCs w:val="22"/>
        </w:rPr>
        <w:t>Weng</w:t>
      </w:r>
      <w:proofErr w:type="spellEnd"/>
      <w:r w:rsidRPr="006C71F9">
        <w:rPr>
          <w:rFonts w:ascii="Arial" w:hAnsi="Arial" w:cs="Arial"/>
          <w:sz w:val="22"/>
          <w:szCs w:val="22"/>
        </w:rPr>
        <w:t xml:space="preserve">, Y., Yin, R., </w:t>
      </w:r>
      <w:proofErr w:type="spellStart"/>
      <w:r w:rsidRPr="006C71F9">
        <w:rPr>
          <w:rFonts w:ascii="Arial" w:hAnsi="Arial" w:cs="Arial"/>
          <w:sz w:val="22"/>
          <w:szCs w:val="22"/>
        </w:rPr>
        <w:t>Qian</w:t>
      </w:r>
      <w:proofErr w:type="spellEnd"/>
      <w:r w:rsidRPr="006C71F9">
        <w:rPr>
          <w:rFonts w:ascii="Arial" w:hAnsi="Arial" w:cs="Arial"/>
          <w:sz w:val="22"/>
          <w:szCs w:val="22"/>
        </w:rPr>
        <w:t xml:space="preserve">, L., Chen, Z., Wang, J., Xiang, H., </w:t>
      </w:r>
      <w:proofErr w:type="spellStart"/>
      <w:r w:rsidRPr="006C71F9">
        <w:rPr>
          <w:rFonts w:ascii="Arial" w:hAnsi="Arial" w:cs="Arial"/>
          <w:sz w:val="22"/>
          <w:szCs w:val="22"/>
        </w:rPr>
        <w:t>Xue</w:t>
      </w:r>
      <w:proofErr w:type="spellEnd"/>
      <w:r w:rsidRPr="006C71F9">
        <w:rPr>
          <w:rFonts w:ascii="Arial" w:hAnsi="Arial" w:cs="Arial"/>
          <w:sz w:val="22"/>
          <w:szCs w:val="22"/>
        </w:rPr>
        <w:t xml:space="preserve">, Y., </w:t>
      </w:r>
      <w:proofErr w:type="spellStart"/>
      <w:r w:rsidRPr="006C71F9">
        <w:rPr>
          <w:rFonts w:ascii="Arial" w:hAnsi="Arial" w:cs="Arial"/>
          <w:sz w:val="22"/>
          <w:szCs w:val="22"/>
        </w:rPr>
        <w:t>Ji</w:t>
      </w:r>
      <w:proofErr w:type="spellEnd"/>
      <w:r w:rsidRPr="006C71F9">
        <w:rPr>
          <w:rFonts w:ascii="Arial" w:hAnsi="Arial" w:cs="Arial"/>
          <w:sz w:val="22"/>
          <w:szCs w:val="22"/>
        </w:rPr>
        <w:t xml:space="preserve">, K., &amp; Guan, X. (2021). </w:t>
      </w:r>
      <w:r w:rsidRPr="006C71F9">
        <w:rPr>
          <w:rStyle w:val="Emphasis"/>
          <w:rFonts w:ascii="Arial" w:hAnsi="Arial" w:cs="Arial"/>
          <w:sz w:val="22"/>
          <w:szCs w:val="22"/>
        </w:rPr>
        <w:t>Low-density lipoprotein cholesterol is inversely associated with all-cause mortality of patients in the coronary care unit.</w:t>
      </w:r>
      <w:r w:rsidRPr="006C71F9">
        <w:rPr>
          <w:rFonts w:ascii="Arial" w:hAnsi="Arial" w:cs="Arial"/>
          <w:sz w:val="22"/>
          <w:szCs w:val="22"/>
        </w:rPr>
        <w:t xml:space="preserve"> </w:t>
      </w:r>
      <w:r w:rsidRPr="006C71F9">
        <w:rPr>
          <w:rStyle w:val="Strong"/>
          <w:rFonts w:ascii="Arial" w:hAnsi="Arial" w:cs="Arial"/>
          <w:color w:val="000000" w:themeColor="text1"/>
          <w:sz w:val="22"/>
          <w:szCs w:val="22"/>
        </w:rPr>
        <w:t>International Journal of General Medicine, 14</w:t>
      </w:r>
      <w:r w:rsidRPr="006C71F9">
        <w:rPr>
          <w:rFonts w:ascii="Arial" w:hAnsi="Arial" w:cs="Arial"/>
          <w:color w:val="000000" w:themeColor="text1"/>
          <w:sz w:val="22"/>
          <w:szCs w:val="22"/>
        </w:rPr>
        <w:t xml:space="preserve">, 7659–7667. </w:t>
      </w:r>
      <w:hyperlink r:id="rId35" w:history="1">
        <w:r w:rsidRPr="006C71F9">
          <w:rPr>
            <w:rStyle w:val="Hyperlink"/>
            <w:rFonts w:ascii="Arial" w:hAnsi="Arial" w:cs="Arial"/>
            <w:color w:val="000000" w:themeColor="text1"/>
            <w:sz w:val="22"/>
            <w:szCs w:val="22"/>
          </w:rPr>
          <w:t>https://doi.org/10.2147/IJGM.S332755</w:t>
        </w:r>
      </w:hyperlink>
    </w:p>
    <w:p w14:paraId="6C032C76" w14:textId="52BF236C" w:rsidR="00245121" w:rsidRPr="006C71F9" w:rsidRDefault="00245121" w:rsidP="006C71F9">
      <w:pPr>
        <w:pStyle w:val="ListParagraph"/>
        <w:rPr>
          <w:rFonts w:ascii="Arial" w:hAnsi="Arial" w:cs="Arial"/>
          <w:color w:val="000000" w:themeColor="text1"/>
          <w:sz w:val="22"/>
          <w:szCs w:val="22"/>
        </w:rPr>
      </w:pPr>
    </w:p>
    <w:p w14:paraId="747F77F1" w14:textId="77777777" w:rsidR="00245121" w:rsidRPr="006C71F9" w:rsidRDefault="00245121" w:rsidP="00245121">
      <w:pPr>
        <w:rPr>
          <w:rFonts w:ascii="Arial" w:hAnsi="Arial" w:cs="Arial"/>
          <w:sz w:val="22"/>
          <w:szCs w:val="22"/>
        </w:rPr>
      </w:pPr>
    </w:p>
    <w:p w14:paraId="0FAA9A68" w14:textId="5929474B" w:rsidR="00245121" w:rsidRPr="006C71F9" w:rsidRDefault="00245121" w:rsidP="006C71F9">
      <w:pPr>
        <w:ind w:left="360"/>
        <w:jc w:val="both"/>
        <w:rPr>
          <w:rFonts w:ascii="Times New Roman" w:hAnsi="Times New Roman"/>
          <w:sz w:val="24"/>
          <w:szCs w:val="24"/>
        </w:rPr>
      </w:pPr>
    </w:p>
    <w:p w14:paraId="1EF24680" w14:textId="77777777" w:rsidR="00245121" w:rsidRPr="006C71F9" w:rsidRDefault="00245121" w:rsidP="006C71F9">
      <w:pPr>
        <w:ind w:left="360"/>
        <w:rPr>
          <w:rFonts w:ascii="Times New Roman" w:hAnsi="Times New Roman"/>
          <w:sz w:val="24"/>
          <w:szCs w:val="24"/>
        </w:rPr>
      </w:pPr>
    </w:p>
    <w:p w14:paraId="2E1232D4" w14:textId="70153F2D" w:rsidR="006101FA" w:rsidRPr="006C71F9" w:rsidRDefault="006101FA" w:rsidP="006C71F9">
      <w:pPr>
        <w:jc w:val="both"/>
        <w:rPr>
          <w:rFonts w:ascii="Arial" w:hAnsi="Arial" w:cs="Arial"/>
          <w:color w:val="000000" w:themeColor="text1"/>
          <w:sz w:val="22"/>
          <w:szCs w:val="22"/>
        </w:rPr>
      </w:pPr>
    </w:p>
    <w:p w14:paraId="0B34CACE" w14:textId="77777777" w:rsidR="006101FA" w:rsidRDefault="006101FA" w:rsidP="006101FA"/>
    <w:p w14:paraId="035507DF" w14:textId="77777777" w:rsidR="006101FA" w:rsidRDefault="006101FA" w:rsidP="006101FA"/>
    <w:p w14:paraId="701BB0FA" w14:textId="77777777" w:rsidR="006101FA" w:rsidRDefault="006101FA" w:rsidP="006101FA"/>
    <w:p w14:paraId="71616526" w14:textId="77777777" w:rsidR="006101FA" w:rsidRDefault="006101FA" w:rsidP="006101FA"/>
    <w:p w14:paraId="743B6765" w14:textId="77777777" w:rsidR="00B01FCD" w:rsidRPr="00FB3A86" w:rsidRDefault="00B01FCD" w:rsidP="00441B6F">
      <w:pPr>
        <w:pStyle w:val="Appendix"/>
        <w:spacing w:after="0"/>
        <w:jc w:val="both"/>
        <w:rPr>
          <w:rFonts w:ascii="Arial" w:hAnsi="Arial" w:cs="Arial"/>
          <w:b w:val="0"/>
        </w:rPr>
      </w:pPr>
    </w:p>
    <w:sectPr w:rsidR="00B01FCD" w:rsidRPr="00FB3A86" w:rsidSect="00C030FE">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B3B7B" w14:textId="77777777" w:rsidR="007A41E1" w:rsidRDefault="007A41E1" w:rsidP="00C37E61">
      <w:r>
        <w:separator/>
      </w:r>
    </w:p>
  </w:endnote>
  <w:endnote w:type="continuationSeparator" w:id="0">
    <w:p w14:paraId="30A60A68" w14:textId="77777777" w:rsidR="007A41E1" w:rsidRDefault="007A41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EAED4" w14:textId="77777777" w:rsidR="00F34F40" w:rsidRDefault="00F34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EBDA9" w14:textId="77E4A4B5" w:rsidR="00C37E61" w:rsidRPr="00C030FE" w:rsidRDefault="00380F0D" w:rsidP="00C030FE">
    <w:pPr>
      <w:pStyle w:val="Footer"/>
    </w:pPr>
    <w:r w:rsidRPr="00C030F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9579" w14:textId="16B51E30" w:rsidR="00754C9A" w:rsidRPr="00F34F40" w:rsidRDefault="00754C9A" w:rsidP="00F34F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803C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22A5E" w14:textId="77777777" w:rsidR="007A41E1" w:rsidRDefault="007A41E1" w:rsidP="00C37E61">
      <w:r>
        <w:separator/>
      </w:r>
    </w:p>
  </w:footnote>
  <w:footnote w:type="continuationSeparator" w:id="0">
    <w:p w14:paraId="7F9B472C" w14:textId="77777777" w:rsidR="007A41E1" w:rsidRDefault="007A41E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D04E3" w14:textId="35097066" w:rsidR="00F34F40" w:rsidRDefault="007A41E1">
    <w:pPr>
      <w:pStyle w:val="Header"/>
    </w:pPr>
    <w:r>
      <w:rPr>
        <w:noProof/>
      </w:rPr>
      <w:pict w14:anchorId="1D35D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C8718" w14:textId="0A6B7495" w:rsidR="00F34F40" w:rsidRDefault="007A41E1">
    <w:pPr>
      <w:pStyle w:val="Header"/>
    </w:pPr>
    <w:r>
      <w:rPr>
        <w:noProof/>
      </w:rPr>
      <w:pict w14:anchorId="27267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746F1" w14:textId="580234AE" w:rsidR="00296529" w:rsidRPr="00296529" w:rsidRDefault="007A41E1" w:rsidP="00296529">
    <w:pPr>
      <w:ind w:left="2160"/>
      <w:jc w:val="center"/>
      <w:rPr>
        <w:rFonts w:ascii="Times New Roman" w:eastAsia="Calibri" w:hAnsi="Times New Roman"/>
        <w:i/>
        <w:sz w:val="18"/>
        <w:szCs w:val="22"/>
      </w:rPr>
    </w:pPr>
    <w:r>
      <w:rPr>
        <w:noProof/>
      </w:rPr>
      <w:pict w14:anchorId="6E7D4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E991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092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8D9D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F2DD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3AD5A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24327B"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8EE76" w14:textId="1564922D" w:rsidR="00F34F40" w:rsidRDefault="007A41E1">
    <w:pPr>
      <w:pStyle w:val="Header"/>
    </w:pPr>
    <w:r>
      <w:rPr>
        <w:noProof/>
      </w:rPr>
      <w:pict w14:anchorId="7960E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483E8" w14:textId="4E5E677E" w:rsidR="00F34F40" w:rsidRDefault="007A41E1">
    <w:pPr>
      <w:pStyle w:val="Header"/>
    </w:pPr>
    <w:r>
      <w:rPr>
        <w:noProof/>
      </w:rPr>
      <w:pict w14:anchorId="1863F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7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8B35" w14:textId="25C7D9FD" w:rsidR="00F34F40" w:rsidRDefault="007A41E1">
    <w:pPr>
      <w:pStyle w:val="Header"/>
    </w:pPr>
    <w:r>
      <w:rPr>
        <w:noProof/>
      </w:rPr>
      <w:pict w14:anchorId="2907A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0D2DC4"/>
    <w:multiLevelType w:val="multilevel"/>
    <w:tmpl w:val="026C4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0C92197"/>
    <w:multiLevelType w:val="multilevel"/>
    <w:tmpl w:val="AF22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C75205"/>
    <w:multiLevelType w:val="multilevel"/>
    <w:tmpl w:val="91D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F86DBA"/>
    <w:multiLevelType w:val="multilevel"/>
    <w:tmpl w:val="78C6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38210579"/>
    <w:multiLevelType w:val="multilevel"/>
    <w:tmpl w:val="384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28679F"/>
    <w:multiLevelType w:val="multilevel"/>
    <w:tmpl w:val="026C46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nsid w:val="4BCC26CD"/>
    <w:multiLevelType w:val="multilevel"/>
    <w:tmpl w:val="61D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935E97"/>
    <w:multiLevelType w:val="hybridMultilevel"/>
    <w:tmpl w:val="9DEC025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03583D"/>
    <w:multiLevelType w:val="hybridMultilevel"/>
    <w:tmpl w:val="F70ADB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664A6450"/>
    <w:multiLevelType w:val="multilevel"/>
    <w:tmpl w:val="32D2EF3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E0DCA"/>
    <w:multiLevelType w:val="multilevel"/>
    <w:tmpl w:val="449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nsid w:val="79685010"/>
    <w:multiLevelType w:val="multilevel"/>
    <w:tmpl w:val="721A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DD0A68"/>
    <w:multiLevelType w:val="multilevel"/>
    <w:tmpl w:val="F426E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6"/>
  </w:num>
  <w:num w:numId="9">
    <w:abstractNumId w:val="36"/>
  </w:num>
  <w:num w:numId="10">
    <w:abstractNumId w:val="2"/>
  </w:num>
  <w:num w:numId="11">
    <w:abstractNumId w:val="29"/>
  </w:num>
  <w:num w:numId="12">
    <w:abstractNumId w:val="4"/>
  </w:num>
  <w:num w:numId="13">
    <w:abstractNumId w:val="26"/>
  </w:num>
  <w:num w:numId="14">
    <w:abstractNumId w:val="12"/>
  </w:num>
  <w:num w:numId="15">
    <w:abstractNumId w:val="32"/>
  </w:num>
  <w:num w:numId="16">
    <w:abstractNumId w:val="6"/>
  </w:num>
  <w:num w:numId="17">
    <w:abstractNumId w:val="33"/>
  </w:num>
  <w:num w:numId="18">
    <w:abstractNumId w:val="18"/>
  </w:num>
  <w:num w:numId="19">
    <w:abstractNumId w:val="41"/>
  </w:num>
  <w:num w:numId="20">
    <w:abstractNumId w:val="15"/>
  </w:num>
  <w:num w:numId="21">
    <w:abstractNumId w:val="13"/>
  </w:num>
  <w:num w:numId="22">
    <w:abstractNumId w:val="17"/>
  </w:num>
  <w:num w:numId="23">
    <w:abstractNumId w:val="30"/>
  </w:num>
  <w:num w:numId="24">
    <w:abstractNumId w:val="38"/>
  </w:num>
  <w:num w:numId="25">
    <w:abstractNumId w:val="5"/>
  </w:num>
  <w:num w:numId="26">
    <w:abstractNumId w:val="24"/>
  </w:num>
  <w:num w:numId="27">
    <w:abstractNumId w:val="31"/>
  </w:num>
  <w:num w:numId="28">
    <w:abstractNumId w:val="39"/>
  </w:num>
  <w:num w:numId="29">
    <w:abstractNumId w:val="35"/>
  </w:num>
  <w:num w:numId="30">
    <w:abstractNumId w:val="14"/>
  </w:num>
  <w:num w:numId="31">
    <w:abstractNumId w:val="25"/>
  </w:num>
  <w:num w:numId="32">
    <w:abstractNumId w:val="8"/>
  </w:num>
  <w:num w:numId="33">
    <w:abstractNumId w:val="22"/>
  </w:num>
  <w:num w:numId="34">
    <w:abstractNumId w:val="9"/>
  </w:num>
  <w:num w:numId="35">
    <w:abstractNumId w:val="3"/>
  </w:num>
  <w:num w:numId="36">
    <w:abstractNumId w:val="40"/>
  </w:num>
  <w:num w:numId="37">
    <w:abstractNumId w:val="19"/>
  </w:num>
  <w:num w:numId="38">
    <w:abstractNumId w:val="28"/>
  </w:num>
  <w:num w:numId="39">
    <w:abstractNumId w:val="23"/>
  </w:num>
  <w:num w:numId="40">
    <w:abstractNumId w:val="20"/>
  </w:num>
  <w:num w:numId="41">
    <w:abstractNumId w:val="27"/>
  </w:num>
  <w:num w:numId="42">
    <w:abstractNumId w:val="37"/>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6D5F"/>
    <w:rsid w:val="0004579C"/>
    <w:rsid w:val="000A47FA"/>
    <w:rsid w:val="000A65D3"/>
    <w:rsid w:val="000A7590"/>
    <w:rsid w:val="000B1E33"/>
    <w:rsid w:val="000D689F"/>
    <w:rsid w:val="000E7B7B"/>
    <w:rsid w:val="000E7D62"/>
    <w:rsid w:val="00103357"/>
    <w:rsid w:val="0011408A"/>
    <w:rsid w:val="00115618"/>
    <w:rsid w:val="00121E36"/>
    <w:rsid w:val="00123C9F"/>
    <w:rsid w:val="00126190"/>
    <w:rsid w:val="00130F17"/>
    <w:rsid w:val="001320BF"/>
    <w:rsid w:val="001563A8"/>
    <w:rsid w:val="00163BC4"/>
    <w:rsid w:val="00174E3B"/>
    <w:rsid w:val="001863E0"/>
    <w:rsid w:val="00191062"/>
    <w:rsid w:val="00192B72"/>
    <w:rsid w:val="001967AB"/>
    <w:rsid w:val="001A0857"/>
    <w:rsid w:val="001A29D8"/>
    <w:rsid w:val="001A5CAA"/>
    <w:rsid w:val="001B0427"/>
    <w:rsid w:val="001D3A51"/>
    <w:rsid w:val="001D3C59"/>
    <w:rsid w:val="001E10D2"/>
    <w:rsid w:val="001E25B4"/>
    <w:rsid w:val="001E44FE"/>
    <w:rsid w:val="00200595"/>
    <w:rsid w:val="00204835"/>
    <w:rsid w:val="00215D40"/>
    <w:rsid w:val="002275E5"/>
    <w:rsid w:val="00231920"/>
    <w:rsid w:val="0023195C"/>
    <w:rsid w:val="0024282C"/>
    <w:rsid w:val="00245121"/>
    <w:rsid w:val="0024561C"/>
    <w:rsid w:val="002460DC"/>
    <w:rsid w:val="00250985"/>
    <w:rsid w:val="002556F6"/>
    <w:rsid w:val="00283105"/>
    <w:rsid w:val="00284C4C"/>
    <w:rsid w:val="00287E68"/>
    <w:rsid w:val="00296529"/>
    <w:rsid w:val="002B27FB"/>
    <w:rsid w:val="002B685A"/>
    <w:rsid w:val="002C57D2"/>
    <w:rsid w:val="002D5C9B"/>
    <w:rsid w:val="002E0D56"/>
    <w:rsid w:val="003010D6"/>
    <w:rsid w:val="00315186"/>
    <w:rsid w:val="0033343E"/>
    <w:rsid w:val="003512C2"/>
    <w:rsid w:val="00371FB6"/>
    <w:rsid w:val="003763C1"/>
    <w:rsid w:val="00376BBE"/>
    <w:rsid w:val="00380F0D"/>
    <w:rsid w:val="00385C10"/>
    <w:rsid w:val="0039224F"/>
    <w:rsid w:val="003A43A4"/>
    <w:rsid w:val="003A7E18"/>
    <w:rsid w:val="003C4C86"/>
    <w:rsid w:val="003C5108"/>
    <w:rsid w:val="003C6258"/>
    <w:rsid w:val="003E2904"/>
    <w:rsid w:val="003E6EE9"/>
    <w:rsid w:val="00401927"/>
    <w:rsid w:val="0041027F"/>
    <w:rsid w:val="00412475"/>
    <w:rsid w:val="00416E2E"/>
    <w:rsid w:val="00423789"/>
    <w:rsid w:val="004237CE"/>
    <w:rsid w:val="00426463"/>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01FA"/>
    <w:rsid w:val="00617FDD"/>
    <w:rsid w:val="00633614"/>
    <w:rsid w:val="00633F68"/>
    <w:rsid w:val="00636EB2"/>
    <w:rsid w:val="006375B8"/>
    <w:rsid w:val="0066510A"/>
    <w:rsid w:val="00673F9F"/>
    <w:rsid w:val="00686953"/>
    <w:rsid w:val="00687DEA"/>
    <w:rsid w:val="00687E67"/>
    <w:rsid w:val="00693600"/>
    <w:rsid w:val="00696217"/>
    <w:rsid w:val="006967F7"/>
    <w:rsid w:val="006A250C"/>
    <w:rsid w:val="006B21D3"/>
    <w:rsid w:val="006B57D0"/>
    <w:rsid w:val="006C71F9"/>
    <w:rsid w:val="006D30FF"/>
    <w:rsid w:val="006D6940"/>
    <w:rsid w:val="006F11EC"/>
    <w:rsid w:val="0070082C"/>
    <w:rsid w:val="00714840"/>
    <w:rsid w:val="007369E6"/>
    <w:rsid w:val="00746E59"/>
    <w:rsid w:val="00754C9A"/>
    <w:rsid w:val="0075599A"/>
    <w:rsid w:val="00760757"/>
    <w:rsid w:val="00761D52"/>
    <w:rsid w:val="00773161"/>
    <w:rsid w:val="00775D32"/>
    <w:rsid w:val="0077749E"/>
    <w:rsid w:val="00790ADA"/>
    <w:rsid w:val="007A41E1"/>
    <w:rsid w:val="007B78E5"/>
    <w:rsid w:val="007C666F"/>
    <w:rsid w:val="007D2288"/>
    <w:rsid w:val="007D67D1"/>
    <w:rsid w:val="007E088F"/>
    <w:rsid w:val="007F7B32"/>
    <w:rsid w:val="00804BC2"/>
    <w:rsid w:val="0081431A"/>
    <w:rsid w:val="00814C08"/>
    <w:rsid w:val="008161CC"/>
    <w:rsid w:val="0083216F"/>
    <w:rsid w:val="00860000"/>
    <w:rsid w:val="00863BD3"/>
    <w:rsid w:val="008641ED"/>
    <w:rsid w:val="00866D66"/>
    <w:rsid w:val="008671C6"/>
    <w:rsid w:val="00875803"/>
    <w:rsid w:val="008B459E"/>
    <w:rsid w:val="008D592F"/>
    <w:rsid w:val="008E13AE"/>
    <w:rsid w:val="008E1506"/>
    <w:rsid w:val="008E710C"/>
    <w:rsid w:val="008F1408"/>
    <w:rsid w:val="008F69D6"/>
    <w:rsid w:val="009023CA"/>
    <w:rsid w:val="00902823"/>
    <w:rsid w:val="00915CA6"/>
    <w:rsid w:val="00924A84"/>
    <w:rsid w:val="00926766"/>
    <w:rsid w:val="00927834"/>
    <w:rsid w:val="0093094C"/>
    <w:rsid w:val="00941A6B"/>
    <w:rsid w:val="009500A6"/>
    <w:rsid w:val="009529FE"/>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67CF"/>
    <w:rsid w:val="00AB703F"/>
    <w:rsid w:val="00AC6BB8"/>
    <w:rsid w:val="00AD5BF1"/>
    <w:rsid w:val="00AE008F"/>
    <w:rsid w:val="00B01FCD"/>
    <w:rsid w:val="00B1776C"/>
    <w:rsid w:val="00B23B9B"/>
    <w:rsid w:val="00B461AE"/>
    <w:rsid w:val="00B52583"/>
    <w:rsid w:val="00B52896"/>
    <w:rsid w:val="00B849E1"/>
    <w:rsid w:val="00B95236"/>
    <w:rsid w:val="00B96BD9"/>
    <w:rsid w:val="00BA1B01"/>
    <w:rsid w:val="00BA2641"/>
    <w:rsid w:val="00BB37AA"/>
    <w:rsid w:val="00BB7789"/>
    <w:rsid w:val="00BC53A0"/>
    <w:rsid w:val="00BE62AD"/>
    <w:rsid w:val="00BF121F"/>
    <w:rsid w:val="00BF1F80"/>
    <w:rsid w:val="00C030FE"/>
    <w:rsid w:val="00C12A55"/>
    <w:rsid w:val="00C166EF"/>
    <w:rsid w:val="00C17EB0"/>
    <w:rsid w:val="00C27F5F"/>
    <w:rsid w:val="00C30A0F"/>
    <w:rsid w:val="00C319F7"/>
    <w:rsid w:val="00C37E61"/>
    <w:rsid w:val="00C70F1B"/>
    <w:rsid w:val="00C71A47"/>
    <w:rsid w:val="00C7464C"/>
    <w:rsid w:val="00C85588"/>
    <w:rsid w:val="00C93B3D"/>
    <w:rsid w:val="00C9674D"/>
    <w:rsid w:val="00CB3864"/>
    <w:rsid w:val="00CD6755"/>
    <w:rsid w:val="00CD6856"/>
    <w:rsid w:val="00CD6B66"/>
    <w:rsid w:val="00CE0089"/>
    <w:rsid w:val="00CE793C"/>
    <w:rsid w:val="00CF193C"/>
    <w:rsid w:val="00D1184C"/>
    <w:rsid w:val="00D173F1"/>
    <w:rsid w:val="00D6059B"/>
    <w:rsid w:val="00D656B6"/>
    <w:rsid w:val="00D74CB0"/>
    <w:rsid w:val="00D8295D"/>
    <w:rsid w:val="00D94A8D"/>
    <w:rsid w:val="00D9619B"/>
    <w:rsid w:val="00DC2A65"/>
    <w:rsid w:val="00DE15F0"/>
    <w:rsid w:val="00DE5663"/>
    <w:rsid w:val="00DE78AA"/>
    <w:rsid w:val="00E042C8"/>
    <w:rsid w:val="00E053D0"/>
    <w:rsid w:val="00E15994"/>
    <w:rsid w:val="00E3114E"/>
    <w:rsid w:val="00E31A70"/>
    <w:rsid w:val="00E35B02"/>
    <w:rsid w:val="00E3699B"/>
    <w:rsid w:val="00E66496"/>
    <w:rsid w:val="00E66B35"/>
    <w:rsid w:val="00E66E10"/>
    <w:rsid w:val="00E73DCC"/>
    <w:rsid w:val="00E769F6"/>
    <w:rsid w:val="00E83A9C"/>
    <w:rsid w:val="00E8407C"/>
    <w:rsid w:val="00E84F3C"/>
    <w:rsid w:val="00E96C2A"/>
    <w:rsid w:val="00EA012C"/>
    <w:rsid w:val="00EC6A55"/>
    <w:rsid w:val="00ED0288"/>
    <w:rsid w:val="00EE25A5"/>
    <w:rsid w:val="00EE52CB"/>
    <w:rsid w:val="00EE67D6"/>
    <w:rsid w:val="00EF581D"/>
    <w:rsid w:val="00EF7FD8"/>
    <w:rsid w:val="00F06F59"/>
    <w:rsid w:val="00F17988"/>
    <w:rsid w:val="00F34F40"/>
    <w:rsid w:val="00F469F0"/>
    <w:rsid w:val="00F53273"/>
    <w:rsid w:val="00F64BBA"/>
    <w:rsid w:val="00F755E4"/>
    <w:rsid w:val="00F762D4"/>
    <w:rsid w:val="00F77D02"/>
    <w:rsid w:val="00FA68E3"/>
    <w:rsid w:val="00FA748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7D2D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275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275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75D32"/>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BB7789"/>
    <w:rPr>
      <w:b/>
      <w:bCs/>
    </w:rPr>
  </w:style>
  <w:style w:type="paragraph" w:styleId="ListParagraph">
    <w:name w:val="List Paragraph"/>
    <w:basedOn w:val="Normal"/>
    <w:uiPriority w:val="34"/>
    <w:qFormat/>
    <w:rsid w:val="00115618"/>
    <w:pPr>
      <w:ind w:left="720"/>
      <w:contextualSpacing/>
    </w:pPr>
  </w:style>
  <w:style w:type="table" w:customStyle="1" w:styleId="TableGrid1">
    <w:name w:val="Table Grid1"/>
    <w:basedOn w:val="TableNormal"/>
    <w:next w:val="TableGrid"/>
    <w:uiPriority w:val="39"/>
    <w:rsid w:val="009529FE"/>
    <w:rPr>
      <w:rFonts w:asciiTheme="minorHAnsi" w:eastAsiaTheme="minorHAnsi" w:hAnsiTheme="minorHAnsi" w:cstheme="minorBid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849E1"/>
    <w:rPr>
      <w:rFonts w:asciiTheme="minorHAnsi" w:eastAsiaTheme="minorHAnsi" w:hAnsiTheme="minorHAnsi" w:cstheme="minorBid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849E1"/>
    <w:rPr>
      <w:rFonts w:ascii="Calibri" w:eastAsia="Calibri" w:hAnsi="Calibr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2275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275E5"/>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juniperpublishers.com/nfsij/pdf/NFSIJ.MS.ID.555795.pdf" TargetMode="External"/><Relationship Id="rId26" Type="http://schemas.openxmlformats.org/officeDocument/2006/relationships/hyperlink" Target="https://pubmed.ncbi.nlm.nih.gov/35940234/" TargetMode="External"/><Relationship Id="rId39" Type="http://schemas.openxmlformats.org/officeDocument/2006/relationships/header" Target="header6.xml"/><Relationship Id="rId21" Type="http://schemas.openxmlformats.org/officeDocument/2006/relationships/hyperlink" Target="https://doi.org/10.3390/nu16010167" TargetMode="External"/><Relationship Id="rId34" Type="http://schemas.openxmlformats.org/officeDocument/2006/relationships/hyperlink" Target="https://doi.org/10.3390/ijerph121013455"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3390/jpm14090980" TargetMode="External"/><Relationship Id="rId20" Type="http://schemas.openxmlformats.org/officeDocument/2006/relationships/hyperlink" Target="https://www.frontiersin.org/journals/public-health/articles/10.3389/fpubh.2022.1002466/pdf" TargetMode="External"/><Relationship Id="rId29" Type="http://schemas.openxmlformats.org/officeDocument/2006/relationships/hyperlink" Target="https://www.ijmbs.info/index.php/ijmbs/article/view/2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pubmed.ncbi.nlm.nih.gov/17449231/" TargetMode="External"/><Relationship Id="rId32" Type="http://schemas.openxmlformats.org/officeDocument/2006/relationships/hyperlink" Target="https://doi.org/10.18203/2394-6040.ijcmph20213782"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rialsearch.who.int/Trial2.aspx?TrialID=CTRI/2022/01/039645" TargetMode="External"/><Relationship Id="rId23" Type="http://schemas.openxmlformats.org/officeDocument/2006/relationships/hyperlink" Target="https://academic.oup.com/eurheartj/article/41/1/111/5556353" TargetMode="External"/><Relationship Id="rId28" Type="http://schemas.openxmlformats.org/officeDocument/2006/relationships/hyperlink" Target="https://doi.org/10.3390/metabo15020072"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22122/arya.v15i6.1595" TargetMode="External"/><Relationship Id="rId31" Type="http://schemas.openxmlformats.org/officeDocument/2006/relationships/hyperlink" Target="https://doi.org/10.1186/s12933-024-02198-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89/fnut.2023.1097562" TargetMode="External"/><Relationship Id="rId27" Type="http://schemas.openxmlformats.org/officeDocument/2006/relationships/hyperlink" Target="https://pubmed.ncbi.nlm.nih.gov/38582094/" TargetMode="External"/><Relationship Id="rId30" Type="http://schemas.openxmlformats.org/officeDocument/2006/relationships/hyperlink" Target="https://link.springer.com/content/pdf/10.1186/s13102-025-01196-1.pdf" TargetMode="External"/><Relationship Id="rId35" Type="http://schemas.openxmlformats.org/officeDocument/2006/relationships/hyperlink" Target="https://doi.org/10.2147/IJGM.S332755"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ubmed.ncbi.nlm.nih.gov/21457263/" TargetMode="External"/><Relationship Id="rId25" Type="http://schemas.openxmlformats.org/officeDocument/2006/relationships/hyperlink" Target="https://doi.org/10.1017/S1368980021000203" TargetMode="External"/><Relationship Id="rId33" Type="http://schemas.openxmlformats.org/officeDocument/2006/relationships/hyperlink" Target="https://biomedpharmajournal.org/vol14no4/effectiveness-of-educative-session-on-knowledge-attitude-and-practice-on-diabetes-and-dyslipidemia-of-patients-attending-a-private-medical-college-hospital-in-south-india/"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2B20-9141-4F82-9FD3-257FC791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514</TotalTime>
  <Pages>11</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46</cp:revision>
  <cp:lastPrinted>1999-07-06T11:00:00Z</cp:lastPrinted>
  <dcterms:created xsi:type="dcterms:W3CDTF">2014-10-25T14:34:00Z</dcterms:created>
  <dcterms:modified xsi:type="dcterms:W3CDTF">2025-12-05T12:38:00Z</dcterms:modified>
</cp:coreProperties>
</file>