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C8B" w:rsidRDefault="00AF236F" w:rsidP="005D1AD2">
      <w:pPr>
        <w:spacing w:line="276" w:lineRule="auto"/>
        <w:jc w:val="both"/>
        <w:rPr>
          <w:rFonts w:ascii="Times New Roman" w:hAnsi="Times New Roman" w:cs="Times New Roman"/>
          <w:b/>
          <w:bCs/>
          <w:sz w:val="24"/>
          <w:szCs w:val="24"/>
        </w:rPr>
      </w:pPr>
      <w:bookmarkStart w:id="0" w:name="_Hlk210296502"/>
      <w:r w:rsidRPr="00E31535">
        <w:rPr>
          <w:rFonts w:ascii="Times New Roman" w:hAnsi="Times New Roman" w:cs="Times New Roman"/>
          <w:b/>
          <w:bCs/>
          <w:sz w:val="24"/>
          <w:szCs w:val="24"/>
        </w:rPr>
        <w:t xml:space="preserve">Ethnomedicinal </w:t>
      </w:r>
      <w:r w:rsidR="002A60C9">
        <w:rPr>
          <w:rFonts w:ascii="Times New Roman" w:hAnsi="Times New Roman" w:cs="Times New Roman"/>
          <w:b/>
          <w:bCs/>
          <w:sz w:val="24"/>
          <w:szCs w:val="24"/>
        </w:rPr>
        <w:t>Potential</w:t>
      </w:r>
      <w:r>
        <w:rPr>
          <w:rFonts w:ascii="Times New Roman" w:hAnsi="Times New Roman" w:cs="Times New Roman"/>
          <w:b/>
          <w:bCs/>
          <w:sz w:val="24"/>
          <w:szCs w:val="24"/>
        </w:rPr>
        <w:t>o</w:t>
      </w:r>
      <w:r w:rsidRPr="00E31535">
        <w:rPr>
          <w:rFonts w:ascii="Times New Roman" w:hAnsi="Times New Roman" w:cs="Times New Roman"/>
          <w:b/>
          <w:bCs/>
          <w:sz w:val="24"/>
          <w:szCs w:val="24"/>
        </w:rPr>
        <w:t xml:space="preserve">f Two Underexplored Parasitic Plant Genera, </w:t>
      </w:r>
      <w:r w:rsidRPr="00E31535">
        <w:rPr>
          <w:rFonts w:ascii="Times New Roman" w:hAnsi="Times New Roman" w:cs="Times New Roman"/>
          <w:b/>
          <w:bCs/>
          <w:i/>
          <w:iCs/>
          <w:sz w:val="24"/>
          <w:szCs w:val="24"/>
        </w:rPr>
        <w:t>Macrosolen</w:t>
      </w:r>
      <w:r w:rsidR="002A60C9" w:rsidRPr="002A60C9">
        <w:rPr>
          <w:rFonts w:ascii="Times New Roman" w:hAnsi="Times New Roman" w:cs="Times New Roman"/>
          <w:b/>
          <w:bCs/>
          <w:sz w:val="24"/>
          <w:szCs w:val="24"/>
        </w:rPr>
        <w:t>(Blume) Rchb.</w:t>
      </w:r>
      <w:r w:rsidR="00FC50C9">
        <w:rPr>
          <w:rFonts w:ascii="Times New Roman" w:hAnsi="Times New Roman" w:cs="Times New Roman"/>
          <w:b/>
          <w:bCs/>
          <w:sz w:val="24"/>
          <w:szCs w:val="24"/>
        </w:rPr>
        <w:t xml:space="preserve"> </w:t>
      </w:r>
      <w:r>
        <w:rPr>
          <w:rFonts w:ascii="Times New Roman" w:hAnsi="Times New Roman" w:cs="Times New Roman"/>
          <w:b/>
          <w:bCs/>
          <w:sz w:val="24"/>
          <w:szCs w:val="24"/>
        </w:rPr>
        <w:t>a</w:t>
      </w:r>
      <w:r w:rsidRPr="00E31535">
        <w:rPr>
          <w:rFonts w:ascii="Times New Roman" w:hAnsi="Times New Roman" w:cs="Times New Roman"/>
          <w:b/>
          <w:bCs/>
          <w:sz w:val="24"/>
          <w:szCs w:val="24"/>
        </w:rPr>
        <w:t xml:space="preserve">nd </w:t>
      </w:r>
      <w:r w:rsidRPr="00E31535">
        <w:rPr>
          <w:rFonts w:ascii="Times New Roman" w:hAnsi="Times New Roman" w:cs="Times New Roman"/>
          <w:b/>
          <w:bCs/>
          <w:i/>
          <w:iCs/>
          <w:sz w:val="24"/>
          <w:szCs w:val="24"/>
        </w:rPr>
        <w:t>Scurrula</w:t>
      </w:r>
      <w:r w:rsidR="002A60C9">
        <w:rPr>
          <w:rFonts w:ascii="Times New Roman" w:hAnsi="Times New Roman" w:cs="Times New Roman"/>
          <w:b/>
          <w:bCs/>
          <w:sz w:val="24"/>
          <w:szCs w:val="24"/>
        </w:rPr>
        <w:t>L. (Loranthaceae)</w:t>
      </w:r>
      <w:r w:rsidRPr="00E31535">
        <w:rPr>
          <w:rFonts w:ascii="Times New Roman" w:hAnsi="Times New Roman" w:cs="Times New Roman"/>
          <w:b/>
          <w:bCs/>
          <w:sz w:val="24"/>
          <w:szCs w:val="24"/>
        </w:rPr>
        <w:t xml:space="preserve">: Traditional Knowledge </w:t>
      </w:r>
      <w:r>
        <w:rPr>
          <w:rFonts w:ascii="Times New Roman" w:hAnsi="Times New Roman" w:cs="Times New Roman"/>
          <w:b/>
          <w:bCs/>
          <w:sz w:val="24"/>
          <w:szCs w:val="24"/>
        </w:rPr>
        <w:t>a</w:t>
      </w:r>
      <w:r w:rsidRPr="00E31535">
        <w:rPr>
          <w:rFonts w:ascii="Times New Roman" w:hAnsi="Times New Roman" w:cs="Times New Roman"/>
          <w:b/>
          <w:bCs/>
          <w:sz w:val="24"/>
          <w:szCs w:val="24"/>
        </w:rPr>
        <w:t>nd Research Priorities</w:t>
      </w:r>
    </w:p>
    <w:p w:rsidR="00B05C8B" w:rsidRPr="00B05C8B" w:rsidRDefault="00B05C8B" w:rsidP="00B05C8B">
      <w:pPr>
        <w:spacing w:line="360" w:lineRule="auto"/>
        <w:jc w:val="both"/>
        <w:rPr>
          <w:rFonts w:ascii="Times New Roman" w:hAnsi="Times New Roman" w:cs="Times New Roman"/>
          <w:b/>
          <w:bCs/>
          <w:sz w:val="24"/>
          <w:szCs w:val="24"/>
        </w:rPr>
      </w:pPr>
      <w:r w:rsidRPr="00B05C8B">
        <w:rPr>
          <w:rFonts w:ascii="Times New Roman" w:hAnsi="Times New Roman" w:cs="Times New Roman"/>
          <w:b/>
          <w:bCs/>
          <w:sz w:val="24"/>
          <w:szCs w:val="24"/>
        </w:rPr>
        <w:t>Abstract</w:t>
      </w:r>
    </w:p>
    <w:p w:rsidR="00B05C8B" w:rsidRDefault="00B05C8B" w:rsidP="003427E6">
      <w:pPr>
        <w:spacing w:line="276" w:lineRule="auto"/>
        <w:jc w:val="both"/>
        <w:rPr>
          <w:rFonts w:ascii="Times New Roman" w:hAnsi="Times New Roman" w:cs="Times New Roman"/>
          <w:sz w:val="24"/>
          <w:szCs w:val="24"/>
        </w:rPr>
      </w:pPr>
      <w:r w:rsidRPr="00B05C8B">
        <w:rPr>
          <w:rFonts w:ascii="Times New Roman" w:hAnsi="Times New Roman" w:cs="Times New Roman"/>
          <w:sz w:val="24"/>
          <w:szCs w:val="24"/>
        </w:rPr>
        <w:t xml:space="preserve">Parasitic plants remain among the least explored groups in ethnomedicinal research despite their diverse bioactive potential and traditional significance. The present </w:t>
      </w:r>
      <w:r w:rsidR="0054737F">
        <w:rPr>
          <w:rFonts w:ascii="Times New Roman" w:hAnsi="Times New Roman" w:cs="Times New Roman"/>
          <w:sz w:val="24"/>
          <w:szCs w:val="24"/>
        </w:rPr>
        <w:t>study</w:t>
      </w:r>
      <w:r w:rsidRPr="00B05C8B">
        <w:rPr>
          <w:rFonts w:ascii="Times New Roman" w:hAnsi="Times New Roman" w:cs="Times New Roman"/>
          <w:sz w:val="24"/>
          <w:szCs w:val="24"/>
        </w:rPr>
        <w:t xml:space="preserve"> focuses on two </w:t>
      </w:r>
      <w:r w:rsidR="00470B98">
        <w:rPr>
          <w:rFonts w:ascii="Times New Roman" w:hAnsi="Times New Roman" w:cs="Times New Roman"/>
          <w:sz w:val="24"/>
          <w:szCs w:val="24"/>
        </w:rPr>
        <w:t>hemiparasitic</w:t>
      </w:r>
      <w:r w:rsidRPr="00B05C8B">
        <w:rPr>
          <w:rFonts w:ascii="Times New Roman" w:hAnsi="Times New Roman" w:cs="Times New Roman"/>
          <w:sz w:val="24"/>
          <w:szCs w:val="24"/>
        </w:rPr>
        <w:t xml:space="preserve"> genera, </w:t>
      </w:r>
      <w:r w:rsidRPr="00B05C8B">
        <w:rPr>
          <w:rFonts w:ascii="Times New Roman" w:hAnsi="Times New Roman" w:cs="Times New Roman"/>
          <w:i/>
          <w:iCs/>
          <w:sz w:val="24"/>
          <w:szCs w:val="24"/>
        </w:rPr>
        <w:t>Macrosolen</w:t>
      </w:r>
      <w:r w:rsidRPr="00B05C8B">
        <w:rPr>
          <w:rFonts w:ascii="Times New Roman" w:hAnsi="Times New Roman" w:cs="Times New Roman"/>
          <w:sz w:val="24"/>
          <w:szCs w:val="24"/>
        </w:rPr>
        <w:t xml:space="preserve"> and </w:t>
      </w:r>
      <w:r w:rsidRPr="00B05C8B">
        <w:rPr>
          <w:rFonts w:ascii="Times New Roman" w:hAnsi="Times New Roman" w:cs="Times New Roman"/>
          <w:i/>
          <w:iCs/>
          <w:sz w:val="24"/>
          <w:szCs w:val="24"/>
        </w:rPr>
        <w:t>Scurrula</w:t>
      </w:r>
      <w:r w:rsidRPr="00B05C8B">
        <w:rPr>
          <w:rFonts w:ascii="Times New Roman" w:hAnsi="Times New Roman" w:cs="Times New Roman"/>
          <w:sz w:val="24"/>
          <w:szCs w:val="24"/>
        </w:rPr>
        <w:t xml:space="preserve">, to consolidate scattered ethnomedicinal knowledge and highlight their therapeutic importance to the scientific community. A systematic compilation from published literature and field-based observations revealed limited yet diverse traditional applications, ranging from the treatment of hypertension, jaundice, and cough to reproductive, dermatological, and neurological disorders. The analysis indicates that </w:t>
      </w:r>
      <w:r w:rsidRPr="00B05C8B">
        <w:rPr>
          <w:rFonts w:ascii="Times New Roman" w:hAnsi="Times New Roman" w:cs="Times New Roman"/>
          <w:i/>
          <w:iCs/>
          <w:sz w:val="24"/>
          <w:szCs w:val="24"/>
        </w:rPr>
        <w:t>Scurrula</w:t>
      </w:r>
      <w:r w:rsidRPr="00B05C8B">
        <w:rPr>
          <w:rFonts w:ascii="Times New Roman" w:hAnsi="Times New Roman" w:cs="Times New Roman"/>
          <w:sz w:val="24"/>
          <w:szCs w:val="24"/>
        </w:rPr>
        <w:t xml:space="preserve"> species are more frequently cited for cardiovascular and neurological ailments, while </w:t>
      </w:r>
      <w:r w:rsidRPr="00B05C8B">
        <w:rPr>
          <w:rFonts w:ascii="Times New Roman" w:hAnsi="Times New Roman" w:cs="Times New Roman"/>
          <w:i/>
          <w:iCs/>
          <w:sz w:val="24"/>
          <w:szCs w:val="24"/>
        </w:rPr>
        <w:t>Macrosolen</w:t>
      </w:r>
      <w:r w:rsidRPr="00B05C8B">
        <w:rPr>
          <w:rFonts w:ascii="Times New Roman" w:hAnsi="Times New Roman" w:cs="Times New Roman"/>
          <w:sz w:val="24"/>
          <w:szCs w:val="24"/>
        </w:rPr>
        <w:t xml:space="preserve"> species are predominantly used in reproductive and respiratory treatments. Leaves and whole-plant parts were the most </w:t>
      </w:r>
      <w:r w:rsidR="003B586C">
        <w:rPr>
          <w:rFonts w:ascii="Times New Roman" w:hAnsi="Times New Roman" w:cs="Times New Roman"/>
          <w:sz w:val="24"/>
          <w:szCs w:val="24"/>
        </w:rPr>
        <w:t>utilised</w:t>
      </w:r>
      <w:r w:rsidRPr="00B05C8B">
        <w:rPr>
          <w:rFonts w:ascii="Times New Roman" w:hAnsi="Times New Roman" w:cs="Times New Roman"/>
          <w:sz w:val="24"/>
          <w:szCs w:val="24"/>
        </w:rPr>
        <w:t xml:space="preserve">, reflecting their pharmacological versatility. Despite their widespread distribution in tropical Asia, both genera remain poorly documented and underrepresented in pharmacological and phytochemical studies. </w:t>
      </w:r>
      <w:r w:rsidR="00175666">
        <w:rPr>
          <w:rFonts w:ascii="Times New Roman" w:hAnsi="Times New Roman" w:cs="Times New Roman"/>
          <w:sz w:val="24"/>
          <w:szCs w:val="24"/>
        </w:rPr>
        <w:t>The present</w:t>
      </w:r>
      <w:r w:rsidR="00507D27">
        <w:rPr>
          <w:rFonts w:ascii="Times New Roman" w:hAnsi="Times New Roman" w:cs="Times New Roman"/>
          <w:sz w:val="24"/>
          <w:szCs w:val="24"/>
        </w:rPr>
        <w:t>study</w:t>
      </w:r>
      <w:r w:rsidR="002A60C9">
        <w:rPr>
          <w:rFonts w:ascii="Times New Roman" w:hAnsi="Times New Roman" w:cs="Times New Roman"/>
          <w:sz w:val="24"/>
          <w:szCs w:val="24"/>
        </w:rPr>
        <w:t>highlights</w:t>
      </w:r>
      <w:r w:rsidRPr="00B05C8B">
        <w:rPr>
          <w:rFonts w:ascii="Times New Roman" w:hAnsi="Times New Roman" w:cs="Times New Roman"/>
          <w:sz w:val="24"/>
          <w:szCs w:val="24"/>
        </w:rPr>
        <w:t xml:space="preserve"> the urgent need for detailed biochemical, pharmacognostic, and molecular investigations to validate and conserve these ethnomedicinally valuable yet neglected parasitic taxa.</w:t>
      </w:r>
    </w:p>
    <w:p w:rsidR="00B05C8B" w:rsidRPr="00241A63" w:rsidRDefault="00AF0E8B" w:rsidP="003427E6">
      <w:pPr>
        <w:spacing w:line="276" w:lineRule="auto"/>
        <w:jc w:val="both"/>
        <w:rPr>
          <w:rFonts w:ascii="Times New Roman" w:hAnsi="Times New Roman" w:cs="Times New Roman"/>
          <w:b/>
          <w:bCs/>
          <w:sz w:val="24"/>
          <w:szCs w:val="24"/>
        </w:rPr>
      </w:pPr>
      <w:r w:rsidRPr="00241A63">
        <w:rPr>
          <w:rFonts w:ascii="Times New Roman" w:hAnsi="Times New Roman" w:cs="Times New Roman"/>
          <w:b/>
          <w:bCs/>
          <w:sz w:val="24"/>
          <w:szCs w:val="24"/>
        </w:rPr>
        <w:t>Keywords:</w:t>
      </w:r>
      <w:r w:rsidR="00241A63" w:rsidRPr="00241A63">
        <w:rPr>
          <w:rFonts w:ascii="Times New Roman" w:hAnsi="Times New Roman" w:cs="Times New Roman"/>
          <w:sz w:val="24"/>
          <w:szCs w:val="24"/>
        </w:rPr>
        <w:t>Ethnobotanical review</w:t>
      </w:r>
      <w:r w:rsidR="00241A63">
        <w:rPr>
          <w:rFonts w:ascii="Times New Roman" w:hAnsi="Times New Roman" w:cs="Times New Roman"/>
          <w:sz w:val="24"/>
          <w:szCs w:val="24"/>
        </w:rPr>
        <w:t>,</w:t>
      </w:r>
      <w:r w:rsidR="00241A63" w:rsidRPr="00241A63">
        <w:rPr>
          <w:rFonts w:ascii="Times New Roman" w:hAnsi="Times New Roman" w:cs="Times New Roman"/>
          <w:sz w:val="24"/>
          <w:szCs w:val="24"/>
        </w:rPr>
        <w:t xml:space="preserve"> Medicinal plants</w:t>
      </w:r>
      <w:r w:rsidR="00241A63">
        <w:rPr>
          <w:rFonts w:ascii="Times New Roman" w:hAnsi="Times New Roman" w:cs="Times New Roman"/>
          <w:sz w:val="24"/>
          <w:szCs w:val="24"/>
        </w:rPr>
        <w:t>,</w:t>
      </w:r>
      <w:r w:rsidR="00241A63" w:rsidRPr="00241A63">
        <w:rPr>
          <w:rFonts w:ascii="Times New Roman" w:hAnsi="Times New Roman" w:cs="Times New Roman"/>
          <w:sz w:val="24"/>
          <w:szCs w:val="24"/>
        </w:rPr>
        <w:t xml:space="preserve"> Odisha</w:t>
      </w:r>
      <w:r w:rsidR="00241A63">
        <w:rPr>
          <w:rFonts w:ascii="Times New Roman" w:hAnsi="Times New Roman" w:cs="Times New Roman"/>
          <w:sz w:val="24"/>
          <w:szCs w:val="24"/>
        </w:rPr>
        <w:t>,</w:t>
      </w:r>
      <w:r w:rsidR="00241A63" w:rsidRPr="00241A63">
        <w:rPr>
          <w:rFonts w:ascii="Times New Roman" w:hAnsi="Times New Roman" w:cs="Times New Roman"/>
          <w:sz w:val="24"/>
          <w:szCs w:val="24"/>
        </w:rPr>
        <w:t xml:space="preserve"> Pharmacological potential</w:t>
      </w:r>
    </w:p>
    <w:p w:rsidR="00AF0E8B" w:rsidRPr="00D974A0" w:rsidRDefault="00AE7FB4" w:rsidP="00D974A0">
      <w:pPr>
        <w:pStyle w:val="ListParagraph"/>
        <w:numPr>
          <w:ilvl w:val="0"/>
          <w:numId w:val="3"/>
        </w:numPr>
        <w:spacing w:line="360" w:lineRule="auto"/>
        <w:jc w:val="both"/>
        <w:rPr>
          <w:rFonts w:ascii="Times New Roman" w:hAnsi="Times New Roman" w:cs="Times New Roman"/>
          <w:b/>
          <w:bCs/>
          <w:sz w:val="24"/>
          <w:szCs w:val="24"/>
        </w:rPr>
      </w:pPr>
      <w:r w:rsidRPr="00D974A0">
        <w:rPr>
          <w:rFonts w:ascii="Times New Roman" w:hAnsi="Times New Roman" w:cs="Times New Roman"/>
          <w:b/>
          <w:bCs/>
          <w:sz w:val="24"/>
          <w:szCs w:val="24"/>
        </w:rPr>
        <w:t>INTRODUCTION</w:t>
      </w:r>
    </w:p>
    <w:p w:rsidR="00AF0E8B" w:rsidRDefault="00AF0E8B" w:rsidP="003427E6">
      <w:pPr>
        <w:spacing w:line="276" w:lineRule="auto"/>
        <w:jc w:val="both"/>
        <w:rPr>
          <w:rFonts w:ascii="Times New Roman" w:hAnsi="Times New Roman" w:cs="Times New Roman"/>
          <w:sz w:val="24"/>
          <w:szCs w:val="24"/>
        </w:rPr>
      </w:pPr>
      <w:r w:rsidRPr="00AF0E8B">
        <w:rPr>
          <w:rFonts w:ascii="Times New Roman" w:hAnsi="Times New Roman" w:cs="Times New Roman"/>
          <w:sz w:val="24"/>
          <w:szCs w:val="24"/>
        </w:rPr>
        <w:t xml:space="preserve">Parasitic plants represent a unique yet poorly studied group within angiosperms, </w:t>
      </w:r>
      <w:r w:rsidR="00D974A0">
        <w:rPr>
          <w:rFonts w:ascii="Times New Roman" w:hAnsi="Times New Roman" w:cs="Times New Roman"/>
          <w:sz w:val="24"/>
          <w:szCs w:val="24"/>
        </w:rPr>
        <w:t>characterised</w:t>
      </w:r>
      <w:r w:rsidRPr="00AF0E8B">
        <w:rPr>
          <w:rFonts w:ascii="Times New Roman" w:hAnsi="Times New Roman" w:cs="Times New Roman"/>
          <w:sz w:val="24"/>
          <w:szCs w:val="24"/>
        </w:rPr>
        <w:t xml:space="preserve"> by their ability to partially or completely depend on host plants for water and nutrients</w:t>
      </w:r>
      <w:r w:rsidR="00E02B85">
        <w:rPr>
          <w:rFonts w:ascii="Times New Roman" w:hAnsi="Times New Roman" w:cs="Times New Roman"/>
          <w:sz w:val="24"/>
          <w:szCs w:val="24"/>
        </w:rPr>
        <w:t xml:space="preserve"> (</w:t>
      </w:r>
      <w:r w:rsidR="00E02B85" w:rsidRPr="00E02B85">
        <w:rPr>
          <w:rFonts w:ascii="Times New Roman" w:hAnsi="Times New Roman" w:cs="Times New Roman"/>
          <w:sz w:val="24"/>
          <w:szCs w:val="24"/>
        </w:rPr>
        <w:t>Jaiswal </w:t>
      </w:r>
      <w:r w:rsidR="00E02B85">
        <w:rPr>
          <w:rFonts w:ascii="Times New Roman" w:hAnsi="Times New Roman" w:cs="Times New Roman"/>
          <w:sz w:val="24"/>
          <w:szCs w:val="24"/>
        </w:rPr>
        <w:t>et al. 2021)</w:t>
      </w:r>
      <w:r w:rsidRPr="00AF0E8B">
        <w:rPr>
          <w:rFonts w:ascii="Times New Roman" w:hAnsi="Times New Roman" w:cs="Times New Roman"/>
          <w:sz w:val="24"/>
          <w:szCs w:val="24"/>
        </w:rPr>
        <w:t>. Despite their ecological importance and occurrence in diverse tropical and subtropical ecosystems, their ethnomedicinal potential remains underexplored</w:t>
      </w:r>
      <w:r w:rsidR="005E3A67">
        <w:rPr>
          <w:rFonts w:ascii="Times New Roman" w:hAnsi="Times New Roman" w:cs="Times New Roman"/>
          <w:sz w:val="24"/>
          <w:szCs w:val="24"/>
        </w:rPr>
        <w:t xml:space="preserve"> (</w:t>
      </w:r>
      <w:r w:rsidR="005E3A67" w:rsidRPr="007E103C">
        <w:rPr>
          <w:rFonts w:ascii="Times New Roman" w:hAnsi="Times New Roman" w:cs="Times New Roman"/>
          <w:sz w:val="24"/>
          <w:szCs w:val="24"/>
        </w:rPr>
        <w:t xml:space="preserve">Bouwmeester </w:t>
      </w:r>
      <w:r w:rsidR="005E3A67">
        <w:rPr>
          <w:rFonts w:ascii="Times New Roman" w:hAnsi="Times New Roman" w:cs="Times New Roman"/>
          <w:sz w:val="24"/>
          <w:szCs w:val="24"/>
        </w:rPr>
        <w:t>et al.</w:t>
      </w:r>
      <w:r w:rsidR="005378FE">
        <w:rPr>
          <w:rFonts w:ascii="Times New Roman" w:hAnsi="Times New Roman" w:cs="Times New Roman"/>
          <w:sz w:val="24"/>
          <w:szCs w:val="24"/>
        </w:rPr>
        <w:t>,</w:t>
      </w:r>
      <w:r w:rsidR="005E3A67">
        <w:rPr>
          <w:rFonts w:ascii="Times New Roman" w:hAnsi="Times New Roman" w:cs="Times New Roman"/>
          <w:sz w:val="24"/>
          <w:szCs w:val="24"/>
        </w:rPr>
        <w:t xml:space="preserve"> 2021)</w:t>
      </w:r>
      <w:r w:rsidRPr="00AF0E8B">
        <w:rPr>
          <w:rFonts w:ascii="Times New Roman" w:hAnsi="Times New Roman" w:cs="Times New Roman"/>
          <w:sz w:val="24"/>
          <w:szCs w:val="24"/>
        </w:rPr>
        <w:t xml:space="preserve">. Traditional healers in many Asian regions, particularly India and Southeast Asia, have long </w:t>
      </w:r>
      <w:r w:rsidR="00D974A0">
        <w:rPr>
          <w:rFonts w:ascii="Times New Roman" w:hAnsi="Times New Roman" w:cs="Times New Roman"/>
          <w:sz w:val="24"/>
          <w:szCs w:val="24"/>
        </w:rPr>
        <w:t>utilised</w:t>
      </w:r>
      <w:r w:rsidRPr="00AF0E8B">
        <w:rPr>
          <w:rFonts w:ascii="Times New Roman" w:hAnsi="Times New Roman" w:cs="Times New Roman"/>
          <w:sz w:val="24"/>
          <w:szCs w:val="24"/>
        </w:rPr>
        <w:t xml:space="preserve"> parasitic taxa for treating </w:t>
      </w:r>
      <w:r w:rsidR="00D545C9">
        <w:rPr>
          <w:rFonts w:ascii="Times New Roman" w:hAnsi="Times New Roman" w:cs="Times New Roman"/>
          <w:sz w:val="24"/>
          <w:szCs w:val="24"/>
        </w:rPr>
        <w:t xml:space="preserve">various </w:t>
      </w:r>
      <w:r w:rsidR="003E72FB">
        <w:rPr>
          <w:rFonts w:ascii="Times New Roman" w:hAnsi="Times New Roman" w:cs="Times New Roman"/>
          <w:sz w:val="24"/>
          <w:szCs w:val="24"/>
        </w:rPr>
        <w:t>health problems</w:t>
      </w:r>
      <w:r w:rsidR="005E3A67">
        <w:rPr>
          <w:rFonts w:ascii="Times New Roman" w:hAnsi="Times New Roman" w:cs="Times New Roman"/>
          <w:sz w:val="24"/>
          <w:szCs w:val="24"/>
        </w:rPr>
        <w:t xml:space="preserve"> (</w:t>
      </w:r>
      <w:r w:rsidR="00B06415" w:rsidRPr="00B06415">
        <w:rPr>
          <w:rFonts w:ascii="Times New Roman" w:hAnsi="Times New Roman" w:cs="Times New Roman"/>
          <w:sz w:val="24"/>
          <w:szCs w:val="24"/>
        </w:rPr>
        <w:t xml:space="preserve">Kwanda </w:t>
      </w:r>
      <w:r w:rsidR="00B06415">
        <w:rPr>
          <w:rFonts w:ascii="Times New Roman" w:hAnsi="Times New Roman" w:cs="Times New Roman"/>
          <w:sz w:val="24"/>
          <w:szCs w:val="24"/>
        </w:rPr>
        <w:t>et al.</w:t>
      </w:r>
      <w:r w:rsidR="005378FE">
        <w:rPr>
          <w:rFonts w:ascii="Times New Roman" w:hAnsi="Times New Roman" w:cs="Times New Roman"/>
          <w:sz w:val="24"/>
          <w:szCs w:val="24"/>
        </w:rPr>
        <w:t>,</w:t>
      </w:r>
      <w:r w:rsidR="00B06415">
        <w:rPr>
          <w:rFonts w:ascii="Times New Roman" w:hAnsi="Times New Roman" w:cs="Times New Roman"/>
          <w:sz w:val="24"/>
          <w:szCs w:val="24"/>
        </w:rPr>
        <w:t xml:space="preserve"> 2013)</w:t>
      </w:r>
      <w:r w:rsidRPr="00AF0E8B">
        <w:rPr>
          <w:rFonts w:ascii="Times New Roman" w:hAnsi="Times New Roman" w:cs="Times New Roman"/>
          <w:sz w:val="24"/>
          <w:szCs w:val="24"/>
        </w:rPr>
        <w:t xml:space="preserve">. Among them, the genera </w:t>
      </w:r>
      <w:r w:rsidRPr="00AF0E8B">
        <w:rPr>
          <w:rFonts w:ascii="Times New Roman" w:hAnsi="Times New Roman" w:cs="Times New Roman"/>
          <w:i/>
          <w:iCs/>
          <w:sz w:val="24"/>
          <w:szCs w:val="24"/>
        </w:rPr>
        <w:t>Macrosolen</w:t>
      </w:r>
      <w:r w:rsidRPr="00AF0E8B">
        <w:rPr>
          <w:rFonts w:ascii="Times New Roman" w:hAnsi="Times New Roman" w:cs="Times New Roman"/>
          <w:sz w:val="24"/>
          <w:szCs w:val="24"/>
        </w:rPr>
        <w:t xml:space="preserve"> and </w:t>
      </w:r>
      <w:r w:rsidRPr="00AF0E8B">
        <w:rPr>
          <w:rFonts w:ascii="Times New Roman" w:hAnsi="Times New Roman" w:cs="Times New Roman"/>
          <w:i/>
          <w:iCs/>
          <w:sz w:val="24"/>
          <w:szCs w:val="24"/>
        </w:rPr>
        <w:t>Scurrula</w:t>
      </w:r>
      <w:r w:rsidR="00D545C9">
        <w:rPr>
          <w:rFonts w:ascii="Times New Roman" w:hAnsi="Times New Roman" w:cs="Times New Roman"/>
          <w:sz w:val="24"/>
          <w:szCs w:val="24"/>
        </w:rPr>
        <w:t xml:space="preserve">from the family </w:t>
      </w:r>
      <w:r w:rsidRPr="00AF0E8B">
        <w:rPr>
          <w:rFonts w:ascii="Times New Roman" w:hAnsi="Times New Roman" w:cs="Times New Roman"/>
          <w:sz w:val="24"/>
          <w:szCs w:val="24"/>
        </w:rPr>
        <w:t>Loranthaceae occupy a remarkable place due to their wide distribution and association with multiple host species</w:t>
      </w:r>
      <w:r w:rsidR="00F43F60">
        <w:rPr>
          <w:rFonts w:ascii="Times New Roman" w:hAnsi="Times New Roman" w:cs="Times New Roman"/>
          <w:sz w:val="24"/>
          <w:szCs w:val="24"/>
        </w:rPr>
        <w:t xml:space="preserve"> (Mishra et al. 2025)</w:t>
      </w:r>
      <w:r w:rsidRPr="00AF0E8B">
        <w:rPr>
          <w:rFonts w:ascii="Times New Roman" w:hAnsi="Times New Roman" w:cs="Times New Roman"/>
          <w:sz w:val="24"/>
          <w:szCs w:val="24"/>
        </w:rPr>
        <w:t xml:space="preserve">. However, compared to other medicinal groups, ethnobotanical and pharmacological studies on these genera are sparse, scattered, and often anecdotal. This knowledge gap has limited their recognition within modern phytochemical and pharmacognostic research.The present </w:t>
      </w:r>
      <w:r w:rsidR="003E72FB">
        <w:rPr>
          <w:rFonts w:ascii="Times New Roman" w:hAnsi="Times New Roman" w:cs="Times New Roman"/>
          <w:sz w:val="24"/>
          <w:szCs w:val="24"/>
        </w:rPr>
        <w:t>study</w:t>
      </w:r>
      <w:r w:rsidRPr="00AF0E8B">
        <w:rPr>
          <w:rFonts w:ascii="Times New Roman" w:hAnsi="Times New Roman" w:cs="Times New Roman"/>
          <w:sz w:val="24"/>
          <w:szCs w:val="24"/>
        </w:rPr>
        <w:t xml:space="preserve"> compiles and </w:t>
      </w:r>
      <w:r w:rsidR="005378FE">
        <w:rPr>
          <w:rFonts w:ascii="Times New Roman" w:hAnsi="Times New Roman" w:cs="Times New Roman"/>
          <w:sz w:val="24"/>
          <w:szCs w:val="24"/>
        </w:rPr>
        <w:t>analyses</w:t>
      </w:r>
      <w:r w:rsidR="003E72FB">
        <w:rPr>
          <w:rFonts w:ascii="Times New Roman" w:hAnsi="Times New Roman" w:cs="Times New Roman"/>
          <w:sz w:val="24"/>
          <w:szCs w:val="24"/>
        </w:rPr>
        <w:t xml:space="preserve">the </w:t>
      </w:r>
      <w:r w:rsidRPr="00AF0E8B">
        <w:rPr>
          <w:rFonts w:ascii="Times New Roman" w:hAnsi="Times New Roman" w:cs="Times New Roman"/>
          <w:sz w:val="24"/>
          <w:szCs w:val="24"/>
        </w:rPr>
        <w:t xml:space="preserve">available ethnomedicinal information on </w:t>
      </w:r>
      <w:r w:rsidRPr="00AF0E8B">
        <w:rPr>
          <w:rFonts w:ascii="Times New Roman" w:hAnsi="Times New Roman" w:cs="Times New Roman"/>
          <w:i/>
          <w:iCs/>
          <w:sz w:val="24"/>
          <w:szCs w:val="24"/>
        </w:rPr>
        <w:t>Macrosolen</w:t>
      </w:r>
      <w:r w:rsidRPr="00AF0E8B">
        <w:rPr>
          <w:rFonts w:ascii="Times New Roman" w:hAnsi="Times New Roman" w:cs="Times New Roman"/>
          <w:sz w:val="24"/>
          <w:szCs w:val="24"/>
        </w:rPr>
        <w:t xml:space="preserve"> and </w:t>
      </w:r>
      <w:r w:rsidRPr="00AF0E8B">
        <w:rPr>
          <w:rFonts w:ascii="Times New Roman" w:hAnsi="Times New Roman" w:cs="Times New Roman"/>
          <w:i/>
          <w:iCs/>
          <w:sz w:val="24"/>
          <w:szCs w:val="24"/>
        </w:rPr>
        <w:t>Scurrula</w:t>
      </w:r>
      <w:r w:rsidRPr="00AF0E8B">
        <w:rPr>
          <w:rFonts w:ascii="Times New Roman" w:hAnsi="Times New Roman" w:cs="Times New Roman"/>
          <w:sz w:val="24"/>
          <w:szCs w:val="24"/>
        </w:rPr>
        <w:t xml:space="preserve"> through a structured literature survey and supplementary field documentation. Published sources, including ethnobotanical surveys, pharmacological reports, and regional floras, were systematically reviewed to extract species-wise data on plant parts used, preparation methods, and therapeutic applications. The compiled information was further </w:t>
      </w:r>
      <w:r w:rsidR="00833A53">
        <w:rPr>
          <w:rFonts w:ascii="Times New Roman" w:hAnsi="Times New Roman" w:cs="Times New Roman"/>
          <w:sz w:val="24"/>
          <w:szCs w:val="24"/>
        </w:rPr>
        <w:t>categorised</w:t>
      </w:r>
      <w:r w:rsidRPr="00AF0E8B">
        <w:rPr>
          <w:rFonts w:ascii="Times New Roman" w:hAnsi="Times New Roman" w:cs="Times New Roman"/>
          <w:sz w:val="24"/>
          <w:szCs w:val="24"/>
        </w:rPr>
        <w:t xml:space="preserve"> into major ailment groups, and comparative analyses were performed to highlight differences and similarities in ethnomedicinal use patterns between the two genera. Additionally, emphasis was placed on identifying </w:t>
      </w:r>
      <w:r w:rsidRPr="00AF0E8B">
        <w:rPr>
          <w:rFonts w:ascii="Times New Roman" w:hAnsi="Times New Roman" w:cs="Times New Roman"/>
          <w:sz w:val="24"/>
          <w:szCs w:val="24"/>
        </w:rPr>
        <w:lastRenderedPageBreak/>
        <w:t>unexplored or underrepresented uses that could guide future pharmacological investigations.</w:t>
      </w:r>
      <w:r w:rsidR="00D545C9">
        <w:rPr>
          <w:rFonts w:ascii="Times New Roman" w:hAnsi="Times New Roman" w:cs="Times New Roman"/>
          <w:sz w:val="24"/>
          <w:szCs w:val="24"/>
        </w:rPr>
        <w:t>Present</w:t>
      </w:r>
      <w:r w:rsidRPr="00AF0E8B">
        <w:rPr>
          <w:rFonts w:ascii="Times New Roman" w:hAnsi="Times New Roman" w:cs="Times New Roman"/>
          <w:sz w:val="24"/>
          <w:szCs w:val="24"/>
        </w:rPr>
        <w:t xml:space="preserve"> study represents one of the first comparative ethnomedicinal assessments of </w:t>
      </w:r>
      <w:r w:rsidRPr="00AF0E8B">
        <w:rPr>
          <w:rFonts w:ascii="Times New Roman" w:hAnsi="Times New Roman" w:cs="Times New Roman"/>
          <w:i/>
          <w:iCs/>
          <w:sz w:val="24"/>
          <w:szCs w:val="24"/>
        </w:rPr>
        <w:t>Macrosolen</w:t>
      </w:r>
      <w:r w:rsidRPr="00AF0E8B">
        <w:rPr>
          <w:rFonts w:ascii="Times New Roman" w:hAnsi="Times New Roman" w:cs="Times New Roman"/>
          <w:sz w:val="24"/>
          <w:szCs w:val="24"/>
        </w:rPr>
        <w:t xml:space="preserve"> and </w:t>
      </w:r>
      <w:r w:rsidRPr="00AF0E8B">
        <w:rPr>
          <w:rFonts w:ascii="Times New Roman" w:hAnsi="Times New Roman" w:cs="Times New Roman"/>
          <w:i/>
          <w:iCs/>
          <w:sz w:val="24"/>
          <w:szCs w:val="24"/>
        </w:rPr>
        <w:t>Scurrula</w:t>
      </w:r>
      <w:r w:rsidRPr="00AF0E8B">
        <w:rPr>
          <w:rFonts w:ascii="Times New Roman" w:hAnsi="Times New Roman" w:cs="Times New Roman"/>
          <w:sz w:val="24"/>
          <w:szCs w:val="24"/>
        </w:rPr>
        <w:t xml:space="preserve">, two </w:t>
      </w:r>
      <w:r w:rsidR="003427E6">
        <w:rPr>
          <w:rFonts w:ascii="Times New Roman" w:hAnsi="Times New Roman" w:cs="Times New Roman"/>
          <w:sz w:val="24"/>
          <w:szCs w:val="24"/>
        </w:rPr>
        <w:t>hemiparasitic</w:t>
      </w:r>
      <w:r w:rsidRPr="00AF0E8B">
        <w:rPr>
          <w:rFonts w:ascii="Times New Roman" w:hAnsi="Times New Roman" w:cs="Times New Roman"/>
          <w:sz w:val="24"/>
          <w:szCs w:val="24"/>
        </w:rPr>
        <w:t xml:space="preserve"> genera often overlooked in traditional medicine documentation. </w:t>
      </w:r>
      <w:r w:rsidR="00D545C9">
        <w:rPr>
          <w:rFonts w:ascii="Times New Roman" w:hAnsi="Times New Roman" w:cs="Times New Roman"/>
          <w:sz w:val="24"/>
          <w:szCs w:val="24"/>
        </w:rPr>
        <w:t>The</w:t>
      </w:r>
      <w:r w:rsidRPr="00AF0E8B">
        <w:rPr>
          <w:rFonts w:ascii="Times New Roman" w:hAnsi="Times New Roman" w:cs="Times New Roman"/>
          <w:sz w:val="24"/>
          <w:szCs w:val="24"/>
        </w:rPr>
        <w:t xml:space="preserve"> study aims to bridge the gap between traditional ethnomedicine and modern scientific research, promoting the inclusion of </w:t>
      </w:r>
      <w:r w:rsidRPr="00AF0E8B">
        <w:rPr>
          <w:rFonts w:ascii="Times New Roman" w:hAnsi="Times New Roman" w:cs="Times New Roman"/>
          <w:i/>
          <w:iCs/>
          <w:sz w:val="24"/>
          <w:szCs w:val="24"/>
        </w:rPr>
        <w:t>Macrosolen</w:t>
      </w:r>
      <w:r w:rsidRPr="00AF0E8B">
        <w:rPr>
          <w:rFonts w:ascii="Times New Roman" w:hAnsi="Times New Roman" w:cs="Times New Roman"/>
          <w:sz w:val="24"/>
          <w:szCs w:val="24"/>
        </w:rPr>
        <w:t xml:space="preserve"> and </w:t>
      </w:r>
      <w:r w:rsidRPr="00AF0E8B">
        <w:rPr>
          <w:rFonts w:ascii="Times New Roman" w:hAnsi="Times New Roman" w:cs="Times New Roman"/>
          <w:i/>
          <w:iCs/>
          <w:sz w:val="24"/>
          <w:szCs w:val="24"/>
        </w:rPr>
        <w:t>Scurrula</w:t>
      </w:r>
      <w:r w:rsidRPr="00AF0E8B">
        <w:rPr>
          <w:rFonts w:ascii="Times New Roman" w:hAnsi="Times New Roman" w:cs="Times New Roman"/>
          <w:sz w:val="24"/>
          <w:szCs w:val="24"/>
        </w:rPr>
        <w:t xml:space="preserve"> in future </w:t>
      </w:r>
      <w:r w:rsidR="00E23EF1">
        <w:rPr>
          <w:rFonts w:ascii="Times New Roman" w:hAnsi="Times New Roman" w:cs="Times New Roman"/>
          <w:sz w:val="24"/>
          <w:szCs w:val="24"/>
        </w:rPr>
        <w:t>pharmacological</w:t>
      </w:r>
      <w:r w:rsidRPr="00AF0E8B">
        <w:rPr>
          <w:rFonts w:ascii="Times New Roman" w:hAnsi="Times New Roman" w:cs="Times New Roman"/>
          <w:sz w:val="24"/>
          <w:szCs w:val="24"/>
        </w:rPr>
        <w:t xml:space="preserve"> and conservation programs.</w:t>
      </w:r>
    </w:p>
    <w:p w:rsidR="00AF0E8B" w:rsidRPr="00D545C9" w:rsidRDefault="00AE7FB4" w:rsidP="00D545C9">
      <w:pPr>
        <w:pStyle w:val="ListParagraph"/>
        <w:numPr>
          <w:ilvl w:val="0"/>
          <w:numId w:val="3"/>
        </w:numPr>
        <w:spacing w:line="360" w:lineRule="auto"/>
        <w:jc w:val="both"/>
        <w:rPr>
          <w:rFonts w:ascii="Times New Roman" w:hAnsi="Times New Roman" w:cs="Times New Roman"/>
          <w:b/>
          <w:bCs/>
          <w:sz w:val="24"/>
          <w:szCs w:val="24"/>
        </w:rPr>
      </w:pPr>
      <w:r w:rsidRPr="00D545C9">
        <w:rPr>
          <w:rFonts w:ascii="Times New Roman" w:hAnsi="Times New Roman" w:cs="Times New Roman"/>
          <w:b/>
          <w:bCs/>
          <w:sz w:val="24"/>
          <w:szCs w:val="24"/>
        </w:rPr>
        <w:t>METHODOLOGY</w:t>
      </w:r>
    </w:p>
    <w:p w:rsidR="00D545C9" w:rsidRDefault="00AF0E8B" w:rsidP="00D545C9">
      <w:pPr>
        <w:spacing w:line="276" w:lineRule="auto"/>
        <w:jc w:val="both"/>
        <w:rPr>
          <w:rFonts w:ascii="Times New Roman" w:hAnsi="Times New Roman" w:cs="Times New Roman"/>
          <w:sz w:val="24"/>
          <w:szCs w:val="24"/>
        </w:rPr>
      </w:pPr>
      <w:r w:rsidRPr="00AF0E8B">
        <w:rPr>
          <w:rFonts w:ascii="Times New Roman" w:hAnsi="Times New Roman" w:cs="Times New Roman"/>
          <w:sz w:val="24"/>
          <w:szCs w:val="24"/>
        </w:rPr>
        <w:t xml:space="preserve">A systematic review was conducted to compile and </w:t>
      </w:r>
      <w:r w:rsidR="003427E6">
        <w:rPr>
          <w:rFonts w:ascii="Times New Roman" w:hAnsi="Times New Roman" w:cs="Times New Roman"/>
          <w:sz w:val="24"/>
          <w:szCs w:val="24"/>
        </w:rPr>
        <w:t>analyse</w:t>
      </w:r>
      <w:r w:rsidRPr="00AF0E8B">
        <w:rPr>
          <w:rFonts w:ascii="Times New Roman" w:hAnsi="Times New Roman" w:cs="Times New Roman"/>
          <w:sz w:val="24"/>
          <w:szCs w:val="24"/>
        </w:rPr>
        <w:t xml:space="preserve"> ethnomedicinal information on the parasitic genera </w:t>
      </w:r>
      <w:r w:rsidRPr="00AF0E8B">
        <w:rPr>
          <w:rFonts w:ascii="Times New Roman" w:hAnsi="Times New Roman" w:cs="Times New Roman"/>
          <w:i/>
          <w:iCs/>
          <w:sz w:val="24"/>
          <w:szCs w:val="24"/>
        </w:rPr>
        <w:t>Macrosolen</w:t>
      </w:r>
      <w:r w:rsidRPr="00AF0E8B">
        <w:rPr>
          <w:rFonts w:ascii="Times New Roman" w:hAnsi="Times New Roman" w:cs="Times New Roman"/>
          <w:sz w:val="24"/>
          <w:szCs w:val="24"/>
        </w:rPr>
        <w:t xml:space="preserve"> and </w:t>
      </w:r>
      <w:r w:rsidRPr="00AF0E8B">
        <w:rPr>
          <w:rFonts w:ascii="Times New Roman" w:hAnsi="Times New Roman" w:cs="Times New Roman"/>
          <w:i/>
          <w:iCs/>
          <w:sz w:val="24"/>
          <w:szCs w:val="24"/>
        </w:rPr>
        <w:t>Scurrula</w:t>
      </w:r>
      <w:r w:rsidRPr="00AF0E8B">
        <w:rPr>
          <w:rFonts w:ascii="Times New Roman" w:hAnsi="Times New Roman" w:cs="Times New Roman"/>
          <w:sz w:val="24"/>
          <w:szCs w:val="24"/>
        </w:rPr>
        <w:t>. Relevant data were collected from databases (Google Scholar, PubMed, ScienceDirect, and ResearchGate)</w:t>
      </w:r>
      <w:r w:rsidR="00942986">
        <w:rPr>
          <w:rFonts w:ascii="Times New Roman" w:hAnsi="Times New Roman" w:cs="Times New Roman"/>
          <w:sz w:val="24"/>
          <w:szCs w:val="24"/>
        </w:rPr>
        <w:t xml:space="preserve"> andliterature on </w:t>
      </w:r>
      <w:r w:rsidRPr="00AF0E8B">
        <w:rPr>
          <w:rFonts w:ascii="Times New Roman" w:hAnsi="Times New Roman" w:cs="Times New Roman"/>
          <w:sz w:val="24"/>
          <w:szCs w:val="24"/>
        </w:rPr>
        <w:t>regional floras</w:t>
      </w:r>
      <w:r w:rsidR="004223B7">
        <w:rPr>
          <w:rFonts w:ascii="Times New Roman" w:hAnsi="Times New Roman" w:cs="Times New Roman"/>
          <w:sz w:val="24"/>
          <w:szCs w:val="24"/>
        </w:rPr>
        <w:t xml:space="preserve"> (</w:t>
      </w:r>
      <w:r w:rsidR="007C689A">
        <w:rPr>
          <w:rFonts w:ascii="Times New Roman" w:hAnsi="Times New Roman" w:cs="Times New Roman"/>
          <w:sz w:val="24"/>
          <w:szCs w:val="24"/>
        </w:rPr>
        <w:t xml:space="preserve">Saxena and Brahmam, 1995; </w:t>
      </w:r>
      <w:r w:rsidR="004223B7">
        <w:rPr>
          <w:rFonts w:ascii="Times New Roman" w:hAnsi="Times New Roman" w:cs="Times New Roman"/>
          <w:sz w:val="24"/>
          <w:szCs w:val="24"/>
        </w:rPr>
        <w:t>Sahu et al., 2018)</w:t>
      </w:r>
      <w:r w:rsidRPr="00AF0E8B">
        <w:rPr>
          <w:rFonts w:ascii="Times New Roman" w:hAnsi="Times New Roman" w:cs="Times New Roman"/>
          <w:sz w:val="24"/>
          <w:szCs w:val="24"/>
        </w:rPr>
        <w:t>.</w:t>
      </w:r>
      <w:r w:rsidR="00F06E55">
        <w:rPr>
          <w:rFonts w:ascii="Times New Roman" w:hAnsi="Times New Roman" w:cs="Times New Roman"/>
          <w:sz w:val="24"/>
          <w:szCs w:val="24"/>
        </w:rPr>
        <w:t xml:space="preserve"> The get the information </w:t>
      </w:r>
      <w:r w:rsidR="00890076">
        <w:rPr>
          <w:rFonts w:ascii="Times New Roman" w:hAnsi="Times New Roman" w:cs="Times New Roman"/>
          <w:sz w:val="24"/>
          <w:szCs w:val="24"/>
        </w:rPr>
        <w:t>about present</w:t>
      </w:r>
      <w:r w:rsidR="00F06E55">
        <w:rPr>
          <w:rFonts w:ascii="Times New Roman" w:hAnsi="Times New Roman" w:cs="Times New Roman"/>
          <w:sz w:val="24"/>
          <w:szCs w:val="24"/>
        </w:rPr>
        <w:t xml:space="preserve"> study, “parasitic plants”, “parasitic plants of India”, “medicinal uses of parasitic plants of India”, “ethnomedicinal uses of parasitic plants”, “pharmacological values of parasitic plants”,</w:t>
      </w:r>
      <w:r w:rsidR="00BD1BF2">
        <w:rPr>
          <w:rFonts w:ascii="Times New Roman" w:hAnsi="Times New Roman" w:cs="Times New Roman"/>
          <w:sz w:val="24"/>
          <w:szCs w:val="24"/>
        </w:rPr>
        <w:t xml:space="preserve">“traditional therapeutic uses of </w:t>
      </w:r>
      <w:r w:rsidR="00BD1BF2" w:rsidRPr="00BD1BF2">
        <w:rPr>
          <w:rFonts w:ascii="Times New Roman" w:hAnsi="Times New Roman" w:cs="Times New Roman"/>
          <w:i/>
          <w:iCs/>
          <w:sz w:val="24"/>
          <w:szCs w:val="24"/>
        </w:rPr>
        <w:t>Macrosolen</w:t>
      </w:r>
      <w:r w:rsidR="00BD1BF2">
        <w:rPr>
          <w:rFonts w:ascii="Times New Roman" w:hAnsi="Times New Roman" w:cs="Times New Roman"/>
          <w:sz w:val="24"/>
          <w:szCs w:val="24"/>
        </w:rPr>
        <w:t xml:space="preserve">”, “traditional therapeutic uses of </w:t>
      </w:r>
      <w:r w:rsidR="00BD1BF2" w:rsidRPr="00BD1BF2">
        <w:rPr>
          <w:rFonts w:ascii="Times New Roman" w:hAnsi="Times New Roman" w:cs="Times New Roman"/>
          <w:i/>
          <w:iCs/>
          <w:sz w:val="24"/>
          <w:szCs w:val="24"/>
        </w:rPr>
        <w:t>Scurrula</w:t>
      </w:r>
      <w:r w:rsidR="00BD1BF2">
        <w:rPr>
          <w:rFonts w:ascii="Times New Roman" w:hAnsi="Times New Roman" w:cs="Times New Roman"/>
          <w:sz w:val="24"/>
          <w:szCs w:val="24"/>
        </w:rPr>
        <w:t xml:space="preserve">”, “ethnomedicinal uses of </w:t>
      </w:r>
      <w:r w:rsidR="00BD1BF2" w:rsidRPr="00BD1BF2">
        <w:rPr>
          <w:rFonts w:ascii="Times New Roman" w:hAnsi="Times New Roman" w:cs="Times New Roman"/>
          <w:i/>
          <w:iCs/>
          <w:sz w:val="24"/>
          <w:szCs w:val="24"/>
        </w:rPr>
        <w:t>Macrosolen</w:t>
      </w:r>
      <w:r w:rsidR="00BD1BF2">
        <w:rPr>
          <w:rFonts w:ascii="Times New Roman" w:hAnsi="Times New Roman" w:cs="Times New Roman"/>
          <w:sz w:val="24"/>
          <w:szCs w:val="24"/>
        </w:rPr>
        <w:t xml:space="preserve">”, and “ethnomedicinal uses of </w:t>
      </w:r>
      <w:r w:rsidR="00BD1BF2" w:rsidRPr="00BD1BF2">
        <w:rPr>
          <w:rFonts w:ascii="Times New Roman" w:hAnsi="Times New Roman" w:cs="Times New Roman"/>
          <w:i/>
          <w:iCs/>
          <w:sz w:val="24"/>
          <w:szCs w:val="24"/>
        </w:rPr>
        <w:t>Scurrula</w:t>
      </w:r>
      <w:r w:rsidR="00BD1BF2">
        <w:rPr>
          <w:rFonts w:ascii="Times New Roman" w:hAnsi="Times New Roman" w:cs="Times New Roman"/>
          <w:sz w:val="24"/>
          <w:szCs w:val="24"/>
        </w:rPr>
        <w:t xml:space="preserve">” are used as key words. </w:t>
      </w:r>
      <w:r w:rsidRPr="00AF0E8B">
        <w:rPr>
          <w:rFonts w:ascii="Times New Roman" w:hAnsi="Times New Roman" w:cs="Times New Roman"/>
          <w:sz w:val="24"/>
          <w:szCs w:val="24"/>
        </w:rPr>
        <w:t xml:space="preserve">Only verified records citing plant parts, preparation methods, and therapeutic uses were included. Data were </w:t>
      </w:r>
      <w:r w:rsidR="003427E6">
        <w:rPr>
          <w:rFonts w:ascii="Times New Roman" w:hAnsi="Times New Roman" w:cs="Times New Roman"/>
          <w:sz w:val="24"/>
          <w:szCs w:val="24"/>
        </w:rPr>
        <w:t>categorised</w:t>
      </w:r>
      <w:r w:rsidRPr="00AF0E8B">
        <w:rPr>
          <w:rFonts w:ascii="Times New Roman" w:hAnsi="Times New Roman" w:cs="Times New Roman"/>
          <w:sz w:val="24"/>
          <w:szCs w:val="24"/>
        </w:rPr>
        <w:t xml:space="preserve"> by ailment type and plant part used, followed by comparative analysis between genera</w:t>
      </w:r>
      <w:r w:rsidR="00C03DFB">
        <w:rPr>
          <w:rFonts w:ascii="Times New Roman" w:hAnsi="Times New Roman" w:cs="Times New Roman"/>
          <w:sz w:val="24"/>
          <w:szCs w:val="24"/>
        </w:rPr>
        <w:t xml:space="preserve"> after tabulation on gathered information</w:t>
      </w:r>
      <w:r w:rsidR="00C126EE">
        <w:rPr>
          <w:rFonts w:ascii="Times New Roman" w:hAnsi="Times New Roman" w:cs="Times New Roman"/>
          <w:sz w:val="24"/>
          <w:szCs w:val="24"/>
        </w:rPr>
        <w:t xml:space="preserve"> (</w:t>
      </w:r>
      <w:r w:rsidR="00D1256F" w:rsidRPr="00A37FFB">
        <w:rPr>
          <w:rFonts w:ascii="Times New Roman" w:hAnsi="Times New Roman" w:cs="Times New Roman"/>
          <w:sz w:val="24"/>
          <w:szCs w:val="24"/>
        </w:rPr>
        <w:t>Kamagaté</w:t>
      </w:r>
      <w:r w:rsidR="00D1256F">
        <w:rPr>
          <w:rFonts w:ascii="Times New Roman" w:hAnsi="Times New Roman" w:cs="Times New Roman"/>
          <w:sz w:val="24"/>
          <w:szCs w:val="24"/>
        </w:rPr>
        <w:t xml:space="preserve">et al., 2005; </w:t>
      </w:r>
      <w:r w:rsidR="00C16E25" w:rsidRPr="00ED4A4B">
        <w:rPr>
          <w:rFonts w:ascii="Times New Roman" w:hAnsi="Times New Roman" w:cs="Times New Roman"/>
          <w:sz w:val="24"/>
          <w:szCs w:val="24"/>
        </w:rPr>
        <w:t xml:space="preserve">Baharvand-Ahmadi </w:t>
      </w:r>
      <w:r w:rsidR="00C16E25">
        <w:rPr>
          <w:rFonts w:ascii="Times New Roman" w:hAnsi="Times New Roman" w:cs="Times New Roman"/>
          <w:sz w:val="24"/>
          <w:szCs w:val="24"/>
        </w:rPr>
        <w:t xml:space="preserve">and Asadi-Samani, 2016; </w:t>
      </w:r>
      <w:r w:rsidR="00C126EE">
        <w:rPr>
          <w:rFonts w:ascii="Times New Roman" w:hAnsi="Times New Roman" w:cs="Times New Roman"/>
          <w:sz w:val="24"/>
          <w:szCs w:val="24"/>
        </w:rPr>
        <w:t>Kumar, 2025)</w:t>
      </w:r>
      <w:r w:rsidR="00C03DFB">
        <w:rPr>
          <w:rFonts w:ascii="Times New Roman" w:hAnsi="Times New Roman" w:cs="Times New Roman"/>
          <w:sz w:val="24"/>
          <w:szCs w:val="24"/>
        </w:rPr>
        <w:t>.</w:t>
      </w:r>
      <w:r w:rsidR="00D545C9">
        <w:rPr>
          <w:rFonts w:ascii="Times New Roman" w:hAnsi="Times New Roman" w:cs="Times New Roman"/>
          <w:sz w:val="24"/>
          <w:szCs w:val="24"/>
        </w:rPr>
        <w:t xml:space="preserve"> A field survey was </w:t>
      </w:r>
      <w:r w:rsidR="001A09CB">
        <w:rPr>
          <w:rFonts w:ascii="Times New Roman" w:hAnsi="Times New Roman" w:cs="Times New Roman"/>
          <w:sz w:val="24"/>
          <w:szCs w:val="24"/>
        </w:rPr>
        <w:t xml:space="preserve">also </w:t>
      </w:r>
      <w:r w:rsidR="00D545C9">
        <w:rPr>
          <w:rFonts w:ascii="Times New Roman" w:hAnsi="Times New Roman" w:cs="Times New Roman"/>
          <w:sz w:val="24"/>
          <w:szCs w:val="24"/>
        </w:rPr>
        <w:t>conducted</w:t>
      </w:r>
      <w:r w:rsidR="00BF6B0F">
        <w:rPr>
          <w:rFonts w:ascii="Times New Roman" w:hAnsi="Times New Roman" w:cs="Times New Roman"/>
          <w:sz w:val="24"/>
          <w:szCs w:val="24"/>
        </w:rPr>
        <w:t xml:space="preserve"> in Odisha</w:t>
      </w:r>
      <w:r w:rsidR="00A763AC">
        <w:rPr>
          <w:rFonts w:ascii="Times New Roman" w:hAnsi="Times New Roman" w:cs="Times New Roman"/>
          <w:sz w:val="24"/>
          <w:szCs w:val="24"/>
        </w:rPr>
        <w:t xml:space="preserve"> state, India</w:t>
      </w:r>
      <w:r w:rsidR="00BF6B0F">
        <w:rPr>
          <w:rFonts w:ascii="Times New Roman" w:hAnsi="Times New Roman" w:cs="Times New Roman"/>
          <w:sz w:val="24"/>
          <w:szCs w:val="24"/>
        </w:rPr>
        <w:t xml:space="preserve"> to take original photos of plants belonging to the genera </w:t>
      </w:r>
      <w:r w:rsidR="00BF6B0F" w:rsidRPr="00BF6B0F">
        <w:rPr>
          <w:rFonts w:ascii="Times New Roman" w:hAnsi="Times New Roman" w:cs="Times New Roman"/>
          <w:i/>
          <w:iCs/>
          <w:sz w:val="24"/>
          <w:szCs w:val="24"/>
        </w:rPr>
        <w:t>Macrosolen</w:t>
      </w:r>
      <w:r w:rsidR="00BF6B0F">
        <w:rPr>
          <w:rFonts w:ascii="Times New Roman" w:hAnsi="Times New Roman" w:cs="Times New Roman"/>
          <w:sz w:val="24"/>
          <w:szCs w:val="24"/>
        </w:rPr>
        <w:t xml:space="preserve"> and </w:t>
      </w:r>
      <w:r w:rsidR="00BF6B0F" w:rsidRPr="00BF6B0F">
        <w:rPr>
          <w:rFonts w:ascii="Times New Roman" w:hAnsi="Times New Roman" w:cs="Times New Roman"/>
          <w:i/>
          <w:iCs/>
          <w:sz w:val="24"/>
          <w:szCs w:val="24"/>
        </w:rPr>
        <w:t>Scurrula</w:t>
      </w:r>
      <w:r w:rsidR="00BF6B0F">
        <w:rPr>
          <w:rFonts w:ascii="Times New Roman" w:hAnsi="Times New Roman" w:cs="Times New Roman"/>
          <w:sz w:val="24"/>
          <w:szCs w:val="24"/>
        </w:rPr>
        <w:t xml:space="preserve"> during 2022-2024</w:t>
      </w:r>
      <w:r w:rsidRPr="00AF0E8B">
        <w:rPr>
          <w:rFonts w:ascii="Times New Roman" w:hAnsi="Times New Roman" w:cs="Times New Roman"/>
          <w:sz w:val="24"/>
          <w:szCs w:val="24"/>
        </w:rPr>
        <w:t xml:space="preserve">. </w:t>
      </w:r>
    </w:p>
    <w:p w:rsidR="00AF0E8B" w:rsidRPr="00D545C9" w:rsidRDefault="00FC50C9" w:rsidP="00D545C9">
      <w:pPr>
        <w:pStyle w:val="ListParagraph"/>
        <w:numPr>
          <w:ilvl w:val="0"/>
          <w:numId w:val="3"/>
        </w:num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FINDINGS</w:t>
      </w:r>
      <w:r w:rsidR="00AE7FB4" w:rsidRPr="00D545C9">
        <w:rPr>
          <w:rFonts w:ascii="Times New Roman" w:hAnsi="Times New Roman" w:cs="Times New Roman"/>
          <w:b/>
          <w:bCs/>
          <w:sz w:val="24"/>
          <w:szCs w:val="24"/>
        </w:rPr>
        <w:t xml:space="preserve"> AND DISCUSSION </w:t>
      </w:r>
    </w:p>
    <w:p w:rsidR="00713A39" w:rsidRDefault="00713A39" w:rsidP="003427E6">
      <w:pPr>
        <w:spacing w:line="276" w:lineRule="auto"/>
        <w:jc w:val="both"/>
        <w:rPr>
          <w:rFonts w:ascii="Times New Roman" w:hAnsi="Times New Roman" w:cs="Times New Roman"/>
          <w:sz w:val="24"/>
          <w:szCs w:val="24"/>
        </w:rPr>
      </w:pPr>
      <w:r w:rsidRPr="00713A39">
        <w:rPr>
          <w:rFonts w:ascii="Times New Roman" w:hAnsi="Times New Roman" w:cs="Times New Roman"/>
          <w:sz w:val="24"/>
          <w:szCs w:val="24"/>
        </w:rPr>
        <w:t xml:space="preserve">The compiled review documented a total of 14 ethnomedicinal use reports across six species of </w:t>
      </w:r>
      <w:r w:rsidRPr="00713A39">
        <w:rPr>
          <w:rFonts w:ascii="Times New Roman" w:hAnsi="Times New Roman" w:cs="Times New Roman"/>
          <w:i/>
          <w:iCs/>
          <w:sz w:val="24"/>
          <w:szCs w:val="24"/>
        </w:rPr>
        <w:t>Macrosolen</w:t>
      </w:r>
      <w:r w:rsidRPr="00713A39">
        <w:rPr>
          <w:rFonts w:ascii="Times New Roman" w:hAnsi="Times New Roman" w:cs="Times New Roman"/>
          <w:sz w:val="24"/>
          <w:szCs w:val="24"/>
        </w:rPr>
        <w:t xml:space="preserve"> and </w:t>
      </w:r>
      <w:r w:rsidRPr="00713A39">
        <w:rPr>
          <w:rFonts w:ascii="Times New Roman" w:hAnsi="Times New Roman" w:cs="Times New Roman"/>
          <w:i/>
          <w:iCs/>
          <w:sz w:val="24"/>
          <w:szCs w:val="24"/>
        </w:rPr>
        <w:t>Scurrula</w:t>
      </w:r>
      <w:r w:rsidRPr="00713A39">
        <w:rPr>
          <w:rFonts w:ascii="Times New Roman" w:hAnsi="Times New Roman" w:cs="Times New Roman"/>
          <w:sz w:val="24"/>
          <w:szCs w:val="24"/>
        </w:rPr>
        <w:t xml:space="preserve">, representing two genera of </w:t>
      </w:r>
      <w:r w:rsidR="003427E6">
        <w:rPr>
          <w:rFonts w:ascii="Times New Roman" w:hAnsi="Times New Roman" w:cs="Times New Roman"/>
          <w:sz w:val="24"/>
          <w:szCs w:val="24"/>
        </w:rPr>
        <w:t>hemiparasitic</w:t>
      </w:r>
      <w:r w:rsidRPr="00713A39">
        <w:rPr>
          <w:rFonts w:ascii="Times New Roman" w:hAnsi="Times New Roman" w:cs="Times New Roman"/>
          <w:sz w:val="24"/>
          <w:szCs w:val="24"/>
        </w:rPr>
        <w:t xml:space="preserve"> plants belonging to the family </w:t>
      </w:r>
      <w:r w:rsidRPr="00CF5EDC">
        <w:rPr>
          <w:rFonts w:ascii="Times New Roman" w:hAnsi="Times New Roman" w:cs="Times New Roman"/>
          <w:sz w:val="24"/>
          <w:szCs w:val="24"/>
        </w:rPr>
        <w:t>Loranthaceae</w:t>
      </w:r>
      <w:r w:rsidR="005642DD">
        <w:rPr>
          <w:rFonts w:ascii="Times New Roman" w:hAnsi="Times New Roman" w:cs="Times New Roman"/>
          <w:sz w:val="24"/>
          <w:szCs w:val="24"/>
        </w:rPr>
        <w:t xml:space="preserve"> (Table 1)</w:t>
      </w:r>
      <w:r w:rsidRPr="00713A39">
        <w:rPr>
          <w:rFonts w:ascii="Times New Roman" w:hAnsi="Times New Roman" w:cs="Times New Roman"/>
          <w:sz w:val="24"/>
          <w:szCs w:val="24"/>
        </w:rPr>
        <w:t xml:space="preserve">. </w:t>
      </w:r>
      <w:r w:rsidR="001466B8">
        <w:rPr>
          <w:rFonts w:ascii="Times New Roman" w:hAnsi="Times New Roman" w:cs="Times New Roman"/>
          <w:sz w:val="24"/>
          <w:szCs w:val="24"/>
        </w:rPr>
        <w:t xml:space="preserve">It was noticed that </w:t>
      </w:r>
      <w:r w:rsidR="001466B8" w:rsidRPr="001466B8">
        <w:rPr>
          <w:rFonts w:ascii="Times New Roman" w:hAnsi="Times New Roman" w:cs="Times New Roman"/>
          <w:i/>
          <w:iCs/>
          <w:sz w:val="24"/>
          <w:szCs w:val="24"/>
        </w:rPr>
        <w:t>Macrosolencochinchinensis</w:t>
      </w:r>
      <w:r w:rsidR="00463D9D">
        <w:rPr>
          <w:rFonts w:ascii="Times New Roman" w:hAnsi="Times New Roman" w:cs="Times New Roman"/>
          <w:sz w:val="24"/>
          <w:szCs w:val="24"/>
        </w:rPr>
        <w:t xml:space="preserve">(Fig. 1A) </w:t>
      </w:r>
      <w:r w:rsidR="001466B8" w:rsidRPr="001466B8">
        <w:rPr>
          <w:rFonts w:ascii="Times New Roman" w:hAnsi="Times New Roman" w:cs="Times New Roman"/>
          <w:sz w:val="24"/>
          <w:szCs w:val="24"/>
        </w:rPr>
        <w:t>is the most cited species</w:t>
      </w:r>
      <w:r w:rsidR="003427E6">
        <w:rPr>
          <w:rFonts w:ascii="Times New Roman" w:hAnsi="Times New Roman" w:cs="Times New Roman"/>
          <w:sz w:val="24"/>
          <w:szCs w:val="24"/>
        </w:rPr>
        <w:t>,</w:t>
      </w:r>
      <w:r w:rsidR="001466B8">
        <w:rPr>
          <w:rFonts w:ascii="Times New Roman" w:hAnsi="Times New Roman" w:cs="Times New Roman"/>
          <w:sz w:val="24"/>
          <w:szCs w:val="24"/>
        </w:rPr>
        <w:t xml:space="preserve"> and </w:t>
      </w:r>
      <w:r w:rsidR="003427E6">
        <w:rPr>
          <w:rFonts w:ascii="Times New Roman" w:hAnsi="Times New Roman" w:cs="Times New Roman"/>
          <w:sz w:val="24"/>
          <w:szCs w:val="24"/>
        </w:rPr>
        <w:t xml:space="preserve">the </w:t>
      </w:r>
      <w:r w:rsidR="001466B8" w:rsidRPr="001466B8">
        <w:rPr>
          <w:rFonts w:ascii="Times New Roman" w:hAnsi="Times New Roman" w:cs="Times New Roman"/>
          <w:sz w:val="24"/>
          <w:szCs w:val="24"/>
        </w:rPr>
        <w:t>whole plant and leaves are the dominant parts</w:t>
      </w:r>
      <w:r w:rsidR="001466B8">
        <w:rPr>
          <w:rFonts w:ascii="Times New Roman" w:hAnsi="Times New Roman" w:cs="Times New Roman"/>
          <w:sz w:val="24"/>
          <w:szCs w:val="24"/>
        </w:rPr>
        <w:t xml:space="preserve"> used in ethnomedicinal practices</w:t>
      </w:r>
      <w:r w:rsidR="001466B8" w:rsidRPr="001466B8">
        <w:rPr>
          <w:rFonts w:ascii="Times New Roman" w:hAnsi="Times New Roman" w:cs="Times New Roman"/>
          <w:sz w:val="24"/>
          <w:szCs w:val="24"/>
        </w:rPr>
        <w:t>.</w:t>
      </w:r>
      <w:r w:rsidR="001466B8">
        <w:rPr>
          <w:rFonts w:ascii="Times New Roman" w:hAnsi="Times New Roman" w:cs="Times New Roman"/>
          <w:sz w:val="24"/>
          <w:szCs w:val="24"/>
        </w:rPr>
        <w:t xml:space="preserve"> It is observed that </w:t>
      </w:r>
      <w:r w:rsidR="000E1ABC" w:rsidRPr="000E1ABC">
        <w:rPr>
          <w:rFonts w:ascii="Times New Roman" w:hAnsi="Times New Roman" w:cs="Times New Roman"/>
          <w:sz w:val="24"/>
          <w:szCs w:val="24"/>
        </w:rPr>
        <w:t xml:space="preserve">cardiovascular, neurological, and reproductive uses are </w:t>
      </w:r>
      <w:r w:rsidR="000E1ABC">
        <w:rPr>
          <w:rFonts w:ascii="Times New Roman" w:hAnsi="Times New Roman" w:cs="Times New Roman"/>
          <w:sz w:val="24"/>
          <w:szCs w:val="24"/>
        </w:rPr>
        <w:t xml:space="preserve">most frequently treated by enumerated species.  </w:t>
      </w:r>
      <w:r w:rsidR="00724668">
        <w:rPr>
          <w:rFonts w:ascii="Times New Roman" w:hAnsi="Times New Roman" w:cs="Times New Roman"/>
          <w:sz w:val="24"/>
          <w:szCs w:val="24"/>
        </w:rPr>
        <w:t xml:space="preserve">Genus </w:t>
      </w:r>
      <w:r w:rsidR="00724668" w:rsidRPr="00724668">
        <w:rPr>
          <w:rFonts w:ascii="Times New Roman" w:hAnsi="Times New Roman" w:cs="Times New Roman"/>
          <w:i/>
          <w:iCs/>
          <w:sz w:val="24"/>
          <w:szCs w:val="24"/>
        </w:rPr>
        <w:t>Macrosolen</w:t>
      </w:r>
      <w:r w:rsidR="00724668" w:rsidRPr="00724668">
        <w:rPr>
          <w:rFonts w:ascii="Times New Roman" w:hAnsi="Times New Roman" w:cs="Times New Roman"/>
          <w:sz w:val="24"/>
          <w:szCs w:val="24"/>
        </w:rPr>
        <w:t xml:space="preserve"> is more associated with reproductive and respiratory uses, while </w:t>
      </w:r>
      <w:r w:rsidR="00724668" w:rsidRPr="00724668">
        <w:rPr>
          <w:rFonts w:ascii="Times New Roman" w:hAnsi="Times New Roman" w:cs="Times New Roman"/>
          <w:i/>
          <w:iCs/>
          <w:sz w:val="24"/>
          <w:szCs w:val="24"/>
        </w:rPr>
        <w:t>Scurrula</w:t>
      </w:r>
      <w:r w:rsidR="00724668" w:rsidRPr="00724668">
        <w:rPr>
          <w:rFonts w:ascii="Times New Roman" w:hAnsi="Times New Roman" w:cs="Times New Roman"/>
          <w:sz w:val="24"/>
          <w:szCs w:val="24"/>
        </w:rPr>
        <w:t xml:space="preserve"> species are dominant in cardiovascular, neurological, and general health applications</w:t>
      </w:r>
      <w:r w:rsidR="00724668">
        <w:rPr>
          <w:rFonts w:ascii="Times New Roman" w:hAnsi="Times New Roman" w:cs="Times New Roman"/>
          <w:sz w:val="24"/>
          <w:szCs w:val="24"/>
        </w:rPr>
        <w:t xml:space="preserve">.  </w:t>
      </w:r>
      <w:r w:rsidRPr="00713A39">
        <w:rPr>
          <w:rFonts w:ascii="Times New Roman" w:hAnsi="Times New Roman" w:cs="Times New Roman"/>
          <w:sz w:val="24"/>
          <w:szCs w:val="24"/>
        </w:rPr>
        <w:t xml:space="preserve">Patterns of ethnomedicinal use </w:t>
      </w:r>
      <w:r w:rsidR="00724668">
        <w:rPr>
          <w:rFonts w:ascii="Times New Roman" w:hAnsi="Times New Roman" w:cs="Times New Roman"/>
          <w:sz w:val="24"/>
          <w:szCs w:val="24"/>
        </w:rPr>
        <w:t xml:space="preserve">also </w:t>
      </w:r>
      <w:r w:rsidRPr="00713A39">
        <w:rPr>
          <w:rFonts w:ascii="Times New Roman" w:hAnsi="Times New Roman" w:cs="Times New Roman"/>
          <w:sz w:val="24"/>
          <w:szCs w:val="24"/>
        </w:rPr>
        <w:t>reveal</w:t>
      </w:r>
      <w:r w:rsidR="00724668">
        <w:rPr>
          <w:rFonts w:ascii="Times New Roman" w:hAnsi="Times New Roman" w:cs="Times New Roman"/>
          <w:sz w:val="24"/>
          <w:szCs w:val="24"/>
        </w:rPr>
        <w:t>ed</w:t>
      </w:r>
      <w:r w:rsidRPr="00713A39">
        <w:rPr>
          <w:rFonts w:ascii="Times New Roman" w:hAnsi="Times New Roman" w:cs="Times New Roman"/>
          <w:sz w:val="24"/>
          <w:szCs w:val="24"/>
        </w:rPr>
        <w:t xml:space="preserve"> that </w:t>
      </w:r>
      <w:r w:rsidRPr="00713A39">
        <w:rPr>
          <w:rFonts w:ascii="Times New Roman" w:hAnsi="Times New Roman" w:cs="Times New Roman"/>
          <w:i/>
          <w:iCs/>
          <w:sz w:val="24"/>
          <w:szCs w:val="24"/>
        </w:rPr>
        <w:t>Scurrula</w:t>
      </w:r>
      <w:r w:rsidRPr="00713A39">
        <w:rPr>
          <w:rFonts w:ascii="Times New Roman" w:hAnsi="Times New Roman" w:cs="Times New Roman"/>
          <w:sz w:val="24"/>
          <w:szCs w:val="24"/>
        </w:rPr>
        <w:t xml:space="preserve"> species are comparatively better represented in </w:t>
      </w:r>
      <w:r w:rsidR="003427E6">
        <w:rPr>
          <w:rFonts w:ascii="Times New Roman" w:hAnsi="Times New Roman" w:cs="Times New Roman"/>
          <w:sz w:val="24"/>
          <w:szCs w:val="24"/>
        </w:rPr>
        <w:t xml:space="preserve">the </w:t>
      </w:r>
      <w:r w:rsidRPr="00713A39">
        <w:rPr>
          <w:rFonts w:ascii="Times New Roman" w:hAnsi="Times New Roman" w:cs="Times New Roman"/>
          <w:sz w:val="24"/>
          <w:szCs w:val="24"/>
        </w:rPr>
        <w:t xml:space="preserve">literature than </w:t>
      </w:r>
      <w:r w:rsidRPr="00713A39">
        <w:rPr>
          <w:rFonts w:ascii="Times New Roman" w:hAnsi="Times New Roman" w:cs="Times New Roman"/>
          <w:i/>
          <w:iCs/>
          <w:sz w:val="24"/>
          <w:szCs w:val="24"/>
        </w:rPr>
        <w:t>Macrosolen</w:t>
      </w:r>
      <w:r w:rsidRPr="00713A39">
        <w:rPr>
          <w:rFonts w:ascii="Times New Roman" w:hAnsi="Times New Roman" w:cs="Times New Roman"/>
          <w:sz w:val="24"/>
          <w:szCs w:val="24"/>
        </w:rPr>
        <w:t xml:space="preserve">. </w:t>
      </w:r>
      <w:r w:rsidRPr="00713A39">
        <w:rPr>
          <w:rFonts w:ascii="Times New Roman" w:hAnsi="Times New Roman" w:cs="Times New Roman"/>
          <w:i/>
          <w:iCs/>
          <w:sz w:val="24"/>
          <w:szCs w:val="24"/>
        </w:rPr>
        <w:t>Scurrulaferruginea</w:t>
      </w:r>
      <w:r w:rsidRPr="00713A39">
        <w:rPr>
          <w:rFonts w:ascii="Times New Roman" w:hAnsi="Times New Roman" w:cs="Times New Roman"/>
          <w:sz w:val="24"/>
          <w:szCs w:val="24"/>
        </w:rPr>
        <w:t xml:space="preserve">, </w:t>
      </w:r>
      <w:r w:rsidRPr="00713A39">
        <w:rPr>
          <w:rFonts w:ascii="Times New Roman" w:hAnsi="Times New Roman" w:cs="Times New Roman"/>
          <w:i/>
          <w:iCs/>
          <w:sz w:val="24"/>
          <w:szCs w:val="24"/>
        </w:rPr>
        <w:t>S. atropurpurea</w:t>
      </w:r>
      <w:r w:rsidRPr="00713A39">
        <w:rPr>
          <w:rFonts w:ascii="Times New Roman" w:hAnsi="Times New Roman" w:cs="Times New Roman"/>
          <w:sz w:val="24"/>
          <w:szCs w:val="24"/>
        </w:rPr>
        <w:t xml:space="preserve">, and </w:t>
      </w:r>
      <w:r w:rsidRPr="00713A39">
        <w:rPr>
          <w:rFonts w:ascii="Times New Roman" w:hAnsi="Times New Roman" w:cs="Times New Roman"/>
          <w:i/>
          <w:iCs/>
          <w:sz w:val="24"/>
          <w:szCs w:val="24"/>
        </w:rPr>
        <w:t>S. parasitica</w:t>
      </w:r>
      <w:r w:rsidR="00940BF5">
        <w:rPr>
          <w:rFonts w:ascii="Times New Roman" w:hAnsi="Times New Roman" w:cs="Times New Roman"/>
          <w:sz w:val="24"/>
          <w:szCs w:val="24"/>
        </w:rPr>
        <w:t xml:space="preserve">(Fig. 1B) </w:t>
      </w:r>
      <w:r w:rsidRPr="00713A39">
        <w:rPr>
          <w:rFonts w:ascii="Times New Roman" w:hAnsi="Times New Roman" w:cs="Times New Roman"/>
          <w:sz w:val="24"/>
          <w:szCs w:val="24"/>
        </w:rPr>
        <w:t xml:space="preserve">are frequently cited for the treatment of cardiovascular, neurological, and general health disorders, while </w:t>
      </w:r>
      <w:r w:rsidRPr="00713A39">
        <w:rPr>
          <w:rFonts w:ascii="Times New Roman" w:hAnsi="Times New Roman" w:cs="Times New Roman"/>
          <w:i/>
          <w:iCs/>
          <w:sz w:val="24"/>
          <w:szCs w:val="24"/>
        </w:rPr>
        <w:t>Macrosolencochinchinensis</w:t>
      </w:r>
      <w:r w:rsidRPr="00713A39">
        <w:rPr>
          <w:rFonts w:ascii="Times New Roman" w:hAnsi="Times New Roman" w:cs="Times New Roman"/>
          <w:sz w:val="24"/>
          <w:szCs w:val="24"/>
        </w:rPr>
        <w:t xml:space="preserve"> is primarily used for reproductive and hepatic ailments</w:t>
      </w:r>
      <w:r w:rsidR="005642DD">
        <w:rPr>
          <w:rFonts w:ascii="Times New Roman" w:hAnsi="Times New Roman" w:cs="Times New Roman"/>
          <w:sz w:val="24"/>
          <w:szCs w:val="24"/>
        </w:rPr>
        <w:t xml:space="preserve"> (Fig. 2)</w:t>
      </w:r>
      <w:r w:rsidRPr="00713A39">
        <w:rPr>
          <w:rFonts w:ascii="Times New Roman" w:hAnsi="Times New Roman" w:cs="Times New Roman"/>
          <w:sz w:val="24"/>
          <w:szCs w:val="24"/>
        </w:rPr>
        <w:t xml:space="preserve">. Quantitative analysis </w:t>
      </w:r>
      <w:r w:rsidR="00942986">
        <w:rPr>
          <w:rFonts w:ascii="Times New Roman" w:hAnsi="Times New Roman" w:cs="Times New Roman"/>
          <w:sz w:val="24"/>
          <w:szCs w:val="24"/>
        </w:rPr>
        <w:t xml:space="preserve">revealed that </w:t>
      </w:r>
      <w:r w:rsidR="00942986" w:rsidRPr="00942986">
        <w:rPr>
          <w:rFonts w:ascii="Times New Roman" w:hAnsi="Times New Roman" w:cs="Times New Roman"/>
          <w:i/>
          <w:iCs/>
          <w:sz w:val="24"/>
          <w:szCs w:val="24"/>
        </w:rPr>
        <w:t>Scurrula</w:t>
      </w:r>
      <w:r w:rsidR="00942986">
        <w:rPr>
          <w:rFonts w:ascii="Times New Roman" w:hAnsi="Times New Roman" w:cs="Times New Roman"/>
          <w:sz w:val="24"/>
          <w:szCs w:val="24"/>
        </w:rPr>
        <w:t xml:space="preserve"> is associated with a greater number of distinct medicinal uses, indicating</w:t>
      </w:r>
      <w:r w:rsidRPr="00713A39">
        <w:rPr>
          <w:rFonts w:ascii="Times New Roman" w:hAnsi="Times New Roman" w:cs="Times New Roman"/>
          <w:sz w:val="24"/>
          <w:szCs w:val="24"/>
        </w:rPr>
        <w:t xml:space="preserve"> broader ethnopharmacological recognition among traditional communities.Plant part </w:t>
      </w:r>
      <w:r w:rsidR="00942986">
        <w:rPr>
          <w:rFonts w:ascii="Times New Roman" w:hAnsi="Times New Roman" w:cs="Times New Roman"/>
          <w:sz w:val="24"/>
          <w:szCs w:val="24"/>
        </w:rPr>
        <w:t>utilisation</w:t>
      </w:r>
      <w:r w:rsidRPr="00713A39">
        <w:rPr>
          <w:rFonts w:ascii="Times New Roman" w:hAnsi="Times New Roman" w:cs="Times New Roman"/>
          <w:sz w:val="24"/>
          <w:szCs w:val="24"/>
        </w:rPr>
        <w:t xml:space="preserve"> indicate</w:t>
      </w:r>
      <w:r w:rsidR="00942986">
        <w:rPr>
          <w:rFonts w:ascii="Times New Roman" w:hAnsi="Times New Roman" w:cs="Times New Roman"/>
          <w:sz w:val="24"/>
          <w:szCs w:val="24"/>
        </w:rPr>
        <w:t>d</w:t>
      </w:r>
      <w:r w:rsidRPr="00713A39">
        <w:rPr>
          <w:rFonts w:ascii="Times New Roman" w:hAnsi="Times New Roman" w:cs="Times New Roman"/>
          <w:sz w:val="24"/>
          <w:szCs w:val="24"/>
        </w:rPr>
        <w:t xml:space="preserve"> that the leaves and whole plants are the </w:t>
      </w:r>
      <w:r w:rsidR="008340D9" w:rsidRPr="00713A39">
        <w:rPr>
          <w:rFonts w:ascii="Times New Roman" w:hAnsi="Times New Roman" w:cs="Times New Roman"/>
          <w:sz w:val="24"/>
          <w:szCs w:val="24"/>
        </w:rPr>
        <w:t>most used</w:t>
      </w:r>
      <w:r w:rsidRPr="00713A39">
        <w:rPr>
          <w:rFonts w:ascii="Times New Roman" w:hAnsi="Times New Roman" w:cs="Times New Roman"/>
          <w:sz w:val="24"/>
          <w:szCs w:val="24"/>
        </w:rPr>
        <w:t>, followed by fruits and stems</w:t>
      </w:r>
      <w:r w:rsidR="007C5EA7">
        <w:rPr>
          <w:rFonts w:ascii="Times New Roman" w:hAnsi="Times New Roman" w:cs="Times New Roman"/>
          <w:sz w:val="24"/>
          <w:szCs w:val="24"/>
        </w:rPr>
        <w:t xml:space="preserve"> (Fig. 3)</w:t>
      </w:r>
      <w:r w:rsidRPr="00713A39">
        <w:rPr>
          <w:rFonts w:ascii="Times New Roman" w:hAnsi="Times New Roman" w:cs="Times New Roman"/>
          <w:sz w:val="24"/>
          <w:szCs w:val="24"/>
        </w:rPr>
        <w:t xml:space="preserve">. Such patterns suggest that easily harvestable aerial parts are preferred due to their accessibility and high phytochemical content, a trend consistent with observations in other medicinal taxa. The dominance of leaf-based remedies also </w:t>
      </w:r>
      <w:r w:rsidR="00942986">
        <w:rPr>
          <w:rFonts w:ascii="Times New Roman" w:hAnsi="Times New Roman" w:cs="Times New Roman"/>
          <w:sz w:val="24"/>
          <w:szCs w:val="24"/>
        </w:rPr>
        <w:t>highlights</w:t>
      </w:r>
      <w:r w:rsidRPr="00713A39">
        <w:rPr>
          <w:rFonts w:ascii="Times New Roman" w:hAnsi="Times New Roman" w:cs="Times New Roman"/>
          <w:sz w:val="24"/>
          <w:szCs w:val="24"/>
        </w:rPr>
        <w:t xml:space="preserve"> their potential as sustainable sources for pharmacological testing without </w:t>
      </w:r>
      <w:r w:rsidRPr="00713A39">
        <w:rPr>
          <w:rFonts w:ascii="Times New Roman" w:hAnsi="Times New Roman" w:cs="Times New Roman"/>
          <w:sz w:val="24"/>
          <w:szCs w:val="24"/>
        </w:rPr>
        <w:lastRenderedPageBreak/>
        <w:t>threatening plant survival.</w:t>
      </w:r>
      <w:r w:rsidR="00942986">
        <w:rPr>
          <w:rFonts w:ascii="Times New Roman" w:hAnsi="Times New Roman" w:cs="Times New Roman"/>
          <w:sz w:val="24"/>
          <w:szCs w:val="24"/>
        </w:rPr>
        <w:t>Categorisation</w:t>
      </w:r>
      <w:r w:rsidRPr="00713A39">
        <w:rPr>
          <w:rFonts w:ascii="Times New Roman" w:hAnsi="Times New Roman" w:cs="Times New Roman"/>
          <w:sz w:val="24"/>
          <w:szCs w:val="24"/>
        </w:rPr>
        <w:t xml:space="preserve"> by ailment type identified cardiovascular (26%), neurological (19%), and reproductive (14%) disorders as the major therapeutic domains, followed by hepatic, respiratory, and dermatological applications</w:t>
      </w:r>
      <w:r w:rsidR="00F76AEA">
        <w:rPr>
          <w:rFonts w:ascii="Times New Roman" w:hAnsi="Times New Roman" w:cs="Times New Roman"/>
          <w:sz w:val="24"/>
          <w:szCs w:val="24"/>
        </w:rPr>
        <w:t xml:space="preserve"> (Fig 4)</w:t>
      </w:r>
      <w:r w:rsidRPr="00713A39">
        <w:rPr>
          <w:rFonts w:ascii="Times New Roman" w:hAnsi="Times New Roman" w:cs="Times New Roman"/>
          <w:sz w:val="24"/>
          <w:szCs w:val="24"/>
        </w:rPr>
        <w:t xml:space="preserve">. </w:t>
      </w:r>
    </w:p>
    <w:p w:rsidR="005378FE" w:rsidRDefault="005378FE" w:rsidP="003427E6">
      <w:pPr>
        <w:spacing w:line="276" w:lineRule="auto"/>
        <w:jc w:val="both"/>
        <w:rPr>
          <w:rFonts w:ascii="Times New Roman" w:hAnsi="Times New Roman" w:cs="Times New Roman"/>
          <w:sz w:val="24"/>
          <w:szCs w:val="24"/>
        </w:rPr>
      </w:pPr>
      <w:r>
        <w:rPr>
          <w:noProof/>
          <w:lang w:val="en-US"/>
        </w:rPr>
        <w:drawing>
          <wp:inline distT="0" distB="0" distL="0" distR="0">
            <wp:extent cx="5731510" cy="3226435"/>
            <wp:effectExtent l="0" t="0" r="2540" b="0"/>
            <wp:docPr id="589260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226435"/>
                    </a:xfrm>
                    <a:prstGeom prst="rect">
                      <a:avLst/>
                    </a:prstGeom>
                    <a:noFill/>
                    <a:ln>
                      <a:noFill/>
                    </a:ln>
                  </pic:spPr>
                </pic:pic>
              </a:graphicData>
            </a:graphic>
          </wp:inline>
        </w:drawing>
      </w:r>
    </w:p>
    <w:p w:rsidR="009512B1" w:rsidRPr="00892BD7" w:rsidRDefault="005378FE" w:rsidP="00716A9B">
      <w:pPr>
        <w:spacing w:line="276" w:lineRule="auto"/>
        <w:jc w:val="center"/>
        <w:rPr>
          <w:rFonts w:ascii="Times New Roman" w:hAnsi="Times New Roman" w:cs="Times New Roman"/>
          <w:b/>
          <w:bCs/>
          <w:sz w:val="24"/>
          <w:szCs w:val="24"/>
        </w:rPr>
      </w:pPr>
      <w:r w:rsidRPr="00892BD7">
        <w:rPr>
          <w:rFonts w:ascii="Times New Roman" w:hAnsi="Times New Roman" w:cs="Times New Roman"/>
          <w:b/>
          <w:bCs/>
          <w:sz w:val="24"/>
          <w:szCs w:val="24"/>
        </w:rPr>
        <w:t>Fig</w:t>
      </w:r>
      <w:r w:rsidR="00892BD7" w:rsidRPr="00892BD7">
        <w:rPr>
          <w:rFonts w:ascii="Times New Roman" w:hAnsi="Times New Roman" w:cs="Times New Roman"/>
          <w:b/>
          <w:bCs/>
          <w:sz w:val="24"/>
          <w:szCs w:val="24"/>
        </w:rPr>
        <w:t>.</w:t>
      </w:r>
      <w:r w:rsidRPr="00892BD7">
        <w:rPr>
          <w:rFonts w:ascii="Times New Roman" w:hAnsi="Times New Roman" w:cs="Times New Roman"/>
          <w:b/>
          <w:bCs/>
          <w:sz w:val="24"/>
          <w:szCs w:val="24"/>
        </w:rPr>
        <w:t xml:space="preserve"> 1</w:t>
      </w:r>
      <w:r w:rsidR="00892BD7" w:rsidRPr="00892BD7">
        <w:rPr>
          <w:rFonts w:ascii="Times New Roman" w:hAnsi="Times New Roman" w:cs="Times New Roman"/>
          <w:b/>
          <w:bCs/>
          <w:sz w:val="24"/>
          <w:szCs w:val="24"/>
        </w:rPr>
        <w:t>.</w:t>
      </w:r>
      <w:r w:rsidR="00F76AEA">
        <w:rPr>
          <w:rFonts w:ascii="Times New Roman" w:hAnsi="Times New Roman" w:cs="Times New Roman"/>
          <w:b/>
          <w:bCs/>
          <w:sz w:val="24"/>
          <w:szCs w:val="24"/>
        </w:rPr>
        <w:t>P</w:t>
      </w:r>
      <w:r w:rsidR="00892BD7" w:rsidRPr="00892BD7">
        <w:rPr>
          <w:rFonts w:ascii="Times New Roman" w:hAnsi="Times New Roman" w:cs="Times New Roman"/>
          <w:b/>
          <w:bCs/>
          <w:sz w:val="24"/>
          <w:szCs w:val="24"/>
        </w:rPr>
        <w:t xml:space="preserve">arasitic </w:t>
      </w:r>
      <w:r w:rsidR="00F76AEA">
        <w:rPr>
          <w:rFonts w:ascii="Times New Roman" w:hAnsi="Times New Roman" w:cs="Times New Roman"/>
          <w:b/>
          <w:bCs/>
          <w:sz w:val="24"/>
          <w:szCs w:val="24"/>
        </w:rPr>
        <w:t>plants of</w:t>
      </w:r>
      <w:r w:rsidR="00892BD7" w:rsidRPr="00892BD7">
        <w:rPr>
          <w:rFonts w:ascii="Times New Roman" w:hAnsi="Times New Roman" w:cs="Times New Roman"/>
          <w:b/>
          <w:bCs/>
          <w:sz w:val="24"/>
          <w:szCs w:val="24"/>
        </w:rPr>
        <w:t xml:space="preserve"> the genus </w:t>
      </w:r>
      <w:r w:rsidR="00892BD7" w:rsidRPr="00833A53">
        <w:rPr>
          <w:rFonts w:ascii="Times New Roman" w:hAnsi="Times New Roman" w:cs="Times New Roman"/>
          <w:b/>
          <w:bCs/>
          <w:i/>
          <w:iCs/>
          <w:sz w:val="24"/>
          <w:szCs w:val="24"/>
        </w:rPr>
        <w:t>Macrosolen</w:t>
      </w:r>
      <w:r w:rsidR="00892BD7" w:rsidRPr="00892BD7">
        <w:rPr>
          <w:rFonts w:ascii="Times New Roman" w:hAnsi="Times New Roman" w:cs="Times New Roman"/>
          <w:b/>
          <w:bCs/>
          <w:sz w:val="24"/>
          <w:szCs w:val="24"/>
        </w:rPr>
        <w:t xml:space="preserve"> and </w:t>
      </w:r>
      <w:r w:rsidR="00892BD7" w:rsidRPr="00833A53">
        <w:rPr>
          <w:rFonts w:ascii="Times New Roman" w:hAnsi="Times New Roman" w:cs="Times New Roman"/>
          <w:b/>
          <w:bCs/>
          <w:i/>
          <w:iCs/>
          <w:sz w:val="24"/>
          <w:szCs w:val="24"/>
        </w:rPr>
        <w:t>Scurrula</w:t>
      </w:r>
      <w:r w:rsidR="00892BD7" w:rsidRPr="00892BD7">
        <w:rPr>
          <w:rFonts w:ascii="Times New Roman" w:hAnsi="Times New Roman" w:cs="Times New Roman"/>
          <w:b/>
          <w:bCs/>
          <w:sz w:val="24"/>
          <w:szCs w:val="24"/>
        </w:rPr>
        <w:t xml:space="preserve">; A) </w:t>
      </w:r>
      <w:r w:rsidR="00892BD7" w:rsidRPr="00892BD7">
        <w:rPr>
          <w:rFonts w:ascii="Times New Roman" w:hAnsi="Times New Roman" w:cs="Times New Roman"/>
          <w:b/>
          <w:bCs/>
          <w:i/>
          <w:iCs/>
          <w:sz w:val="24"/>
          <w:szCs w:val="24"/>
        </w:rPr>
        <w:t>Macrosolencochinchinensis</w:t>
      </w:r>
      <w:r w:rsidR="00A65A8B">
        <w:rPr>
          <w:rFonts w:ascii="Times New Roman" w:hAnsi="Times New Roman" w:cs="Times New Roman"/>
          <w:b/>
          <w:bCs/>
          <w:sz w:val="24"/>
          <w:szCs w:val="24"/>
        </w:rPr>
        <w:t xml:space="preserve"> and</w:t>
      </w:r>
      <w:r w:rsidR="00892BD7" w:rsidRPr="00892BD7">
        <w:rPr>
          <w:rFonts w:ascii="Times New Roman" w:hAnsi="Times New Roman" w:cs="Times New Roman"/>
          <w:b/>
          <w:bCs/>
          <w:sz w:val="24"/>
          <w:szCs w:val="24"/>
        </w:rPr>
        <w:t xml:space="preserve"> B) </w:t>
      </w:r>
      <w:r w:rsidR="00892BD7" w:rsidRPr="00892BD7">
        <w:rPr>
          <w:rFonts w:ascii="Times New Roman" w:hAnsi="Times New Roman" w:cs="Times New Roman"/>
          <w:b/>
          <w:bCs/>
          <w:i/>
          <w:iCs/>
          <w:sz w:val="24"/>
          <w:szCs w:val="24"/>
        </w:rPr>
        <w:t>Scurrula parasitica</w:t>
      </w:r>
    </w:p>
    <w:p w:rsidR="00AF0E8B" w:rsidRDefault="005D1AD2" w:rsidP="00B05C8B">
      <w:pPr>
        <w:spacing w:line="360" w:lineRule="auto"/>
        <w:jc w:val="both"/>
        <w:rPr>
          <w:rFonts w:ascii="Times New Roman" w:hAnsi="Times New Roman" w:cs="Times New Roman"/>
          <w:sz w:val="24"/>
          <w:szCs w:val="24"/>
        </w:rPr>
      </w:pPr>
      <w:r>
        <w:rPr>
          <w:noProof/>
          <w:lang w:val="en-US"/>
        </w:rPr>
        <w:drawing>
          <wp:inline distT="0" distB="0" distL="0" distR="0">
            <wp:extent cx="5486400" cy="3495554"/>
            <wp:effectExtent l="0" t="0" r="0" b="10160"/>
            <wp:docPr id="6858124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10DA2" w:rsidRPr="001B23B8" w:rsidRDefault="00510DA2" w:rsidP="00716A9B">
      <w:pPr>
        <w:spacing w:line="360" w:lineRule="auto"/>
        <w:jc w:val="center"/>
        <w:rPr>
          <w:rFonts w:ascii="Times New Roman" w:hAnsi="Times New Roman" w:cs="Times New Roman"/>
          <w:b/>
          <w:bCs/>
          <w:sz w:val="24"/>
          <w:szCs w:val="24"/>
        </w:rPr>
      </w:pPr>
      <w:r w:rsidRPr="005D1AD2">
        <w:rPr>
          <w:rFonts w:ascii="Times New Roman" w:hAnsi="Times New Roman" w:cs="Times New Roman"/>
          <w:b/>
          <w:bCs/>
          <w:sz w:val="24"/>
          <w:szCs w:val="24"/>
        </w:rPr>
        <w:t>Fig</w:t>
      </w:r>
      <w:r w:rsidR="00892BD7">
        <w:rPr>
          <w:rFonts w:ascii="Times New Roman" w:hAnsi="Times New Roman" w:cs="Times New Roman"/>
          <w:b/>
          <w:bCs/>
          <w:sz w:val="24"/>
          <w:szCs w:val="24"/>
        </w:rPr>
        <w:t>. 2.</w:t>
      </w:r>
      <w:r w:rsidRPr="001B23B8">
        <w:rPr>
          <w:rFonts w:ascii="Times New Roman" w:hAnsi="Times New Roman" w:cs="Times New Roman"/>
          <w:b/>
          <w:bCs/>
          <w:sz w:val="24"/>
          <w:szCs w:val="24"/>
        </w:rPr>
        <w:t xml:space="preserve">Number of ethnomedicinal uses </w:t>
      </w:r>
      <w:r w:rsidR="00D11394">
        <w:rPr>
          <w:rFonts w:ascii="Times New Roman" w:hAnsi="Times New Roman" w:cs="Times New Roman"/>
          <w:b/>
          <w:bCs/>
          <w:sz w:val="24"/>
          <w:szCs w:val="24"/>
        </w:rPr>
        <w:t xml:space="preserve">as </w:t>
      </w:r>
      <w:r w:rsidRPr="001B23B8">
        <w:rPr>
          <w:rFonts w:ascii="Times New Roman" w:hAnsi="Times New Roman" w:cs="Times New Roman"/>
          <w:b/>
          <w:bCs/>
          <w:sz w:val="24"/>
          <w:szCs w:val="24"/>
        </w:rPr>
        <w:t>per parasitic plant species</w:t>
      </w:r>
    </w:p>
    <w:p w:rsidR="00510DA2" w:rsidRDefault="00460DDA" w:rsidP="00B05C8B">
      <w:pPr>
        <w:spacing w:line="360" w:lineRule="auto"/>
        <w:jc w:val="both"/>
        <w:rPr>
          <w:rFonts w:ascii="Times New Roman" w:hAnsi="Times New Roman" w:cs="Times New Roman"/>
          <w:sz w:val="24"/>
          <w:szCs w:val="24"/>
        </w:rPr>
      </w:pPr>
      <w:r>
        <w:rPr>
          <w:noProof/>
          <w:lang w:val="en-US"/>
        </w:rPr>
        <w:lastRenderedPageBreak/>
        <w:drawing>
          <wp:inline distT="0" distB="0" distL="0" distR="0">
            <wp:extent cx="5454650" cy="4171950"/>
            <wp:effectExtent l="0" t="0" r="12700" b="0"/>
            <wp:docPr id="253488055"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EB40516-B6B0-9CD1-EFCC-C64AA83856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10DA2" w:rsidRPr="001B23B8" w:rsidRDefault="00510DA2" w:rsidP="00716A9B">
      <w:pPr>
        <w:spacing w:line="360" w:lineRule="auto"/>
        <w:jc w:val="center"/>
        <w:rPr>
          <w:rFonts w:ascii="Times New Roman" w:hAnsi="Times New Roman" w:cs="Times New Roman"/>
          <w:b/>
          <w:bCs/>
          <w:sz w:val="24"/>
          <w:szCs w:val="24"/>
        </w:rPr>
      </w:pPr>
      <w:r w:rsidRPr="005D1AD2">
        <w:rPr>
          <w:rFonts w:ascii="Times New Roman" w:hAnsi="Times New Roman" w:cs="Times New Roman"/>
          <w:b/>
          <w:bCs/>
          <w:sz w:val="24"/>
          <w:szCs w:val="24"/>
        </w:rPr>
        <w:t>Fig</w:t>
      </w:r>
      <w:r w:rsidR="00892BD7">
        <w:rPr>
          <w:rFonts w:ascii="Times New Roman" w:hAnsi="Times New Roman" w:cs="Times New Roman"/>
          <w:b/>
          <w:bCs/>
          <w:sz w:val="24"/>
          <w:szCs w:val="24"/>
        </w:rPr>
        <w:t>.3.</w:t>
      </w:r>
      <w:r w:rsidRPr="001B23B8">
        <w:rPr>
          <w:rFonts w:ascii="Times New Roman" w:hAnsi="Times New Roman" w:cs="Times New Roman"/>
          <w:b/>
          <w:bCs/>
          <w:sz w:val="24"/>
          <w:szCs w:val="24"/>
        </w:rPr>
        <w:t>Distribution of plant parts used</w:t>
      </w:r>
      <w:r w:rsidR="005D14C7">
        <w:rPr>
          <w:rFonts w:ascii="Times New Roman" w:hAnsi="Times New Roman" w:cs="Times New Roman"/>
          <w:b/>
          <w:bCs/>
          <w:sz w:val="24"/>
          <w:szCs w:val="24"/>
        </w:rPr>
        <w:t xml:space="preserve"> as ethnomedicinal agents</w:t>
      </w:r>
    </w:p>
    <w:p w:rsidR="00510DA2" w:rsidRDefault="005D1AD2" w:rsidP="0004072D">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extent cx="5486400" cy="3200400"/>
            <wp:effectExtent l="0" t="0" r="0" b="0"/>
            <wp:docPr id="52184980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D1AD2" w:rsidRDefault="00ED02E9" w:rsidP="00716A9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w:t>
      </w:r>
      <w:r w:rsidR="00892BD7">
        <w:rPr>
          <w:rFonts w:ascii="Times New Roman" w:hAnsi="Times New Roman" w:cs="Times New Roman"/>
          <w:b/>
          <w:bCs/>
          <w:sz w:val="24"/>
          <w:szCs w:val="24"/>
        </w:rPr>
        <w:t>.4.</w:t>
      </w:r>
      <w:r w:rsidRPr="001B23B8">
        <w:rPr>
          <w:rFonts w:ascii="Times New Roman" w:hAnsi="Times New Roman" w:cs="Times New Roman"/>
          <w:b/>
          <w:bCs/>
          <w:sz w:val="24"/>
          <w:szCs w:val="24"/>
        </w:rPr>
        <w:t>Ailment category distribution</w:t>
      </w:r>
      <w:r w:rsidR="00CF4644">
        <w:rPr>
          <w:rFonts w:ascii="Times New Roman" w:hAnsi="Times New Roman" w:cs="Times New Roman"/>
          <w:b/>
          <w:bCs/>
          <w:sz w:val="24"/>
          <w:szCs w:val="24"/>
        </w:rPr>
        <w:t xml:space="preserve"> in present study</w:t>
      </w:r>
    </w:p>
    <w:p w:rsidR="00D7550E" w:rsidRDefault="00D7550E" w:rsidP="00D7550E">
      <w:r w:rsidRPr="00155C65">
        <w:rPr>
          <w:noProof/>
          <w:lang w:val="en-US"/>
        </w:rPr>
        <w:lastRenderedPageBreak/>
        <w:drawing>
          <wp:inline distT="0" distB="0" distL="0" distR="0">
            <wp:extent cx="5731510" cy="3994150"/>
            <wp:effectExtent l="0" t="0" r="2540" b="6350"/>
            <wp:docPr id="957140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994150"/>
                    </a:xfrm>
                    <a:prstGeom prst="rect">
                      <a:avLst/>
                    </a:prstGeom>
                    <a:noFill/>
                    <a:ln>
                      <a:noFill/>
                    </a:ln>
                  </pic:spPr>
                </pic:pic>
              </a:graphicData>
            </a:graphic>
          </wp:inline>
        </w:drawing>
      </w:r>
    </w:p>
    <w:p w:rsidR="00D7550E" w:rsidRDefault="00D7550E" w:rsidP="00D7550E">
      <w:pPr>
        <w:jc w:val="center"/>
        <w:rPr>
          <w:rFonts w:ascii="Times New Roman" w:hAnsi="Times New Roman" w:cs="Times New Roman"/>
          <w:b/>
          <w:bCs/>
          <w:sz w:val="24"/>
          <w:szCs w:val="24"/>
        </w:rPr>
      </w:pPr>
      <w:r w:rsidRPr="005D1AD2">
        <w:rPr>
          <w:rFonts w:ascii="Times New Roman" w:hAnsi="Times New Roman" w:cs="Times New Roman"/>
          <w:b/>
          <w:bCs/>
          <w:sz w:val="24"/>
          <w:szCs w:val="24"/>
        </w:rPr>
        <w:t>Fig</w:t>
      </w:r>
      <w:r>
        <w:rPr>
          <w:rFonts w:ascii="Times New Roman" w:hAnsi="Times New Roman" w:cs="Times New Roman"/>
          <w:b/>
          <w:bCs/>
          <w:sz w:val="24"/>
          <w:szCs w:val="24"/>
        </w:rPr>
        <w:t>.5.</w:t>
      </w:r>
      <w:r w:rsidRPr="001B23B8">
        <w:rPr>
          <w:rFonts w:ascii="Times New Roman" w:hAnsi="Times New Roman" w:cs="Times New Roman"/>
          <w:b/>
          <w:bCs/>
          <w:sz w:val="24"/>
          <w:szCs w:val="24"/>
        </w:rPr>
        <w:t>Stacked bar chart displays ailment-wise comparison</w:t>
      </w:r>
    </w:p>
    <w:p w:rsidR="00D7550E" w:rsidRPr="00C126EE" w:rsidRDefault="00D7550E" w:rsidP="00D7550E">
      <w:pPr>
        <w:spacing w:line="360" w:lineRule="auto"/>
        <w:jc w:val="both"/>
        <w:rPr>
          <w:rFonts w:ascii="Times New Roman" w:hAnsi="Times New Roman" w:cs="Times New Roman"/>
          <w:sz w:val="24"/>
          <w:szCs w:val="24"/>
        </w:rPr>
      </w:pPr>
      <w:r w:rsidRPr="00713A39">
        <w:rPr>
          <w:rFonts w:ascii="Times New Roman" w:hAnsi="Times New Roman" w:cs="Times New Roman"/>
          <w:sz w:val="24"/>
          <w:szCs w:val="24"/>
        </w:rPr>
        <w:t xml:space="preserve">These results align with reports indicating that parasitic plants often possess strong antioxidant and vasorelaxant properties, which may justify their traditional use in hypertension and circulatory disorders.The comparative analysis between genera further </w:t>
      </w:r>
      <w:r>
        <w:rPr>
          <w:rFonts w:ascii="Times New Roman" w:hAnsi="Times New Roman" w:cs="Times New Roman"/>
          <w:sz w:val="24"/>
          <w:szCs w:val="24"/>
        </w:rPr>
        <w:t>emphasises</w:t>
      </w:r>
      <w:r w:rsidRPr="00713A39">
        <w:rPr>
          <w:rFonts w:ascii="Times New Roman" w:hAnsi="Times New Roman" w:cs="Times New Roman"/>
          <w:sz w:val="24"/>
          <w:szCs w:val="24"/>
        </w:rPr>
        <w:t xml:space="preserve"> that </w:t>
      </w:r>
      <w:r w:rsidRPr="00713A39">
        <w:rPr>
          <w:rFonts w:ascii="Times New Roman" w:hAnsi="Times New Roman" w:cs="Times New Roman"/>
          <w:i/>
          <w:iCs/>
          <w:sz w:val="24"/>
          <w:szCs w:val="24"/>
        </w:rPr>
        <w:t>Macrosolen</w:t>
      </w:r>
      <w:r w:rsidRPr="00713A39">
        <w:rPr>
          <w:rFonts w:ascii="Times New Roman" w:hAnsi="Times New Roman" w:cs="Times New Roman"/>
          <w:sz w:val="24"/>
          <w:szCs w:val="24"/>
        </w:rPr>
        <w:t xml:space="preserve"> exhibits a narrower spectrum of recorded uses, possibly due to limited ethnobotanical documentation rather than true medicinal scarcity</w:t>
      </w:r>
      <w:r w:rsidR="005D5F19">
        <w:rPr>
          <w:rFonts w:ascii="Times New Roman" w:hAnsi="Times New Roman" w:cs="Times New Roman"/>
          <w:sz w:val="24"/>
          <w:szCs w:val="24"/>
        </w:rPr>
        <w:t xml:space="preserve"> (Fig. 5)</w:t>
      </w:r>
      <w:r w:rsidRPr="00713A39">
        <w:rPr>
          <w:rFonts w:ascii="Times New Roman" w:hAnsi="Times New Roman" w:cs="Times New Roman"/>
          <w:sz w:val="24"/>
          <w:szCs w:val="24"/>
        </w:rPr>
        <w:t xml:space="preserve">. Conversely, </w:t>
      </w:r>
      <w:r w:rsidRPr="00713A39">
        <w:rPr>
          <w:rFonts w:ascii="Times New Roman" w:hAnsi="Times New Roman" w:cs="Times New Roman"/>
          <w:i/>
          <w:iCs/>
          <w:sz w:val="24"/>
          <w:szCs w:val="24"/>
        </w:rPr>
        <w:t>Scurrula</w:t>
      </w:r>
      <w:r w:rsidRPr="00713A39">
        <w:rPr>
          <w:rFonts w:ascii="Times New Roman" w:hAnsi="Times New Roman" w:cs="Times New Roman"/>
          <w:sz w:val="24"/>
          <w:szCs w:val="24"/>
        </w:rPr>
        <w:t xml:space="preserve"> species are more widely studied, particularly in Southeast Asia, for their anti-cancer and anti-hypertensive potentials. However, both genera remain underrepresented in phytochemical and pharmacological validation studies.Overall, the findings underscore the ethnomedicinal relevance and research potential of these neglected parasitic taxa. Their diverse traditional uses warrant further scientific exploration through bioassay-guided screening, phytochemical profiling, and pharmacognostic</w:t>
      </w:r>
      <w:r>
        <w:rPr>
          <w:rFonts w:ascii="Times New Roman" w:hAnsi="Times New Roman" w:cs="Times New Roman"/>
          <w:sz w:val="24"/>
          <w:szCs w:val="24"/>
        </w:rPr>
        <w:t>characterisation</w:t>
      </w:r>
      <w:r w:rsidRPr="00713A39">
        <w:rPr>
          <w:rFonts w:ascii="Times New Roman" w:hAnsi="Times New Roman" w:cs="Times New Roman"/>
          <w:sz w:val="24"/>
          <w:szCs w:val="24"/>
        </w:rPr>
        <w:t xml:space="preserve">. Strengthening such research will not only enhance the pharmacological understanding of </w:t>
      </w:r>
      <w:r w:rsidRPr="00713A39">
        <w:rPr>
          <w:rFonts w:ascii="Times New Roman" w:hAnsi="Times New Roman" w:cs="Times New Roman"/>
          <w:i/>
          <w:iCs/>
          <w:sz w:val="24"/>
          <w:szCs w:val="24"/>
        </w:rPr>
        <w:t>Macrosolen</w:t>
      </w:r>
      <w:r w:rsidRPr="00713A39">
        <w:rPr>
          <w:rFonts w:ascii="Times New Roman" w:hAnsi="Times New Roman" w:cs="Times New Roman"/>
          <w:sz w:val="24"/>
          <w:szCs w:val="24"/>
        </w:rPr>
        <w:t xml:space="preserve"> and </w:t>
      </w:r>
      <w:r w:rsidRPr="00713A39">
        <w:rPr>
          <w:rFonts w:ascii="Times New Roman" w:hAnsi="Times New Roman" w:cs="Times New Roman"/>
          <w:i/>
          <w:iCs/>
          <w:sz w:val="24"/>
          <w:szCs w:val="24"/>
        </w:rPr>
        <w:t>Scurrula</w:t>
      </w:r>
      <w:r w:rsidRPr="00713A39">
        <w:rPr>
          <w:rFonts w:ascii="Times New Roman" w:hAnsi="Times New Roman" w:cs="Times New Roman"/>
          <w:sz w:val="24"/>
          <w:szCs w:val="24"/>
        </w:rPr>
        <w:t xml:space="preserve"> but also aid in the documentation and conservation of indigenous knowledge related to parasitic medicinal plants.</w:t>
      </w:r>
      <w:r>
        <w:rPr>
          <w:rFonts w:ascii="Times New Roman" w:hAnsi="Times New Roman" w:cs="Times New Roman"/>
          <w:sz w:val="24"/>
          <w:szCs w:val="24"/>
        </w:rPr>
        <w:t xml:space="preserve"> During field survey to collect the photographs in Odisha state, it was noticed that Munda, Santhal, Khadia, Ho, Kandha and Gadaba tribal communities use the plant parts of differentparasitic plants including selected genera of present study as a wound healing agent (Present study). </w:t>
      </w:r>
    </w:p>
    <w:p w:rsidR="00B51A82" w:rsidRPr="00166E4B" w:rsidRDefault="005A0581" w:rsidP="00716A9B">
      <w:pPr>
        <w:spacing w:line="360" w:lineRule="auto"/>
        <w:jc w:val="center"/>
        <w:rPr>
          <w:rFonts w:ascii="Times New Roman" w:hAnsi="Times New Roman" w:cs="Times New Roman"/>
          <w:b/>
          <w:bCs/>
          <w:sz w:val="24"/>
          <w:szCs w:val="24"/>
        </w:rPr>
      </w:pPr>
      <w:r w:rsidRPr="001B23B8">
        <w:rPr>
          <w:rFonts w:ascii="Times New Roman" w:hAnsi="Times New Roman" w:cs="Times New Roman"/>
          <w:b/>
          <w:bCs/>
          <w:sz w:val="24"/>
          <w:szCs w:val="24"/>
        </w:rPr>
        <w:lastRenderedPageBreak/>
        <w:t xml:space="preserve">Table 1: </w:t>
      </w:r>
      <w:r w:rsidR="00E91BBC" w:rsidRPr="001B23B8">
        <w:rPr>
          <w:rFonts w:ascii="Times New Roman" w:hAnsi="Times New Roman" w:cs="Times New Roman"/>
          <w:b/>
          <w:bCs/>
          <w:sz w:val="24"/>
          <w:szCs w:val="24"/>
        </w:rPr>
        <w:t>Ethno-medicinal uses</w:t>
      </w:r>
      <w:r w:rsidR="005162D2" w:rsidRPr="001B23B8">
        <w:rPr>
          <w:rFonts w:ascii="Times New Roman" w:hAnsi="Times New Roman" w:cs="Times New Roman"/>
          <w:b/>
          <w:bCs/>
          <w:sz w:val="24"/>
          <w:szCs w:val="24"/>
        </w:rPr>
        <w:t xml:space="preserve"> of </w:t>
      </w:r>
      <w:bookmarkEnd w:id="0"/>
      <w:r w:rsidR="00CF4644">
        <w:rPr>
          <w:rFonts w:ascii="Times New Roman" w:hAnsi="Times New Roman" w:cs="Times New Roman"/>
          <w:b/>
          <w:bCs/>
          <w:sz w:val="24"/>
          <w:szCs w:val="24"/>
        </w:rPr>
        <w:t>genus</w:t>
      </w:r>
      <w:r w:rsidR="00166E4B" w:rsidRPr="00166E4B">
        <w:rPr>
          <w:rFonts w:ascii="Times New Roman" w:hAnsi="Times New Roman" w:cs="Times New Roman"/>
          <w:b/>
          <w:bCs/>
          <w:i/>
          <w:iCs/>
          <w:sz w:val="24"/>
          <w:szCs w:val="24"/>
        </w:rPr>
        <w:t>Macrosolen</w:t>
      </w:r>
      <w:r w:rsidR="00166E4B" w:rsidRPr="00166E4B">
        <w:rPr>
          <w:rFonts w:ascii="Times New Roman" w:hAnsi="Times New Roman" w:cs="Times New Roman"/>
          <w:b/>
          <w:bCs/>
          <w:sz w:val="24"/>
          <w:szCs w:val="24"/>
        </w:rPr>
        <w:t xml:space="preserve">and </w:t>
      </w:r>
      <w:r w:rsidR="00166E4B" w:rsidRPr="00166E4B">
        <w:rPr>
          <w:rFonts w:ascii="Times New Roman" w:hAnsi="Times New Roman" w:cs="Times New Roman"/>
          <w:b/>
          <w:bCs/>
          <w:i/>
          <w:iCs/>
          <w:sz w:val="24"/>
          <w:szCs w:val="24"/>
        </w:rPr>
        <w:t>Scurrula</w:t>
      </w:r>
    </w:p>
    <w:tbl>
      <w:tblPr>
        <w:tblStyle w:val="TableGrid"/>
        <w:tblW w:w="0" w:type="auto"/>
        <w:tblLook w:val="04A0"/>
      </w:tblPr>
      <w:tblGrid>
        <w:gridCol w:w="2887"/>
        <w:gridCol w:w="1396"/>
        <w:gridCol w:w="2842"/>
        <w:gridCol w:w="2117"/>
      </w:tblGrid>
      <w:tr w:rsidR="001E62DB" w:rsidTr="0047058C">
        <w:tc>
          <w:tcPr>
            <w:tcW w:w="1838" w:type="dxa"/>
          </w:tcPr>
          <w:p w:rsidR="001E62DB" w:rsidRPr="001B167F" w:rsidRDefault="001E62DB" w:rsidP="0047058C">
            <w:pPr>
              <w:spacing w:line="360" w:lineRule="auto"/>
              <w:jc w:val="both"/>
              <w:rPr>
                <w:rFonts w:ascii="Times New Roman" w:hAnsi="Times New Roman" w:cs="Times New Roman"/>
                <w:b/>
                <w:bCs/>
                <w:sz w:val="24"/>
                <w:szCs w:val="24"/>
              </w:rPr>
            </w:pPr>
            <w:r w:rsidRPr="001B167F">
              <w:rPr>
                <w:rFonts w:ascii="Times New Roman" w:hAnsi="Times New Roman" w:cs="Times New Roman"/>
                <w:b/>
                <w:bCs/>
                <w:sz w:val="24"/>
                <w:szCs w:val="24"/>
              </w:rPr>
              <w:t>Plant</w:t>
            </w:r>
          </w:p>
        </w:tc>
        <w:tc>
          <w:tcPr>
            <w:tcW w:w="1559" w:type="dxa"/>
          </w:tcPr>
          <w:p w:rsidR="001E62DB" w:rsidRPr="001B167F" w:rsidRDefault="001E62DB" w:rsidP="0047058C">
            <w:pPr>
              <w:spacing w:line="360" w:lineRule="auto"/>
              <w:jc w:val="both"/>
              <w:rPr>
                <w:rFonts w:ascii="Times New Roman" w:hAnsi="Times New Roman" w:cs="Times New Roman"/>
                <w:b/>
                <w:bCs/>
                <w:sz w:val="24"/>
                <w:szCs w:val="24"/>
              </w:rPr>
            </w:pPr>
            <w:r w:rsidRPr="001B167F">
              <w:rPr>
                <w:rFonts w:ascii="Times New Roman" w:hAnsi="Times New Roman" w:cs="Times New Roman"/>
                <w:b/>
                <w:bCs/>
                <w:sz w:val="24"/>
                <w:szCs w:val="24"/>
              </w:rPr>
              <w:t>Plant parts</w:t>
            </w:r>
          </w:p>
        </w:tc>
        <w:tc>
          <w:tcPr>
            <w:tcW w:w="3261" w:type="dxa"/>
          </w:tcPr>
          <w:p w:rsidR="001E62DB" w:rsidRPr="001B167F" w:rsidRDefault="001E62DB" w:rsidP="0047058C">
            <w:pPr>
              <w:spacing w:line="360" w:lineRule="auto"/>
              <w:jc w:val="both"/>
              <w:rPr>
                <w:rFonts w:ascii="Times New Roman" w:hAnsi="Times New Roman" w:cs="Times New Roman"/>
                <w:b/>
                <w:bCs/>
                <w:sz w:val="24"/>
                <w:szCs w:val="24"/>
              </w:rPr>
            </w:pPr>
            <w:r w:rsidRPr="001B167F">
              <w:rPr>
                <w:rFonts w:ascii="Times New Roman" w:hAnsi="Times New Roman" w:cs="Times New Roman"/>
                <w:b/>
                <w:bCs/>
                <w:sz w:val="24"/>
                <w:szCs w:val="24"/>
              </w:rPr>
              <w:t xml:space="preserve">Use </w:t>
            </w:r>
          </w:p>
        </w:tc>
        <w:tc>
          <w:tcPr>
            <w:tcW w:w="2358" w:type="dxa"/>
          </w:tcPr>
          <w:p w:rsidR="001E62DB" w:rsidRPr="001B167F" w:rsidRDefault="001E62DB" w:rsidP="0047058C">
            <w:pPr>
              <w:spacing w:line="360" w:lineRule="auto"/>
              <w:jc w:val="both"/>
              <w:rPr>
                <w:rFonts w:ascii="Times New Roman" w:hAnsi="Times New Roman" w:cs="Times New Roman"/>
                <w:b/>
                <w:bCs/>
                <w:sz w:val="24"/>
                <w:szCs w:val="24"/>
              </w:rPr>
            </w:pPr>
            <w:r w:rsidRPr="001B167F">
              <w:rPr>
                <w:rFonts w:ascii="Times New Roman" w:hAnsi="Times New Roman" w:cs="Times New Roman"/>
                <w:b/>
                <w:bCs/>
                <w:sz w:val="24"/>
                <w:szCs w:val="24"/>
              </w:rPr>
              <w:t xml:space="preserve">Source </w:t>
            </w:r>
          </w:p>
        </w:tc>
      </w:tr>
      <w:tr w:rsidR="001E62DB" w:rsidTr="0047058C">
        <w:tc>
          <w:tcPr>
            <w:tcW w:w="1838" w:type="dxa"/>
            <w:vMerge w:val="restart"/>
          </w:tcPr>
          <w:p w:rsidR="001E62DB" w:rsidRPr="00AE1465" w:rsidRDefault="001E62DB" w:rsidP="00AE1465">
            <w:pPr>
              <w:spacing w:line="360" w:lineRule="auto"/>
              <w:jc w:val="both"/>
              <w:rPr>
                <w:rFonts w:ascii="Times New Roman" w:hAnsi="Times New Roman" w:cs="Times New Roman"/>
                <w:sz w:val="24"/>
                <w:szCs w:val="24"/>
              </w:rPr>
            </w:pPr>
            <w:r w:rsidRPr="00AE1465">
              <w:rPr>
                <w:rFonts w:ascii="Times New Roman" w:hAnsi="Times New Roman" w:cs="Times New Roman"/>
                <w:i/>
                <w:iCs/>
                <w:sz w:val="24"/>
                <w:szCs w:val="24"/>
              </w:rPr>
              <w:t>Macrosolencochinchinensis</w:t>
            </w:r>
          </w:p>
        </w:tc>
        <w:tc>
          <w:tcPr>
            <w:tcW w:w="1559" w:type="dxa"/>
            <w:vMerge w:val="restart"/>
          </w:tcPr>
          <w:p w:rsidR="001E62DB" w:rsidRPr="008F5864" w:rsidRDefault="001E62DB" w:rsidP="0047058C">
            <w:pPr>
              <w:spacing w:line="360" w:lineRule="auto"/>
              <w:jc w:val="both"/>
              <w:rPr>
                <w:rFonts w:ascii="Times New Roman" w:hAnsi="Times New Roman" w:cs="Times New Roman"/>
                <w:sz w:val="24"/>
                <w:szCs w:val="24"/>
              </w:rPr>
            </w:pPr>
            <w:r w:rsidRPr="008F5864">
              <w:rPr>
                <w:rFonts w:ascii="Times New Roman" w:hAnsi="Times New Roman" w:cs="Times New Roman"/>
                <w:sz w:val="24"/>
                <w:szCs w:val="24"/>
              </w:rPr>
              <w:t>Leaf</w:t>
            </w:r>
          </w:p>
        </w:tc>
        <w:tc>
          <w:tcPr>
            <w:tcW w:w="3261" w:type="dxa"/>
          </w:tcPr>
          <w:p w:rsidR="001E62DB" w:rsidRPr="008F5864" w:rsidRDefault="001E62DB" w:rsidP="0047058C">
            <w:pPr>
              <w:spacing w:line="360" w:lineRule="auto"/>
              <w:jc w:val="both"/>
              <w:rPr>
                <w:rFonts w:ascii="Times New Roman" w:hAnsi="Times New Roman" w:cs="Times New Roman"/>
                <w:sz w:val="24"/>
                <w:szCs w:val="24"/>
              </w:rPr>
            </w:pPr>
            <w:r w:rsidRPr="008F5864">
              <w:rPr>
                <w:rFonts w:ascii="Times New Roman" w:hAnsi="Times New Roman" w:cs="Times New Roman"/>
                <w:sz w:val="24"/>
                <w:szCs w:val="24"/>
              </w:rPr>
              <w:t>Headache</w:t>
            </w:r>
            <w:r w:rsidR="00217096">
              <w:rPr>
                <w:rFonts w:ascii="Times New Roman" w:hAnsi="Times New Roman" w:cs="Times New Roman"/>
                <w:sz w:val="24"/>
                <w:szCs w:val="24"/>
              </w:rPr>
              <w:t>.</w:t>
            </w:r>
          </w:p>
        </w:tc>
        <w:tc>
          <w:tcPr>
            <w:tcW w:w="2358" w:type="dxa"/>
          </w:tcPr>
          <w:p w:rsidR="001E62DB" w:rsidRPr="008F5864" w:rsidRDefault="001E62DB" w:rsidP="0047058C">
            <w:pPr>
              <w:spacing w:line="360" w:lineRule="auto"/>
              <w:jc w:val="both"/>
              <w:rPr>
                <w:rFonts w:ascii="Times New Roman" w:hAnsi="Times New Roman" w:cs="Times New Roman"/>
                <w:sz w:val="24"/>
                <w:szCs w:val="24"/>
              </w:rPr>
            </w:pPr>
            <w:r w:rsidRPr="00685B2A">
              <w:rPr>
                <w:rFonts w:ascii="Times New Roman" w:hAnsi="Times New Roman" w:cs="Times New Roman"/>
                <w:sz w:val="24"/>
                <w:szCs w:val="24"/>
              </w:rPr>
              <w:t xml:space="preserve">Rahman </w:t>
            </w:r>
            <w:r>
              <w:rPr>
                <w:rFonts w:ascii="Times New Roman" w:hAnsi="Times New Roman" w:cs="Times New Roman"/>
                <w:sz w:val="24"/>
                <w:szCs w:val="24"/>
              </w:rPr>
              <w:t>et al.</w:t>
            </w:r>
            <w:r w:rsidR="005378FE">
              <w:rPr>
                <w:rFonts w:ascii="Times New Roman" w:hAnsi="Times New Roman" w:cs="Times New Roman"/>
                <w:sz w:val="24"/>
                <w:szCs w:val="24"/>
              </w:rPr>
              <w:t>,</w:t>
            </w:r>
            <w:r w:rsidR="000305D7">
              <w:rPr>
                <w:rFonts w:ascii="Times New Roman" w:hAnsi="Times New Roman" w:cs="Times New Roman"/>
                <w:sz w:val="24"/>
                <w:szCs w:val="24"/>
              </w:rPr>
              <w:t>(</w:t>
            </w:r>
            <w:r>
              <w:rPr>
                <w:rFonts w:ascii="Times New Roman" w:hAnsi="Times New Roman" w:cs="Times New Roman"/>
                <w:sz w:val="24"/>
                <w:szCs w:val="24"/>
              </w:rPr>
              <w:t>2012</w:t>
            </w:r>
            <w:r w:rsidR="000305D7">
              <w:rPr>
                <w:rFonts w:ascii="Times New Roman" w:hAnsi="Times New Roman" w:cs="Times New Roman"/>
                <w:sz w:val="24"/>
                <w:szCs w:val="24"/>
              </w:rPr>
              <w:t>)</w:t>
            </w:r>
          </w:p>
        </w:tc>
      </w:tr>
      <w:tr w:rsidR="001E62DB" w:rsidTr="0047058C">
        <w:tc>
          <w:tcPr>
            <w:tcW w:w="1838" w:type="dxa"/>
            <w:vMerge/>
          </w:tcPr>
          <w:p w:rsidR="001E62DB" w:rsidRPr="00AE1465" w:rsidRDefault="001E62DB" w:rsidP="00AE1465">
            <w:pPr>
              <w:spacing w:line="360" w:lineRule="auto"/>
              <w:jc w:val="both"/>
              <w:rPr>
                <w:rFonts w:ascii="Times New Roman" w:hAnsi="Times New Roman" w:cs="Times New Roman"/>
                <w:sz w:val="24"/>
                <w:szCs w:val="24"/>
              </w:rPr>
            </w:pPr>
          </w:p>
        </w:tc>
        <w:tc>
          <w:tcPr>
            <w:tcW w:w="1559" w:type="dxa"/>
            <w:vMerge/>
          </w:tcPr>
          <w:p w:rsidR="001E62DB" w:rsidRPr="008F5864" w:rsidRDefault="001E62DB" w:rsidP="0047058C">
            <w:pPr>
              <w:spacing w:line="360" w:lineRule="auto"/>
              <w:jc w:val="both"/>
              <w:rPr>
                <w:rFonts w:ascii="Times New Roman" w:hAnsi="Times New Roman" w:cs="Times New Roman"/>
                <w:sz w:val="24"/>
                <w:szCs w:val="24"/>
              </w:rPr>
            </w:pPr>
          </w:p>
        </w:tc>
        <w:tc>
          <w:tcPr>
            <w:tcW w:w="3261" w:type="dxa"/>
          </w:tcPr>
          <w:p w:rsidR="001E62DB" w:rsidRPr="008F5864" w:rsidRDefault="001E62DB" w:rsidP="0047058C">
            <w:pPr>
              <w:spacing w:line="360" w:lineRule="auto"/>
              <w:jc w:val="both"/>
              <w:rPr>
                <w:rFonts w:ascii="Times New Roman" w:hAnsi="Times New Roman" w:cs="Times New Roman"/>
                <w:sz w:val="24"/>
                <w:szCs w:val="24"/>
              </w:rPr>
            </w:pPr>
            <w:r w:rsidRPr="008F5864">
              <w:rPr>
                <w:rFonts w:ascii="Times New Roman" w:hAnsi="Times New Roman" w:cs="Times New Roman"/>
                <w:sz w:val="24"/>
                <w:szCs w:val="24"/>
              </w:rPr>
              <w:t>Tighten the uterus after childbirth</w:t>
            </w:r>
            <w:r w:rsidR="00217096">
              <w:rPr>
                <w:rFonts w:ascii="Times New Roman" w:hAnsi="Times New Roman" w:cs="Times New Roman"/>
                <w:sz w:val="24"/>
                <w:szCs w:val="24"/>
              </w:rPr>
              <w:t>.</w:t>
            </w:r>
          </w:p>
        </w:tc>
        <w:tc>
          <w:tcPr>
            <w:tcW w:w="2358" w:type="dxa"/>
          </w:tcPr>
          <w:p w:rsidR="001E62DB" w:rsidRPr="008F5864" w:rsidRDefault="001E62DB" w:rsidP="0047058C">
            <w:pPr>
              <w:spacing w:line="360" w:lineRule="auto"/>
              <w:jc w:val="both"/>
              <w:rPr>
                <w:rFonts w:ascii="Times New Roman" w:hAnsi="Times New Roman" w:cs="Times New Roman"/>
                <w:sz w:val="24"/>
                <w:szCs w:val="24"/>
              </w:rPr>
            </w:pPr>
            <w:r w:rsidRPr="00685B2A">
              <w:rPr>
                <w:rFonts w:ascii="Times New Roman" w:hAnsi="Times New Roman" w:cs="Times New Roman"/>
                <w:sz w:val="24"/>
                <w:szCs w:val="24"/>
              </w:rPr>
              <w:t xml:space="preserve">Rahman </w:t>
            </w:r>
            <w:r>
              <w:rPr>
                <w:rFonts w:ascii="Times New Roman" w:hAnsi="Times New Roman" w:cs="Times New Roman"/>
                <w:sz w:val="24"/>
                <w:szCs w:val="24"/>
              </w:rPr>
              <w:t>et al.</w:t>
            </w:r>
            <w:r w:rsidR="005378FE">
              <w:rPr>
                <w:rFonts w:ascii="Times New Roman" w:hAnsi="Times New Roman" w:cs="Times New Roman"/>
                <w:sz w:val="24"/>
                <w:szCs w:val="24"/>
              </w:rPr>
              <w:t>,</w:t>
            </w:r>
            <w:r w:rsidR="000305D7">
              <w:rPr>
                <w:rFonts w:ascii="Times New Roman" w:hAnsi="Times New Roman" w:cs="Times New Roman"/>
                <w:sz w:val="24"/>
                <w:szCs w:val="24"/>
              </w:rPr>
              <w:t>(</w:t>
            </w:r>
            <w:r>
              <w:rPr>
                <w:rFonts w:ascii="Times New Roman" w:hAnsi="Times New Roman" w:cs="Times New Roman"/>
                <w:sz w:val="24"/>
                <w:szCs w:val="24"/>
              </w:rPr>
              <w:t>2012</w:t>
            </w:r>
            <w:r w:rsidR="000305D7">
              <w:rPr>
                <w:rFonts w:ascii="Times New Roman" w:hAnsi="Times New Roman" w:cs="Times New Roman"/>
                <w:sz w:val="24"/>
                <w:szCs w:val="24"/>
              </w:rPr>
              <w:t>)</w:t>
            </w:r>
          </w:p>
        </w:tc>
      </w:tr>
      <w:tr w:rsidR="001E62DB" w:rsidTr="0047058C">
        <w:tc>
          <w:tcPr>
            <w:tcW w:w="1838" w:type="dxa"/>
            <w:vMerge/>
          </w:tcPr>
          <w:p w:rsidR="001E62DB" w:rsidRPr="00AE1465" w:rsidRDefault="001E62DB" w:rsidP="00AE1465">
            <w:pPr>
              <w:spacing w:line="360" w:lineRule="auto"/>
              <w:jc w:val="both"/>
              <w:rPr>
                <w:rFonts w:ascii="Times New Roman" w:hAnsi="Times New Roman" w:cs="Times New Roman"/>
                <w:sz w:val="24"/>
                <w:szCs w:val="24"/>
              </w:rPr>
            </w:pPr>
          </w:p>
        </w:tc>
        <w:tc>
          <w:tcPr>
            <w:tcW w:w="1559" w:type="dxa"/>
            <w:vMerge/>
          </w:tcPr>
          <w:p w:rsidR="001E62DB" w:rsidRPr="008F5864" w:rsidRDefault="001E62DB" w:rsidP="0047058C">
            <w:pPr>
              <w:spacing w:line="360" w:lineRule="auto"/>
              <w:jc w:val="both"/>
              <w:rPr>
                <w:rFonts w:ascii="Times New Roman" w:hAnsi="Times New Roman" w:cs="Times New Roman"/>
                <w:sz w:val="24"/>
                <w:szCs w:val="24"/>
              </w:rPr>
            </w:pPr>
          </w:p>
        </w:tc>
        <w:tc>
          <w:tcPr>
            <w:tcW w:w="3261" w:type="dxa"/>
          </w:tcPr>
          <w:p w:rsidR="001E62DB" w:rsidRPr="008F5864" w:rsidRDefault="001E62DB" w:rsidP="0047058C">
            <w:pPr>
              <w:spacing w:line="360" w:lineRule="auto"/>
              <w:jc w:val="both"/>
              <w:rPr>
                <w:rFonts w:ascii="Times New Roman" w:hAnsi="Times New Roman" w:cs="Times New Roman"/>
                <w:sz w:val="24"/>
                <w:szCs w:val="24"/>
              </w:rPr>
            </w:pPr>
            <w:r w:rsidRPr="008F5864">
              <w:rPr>
                <w:rFonts w:ascii="Times New Roman" w:hAnsi="Times New Roman" w:cs="Times New Roman"/>
                <w:sz w:val="24"/>
                <w:szCs w:val="24"/>
              </w:rPr>
              <w:t>Jaundice</w:t>
            </w:r>
            <w:r w:rsidR="00217096">
              <w:rPr>
                <w:rFonts w:ascii="Times New Roman" w:hAnsi="Times New Roman" w:cs="Times New Roman"/>
                <w:sz w:val="24"/>
                <w:szCs w:val="24"/>
              </w:rPr>
              <w:t>.</w:t>
            </w:r>
          </w:p>
        </w:tc>
        <w:tc>
          <w:tcPr>
            <w:tcW w:w="2358" w:type="dxa"/>
          </w:tcPr>
          <w:p w:rsidR="001E62DB" w:rsidRPr="008F5864" w:rsidRDefault="00502221" w:rsidP="0047058C">
            <w:pPr>
              <w:spacing w:line="360" w:lineRule="auto"/>
              <w:jc w:val="both"/>
              <w:rPr>
                <w:rFonts w:ascii="Times New Roman" w:hAnsi="Times New Roman" w:cs="Times New Roman"/>
                <w:sz w:val="24"/>
                <w:szCs w:val="24"/>
              </w:rPr>
            </w:pPr>
            <w:r w:rsidRPr="00EA3A1C">
              <w:rPr>
                <w:rFonts w:ascii="Times New Roman" w:hAnsi="Times New Roman" w:cs="Times New Roman"/>
                <w:sz w:val="24"/>
                <w:szCs w:val="24"/>
              </w:rPr>
              <w:t xml:space="preserve">Konwar </w:t>
            </w:r>
            <w:r w:rsidR="001E62DB" w:rsidRPr="00173A09">
              <w:rPr>
                <w:rFonts w:ascii="Times New Roman" w:hAnsi="Times New Roman" w:cs="Times New Roman"/>
                <w:sz w:val="24"/>
                <w:szCs w:val="24"/>
              </w:rPr>
              <w:t>et al.</w:t>
            </w:r>
            <w:r w:rsidR="005378FE">
              <w:rPr>
                <w:rFonts w:ascii="Times New Roman" w:hAnsi="Times New Roman" w:cs="Times New Roman"/>
                <w:sz w:val="24"/>
                <w:szCs w:val="24"/>
              </w:rPr>
              <w:t>,</w:t>
            </w:r>
            <w:r w:rsidR="000305D7">
              <w:rPr>
                <w:rFonts w:ascii="Times New Roman" w:hAnsi="Times New Roman" w:cs="Times New Roman"/>
                <w:sz w:val="24"/>
                <w:szCs w:val="24"/>
              </w:rPr>
              <w:t>(</w:t>
            </w:r>
            <w:r w:rsidR="001E62DB" w:rsidRPr="00173A09">
              <w:rPr>
                <w:rFonts w:ascii="Times New Roman" w:hAnsi="Times New Roman" w:cs="Times New Roman"/>
                <w:sz w:val="24"/>
                <w:szCs w:val="24"/>
              </w:rPr>
              <w:t>202</w:t>
            </w:r>
            <w:r>
              <w:rPr>
                <w:rFonts w:ascii="Times New Roman" w:hAnsi="Times New Roman" w:cs="Times New Roman"/>
                <w:sz w:val="24"/>
                <w:szCs w:val="24"/>
              </w:rPr>
              <w:t>5</w:t>
            </w:r>
            <w:r w:rsidR="000305D7">
              <w:rPr>
                <w:rFonts w:ascii="Times New Roman" w:hAnsi="Times New Roman" w:cs="Times New Roman"/>
                <w:sz w:val="24"/>
                <w:szCs w:val="24"/>
              </w:rPr>
              <w:t>)</w:t>
            </w:r>
          </w:p>
        </w:tc>
      </w:tr>
      <w:tr w:rsidR="001E62DB" w:rsidTr="0047058C">
        <w:tc>
          <w:tcPr>
            <w:tcW w:w="1838" w:type="dxa"/>
            <w:vMerge/>
          </w:tcPr>
          <w:p w:rsidR="001E62DB" w:rsidRPr="00AE1465" w:rsidRDefault="001E62DB" w:rsidP="00AE1465">
            <w:pPr>
              <w:spacing w:line="360" w:lineRule="auto"/>
              <w:jc w:val="both"/>
              <w:rPr>
                <w:rFonts w:ascii="Times New Roman" w:hAnsi="Times New Roman" w:cs="Times New Roman"/>
                <w:sz w:val="24"/>
                <w:szCs w:val="24"/>
              </w:rPr>
            </w:pPr>
          </w:p>
        </w:tc>
        <w:tc>
          <w:tcPr>
            <w:tcW w:w="1559" w:type="dxa"/>
            <w:vMerge/>
          </w:tcPr>
          <w:p w:rsidR="001E62DB" w:rsidRPr="008F5864" w:rsidRDefault="001E62DB" w:rsidP="0047058C">
            <w:pPr>
              <w:spacing w:line="360" w:lineRule="auto"/>
              <w:jc w:val="both"/>
              <w:rPr>
                <w:rFonts w:ascii="Times New Roman" w:hAnsi="Times New Roman" w:cs="Times New Roman"/>
                <w:sz w:val="24"/>
                <w:szCs w:val="24"/>
              </w:rPr>
            </w:pPr>
          </w:p>
        </w:tc>
        <w:tc>
          <w:tcPr>
            <w:tcW w:w="3261" w:type="dxa"/>
          </w:tcPr>
          <w:p w:rsidR="001E62DB" w:rsidRPr="008F5864" w:rsidRDefault="001E62DB"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Relaxation</w:t>
            </w:r>
            <w:r w:rsidRPr="008F5864">
              <w:rPr>
                <w:rFonts w:ascii="Times New Roman" w:hAnsi="Times New Roman" w:cs="Times New Roman"/>
                <w:sz w:val="24"/>
                <w:szCs w:val="24"/>
              </w:rPr>
              <w:t xml:space="preserve"> effect on vascular smooth muscle</w:t>
            </w:r>
            <w:r w:rsidR="00217096">
              <w:rPr>
                <w:rFonts w:ascii="Times New Roman" w:hAnsi="Times New Roman" w:cs="Times New Roman"/>
                <w:sz w:val="24"/>
                <w:szCs w:val="24"/>
              </w:rPr>
              <w:t>.</w:t>
            </w:r>
          </w:p>
        </w:tc>
        <w:tc>
          <w:tcPr>
            <w:tcW w:w="2358" w:type="dxa"/>
          </w:tcPr>
          <w:p w:rsidR="001E62DB" w:rsidRPr="008F5864" w:rsidRDefault="00A60F7D" w:rsidP="0047058C">
            <w:pPr>
              <w:spacing w:line="360" w:lineRule="auto"/>
              <w:jc w:val="both"/>
              <w:rPr>
                <w:rFonts w:ascii="Times New Roman" w:hAnsi="Times New Roman" w:cs="Times New Roman"/>
                <w:sz w:val="24"/>
                <w:szCs w:val="24"/>
              </w:rPr>
            </w:pPr>
            <w:r w:rsidRPr="00A60F7D">
              <w:rPr>
                <w:rFonts w:ascii="Times New Roman" w:hAnsi="Times New Roman" w:cs="Times New Roman"/>
                <w:sz w:val="24"/>
                <w:szCs w:val="24"/>
              </w:rPr>
              <w:t>Nugraha</w:t>
            </w:r>
            <w:r w:rsidR="001E62DB">
              <w:rPr>
                <w:rFonts w:ascii="Times New Roman" w:hAnsi="Times New Roman" w:cs="Times New Roman"/>
                <w:sz w:val="24"/>
                <w:szCs w:val="24"/>
              </w:rPr>
              <w:t>et al.</w:t>
            </w:r>
            <w:r w:rsidR="005378FE">
              <w:rPr>
                <w:rFonts w:ascii="Times New Roman" w:hAnsi="Times New Roman" w:cs="Times New Roman"/>
                <w:sz w:val="24"/>
                <w:szCs w:val="24"/>
              </w:rPr>
              <w:t>,</w:t>
            </w:r>
            <w:r w:rsidR="000305D7">
              <w:rPr>
                <w:rFonts w:ascii="Times New Roman" w:hAnsi="Times New Roman" w:cs="Times New Roman"/>
                <w:sz w:val="24"/>
                <w:szCs w:val="24"/>
              </w:rPr>
              <w:t>(</w:t>
            </w:r>
            <w:r w:rsidR="001E62DB">
              <w:rPr>
                <w:rFonts w:ascii="Times New Roman" w:hAnsi="Times New Roman" w:cs="Times New Roman"/>
                <w:sz w:val="24"/>
                <w:szCs w:val="24"/>
              </w:rPr>
              <w:t>20</w:t>
            </w:r>
            <w:r>
              <w:rPr>
                <w:rFonts w:ascii="Times New Roman" w:hAnsi="Times New Roman" w:cs="Times New Roman"/>
                <w:sz w:val="24"/>
                <w:szCs w:val="24"/>
              </w:rPr>
              <w:t>20</w:t>
            </w:r>
            <w:r w:rsidR="000305D7">
              <w:rPr>
                <w:rFonts w:ascii="Times New Roman" w:hAnsi="Times New Roman" w:cs="Times New Roman"/>
                <w:sz w:val="24"/>
                <w:szCs w:val="24"/>
              </w:rPr>
              <w:t>)</w:t>
            </w:r>
          </w:p>
        </w:tc>
      </w:tr>
      <w:tr w:rsidR="001E62DB" w:rsidTr="0047058C">
        <w:tc>
          <w:tcPr>
            <w:tcW w:w="1838" w:type="dxa"/>
            <w:vMerge/>
          </w:tcPr>
          <w:p w:rsidR="001E62DB" w:rsidRPr="00AE1465" w:rsidRDefault="001E62DB" w:rsidP="00AE1465">
            <w:pPr>
              <w:spacing w:line="360" w:lineRule="auto"/>
              <w:jc w:val="both"/>
              <w:rPr>
                <w:rFonts w:ascii="Times New Roman" w:hAnsi="Times New Roman" w:cs="Times New Roman"/>
                <w:sz w:val="24"/>
                <w:szCs w:val="24"/>
              </w:rPr>
            </w:pPr>
          </w:p>
        </w:tc>
        <w:tc>
          <w:tcPr>
            <w:tcW w:w="1559" w:type="dxa"/>
          </w:tcPr>
          <w:p w:rsidR="001E62DB" w:rsidRPr="008F5864" w:rsidRDefault="001E62DB" w:rsidP="0047058C">
            <w:pPr>
              <w:spacing w:line="360" w:lineRule="auto"/>
              <w:jc w:val="both"/>
              <w:rPr>
                <w:rFonts w:ascii="Times New Roman" w:hAnsi="Times New Roman" w:cs="Times New Roman"/>
                <w:sz w:val="24"/>
                <w:szCs w:val="24"/>
              </w:rPr>
            </w:pPr>
            <w:r w:rsidRPr="008F5864">
              <w:rPr>
                <w:rFonts w:ascii="Times New Roman" w:hAnsi="Times New Roman" w:cs="Times New Roman"/>
                <w:sz w:val="24"/>
                <w:szCs w:val="24"/>
              </w:rPr>
              <w:t xml:space="preserve">Fruit </w:t>
            </w:r>
          </w:p>
        </w:tc>
        <w:tc>
          <w:tcPr>
            <w:tcW w:w="3261" w:type="dxa"/>
          </w:tcPr>
          <w:p w:rsidR="001E62DB" w:rsidRPr="008F5864" w:rsidRDefault="001E62DB" w:rsidP="0047058C">
            <w:pPr>
              <w:spacing w:line="360" w:lineRule="auto"/>
              <w:jc w:val="both"/>
              <w:rPr>
                <w:rFonts w:ascii="Times New Roman" w:hAnsi="Times New Roman" w:cs="Times New Roman"/>
                <w:sz w:val="24"/>
                <w:szCs w:val="24"/>
              </w:rPr>
            </w:pPr>
            <w:r w:rsidRPr="008F5864">
              <w:rPr>
                <w:rFonts w:ascii="Times New Roman" w:hAnsi="Times New Roman" w:cs="Times New Roman"/>
                <w:sz w:val="24"/>
                <w:szCs w:val="24"/>
              </w:rPr>
              <w:t>Cough</w:t>
            </w:r>
            <w:r w:rsidR="00217096">
              <w:rPr>
                <w:rFonts w:ascii="Times New Roman" w:hAnsi="Times New Roman" w:cs="Times New Roman"/>
                <w:sz w:val="24"/>
                <w:szCs w:val="24"/>
              </w:rPr>
              <w:t>.</w:t>
            </w:r>
          </w:p>
        </w:tc>
        <w:tc>
          <w:tcPr>
            <w:tcW w:w="2358" w:type="dxa"/>
          </w:tcPr>
          <w:p w:rsidR="001E62DB" w:rsidRPr="008F5864" w:rsidRDefault="001E62DB" w:rsidP="0047058C">
            <w:pPr>
              <w:spacing w:line="360" w:lineRule="auto"/>
              <w:jc w:val="both"/>
              <w:rPr>
                <w:rFonts w:ascii="Times New Roman" w:hAnsi="Times New Roman" w:cs="Times New Roman"/>
                <w:sz w:val="24"/>
                <w:szCs w:val="24"/>
              </w:rPr>
            </w:pPr>
            <w:r w:rsidRPr="00A20D28">
              <w:rPr>
                <w:rFonts w:ascii="Times New Roman" w:hAnsi="Times New Roman" w:cs="Times New Roman"/>
                <w:sz w:val="24"/>
                <w:szCs w:val="24"/>
              </w:rPr>
              <w:t xml:space="preserve">Ameer </w:t>
            </w:r>
            <w:r>
              <w:rPr>
                <w:rFonts w:ascii="Times New Roman" w:hAnsi="Times New Roman" w:cs="Times New Roman"/>
                <w:sz w:val="24"/>
                <w:szCs w:val="24"/>
              </w:rPr>
              <w:t>et al.</w:t>
            </w:r>
            <w:r w:rsidR="005378FE">
              <w:rPr>
                <w:rFonts w:ascii="Times New Roman" w:hAnsi="Times New Roman" w:cs="Times New Roman"/>
                <w:sz w:val="24"/>
                <w:szCs w:val="24"/>
              </w:rPr>
              <w:t>,</w:t>
            </w:r>
            <w:r w:rsidR="000305D7">
              <w:rPr>
                <w:rFonts w:ascii="Times New Roman" w:hAnsi="Times New Roman" w:cs="Times New Roman"/>
                <w:sz w:val="24"/>
                <w:szCs w:val="24"/>
              </w:rPr>
              <w:t>(</w:t>
            </w:r>
            <w:r>
              <w:rPr>
                <w:rFonts w:ascii="Times New Roman" w:hAnsi="Times New Roman" w:cs="Times New Roman"/>
                <w:sz w:val="24"/>
                <w:szCs w:val="24"/>
              </w:rPr>
              <w:t>2009</w:t>
            </w:r>
            <w:r w:rsidR="000305D7">
              <w:rPr>
                <w:rFonts w:ascii="Times New Roman" w:hAnsi="Times New Roman" w:cs="Times New Roman"/>
                <w:sz w:val="24"/>
                <w:szCs w:val="24"/>
              </w:rPr>
              <w:t>)</w:t>
            </w:r>
          </w:p>
        </w:tc>
      </w:tr>
      <w:tr w:rsidR="001E62DB" w:rsidTr="0047058C">
        <w:tc>
          <w:tcPr>
            <w:tcW w:w="1838" w:type="dxa"/>
            <w:vMerge/>
          </w:tcPr>
          <w:p w:rsidR="001E62DB" w:rsidRPr="00AE1465" w:rsidRDefault="001E62DB" w:rsidP="00AE1465">
            <w:pPr>
              <w:spacing w:line="360" w:lineRule="auto"/>
              <w:jc w:val="both"/>
              <w:rPr>
                <w:rFonts w:ascii="Times New Roman" w:hAnsi="Times New Roman" w:cs="Times New Roman"/>
                <w:sz w:val="24"/>
                <w:szCs w:val="24"/>
              </w:rPr>
            </w:pPr>
          </w:p>
        </w:tc>
        <w:tc>
          <w:tcPr>
            <w:tcW w:w="1559" w:type="dxa"/>
          </w:tcPr>
          <w:p w:rsidR="001E62DB" w:rsidRPr="008F5864" w:rsidRDefault="001E62DB" w:rsidP="0047058C">
            <w:pPr>
              <w:spacing w:line="360" w:lineRule="auto"/>
              <w:jc w:val="both"/>
              <w:rPr>
                <w:rFonts w:ascii="Times New Roman" w:hAnsi="Times New Roman" w:cs="Times New Roman"/>
                <w:sz w:val="24"/>
                <w:szCs w:val="24"/>
              </w:rPr>
            </w:pPr>
            <w:r w:rsidRPr="008F5864">
              <w:rPr>
                <w:rFonts w:ascii="Times New Roman" w:hAnsi="Times New Roman" w:cs="Times New Roman"/>
                <w:sz w:val="24"/>
                <w:szCs w:val="24"/>
              </w:rPr>
              <w:t xml:space="preserve">Stem </w:t>
            </w:r>
          </w:p>
        </w:tc>
        <w:tc>
          <w:tcPr>
            <w:tcW w:w="3261" w:type="dxa"/>
          </w:tcPr>
          <w:p w:rsidR="001E62DB" w:rsidRPr="008F5864" w:rsidRDefault="001D1CBA"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1D1CBA">
              <w:rPr>
                <w:rFonts w:ascii="Times New Roman" w:hAnsi="Times New Roman" w:cs="Times New Roman"/>
                <w:sz w:val="24"/>
                <w:szCs w:val="24"/>
              </w:rPr>
              <w:t>lacental expulsion</w:t>
            </w:r>
            <w:r w:rsidR="00217096">
              <w:rPr>
                <w:rFonts w:ascii="Times New Roman" w:hAnsi="Times New Roman" w:cs="Times New Roman"/>
                <w:sz w:val="24"/>
                <w:szCs w:val="24"/>
              </w:rPr>
              <w:t>.</w:t>
            </w:r>
          </w:p>
        </w:tc>
        <w:tc>
          <w:tcPr>
            <w:tcW w:w="2358" w:type="dxa"/>
          </w:tcPr>
          <w:p w:rsidR="001E62DB" w:rsidRPr="008F5864" w:rsidRDefault="001E62DB" w:rsidP="0047058C">
            <w:pPr>
              <w:spacing w:line="360" w:lineRule="auto"/>
              <w:jc w:val="both"/>
              <w:rPr>
                <w:rFonts w:ascii="Times New Roman" w:hAnsi="Times New Roman" w:cs="Times New Roman"/>
                <w:sz w:val="24"/>
                <w:szCs w:val="24"/>
              </w:rPr>
            </w:pPr>
            <w:r w:rsidRPr="00685B2A">
              <w:rPr>
                <w:rFonts w:ascii="Times New Roman" w:hAnsi="Times New Roman" w:cs="Times New Roman"/>
                <w:sz w:val="24"/>
                <w:szCs w:val="24"/>
              </w:rPr>
              <w:t xml:space="preserve">Rahman </w:t>
            </w:r>
            <w:r>
              <w:rPr>
                <w:rFonts w:ascii="Times New Roman" w:hAnsi="Times New Roman" w:cs="Times New Roman"/>
                <w:sz w:val="24"/>
                <w:szCs w:val="24"/>
              </w:rPr>
              <w:t>et al.</w:t>
            </w:r>
            <w:r w:rsidR="005378FE">
              <w:rPr>
                <w:rFonts w:ascii="Times New Roman" w:hAnsi="Times New Roman" w:cs="Times New Roman"/>
                <w:sz w:val="24"/>
                <w:szCs w:val="24"/>
              </w:rPr>
              <w:t>,</w:t>
            </w:r>
            <w:r w:rsidR="000305D7">
              <w:rPr>
                <w:rFonts w:ascii="Times New Roman" w:hAnsi="Times New Roman" w:cs="Times New Roman"/>
                <w:sz w:val="24"/>
                <w:szCs w:val="24"/>
              </w:rPr>
              <w:t>(</w:t>
            </w:r>
            <w:r>
              <w:rPr>
                <w:rFonts w:ascii="Times New Roman" w:hAnsi="Times New Roman" w:cs="Times New Roman"/>
                <w:sz w:val="24"/>
                <w:szCs w:val="24"/>
              </w:rPr>
              <w:t>2012</w:t>
            </w:r>
            <w:r w:rsidR="000305D7">
              <w:rPr>
                <w:rFonts w:ascii="Times New Roman" w:hAnsi="Times New Roman" w:cs="Times New Roman"/>
                <w:sz w:val="24"/>
                <w:szCs w:val="24"/>
              </w:rPr>
              <w:t>)</w:t>
            </w:r>
          </w:p>
        </w:tc>
      </w:tr>
      <w:tr w:rsidR="001E62DB" w:rsidTr="0047058C">
        <w:tc>
          <w:tcPr>
            <w:tcW w:w="1838" w:type="dxa"/>
          </w:tcPr>
          <w:p w:rsidR="001E62DB" w:rsidRPr="00AE1465" w:rsidRDefault="001E62DB" w:rsidP="00AE1465">
            <w:pPr>
              <w:spacing w:line="360" w:lineRule="auto"/>
              <w:jc w:val="both"/>
              <w:rPr>
                <w:rFonts w:ascii="Times New Roman" w:hAnsi="Times New Roman" w:cs="Times New Roman"/>
                <w:sz w:val="24"/>
                <w:szCs w:val="24"/>
              </w:rPr>
            </w:pPr>
            <w:r w:rsidRPr="00AE1465">
              <w:rPr>
                <w:rFonts w:ascii="Times New Roman" w:hAnsi="Times New Roman" w:cs="Times New Roman"/>
                <w:i/>
                <w:iCs/>
                <w:sz w:val="24"/>
                <w:szCs w:val="24"/>
              </w:rPr>
              <w:t>Macrosolenglobosus</w:t>
            </w:r>
          </w:p>
        </w:tc>
        <w:tc>
          <w:tcPr>
            <w:tcW w:w="1559" w:type="dxa"/>
          </w:tcPr>
          <w:p w:rsidR="001E62DB" w:rsidRPr="008F5864" w:rsidRDefault="001E62DB" w:rsidP="0047058C">
            <w:pPr>
              <w:spacing w:line="360" w:lineRule="auto"/>
              <w:jc w:val="both"/>
              <w:rPr>
                <w:rFonts w:ascii="Times New Roman" w:hAnsi="Times New Roman" w:cs="Times New Roman"/>
                <w:sz w:val="24"/>
                <w:szCs w:val="24"/>
              </w:rPr>
            </w:pPr>
            <w:r w:rsidRPr="008F5864">
              <w:rPr>
                <w:rFonts w:ascii="Times New Roman" w:hAnsi="Times New Roman" w:cs="Times New Roman"/>
                <w:sz w:val="24"/>
                <w:szCs w:val="24"/>
              </w:rPr>
              <w:t>Whole plant</w:t>
            </w:r>
          </w:p>
        </w:tc>
        <w:tc>
          <w:tcPr>
            <w:tcW w:w="3261" w:type="dxa"/>
          </w:tcPr>
          <w:p w:rsidR="001E62DB" w:rsidRPr="008F5864" w:rsidRDefault="001E62DB"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Skin infection</w:t>
            </w:r>
            <w:r w:rsidR="00217096">
              <w:rPr>
                <w:rFonts w:ascii="Times New Roman" w:hAnsi="Times New Roman" w:cs="Times New Roman"/>
                <w:sz w:val="24"/>
                <w:szCs w:val="24"/>
              </w:rPr>
              <w:t>.</w:t>
            </w:r>
          </w:p>
        </w:tc>
        <w:tc>
          <w:tcPr>
            <w:tcW w:w="2358" w:type="dxa"/>
          </w:tcPr>
          <w:p w:rsidR="001E62DB" w:rsidRPr="008F5864" w:rsidRDefault="001E62DB"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Present study</w:t>
            </w:r>
          </w:p>
        </w:tc>
      </w:tr>
      <w:tr w:rsidR="00CA1D02" w:rsidTr="0047058C">
        <w:tc>
          <w:tcPr>
            <w:tcW w:w="1838" w:type="dxa"/>
            <w:vMerge w:val="restart"/>
          </w:tcPr>
          <w:p w:rsidR="00CA1D02" w:rsidRPr="00AE1465" w:rsidRDefault="00CA1D02" w:rsidP="00AE1465">
            <w:pPr>
              <w:spacing w:line="360" w:lineRule="auto"/>
              <w:jc w:val="both"/>
              <w:rPr>
                <w:rFonts w:ascii="Times New Roman" w:hAnsi="Times New Roman" w:cs="Times New Roman"/>
                <w:i/>
                <w:iCs/>
                <w:sz w:val="24"/>
                <w:szCs w:val="24"/>
              </w:rPr>
            </w:pPr>
            <w:r w:rsidRPr="00AE1465">
              <w:rPr>
                <w:rFonts w:ascii="Times New Roman" w:hAnsi="Times New Roman" w:cs="Times New Roman"/>
                <w:i/>
                <w:iCs/>
                <w:sz w:val="24"/>
                <w:szCs w:val="24"/>
              </w:rPr>
              <w:t>Scurrulaatropurpurea</w:t>
            </w:r>
          </w:p>
        </w:tc>
        <w:tc>
          <w:tcPr>
            <w:tcW w:w="1559" w:type="dxa"/>
            <w:vMerge w:val="restart"/>
          </w:tcPr>
          <w:p w:rsidR="00CA1D02" w:rsidRPr="008F5864" w:rsidRDefault="00CA1D02" w:rsidP="0047058C">
            <w:pPr>
              <w:spacing w:line="360" w:lineRule="auto"/>
              <w:jc w:val="both"/>
              <w:rPr>
                <w:rFonts w:ascii="Times New Roman" w:hAnsi="Times New Roman" w:cs="Times New Roman"/>
                <w:sz w:val="24"/>
                <w:szCs w:val="24"/>
              </w:rPr>
            </w:pPr>
            <w:r w:rsidRPr="00ED4EC1">
              <w:rPr>
                <w:rFonts w:ascii="Times New Roman" w:hAnsi="Times New Roman" w:cs="Times New Roman"/>
                <w:sz w:val="24"/>
                <w:szCs w:val="24"/>
              </w:rPr>
              <w:t>Whole plant</w:t>
            </w:r>
          </w:p>
        </w:tc>
        <w:tc>
          <w:tcPr>
            <w:tcW w:w="3261" w:type="dxa"/>
          </w:tcPr>
          <w:p w:rsidR="00CA1D02" w:rsidRDefault="00CA1D02" w:rsidP="0047058C">
            <w:pPr>
              <w:spacing w:line="360" w:lineRule="auto"/>
              <w:jc w:val="both"/>
              <w:rPr>
                <w:rFonts w:ascii="Times New Roman" w:hAnsi="Times New Roman" w:cs="Times New Roman"/>
                <w:sz w:val="24"/>
                <w:szCs w:val="24"/>
              </w:rPr>
            </w:pPr>
            <w:r w:rsidRPr="00ED4EC1">
              <w:rPr>
                <w:rFonts w:ascii="Times New Roman" w:hAnsi="Times New Roman" w:cs="Times New Roman"/>
                <w:sz w:val="24"/>
                <w:szCs w:val="24"/>
              </w:rPr>
              <w:t xml:space="preserve">Decoction </w:t>
            </w:r>
            <w:r>
              <w:rPr>
                <w:rFonts w:ascii="Times New Roman" w:hAnsi="Times New Roman" w:cs="Times New Roman"/>
                <w:sz w:val="24"/>
                <w:szCs w:val="24"/>
              </w:rPr>
              <w:t>is used for hypertension</w:t>
            </w:r>
            <w:r w:rsidR="00217096">
              <w:rPr>
                <w:rFonts w:ascii="Times New Roman" w:hAnsi="Times New Roman" w:cs="Times New Roman"/>
                <w:sz w:val="24"/>
                <w:szCs w:val="24"/>
              </w:rPr>
              <w:t>.</w:t>
            </w:r>
          </w:p>
        </w:tc>
        <w:tc>
          <w:tcPr>
            <w:tcW w:w="2358" w:type="dxa"/>
          </w:tcPr>
          <w:p w:rsidR="00CA1D02" w:rsidRDefault="00CA1D02" w:rsidP="0047058C">
            <w:pPr>
              <w:spacing w:line="360" w:lineRule="auto"/>
              <w:jc w:val="both"/>
              <w:rPr>
                <w:rFonts w:ascii="Times New Roman" w:hAnsi="Times New Roman" w:cs="Times New Roman"/>
                <w:sz w:val="24"/>
                <w:szCs w:val="24"/>
              </w:rPr>
            </w:pPr>
            <w:bookmarkStart w:id="1" w:name="_Hlk213229257"/>
            <w:r w:rsidRPr="00ED4EC1">
              <w:rPr>
                <w:rFonts w:ascii="Times New Roman" w:hAnsi="Times New Roman" w:cs="Times New Roman"/>
                <w:sz w:val="24"/>
                <w:szCs w:val="24"/>
              </w:rPr>
              <w:t xml:space="preserve">Muhammad </w:t>
            </w:r>
            <w:bookmarkEnd w:id="1"/>
            <w:r w:rsidR="009F26D1">
              <w:rPr>
                <w:rFonts w:ascii="Times New Roman" w:hAnsi="Times New Roman" w:cs="Times New Roman"/>
                <w:sz w:val="24"/>
                <w:szCs w:val="24"/>
              </w:rPr>
              <w:t>et al.</w:t>
            </w:r>
            <w:r w:rsidR="005378FE">
              <w:rPr>
                <w:rFonts w:ascii="Times New Roman" w:hAnsi="Times New Roman" w:cs="Times New Roman"/>
                <w:sz w:val="24"/>
                <w:szCs w:val="24"/>
              </w:rPr>
              <w:t>,</w:t>
            </w:r>
            <w:r w:rsidR="000305D7">
              <w:rPr>
                <w:rFonts w:ascii="Times New Roman" w:hAnsi="Times New Roman" w:cs="Times New Roman"/>
                <w:sz w:val="24"/>
                <w:szCs w:val="24"/>
              </w:rPr>
              <w:t>(</w:t>
            </w:r>
            <w:r w:rsidRPr="00ED4EC1">
              <w:rPr>
                <w:rFonts w:ascii="Times New Roman" w:hAnsi="Times New Roman" w:cs="Times New Roman"/>
                <w:sz w:val="24"/>
                <w:szCs w:val="24"/>
              </w:rPr>
              <w:t>2019</w:t>
            </w:r>
            <w:r w:rsidR="000305D7">
              <w:rPr>
                <w:rFonts w:ascii="Times New Roman" w:hAnsi="Times New Roman" w:cs="Times New Roman"/>
                <w:sz w:val="24"/>
                <w:szCs w:val="24"/>
              </w:rPr>
              <w:t>)</w:t>
            </w:r>
          </w:p>
        </w:tc>
      </w:tr>
      <w:tr w:rsidR="00CA1D02" w:rsidTr="0047058C">
        <w:tc>
          <w:tcPr>
            <w:tcW w:w="1838" w:type="dxa"/>
            <w:vMerge/>
          </w:tcPr>
          <w:p w:rsidR="00CA1D02" w:rsidRPr="00AE1465" w:rsidRDefault="00CA1D02" w:rsidP="00AE1465">
            <w:pPr>
              <w:spacing w:line="360" w:lineRule="auto"/>
              <w:jc w:val="both"/>
              <w:rPr>
                <w:rFonts w:ascii="Times New Roman" w:hAnsi="Times New Roman" w:cs="Times New Roman"/>
                <w:i/>
                <w:iCs/>
                <w:sz w:val="24"/>
                <w:szCs w:val="24"/>
              </w:rPr>
            </w:pPr>
          </w:p>
        </w:tc>
        <w:tc>
          <w:tcPr>
            <w:tcW w:w="1559" w:type="dxa"/>
            <w:vMerge/>
          </w:tcPr>
          <w:p w:rsidR="00CA1D02" w:rsidRPr="00ED4EC1" w:rsidRDefault="00CA1D02" w:rsidP="0047058C">
            <w:pPr>
              <w:spacing w:line="360" w:lineRule="auto"/>
              <w:jc w:val="both"/>
              <w:rPr>
                <w:rFonts w:ascii="Times New Roman" w:hAnsi="Times New Roman" w:cs="Times New Roman"/>
                <w:sz w:val="24"/>
                <w:szCs w:val="24"/>
              </w:rPr>
            </w:pPr>
          </w:p>
        </w:tc>
        <w:tc>
          <w:tcPr>
            <w:tcW w:w="3261" w:type="dxa"/>
          </w:tcPr>
          <w:p w:rsidR="00CA1D02" w:rsidRPr="00ED4EC1" w:rsidRDefault="00CA1D02"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Infusion is used to cure fatigue</w:t>
            </w:r>
            <w:r w:rsidR="00217096">
              <w:rPr>
                <w:rFonts w:ascii="Times New Roman" w:hAnsi="Times New Roman" w:cs="Times New Roman"/>
                <w:sz w:val="24"/>
                <w:szCs w:val="24"/>
              </w:rPr>
              <w:t>.</w:t>
            </w:r>
          </w:p>
        </w:tc>
        <w:tc>
          <w:tcPr>
            <w:tcW w:w="2358" w:type="dxa"/>
          </w:tcPr>
          <w:p w:rsidR="00CA1D02" w:rsidRPr="00ED4EC1" w:rsidRDefault="00CA1D02" w:rsidP="0047058C">
            <w:pPr>
              <w:spacing w:line="360" w:lineRule="auto"/>
              <w:jc w:val="both"/>
              <w:rPr>
                <w:rFonts w:ascii="Times New Roman" w:hAnsi="Times New Roman" w:cs="Times New Roman"/>
                <w:sz w:val="24"/>
                <w:szCs w:val="24"/>
              </w:rPr>
            </w:pPr>
            <w:r w:rsidRPr="00ED4EC1">
              <w:rPr>
                <w:rFonts w:ascii="Times New Roman" w:hAnsi="Times New Roman" w:cs="Times New Roman"/>
                <w:sz w:val="24"/>
                <w:szCs w:val="24"/>
              </w:rPr>
              <w:t xml:space="preserve">Muhammad </w:t>
            </w:r>
            <w:r w:rsidR="009F26D1">
              <w:rPr>
                <w:rFonts w:ascii="Times New Roman" w:hAnsi="Times New Roman" w:cs="Times New Roman"/>
                <w:sz w:val="24"/>
                <w:szCs w:val="24"/>
              </w:rPr>
              <w:t>et al.</w:t>
            </w:r>
            <w:r w:rsidR="005378FE">
              <w:rPr>
                <w:rFonts w:ascii="Times New Roman" w:hAnsi="Times New Roman" w:cs="Times New Roman"/>
                <w:sz w:val="24"/>
                <w:szCs w:val="24"/>
              </w:rPr>
              <w:t>,</w:t>
            </w:r>
            <w:r w:rsidR="000305D7">
              <w:rPr>
                <w:rFonts w:ascii="Times New Roman" w:hAnsi="Times New Roman" w:cs="Times New Roman"/>
                <w:sz w:val="24"/>
                <w:szCs w:val="24"/>
              </w:rPr>
              <w:t>(</w:t>
            </w:r>
            <w:r w:rsidRPr="00ED4EC1">
              <w:rPr>
                <w:rFonts w:ascii="Times New Roman" w:hAnsi="Times New Roman" w:cs="Times New Roman"/>
                <w:sz w:val="24"/>
                <w:szCs w:val="24"/>
              </w:rPr>
              <w:t>2019</w:t>
            </w:r>
            <w:r w:rsidR="000305D7">
              <w:rPr>
                <w:rFonts w:ascii="Times New Roman" w:hAnsi="Times New Roman" w:cs="Times New Roman"/>
                <w:sz w:val="24"/>
                <w:szCs w:val="24"/>
              </w:rPr>
              <w:t>)</w:t>
            </w:r>
          </w:p>
        </w:tc>
      </w:tr>
      <w:tr w:rsidR="0004072D" w:rsidTr="0047058C">
        <w:tc>
          <w:tcPr>
            <w:tcW w:w="1838" w:type="dxa"/>
            <w:vMerge w:val="restart"/>
          </w:tcPr>
          <w:p w:rsidR="0004072D" w:rsidRPr="00AE1465" w:rsidRDefault="0004072D" w:rsidP="00AE1465">
            <w:pPr>
              <w:spacing w:line="360" w:lineRule="auto"/>
              <w:jc w:val="both"/>
              <w:rPr>
                <w:rFonts w:ascii="Times New Roman" w:hAnsi="Times New Roman" w:cs="Times New Roman"/>
                <w:i/>
                <w:iCs/>
                <w:sz w:val="24"/>
                <w:szCs w:val="24"/>
              </w:rPr>
            </w:pPr>
            <w:r w:rsidRPr="00AE1465">
              <w:rPr>
                <w:rFonts w:ascii="Times New Roman" w:hAnsi="Times New Roman" w:cs="Times New Roman"/>
                <w:i/>
                <w:iCs/>
                <w:sz w:val="24"/>
                <w:szCs w:val="24"/>
              </w:rPr>
              <w:t>Scurrulaferruginea</w:t>
            </w:r>
          </w:p>
        </w:tc>
        <w:tc>
          <w:tcPr>
            <w:tcW w:w="1559" w:type="dxa"/>
          </w:tcPr>
          <w:p w:rsidR="0004072D" w:rsidRPr="00ED4EC1" w:rsidRDefault="0004072D" w:rsidP="0047058C">
            <w:pPr>
              <w:spacing w:line="360" w:lineRule="auto"/>
              <w:jc w:val="both"/>
              <w:rPr>
                <w:rFonts w:ascii="Times New Roman" w:hAnsi="Times New Roman" w:cs="Times New Roman"/>
                <w:sz w:val="24"/>
                <w:szCs w:val="24"/>
              </w:rPr>
            </w:pPr>
            <w:r w:rsidRPr="00ED4EC1">
              <w:rPr>
                <w:rFonts w:ascii="Times New Roman" w:hAnsi="Times New Roman" w:cs="Times New Roman"/>
                <w:sz w:val="24"/>
                <w:szCs w:val="24"/>
              </w:rPr>
              <w:t>Leaves</w:t>
            </w:r>
          </w:p>
        </w:tc>
        <w:tc>
          <w:tcPr>
            <w:tcW w:w="3261" w:type="dxa"/>
          </w:tcPr>
          <w:p w:rsidR="0004072D" w:rsidRDefault="0004072D" w:rsidP="0047058C">
            <w:pPr>
              <w:spacing w:line="360" w:lineRule="auto"/>
              <w:jc w:val="both"/>
              <w:rPr>
                <w:rFonts w:ascii="Times New Roman" w:hAnsi="Times New Roman" w:cs="Times New Roman"/>
                <w:sz w:val="24"/>
                <w:szCs w:val="24"/>
              </w:rPr>
            </w:pPr>
            <w:r w:rsidRPr="00ED4EC1">
              <w:rPr>
                <w:rFonts w:ascii="Times New Roman" w:hAnsi="Times New Roman" w:cs="Times New Roman"/>
                <w:sz w:val="24"/>
                <w:szCs w:val="24"/>
              </w:rPr>
              <w:t xml:space="preserve">Decoction </w:t>
            </w:r>
            <w:r>
              <w:rPr>
                <w:rFonts w:ascii="Times New Roman" w:hAnsi="Times New Roman" w:cs="Times New Roman"/>
                <w:sz w:val="24"/>
                <w:szCs w:val="24"/>
              </w:rPr>
              <w:t>is used for hypertension</w:t>
            </w:r>
            <w:r w:rsidR="00217096">
              <w:rPr>
                <w:rFonts w:ascii="Times New Roman" w:hAnsi="Times New Roman" w:cs="Times New Roman"/>
                <w:sz w:val="24"/>
                <w:szCs w:val="24"/>
              </w:rPr>
              <w:t>.</w:t>
            </w:r>
          </w:p>
        </w:tc>
        <w:tc>
          <w:tcPr>
            <w:tcW w:w="2358" w:type="dxa"/>
          </w:tcPr>
          <w:p w:rsidR="0004072D" w:rsidRPr="00ED4EC1" w:rsidRDefault="0004072D" w:rsidP="0047058C">
            <w:pPr>
              <w:spacing w:line="360" w:lineRule="auto"/>
              <w:jc w:val="both"/>
              <w:rPr>
                <w:rFonts w:ascii="Times New Roman" w:hAnsi="Times New Roman" w:cs="Times New Roman"/>
                <w:sz w:val="24"/>
                <w:szCs w:val="24"/>
              </w:rPr>
            </w:pPr>
            <w:r w:rsidRPr="00ED4EC1">
              <w:rPr>
                <w:rFonts w:ascii="Times New Roman" w:hAnsi="Times New Roman" w:cs="Times New Roman"/>
                <w:sz w:val="24"/>
                <w:szCs w:val="24"/>
              </w:rPr>
              <w:t xml:space="preserve">Ameer </w:t>
            </w:r>
            <w:r w:rsidR="00470B98">
              <w:rPr>
                <w:rFonts w:ascii="Times New Roman" w:hAnsi="Times New Roman" w:cs="Times New Roman"/>
                <w:sz w:val="24"/>
                <w:szCs w:val="24"/>
              </w:rPr>
              <w:t>et al.</w:t>
            </w:r>
            <w:r w:rsidR="005378FE">
              <w:rPr>
                <w:rFonts w:ascii="Times New Roman" w:hAnsi="Times New Roman" w:cs="Times New Roman"/>
                <w:sz w:val="24"/>
                <w:szCs w:val="24"/>
              </w:rPr>
              <w:t>,</w:t>
            </w:r>
            <w:r w:rsidR="000305D7">
              <w:rPr>
                <w:rFonts w:ascii="Times New Roman" w:hAnsi="Times New Roman" w:cs="Times New Roman"/>
                <w:sz w:val="24"/>
                <w:szCs w:val="24"/>
              </w:rPr>
              <w:t>(</w:t>
            </w:r>
            <w:r w:rsidRPr="00ED4EC1">
              <w:rPr>
                <w:rFonts w:ascii="Times New Roman" w:hAnsi="Times New Roman" w:cs="Times New Roman"/>
                <w:sz w:val="24"/>
                <w:szCs w:val="24"/>
              </w:rPr>
              <w:t>2015</w:t>
            </w:r>
            <w:r w:rsidR="000305D7">
              <w:rPr>
                <w:rFonts w:ascii="Times New Roman" w:hAnsi="Times New Roman" w:cs="Times New Roman"/>
                <w:sz w:val="24"/>
                <w:szCs w:val="24"/>
              </w:rPr>
              <w:t>)</w:t>
            </w:r>
          </w:p>
        </w:tc>
      </w:tr>
      <w:tr w:rsidR="0004072D" w:rsidTr="0047058C">
        <w:tc>
          <w:tcPr>
            <w:tcW w:w="1838" w:type="dxa"/>
            <w:vMerge/>
          </w:tcPr>
          <w:p w:rsidR="0004072D" w:rsidRPr="00AE1465" w:rsidRDefault="0004072D" w:rsidP="00AE1465">
            <w:pPr>
              <w:spacing w:line="360" w:lineRule="auto"/>
              <w:jc w:val="both"/>
              <w:rPr>
                <w:rFonts w:ascii="Times New Roman" w:hAnsi="Times New Roman" w:cs="Times New Roman"/>
                <w:i/>
                <w:iCs/>
                <w:sz w:val="24"/>
                <w:szCs w:val="24"/>
              </w:rPr>
            </w:pPr>
          </w:p>
        </w:tc>
        <w:tc>
          <w:tcPr>
            <w:tcW w:w="1559" w:type="dxa"/>
            <w:vMerge w:val="restart"/>
          </w:tcPr>
          <w:p w:rsidR="0004072D" w:rsidRPr="00ED4EC1" w:rsidRDefault="0004072D"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Fruits </w:t>
            </w:r>
          </w:p>
        </w:tc>
        <w:tc>
          <w:tcPr>
            <w:tcW w:w="3261" w:type="dxa"/>
          </w:tcPr>
          <w:p w:rsidR="0004072D" w:rsidRPr="00ED4EC1" w:rsidRDefault="0004072D"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Infusion is used in </w:t>
            </w:r>
            <w:r w:rsidRPr="00ED4EC1">
              <w:rPr>
                <w:rFonts w:ascii="Times New Roman" w:hAnsi="Times New Roman" w:cs="Times New Roman"/>
                <w:sz w:val="24"/>
                <w:szCs w:val="24"/>
              </w:rPr>
              <w:t>GI complaints</w:t>
            </w:r>
            <w:r>
              <w:rPr>
                <w:rFonts w:ascii="Times New Roman" w:hAnsi="Times New Roman" w:cs="Times New Roman"/>
                <w:sz w:val="24"/>
                <w:szCs w:val="24"/>
              </w:rPr>
              <w:t xml:space="preserve"> andulcers</w:t>
            </w:r>
            <w:r w:rsidR="00217096">
              <w:rPr>
                <w:rFonts w:ascii="Times New Roman" w:hAnsi="Times New Roman" w:cs="Times New Roman"/>
                <w:sz w:val="24"/>
                <w:szCs w:val="24"/>
              </w:rPr>
              <w:t>.</w:t>
            </w:r>
          </w:p>
        </w:tc>
        <w:tc>
          <w:tcPr>
            <w:tcW w:w="2358" w:type="dxa"/>
          </w:tcPr>
          <w:p w:rsidR="0004072D" w:rsidRPr="00ED4EC1" w:rsidRDefault="00470B98" w:rsidP="0047058C">
            <w:pPr>
              <w:spacing w:line="360" w:lineRule="auto"/>
              <w:jc w:val="both"/>
              <w:rPr>
                <w:rFonts w:ascii="Times New Roman" w:hAnsi="Times New Roman" w:cs="Times New Roman"/>
                <w:sz w:val="24"/>
                <w:szCs w:val="24"/>
              </w:rPr>
            </w:pPr>
            <w:r w:rsidRPr="00ED4EC1">
              <w:rPr>
                <w:rFonts w:ascii="Times New Roman" w:hAnsi="Times New Roman" w:cs="Times New Roman"/>
                <w:sz w:val="24"/>
                <w:szCs w:val="24"/>
              </w:rPr>
              <w:t>Lim</w:t>
            </w:r>
            <w:r>
              <w:rPr>
                <w:rFonts w:ascii="Times New Roman" w:hAnsi="Times New Roman" w:cs="Times New Roman"/>
                <w:sz w:val="24"/>
                <w:szCs w:val="24"/>
              </w:rPr>
              <w:t xml:space="preserve"> et al.</w:t>
            </w:r>
            <w:r w:rsidR="005378FE">
              <w:rPr>
                <w:rFonts w:ascii="Times New Roman" w:hAnsi="Times New Roman" w:cs="Times New Roman"/>
                <w:sz w:val="24"/>
                <w:szCs w:val="24"/>
              </w:rPr>
              <w:t>,</w:t>
            </w:r>
            <w:r w:rsidR="000305D7">
              <w:rPr>
                <w:rFonts w:ascii="Times New Roman" w:hAnsi="Times New Roman" w:cs="Times New Roman"/>
                <w:sz w:val="24"/>
                <w:szCs w:val="24"/>
              </w:rPr>
              <w:t>(</w:t>
            </w:r>
            <w:r w:rsidRPr="00ED4EC1">
              <w:rPr>
                <w:rFonts w:ascii="Times New Roman" w:hAnsi="Times New Roman" w:cs="Times New Roman"/>
                <w:sz w:val="24"/>
                <w:szCs w:val="24"/>
              </w:rPr>
              <w:t>2016</w:t>
            </w:r>
            <w:r w:rsidR="000305D7">
              <w:rPr>
                <w:rFonts w:ascii="Times New Roman" w:hAnsi="Times New Roman" w:cs="Times New Roman"/>
                <w:sz w:val="24"/>
                <w:szCs w:val="24"/>
              </w:rPr>
              <w:t>)</w:t>
            </w:r>
          </w:p>
        </w:tc>
      </w:tr>
      <w:tr w:rsidR="0004072D" w:rsidTr="0047058C">
        <w:tc>
          <w:tcPr>
            <w:tcW w:w="1838" w:type="dxa"/>
            <w:vMerge/>
          </w:tcPr>
          <w:p w:rsidR="0004072D" w:rsidRPr="00AE1465" w:rsidRDefault="0004072D" w:rsidP="00AE1465">
            <w:pPr>
              <w:spacing w:line="360" w:lineRule="auto"/>
              <w:jc w:val="both"/>
              <w:rPr>
                <w:rFonts w:ascii="Times New Roman" w:hAnsi="Times New Roman" w:cs="Times New Roman"/>
                <w:i/>
                <w:iCs/>
                <w:sz w:val="24"/>
                <w:szCs w:val="24"/>
              </w:rPr>
            </w:pPr>
          </w:p>
        </w:tc>
        <w:tc>
          <w:tcPr>
            <w:tcW w:w="1559" w:type="dxa"/>
            <w:vMerge/>
          </w:tcPr>
          <w:p w:rsidR="0004072D" w:rsidRDefault="0004072D" w:rsidP="0047058C">
            <w:pPr>
              <w:spacing w:line="360" w:lineRule="auto"/>
              <w:jc w:val="both"/>
              <w:rPr>
                <w:rFonts w:ascii="Times New Roman" w:hAnsi="Times New Roman" w:cs="Times New Roman"/>
                <w:sz w:val="24"/>
                <w:szCs w:val="24"/>
              </w:rPr>
            </w:pPr>
          </w:p>
        </w:tc>
        <w:tc>
          <w:tcPr>
            <w:tcW w:w="3261" w:type="dxa"/>
          </w:tcPr>
          <w:p w:rsidR="0004072D" w:rsidRDefault="0004072D"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Memory enhancer</w:t>
            </w:r>
            <w:r w:rsidR="00217096">
              <w:rPr>
                <w:rFonts w:ascii="Times New Roman" w:hAnsi="Times New Roman" w:cs="Times New Roman"/>
                <w:sz w:val="24"/>
                <w:szCs w:val="24"/>
              </w:rPr>
              <w:t>.</w:t>
            </w:r>
          </w:p>
        </w:tc>
        <w:tc>
          <w:tcPr>
            <w:tcW w:w="2358" w:type="dxa"/>
          </w:tcPr>
          <w:p w:rsidR="0004072D" w:rsidRPr="00ED4EC1" w:rsidRDefault="0004072D" w:rsidP="0047058C">
            <w:pPr>
              <w:spacing w:line="360" w:lineRule="auto"/>
              <w:jc w:val="both"/>
              <w:rPr>
                <w:rFonts w:ascii="Times New Roman" w:hAnsi="Times New Roman" w:cs="Times New Roman"/>
                <w:sz w:val="24"/>
                <w:szCs w:val="24"/>
              </w:rPr>
            </w:pPr>
            <w:r w:rsidRPr="00ED4EC1">
              <w:rPr>
                <w:rFonts w:ascii="Times New Roman" w:hAnsi="Times New Roman" w:cs="Times New Roman"/>
                <w:sz w:val="24"/>
                <w:szCs w:val="24"/>
              </w:rPr>
              <w:t>Lim</w:t>
            </w:r>
            <w:r w:rsidR="00470B98">
              <w:rPr>
                <w:rFonts w:ascii="Times New Roman" w:hAnsi="Times New Roman" w:cs="Times New Roman"/>
                <w:sz w:val="24"/>
                <w:szCs w:val="24"/>
              </w:rPr>
              <w:t xml:space="preserve"> et al.</w:t>
            </w:r>
            <w:r w:rsidR="005378FE">
              <w:rPr>
                <w:rFonts w:ascii="Times New Roman" w:hAnsi="Times New Roman" w:cs="Times New Roman"/>
                <w:sz w:val="24"/>
                <w:szCs w:val="24"/>
              </w:rPr>
              <w:t>,</w:t>
            </w:r>
            <w:r w:rsidR="000305D7">
              <w:rPr>
                <w:rFonts w:ascii="Times New Roman" w:hAnsi="Times New Roman" w:cs="Times New Roman"/>
                <w:sz w:val="24"/>
                <w:szCs w:val="24"/>
              </w:rPr>
              <w:t>(</w:t>
            </w:r>
            <w:r w:rsidRPr="00ED4EC1">
              <w:rPr>
                <w:rFonts w:ascii="Times New Roman" w:hAnsi="Times New Roman" w:cs="Times New Roman"/>
                <w:sz w:val="24"/>
                <w:szCs w:val="24"/>
              </w:rPr>
              <w:t>2016</w:t>
            </w:r>
            <w:r w:rsidR="000305D7">
              <w:rPr>
                <w:rFonts w:ascii="Times New Roman" w:hAnsi="Times New Roman" w:cs="Times New Roman"/>
                <w:sz w:val="24"/>
                <w:szCs w:val="24"/>
              </w:rPr>
              <w:t>)</w:t>
            </w:r>
          </w:p>
        </w:tc>
      </w:tr>
      <w:tr w:rsidR="0004072D" w:rsidTr="0047058C">
        <w:tc>
          <w:tcPr>
            <w:tcW w:w="1838" w:type="dxa"/>
          </w:tcPr>
          <w:p w:rsidR="0004072D" w:rsidRPr="00AE1465" w:rsidRDefault="0004072D" w:rsidP="00AE1465">
            <w:pPr>
              <w:spacing w:line="360" w:lineRule="auto"/>
              <w:jc w:val="both"/>
              <w:rPr>
                <w:rFonts w:ascii="Times New Roman" w:hAnsi="Times New Roman" w:cs="Times New Roman"/>
                <w:i/>
                <w:iCs/>
                <w:sz w:val="24"/>
                <w:szCs w:val="24"/>
              </w:rPr>
            </w:pPr>
            <w:r w:rsidRPr="00AE1465">
              <w:rPr>
                <w:rFonts w:ascii="Times New Roman" w:hAnsi="Times New Roman" w:cs="Times New Roman"/>
                <w:i/>
                <w:iCs/>
                <w:sz w:val="24"/>
                <w:szCs w:val="24"/>
              </w:rPr>
              <w:t>Scurrulaoortiana</w:t>
            </w:r>
          </w:p>
        </w:tc>
        <w:tc>
          <w:tcPr>
            <w:tcW w:w="1559" w:type="dxa"/>
          </w:tcPr>
          <w:p w:rsidR="0004072D" w:rsidRDefault="0004072D"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Whole plant</w:t>
            </w:r>
          </w:p>
        </w:tc>
        <w:tc>
          <w:tcPr>
            <w:tcW w:w="3261" w:type="dxa"/>
          </w:tcPr>
          <w:p w:rsidR="0004072D" w:rsidRDefault="0004072D"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Infusion is used for cancer and fatigue</w:t>
            </w:r>
            <w:r w:rsidR="00217096">
              <w:rPr>
                <w:rFonts w:ascii="Times New Roman" w:hAnsi="Times New Roman" w:cs="Times New Roman"/>
                <w:sz w:val="24"/>
                <w:szCs w:val="24"/>
              </w:rPr>
              <w:t>.</w:t>
            </w:r>
          </w:p>
        </w:tc>
        <w:tc>
          <w:tcPr>
            <w:tcW w:w="2358" w:type="dxa"/>
          </w:tcPr>
          <w:p w:rsidR="0004072D" w:rsidRPr="00ED4EC1" w:rsidRDefault="0004072D" w:rsidP="0047058C">
            <w:pPr>
              <w:spacing w:line="360" w:lineRule="auto"/>
              <w:jc w:val="both"/>
              <w:rPr>
                <w:rFonts w:ascii="Times New Roman" w:hAnsi="Times New Roman" w:cs="Times New Roman"/>
                <w:sz w:val="24"/>
                <w:szCs w:val="24"/>
              </w:rPr>
            </w:pPr>
            <w:r w:rsidRPr="00CF022A">
              <w:rPr>
                <w:rFonts w:ascii="Times New Roman" w:hAnsi="Times New Roman" w:cs="Times New Roman"/>
                <w:sz w:val="24"/>
                <w:szCs w:val="24"/>
              </w:rPr>
              <w:t xml:space="preserve">Lim </w:t>
            </w:r>
            <w:r w:rsidRPr="004B671B">
              <w:rPr>
                <w:rFonts w:ascii="Times New Roman" w:hAnsi="Times New Roman" w:cs="Times New Roman"/>
                <w:sz w:val="24"/>
                <w:szCs w:val="24"/>
              </w:rPr>
              <w:t>et al.</w:t>
            </w:r>
            <w:r w:rsidR="005378FE">
              <w:rPr>
                <w:rFonts w:ascii="Times New Roman" w:hAnsi="Times New Roman" w:cs="Times New Roman"/>
                <w:sz w:val="24"/>
                <w:szCs w:val="24"/>
              </w:rPr>
              <w:t>,</w:t>
            </w:r>
            <w:r w:rsidR="000305D7">
              <w:rPr>
                <w:rFonts w:ascii="Times New Roman" w:hAnsi="Times New Roman" w:cs="Times New Roman"/>
                <w:sz w:val="24"/>
                <w:szCs w:val="24"/>
              </w:rPr>
              <w:t>(</w:t>
            </w:r>
            <w:r w:rsidRPr="00CF022A">
              <w:rPr>
                <w:rFonts w:ascii="Times New Roman" w:hAnsi="Times New Roman" w:cs="Times New Roman"/>
                <w:sz w:val="24"/>
                <w:szCs w:val="24"/>
              </w:rPr>
              <w:t>2016</w:t>
            </w:r>
            <w:r w:rsidR="000305D7">
              <w:rPr>
                <w:rFonts w:ascii="Times New Roman" w:hAnsi="Times New Roman" w:cs="Times New Roman"/>
                <w:sz w:val="24"/>
                <w:szCs w:val="24"/>
              </w:rPr>
              <w:t>)</w:t>
            </w:r>
          </w:p>
        </w:tc>
      </w:tr>
      <w:tr w:rsidR="0004072D" w:rsidTr="0047058C">
        <w:tc>
          <w:tcPr>
            <w:tcW w:w="1838" w:type="dxa"/>
          </w:tcPr>
          <w:p w:rsidR="0004072D" w:rsidRPr="00AE1465" w:rsidRDefault="0004072D" w:rsidP="00AE1465">
            <w:pPr>
              <w:spacing w:line="360" w:lineRule="auto"/>
              <w:jc w:val="both"/>
              <w:rPr>
                <w:rFonts w:ascii="Times New Roman" w:hAnsi="Times New Roman" w:cs="Times New Roman"/>
                <w:i/>
                <w:iCs/>
                <w:sz w:val="24"/>
                <w:szCs w:val="24"/>
              </w:rPr>
            </w:pPr>
            <w:r w:rsidRPr="00AE1465">
              <w:rPr>
                <w:rFonts w:ascii="Times New Roman" w:hAnsi="Times New Roman" w:cs="Times New Roman"/>
                <w:i/>
                <w:iCs/>
                <w:sz w:val="24"/>
                <w:szCs w:val="24"/>
              </w:rPr>
              <w:t>Scurrula parasitica</w:t>
            </w:r>
          </w:p>
        </w:tc>
        <w:tc>
          <w:tcPr>
            <w:tcW w:w="1559" w:type="dxa"/>
          </w:tcPr>
          <w:p w:rsidR="0004072D" w:rsidRDefault="0004072D"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Whole plant </w:t>
            </w:r>
          </w:p>
        </w:tc>
        <w:tc>
          <w:tcPr>
            <w:tcW w:w="3261" w:type="dxa"/>
          </w:tcPr>
          <w:p w:rsidR="0004072D" w:rsidRDefault="0004072D"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Pr="0004072D">
              <w:rPr>
                <w:rFonts w:ascii="Times New Roman" w:hAnsi="Times New Roman" w:cs="Times New Roman"/>
                <w:sz w:val="24"/>
                <w:szCs w:val="24"/>
              </w:rPr>
              <w:t xml:space="preserve">iuretic, </w:t>
            </w:r>
            <w:r w:rsidR="00217096">
              <w:rPr>
                <w:rFonts w:ascii="Times New Roman" w:hAnsi="Times New Roman" w:cs="Times New Roman"/>
                <w:sz w:val="24"/>
                <w:szCs w:val="24"/>
              </w:rPr>
              <w:t>tranquillising</w:t>
            </w:r>
            <w:r>
              <w:rPr>
                <w:rFonts w:ascii="Times New Roman" w:hAnsi="Times New Roman" w:cs="Times New Roman"/>
                <w:sz w:val="24"/>
                <w:szCs w:val="24"/>
              </w:rPr>
              <w:t>,</w:t>
            </w:r>
            <w:r w:rsidRPr="0004072D">
              <w:rPr>
                <w:rFonts w:ascii="Times New Roman" w:hAnsi="Times New Roman" w:cs="Times New Roman"/>
                <w:sz w:val="24"/>
                <w:szCs w:val="24"/>
              </w:rPr>
              <w:t xml:space="preserve"> and hypotensive activity</w:t>
            </w:r>
            <w:r w:rsidR="00217096">
              <w:rPr>
                <w:rFonts w:ascii="Times New Roman" w:hAnsi="Times New Roman" w:cs="Times New Roman"/>
                <w:sz w:val="24"/>
                <w:szCs w:val="24"/>
              </w:rPr>
              <w:t>.</w:t>
            </w:r>
          </w:p>
        </w:tc>
        <w:tc>
          <w:tcPr>
            <w:tcW w:w="2358" w:type="dxa"/>
          </w:tcPr>
          <w:p w:rsidR="0004072D" w:rsidRPr="00CF022A" w:rsidRDefault="002567F1" w:rsidP="0047058C">
            <w:pPr>
              <w:spacing w:line="360" w:lineRule="auto"/>
              <w:jc w:val="both"/>
              <w:rPr>
                <w:rFonts w:ascii="Times New Roman" w:hAnsi="Times New Roman" w:cs="Times New Roman"/>
                <w:sz w:val="24"/>
                <w:szCs w:val="24"/>
              </w:rPr>
            </w:pPr>
            <w:r w:rsidRPr="002567F1">
              <w:rPr>
                <w:rFonts w:ascii="Times New Roman" w:hAnsi="Times New Roman" w:cs="Times New Roman"/>
                <w:sz w:val="24"/>
                <w:szCs w:val="24"/>
              </w:rPr>
              <w:t>Azyu</w:t>
            </w:r>
            <w:r>
              <w:rPr>
                <w:rFonts w:ascii="Times New Roman" w:hAnsi="Times New Roman" w:cs="Times New Roman"/>
                <w:sz w:val="24"/>
                <w:szCs w:val="24"/>
              </w:rPr>
              <w:t>et al.</w:t>
            </w:r>
            <w:r w:rsidR="005378FE">
              <w:rPr>
                <w:rFonts w:ascii="Times New Roman" w:hAnsi="Times New Roman" w:cs="Times New Roman"/>
                <w:sz w:val="24"/>
                <w:szCs w:val="24"/>
              </w:rPr>
              <w:t>,</w:t>
            </w:r>
            <w:r w:rsidR="000305D7">
              <w:rPr>
                <w:rFonts w:ascii="Times New Roman" w:hAnsi="Times New Roman" w:cs="Times New Roman"/>
                <w:sz w:val="24"/>
                <w:szCs w:val="24"/>
              </w:rPr>
              <w:t>(</w:t>
            </w:r>
            <w:r>
              <w:rPr>
                <w:rFonts w:ascii="Times New Roman" w:hAnsi="Times New Roman" w:cs="Times New Roman"/>
                <w:sz w:val="24"/>
                <w:szCs w:val="24"/>
              </w:rPr>
              <w:t>2025</w:t>
            </w:r>
            <w:r w:rsidR="000305D7">
              <w:rPr>
                <w:rFonts w:ascii="Times New Roman" w:hAnsi="Times New Roman" w:cs="Times New Roman"/>
                <w:sz w:val="24"/>
                <w:szCs w:val="24"/>
              </w:rPr>
              <w:t>)</w:t>
            </w:r>
          </w:p>
        </w:tc>
      </w:tr>
    </w:tbl>
    <w:p w:rsidR="00FD4AA4" w:rsidRDefault="00FD4AA4"/>
    <w:p w:rsidR="0059296C" w:rsidRPr="0059296C" w:rsidRDefault="0059296C" w:rsidP="007C0C49">
      <w:pPr>
        <w:pStyle w:val="NormalWeb"/>
        <w:spacing w:line="360" w:lineRule="auto"/>
        <w:jc w:val="both"/>
      </w:pPr>
      <w:r>
        <w:t xml:space="preserve">Parasitic plants have long played a notable role in traditional healing systems, yet their ethnomedicinal importance remains largely underappreciated compared to other medicinal taxa. Studies across different geographical regions have documented the therapeutic potential of parasitic species belonging to families such as </w:t>
      </w:r>
      <w:r w:rsidRPr="0059296C">
        <w:rPr>
          <w:rStyle w:val="Strong"/>
          <w:rFonts w:eastAsiaTheme="majorEastAsia"/>
          <w:b w:val="0"/>
          <w:bCs w:val="0"/>
        </w:rPr>
        <w:t xml:space="preserve">Loranthaceae, Convolvulaceae, and </w:t>
      </w:r>
      <w:r w:rsidRPr="0059296C">
        <w:rPr>
          <w:rStyle w:val="Strong"/>
          <w:rFonts w:eastAsiaTheme="majorEastAsia"/>
          <w:b w:val="0"/>
          <w:bCs w:val="0"/>
        </w:rPr>
        <w:lastRenderedPageBreak/>
        <w:t>Santalaceae</w:t>
      </w:r>
      <w:r>
        <w:t xml:space="preserve">, which are employed to treat a wide spectrum of human ailments. For instance, </w:t>
      </w:r>
      <w:r>
        <w:rPr>
          <w:rStyle w:val="Emphasis"/>
          <w:rFonts w:eastAsiaTheme="majorEastAsia"/>
        </w:rPr>
        <w:t>Viscum album</w:t>
      </w:r>
      <w:r>
        <w:t xml:space="preserve"> and </w:t>
      </w:r>
      <w:r>
        <w:rPr>
          <w:rStyle w:val="Emphasis"/>
          <w:rFonts w:eastAsiaTheme="majorEastAsia"/>
        </w:rPr>
        <w:t>V. articulatum</w:t>
      </w:r>
      <w:r>
        <w:t xml:space="preserve"> are traditionally prescribed for epilepsy, joint pain, hypertension, and rheumatism (</w:t>
      </w:r>
      <w:r w:rsidR="00481948">
        <w:t xml:space="preserve">Patel and Singh, 2017; </w:t>
      </w:r>
      <w:r>
        <w:t xml:space="preserve">Ahmad et al., 2018), while </w:t>
      </w:r>
      <w:r>
        <w:rPr>
          <w:rStyle w:val="Emphasis"/>
          <w:rFonts w:eastAsiaTheme="majorEastAsia"/>
        </w:rPr>
        <w:t>Cuscuta reflexa</w:t>
      </w:r>
      <w:r>
        <w:t xml:space="preserve"> and </w:t>
      </w:r>
      <w:r>
        <w:rPr>
          <w:rStyle w:val="Emphasis"/>
          <w:rFonts w:eastAsiaTheme="majorEastAsia"/>
        </w:rPr>
        <w:t>Cassytha filiformis</w:t>
      </w:r>
      <w:r>
        <w:t xml:space="preserve"> are known for treating jaundice, urinary disorders, and promoting hair growth (Saini et al., 2015; Mishra and Rath, 2025). These reports establish parasitic plants as a distinct yet pharmacologically significant group of medicinal flora, valued for their potent bioactive metabolites and therapeutic diversity. Within this broader ethnomedicinal context, the present study provides the first comparative review of two underexplored hemiparasitic genera</w:t>
      </w:r>
      <w:r>
        <w:rPr>
          <w:rStyle w:val="Emphasis"/>
          <w:rFonts w:eastAsiaTheme="majorEastAsia"/>
        </w:rPr>
        <w:t>Macrosolen</w:t>
      </w:r>
      <w:r>
        <w:t xml:space="preserve"> and </w:t>
      </w:r>
      <w:r>
        <w:rPr>
          <w:rStyle w:val="Emphasis"/>
          <w:rFonts w:eastAsiaTheme="majorEastAsia"/>
        </w:rPr>
        <w:t>Scurrula</w:t>
      </w:r>
      <w:r>
        <w:t xml:space="preserve">from the family </w:t>
      </w:r>
      <w:r w:rsidRPr="0059296C">
        <w:rPr>
          <w:rStyle w:val="Strong"/>
          <w:rFonts w:eastAsiaTheme="majorEastAsia"/>
          <w:b w:val="0"/>
          <w:bCs w:val="0"/>
        </w:rPr>
        <w:t>Loranthaceae</w:t>
      </w:r>
      <w:r w:rsidRPr="0059296C">
        <w:rPr>
          <w:b/>
          <w:bCs/>
        </w:rPr>
        <w:t>.</w:t>
      </w:r>
      <w:r>
        <w:t xml:space="preserve"> The documentation of 14 ethnomedicinal use reports across six species revealed their applications in treating cardiovascular, neurological, reproductive, hepatic, and dermatological ailments. Among these, </w:t>
      </w:r>
      <w:r>
        <w:rPr>
          <w:rStyle w:val="Emphasis"/>
          <w:rFonts w:eastAsiaTheme="majorEastAsia"/>
        </w:rPr>
        <w:t>Macrosolencochinchinensis</w:t>
      </w:r>
      <w:r>
        <w:t xml:space="preserve"> emerged as the most cited species, primarily used in reproductive and hepatic disorders, whereas </w:t>
      </w:r>
      <w:r>
        <w:rPr>
          <w:rStyle w:val="Emphasis"/>
          <w:rFonts w:eastAsiaTheme="majorEastAsia"/>
        </w:rPr>
        <w:t>Scurrulaferruginea</w:t>
      </w:r>
      <w:r>
        <w:t xml:space="preserve">, </w:t>
      </w:r>
      <w:r>
        <w:rPr>
          <w:rStyle w:val="Emphasis"/>
          <w:rFonts w:eastAsiaTheme="majorEastAsia"/>
        </w:rPr>
        <w:t>S. atropurpurea</w:t>
      </w:r>
      <w:r>
        <w:t xml:space="preserve">, and </w:t>
      </w:r>
      <w:r>
        <w:rPr>
          <w:rStyle w:val="Emphasis"/>
          <w:rFonts w:eastAsiaTheme="majorEastAsia"/>
        </w:rPr>
        <w:t>S. parasitica</w:t>
      </w:r>
      <w:r>
        <w:t xml:space="preserve"> were predominantly used for cardiovascular and neurological complaints. The predominance of leaf and whole-plant use observed in the present compilation reflects their accessibility and pharmacological richness</w:t>
      </w:r>
      <w:r w:rsidR="00481948">
        <w:t xml:space="preserve">, </w:t>
      </w:r>
      <w:r>
        <w:t xml:space="preserve">an observation consistent with global ethnobotanical patterns noted among other parasitic taxa (Nugraha et al., 2020). The traditional uses of </w:t>
      </w:r>
      <w:r>
        <w:rPr>
          <w:rStyle w:val="Emphasis"/>
          <w:rFonts w:eastAsiaTheme="majorEastAsia"/>
        </w:rPr>
        <w:t>Macrosolen</w:t>
      </w:r>
      <w:r>
        <w:t xml:space="preserve"> and </w:t>
      </w:r>
      <w:r>
        <w:rPr>
          <w:rStyle w:val="Emphasis"/>
          <w:rFonts w:eastAsiaTheme="majorEastAsia"/>
        </w:rPr>
        <w:t>Scurrula</w:t>
      </w:r>
      <w:r>
        <w:t xml:space="preserve"> recorded in this study exhibit considerable overlap with other Loranthaceae members documented worldwide. For example, </w:t>
      </w:r>
      <w:r>
        <w:rPr>
          <w:rStyle w:val="Emphasis"/>
          <w:rFonts w:eastAsiaTheme="majorEastAsia"/>
        </w:rPr>
        <w:t>Dendrophthoe falcata</w:t>
      </w:r>
      <w:r>
        <w:t xml:space="preserve"> and </w:t>
      </w:r>
      <w:r>
        <w:rPr>
          <w:rStyle w:val="Emphasis"/>
          <w:rFonts w:eastAsiaTheme="majorEastAsia"/>
        </w:rPr>
        <w:t>D. pentandra</w:t>
      </w:r>
      <w:r>
        <w:t xml:space="preserve"> are used to treat menstrual disorders, ulcers, asthma, and skin infections (Patil et al., 2011; Kong et al., 2023), which closely parallels the reproductive and dermatological applications of </w:t>
      </w:r>
      <w:r>
        <w:rPr>
          <w:rStyle w:val="Emphasis"/>
          <w:rFonts w:eastAsiaTheme="majorEastAsia"/>
        </w:rPr>
        <w:t>Macrosolen</w:t>
      </w:r>
      <w:r>
        <w:t xml:space="preserve">. Similarly, the reported hypotensive and neurological uses of </w:t>
      </w:r>
      <w:r>
        <w:rPr>
          <w:rStyle w:val="Emphasis"/>
          <w:rFonts w:eastAsiaTheme="majorEastAsia"/>
        </w:rPr>
        <w:t>Scurrulaferruginea</w:t>
      </w:r>
      <w:r>
        <w:t xml:space="preserve"> and </w:t>
      </w:r>
      <w:r>
        <w:rPr>
          <w:rStyle w:val="Emphasis"/>
          <w:rFonts w:eastAsiaTheme="majorEastAsia"/>
        </w:rPr>
        <w:t>S. atropurpurea</w:t>
      </w:r>
      <w:r>
        <w:t xml:space="preserve"> correspond with the ethnomedical applications of </w:t>
      </w:r>
      <w:r>
        <w:rPr>
          <w:rStyle w:val="Emphasis"/>
          <w:rFonts w:eastAsiaTheme="majorEastAsia"/>
        </w:rPr>
        <w:t>Viscum album</w:t>
      </w:r>
      <w:r>
        <w:t xml:space="preserve"> and </w:t>
      </w:r>
      <w:r>
        <w:rPr>
          <w:rStyle w:val="Emphasis"/>
          <w:rFonts w:eastAsiaTheme="majorEastAsia"/>
        </w:rPr>
        <w:t>D. pentandra</w:t>
      </w:r>
      <w:r>
        <w:t xml:space="preserve"> for hypertension and fatigue (Ahmad et al., 2018; Muhammad et al., 2019). When compared to other parasitic lineages, </w:t>
      </w:r>
      <w:r>
        <w:rPr>
          <w:rStyle w:val="Emphasis"/>
          <w:rFonts w:eastAsiaTheme="majorEastAsia"/>
        </w:rPr>
        <w:t>Macrosolen</w:t>
      </w:r>
      <w:r>
        <w:t xml:space="preserve"> and </w:t>
      </w:r>
      <w:r>
        <w:rPr>
          <w:rStyle w:val="Emphasis"/>
          <w:rFonts w:eastAsiaTheme="majorEastAsia"/>
        </w:rPr>
        <w:t>Scurrula</w:t>
      </w:r>
      <w:r>
        <w:t xml:space="preserve"> demonstrate both convergence and specialization in their ethnomedicinal roles. Root parasites such as </w:t>
      </w:r>
      <w:r>
        <w:rPr>
          <w:rStyle w:val="Emphasis"/>
          <w:rFonts w:eastAsiaTheme="majorEastAsia"/>
        </w:rPr>
        <w:t>Cynomorium coccineum</w:t>
      </w:r>
      <w:r>
        <w:t xml:space="preserve"> and </w:t>
      </w:r>
      <w:r>
        <w:rPr>
          <w:rStyle w:val="Emphasis"/>
          <w:rFonts w:eastAsiaTheme="majorEastAsia"/>
        </w:rPr>
        <w:t>Hydnoraabyssinica</w:t>
      </w:r>
      <w:r>
        <w:t xml:space="preserve"> are valued for their aphrodisiac, </w:t>
      </w:r>
      <w:r w:rsidR="00B70B36" w:rsidRPr="00B70B36">
        <w:t>adstringent</w:t>
      </w:r>
      <w:r>
        <w:t xml:space="preserve">, and </w:t>
      </w:r>
      <w:r w:rsidR="00E23EF1">
        <w:t>antidiarrheal</w:t>
      </w:r>
      <w:r>
        <w:t xml:space="preserve"> properties (Patocka and Navratilova, 2020; Mkala et al., 2021), while stem parasites like </w:t>
      </w:r>
      <w:r>
        <w:rPr>
          <w:rStyle w:val="Emphasis"/>
          <w:rFonts w:eastAsiaTheme="majorEastAsia"/>
        </w:rPr>
        <w:t>Cuscuta reflexa</w:t>
      </w:r>
      <w:r>
        <w:t xml:space="preserve"> and </w:t>
      </w:r>
      <w:r>
        <w:rPr>
          <w:rStyle w:val="Emphasis"/>
          <w:rFonts w:eastAsiaTheme="majorEastAsia"/>
        </w:rPr>
        <w:t>Cassytha filiformis</w:t>
      </w:r>
      <w:r>
        <w:t xml:space="preserve"> are traditionally used to manage jaundice, rheumatism, and kidney disorders (Saini et al., 2015; Lyngdoh et al., 2023). The uses recorded for </w:t>
      </w:r>
      <w:r>
        <w:rPr>
          <w:rStyle w:val="Emphasis"/>
          <w:rFonts w:eastAsiaTheme="majorEastAsia"/>
        </w:rPr>
        <w:t>Macrosolen</w:t>
      </w:r>
      <w:r>
        <w:t xml:space="preserve"> and </w:t>
      </w:r>
      <w:r>
        <w:rPr>
          <w:rStyle w:val="Emphasis"/>
          <w:rFonts w:eastAsiaTheme="majorEastAsia"/>
        </w:rPr>
        <w:t>Scurrula</w:t>
      </w:r>
      <w:r>
        <w:t xml:space="preserve"> similarly encompass reproductive, hepatic, and circulatory systems, suggesting that parasitism itself may contribute to a shared adaptive chemistry that enhances their medicinal value. This cross-taxonomic correspondence </w:t>
      </w:r>
      <w:r>
        <w:lastRenderedPageBreak/>
        <w:t xml:space="preserve">underscores that parasitic plants, though diverse in habit and host association, often converge in their ethnomedicinal functions through biochemical mimicry and host-derived metabolite accumulation. Despite their traditional prominence, the scientific investigation of </w:t>
      </w:r>
      <w:r>
        <w:rPr>
          <w:rStyle w:val="Emphasis"/>
          <w:rFonts w:eastAsiaTheme="majorEastAsia"/>
        </w:rPr>
        <w:t>Macrosolen</w:t>
      </w:r>
      <w:r>
        <w:t xml:space="preserve"> and </w:t>
      </w:r>
      <w:r>
        <w:rPr>
          <w:rStyle w:val="Emphasis"/>
          <w:rFonts w:eastAsiaTheme="majorEastAsia"/>
        </w:rPr>
        <w:t>Scurrula</w:t>
      </w:r>
      <w:r>
        <w:t xml:space="preserve"> remains in its infancy compared to other medicinal parasites. While Southeast Asian studies have highlighted the anti-hypertensive and anticancer potential of </w:t>
      </w:r>
      <w:r>
        <w:rPr>
          <w:rStyle w:val="Emphasis"/>
          <w:rFonts w:eastAsiaTheme="majorEastAsia"/>
        </w:rPr>
        <w:t>Scurrulaferruginea</w:t>
      </w:r>
      <w:r>
        <w:t xml:space="preserve"> and </w:t>
      </w:r>
      <w:r>
        <w:rPr>
          <w:rStyle w:val="Emphasis"/>
          <w:rFonts w:eastAsiaTheme="majorEastAsia"/>
        </w:rPr>
        <w:t>S. oortiana</w:t>
      </w:r>
      <w:r>
        <w:t xml:space="preserve"> (</w:t>
      </w:r>
      <w:r w:rsidR="001E7B4D">
        <w:t xml:space="preserve">Ameer et al., 2015; </w:t>
      </w:r>
      <w:r>
        <w:t xml:space="preserve">Lim et al., 2016), pharmacological and phytochemical validation of </w:t>
      </w:r>
      <w:r>
        <w:rPr>
          <w:rStyle w:val="Emphasis"/>
          <w:rFonts w:eastAsiaTheme="majorEastAsia"/>
        </w:rPr>
        <w:t>Macrosolen</w:t>
      </w:r>
      <w:r>
        <w:t xml:space="preserve"> species is still limited. The relative scarcity of biochemical studies may stem from their ecological specificity and the limited number of ethnobotanical surveys documenting their uses. The present review, therefore, fills an important gap by consolidating scattered information and emphasizing that </w:t>
      </w:r>
      <w:r>
        <w:rPr>
          <w:rStyle w:val="Emphasis"/>
          <w:rFonts w:eastAsiaTheme="majorEastAsia"/>
        </w:rPr>
        <w:t>Macrosolen</w:t>
      </w:r>
      <w:r>
        <w:t xml:space="preserve"> and </w:t>
      </w:r>
      <w:r>
        <w:rPr>
          <w:rStyle w:val="Emphasis"/>
          <w:rFonts w:eastAsiaTheme="majorEastAsia"/>
        </w:rPr>
        <w:t>Scurrula</w:t>
      </w:r>
      <w:r>
        <w:t xml:space="preserve"> are not ethnobotanical anomalies but integral representatives of a pharmacologically potent parasitic lineage. Taken together, the findings of the present and previous works demonstrate that parasitic plantsparticularly </w:t>
      </w:r>
      <w:r>
        <w:rPr>
          <w:rStyle w:val="Emphasis"/>
          <w:rFonts w:eastAsiaTheme="majorEastAsia"/>
        </w:rPr>
        <w:t>Macrosolen</w:t>
      </w:r>
      <w:r>
        <w:t xml:space="preserve"> and </w:t>
      </w:r>
      <w:r>
        <w:rPr>
          <w:rStyle w:val="Emphasis"/>
          <w:rFonts w:eastAsiaTheme="majorEastAsia"/>
        </w:rPr>
        <w:t>Scurrula</w:t>
      </w:r>
      <w:r>
        <w:t xml:space="preserve">constitute an </w:t>
      </w:r>
      <w:r w:rsidRPr="0059296C">
        <w:rPr>
          <w:rStyle w:val="Strong"/>
          <w:rFonts w:eastAsiaTheme="majorEastAsia"/>
          <w:b w:val="0"/>
          <w:bCs w:val="0"/>
        </w:rPr>
        <w:t>untapped reservoir of ethnopharmacological potential</w:t>
      </w:r>
      <w:r w:rsidRPr="0059296C">
        <w:rPr>
          <w:b/>
          <w:bCs/>
        </w:rPr>
        <w:t>.</w:t>
      </w:r>
      <w:r w:rsidRPr="0059296C">
        <w:t xml:space="preserve"> Their widespread yet underreported uses for cardiovascular, reproductive, and neurological disorders call for systematic </w:t>
      </w:r>
      <w:r w:rsidRPr="0059296C">
        <w:rPr>
          <w:rStyle w:val="Strong"/>
          <w:rFonts w:eastAsiaTheme="majorEastAsia"/>
          <w:b w:val="0"/>
          <w:bCs w:val="0"/>
        </w:rPr>
        <w:t>bioassay-guided phytochemical exploration</w:t>
      </w:r>
      <w:r w:rsidRPr="0059296C">
        <w:rPr>
          <w:b/>
          <w:bCs/>
        </w:rPr>
        <w:t xml:space="preserve">, </w:t>
      </w:r>
      <w:r w:rsidRPr="0059296C">
        <w:rPr>
          <w:rStyle w:val="Strong"/>
          <w:rFonts w:eastAsiaTheme="majorEastAsia"/>
          <w:b w:val="0"/>
          <w:bCs w:val="0"/>
        </w:rPr>
        <w:t>pharmacognostic standardization</w:t>
      </w:r>
      <w:r w:rsidRPr="0059296C">
        <w:t xml:space="preserve">,and </w:t>
      </w:r>
      <w:r w:rsidRPr="0059296C">
        <w:rPr>
          <w:rStyle w:val="Strong"/>
          <w:rFonts w:eastAsiaTheme="majorEastAsia"/>
          <w:b w:val="0"/>
          <w:bCs w:val="0"/>
        </w:rPr>
        <w:t>conservation-driven research</w:t>
      </w:r>
      <w:r w:rsidRPr="0059296C">
        <w:t xml:space="preserve">. </w:t>
      </w:r>
      <w:r w:rsidR="00795812">
        <w:t xml:space="preserve">The important bioactive compounds of these two genera are </w:t>
      </w:r>
      <w:r w:rsidR="002C625B">
        <w:t>d</w:t>
      </w:r>
      <w:r w:rsidR="00795812" w:rsidRPr="00795812">
        <w:t>ihydrochrysin</w:t>
      </w:r>
      <w:r w:rsidR="00795812">
        <w:t xml:space="preserve">, </w:t>
      </w:r>
      <w:r w:rsidR="002C625B">
        <w:t>f</w:t>
      </w:r>
      <w:r w:rsidR="002C625B" w:rsidRPr="002C625B">
        <w:t>lavonols, 1,6-Anhydro-beta-D-glucopyranose, 2H-1-Benzopyran-7-ol, 3,4-dihydro-5-methoxy-2-phenyl, aviculin</w:t>
      </w:r>
      <w:r w:rsidR="00102BFF">
        <w:t xml:space="preserve"> and</w:t>
      </w:r>
      <w:r w:rsidR="002C625B" w:rsidRPr="002C625B">
        <w:t xml:space="preserve"> quercetin 3-O-β-l-galactopyranoside.</w:t>
      </w:r>
      <w:r w:rsidR="002C625B">
        <w:t xml:space="preserve"> (</w:t>
      </w:r>
      <w:r w:rsidR="00CF24CE">
        <w:t xml:space="preserve">Sharath and Naika, 2022; </w:t>
      </w:r>
      <w:r w:rsidR="00CF24CE" w:rsidRPr="00CF24CE">
        <w:t>Roza</w:t>
      </w:r>
      <w:r w:rsidR="00CF24CE">
        <w:t xml:space="preserve"> et al., 2024). </w:t>
      </w:r>
      <w:r w:rsidRPr="0059296C">
        <w:t xml:space="preserve">As these taxa are ecologically dependent on specific host species, future efforts must also integrate </w:t>
      </w:r>
      <w:r w:rsidRPr="0059296C">
        <w:rPr>
          <w:rStyle w:val="Strong"/>
          <w:rFonts w:eastAsiaTheme="majorEastAsia"/>
          <w:b w:val="0"/>
          <w:bCs w:val="0"/>
        </w:rPr>
        <w:t>host–parasite ecologicalstudies</w:t>
      </w:r>
      <w:r w:rsidRPr="0059296C">
        <w:t xml:space="preserve"> to ensure sustainable resource utilization. Bridging traditional knowledge with modern biochemical validation will not only reaffirm the cultural wisdom</w:t>
      </w:r>
      <w:r>
        <w:t xml:space="preserve"> embedded in indigenous medical systems but also advance the discovery of novel therapeutic compounds from these overlooked parasitic genera. </w:t>
      </w:r>
    </w:p>
    <w:p w:rsidR="00143CA5" w:rsidRPr="00AE7FB4" w:rsidRDefault="00AE7FB4" w:rsidP="00D545C9">
      <w:pPr>
        <w:pStyle w:val="ListParagraph"/>
        <w:numPr>
          <w:ilvl w:val="0"/>
          <w:numId w:val="3"/>
        </w:numPr>
        <w:rPr>
          <w:rFonts w:ascii="Times New Roman" w:hAnsi="Times New Roman" w:cs="Times New Roman"/>
          <w:b/>
          <w:bCs/>
          <w:sz w:val="24"/>
          <w:szCs w:val="24"/>
        </w:rPr>
      </w:pPr>
      <w:r w:rsidRPr="00AE7FB4">
        <w:rPr>
          <w:rFonts w:ascii="Times New Roman" w:hAnsi="Times New Roman" w:cs="Times New Roman"/>
          <w:b/>
          <w:bCs/>
          <w:sz w:val="24"/>
          <w:szCs w:val="24"/>
        </w:rPr>
        <w:t>CONCLUSION</w:t>
      </w:r>
    </w:p>
    <w:p w:rsidR="00614591" w:rsidRDefault="007C0C49" w:rsidP="007B40A7">
      <w:pPr>
        <w:spacing w:line="360" w:lineRule="auto"/>
        <w:jc w:val="both"/>
        <w:rPr>
          <w:rFonts w:ascii="Times New Roman" w:hAnsi="Times New Roman" w:cs="Times New Roman"/>
          <w:sz w:val="24"/>
          <w:szCs w:val="24"/>
        </w:rPr>
      </w:pPr>
      <w:r>
        <w:rPr>
          <w:rFonts w:ascii="Times New Roman" w:hAnsi="Times New Roman" w:cs="Times New Roman"/>
          <w:sz w:val="24"/>
          <w:szCs w:val="24"/>
        </w:rPr>
        <w:t>Present study</w:t>
      </w:r>
      <w:r w:rsidR="005D1AD2">
        <w:rPr>
          <w:rFonts w:ascii="Times New Roman" w:hAnsi="Times New Roman" w:cs="Times New Roman"/>
          <w:sz w:val="24"/>
          <w:szCs w:val="24"/>
        </w:rPr>
        <w:t xml:space="preserve"> highlights the ethnomedicinal importance of two underexplored parasitic genera, </w:t>
      </w:r>
      <w:r w:rsidR="005D1AD2" w:rsidRPr="003A57CF">
        <w:rPr>
          <w:rFonts w:ascii="Times New Roman" w:hAnsi="Times New Roman" w:cs="Times New Roman"/>
          <w:i/>
          <w:iCs/>
          <w:sz w:val="24"/>
          <w:szCs w:val="24"/>
        </w:rPr>
        <w:t>Macrosolen</w:t>
      </w:r>
      <w:r w:rsidR="005D1AD2">
        <w:rPr>
          <w:rFonts w:ascii="Times New Roman" w:hAnsi="Times New Roman" w:cs="Times New Roman"/>
          <w:sz w:val="24"/>
          <w:szCs w:val="24"/>
        </w:rPr>
        <w:t xml:space="preserve"> and </w:t>
      </w:r>
      <w:r w:rsidR="005D1AD2" w:rsidRPr="003A57CF">
        <w:rPr>
          <w:rFonts w:ascii="Times New Roman" w:hAnsi="Times New Roman" w:cs="Times New Roman"/>
          <w:i/>
          <w:iCs/>
          <w:sz w:val="24"/>
          <w:szCs w:val="24"/>
        </w:rPr>
        <w:t>Scurrula</w:t>
      </w:r>
      <w:r w:rsidR="005D1AD2">
        <w:rPr>
          <w:rFonts w:ascii="Times New Roman" w:hAnsi="Times New Roman" w:cs="Times New Roman"/>
          <w:sz w:val="24"/>
          <w:szCs w:val="24"/>
        </w:rPr>
        <w:t>, which possess diverse traditional uses but</w:t>
      </w:r>
      <w:r w:rsidR="00143CA5" w:rsidRPr="00143CA5">
        <w:rPr>
          <w:rFonts w:ascii="Times New Roman" w:hAnsi="Times New Roman" w:cs="Times New Roman"/>
          <w:sz w:val="24"/>
          <w:szCs w:val="24"/>
        </w:rPr>
        <w:t xml:space="preserve"> remain poorly studied scientifically. The findings reveal their application in treating cardiovascular, reproductive, and neurological disorders, with leaves and whole-plant parts being most </w:t>
      </w:r>
      <w:r w:rsidR="005D1AD2">
        <w:rPr>
          <w:rFonts w:ascii="Times New Roman" w:hAnsi="Times New Roman" w:cs="Times New Roman"/>
          <w:sz w:val="24"/>
          <w:szCs w:val="24"/>
        </w:rPr>
        <w:t>utilised</w:t>
      </w:r>
      <w:r w:rsidR="00143CA5" w:rsidRPr="00143CA5">
        <w:rPr>
          <w:rFonts w:ascii="Times New Roman" w:hAnsi="Times New Roman" w:cs="Times New Roman"/>
          <w:sz w:val="24"/>
          <w:szCs w:val="24"/>
        </w:rPr>
        <w:t>. Despite their therapeutic promise, both genera suffer from limited pharmacological and phytochemical validation. Future research</w:t>
      </w:r>
      <w:r w:rsidR="005D1AD2">
        <w:rPr>
          <w:rFonts w:ascii="Times New Roman" w:hAnsi="Times New Roman" w:cs="Times New Roman"/>
          <w:sz w:val="24"/>
          <w:szCs w:val="24"/>
        </w:rPr>
        <w:t xml:space="preserve">, focusing on the isolation of bioactive </w:t>
      </w:r>
      <w:r w:rsidR="005D1AD2">
        <w:rPr>
          <w:rFonts w:ascii="Times New Roman" w:hAnsi="Times New Roman" w:cs="Times New Roman"/>
          <w:sz w:val="24"/>
          <w:szCs w:val="24"/>
        </w:rPr>
        <w:lastRenderedPageBreak/>
        <w:t>compounds, pharmacological testing, and conservation strategies,</w:t>
      </w:r>
      <w:r w:rsidR="00143CA5" w:rsidRPr="00143CA5">
        <w:rPr>
          <w:rFonts w:ascii="Times New Roman" w:hAnsi="Times New Roman" w:cs="Times New Roman"/>
          <w:sz w:val="24"/>
          <w:szCs w:val="24"/>
        </w:rPr>
        <w:t xml:space="preserve"> is essential to validate traditional claims and promote the sustainable use of these valuable parasitic plants.</w:t>
      </w:r>
    </w:p>
    <w:p w:rsidR="007B40A7" w:rsidRPr="007B40A7" w:rsidRDefault="007B40A7" w:rsidP="007B40A7">
      <w:pPr>
        <w:spacing w:line="360" w:lineRule="auto"/>
        <w:jc w:val="both"/>
        <w:rPr>
          <w:rFonts w:ascii="Times New Roman" w:hAnsi="Times New Roman" w:cs="Times New Roman"/>
          <w:sz w:val="24"/>
          <w:szCs w:val="24"/>
        </w:rPr>
      </w:pPr>
    </w:p>
    <w:p w:rsidR="000032C4" w:rsidRPr="000032C4" w:rsidRDefault="000032C4" w:rsidP="003A57CF">
      <w:pPr>
        <w:spacing w:line="276" w:lineRule="auto"/>
        <w:jc w:val="both"/>
        <w:rPr>
          <w:rFonts w:ascii="Times New Roman" w:hAnsi="Times New Roman" w:cs="Times New Roman"/>
          <w:b/>
          <w:bCs/>
          <w:sz w:val="24"/>
          <w:szCs w:val="24"/>
        </w:rPr>
      </w:pPr>
      <w:r w:rsidRPr="000032C4">
        <w:rPr>
          <w:rFonts w:ascii="Times New Roman" w:hAnsi="Times New Roman" w:cs="Times New Roman"/>
          <w:b/>
          <w:bCs/>
          <w:sz w:val="24"/>
          <w:szCs w:val="24"/>
        </w:rPr>
        <w:t>DISCLAIMER (ARTIFICIAL INTELLIGENCE)</w:t>
      </w:r>
    </w:p>
    <w:p w:rsidR="000032C4" w:rsidRDefault="000032C4" w:rsidP="00614591">
      <w:pPr>
        <w:spacing w:line="360" w:lineRule="auto"/>
        <w:jc w:val="both"/>
        <w:rPr>
          <w:rFonts w:ascii="Times New Roman" w:hAnsi="Times New Roman" w:cs="Times New Roman"/>
          <w:sz w:val="24"/>
          <w:szCs w:val="24"/>
        </w:rPr>
      </w:pPr>
      <w:r w:rsidRPr="000032C4">
        <w:rPr>
          <w:rFonts w:ascii="Times New Roman" w:hAnsi="Times New Roman" w:cs="Times New Roman"/>
          <w:sz w:val="24"/>
          <w:szCs w:val="24"/>
        </w:rPr>
        <w:t xml:space="preserve">Author(s) hereby </w:t>
      </w:r>
      <w:r w:rsidR="007C433E">
        <w:rPr>
          <w:rFonts w:ascii="Times New Roman" w:hAnsi="Times New Roman" w:cs="Times New Roman"/>
          <w:sz w:val="24"/>
          <w:szCs w:val="24"/>
        </w:rPr>
        <w:t>declares</w:t>
      </w:r>
      <w:r w:rsidRPr="000032C4">
        <w:rPr>
          <w:rFonts w:ascii="Times New Roman" w:hAnsi="Times New Roman" w:cs="Times New Roman"/>
          <w:sz w:val="24"/>
          <w:szCs w:val="24"/>
        </w:rPr>
        <w:t xml:space="preserve"> that NO generative AI technologies such as ChatGPT, COPILOT, etc</w:t>
      </w:r>
      <w:r>
        <w:rPr>
          <w:rFonts w:ascii="Times New Roman" w:hAnsi="Times New Roman" w:cs="Times New Roman"/>
          <w:sz w:val="24"/>
          <w:szCs w:val="24"/>
        </w:rPr>
        <w:t>,</w:t>
      </w:r>
      <w:r w:rsidRPr="000032C4">
        <w:rPr>
          <w:rFonts w:ascii="Times New Roman" w:hAnsi="Times New Roman" w:cs="Times New Roman"/>
          <w:sz w:val="24"/>
          <w:szCs w:val="24"/>
        </w:rPr>
        <w:t xml:space="preserve"> and text-to-image generators have been used during </w:t>
      </w:r>
      <w:r>
        <w:rPr>
          <w:rFonts w:ascii="Times New Roman" w:hAnsi="Times New Roman" w:cs="Times New Roman"/>
          <w:sz w:val="24"/>
          <w:szCs w:val="24"/>
        </w:rPr>
        <w:t xml:space="preserve">the </w:t>
      </w:r>
      <w:r w:rsidRPr="000032C4">
        <w:rPr>
          <w:rFonts w:ascii="Times New Roman" w:hAnsi="Times New Roman" w:cs="Times New Roman"/>
          <w:sz w:val="24"/>
          <w:szCs w:val="24"/>
        </w:rPr>
        <w:t>writing or editing of this manuscript.</w:t>
      </w:r>
      <w:r>
        <w:rPr>
          <w:rFonts w:ascii="Times New Roman" w:hAnsi="Times New Roman" w:cs="Times New Roman"/>
          <w:sz w:val="24"/>
          <w:szCs w:val="24"/>
        </w:rPr>
        <w:t xml:space="preserve"> AI (</w:t>
      </w:r>
      <w:r w:rsidR="00493606">
        <w:rPr>
          <w:rFonts w:ascii="Times New Roman" w:hAnsi="Times New Roman" w:cs="Times New Roman"/>
          <w:sz w:val="24"/>
          <w:szCs w:val="24"/>
        </w:rPr>
        <w:t>Grammarly</w:t>
      </w:r>
      <w:r>
        <w:rPr>
          <w:rFonts w:ascii="Times New Roman" w:hAnsi="Times New Roman" w:cs="Times New Roman"/>
          <w:sz w:val="24"/>
          <w:szCs w:val="24"/>
        </w:rPr>
        <w:t>) is used only for checking gramm</w:t>
      </w:r>
      <w:r w:rsidR="00493606">
        <w:rPr>
          <w:rFonts w:ascii="Times New Roman" w:hAnsi="Times New Roman" w:cs="Times New Roman"/>
          <w:sz w:val="24"/>
          <w:szCs w:val="24"/>
        </w:rPr>
        <w:t>a</w:t>
      </w:r>
      <w:r>
        <w:rPr>
          <w:rFonts w:ascii="Times New Roman" w:hAnsi="Times New Roman" w:cs="Times New Roman"/>
          <w:sz w:val="24"/>
          <w:szCs w:val="24"/>
        </w:rPr>
        <w:t>r</w:t>
      </w:r>
      <w:r w:rsidR="00493606">
        <w:rPr>
          <w:rFonts w:ascii="Times New Roman" w:hAnsi="Times New Roman" w:cs="Times New Roman"/>
          <w:sz w:val="24"/>
          <w:szCs w:val="24"/>
        </w:rPr>
        <w:t>.</w:t>
      </w:r>
    </w:p>
    <w:p w:rsidR="002520AF" w:rsidRPr="003A29C6" w:rsidRDefault="002520AF" w:rsidP="002520AF">
      <w:pPr>
        <w:jc w:val="both"/>
        <w:outlineLvl w:val="0"/>
        <w:rPr>
          <w:rFonts w:ascii="Arial" w:hAnsi="Arial" w:cs="Arial"/>
        </w:rPr>
      </w:pPr>
      <w:r w:rsidRPr="003A29C6">
        <w:rPr>
          <w:rFonts w:ascii="Arial" w:hAnsi="Arial" w:cs="Arial"/>
          <w:b/>
          <w:bCs/>
        </w:rPr>
        <w:t>COMPETING INTERESTS DISCLAIMER:</w:t>
      </w:r>
    </w:p>
    <w:p w:rsidR="002520AF" w:rsidRPr="00614591" w:rsidRDefault="002520AF" w:rsidP="00614591">
      <w:pPr>
        <w:spacing w:line="360" w:lineRule="auto"/>
        <w:jc w:val="both"/>
        <w:rPr>
          <w:rFonts w:ascii="Times New Roman" w:hAnsi="Times New Roman" w:cs="Times New Roman"/>
          <w:sz w:val="24"/>
          <w:szCs w:val="24"/>
        </w:rPr>
      </w:pPr>
      <w:r w:rsidRPr="00614591">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rsidR="000032C4" w:rsidRPr="000032C4" w:rsidRDefault="000032C4" w:rsidP="008D2CD2">
      <w:pPr>
        <w:jc w:val="both"/>
        <w:rPr>
          <w:rFonts w:ascii="Times New Roman" w:hAnsi="Times New Roman" w:cs="Times New Roman"/>
          <w:b/>
          <w:bCs/>
          <w:sz w:val="24"/>
          <w:szCs w:val="24"/>
        </w:rPr>
      </w:pPr>
      <w:r w:rsidRPr="00143CA5">
        <w:rPr>
          <w:rFonts w:ascii="Times New Roman" w:hAnsi="Times New Roman" w:cs="Times New Roman"/>
          <w:b/>
          <w:bCs/>
          <w:sz w:val="24"/>
          <w:szCs w:val="24"/>
        </w:rPr>
        <w:t xml:space="preserve">REFERENCES </w:t>
      </w:r>
      <w:bookmarkStart w:id="2" w:name="_Hlk213230218"/>
      <w:bookmarkStart w:id="3" w:name="_Hlk213230246"/>
    </w:p>
    <w:bookmarkEnd w:id="2"/>
    <w:bookmarkEnd w:id="3"/>
    <w:p w:rsidR="00083B1B" w:rsidRPr="00F64E38" w:rsidRDefault="00083B1B" w:rsidP="00F64E38">
      <w:pPr>
        <w:spacing w:before="120" w:after="120" w:line="240"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Ahmad S., Mir N.H. &amp; Sultan S.M. (2018). White-berry mistletoe (</w:t>
      </w:r>
      <w:r w:rsidRPr="00F64E38">
        <w:rPr>
          <w:rFonts w:ascii="Times New Roman" w:hAnsi="Times New Roman" w:cs="Times New Roman"/>
          <w:i/>
          <w:iCs/>
          <w:sz w:val="24"/>
          <w:szCs w:val="24"/>
        </w:rPr>
        <w:t>Viscum album</w:t>
      </w:r>
      <w:r w:rsidRPr="00F64E38">
        <w:rPr>
          <w:rFonts w:ascii="Times New Roman" w:hAnsi="Times New Roman" w:cs="Times New Roman"/>
          <w:sz w:val="24"/>
          <w:szCs w:val="24"/>
        </w:rPr>
        <w:t xml:space="preserve"> L.): A hemiparasitic plant Occurrence and ethnobotanical use in Kashmir. </w:t>
      </w:r>
      <w:r w:rsidRPr="00F64E38">
        <w:rPr>
          <w:rFonts w:ascii="Times New Roman" w:hAnsi="Times New Roman" w:cs="Times New Roman"/>
          <w:i/>
          <w:iCs/>
          <w:sz w:val="24"/>
          <w:szCs w:val="24"/>
        </w:rPr>
        <w:t>Journal of Pharmacognosy and Phytochemistry</w:t>
      </w:r>
      <w:r w:rsidRPr="00F64E38">
        <w:rPr>
          <w:rFonts w:ascii="Times New Roman" w:hAnsi="Times New Roman" w:cs="Times New Roman"/>
          <w:sz w:val="24"/>
          <w:szCs w:val="24"/>
        </w:rPr>
        <w:t>, 7(1), 1831–1833.</w:t>
      </w:r>
    </w:p>
    <w:p w:rsidR="00083B1B" w:rsidRPr="00F64E38" w:rsidRDefault="00083B1B" w:rsidP="00F64E38">
      <w:pPr>
        <w:spacing w:before="120" w:after="120" w:line="240"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 xml:space="preserve">Ameer, O. Z., Salman, I. M., Quek, K. J., &amp;Asmawi, M. Z. (2015). </w:t>
      </w:r>
      <w:r w:rsidRPr="00F64E38">
        <w:rPr>
          <w:rFonts w:ascii="Times New Roman" w:hAnsi="Times New Roman" w:cs="Times New Roman"/>
          <w:i/>
          <w:iCs/>
          <w:sz w:val="24"/>
          <w:szCs w:val="24"/>
        </w:rPr>
        <w:t>Loranthus ferrugineus</w:t>
      </w:r>
      <w:r w:rsidRPr="00F64E38">
        <w:rPr>
          <w:rFonts w:ascii="Times New Roman" w:hAnsi="Times New Roman" w:cs="Times New Roman"/>
          <w:sz w:val="24"/>
          <w:szCs w:val="24"/>
        </w:rPr>
        <w:t xml:space="preserve">: A mistletoe from traditional uses to laboratory bench. </w:t>
      </w:r>
      <w:r w:rsidRPr="00F64E38">
        <w:rPr>
          <w:rFonts w:ascii="Times New Roman" w:hAnsi="Times New Roman" w:cs="Times New Roman"/>
          <w:i/>
          <w:iCs/>
          <w:sz w:val="24"/>
          <w:szCs w:val="24"/>
        </w:rPr>
        <w:t>Journal of Pharmacology, 18</w:t>
      </w:r>
      <w:r w:rsidRPr="00F64E38">
        <w:rPr>
          <w:rFonts w:ascii="Times New Roman" w:hAnsi="Times New Roman" w:cs="Times New Roman"/>
          <w:sz w:val="24"/>
          <w:szCs w:val="24"/>
        </w:rPr>
        <w:t>(1), 7–18. https://doi.org/10.3831/KPI.2015.18.001</w:t>
      </w:r>
    </w:p>
    <w:p w:rsidR="00083B1B" w:rsidRPr="00F64E38" w:rsidRDefault="00083B1B" w:rsidP="00F64E38">
      <w:pPr>
        <w:spacing w:before="120" w:after="120" w:line="240"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 xml:space="preserve">Azyu, Z. R., Ali Ayub, M., Gali Mohanarao, J., Behera, P., Das, H., Mayengbam, P., &amp; Devi, I. L. (2025). Effect of ethanolic extract of </w:t>
      </w:r>
      <w:r w:rsidRPr="00F64E38">
        <w:rPr>
          <w:rFonts w:ascii="Times New Roman" w:hAnsi="Times New Roman" w:cs="Times New Roman"/>
          <w:i/>
          <w:iCs/>
          <w:sz w:val="24"/>
          <w:szCs w:val="24"/>
        </w:rPr>
        <w:t>Scurrula parasitica</w:t>
      </w:r>
      <w:r w:rsidRPr="00F64E38">
        <w:rPr>
          <w:rFonts w:ascii="Times New Roman" w:hAnsi="Times New Roman" w:cs="Times New Roman"/>
          <w:sz w:val="24"/>
          <w:szCs w:val="24"/>
        </w:rPr>
        <w:t xml:space="preserve"> L. on in vivo antioxidant status of diabetic rats. </w:t>
      </w:r>
      <w:r w:rsidRPr="00F64E38">
        <w:rPr>
          <w:rFonts w:ascii="Times New Roman" w:hAnsi="Times New Roman" w:cs="Times New Roman"/>
          <w:i/>
          <w:iCs/>
          <w:sz w:val="24"/>
          <w:szCs w:val="24"/>
        </w:rPr>
        <w:t>Indian Journal of Animal Research,</w:t>
      </w:r>
      <w:r w:rsidRPr="00F64E38">
        <w:rPr>
          <w:rFonts w:ascii="Times New Roman" w:hAnsi="Times New Roman" w:cs="Times New Roman"/>
          <w:sz w:val="24"/>
          <w:szCs w:val="24"/>
        </w:rPr>
        <w:t xml:space="preserve"> https://doi.org/10.18805/IJAR.B-5462</w:t>
      </w:r>
    </w:p>
    <w:p w:rsidR="00083B1B" w:rsidRPr="00F64E38" w:rsidRDefault="00083B1B" w:rsidP="00F64E38">
      <w:pPr>
        <w:spacing w:before="120" w:after="120" w:line="276"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 xml:space="preserve">Baharvand-Ahmadi B and Asadi-Samani M. (2016). A mini-review on the most important effective medicinal plants to treat hypertension in ethnobotanical evidence of Iran. </w:t>
      </w:r>
      <w:r w:rsidRPr="00F64E38">
        <w:rPr>
          <w:rFonts w:ascii="Times New Roman" w:hAnsi="Times New Roman" w:cs="Times New Roman"/>
          <w:i/>
          <w:iCs/>
          <w:sz w:val="24"/>
          <w:szCs w:val="24"/>
        </w:rPr>
        <w:t>Journal of Nephropharmacology</w:t>
      </w:r>
      <w:r w:rsidR="008B598A" w:rsidRPr="00F64E38">
        <w:rPr>
          <w:rFonts w:ascii="Times New Roman" w:hAnsi="Times New Roman" w:cs="Times New Roman"/>
          <w:sz w:val="24"/>
          <w:szCs w:val="24"/>
        </w:rPr>
        <w:t>,</w:t>
      </w:r>
      <w:r w:rsidRPr="00F64E38">
        <w:rPr>
          <w:rFonts w:ascii="Times New Roman" w:hAnsi="Times New Roman" w:cs="Times New Roman"/>
          <w:i/>
          <w:iCs/>
          <w:sz w:val="24"/>
          <w:szCs w:val="24"/>
        </w:rPr>
        <w:t>6</w:t>
      </w:r>
      <w:r w:rsidRPr="00F64E38">
        <w:rPr>
          <w:rFonts w:ascii="Times New Roman" w:hAnsi="Times New Roman" w:cs="Times New Roman"/>
          <w:sz w:val="24"/>
          <w:szCs w:val="24"/>
        </w:rPr>
        <w:t>(1)</w:t>
      </w:r>
      <w:r w:rsidR="008B598A" w:rsidRPr="00F64E38">
        <w:rPr>
          <w:rFonts w:ascii="Times New Roman" w:hAnsi="Times New Roman" w:cs="Times New Roman"/>
          <w:sz w:val="24"/>
          <w:szCs w:val="24"/>
        </w:rPr>
        <w:t>,</w:t>
      </w:r>
      <w:r w:rsidRPr="00F64E38">
        <w:rPr>
          <w:rFonts w:ascii="Times New Roman" w:hAnsi="Times New Roman" w:cs="Times New Roman"/>
          <w:sz w:val="24"/>
          <w:szCs w:val="24"/>
        </w:rPr>
        <w:t xml:space="preserve"> 3-8. </w:t>
      </w:r>
    </w:p>
    <w:p w:rsidR="00083B1B" w:rsidRPr="00F64E38" w:rsidRDefault="00083B1B" w:rsidP="00F64E38">
      <w:pPr>
        <w:spacing w:before="120" w:after="120" w:line="240"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 xml:space="preserve">Bouwmeester, H., Sinha, N., &amp; Scholes, J. (2021). Parasitic plants: Physiology, development, signaling, and ecosystem interactions. </w:t>
      </w:r>
      <w:r w:rsidRPr="00F64E38">
        <w:rPr>
          <w:rFonts w:ascii="Times New Roman" w:hAnsi="Times New Roman" w:cs="Times New Roman"/>
          <w:i/>
          <w:iCs/>
          <w:sz w:val="24"/>
          <w:szCs w:val="24"/>
        </w:rPr>
        <w:t>Plant Physiology, 185</w:t>
      </w:r>
      <w:r w:rsidRPr="00F64E38">
        <w:rPr>
          <w:rFonts w:ascii="Times New Roman" w:hAnsi="Times New Roman" w:cs="Times New Roman"/>
          <w:sz w:val="24"/>
          <w:szCs w:val="24"/>
        </w:rPr>
        <w:t>(4), 1267–1269. https://doi.org/10.1093/plphys/kiab055</w:t>
      </w:r>
    </w:p>
    <w:p w:rsidR="00083B1B" w:rsidRPr="00F64E38" w:rsidRDefault="00083B1B" w:rsidP="00F64E38">
      <w:pPr>
        <w:spacing w:before="120" w:after="120" w:line="240"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 xml:space="preserve">Hasan M., Ali M., Khan R., Palit P., Islam A., Seidel V., Akter R. &amp; Nahar L. (2018). Hepatoprotective, antihyperglycemic and antidiabetic effects of </w:t>
      </w:r>
      <w:r w:rsidRPr="00F64E38">
        <w:rPr>
          <w:rFonts w:ascii="Times New Roman" w:hAnsi="Times New Roman" w:cs="Times New Roman"/>
          <w:i/>
          <w:iCs/>
          <w:sz w:val="24"/>
          <w:szCs w:val="24"/>
        </w:rPr>
        <w:t>Dendrophthoe pentandra</w:t>
      </w:r>
      <w:r w:rsidRPr="00F64E38">
        <w:rPr>
          <w:rFonts w:ascii="Times New Roman" w:hAnsi="Times New Roman" w:cs="Times New Roman"/>
          <w:sz w:val="24"/>
          <w:szCs w:val="24"/>
        </w:rPr>
        <w:t xml:space="preserve"> leaf extract in rats. </w:t>
      </w:r>
      <w:r w:rsidRPr="00F64E38">
        <w:rPr>
          <w:rFonts w:ascii="Times New Roman" w:hAnsi="Times New Roman" w:cs="Times New Roman"/>
          <w:i/>
          <w:iCs/>
          <w:sz w:val="24"/>
          <w:szCs w:val="24"/>
        </w:rPr>
        <w:t>Clinical Phytoscience</w:t>
      </w:r>
      <w:r w:rsidRPr="00F64E38">
        <w:rPr>
          <w:rFonts w:ascii="Times New Roman" w:hAnsi="Times New Roman" w:cs="Times New Roman"/>
          <w:sz w:val="24"/>
          <w:szCs w:val="24"/>
        </w:rPr>
        <w:t xml:space="preserve">, 4(16). </w:t>
      </w:r>
      <w:hyperlink r:id="rId12" w:tgtFrame="_new" w:history="1">
        <w:r w:rsidRPr="00F64E38">
          <w:rPr>
            <w:rStyle w:val="Hyperlink"/>
            <w:rFonts w:ascii="Times New Roman" w:hAnsi="Times New Roman" w:cs="Times New Roman"/>
            <w:color w:val="auto"/>
            <w:sz w:val="24"/>
            <w:szCs w:val="24"/>
            <w:u w:val="none"/>
          </w:rPr>
          <w:t>https://doi.org/10.1186/s40816-018-0076-9</w:t>
        </w:r>
      </w:hyperlink>
    </w:p>
    <w:p w:rsidR="00083B1B" w:rsidRPr="00F64E38" w:rsidRDefault="00083B1B" w:rsidP="00F64E38">
      <w:pPr>
        <w:spacing w:before="120" w:after="120" w:line="240"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Jaiswal, A., Panda, A., Kumar, S. &amp; Mishra, S. (2021). Medicinal parasitic plants of Odisha, In: Medico-Biowealth of India, Volume 3. Ambika Prasad Research Foundation, Odisha, India.</w:t>
      </w:r>
    </w:p>
    <w:p w:rsidR="00083B1B" w:rsidRPr="00F64E38" w:rsidRDefault="00083B1B" w:rsidP="00F64E38">
      <w:pPr>
        <w:spacing w:before="120" w:after="120" w:line="276"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 xml:space="preserve">Kamagaté M, Die-Kacou H, Balayssac E, Yavo JC, Daubret PT, Kakou-Augustine K and Gboignon VM. (2005). Essaiscliniques des medicaments à base de plantes: revue </w:t>
      </w:r>
      <w:r w:rsidRPr="00F64E38">
        <w:rPr>
          <w:rFonts w:ascii="Times New Roman" w:hAnsi="Times New Roman" w:cs="Times New Roman"/>
          <w:sz w:val="24"/>
          <w:szCs w:val="24"/>
        </w:rPr>
        <w:lastRenderedPageBreak/>
        <w:t>bibliographique [Clinical trials using medicinal plants: bibliographical review and methodological analysis]. </w:t>
      </w:r>
      <w:r w:rsidRPr="00F64E38">
        <w:rPr>
          <w:rFonts w:ascii="Times New Roman" w:hAnsi="Times New Roman" w:cs="Times New Roman"/>
          <w:i/>
          <w:iCs/>
          <w:sz w:val="24"/>
          <w:szCs w:val="24"/>
        </w:rPr>
        <w:t>Therapie</w:t>
      </w:r>
      <w:r w:rsidR="00247681" w:rsidRPr="00F64E38">
        <w:rPr>
          <w:rFonts w:ascii="Times New Roman" w:hAnsi="Times New Roman" w:cs="Times New Roman"/>
          <w:i/>
          <w:iCs/>
          <w:sz w:val="24"/>
          <w:szCs w:val="24"/>
        </w:rPr>
        <w:t>,</w:t>
      </w:r>
      <w:r w:rsidRPr="00F64E38">
        <w:rPr>
          <w:rFonts w:ascii="Times New Roman" w:hAnsi="Times New Roman" w:cs="Times New Roman"/>
          <w:sz w:val="24"/>
          <w:szCs w:val="24"/>
        </w:rPr>
        <w:t xml:space="preserve"> 60(4)</w:t>
      </w:r>
      <w:r w:rsidR="00247681" w:rsidRPr="00F64E38">
        <w:rPr>
          <w:rFonts w:ascii="Times New Roman" w:hAnsi="Times New Roman" w:cs="Times New Roman"/>
          <w:sz w:val="24"/>
          <w:szCs w:val="24"/>
        </w:rPr>
        <w:t>,</w:t>
      </w:r>
      <w:r w:rsidRPr="00F64E38">
        <w:rPr>
          <w:rFonts w:ascii="Times New Roman" w:hAnsi="Times New Roman" w:cs="Times New Roman"/>
          <w:sz w:val="24"/>
          <w:szCs w:val="24"/>
        </w:rPr>
        <w:t xml:space="preserve"> 413–418.</w:t>
      </w:r>
    </w:p>
    <w:p w:rsidR="00083B1B" w:rsidRPr="00F64E38" w:rsidRDefault="00083B1B" w:rsidP="00F64E38">
      <w:pPr>
        <w:spacing w:before="120" w:after="120" w:line="240"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 xml:space="preserve">Kong D., Wang L., Niu Y., Cheng L., Sang B., Wang D., Tian J., Zhao W., Liu X., Chen Y., Wang F., Zhou H. &amp; Jia R. (2023). </w:t>
      </w:r>
      <w:r w:rsidRPr="00F64E38">
        <w:rPr>
          <w:rFonts w:ascii="Times New Roman" w:hAnsi="Times New Roman" w:cs="Times New Roman"/>
          <w:i/>
          <w:iCs/>
          <w:sz w:val="24"/>
          <w:szCs w:val="24"/>
        </w:rPr>
        <w:t>Dendrophthoe falcata</w:t>
      </w:r>
      <w:r w:rsidRPr="00F64E38">
        <w:rPr>
          <w:rFonts w:ascii="Times New Roman" w:hAnsi="Times New Roman" w:cs="Times New Roman"/>
          <w:sz w:val="24"/>
          <w:szCs w:val="24"/>
        </w:rPr>
        <w:t xml:space="preserve"> (L.f.) Ettingsh. and </w:t>
      </w:r>
      <w:r w:rsidRPr="00F64E38">
        <w:rPr>
          <w:rFonts w:ascii="Times New Roman" w:hAnsi="Times New Roman" w:cs="Times New Roman"/>
          <w:i/>
          <w:iCs/>
          <w:sz w:val="24"/>
          <w:szCs w:val="24"/>
        </w:rPr>
        <w:t>Dendrophthoe pentandra</w:t>
      </w:r>
      <w:r w:rsidRPr="00F64E38">
        <w:rPr>
          <w:rFonts w:ascii="Times New Roman" w:hAnsi="Times New Roman" w:cs="Times New Roman"/>
          <w:sz w:val="24"/>
          <w:szCs w:val="24"/>
        </w:rPr>
        <w:t xml:space="preserve"> (L.) Miq.: A review of traditional medical uses, phytochemistry, pharmacology, toxicity, and applications. </w:t>
      </w:r>
      <w:r w:rsidRPr="00F64E38">
        <w:rPr>
          <w:rFonts w:ascii="Times New Roman" w:hAnsi="Times New Roman" w:cs="Times New Roman"/>
          <w:i/>
          <w:iCs/>
          <w:sz w:val="24"/>
          <w:szCs w:val="24"/>
        </w:rPr>
        <w:t>Frontiers in Pharmacology</w:t>
      </w:r>
      <w:r w:rsidRPr="00F64E38">
        <w:rPr>
          <w:rFonts w:ascii="Times New Roman" w:hAnsi="Times New Roman" w:cs="Times New Roman"/>
          <w:sz w:val="24"/>
          <w:szCs w:val="24"/>
        </w:rPr>
        <w:t xml:space="preserve">, </w:t>
      </w:r>
      <w:r w:rsidRPr="00F64E38">
        <w:rPr>
          <w:rFonts w:ascii="Times New Roman" w:hAnsi="Times New Roman" w:cs="Times New Roman"/>
          <w:i/>
          <w:iCs/>
          <w:sz w:val="24"/>
          <w:szCs w:val="24"/>
        </w:rPr>
        <w:t>14</w:t>
      </w:r>
      <w:r w:rsidRPr="00F64E38">
        <w:rPr>
          <w:rFonts w:ascii="Times New Roman" w:hAnsi="Times New Roman" w:cs="Times New Roman"/>
          <w:sz w:val="24"/>
          <w:szCs w:val="24"/>
        </w:rPr>
        <w:t>, 1096379.</w:t>
      </w:r>
    </w:p>
    <w:p w:rsidR="00083B1B" w:rsidRPr="00F64E38" w:rsidRDefault="00083B1B" w:rsidP="00F64E38">
      <w:pPr>
        <w:spacing w:before="120" w:after="120" w:line="240"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 xml:space="preserve">Konwar, S., Doimari, R., Gogoi, M., &amp; Gogoi, P. (2025). Ethnomedicinal plants use by the Ahom and Bodo community in human health management in Charaideo district of Upper Assam, North East India. </w:t>
      </w:r>
      <w:r w:rsidRPr="00F64E38">
        <w:rPr>
          <w:rFonts w:ascii="Times New Roman" w:hAnsi="Times New Roman" w:cs="Times New Roman"/>
          <w:i/>
          <w:iCs/>
          <w:sz w:val="24"/>
          <w:szCs w:val="24"/>
        </w:rPr>
        <w:t>Open Journal of Bioresources.</w:t>
      </w:r>
      <w:r w:rsidRPr="00F64E38">
        <w:rPr>
          <w:rFonts w:ascii="Times New Roman" w:hAnsi="Times New Roman" w:cs="Times New Roman"/>
          <w:sz w:val="24"/>
          <w:szCs w:val="24"/>
        </w:rPr>
        <w:t xml:space="preserve"> https://doi.org/10.5281/zenodo.14601335</w:t>
      </w:r>
    </w:p>
    <w:p w:rsidR="00083B1B" w:rsidRPr="00F64E38" w:rsidRDefault="00083B1B" w:rsidP="00F64E38">
      <w:pPr>
        <w:spacing w:before="120" w:after="120" w:line="240"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 xml:space="preserve">Kumar, S. (2025). Data collection from literature for biological sciences, medicinal plants research, ethnobotany, and pharmacology: a methodological overview. </w:t>
      </w:r>
      <w:r w:rsidRPr="00F64E38">
        <w:rPr>
          <w:rFonts w:ascii="Times New Roman" w:hAnsi="Times New Roman" w:cs="Times New Roman"/>
          <w:i/>
          <w:iCs/>
          <w:sz w:val="24"/>
          <w:szCs w:val="24"/>
        </w:rPr>
        <w:t>Journal of Biodiversity and Conservation</w:t>
      </w:r>
      <w:r w:rsidRPr="00F64E38">
        <w:rPr>
          <w:rFonts w:ascii="Times New Roman" w:hAnsi="Times New Roman" w:cs="Times New Roman"/>
          <w:sz w:val="24"/>
          <w:szCs w:val="24"/>
        </w:rPr>
        <w:t>, </w:t>
      </w:r>
      <w:r w:rsidRPr="00F64E38">
        <w:rPr>
          <w:rFonts w:ascii="Times New Roman" w:hAnsi="Times New Roman" w:cs="Times New Roman"/>
          <w:i/>
          <w:iCs/>
          <w:sz w:val="24"/>
          <w:szCs w:val="24"/>
        </w:rPr>
        <w:t>9</w:t>
      </w:r>
      <w:r w:rsidRPr="00F64E38">
        <w:rPr>
          <w:rFonts w:ascii="Times New Roman" w:hAnsi="Times New Roman" w:cs="Times New Roman"/>
          <w:sz w:val="24"/>
          <w:szCs w:val="24"/>
        </w:rPr>
        <w:t>(2), 167-169.</w:t>
      </w:r>
    </w:p>
    <w:p w:rsidR="00083B1B" w:rsidRPr="00F64E38" w:rsidRDefault="00083B1B" w:rsidP="00F64E38">
      <w:pPr>
        <w:spacing w:before="120" w:after="120" w:line="240"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 xml:space="preserve">Kwanda, N., Noikotr, K., Sudmoon, R., Tanee, T., &amp;Chaveerach, A. (2013). Medicinal parasitic plants on diverse hosts with their usages and barcodes. </w:t>
      </w:r>
      <w:r w:rsidRPr="00F64E38">
        <w:rPr>
          <w:rFonts w:ascii="Times New Roman" w:hAnsi="Times New Roman" w:cs="Times New Roman"/>
          <w:i/>
          <w:iCs/>
          <w:sz w:val="24"/>
          <w:szCs w:val="24"/>
        </w:rPr>
        <w:t>Journal of Natural Medicines, 67</w:t>
      </w:r>
      <w:r w:rsidRPr="00F64E38">
        <w:rPr>
          <w:rFonts w:ascii="Times New Roman" w:hAnsi="Times New Roman" w:cs="Times New Roman"/>
          <w:sz w:val="24"/>
          <w:szCs w:val="24"/>
        </w:rPr>
        <w:t>(3), 438–445. https://doi.org/10.1007/s11418-012-0713-2</w:t>
      </w:r>
    </w:p>
    <w:p w:rsidR="00083B1B" w:rsidRPr="00F64E38" w:rsidRDefault="00083B1B" w:rsidP="00F64E38">
      <w:pPr>
        <w:spacing w:before="120" w:after="120" w:line="240"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 xml:space="preserve">Lim, Y. C., Rajabalaya, R., Lee, S. H., Tennakoon, K. U., Le, Q. V., Idris, A., Zulkipli, I. N., Keasberry, N., &amp; David, S. R. (2016). Parasitic mistletoes of the genera </w:t>
      </w:r>
      <w:r w:rsidRPr="00F64E38">
        <w:rPr>
          <w:rFonts w:ascii="Times New Roman" w:hAnsi="Times New Roman" w:cs="Times New Roman"/>
          <w:i/>
          <w:iCs/>
          <w:sz w:val="24"/>
          <w:szCs w:val="24"/>
        </w:rPr>
        <w:t>Scurrula</w:t>
      </w:r>
      <w:r w:rsidRPr="00F64E38">
        <w:rPr>
          <w:rFonts w:ascii="Times New Roman" w:hAnsi="Times New Roman" w:cs="Times New Roman"/>
          <w:sz w:val="24"/>
          <w:szCs w:val="24"/>
        </w:rPr>
        <w:t xml:space="preserve"> and </w:t>
      </w:r>
      <w:r w:rsidRPr="00F64E38">
        <w:rPr>
          <w:rFonts w:ascii="Times New Roman" w:hAnsi="Times New Roman" w:cs="Times New Roman"/>
          <w:i/>
          <w:iCs/>
          <w:sz w:val="24"/>
          <w:szCs w:val="24"/>
        </w:rPr>
        <w:t>Viscum</w:t>
      </w:r>
      <w:r w:rsidRPr="00F64E38">
        <w:rPr>
          <w:rFonts w:ascii="Times New Roman" w:hAnsi="Times New Roman" w:cs="Times New Roman"/>
          <w:sz w:val="24"/>
          <w:szCs w:val="24"/>
        </w:rPr>
        <w:t xml:space="preserve">: From bench to bedside. </w:t>
      </w:r>
      <w:r w:rsidRPr="00F64E38">
        <w:rPr>
          <w:rFonts w:ascii="Times New Roman" w:hAnsi="Times New Roman" w:cs="Times New Roman"/>
          <w:i/>
          <w:iCs/>
          <w:sz w:val="24"/>
          <w:szCs w:val="24"/>
        </w:rPr>
        <w:t>Molecules, 21</w:t>
      </w:r>
      <w:r w:rsidRPr="00F64E38">
        <w:rPr>
          <w:rFonts w:ascii="Times New Roman" w:hAnsi="Times New Roman" w:cs="Times New Roman"/>
          <w:sz w:val="24"/>
          <w:szCs w:val="24"/>
        </w:rPr>
        <w:t>(8), 1048. https://doi.org/10.3390/molecules21081048</w:t>
      </w:r>
    </w:p>
    <w:p w:rsidR="00083B1B" w:rsidRPr="00F64E38" w:rsidRDefault="00083B1B" w:rsidP="00F64E38">
      <w:pPr>
        <w:spacing w:before="120" w:after="120" w:line="240"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 xml:space="preserve">Lyngdoh A., Lyngdoh D., Rakhunde D., Garcha R.B., Prabhavathi K., Mishra S., Rath S.K. &amp; Kumar S. (2023). Parasitic plants of Odisha, India: A source of curative agents against novel viral and microbial diseases. </w:t>
      </w:r>
      <w:r w:rsidRPr="00F64E38">
        <w:rPr>
          <w:rFonts w:ascii="Times New Roman" w:hAnsi="Times New Roman" w:cs="Times New Roman"/>
          <w:i/>
          <w:iCs/>
          <w:sz w:val="24"/>
          <w:szCs w:val="24"/>
        </w:rPr>
        <w:t>Advances in Zoology and Botany</w:t>
      </w:r>
      <w:r w:rsidRPr="00F64E38">
        <w:rPr>
          <w:rFonts w:ascii="Times New Roman" w:hAnsi="Times New Roman" w:cs="Times New Roman"/>
          <w:sz w:val="24"/>
          <w:szCs w:val="24"/>
        </w:rPr>
        <w:t xml:space="preserve">, </w:t>
      </w:r>
      <w:r w:rsidRPr="00F64E38">
        <w:rPr>
          <w:rFonts w:ascii="Times New Roman" w:hAnsi="Times New Roman" w:cs="Times New Roman"/>
          <w:i/>
          <w:iCs/>
          <w:sz w:val="24"/>
          <w:szCs w:val="24"/>
        </w:rPr>
        <w:t>11</w:t>
      </w:r>
      <w:r w:rsidRPr="00F64E38">
        <w:rPr>
          <w:rFonts w:ascii="Times New Roman" w:hAnsi="Times New Roman" w:cs="Times New Roman"/>
          <w:sz w:val="24"/>
          <w:szCs w:val="24"/>
        </w:rPr>
        <w:t>(6), 409–415.</w:t>
      </w:r>
    </w:p>
    <w:p w:rsidR="00083B1B" w:rsidRPr="00F64E38" w:rsidRDefault="00083B1B" w:rsidP="00F64E38">
      <w:pPr>
        <w:spacing w:before="120" w:after="120" w:line="240"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 xml:space="preserve">Mishra S, Kumar S &amp; Rath, S.K. (2025). Host plants of Forest Parasitic Angiosperms of Odisha, India: Boon and Bane. </w:t>
      </w:r>
      <w:r w:rsidRPr="00F64E38">
        <w:rPr>
          <w:rFonts w:ascii="Times New Roman" w:hAnsi="Times New Roman" w:cs="Times New Roman"/>
          <w:i/>
          <w:iCs/>
          <w:sz w:val="24"/>
          <w:szCs w:val="24"/>
        </w:rPr>
        <w:t>Indian Forester, 151</w:t>
      </w:r>
      <w:r w:rsidRPr="00F64E38">
        <w:rPr>
          <w:rFonts w:ascii="Times New Roman" w:hAnsi="Times New Roman" w:cs="Times New Roman"/>
          <w:sz w:val="24"/>
          <w:szCs w:val="24"/>
        </w:rPr>
        <w:t xml:space="preserve"> (8), 810‐813.</w:t>
      </w:r>
    </w:p>
    <w:p w:rsidR="00083B1B" w:rsidRPr="00F64E38" w:rsidRDefault="00083B1B" w:rsidP="00F64E38">
      <w:pPr>
        <w:spacing w:before="120" w:after="120" w:line="240"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 xml:space="preserve">Mishra S. &amp; Rath S.K. (2025). Analysis of bioactive compounds of selected parasitic plants of Odisha state and validation of their tribal claims. </w:t>
      </w:r>
      <w:r w:rsidRPr="00F64E38">
        <w:rPr>
          <w:rFonts w:ascii="Times New Roman" w:hAnsi="Times New Roman" w:cs="Times New Roman"/>
          <w:i/>
          <w:iCs/>
          <w:sz w:val="24"/>
          <w:szCs w:val="24"/>
        </w:rPr>
        <w:t>Journal of Biodiversity and Conservation</w:t>
      </w:r>
      <w:r w:rsidRPr="00F64E38">
        <w:rPr>
          <w:rFonts w:ascii="Times New Roman" w:hAnsi="Times New Roman" w:cs="Times New Roman"/>
          <w:sz w:val="24"/>
          <w:szCs w:val="24"/>
        </w:rPr>
        <w:t xml:space="preserve">, </w:t>
      </w:r>
      <w:r w:rsidRPr="00F64E38">
        <w:rPr>
          <w:rFonts w:ascii="Times New Roman" w:hAnsi="Times New Roman" w:cs="Times New Roman"/>
          <w:i/>
          <w:iCs/>
          <w:sz w:val="24"/>
          <w:szCs w:val="24"/>
        </w:rPr>
        <w:t>9</w:t>
      </w:r>
      <w:r w:rsidRPr="00F64E38">
        <w:rPr>
          <w:rFonts w:ascii="Times New Roman" w:hAnsi="Times New Roman" w:cs="Times New Roman"/>
          <w:sz w:val="24"/>
          <w:szCs w:val="24"/>
        </w:rPr>
        <w:t>(1), 116–123.</w:t>
      </w:r>
    </w:p>
    <w:p w:rsidR="00083B1B" w:rsidRPr="00F64E38" w:rsidRDefault="00083B1B" w:rsidP="00F64E38">
      <w:pPr>
        <w:spacing w:before="120" w:after="120" w:line="240"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 xml:space="preserve">Mishra S., Rath S.K. &amp; Kumar, S. (2023). </w:t>
      </w:r>
      <w:r w:rsidRPr="00F64E38">
        <w:rPr>
          <w:rFonts w:ascii="Times New Roman" w:hAnsi="Times New Roman" w:cs="Times New Roman"/>
          <w:i/>
          <w:iCs/>
          <w:sz w:val="24"/>
          <w:szCs w:val="24"/>
        </w:rPr>
        <w:t>Parasopubiadelphiniifolia</w:t>
      </w:r>
      <w:r w:rsidRPr="00F64E38">
        <w:rPr>
          <w:rFonts w:ascii="Times New Roman" w:hAnsi="Times New Roman" w:cs="Times New Roman"/>
          <w:sz w:val="24"/>
          <w:szCs w:val="24"/>
        </w:rPr>
        <w:t xml:space="preserve">: A root parasitic unexplored plant. </w:t>
      </w:r>
      <w:r w:rsidRPr="00F64E38">
        <w:rPr>
          <w:rFonts w:ascii="Times New Roman" w:hAnsi="Times New Roman" w:cs="Times New Roman"/>
          <w:i/>
          <w:iCs/>
          <w:sz w:val="24"/>
          <w:szCs w:val="24"/>
        </w:rPr>
        <w:t>Journal of Biodiversity and Conservation</w:t>
      </w:r>
      <w:r w:rsidRPr="00F64E38">
        <w:rPr>
          <w:rFonts w:ascii="Times New Roman" w:hAnsi="Times New Roman" w:cs="Times New Roman"/>
          <w:sz w:val="24"/>
          <w:szCs w:val="24"/>
        </w:rPr>
        <w:t xml:space="preserve">, </w:t>
      </w:r>
      <w:r w:rsidRPr="00F64E38">
        <w:rPr>
          <w:rFonts w:ascii="Times New Roman" w:hAnsi="Times New Roman" w:cs="Times New Roman"/>
          <w:i/>
          <w:iCs/>
          <w:sz w:val="24"/>
          <w:szCs w:val="24"/>
        </w:rPr>
        <w:t>7</w:t>
      </w:r>
      <w:r w:rsidRPr="00F64E38">
        <w:rPr>
          <w:rFonts w:ascii="Times New Roman" w:hAnsi="Times New Roman" w:cs="Times New Roman"/>
          <w:sz w:val="24"/>
          <w:szCs w:val="24"/>
        </w:rPr>
        <w:t>(3), 1–4.</w:t>
      </w:r>
    </w:p>
    <w:p w:rsidR="00083B1B" w:rsidRPr="00F64E38" w:rsidRDefault="00083B1B" w:rsidP="00F64E38">
      <w:pPr>
        <w:spacing w:before="120" w:after="120" w:line="240"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 xml:space="preserve">Mkala E.M., Mutungi M.M., Mutinda E.S., Oulo M.A., Wanga V.O., Mwachala G. &amp; Hu G.W. (2021). Understanding the ethnobotany, chemistry, pharmacology, and distribution of genus </w:t>
      </w:r>
      <w:r w:rsidRPr="00F64E38">
        <w:rPr>
          <w:rFonts w:ascii="Times New Roman" w:hAnsi="Times New Roman" w:cs="Times New Roman"/>
          <w:i/>
          <w:iCs/>
          <w:sz w:val="24"/>
          <w:szCs w:val="24"/>
        </w:rPr>
        <w:t>Hydnora</w:t>
      </w:r>
      <w:r w:rsidRPr="00F64E38">
        <w:rPr>
          <w:rFonts w:ascii="Times New Roman" w:hAnsi="Times New Roman" w:cs="Times New Roman"/>
          <w:sz w:val="24"/>
          <w:szCs w:val="24"/>
        </w:rPr>
        <w:t xml:space="preserve"> (Aristolochiaceae). </w:t>
      </w:r>
      <w:r w:rsidRPr="00F64E38">
        <w:rPr>
          <w:rFonts w:ascii="Times New Roman" w:hAnsi="Times New Roman" w:cs="Times New Roman"/>
          <w:i/>
          <w:iCs/>
          <w:sz w:val="24"/>
          <w:szCs w:val="24"/>
        </w:rPr>
        <w:t>Plants</w:t>
      </w:r>
      <w:r w:rsidRPr="00F64E38">
        <w:rPr>
          <w:rFonts w:ascii="Times New Roman" w:hAnsi="Times New Roman" w:cs="Times New Roman"/>
          <w:sz w:val="24"/>
          <w:szCs w:val="24"/>
        </w:rPr>
        <w:t xml:space="preserve">, </w:t>
      </w:r>
      <w:r w:rsidRPr="00F64E38">
        <w:rPr>
          <w:rFonts w:ascii="Times New Roman" w:hAnsi="Times New Roman" w:cs="Times New Roman"/>
          <w:i/>
          <w:iCs/>
          <w:sz w:val="24"/>
          <w:szCs w:val="24"/>
        </w:rPr>
        <w:t>10</w:t>
      </w:r>
      <w:r w:rsidRPr="00F64E38">
        <w:rPr>
          <w:rFonts w:ascii="Times New Roman" w:hAnsi="Times New Roman" w:cs="Times New Roman"/>
          <w:sz w:val="24"/>
          <w:szCs w:val="24"/>
        </w:rPr>
        <w:t>(3), 494. https://doi.org/10.3390/plants10030494</w:t>
      </w:r>
    </w:p>
    <w:p w:rsidR="00083B1B" w:rsidRPr="00F64E38" w:rsidRDefault="00083B1B" w:rsidP="00F64E38">
      <w:pPr>
        <w:spacing w:before="120" w:after="120" w:line="240"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 xml:space="preserve">Muhammad, K. J., Jamil, S., &amp; Basar, N. (2019). Phytochemical study and biological activities of </w:t>
      </w:r>
      <w:r w:rsidRPr="00F64E38">
        <w:rPr>
          <w:rFonts w:ascii="Times New Roman" w:hAnsi="Times New Roman" w:cs="Times New Roman"/>
          <w:i/>
          <w:iCs/>
          <w:sz w:val="24"/>
          <w:szCs w:val="24"/>
        </w:rPr>
        <w:t>Scurrula parasitica</w:t>
      </w:r>
      <w:r w:rsidRPr="00F64E38">
        <w:rPr>
          <w:rFonts w:ascii="Times New Roman" w:hAnsi="Times New Roman" w:cs="Times New Roman"/>
          <w:sz w:val="24"/>
          <w:szCs w:val="24"/>
        </w:rPr>
        <w:t xml:space="preserve"> L. (Loranthaceae) leaves. </w:t>
      </w:r>
      <w:r w:rsidRPr="00F64E38">
        <w:rPr>
          <w:rFonts w:ascii="Times New Roman" w:hAnsi="Times New Roman" w:cs="Times New Roman"/>
          <w:i/>
          <w:iCs/>
          <w:sz w:val="24"/>
          <w:szCs w:val="24"/>
        </w:rPr>
        <w:t>Journal of Pharmacy Research, 23</w:t>
      </w:r>
      <w:r w:rsidRPr="00F64E38">
        <w:rPr>
          <w:rFonts w:ascii="Times New Roman" w:hAnsi="Times New Roman" w:cs="Times New Roman"/>
          <w:sz w:val="24"/>
          <w:szCs w:val="24"/>
        </w:rPr>
        <w:t>(3), 522–531.</w:t>
      </w:r>
    </w:p>
    <w:p w:rsidR="00083B1B" w:rsidRPr="00F64E38" w:rsidRDefault="00083B1B" w:rsidP="00F64E38">
      <w:pPr>
        <w:spacing w:before="120" w:after="120" w:line="240"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 xml:space="preserve">Nigam Y.P. (2022). The Bornean mistletoes as versatile parasites: A systematic review. </w:t>
      </w:r>
      <w:r w:rsidRPr="00F64E38">
        <w:rPr>
          <w:rFonts w:ascii="Times New Roman" w:hAnsi="Times New Roman" w:cs="Times New Roman"/>
          <w:i/>
          <w:iCs/>
          <w:sz w:val="24"/>
          <w:szCs w:val="24"/>
        </w:rPr>
        <w:t>Systematic Reviews in Pharmacy</w:t>
      </w:r>
      <w:r w:rsidRPr="00F64E38">
        <w:rPr>
          <w:rFonts w:ascii="Times New Roman" w:hAnsi="Times New Roman" w:cs="Times New Roman"/>
          <w:sz w:val="24"/>
          <w:szCs w:val="24"/>
        </w:rPr>
        <w:t xml:space="preserve">, </w:t>
      </w:r>
      <w:r w:rsidRPr="00F64E38">
        <w:rPr>
          <w:rFonts w:ascii="Times New Roman" w:hAnsi="Times New Roman" w:cs="Times New Roman"/>
          <w:i/>
          <w:iCs/>
          <w:sz w:val="24"/>
          <w:szCs w:val="24"/>
        </w:rPr>
        <w:t>13</w:t>
      </w:r>
      <w:r w:rsidRPr="00F64E38">
        <w:rPr>
          <w:rFonts w:ascii="Times New Roman" w:hAnsi="Times New Roman" w:cs="Times New Roman"/>
          <w:sz w:val="24"/>
          <w:szCs w:val="24"/>
        </w:rPr>
        <w:t>(1), 42–47.</w:t>
      </w:r>
    </w:p>
    <w:p w:rsidR="00083B1B" w:rsidRPr="00F64E38" w:rsidRDefault="00083B1B" w:rsidP="00F64E38">
      <w:pPr>
        <w:spacing w:before="120" w:after="120" w:line="240"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 xml:space="preserve">Nugraha, A. S., Triatmoko, B., Wangchuk, P., &amp; Keller, P. A. (2020). Vascular epiphytic medicinal plants as sources of therapeutic agents: Their ethnopharmacological uses, chemical composition, and biological activities. </w:t>
      </w:r>
      <w:r w:rsidRPr="00F64E38">
        <w:rPr>
          <w:rFonts w:ascii="Times New Roman" w:hAnsi="Times New Roman" w:cs="Times New Roman"/>
          <w:i/>
          <w:iCs/>
          <w:sz w:val="24"/>
          <w:szCs w:val="24"/>
        </w:rPr>
        <w:t>Biomolecules, 10</w:t>
      </w:r>
      <w:r w:rsidRPr="00F64E38">
        <w:rPr>
          <w:rFonts w:ascii="Times New Roman" w:hAnsi="Times New Roman" w:cs="Times New Roman"/>
          <w:sz w:val="24"/>
          <w:szCs w:val="24"/>
        </w:rPr>
        <w:t xml:space="preserve">(2), 181. </w:t>
      </w:r>
      <w:hyperlink r:id="rId13" w:tgtFrame="_new" w:history="1">
        <w:r w:rsidRPr="00F64E38">
          <w:rPr>
            <w:rStyle w:val="Hyperlink"/>
            <w:rFonts w:ascii="Times New Roman" w:hAnsi="Times New Roman" w:cs="Times New Roman"/>
            <w:color w:val="auto"/>
            <w:sz w:val="24"/>
            <w:szCs w:val="24"/>
            <w:u w:val="none"/>
          </w:rPr>
          <w:t>https://doi.org/10.3390/biom10020181</w:t>
        </w:r>
      </w:hyperlink>
    </w:p>
    <w:p w:rsidR="00083B1B" w:rsidRPr="00F64E38" w:rsidRDefault="00083B1B" w:rsidP="00F64E38">
      <w:pPr>
        <w:spacing w:before="120" w:after="120" w:line="240"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lastRenderedPageBreak/>
        <w:t xml:space="preserve">Patel B.P. &amp; Singh P.K. (2017). </w:t>
      </w:r>
      <w:r w:rsidRPr="00F64E38">
        <w:rPr>
          <w:rFonts w:ascii="Times New Roman" w:hAnsi="Times New Roman" w:cs="Times New Roman"/>
          <w:i/>
          <w:iCs/>
          <w:sz w:val="24"/>
          <w:szCs w:val="24"/>
        </w:rPr>
        <w:t>Viscum articulatum</w:t>
      </w:r>
      <w:r w:rsidRPr="00F64E38">
        <w:rPr>
          <w:rFonts w:ascii="Times New Roman" w:hAnsi="Times New Roman" w:cs="Times New Roman"/>
          <w:sz w:val="24"/>
          <w:szCs w:val="24"/>
        </w:rPr>
        <w:t xml:space="preserve"> Burm. f.: A review on its phytochemistry, pharmacology and traditional uses. </w:t>
      </w:r>
      <w:r w:rsidRPr="00F64E38">
        <w:rPr>
          <w:rFonts w:ascii="Times New Roman" w:hAnsi="Times New Roman" w:cs="Times New Roman"/>
          <w:i/>
          <w:iCs/>
          <w:sz w:val="24"/>
          <w:szCs w:val="24"/>
        </w:rPr>
        <w:t>Journal of Pharmacy and Pharmacology</w:t>
      </w:r>
      <w:r w:rsidRPr="00F64E38">
        <w:rPr>
          <w:rFonts w:ascii="Times New Roman" w:hAnsi="Times New Roman" w:cs="Times New Roman"/>
          <w:sz w:val="24"/>
          <w:szCs w:val="24"/>
        </w:rPr>
        <w:t xml:space="preserve">, </w:t>
      </w:r>
      <w:r w:rsidRPr="00F64E38">
        <w:rPr>
          <w:rFonts w:ascii="Times New Roman" w:hAnsi="Times New Roman" w:cs="Times New Roman"/>
          <w:i/>
          <w:iCs/>
          <w:sz w:val="24"/>
          <w:szCs w:val="24"/>
        </w:rPr>
        <w:t>70</w:t>
      </w:r>
      <w:r w:rsidRPr="00F64E38">
        <w:rPr>
          <w:rFonts w:ascii="Times New Roman" w:hAnsi="Times New Roman" w:cs="Times New Roman"/>
          <w:sz w:val="24"/>
          <w:szCs w:val="24"/>
        </w:rPr>
        <w:t>, 159–177.</w:t>
      </w:r>
    </w:p>
    <w:p w:rsidR="00083B1B" w:rsidRPr="00F64E38" w:rsidRDefault="00083B1B" w:rsidP="00F64E38">
      <w:pPr>
        <w:spacing w:before="120" w:after="120" w:line="240"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 xml:space="preserve">Patil S., Anarthe S., Jadhav R. &amp; Surana S. (2011). Evaluation of anti-inflammatory activity and in-vitro antioxidant activity of Indian mistletoe, the hemiparasite </w:t>
      </w:r>
      <w:r w:rsidRPr="00F64E38">
        <w:rPr>
          <w:rFonts w:ascii="Times New Roman" w:hAnsi="Times New Roman" w:cs="Times New Roman"/>
          <w:i/>
          <w:iCs/>
          <w:sz w:val="24"/>
          <w:szCs w:val="24"/>
        </w:rPr>
        <w:t>Dendrophthoe falcata</w:t>
      </w:r>
      <w:r w:rsidRPr="00F64E38">
        <w:rPr>
          <w:rFonts w:ascii="Times New Roman" w:hAnsi="Times New Roman" w:cs="Times New Roman"/>
          <w:sz w:val="24"/>
          <w:szCs w:val="24"/>
        </w:rPr>
        <w:t xml:space="preserve"> L. f. (Loranthaceae). </w:t>
      </w:r>
      <w:r w:rsidRPr="00F64E38">
        <w:rPr>
          <w:rFonts w:ascii="Times New Roman" w:hAnsi="Times New Roman" w:cs="Times New Roman"/>
          <w:i/>
          <w:iCs/>
          <w:sz w:val="24"/>
          <w:szCs w:val="24"/>
        </w:rPr>
        <w:t>Iranian Journal of Pharmaceutical Research</w:t>
      </w:r>
      <w:r w:rsidRPr="00F64E38">
        <w:rPr>
          <w:rFonts w:ascii="Times New Roman" w:hAnsi="Times New Roman" w:cs="Times New Roman"/>
          <w:sz w:val="24"/>
          <w:szCs w:val="24"/>
        </w:rPr>
        <w:t>, 10(2), 253–259.</w:t>
      </w:r>
    </w:p>
    <w:p w:rsidR="00083B1B" w:rsidRPr="00F64E38" w:rsidRDefault="00083B1B" w:rsidP="00F64E38">
      <w:pPr>
        <w:spacing w:before="120" w:after="120" w:line="240"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 xml:space="preserve">Patocka J. &amp; Navratilova Z. (2020). </w:t>
      </w:r>
      <w:r w:rsidRPr="00F64E38">
        <w:rPr>
          <w:rFonts w:ascii="Times New Roman" w:hAnsi="Times New Roman" w:cs="Times New Roman"/>
          <w:i/>
          <w:iCs/>
          <w:sz w:val="24"/>
          <w:szCs w:val="24"/>
        </w:rPr>
        <w:t>Cynomorium</w:t>
      </w:r>
      <w:r w:rsidRPr="00F64E38">
        <w:rPr>
          <w:rFonts w:ascii="Times New Roman" w:hAnsi="Times New Roman" w:cs="Times New Roman"/>
          <w:sz w:val="24"/>
          <w:szCs w:val="24"/>
        </w:rPr>
        <w:t xml:space="preserve"> plants: Bioactive compounds and pharmacologic actions. </w:t>
      </w:r>
      <w:r w:rsidRPr="00F64E38">
        <w:rPr>
          <w:rFonts w:ascii="Times New Roman" w:hAnsi="Times New Roman" w:cs="Times New Roman"/>
          <w:i/>
          <w:iCs/>
          <w:sz w:val="24"/>
          <w:szCs w:val="24"/>
        </w:rPr>
        <w:t>Military Medical Science Letters</w:t>
      </w:r>
      <w:r w:rsidRPr="00F64E38">
        <w:rPr>
          <w:rFonts w:ascii="Times New Roman" w:hAnsi="Times New Roman" w:cs="Times New Roman"/>
          <w:sz w:val="24"/>
          <w:szCs w:val="24"/>
        </w:rPr>
        <w:t xml:space="preserve">, </w:t>
      </w:r>
      <w:r w:rsidRPr="00F64E38">
        <w:rPr>
          <w:rFonts w:ascii="Times New Roman" w:hAnsi="Times New Roman" w:cs="Times New Roman"/>
          <w:i/>
          <w:iCs/>
          <w:sz w:val="24"/>
          <w:szCs w:val="24"/>
        </w:rPr>
        <w:t>89</w:t>
      </w:r>
      <w:r w:rsidRPr="00F64E38">
        <w:rPr>
          <w:rFonts w:ascii="Times New Roman" w:hAnsi="Times New Roman" w:cs="Times New Roman"/>
          <w:sz w:val="24"/>
          <w:szCs w:val="24"/>
        </w:rPr>
        <w:t>(2), 90–98.</w:t>
      </w:r>
    </w:p>
    <w:p w:rsidR="00083B1B" w:rsidRPr="00F64E38" w:rsidRDefault="00083B1B" w:rsidP="00F64E38">
      <w:pPr>
        <w:spacing w:before="120" w:after="120" w:line="240"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 xml:space="preserve">Pochhi V.U. (2017). Efficacy of phytochemical evaluation of </w:t>
      </w:r>
      <w:r w:rsidRPr="00F64E38">
        <w:rPr>
          <w:rFonts w:ascii="Times New Roman" w:hAnsi="Times New Roman" w:cs="Times New Roman"/>
          <w:i/>
          <w:iCs/>
          <w:sz w:val="24"/>
          <w:szCs w:val="24"/>
        </w:rPr>
        <w:t>Viscum articulatum</w:t>
      </w:r>
      <w:r w:rsidRPr="00F64E38">
        <w:rPr>
          <w:rFonts w:ascii="Times New Roman" w:hAnsi="Times New Roman" w:cs="Times New Roman"/>
          <w:sz w:val="24"/>
          <w:szCs w:val="24"/>
        </w:rPr>
        <w:t xml:space="preserve"> Burm. used for animal health care. </w:t>
      </w:r>
      <w:r w:rsidRPr="00F64E38">
        <w:rPr>
          <w:rFonts w:ascii="Times New Roman" w:hAnsi="Times New Roman" w:cs="Times New Roman"/>
          <w:i/>
          <w:iCs/>
          <w:sz w:val="24"/>
          <w:szCs w:val="24"/>
        </w:rPr>
        <w:t>International Journal of Applied Research</w:t>
      </w:r>
      <w:r w:rsidRPr="00F64E38">
        <w:rPr>
          <w:rFonts w:ascii="Times New Roman" w:hAnsi="Times New Roman" w:cs="Times New Roman"/>
          <w:sz w:val="24"/>
          <w:szCs w:val="24"/>
        </w:rPr>
        <w:t xml:space="preserve">, </w:t>
      </w:r>
      <w:r w:rsidRPr="00F64E38">
        <w:rPr>
          <w:rFonts w:ascii="Times New Roman" w:hAnsi="Times New Roman" w:cs="Times New Roman"/>
          <w:i/>
          <w:iCs/>
          <w:sz w:val="24"/>
          <w:szCs w:val="24"/>
        </w:rPr>
        <w:t>3</w:t>
      </w:r>
      <w:r w:rsidRPr="00F64E38">
        <w:rPr>
          <w:rFonts w:ascii="Times New Roman" w:hAnsi="Times New Roman" w:cs="Times New Roman"/>
          <w:sz w:val="24"/>
          <w:szCs w:val="24"/>
        </w:rPr>
        <w:t>(1), 220–221.</w:t>
      </w:r>
    </w:p>
    <w:p w:rsidR="00083B1B" w:rsidRPr="00F64E38" w:rsidRDefault="00083B1B" w:rsidP="00F64E38">
      <w:pPr>
        <w:spacing w:before="120" w:after="120" w:line="240"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 xml:space="preserve">Rahman, M. M., Chowdhury, M. A. U., Uddin, M. E., Islam, A. M. T., &amp; Hossain, M. A. (2012). </w:t>
      </w:r>
      <w:r w:rsidRPr="00F64E38">
        <w:rPr>
          <w:rFonts w:ascii="Times New Roman" w:hAnsi="Times New Roman" w:cs="Times New Roman"/>
          <w:i/>
          <w:iCs/>
          <w:sz w:val="24"/>
          <w:szCs w:val="24"/>
        </w:rPr>
        <w:t>Macrosolencochinchinensis</w:t>
      </w:r>
      <w:r w:rsidRPr="00F64E38">
        <w:rPr>
          <w:rFonts w:ascii="Times New Roman" w:hAnsi="Times New Roman" w:cs="Times New Roman"/>
          <w:sz w:val="24"/>
          <w:szCs w:val="24"/>
        </w:rPr>
        <w:t xml:space="preserve"> (Lour.): Anti-nociceptive and antioxidant activity. </w:t>
      </w:r>
      <w:r w:rsidRPr="00F64E38">
        <w:rPr>
          <w:rFonts w:ascii="Times New Roman" w:hAnsi="Times New Roman" w:cs="Times New Roman"/>
          <w:i/>
          <w:iCs/>
          <w:sz w:val="24"/>
          <w:szCs w:val="24"/>
        </w:rPr>
        <w:t>Asian Pacific Journal of Tropical Biomedicine, 2</w:t>
      </w:r>
      <w:r w:rsidRPr="00F64E38">
        <w:rPr>
          <w:rFonts w:ascii="Times New Roman" w:hAnsi="Times New Roman" w:cs="Times New Roman"/>
          <w:sz w:val="24"/>
          <w:szCs w:val="24"/>
        </w:rPr>
        <w:t>(1), S203–S207.</w:t>
      </w:r>
    </w:p>
    <w:p w:rsidR="00083B1B" w:rsidRPr="00F64E38" w:rsidRDefault="00083B1B" w:rsidP="00F64E38">
      <w:pPr>
        <w:spacing w:before="120" w:after="120" w:line="240"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 xml:space="preserve">Ramezan D., Farrokhzad Y., Zargar M., Stybayev G., Kipshakbayeva G. &amp;Baitelenova A. (2023). An insight into </w:t>
      </w:r>
      <w:r w:rsidRPr="00F64E38">
        <w:rPr>
          <w:rFonts w:ascii="Times New Roman" w:hAnsi="Times New Roman" w:cs="Times New Roman"/>
          <w:i/>
          <w:iCs/>
          <w:sz w:val="24"/>
          <w:szCs w:val="24"/>
        </w:rPr>
        <w:t>Cuscuta campestris</w:t>
      </w:r>
      <w:r w:rsidRPr="00F64E38">
        <w:rPr>
          <w:rFonts w:ascii="Times New Roman" w:hAnsi="Times New Roman" w:cs="Times New Roman"/>
          <w:sz w:val="24"/>
          <w:szCs w:val="24"/>
        </w:rPr>
        <w:t xml:space="preserve"> as a medicinal plant: Phytochemical variation of </w:t>
      </w:r>
      <w:r w:rsidRPr="00F64E38">
        <w:rPr>
          <w:rFonts w:ascii="Times New Roman" w:hAnsi="Times New Roman" w:cs="Times New Roman"/>
          <w:i/>
          <w:iCs/>
          <w:sz w:val="24"/>
          <w:szCs w:val="24"/>
        </w:rPr>
        <w:t>Cuscuta campestris</w:t>
      </w:r>
      <w:r w:rsidRPr="00F64E38">
        <w:rPr>
          <w:rFonts w:ascii="Times New Roman" w:hAnsi="Times New Roman" w:cs="Times New Roman"/>
          <w:sz w:val="24"/>
          <w:szCs w:val="24"/>
        </w:rPr>
        <w:t xml:space="preserve"> with various host plants. </w:t>
      </w:r>
      <w:r w:rsidRPr="00F64E38">
        <w:rPr>
          <w:rFonts w:ascii="Times New Roman" w:hAnsi="Times New Roman" w:cs="Times New Roman"/>
          <w:i/>
          <w:iCs/>
          <w:sz w:val="24"/>
          <w:szCs w:val="24"/>
        </w:rPr>
        <w:t>Agriculture</w:t>
      </w:r>
      <w:r w:rsidRPr="00F64E38">
        <w:rPr>
          <w:rFonts w:ascii="Times New Roman" w:hAnsi="Times New Roman" w:cs="Times New Roman"/>
          <w:sz w:val="24"/>
          <w:szCs w:val="24"/>
        </w:rPr>
        <w:t xml:space="preserve">, </w:t>
      </w:r>
      <w:r w:rsidRPr="00F64E38">
        <w:rPr>
          <w:rFonts w:ascii="Times New Roman" w:hAnsi="Times New Roman" w:cs="Times New Roman"/>
          <w:i/>
          <w:iCs/>
          <w:sz w:val="24"/>
          <w:szCs w:val="24"/>
        </w:rPr>
        <w:t>13</w:t>
      </w:r>
      <w:r w:rsidRPr="00F64E38">
        <w:rPr>
          <w:rFonts w:ascii="Times New Roman" w:hAnsi="Times New Roman" w:cs="Times New Roman"/>
          <w:sz w:val="24"/>
          <w:szCs w:val="24"/>
        </w:rPr>
        <w:t>(4), 770. https://doi.org/10.3390/agriculture13040770</w:t>
      </w:r>
    </w:p>
    <w:p w:rsidR="00083B1B" w:rsidRPr="00F64E38" w:rsidRDefault="00083B1B" w:rsidP="00F64E38">
      <w:pPr>
        <w:spacing w:before="120" w:after="120" w:line="240"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 xml:space="preserve">Reza M.S., Jashimuddin M., Ahmed J., Abeer M., Naznin N.E., Jafrin S., Haque M.E., Barek M.A. &amp; Ud Daula A.F.M.S. (2021). Pharmacological investigation of analgesic and antipyretic activities of methanol extract of the whole part of </w:t>
      </w:r>
      <w:r w:rsidRPr="00F64E38">
        <w:rPr>
          <w:rFonts w:ascii="Times New Roman" w:hAnsi="Times New Roman" w:cs="Times New Roman"/>
          <w:i/>
          <w:iCs/>
          <w:sz w:val="24"/>
          <w:szCs w:val="24"/>
        </w:rPr>
        <w:t>Aeginetia indica</w:t>
      </w:r>
      <w:r w:rsidRPr="00F64E38">
        <w:rPr>
          <w:rFonts w:ascii="Times New Roman" w:hAnsi="Times New Roman" w:cs="Times New Roman"/>
          <w:sz w:val="24"/>
          <w:szCs w:val="24"/>
        </w:rPr>
        <w:t xml:space="preserve">. </w:t>
      </w:r>
      <w:r w:rsidRPr="00F64E38">
        <w:rPr>
          <w:rFonts w:ascii="Times New Roman" w:hAnsi="Times New Roman" w:cs="Times New Roman"/>
          <w:i/>
          <w:iCs/>
          <w:sz w:val="24"/>
          <w:szCs w:val="24"/>
        </w:rPr>
        <w:t>Journal of Ethnopharmacology</w:t>
      </w:r>
      <w:r w:rsidRPr="00F64E38">
        <w:rPr>
          <w:rFonts w:ascii="Times New Roman" w:hAnsi="Times New Roman" w:cs="Times New Roman"/>
          <w:sz w:val="24"/>
          <w:szCs w:val="24"/>
        </w:rPr>
        <w:t xml:space="preserve">, </w:t>
      </w:r>
      <w:r w:rsidRPr="00F64E38">
        <w:rPr>
          <w:rFonts w:ascii="Times New Roman" w:hAnsi="Times New Roman" w:cs="Times New Roman"/>
          <w:i/>
          <w:iCs/>
          <w:sz w:val="24"/>
          <w:szCs w:val="24"/>
        </w:rPr>
        <w:t>271</w:t>
      </w:r>
      <w:r w:rsidRPr="00F64E38">
        <w:rPr>
          <w:rFonts w:ascii="Times New Roman" w:hAnsi="Times New Roman" w:cs="Times New Roman"/>
          <w:sz w:val="24"/>
          <w:szCs w:val="24"/>
        </w:rPr>
        <w:t>, 113915.</w:t>
      </w:r>
    </w:p>
    <w:p w:rsidR="00083B1B" w:rsidRPr="00F64E38" w:rsidRDefault="00083B1B" w:rsidP="00F64E38">
      <w:pPr>
        <w:pStyle w:val="NormalWeb"/>
        <w:spacing w:before="120" w:beforeAutospacing="0" w:after="120" w:afterAutospacing="0"/>
        <w:ind w:left="720" w:hanging="720"/>
        <w:jc w:val="both"/>
      </w:pPr>
      <w:r w:rsidRPr="00F64E38">
        <w:t>Roza D, Fadhilah G, Indriani E, Wiliranti YA and Juwitaningsih T. (2024). Evaluation of Anticancer and Antioxidant Activities (</w:t>
      </w:r>
      <w:r w:rsidRPr="00F64E38">
        <w:rPr>
          <w:i/>
          <w:iCs/>
        </w:rPr>
        <w:t>In Vitro</w:t>
      </w:r>
      <w:r w:rsidRPr="00F64E38">
        <w:t> Studies) of Coffee Stem Parasite Extract [</w:t>
      </w:r>
      <w:r w:rsidRPr="00F64E38">
        <w:rPr>
          <w:i/>
          <w:iCs/>
        </w:rPr>
        <w:t>Scurrulaferruginea</w:t>
      </w:r>
      <w:r w:rsidRPr="00F64E38">
        <w:t> (Roxb. ex Jack) Danser] and </w:t>
      </w:r>
      <w:r w:rsidRPr="00F64E38">
        <w:rPr>
          <w:i/>
          <w:iCs/>
        </w:rPr>
        <w:t>In Silico</w:t>
      </w:r>
      <w:r w:rsidRPr="00F64E38">
        <w:t xml:space="preserve"> Studies of its Isolate. </w:t>
      </w:r>
      <w:r w:rsidRPr="00F64E38">
        <w:rPr>
          <w:i/>
          <w:iCs/>
        </w:rPr>
        <w:t>Turkish Journal of Pharmaceutical Sciences</w:t>
      </w:r>
      <w:r w:rsidR="008539B5" w:rsidRPr="00F64E38">
        <w:t>,</w:t>
      </w:r>
      <w:r w:rsidRPr="00F64E38">
        <w:rPr>
          <w:i/>
          <w:iCs/>
        </w:rPr>
        <w:t>21</w:t>
      </w:r>
      <w:r w:rsidRPr="00F64E38">
        <w:t>(5)</w:t>
      </w:r>
      <w:r w:rsidR="008539B5" w:rsidRPr="00F64E38">
        <w:t xml:space="preserve">, </w:t>
      </w:r>
      <w:r w:rsidRPr="00F64E38">
        <w:t>463-473.</w:t>
      </w:r>
    </w:p>
    <w:p w:rsidR="00083B1B" w:rsidRPr="00F64E38" w:rsidRDefault="00083B1B" w:rsidP="00F64E38">
      <w:pPr>
        <w:spacing w:before="120" w:after="120" w:line="240"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 xml:space="preserve">Sahu SC, Kumar S and Singh S. (2018). Parasitic Plants of Odisha. Ambika Prasad Research Foundation, Odisha, India. </w:t>
      </w:r>
    </w:p>
    <w:p w:rsidR="00083B1B" w:rsidRPr="00F64E38" w:rsidRDefault="00083B1B" w:rsidP="00F64E38">
      <w:pPr>
        <w:spacing w:before="120" w:after="120" w:line="240"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 xml:space="preserve">Saini P., Mithal R. &amp;Menghani E. (2015). A parasitic medicinal plant </w:t>
      </w:r>
      <w:r w:rsidRPr="00F64E38">
        <w:rPr>
          <w:rFonts w:ascii="Times New Roman" w:hAnsi="Times New Roman" w:cs="Times New Roman"/>
          <w:i/>
          <w:iCs/>
          <w:sz w:val="24"/>
          <w:szCs w:val="24"/>
        </w:rPr>
        <w:t>Cuscuta reflexa</w:t>
      </w:r>
      <w:r w:rsidRPr="00F64E38">
        <w:rPr>
          <w:rFonts w:ascii="Times New Roman" w:hAnsi="Times New Roman" w:cs="Times New Roman"/>
          <w:sz w:val="24"/>
          <w:szCs w:val="24"/>
        </w:rPr>
        <w:t xml:space="preserve">: An overview. </w:t>
      </w:r>
      <w:r w:rsidRPr="00F64E38">
        <w:rPr>
          <w:rFonts w:ascii="Times New Roman" w:hAnsi="Times New Roman" w:cs="Times New Roman"/>
          <w:i/>
          <w:iCs/>
          <w:sz w:val="24"/>
          <w:szCs w:val="24"/>
        </w:rPr>
        <w:t>International Journal of Scientific and Engineering Research</w:t>
      </w:r>
      <w:r w:rsidRPr="00F64E38">
        <w:rPr>
          <w:rFonts w:ascii="Times New Roman" w:hAnsi="Times New Roman" w:cs="Times New Roman"/>
          <w:sz w:val="24"/>
          <w:szCs w:val="24"/>
        </w:rPr>
        <w:t>, 6(12), 951–959.</w:t>
      </w:r>
    </w:p>
    <w:p w:rsidR="00083B1B" w:rsidRPr="00F64E38" w:rsidRDefault="00083B1B" w:rsidP="00F64E38">
      <w:pPr>
        <w:spacing w:before="120" w:after="120" w:line="240"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 xml:space="preserve">Saleh I, Maigandi S.A., Hudu M.I., Abubakar M.I. &amp; Shehu A.U. (2015). Uses and chemical composition of mistletoe obtained from different species of trees. </w:t>
      </w:r>
      <w:r w:rsidRPr="00F64E38">
        <w:rPr>
          <w:rFonts w:ascii="Times New Roman" w:hAnsi="Times New Roman" w:cs="Times New Roman"/>
          <w:i/>
          <w:iCs/>
          <w:sz w:val="24"/>
          <w:szCs w:val="24"/>
        </w:rPr>
        <w:t>Dutse Journal of Agriculture and Food Security</w:t>
      </w:r>
      <w:r w:rsidRPr="00F64E38">
        <w:rPr>
          <w:rFonts w:ascii="Times New Roman" w:hAnsi="Times New Roman" w:cs="Times New Roman"/>
          <w:sz w:val="24"/>
          <w:szCs w:val="24"/>
        </w:rPr>
        <w:t>, 2(1), 8–12.</w:t>
      </w:r>
    </w:p>
    <w:p w:rsidR="00083B1B" w:rsidRPr="00F64E38" w:rsidRDefault="00083B1B" w:rsidP="00F64E38">
      <w:pPr>
        <w:spacing w:before="120" w:after="120" w:line="240"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 xml:space="preserve">Saxena HO and Brahmam M. (1995). The Flora of Orissa, Volume 3. Regional Research Laboratory, Bhubaneswar &amp; Orissa Forest Development Corporation Ltd., Bhubaneswar, Odisha, India. </w:t>
      </w:r>
    </w:p>
    <w:p w:rsidR="00083B1B" w:rsidRPr="00F64E38" w:rsidRDefault="00083B1B" w:rsidP="00F64E38">
      <w:pPr>
        <w:pStyle w:val="NormalWeb"/>
        <w:spacing w:before="120" w:beforeAutospacing="0" w:after="120" w:afterAutospacing="0"/>
        <w:ind w:left="720" w:hanging="720"/>
        <w:jc w:val="both"/>
      </w:pPr>
      <w:r w:rsidRPr="00F64E38">
        <w:t xml:space="preserve">Sharath KP and Naika R. (2022). Preliminary Phytochemical, Gas Chromatography-Mass Spectroscopy Analysis and in-vitro Anticancer Activities of Macrosolen parasiticus (L.) Danser on Human Prostate Cancer Cell line (PC-3). </w:t>
      </w:r>
      <w:r w:rsidRPr="00F64E38">
        <w:rPr>
          <w:i/>
          <w:iCs/>
        </w:rPr>
        <w:t>Asian Journal of Biological and Life Sciences</w:t>
      </w:r>
      <w:r w:rsidR="00AB4EC8" w:rsidRPr="00F64E38">
        <w:t>,</w:t>
      </w:r>
      <w:r w:rsidRPr="00F64E38">
        <w:rPr>
          <w:i/>
          <w:iCs/>
        </w:rPr>
        <w:t>11</w:t>
      </w:r>
      <w:r w:rsidRPr="00F64E38">
        <w:t>(2)</w:t>
      </w:r>
      <w:r w:rsidR="00AB4EC8" w:rsidRPr="00F64E38">
        <w:t>,</w:t>
      </w:r>
      <w:r w:rsidRPr="00F64E38">
        <w:t xml:space="preserve"> 435-441. </w:t>
      </w:r>
    </w:p>
    <w:p w:rsidR="00083B1B" w:rsidRPr="00F64E38" w:rsidRDefault="00083B1B" w:rsidP="00F64E38">
      <w:pPr>
        <w:spacing w:before="120" w:after="120" w:line="240" w:lineRule="auto"/>
        <w:ind w:left="720" w:hanging="720"/>
        <w:jc w:val="both"/>
        <w:rPr>
          <w:rFonts w:ascii="Times New Roman" w:hAnsi="Times New Roman" w:cs="Times New Roman"/>
          <w:sz w:val="24"/>
          <w:szCs w:val="24"/>
        </w:rPr>
      </w:pPr>
      <w:r w:rsidRPr="00F64E38">
        <w:rPr>
          <w:rFonts w:ascii="Times New Roman" w:hAnsi="Times New Roman" w:cs="Times New Roman"/>
          <w:sz w:val="24"/>
          <w:szCs w:val="24"/>
        </w:rPr>
        <w:t xml:space="preserve">Tripathi S. &amp; Mondal A.K. (2019). Rare ethnomedicinal hemiparasitic plants: Conservation and sustainable use in South West Bengal, India. </w:t>
      </w:r>
      <w:r w:rsidRPr="00F64E38">
        <w:rPr>
          <w:rFonts w:ascii="Times New Roman" w:hAnsi="Times New Roman" w:cs="Times New Roman"/>
          <w:i/>
          <w:iCs/>
          <w:sz w:val="24"/>
          <w:szCs w:val="24"/>
        </w:rPr>
        <w:t>Global Journal for Research Analysis</w:t>
      </w:r>
      <w:r w:rsidRPr="00F64E38">
        <w:rPr>
          <w:rFonts w:ascii="Times New Roman" w:hAnsi="Times New Roman" w:cs="Times New Roman"/>
          <w:sz w:val="24"/>
          <w:szCs w:val="24"/>
        </w:rPr>
        <w:t xml:space="preserve">, </w:t>
      </w:r>
      <w:r w:rsidRPr="00F64E38">
        <w:rPr>
          <w:rFonts w:ascii="Times New Roman" w:hAnsi="Times New Roman" w:cs="Times New Roman"/>
          <w:i/>
          <w:iCs/>
          <w:sz w:val="24"/>
          <w:szCs w:val="24"/>
        </w:rPr>
        <w:t>8</w:t>
      </w:r>
      <w:r w:rsidRPr="00F64E38">
        <w:rPr>
          <w:rFonts w:ascii="Times New Roman" w:hAnsi="Times New Roman" w:cs="Times New Roman"/>
          <w:sz w:val="24"/>
          <w:szCs w:val="24"/>
        </w:rPr>
        <w:t>(3), 41–43.</w:t>
      </w:r>
    </w:p>
    <w:p w:rsidR="00AF2F41" w:rsidRDefault="00AF2F41" w:rsidP="004253A5">
      <w:pPr>
        <w:spacing w:line="276" w:lineRule="auto"/>
        <w:jc w:val="both"/>
        <w:rPr>
          <w:rFonts w:ascii="Times New Roman" w:hAnsi="Times New Roman" w:cs="Times New Roman"/>
          <w:sz w:val="24"/>
          <w:szCs w:val="24"/>
        </w:rPr>
      </w:pPr>
    </w:p>
    <w:p w:rsidR="004253A5" w:rsidRDefault="004253A5" w:rsidP="00817E10">
      <w:pPr>
        <w:spacing w:after="120" w:line="240" w:lineRule="auto"/>
        <w:jc w:val="both"/>
        <w:rPr>
          <w:rFonts w:ascii="Times New Roman" w:hAnsi="Times New Roman" w:cs="Times New Roman"/>
          <w:sz w:val="24"/>
          <w:szCs w:val="24"/>
        </w:rPr>
      </w:pPr>
    </w:p>
    <w:p w:rsidR="00CF24CE" w:rsidRPr="00817E10" w:rsidRDefault="00CF24CE" w:rsidP="00817E10">
      <w:pPr>
        <w:spacing w:after="120" w:line="240" w:lineRule="auto"/>
        <w:jc w:val="both"/>
        <w:rPr>
          <w:rFonts w:ascii="Times New Roman" w:hAnsi="Times New Roman" w:cs="Times New Roman"/>
          <w:sz w:val="24"/>
          <w:szCs w:val="24"/>
        </w:rPr>
      </w:pPr>
    </w:p>
    <w:sectPr w:rsidR="00CF24CE" w:rsidRPr="00817E10" w:rsidSect="00C21E73">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1BBF" w:rsidRDefault="00641BBF" w:rsidP="0022798C">
      <w:pPr>
        <w:spacing w:after="0" w:line="240" w:lineRule="auto"/>
      </w:pPr>
      <w:r>
        <w:separator/>
      </w:r>
    </w:p>
  </w:endnote>
  <w:endnote w:type="continuationSeparator" w:id="1">
    <w:p w:rsidR="00641BBF" w:rsidRDefault="00641BBF" w:rsidP="002279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27D" w:rsidRDefault="000842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27D" w:rsidRDefault="0008427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27D" w:rsidRDefault="000842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1BBF" w:rsidRDefault="00641BBF" w:rsidP="0022798C">
      <w:pPr>
        <w:spacing w:after="0" w:line="240" w:lineRule="auto"/>
      </w:pPr>
      <w:r>
        <w:separator/>
      </w:r>
    </w:p>
  </w:footnote>
  <w:footnote w:type="continuationSeparator" w:id="1">
    <w:p w:rsidR="00641BBF" w:rsidRDefault="00641BBF" w:rsidP="002279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27D" w:rsidRDefault="00C21E73">
    <w:pPr>
      <w:pStyle w:val="Header"/>
    </w:pPr>
    <w:r w:rsidRPr="00C21E7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632063"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27D" w:rsidRDefault="00C21E73">
    <w:pPr>
      <w:pStyle w:val="Header"/>
    </w:pPr>
    <w:r w:rsidRPr="00C21E7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632064"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27D" w:rsidRDefault="00C21E73">
    <w:pPr>
      <w:pStyle w:val="Header"/>
    </w:pPr>
    <w:r w:rsidRPr="00C21E7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632062"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6C7F44"/>
    <w:multiLevelType w:val="hybridMultilevel"/>
    <w:tmpl w:val="5BA094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4E433379"/>
    <w:multiLevelType w:val="hybridMultilevel"/>
    <w:tmpl w:val="E29297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7E3B0141"/>
    <w:multiLevelType w:val="hybridMultilevel"/>
    <w:tmpl w:val="2BF487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A8522A"/>
    <w:rsid w:val="000032C4"/>
    <w:rsid w:val="00016362"/>
    <w:rsid w:val="00016BFE"/>
    <w:rsid w:val="00022A87"/>
    <w:rsid w:val="00024619"/>
    <w:rsid w:val="0002531D"/>
    <w:rsid w:val="00025532"/>
    <w:rsid w:val="000259B1"/>
    <w:rsid w:val="0002786E"/>
    <w:rsid w:val="000305D7"/>
    <w:rsid w:val="0004072D"/>
    <w:rsid w:val="0005053D"/>
    <w:rsid w:val="000505AE"/>
    <w:rsid w:val="00052153"/>
    <w:rsid w:val="0005430D"/>
    <w:rsid w:val="0006023D"/>
    <w:rsid w:val="00064E2E"/>
    <w:rsid w:val="00070494"/>
    <w:rsid w:val="00071157"/>
    <w:rsid w:val="00071FE5"/>
    <w:rsid w:val="0007321D"/>
    <w:rsid w:val="00075431"/>
    <w:rsid w:val="00082DBE"/>
    <w:rsid w:val="00083891"/>
    <w:rsid w:val="00083B1B"/>
    <w:rsid w:val="00083FE2"/>
    <w:rsid w:val="0008427D"/>
    <w:rsid w:val="000868FD"/>
    <w:rsid w:val="000906BE"/>
    <w:rsid w:val="00090883"/>
    <w:rsid w:val="0009399D"/>
    <w:rsid w:val="00095A6C"/>
    <w:rsid w:val="000A3E0C"/>
    <w:rsid w:val="000B2794"/>
    <w:rsid w:val="000B3837"/>
    <w:rsid w:val="000C1745"/>
    <w:rsid w:val="000C2413"/>
    <w:rsid w:val="000C4A59"/>
    <w:rsid w:val="000C69EA"/>
    <w:rsid w:val="000C7B46"/>
    <w:rsid w:val="000D1AD0"/>
    <w:rsid w:val="000D2C70"/>
    <w:rsid w:val="000D4C20"/>
    <w:rsid w:val="000E0235"/>
    <w:rsid w:val="000E0331"/>
    <w:rsid w:val="000E08B1"/>
    <w:rsid w:val="000E1ABC"/>
    <w:rsid w:val="000E2C5D"/>
    <w:rsid w:val="000E3970"/>
    <w:rsid w:val="000E50FC"/>
    <w:rsid w:val="000F7294"/>
    <w:rsid w:val="00102BFF"/>
    <w:rsid w:val="0011112C"/>
    <w:rsid w:val="00111424"/>
    <w:rsid w:val="00123483"/>
    <w:rsid w:val="00125289"/>
    <w:rsid w:val="00131E40"/>
    <w:rsid w:val="001333D7"/>
    <w:rsid w:val="00137646"/>
    <w:rsid w:val="00143CA5"/>
    <w:rsid w:val="0014669E"/>
    <w:rsid w:val="001466B8"/>
    <w:rsid w:val="00146822"/>
    <w:rsid w:val="0014692D"/>
    <w:rsid w:val="001515DD"/>
    <w:rsid w:val="0015366C"/>
    <w:rsid w:val="00153ADF"/>
    <w:rsid w:val="00155C65"/>
    <w:rsid w:val="001643E1"/>
    <w:rsid w:val="00166E4B"/>
    <w:rsid w:val="00173438"/>
    <w:rsid w:val="00175666"/>
    <w:rsid w:val="001771A7"/>
    <w:rsid w:val="001833EF"/>
    <w:rsid w:val="0019160F"/>
    <w:rsid w:val="0019213B"/>
    <w:rsid w:val="001A0493"/>
    <w:rsid w:val="001A09CB"/>
    <w:rsid w:val="001A2D92"/>
    <w:rsid w:val="001A37D1"/>
    <w:rsid w:val="001B0596"/>
    <w:rsid w:val="001B05AA"/>
    <w:rsid w:val="001B23B8"/>
    <w:rsid w:val="001B6009"/>
    <w:rsid w:val="001D0BAE"/>
    <w:rsid w:val="001D1CBA"/>
    <w:rsid w:val="001E3086"/>
    <w:rsid w:val="001E62DB"/>
    <w:rsid w:val="001E7B4D"/>
    <w:rsid w:val="001F265B"/>
    <w:rsid w:val="001F39A9"/>
    <w:rsid w:val="002024A6"/>
    <w:rsid w:val="002066F2"/>
    <w:rsid w:val="0021044A"/>
    <w:rsid w:val="00211FA4"/>
    <w:rsid w:val="00213B5D"/>
    <w:rsid w:val="00216CDA"/>
    <w:rsid w:val="00217096"/>
    <w:rsid w:val="00223D9F"/>
    <w:rsid w:val="0022798C"/>
    <w:rsid w:val="00231DE1"/>
    <w:rsid w:val="00232185"/>
    <w:rsid w:val="0023739A"/>
    <w:rsid w:val="00241A63"/>
    <w:rsid w:val="00244C30"/>
    <w:rsid w:val="00247654"/>
    <w:rsid w:val="00247681"/>
    <w:rsid w:val="00251BBD"/>
    <w:rsid w:val="002520AF"/>
    <w:rsid w:val="002567F1"/>
    <w:rsid w:val="002618FC"/>
    <w:rsid w:val="00265FA3"/>
    <w:rsid w:val="00271FFE"/>
    <w:rsid w:val="00274FD1"/>
    <w:rsid w:val="00275706"/>
    <w:rsid w:val="00276219"/>
    <w:rsid w:val="00276D8D"/>
    <w:rsid w:val="0028038A"/>
    <w:rsid w:val="002811D3"/>
    <w:rsid w:val="00285CB5"/>
    <w:rsid w:val="00291C27"/>
    <w:rsid w:val="002944A4"/>
    <w:rsid w:val="002A271A"/>
    <w:rsid w:val="002A60C9"/>
    <w:rsid w:val="002A7341"/>
    <w:rsid w:val="002C4668"/>
    <w:rsid w:val="002C625B"/>
    <w:rsid w:val="002D0E5C"/>
    <w:rsid w:val="002D3C00"/>
    <w:rsid w:val="002E1900"/>
    <w:rsid w:val="002E2B3D"/>
    <w:rsid w:val="002E59FE"/>
    <w:rsid w:val="002F4573"/>
    <w:rsid w:val="002F4889"/>
    <w:rsid w:val="002F57A9"/>
    <w:rsid w:val="002F621C"/>
    <w:rsid w:val="003032A7"/>
    <w:rsid w:val="003049B4"/>
    <w:rsid w:val="00306391"/>
    <w:rsid w:val="00310B56"/>
    <w:rsid w:val="0031177E"/>
    <w:rsid w:val="00311C78"/>
    <w:rsid w:val="00312876"/>
    <w:rsid w:val="00314118"/>
    <w:rsid w:val="003147BF"/>
    <w:rsid w:val="003171B5"/>
    <w:rsid w:val="003212EC"/>
    <w:rsid w:val="00322743"/>
    <w:rsid w:val="00325B19"/>
    <w:rsid w:val="00337347"/>
    <w:rsid w:val="00340D8B"/>
    <w:rsid w:val="003427E6"/>
    <w:rsid w:val="003431C6"/>
    <w:rsid w:val="00343744"/>
    <w:rsid w:val="00353457"/>
    <w:rsid w:val="0036045F"/>
    <w:rsid w:val="003610E1"/>
    <w:rsid w:val="00364E73"/>
    <w:rsid w:val="00374B4C"/>
    <w:rsid w:val="0037799B"/>
    <w:rsid w:val="00383862"/>
    <w:rsid w:val="003955C0"/>
    <w:rsid w:val="00395B59"/>
    <w:rsid w:val="00396C1C"/>
    <w:rsid w:val="003A57CF"/>
    <w:rsid w:val="003A5ED0"/>
    <w:rsid w:val="003B3D05"/>
    <w:rsid w:val="003B586C"/>
    <w:rsid w:val="003C0544"/>
    <w:rsid w:val="003C1909"/>
    <w:rsid w:val="003C366E"/>
    <w:rsid w:val="003D3EF5"/>
    <w:rsid w:val="003D6481"/>
    <w:rsid w:val="003E0116"/>
    <w:rsid w:val="003E05FD"/>
    <w:rsid w:val="003E6933"/>
    <w:rsid w:val="003E72FB"/>
    <w:rsid w:val="00402233"/>
    <w:rsid w:val="004047A5"/>
    <w:rsid w:val="004072D8"/>
    <w:rsid w:val="00407E2F"/>
    <w:rsid w:val="004167FF"/>
    <w:rsid w:val="00417BA5"/>
    <w:rsid w:val="004217C8"/>
    <w:rsid w:val="004223B7"/>
    <w:rsid w:val="004253A5"/>
    <w:rsid w:val="00433F97"/>
    <w:rsid w:val="00435B30"/>
    <w:rsid w:val="00443E92"/>
    <w:rsid w:val="00444375"/>
    <w:rsid w:val="0044604C"/>
    <w:rsid w:val="00451963"/>
    <w:rsid w:val="00452217"/>
    <w:rsid w:val="00454F31"/>
    <w:rsid w:val="00455CD3"/>
    <w:rsid w:val="00460DDA"/>
    <w:rsid w:val="00463D9D"/>
    <w:rsid w:val="00464EF9"/>
    <w:rsid w:val="00470B98"/>
    <w:rsid w:val="00480A11"/>
    <w:rsid w:val="00481948"/>
    <w:rsid w:val="00482AE0"/>
    <w:rsid w:val="00484CEE"/>
    <w:rsid w:val="00493606"/>
    <w:rsid w:val="0049392A"/>
    <w:rsid w:val="0049717D"/>
    <w:rsid w:val="004A084B"/>
    <w:rsid w:val="004A0863"/>
    <w:rsid w:val="004B3ACD"/>
    <w:rsid w:val="004B3C0F"/>
    <w:rsid w:val="004B626B"/>
    <w:rsid w:val="004B671B"/>
    <w:rsid w:val="004B73DD"/>
    <w:rsid w:val="004C002D"/>
    <w:rsid w:val="004D54BC"/>
    <w:rsid w:val="004D7DC3"/>
    <w:rsid w:val="004D7ED3"/>
    <w:rsid w:val="004E4F90"/>
    <w:rsid w:val="004E752A"/>
    <w:rsid w:val="004F2C93"/>
    <w:rsid w:val="004F55B7"/>
    <w:rsid w:val="00500BFF"/>
    <w:rsid w:val="00502221"/>
    <w:rsid w:val="005036CB"/>
    <w:rsid w:val="005079DF"/>
    <w:rsid w:val="00507D27"/>
    <w:rsid w:val="00510DA2"/>
    <w:rsid w:val="00512954"/>
    <w:rsid w:val="00515644"/>
    <w:rsid w:val="005162D2"/>
    <w:rsid w:val="00516D27"/>
    <w:rsid w:val="00524971"/>
    <w:rsid w:val="00526C32"/>
    <w:rsid w:val="00527FDC"/>
    <w:rsid w:val="00533C76"/>
    <w:rsid w:val="0053402A"/>
    <w:rsid w:val="00534963"/>
    <w:rsid w:val="005378FE"/>
    <w:rsid w:val="005441D6"/>
    <w:rsid w:val="0054737F"/>
    <w:rsid w:val="00547B07"/>
    <w:rsid w:val="00556FAF"/>
    <w:rsid w:val="005642DD"/>
    <w:rsid w:val="0056673D"/>
    <w:rsid w:val="00567823"/>
    <w:rsid w:val="0058633A"/>
    <w:rsid w:val="00586596"/>
    <w:rsid w:val="0059296C"/>
    <w:rsid w:val="00595A34"/>
    <w:rsid w:val="005A0581"/>
    <w:rsid w:val="005A1391"/>
    <w:rsid w:val="005A3AFB"/>
    <w:rsid w:val="005B08A7"/>
    <w:rsid w:val="005B3207"/>
    <w:rsid w:val="005B58B3"/>
    <w:rsid w:val="005C72D0"/>
    <w:rsid w:val="005C7847"/>
    <w:rsid w:val="005D0F36"/>
    <w:rsid w:val="005D14C7"/>
    <w:rsid w:val="005D1AD2"/>
    <w:rsid w:val="005D5582"/>
    <w:rsid w:val="005D5F19"/>
    <w:rsid w:val="005D5F4F"/>
    <w:rsid w:val="005E3A67"/>
    <w:rsid w:val="005F1B73"/>
    <w:rsid w:val="005F53AF"/>
    <w:rsid w:val="005F6C94"/>
    <w:rsid w:val="005F7E0D"/>
    <w:rsid w:val="00603FDA"/>
    <w:rsid w:val="006072EF"/>
    <w:rsid w:val="006073AB"/>
    <w:rsid w:val="006114A5"/>
    <w:rsid w:val="00614170"/>
    <w:rsid w:val="00614591"/>
    <w:rsid w:val="006210E5"/>
    <w:rsid w:val="00632D10"/>
    <w:rsid w:val="00633D12"/>
    <w:rsid w:val="0063495B"/>
    <w:rsid w:val="0063533C"/>
    <w:rsid w:val="00640C77"/>
    <w:rsid w:val="00641BBF"/>
    <w:rsid w:val="00642B4E"/>
    <w:rsid w:val="0064369F"/>
    <w:rsid w:val="00644BAF"/>
    <w:rsid w:val="00645352"/>
    <w:rsid w:val="006453F4"/>
    <w:rsid w:val="00646C1C"/>
    <w:rsid w:val="006478B1"/>
    <w:rsid w:val="00651764"/>
    <w:rsid w:val="00652F23"/>
    <w:rsid w:val="00653DED"/>
    <w:rsid w:val="00660D50"/>
    <w:rsid w:val="00660DE0"/>
    <w:rsid w:val="00661C5B"/>
    <w:rsid w:val="00662B8F"/>
    <w:rsid w:val="0066551B"/>
    <w:rsid w:val="00665FAE"/>
    <w:rsid w:val="00670A5C"/>
    <w:rsid w:val="00671360"/>
    <w:rsid w:val="00680F91"/>
    <w:rsid w:val="00683916"/>
    <w:rsid w:val="00686A74"/>
    <w:rsid w:val="00686EAC"/>
    <w:rsid w:val="006A16AA"/>
    <w:rsid w:val="006A22C9"/>
    <w:rsid w:val="006A3F91"/>
    <w:rsid w:val="006A610D"/>
    <w:rsid w:val="006B49C7"/>
    <w:rsid w:val="006C32EB"/>
    <w:rsid w:val="006C5DAB"/>
    <w:rsid w:val="006C5EB2"/>
    <w:rsid w:val="006C7383"/>
    <w:rsid w:val="006D0091"/>
    <w:rsid w:val="006D3A6D"/>
    <w:rsid w:val="006D477B"/>
    <w:rsid w:val="006D5205"/>
    <w:rsid w:val="006D74CB"/>
    <w:rsid w:val="006E00CA"/>
    <w:rsid w:val="006E248A"/>
    <w:rsid w:val="006E3662"/>
    <w:rsid w:val="006E3803"/>
    <w:rsid w:val="006F0590"/>
    <w:rsid w:val="006F0ACA"/>
    <w:rsid w:val="006F3AEC"/>
    <w:rsid w:val="006F57A3"/>
    <w:rsid w:val="006F5939"/>
    <w:rsid w:val="006F7D84"/>
    <w:rsid w:val="007027B4"/>
    <w:rsid w:val="00705294"/>
    <w:rsid w:val="00712713"/>
    <w:rsid w:val="00713A39"/>
    <w:rsid w:val="007160BC"/>
    <w:rsid w:val="00716A9B"/>
    <w:rsid w:val="00724668"/>
    <w:rsid w:val="00731317"/>
    <w:rsid w:val="00736F24"/>
    <w:rsid w:val="00742BD1"/>
    <w:rsid w:val="007448C9"/>
    <w:rsid w:val="0074512C"/>
    <w:rsid w:val="0076224A"/>
    <w:rsid w:val="007655FA"/>
    <w:rsid w:val="00767279"/>
    <w:rsid w:val="00771447"/>
    <w:rsid w:val="0077205A"/>
    <w:rsid w:val="0077356B"/>
    <w:rsid w:val="00776E9C"/>
    <w:rsid w:val="007836B5"/>
    <w:rsid w:val="0078736B"/>
    <w:rsid w:val="00790F03"/>
    <w:rsid w:val="007912A2"/>
    <w:rsid w:val="00791739"/>
    <w:rsid w:val="007936F3"/>
    <w:rsid w:val="007952E9"/>
    <w:rsid w:val="00795812"/>
    <w:rsid w:val="0079690A"/>
    <w:rsid w:val="007A0A2C"/>
    <w:rsid w:val="007A170C"/>
    <w:rsid w:val="007A1E2F"/>
    <w:rsid w:val="007A6E78"/>
    <w:rsid w:val="007B40A7"/>
    <w:rsid w:val="007B5FE3"/>
    <w:rsid w:val="007C0C49"/>
    <w:rsid w:val="007C433E"/>
    <w:rsid w:val="007C4C8E"/>
    <w:rsid w:val="007C5EA7"/>
    <w:rsid w:val="007C689A"/>
    <w:rsid w:val="007D4907"/>
    <w:rsid w:val="007D6710"/>
    <w:rsid w:val="007D6B48"/>
    <w:rsid w:val="007E103C"/>
    <w:rsid w:val="007E5C60"/>
    <w:rsid w:val="007F003C"/>
    <w:rsid w:val="007F043B"/>
    <w:rsid w:val="007F08A0"/>
    <w:rsid w:val="007F65C3"/>
    <w:rsid w:val="008004BC"/>
    <w:rsid w:val="008013B4"/>
    <w:rsid w:val="008059B3"/>
    <w:rsid w:val="00812565"/>
    <w:rsid w:val="008129D0"/>
    <w:rsid w:val="008150AD"/>
    <w:rsid w:val="008152BD"/>
    <w:rsid w:val="008177A7"/>
    <w:rsid w:val="00817E10"/>
    <w:rsid w:val="008234C9"/>
    <w:rsid w:val="00823B53"/>
    <w:rsid w:val="00825BEE"/>
    <w:rsid w:val="00825DCA"/>
    <w:rsid w:val="00833A53"/>
    <w:rsid w:val="00833B9E"/>
    <w:rsid w:val="008340D9"/>
    <w:rsid w:val="00837232"/>
    <w:rsid w:val="00842682"/>
    <w:rsid w:val="00844AB6"/>
    <w:rsid w:val="00846469"/>
    <w:rsid w:val="00850333"/>
    <w:rsid w:val="008535FD"/>
    <w:rsid w:val="008539B5"/>
    <w:rsid w:val="00854B74"/>
    <w:rsid w:val="008556AF"/>
    <w:rsid w:val="0085715D"/>
    <w:rsid w:val="00861832"/>
    <w:rsid w:val="008633B6"/>
    <w:rsid w:val="00870852"/>
    <w:rsid w:val="00890076"/>
    <w:rsid w:val="00892BD7"/>
    <w:rsid w:val="008931B9"/>
    <w:rsid w:val="00893941"/>
    <w:rsid w:val="0089444B"/>
    <w:rsid w:val="008B48F2"/>
    <w:rsid w:val="008B598A"/>
    <w:rsid w:val="008B664C"/>
    <w:rsid w:val="008B6ABF"/>
    <w:rsid w:val="008C4099"/>
    <w:rsid w:val="008D071A"/>
    <w:rsid w:val="008D2CD2"/>
    <w:rsid w:val="008D408D"/>
    <w:rsid w:val="008E213F"/>
    <w:rsid w:val="008F59CD"/>
    <w:rsid w:val="008F6963"/>
    <w:rsid w:val="008F7975"/>
    <w:rsid w:val="00901A69"/>
    <w:rsid w:val="0090239C"/>
    <w:rsid w:val="0090469C"/>
    <w:rsid w:val="009074CF"/>
    <w:rsid w:val="00907B99"/>
    <w:rsid w:val="00910388"/>
    <w:rsid w:val="00910DD1"/>
    <w:rsid w:val="00917D7C"/>
    <w:rsid w:val="00917E2B"/>
    <w:rsid w:val="00923334"/>
    <w:rsid w:val="00926992"/>
    <w:rsid w:val="00940BF5"/>
    <w:rsid w:val="00942986"/>
    <w:rsid w:val="00943FAC"/>
    <w:rsid w:val="009512B1"/>
    <w:rsid w:val="00954052"/>
    <w:rsid w:val="00955DE0"/>
    <w:rsid w:val="00955FB0"/>
    <w:rsid w:val="00956604"/>
    <w:rsid w:val="00963037"/>
    <w:rsid w:val="0096662E"/>
    <w:rsid w:val="00967925"/>
    <w:rsid w:val="00970B28"/>
    <w:rsid w:val="00977A35"/>
    <w:rsid w:val="00980FB0"/>
    <w:rsid w:val="009819DB"/>
    <w:rsid w:val="00985982"/>
    <w:rsid w:val="009877E2"/>
    <w:rsid w:val="009A5505"/>
    <w:rsid w:val="009B0598"/>
    <w:rsid w:val="009B1ABD"/>
    <w:rsid w:val="009B1B35"/>
    <w:rsid w:val="009B6054"/>
    <w:rsid w:val="009B76EA"/>
    <w:rsid w:val="009C06B1"/>
    <w:rsid w:val="009C4A76"/>
    <w:rsid w:val="009C7384"/>
    <w:rsid w:val="009E5EB8"/>
    <w:rsid w:val="009F26D1"/>
    <w:rsid w:val="009F6E40"/>
    <w:rsid w:val="00A1271F"/>
    <w:rsid w:val="00A14C54"/>
    <w:rsid w:val="00A154DB"/>
    <w:rsid w:val="00A15615"/>
    <w:rsid w:val="00A159FA"/>
    <w:rsid w:val="00A20B5F"/>
    <w:rsid w:val="00A30AAF"/>
    <w:rsid w:val="00A358A1"/>
    <w:rsid w:val="00A37FFB"/>
    <w:rsid w:val="00A471AE"/>
    <w:rsid w:val="00A513BB"/>
    <w:rsid w:val="00A513EA"/>
    <w:rsid w:val="00A53267"/>
    <w:rsid w:val="00A547EB"/>
    <w:rsid w:val="00A60F7D"/>
    <w:rsid w:val="00A61B6B"/>
    <w:rsid w:val="00A65A8B"/>
    <w:rsid w:val="00A729C0"/>
    <w:rsid w:val="00A763AC"/>
    <w:rsid w:val="00A80724"/>
    <w:rsid w:val="00A83207"/>
    <w:rsid w:val="00A8522A"/>
    <w:rsid w:val="00A857B9"/>
    <w:rsid w:val="00A90B19"/>
    <w:rsid w:val="00A90BC7"/>
    <w:rsid w:val="00A94A6D"/>
    <w:rsid w:val="00AA305B"/>
    <w:rsid w:val="00AB14F0"/>
    <w:rsid w:val="00AB4EC8"/>
    <w:rsid w:val="00AB707C"/>
    <w:rsid w:val="00AB7E46"/>
    <w:rsid w:val="00AC731C"/>
    <w:rsid w:val="00AD3470"/>
    <w:rsid w:val="00AD3EFC"/>
    <w:rsid w:val="00AD454F"/>
    <w:rsid w:val="00AE0BA0"/>
    <w:rsid w:val="00AE1465"/>
    <w:rsid w:val="00AE4BB5"/>
    <w:rsid w:val="00AE64BC"/>
    <w:rsid w:val="00AE7FB4"/>
    <w:rsid w:val="00AF0E8B"/>
    <w:rsid w:val="00AF236F"/>
    <w:rsid w:val="00AF2574"/>
    <w:rsid w:val="00AF2F41"/>
    <w:rsid w:val="00AF48E6"/>
    <w:rsid w:val="00B02043"/>
    <w:rsid w:val="00B04A08"/>
    <w:rsid w:val="00B05C8B"/>
    <w:rsid w:val="00B06415"/>
    <w:rsid w:val="00B065C4"/>
    <w:rsid w:val="00B1000C"/>
    <w:rsid w:val="00B11F0E"/>
    <w:rsid w:val="00B15B89"/>
    <w:rsid w:val="00B16096"/>
    <w:rsid w:val="00B2200A"/>
    <w:rsid w:val="00B23050"/>
    <w:rsid w:val="00B2359B"/>
    <w:rsid w:val="00B25022"/>
    <w:rsid w:val="00B30E4E"/>
    <w:rsid w:val="00B331A1"/>
    <w:rsid w:val="00B3587D"/>
    <w:rsid w:val="00B37E89"/>
    <w:rsid w:val="00B41AAF"/>
    <w:rsid w:val="00B43D98"/>
    <w:rsid w:val="00B44BF7"/>
    <w:rsid w:val="00B503F2"/>
    <w:rsid w:val="00B508CF"/>
    <w:rsid w:val="00B51A82"/>
    <w:rsid w:val="00B53730"/>
    <w:rsid w:val="00B55F06"/>
    <w:rsid w:val="00B56397"/>
    <w:rsid w:val="00B56ABB"/>
    <w:rsid w:val="00B61F23"/>
    <w:rsid w:val="00B62F78"/>
    <w:rsid w:val="00B63F38"/>
    <w:rsid w:val="00B66198"/>
    <w:rsid w:val="00B70B36"/>
    <w:rsid w:val="00B72261"/>
    <w:rsid w:val="00B72FA7"/>
    <w:rsid w:val="00B80ADE"/>
    <w:rsid w:val="00B810A0"/>
    <w:rsid w:val="00B84F1C"/>
    <w:rsid w:val="00B96038"/>
    <w:rsid w:val="00B9672D"/>
    <w:rsid w:val="00B970D9"/>
    <w:rsid w:val="00BA1754"/>
    <w:rsid w:val="00BA2553"/>
    <w:rsid w:val="00BA2693"/>
    <w:rsid w:val="00BA6CB1"/>
    <w:rsid w:val="00BB08BD"/>
    <w:rsid w:val="00BB0945"/>
    <w:rsid w:val="00BB0B1A"/>
    <w:rsid w:val="00BB2F4E"/>
    <w:rsid w:val="00BC672F"/>
    <w:rsid w:val="00BC78D0"/>
    <w:rsid w:val="00BD0F87"/>
    <w:rsid w:val="00BD1BF2"/>
    <w:rsid w:val="00BD3239"/>
    <w:rsid w:val="00BE7126"/>
    <w:rsid w:val="00BF5730"/>
    <w:rsid w:val="00BF6A9F"/>
    <w:rsid w:val="00BF6B0F"/>
    <w:rsid w:val="00BF7E82"/>
    <w:rsid w:val="00C03DFB"/>
    <w:rsid w:val="00C079F0"/>
    <w:rsid w:val="00C126EE"/>
    <w:rsid w:val="00C16E25"/>
    <w:rsid w:val="00C21843"/>
    <w:rsid w:val="00C21E73"/>
    <w:rsid w:val="00C2285D"/>
    <w:rsid w:val="00C24040"/>
    <w:rsid w:val="00C257E9"/>
    <w:rsid w:val="00C307F1"/>
    <w:rsid w:val="00C3187F"/>
    <w:rsid w:val="00C34142"/>
    <w:rsid w:val="00C345D0"/>
    <w:rsid w:val="00C37471"/>
    <w:rsid w:val="00C4190F"/>
    <w:rsid w:val="00C476BE"/>
    <w:rsid w:val="00C5051A"/>
    <w:rsid w:val="00C50708"/>
    <w:rsid w:val="00C52D61"/>
    <w:rsid w:val="00C5360B"/>
    <w:rsid w:val="00C55E8E"/>
    <w:rsid w:val="00C5630D"/>
    <w:rsid w:val="00C654F7"/>
    <w:rsid w:val="00C66EEF"/>
    <w:rsid w:val="00C67118"/>
    <w:rsid w:val="00C71FFF"/>
    <w:rsid w:val="00C72CAF"/>
    <w:rsid w:val="00C74DA9"/>
    <w:rsid w:val="00C75CF8"/>
    <w:rsid w:val="00C764AD"/>
    <w:rsid w:val="00C8172A"/>
    <w:rsid w:val="00C8300C"/>
    <w:rsid w:val="00C91DF4"/>
    <w:rsid w:val="00C92477"/>
    <w:rsid w:val="00C950F7"/>
    <w:rsid w:val="00CA0794"/>
    <w:rsid w:val="00CA1D02"/>
    <w:rsid w:val="00CA6586"/>
    <w:rsid w:val="00CA7517"/>
    <w:rsid w:val="00CA75A3"/>
    <w:rsid w:val="00CB13F5"/>
    <w:rsid w:val="00CB57DD"/>
    <w:rsid w:val="00CC085C"/>
    <w:rsid w:val="00CC1CA9"/>
    <w:rsid w:val="00CC4116"/>
    <w:rsid w:val="00CC609C"/>
    <w:rsid w:val="00CD03F1"/>
    <w:rsid w:val="00CD2DF8"/>
    <w:rsid w:val="00CD3F37"/>
    <w:rsid w:val="00CD4913"/>
    <w:rsid w:val="00CD508B"/>
    <w:rsid w:val="00CE0989"/>
    <w:rsid w:val="00CE3024"/>
    <w:rsid w:val="00CE41BE"/>
    <w:rsid w:val="00CF24CE"/>
    <w:rsid w:val="00CF4558"/>
    <w:rsid w:val="00CF4644"/>
    <w:rsid w:val="00CF5EDC"/>
    <w:rsid w:val="00CF77EB"/>
    <w:rsid w:val="00CF7B60"/>
    <w:rsid w:val="00D00808"/>
    <w:rsid w:val="00D0110A"/>
    <w:rsid w:val="00D01480"/>
    <w:rsid w:val="00D05543"/>
    <w:rsid w:val="00D11394"/>
    <w:rsid w:val="00D1256F"/>
    <w:rsid w:val="00D13185"/>
    <w:rsid w:val="00D154AE"/>
    <w:rsid w:val="00D2314D"/>
    <w:rsid w:val="00D260F9"/>
    <w:rsid w:val="00D27730"/>
    <w:rsid w:val="00D32980"/>
    <w:rsid w:val="00D369F7"/>
    <w:rsid w:val="00D41825"/>
    <w:rsid w:val="00D51405"/>
    <w:rsid w:val="00D545C9"/>
    <w:rsid w:val="00D5792D"/>
    <w:rsid w:val="00D6042B"/>
    <w:rsid w:val="00D71704"/>
    <w:rsid w:val="00D752D6"/>
    <w:rsid w:val="00D7550E"/>
    <w:rsid w:val="00D772FC"/>
    <w:rsid w:val="00D775EA"/>
    <w:rsid w:val="00D84176"/>
    <w:rsid w:val="00D85983"/>
    <w:rsid w:val="00D974A0"/>
    <w:rsid w:val="00DA0B2B"/>
    <w:rsid w:val="00DA6D5F"/>
    <w:rsid w:val="00DB0E0D"/>
    <w:rsid w:val="00DB38AA"/>
    <w:rsid w:val="00DB53A9"/>
    <w:rsid w:val="00DB557F"/>
    <w:rsid w:val="00DC0704"/>
    <w:rsid w:val="00DC1F6F"/>
    <w:rsid w:val="00DC3B90"/>
    <w:rsid w:val="00DC50AA"/>
    <w:rsid w:val="00DD4FF7"/>
    <w:rsid w:val="00DE2085"/>
    <w:rsid w:val="00DF23D9"/>
    <w:rsid w:val="00DF4047"/>
    <w:rsid w:val="00DF6930"/>
    <w:rsid w:val="00E02763"/>
    <w:rsid w:val="00E02B85"/>
    <w:rsid w:val="00E02E9B"/>
    <w:rsid w:val="00E134CF"/>
    <w:rsid w:val="00E175AA"/>
    <w:rsid w:val="00E21EBF"/>
    <w:rsid w:val="00E22158"/>
    <w:rsid w:val="00E22C1E"/>
    <w:rsid w:val="00E23EF1"/>
    <w:rsid w:val="00E27A39"/>
    <w:rsid w:val="00E303E2"/>
    <w:rsid w:val="00E31535"/>
    <w:rsid w:val="00E35C02"/>
    <w:rsid w:val="00E4025D"/>
    <w:rsid w:val="00E43372"/>
    <w:rsid w:val="00E45D57"/>
    <w:rsid w:val="00E50993"/>
    <w:rsid w:val="00E57A7F"/>
    <w:rsid w:val="00E601CA"/>
    <w:rsid w:val="00E60DD2"/>
    <w:rsid w:val="00E65D21"/>
    <w:rsid w:val="00E83306"/>
    <w:rsid w:val="00E83D0C"/>
    <w:rsid w:val="00E8667E"/>
    <w:rsid w:val="00E868D7"/>
    <w:rsid w:val="00E90DD9"/>
    <w:rsid w:val="00E91BBC"/>
    <w:rsid w:val="00E94656"/>
    <w:rsid w:val="00EA3A1C"/>
    <w:rsid w:val="00EA70AB"/>
    <w:rsid w:val="00EB2427"/>
    <w:rsid w:val="00EB5622"/>
    <w:rsid w:val="00EC110F"/>
    <w:rsid w:val="00EC1FEA"/>
    <w:rsid w:val="00EC4B8D"/>
    <w:rsid w:val="00EC54D6"/>
    <w:rsid w:val="00ED02E9"/>
    <w:rsid w:val="00ED0797"/>
    <w:rsid w:val="00ED200D"/>
    <w:rsid w:val="00ED353D"/>
    <w:rsid w:val="00ED4A4B"/>
    <w:rsid w:val="00EE45F8"/>
    <w:rsid w:val="00EE5722"/>
    <w:rsid w:val="00EE7060"/>
    <w:rsid w:val="00EF1914"/>
    <w:rsid w:val="00EF2FB1"/>
    <w:rsid w:val="00EF3C11"/>
    <w:rsid w:val="00F02664"/>
    <w:rsid w:val="00F04C8F"/>
    <w:rsid w:val="00F06866"/>
    <w:rsid w:val="00F06E55"/>
    <w:rsid w:val="00F123F8"/>
    <w:rsid w:val="00F13060"/>
    <w:rsid w:val="00F14623"/>
    <w:rsid w:val="00F15304"/>
    <w:rsid w:val="00F17094"/>
    <w:rsid w:val="00F20433"/>
    <w:rsid w:val="00F238D7"/>
    <w:rsid w:val="00F25D31"/>
    <w:rsid w:val="00F30366"/>
    <w:rsid w:val="00F31EBA"/>
    <w:rsid w:val="00F338F7"/>
    <w:rsid w:val="00F35D8A"/>
    <w:rsid w:val="00F4000B"/>
    <w:rsid w:val="00F43F60"/>
    <w:rsid w:val="00F54F93"/>
    <w:rsid w:val="00F6481E"/>
    <w:rsid w:val="00F64E38"/>
    <w:rsid w:val="00F65AF9"/>
    <w:rsid w:val="00F663F5"/>
    <w:rsid w:val="00F66D74"/>
    <w:rsid w:val="00F73090"/>
    <w:rsid w:val="00F73189"/>
    <w:rsid w:val="00F74572"/>
    <w:rsid w:val="00F756C7"/>
    <w:rsid w:val="00F76AEA"/>
    <w:rsid w:val="00F80F0C"/>
    <w:rsid w:val="00F851FA"/>
    <w:rsid w:val="00F87AE4"/>
    <w:rsid w:val="00FA19DF"/>
    <w:rsid w:val="00FB1AFC"/>
    <w:rsid w:val="00FB5D36"/>
    <w:rsid w:val="00FC144E"/>
    <w:rsid w:val="00FC4296"/>
    <w:rsid w:val="00FC50C9"/>
    <w:rsid w:val="00FD1E08"/>
    <w:rsid w:val="00FD4AA4"/>
    <w:rsid w:val="00FD7DFE"/>
    <w:rsid w:val="00FE2619"/>
    <w:rsid w:val="00FF0C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E73"/>
  </w:style>
  <w:style w:type="paragraph" w:styleId="Heading1">
    <w:name w:val="heading 1"/>
    <w:basedOn w:val="Normal"/>
    <w:next w:val="Normal"/>
    <w:link w:val="Heading1Char"/>
    <w:uiPriority w:val="9"/>
    <w:qFormat/>
    <w:rsid w:val="00A8522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8522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8522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A8522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8522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852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52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52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52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22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8522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8522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A8522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522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52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52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52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522A"/>
    <w:rPr>
      <w:rFonts w:eastAsiaTheme="majorEastAsia" w:cstheme="majorBidi"/>
      <w:color w:val="272727" w:themeColor="text1" w:themeTint="D8"/>
    </w:rPr>
  </w:style>
  <w:style w:type="paragraph" w:styleId="Title">
    <w:name w:val="Title"/>
    <w:basedOn w:val="Normal"/>
    <w:next w:val="Normal"/>
    <w:link w:val="TitleChar"/>
    <w:uiPriority w:val="10"/>
    <w:qFormat/>
    <w:rsid w:val="00A852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52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52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52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522A"/>
    <w:pPr>
      <w:spacing w:before="160"/>
      <w:jc w:val="center"/>
    </w:pPr>
    <w:rPr>
      <w:i/>
      <w:iCs/>
      <w:color w:val="404040" w:themeColor="text1" w:themeTint="BF"/>
    </w:rPr>
  </w:style>
  <w:style w:type="character" w:customStyle="1" w:styleId="QuoteChar">
    <w:name w:val="Quote Char"/>
    <w:basedOn w:val="DefaultParagraphFont"/>
    <w:link w:val="Quote"/>
    <w:uiPriority w:val="29"/>
    <w:rsid w:val="00A8522A"/>
    <w:rPr>
      <w:i/>
      <w:iCs/>
      <w:color w:val="404040" w:themeColor="text1" w:themeTint="BF"/>
    </w:rPr>
  </w:style>
  <w:style w:type="paragraph" w:styleId="ListParagraph">
    <w:name w:val="List Paragraph"/>
    <w:basedOn w:val="Normal"/>
    <w:uiPriority w:val="34"/>
    <w:qFormat/>
    <w:rsid w:val="00A8522A"/>
    <w:pPr>
      <w:ind w:left="720"/>
      <w:contextualSpacing/>
    </w:pPr>
  </w:style>
  <w:style w:type="character" w:styleId="IntenseEmphasis">
    <w:name w:val="Intense Emphasis"/>
    <w:basedOn w:val="DefaultParagraphFont"/>
    <w:uiPriority w:val="21"/>
    <w:qFormat/>
    <w:rsid w:val="00A8522A"/>
    <w:rPr>
      <w:i/>
      <w:iCs/>
      <w:color w:val="2F5496" w:themeColor="accent1" w:themeShade="BF"/>
    </w:rPr>
  </w:style>
  <w:style w:type="paragraph" w:styleId="IntenseQuote">
    <w:name w:val="Intense Quote"/>
    <w:basedOn w:val="Normal"/>
    <w:next w:val="Normal"/>
    <w:link w:val="IntenseQuoteChar"/>
    <w:uiPriority w:val="30"/>
    <w:qFormat/>
    <w:rsid w:val="00A8522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8522A"/>
    <w:rPr>
      <w:i/>
      <w:iCs/>
      <w:color w:val="2F5496" w:themeColor="accent1" w:themeShade="BF"/>
    </w:rPr>
  </w:style>
  <w:style w:type="character" w:styleId="IntenseReference">
    <w:name w:val="Intense Reference"/>
    <w:basedOn w:val="DefaultParagraphFont"/>
    <w:uiPriority w:val="32"/>
    <w:qFormat/>
    <w:rsid w:val="00A8522A"/>
    <w:rPr>
      <w:b/>
      <w:bCs/>
      <w:smallCaps/>
      <w:color w:val="2F5496" w:themeColor="accent1" w:themeShade="BF"/>
      <w:spacing w:val="5"/>
    </w:rPr>
  </w:style>
  <w:style w:type="character" w:styleId="Hyperlink">
    <w:name w:val="Hyperlink"/>
    <w:basedOn w:val="DefaultParagraphFont"/>
    <w:uiPriority w:val="99"/>
    <w:unhideWhenUsed/>
    <w:rsid w:val="00CA0794"/>
    <w:rPr>
      <w:color w:val="0563C1" w:themeColor="hyperlink"/>
      <w:u w:val="single"/>
    </w:rPr>
  </w:style>
  <w:style w:type="character" w:customStyle="1" w:styleId="UnresolvedMention">
    <w:name w:val="Unresolved Mention"/>
    <w:basedOn w:val="DefaultParagraphFont"/>
    <w:uiPriority w:val="99"/>
    <w:semiHidden/>
    <w:unhideWhenUsed/>
    <w:rsid w:val="00CA0794"/>
    <w:rPr>
      <w:color w:val="605E5C"/>
      <w:shd w:val="clear" w:color="auto" w:fill="E1DFDD"/>
    </w:rPr>
  </w:style>
  <w:style w:type="character" w:styleId="FollowedHyperlink">
    <w:name w:val="FollowedHyperlink"/>
    <w:basedOn w:val="DefaultParagraphFont"/>
    <w:uiPriority w:val="99"/>
    <w:semiHidden/>
    <w:unhideWhenUsed/>
    <w:rsid w:val="00B53730"/>
    <w:rPr>
      <w:color w:val="954F72" w:themeColor="followedHyperlink"/>
      <w:u w:val="single"/>
    </w:rPr>
  </w:style>
  <w:style w:type="paragraph" w:styleId="Header">
    <w:name w:val="header"/>
    <w:basedOn w:val="Normal"/>
    <w:link w:val="HeaderChar"/>
    <w:uiPriority w:val="99"/>
    <w:unhideWhenUsed/>
    <w:rsid w:val="00227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798C"/>
  </w:style>
  <w:style w:type="paragraph" w:styleId="Footer">
    <w:name w:val="footer"/>
    <w:basedOn w:val="Normal"/>
    <w:link w:val="FooterChar"/>
    <w:uiPriority w:val="99"/>
    <w:unhideWhenUsed/>
    <w:rsid w:val="00227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798C"/>
  </w:style>
  <w:style w:type="paragraph" w:styleId="NormalWeb">
    <w:name w:val="Normal (Web)"/>
    <w:basedOn w:val="Normal"/>
    <w:uiPriority w:val="99"/>
    <w:unhideWhenUsed/>
    <w:rsid w:val="00E91BBC"/>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styleId="Strong">
    <w:name w:val="Strong"/>
    <w:basedOn w:val="DefaultParagraphFont"/>
    <w:uiPriority w:val="22"/>
    <w:qFormat/>
    <w:rsid w:val="00E91BBC"/>
    <w:rPr>
      <w:b/>
      <w:bCs/>
    </w:rPr>
  </w:style>
  <w:style w:type="paragraph" w:customStyle="1" w:styleId="has-text-align-center">
    <w:name w:val="has-text-align-center"/>
    <w:basedOn w:val="Normal"/>
    <w:rsid w:val="00E91BBC"/>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paragraph" w:customStyle="1" w:styleId="nova-legacy-e-listitem">
    <w:name w:val="nova-legacy-e-list__item"/>
    <w:basedOn w:val="Normal"/>
    <w:rsid w:val="00E91BBC"/>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customStyle="1" w:styleId="button-text">
    <w:name w:val="button-text"/>
    <w:basedOn w:val="DefaultParagraphFont"/>
    <w:rsid w:val="00E91BBC"/>
  </w:style>
  <w:style w:type="character" w:customStyle="1" w:styleId="u-show-inline-from-lg">
    <w:name w:val="u-show-inline-from-lg"/>
    <w:basedOn w:val="DefaultParagraphFont"/>
    <w:rsid w:val="00E91BBC"/>
  </w:style>
  <w:style w:type="character" w:styleId="Emphasis">
    <w:name w:val="Emphasis"/>
    <w:basedOn w:val="DefaultParagraphFont"/>
    <w:uiPriority w:val="20"/>
    <w:qFormat/>
    <w:rsid w:val="00E91BBC"/>
    <w:rPr>
      <w:i/>
      <w:iCs/>
    </w:rPr>
  </w:style>
  <w:style w:type="character" w:customStyle="1" w:styleId="anchor-text">
    <w:name w:val="anchor-text"/>
    <w:basedOn w:val="DefaultParagraphFont"/>
    <w:rsid w:val="00E91BBC"/>
  </w:style>
  <w:style w:type="character" w:styleId="CommentReference">
    <w:name w:val="annotation reference"/>
    <w:basedOn w:val="DefaultParagraphFont"/>
    <w:uiPriority w:val="99"/>
    <w:semiHidden/>
    <w:unhideWhenUsed/>
    <w:rsid w:val="00E91BBC"/>
    <w:rPr>
      <w:sz w:val="16"/>
      <w:szCs w:val="16"/>
    </w:rPr>
  </w:style>
  <w:style w:type="paragraph" w:styleId="CommentText">
    <w:name w:val="annotation text"/>
    <w:basedOn w:val="Normal"/>
    <w:link w:val="CommentTextChar"/>
    <w:uiPriority w:val="99"/>
    <w:semiHidden/>
    <w:unhideWhenUsed/>
    <w:rsid w:val="00E91BBC"/>
    <w:pPr>
      <w:spacing w:line="240" w:lineRule="auto"/>
    </w:pPr>
    <w:rPr>
      <w:sz w:val="20"/>
      <w:szCs w:val="20"/>
    </w:rPr>
  </w:style>
  <w:style w:type="character" w:customStyle="1" w:styleId="CommentTextChar">
    <w:name w:val="Comment Text Char"/>
    <w:basedOn w:val="DefaultParagraphFont"/>
    <w:link w:val="CommentText"/>
    <w:uiPriority w:val="99"/>
    <w:semiHidden/>
    <w:rsid w:val="00E91BBC"/>
    <w:rPr>
      <w:sz w:val="20"/>
      <w:szCs w:val="20"/>
    </w:rPr>
  </w:style>
  <w:style w:type="paragraph" w:styleId="CommentSubject">
    <w:name w:val="annotation subject"/>
    <w:basedOn w:val="CommentText"/>
    <w:next w:val="CommentText"/>
    <w:link w:val="CommentSubjectChar"/>
    <w:uiPriority w:val="99"/>
    <w:semiHidden/>
    <w:unhideWhenUsed/>
    <w:rsid w:val="00E91BBC"/>
    <w:rPr>
      <w:b/>
      <w:bCs/>
    </w:rPr>
  </w:style>
  <w:style w:type="character" w:customStyle="1" w:styleId="CommentSubjectChar">
    <w:name w:val="Comment Subject Char"/>
    <w:basedOn w:val="CommentTextChar"/>
    <w:link w:val="CommentSubject"/>
    <w:uiPriority w:val="99"/>
    <w:semiHidden/>
    <w:rsid w:val="00E91BBC"/>
    <w:rPr>
      <w:b/>
      <w:bCs/>
      <w:sz w:val="20"/>
      <w:szCs w:val="20"/>
    </w:rPr>
  </w:style>
  <w:style w:type="table" w:styleId="TableGrid">
    <w:name w:val="Table Grid"/>
    <w:basedOn w:val="TableNormal"/>
    <w:uiPriority w:val="39"/>
    <w:rsid w:val="00E91B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ding-0">
    <w:name w:val="padding-0"/>
    <w:basedOn w:val="Normal"/>
    <w:rsid w:val="00E91BBC"/>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paragraph" w:customStyle="1" w:styleId="padding-3">
    <w:name w:val="padding-3"/>
    <w:basedOn w:val="Normal"/>
    <w:rsid w:val="00E91BBC"/>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paragraph" w:customStyle="1" w:styleId="c-article-author-listitem">
    <w:name w:val="c-article-author-list__item"/>
    <w:basedOn w:val="Normal"/>
    <w:rsid w:val="00E91BBC"/>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customStyle="1" w:styleId="title-text">
    <w:name w:val="title-text"/>
    <w:basedOn w:val="DefaultParagraphFont"/>
    <w:rsid w:val="00E91BBC"/>
  </w:style>
  <w:style w:type="character" w:customStyle="1" w:styleId="sr-only">
    <w:name w:val="sr-only"/>
    <w:basedOn w:val="DefaultParagraphFont"/>
    <w:rsid w:val="00E91BBC"/>
  </w:style>
  <w:style w:type="character" w:customStyle="1" w:styleId="react-xocs-alternative-link">
    <w:name w:val="react-xocs-alternative-link"/>
    <w:basedOn w:val="DefaultParagraphFont"/>
    <w:rsid w:val="00E91BBC"/>
  </w:style>
  <w:style w:type="character" w:customStyle="1" w:styleId="given-name">
    <w:name w:val="given-name"/>
    <w:basedOn w:val="DefaultParagraphFont"/>
    <w:rsid w:val="00E91BBC"/>
  </w:style>
  <w:style w:type="character" w:customStyle="1" w:styleId="text">
    <w:name w:val="text"/>
    <w:basedOn w:val="DefaultParagraphFont"/>
    <w:rsid w:val="00E91BBC"/>
  </w:style>
  <w:style w:type="character" w:customStyle="1" w:styleId="author-ref">
    <w:name w:val="author-ref"/>
    <w:basedOn w:val="DefaultParagraphFont"/>
    <w:rsid w:val="00E91BBC"/>
  </w:style>
  <w:style w:type="paragraph" w:styleId="BalloonText">
    <w:name w:val="Balloon Text"/>
    <w:basedOn w:val="Normal"/>
    <w:link w:val="BalloonTextChar"/>
    <w:uiPriority w:val="99"/>
    <w:semiHidden/>
    <w:unhideWhenUsed/>
    <w:rsid w:val="00FC50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0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doi.org/10.3390/biom10020181"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doi.org/10.1186/s40816-018-0076-9"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chart" Target="charts/chart3.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esktop\Macrosolen%20(Blume)%20Rchb.%20and%20Scurrula%20L\Pia%20chart.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Series 1</c:v>
                </c:pt>
              </c:strCache>
            </c:strRef>
          </c:tx>
          <c:spPr>
            <a:solidFill>
              <a:schemeClr val="accent6"/>
            </a:solidFill>
            <a:ln>
              <a:noFill/>
            </a:ln>
            <a:effectLst/>
          </c:spPr>
          <c:cat>
            <c:strRef>
              <c:f>Sheet1!$A$2:$A$7</c:f>
              <c:strCache>
                <c:ptCount val="6"/>
                <c:pt idx="0">
                  <c:v>Macrosolen cochinchinensis </c:v>
                </c:pt>
                <c:pt idx="1">
                  <c:v>Macrosolen globosus</c:v>
                </c:pt>
                <c:pt idx="2">
                  <c:v>Scurrula atropurpurea</c:v>
                </c:pt>
                <c:pt idx="3">
                  <c:v>Scurrula ferruginea</c:v>
                </c:pt>
                <c:pt idx="4">
                  <c:v>Scurrula oortiana </c:v>
                </c:pt>
                <c:pt idx="5">
                  <c:v>Scurrula parasitica</c:v>
                </c:pt>
              </c:strCache>
            </c:strRef>
          </c:cat>
          <c:val>
            <c:numRef>
              <c:f>Sheet1!$B$2:$B$7</c:f>
              <c:numCache>
                <c:formatCode>General</c:formatCode>
                <c:ptCount val="6"/>
                <c:pt idx="0">
                  <c:v>6</c:v>
                </c:pt>
                <c:pt idx="1">
                  <c:v>1</c:v>
                </c:pt>
                <c:pt idx="2">
                  <c:v>1</c:v>
                </c:pt>
                <c:pt idx="3">
                  <c:v>2</c:v>
                </c:pt>
                <c:pt idx="4">
                  <c:v>1</c:v>
                </c:pt>
                <c:pt idx="5">
                  <c:v>1</c:v>
                </c:pt>
              </c:numCache>
            </c:numRef>
          </c:val>
          <c:extLst xmlns:c16r2="http://schemas.microsoft.com/office/drawing/2015/06/chart">
            <c:ext xmlns:c16="http://schemas.microsoft.com/office/drawing/2014/chart" uri="{C3380CC4-5D6E-409C-BE32-E72D297353CC}">
              <c16:uniqueId val="{00000000-F8B9-48E7-87BA-67F742B703D5}"/>
            </c:ext>
          </c:extLst>
        </c:ser>
        <c:gapWidth val="219"/>
        <c:overlap val="-27"/>
        <c:axId val="88192896"/>
        <c:axId val="88608768"/>
      </c:barChart>
      <c:catAx>
        <c:axId val="88192896"/>
        <c:scaling>
          <c:orientation val="minMax"/>
        </c:scaling>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a:solidFill>
                      <a:sysClr val="windowText" lastClr="000000"/>
                    </a:solidFill>
                  </a:rPr>
                  <a:t>Plant species</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crossAx val="88608768"/>
        <c:crosses val="autoZero"/>
        <c:auto val="1"/>
        <c:lblAlgn val="ctr"/>
        <c:lblOffset val="100"/>
      </c:catAx>
      <c:valAx>
        <c:axId val="8860876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a:solidFill>
                      <a:sysClr val="windowText" lastClr="000000"/>
                    </a:solidFill>
                  </a:rPr>
                  <a:t>Number of medicinal uses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19289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Sheet1!$C$5</c:f>
              <c:strCache>
                <c:ptCount val="1"/>
                <c:pt idx="0">
                  <c:v>Used (%)</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4A8-4D87-9129-EFCDDF38863B}"/>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4A8-4D87-9129-EFCDDF38863B}"/>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4A8-4D87-9129-EFCDDF38863B}"/>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4A8-4D87-9129-EFCDDF38863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Sheet1!$B$6:$B$9</c:f>
              <c:strCache>
                <c:ptCount val="4"/>
                <c:pt idx="0">
                  <c:v>Whole plant parts</c:v>
                </c:pt>
                <c:pt idx="1">
                  <c:v>Stem</c:v>
                </c:pt>
                <c:pt idx="2">
                  <c:v>Fruits</c:v>
                </c:pt>
                <c:pt idx="3">
                  <c:v>Leaves</c:v>
                </c:pt>
              </c:strCache>
            </c:strRef>
          </c:cat>
          <c:val>
            <c:numRef>
              <c:f>Sheet1!$C$6:$C$9</c:f>
              <c:numCache>
                <c:formatCode>General</c:formatCode>
                <c:ptCount val="4"/>
                <c:pt idx="0">
                  <c:v>35.700000000000003</c:v>
                </c:pt>
                <c:pt idx="1">
                  <c:v>7.2</c:v>
                </c:pt>
                <c:pt idx="2">
                  <c:v>21.4</c:v>
                </c:pt>
                <c:pt idx="3">
                  <c:v>35.700000000000003</c:v>
                </c:pt>
              </c:numCache>
            </c:numRef>
          </c:val>
          <c:extLst xmlns:c16r2="http://schemas.microsoft.com/office/drawing/2015/06/chart">
            <c:ext xmlns:c16="http://schemas.microsoft.com/office/drawing/2014/chart" uri="{C3380CC4-5D6E-409C-BE32-E72D297353CC}">
              <c16:uniqueId val="{00000008-64A8-4D87-9129-EFCDDF38863B}"/>
            </c:ext>
          </c:extLst>
        </c:ser>
        <c:dLbls>
          <c:showPercent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Series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cat>
            <c:strRef>
              <c:f>Sheet1!$A$2:$A$10</c:f>
              <c:strCache>
                <c:ptCount val="9"/>
                <c:pt idx="0">
                  <c:v>Cardiovascular</c:v>
                </c:pt>
                <c:pt idx="1">
                  <c:v>Neurological</c:v>
                </c:pt>
                <c:pt idx="2">
                  <c:v>Reproductive</c:v>
                </c:pt>
                <c:pt idx="3">
                  <c:v>General health</c:v>
                </c:pt>
                <c:pt idx="4">
                  <c:v>Hepatic</c:v>
                </c:pt>
                <c:pt idx="5">
                  <c:v>Respiratory</c:v>
                </c:pt>
                <c:pt idx="6">
                  <c:v>Dermatological</c:v>
                </c:pt>
                <c:pt idx="7">
                  <c:v>Gastrointestinal</c:v>
                </c:pt>
                <c:pt idx="8">
                  <c:v>Renal</c:v>
                </c:pt>
              </c:strCache>
            </c:strRef>
          </c:cat>
          <c:val>
            <c:numRef>
              <c:f>Sheet1!$B$2:$B$10</c:f>
              <c:numCache>
                <c:formatCode>General</c:formatCode>
                <c:ptCount val="9"/>
                <c:pt idx="0">
                  <c:v>3</c:v>
                </c:pt>
                <c:pt idx="1">
                  <c:v>2</c:v>
                </c:pt>
                <c:pt idx="2">
                  <c:v>2</c:v>
                </c:pt>
                <c:pt idx="3">
                  <c:v>2</c:v>
                </c:pt>
                <c:pt idx="4">
                  <c:v>1</c:v>
                </c:pt>
                <c:pt idx="5">
                  <c:v>1</c:v>
                </c:pt>
                <c:pt idx="6">
                  <c:v>1</c:v>
                </c:pt>
                <c:pt idx="7">
                  <c:v>1</c:v>
                </c:pt>
                <c:pt idx="8">
                  <c:v>1</c:v>
                </c:pt>
              </c:numCache>
            </c:numRef>
          </c:val>
          <c:extLst xmlns:c16r2="http://schemas.microsoft.com/office/drawing/2015/06/chart">
            <c:ext xmlns:c16="http://schemas.microsoft.com/office/drawing/2014/chart" uri="{C3380CC4-5D6E-409C-BE32-E72D297353CC}">
              <c16:uniqueId val="{00000000-9AC0-4DC2-A8E8-F6ACBB8AF634}"/>
            </c:ext>
          </c:extLst>
        </c:ser>
        <c:gapWidth val="100"/>
        <c:overlap val="-24"/>
        <c:axId val="206807808"/>
        <c:axId val="247552640"/>
      </c:barChart>
      <c:catAx>
        <c:axId val="206807808"/>
        <c:scaling>
          <c:orientation val="minMax"/>
        </c:scaling>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Ailment catagory</a:t>
                </a:r>
              </a:p>
            </c:rich>
          </c:tx>
          <c:spPr>
            <a:noFill/>
            <a:ln>
              <a:noFill/>
            </a:ln>
            <a:effectLst/>
          </c:spPr>
        </c:title>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47552640"/>
        <c:crosses val="autoZero"/>
        <c:auto val="1"/>
        <c:lblAlgn val="ctr"/>
        <c:lblOffset val="100"/>
      </c:catAx>
      <c:valAx>
        <c:axId val="247552640"/>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Number of uses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680780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12</Pages>
  <Words>3669</Words>
  <Characters>20918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Sweta Mishra</dc:creator>
  <cp:keywords/>
  <dc:description/>
  <cp:lastModifiedBy>user</cp:lastModifiedBy>
  <cp:revision>73</cp:revision>
  <cp:lastPrinted>2025-11-05T06:07:00Z</cp:lastPrinted>
  <dcterms:created xsi:type="dcterms:W3CDTF">2025-12-05T04:03:00Z</dcterms:created>
  <dcterms:modified xsi:type="dcterms:W3CDTF">2025-12-10T08:57:00Z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2dd9dc6b-529b-46be-baf3-c7cd356124c6</vt:lpwstr>
  </property>
</Properties>
</file>