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FBFAA" w14:textId="2070C92E" w:rsidR="00B26622" w:rsidRDefault="004E16E5">
      <w:pPr>
        <w:spacing w:line="360" w:lineRule="auto"/>
        <w:jc w:val="both"/>
        <w:rPr>
          <w:rFonts w:ascii="Times New Roman" w:hAnsi="Times New Roman"/>
          <w:b/>
          <w:sz w:val="24"/>
          <w:szCs w:val="24"/>
        </w:rPr>
      </w:pPr>
      <w:r>
        <w:rPr>
          <w:rFonts w:ascii="Times New Roman" w:hAnsi="Times New Roman"/>
          <w:b/>
          <w:sz w:val="24"/>
          <w:szCs w:val="24"/>
        </w:rPr>
        <w:t>APHRODISIAC ACTIVITY OF FICUS PLATYPHYLLA</w:t>
      </w:r>
      <w:r>
        <w:rPr>
          <w:rFonts w:ascii="Times New Roman" w:hAnsi="Times New Roman"/>
          <w:b/>
          <w:sz w:val="24"/>
          <w:szCs w:val="24"/>
        </w:rPr>
        <w:t xml:space="preserve"> </w:t>
      </w:r>
      <w:r>
        <w:rPr>
          <w:rFonts w:ascii="Times New Roman" w:hAnsi="Times New Roman"/>
          <w:b/>
          <w:sz w:val="24"/>
          <w:szCs w:val="24"/>
        </w:rPr>
        <w:t>DELILE</w:t>
      </w:r>
      <w:r>
        <w:rPr>
          <w:rFonts w:ascii="Times New Roman" w:hAnsi="Times New Roman"/>
          <w:b/>
          <w:sz w:val="24"/>
          <w:szCs w:val="24"/>
        </w:rPr>
        <w:t xml:space="preserve"> </w:t>
      </w:r>
      <w:r>
        <w:rPr>
          <w:rFonts w:ascii="Times New Roman" w:hAnsi="Times New Roman"/>
          <w:b/>
          <w:sz w:val="24"/>
          <w:szCs w:val="24"/>
        </w:rPr>
        <w:t>STEM BARK AND ITS POLYHERBAL FORMULATION IN FEMALE ALBINO RAT</w:t>
      </w:r>
    </w:p>
    <w:p w14:paraId="374ED6D7" w14:textId="77777777" w:rsidR="00B26622" w:rsidRDefault="00B26622">
      <w:pPr>
        <w:pStyle w:val="Heading1"/>
        <w:spacing w:line="360" w:lineRule="auto"/>
        <w:jc w:val="both"/>
        <w:rPr>
          <w:color w:val="000000"/>
          <w:sz w:val="24"/>
          <w:szCs w:val="24"/>
        </w:rPr>
      </w:pPr>
      <w:bookmarkStart w:id="0" w:name="_GoBack"/>
      <w:bookmarkEnd w:id="0"/>
    </w:p>
    <w:p w14:paraId="6694D6C3" w14:textId="77777777" w:rsidR="00B26622" w:rsidRDefault="004E16E5">
      <w:pPr>
        <w:pStyle w:val="Heading1"/>
        <w:spacing w:line="360" w:lineRule="auto"/>
        <w:jc w:val="both"/>
        <w:rPr>
          <w:color w:val="000000"/>
          <w:sz w:val="24"/>
          <w:szCs w:val="24"/>
        </w:rPr>
      </w:pPr>
      <w:r>
        <w:rPr>
          <w:b w:val="0"/>
          <w:noProof/>
          <w:sz w:val="24"/>
          <w:szCs w:val="24"/>
          <w:lang w:val="fr-FR" w:eastAsia="fr-FR"/>
        </w:rPr>
        <mc:AlternateContent>
          <mc:Choice Requires="wps">
            <w:drawing>
              <wp:anchor distT="0" distB="0" distL="0" distR="0" simplePos="0" relativeHeight="251649536" behindDoc="0" locked="0" layoutInCell="1" allowOverlap="1">
                <wp:simplePos x="0" y="0"/>
                <wp:positionH relativeFrom="column">
                  <wp:posOffset>-351790</wp:posOffset>
                </wp:positionH>
                <wp:positionV relativeFrom="paragraph">
                  <wp:posOffset>339090</wp:posOffset>
                </wp:positionV>
                <wp:extent cx="6910705" cy="0"/>
                <wp:effectExtent l="10160" t="5080" r="13334" b="13970"/>
                <wp:wrapNone/>
                <wp:docPr id="10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1DF7B346" id="_x0000_t32" coordsize="21600,21600" o:spt="32" o:oned="t" path="m,l21600,21600e" filled="f">
                <v:path arrowok="t" fillok="f" o:connecttype="none"/>
                <o:lock v:ext="edit" shapetype="t"/>
              </v:shapetype>
              <v:shape id="Straight Arrow Connector 9" o:spid="_x0000_s1026" type="#_x0000_t32" style="position:absolute;margin-left:-27.7pt;margin-top:26.7pt;width:544.15pt;height:0;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">
                <o:lock v:ext="edit" shapetype="f"/>
              </v:shape>
            </w:pict>
          </mc:Fallback>
        </mc:AlternateContent>
      </w:r>
      <w:r>
        <w:rPr>
          <w:color w:val="000000"/>
          <w:sz w:val="24"/>
          <w:szCs w:val="24"/>
        </w:rPr>
        <w:t xml:space="preserve">                                                           ABSTRACT</w:t>
      </w:r>
    </w:p>
    <w:p w14:paraId="76FFDCD0" w14:textId="77777777" w:rsidR="00B26622" w:rsidRDefault="004E16E5">
      <w:pPr>
        <w:spacing w:line="36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w:t>
      </w:r>
      <w:r>
        <w:rPr>
          <w:rFonts w:ascii="Times New Roman" w:hAnsi="Times New Roman"/>
          <w:i/>
          <w:sz w:val="24"/>
          <w:szCs w:val="24"/>
        </w:rPr>
        <w:t>Ficus platyphylla</w:t>
      </w:r>
      <w:r>
        <w:rPr>
          <w:rFonts w:ascii="Times New Roman" w:hAnsi="Times New Roman"/>
          <w:sz w:val="24"/>
          <w:szCs w:val="24"/>
        </w:rPr>
        <w:t xml:space="preserve"> is traditionally used in African medicine to enhance fertility and libido, but scientific evidence supporting its aphrodisiac effects, particularly in females, remains limited.</w:t>
      </w:r>
    </w:p>
    <w:p w14:paraId="50C71FEE" w14:textId="77777777" w:rsidR="00B26622" w:rsidRDefault="004E16E5">
      <w:pPr>
        <w:spacing w:line="360" w:lineRule="auto"/>
        <w:jc w:val="both"/>
        <w:rPr>
          <w:rFonts w:ascii="Times New Roman" w:hAnsi="Times New Roman"/>
          <w:sz w:val="24"/>
          <w:szCs w:val="24"/>
        </w:rPr>
      </w:pPr>
      <w:r>
        <w:rPr>
          <w:rFonts w:ascii="Times New Roman" w:hAnsi="Times New Roman"/>
          <w:b/>
          <w:sz w:val="24"/>
          <w:szCs w:val="24"/>
        </w:rPr>
        <w:t>Objective</w:t>
      </w:r>
      <w:r>
        <w:rPr>
          <w:rFonts w:ascii="Times New Roman" w:hAnsi="Times New Roman"/>
          <w:sz w:val="24"/>
          <w:szCs w:val="24"/>
        </w:rPr>
        <w:t xml:space="preserve">: This study assessed the aphrodisiac potential of aqueous stem bark </w:t>
      </w:r>
      <w:r>
        <w:rPr>
          <w:rFonts w:ascii="Times New Roman" w:hAnsi="Times New Roman"/>
          <w:sz w:val="24"/>
          <w:szCs w:val="24"/>
        </w:rPr>
        <w:t xml:space="preserve">extract of </w:t>
      </w:r>
      <w:r>
        <w:rPr>
          <w:rFonts w:ascii="Times New Roman" w:hAnsi="Times New Roman"/>
          <w:i/>
          <w:sz w:val="24"/>
          <w:szCs w:val="24"/>
        </w:rPr>
        <w:t xml:space="preserve">F. platyphylla </w:t>
      </w:r>
      <w:r>
        <w:rPr>
          <w:rFonts w:ascii="Times New Roman" w:hAnsi="Times New Roman"/>
          <w:sz w:val="24"/>
          <w:szCs w:val="24"/>
        </w:rPr>
        <w:t>and its polyherbal formulation in female albino rats (</w:t>
      </w:r>
      <w:r>
        <w:rPr>
          <w:rFonts w:ascii="Times New Roman" w:hAnsi="Times New Roman"/>
          <w:i/>
          <w:sz w:val="24"/>
          <w:szCs w:val="24"/>
        </w:rPr>
        <w:t>Rattus norvegicus</w:t>
      </w:r>
      <w:r>
        <w:rPr>
          <w:rFonts w:ascii="Times New Roman" w:hAnsi="Times New Roman"/>
          <w:sz w:val="24"/>
          <w:szCs w:val="24"/>
        </w:rPr>
        <w:t>).</w:t>
      </w:r>
    </w:p>
    <w:p w14:paraId="0220DDC8" w14:textId="77777777" w:rsidR="00B26622" w:rsidRDefault="004E16E5">
      <w:pPr>
        <w:spacing w:line="360" w:lineRule="auto"/>
        <w:jc w:val="both"/>
        <w:rPr>
          <w:rFonts w:ascii="Times New Roman" w:hAnsi="Times New Roman"/>
          <w:sz w:val="24"/>
          <w:szCs w:val="24"/>
        </w:rPr>
      </w:pPr>
      <w:r>
        <w:rPr>
          <w:rFonts w:ascii="Times New Roman" w:hAnsi="Times New Roman"/>
          <w:b/>
          <w:sz w:val="24"/>
          <w:szCs w:val="24"/>
        </w:rPr>
        <w:t>Methods</w:t>
      </w:r>
      <w:r>
        <w:rPr>
          <w:rFonts w:ascii="Times New Roman" w:hAnsi="Times New Roman"/>
          <w:sz w:val="24"/>
          <w:szCs w:val="24"/>
        </w:rPr>
        <w:t xml:space="preserve">: Thirty-two female albino rats were randomly assigned to eight groups (n=4). Groups received oral doses of </w:t>
      </w:r>
      <w:r>
        <w:rPr>
          <w:rFonts w:ascii="Times New Roman" w:hAnsi="Times New Roman"/>
          <w:i/>
          <w:sz w:val="24"/>
          <w:szCs w:val="24"/>
        </w:rPr>
        <w:t>F. platyphylla</w:t>
      </w:r>
      <w:r>
        <w:rPr>
          <w:rFonts w:ascii="Times New Roman" w:hAnsi="Times New Roman"/>
          <w:sz w:val="24"/>
          <w:szCs w:val="24"/>
        </w:rPr>
        <w:t xml:space="preserve"> extract (25, 50, 100 mg/kg</w:t>
      </w:r>
      <w:r>
        <w:rPr>
          <w:rFonts w:ascii="Times New Roman" w:hAnsi="Times New Roman"/>
          <w:sz w:val="24"/>
          <w:szCs w:val="24"/>
        </w:rPr>
        <w:t>), polyherbal formulation (25, 50, 100 mg/kg), Exus Ginseng (5.7 mg/kg, positive control), or distilled water (1 mL, normal control). One-hour post-treatment, sexual behavior parameters (darting, hopping, licking, ear wiggling, genital and anogenital groom</w:t>
      </w:r>
      <w:r>
        <w:rPr>
          <w:rFonts w:ascii="Times New Roman" w:hAnsi="Times New Roman"/>
          <w:sz w:val="24"/>
          <w:szCs w:val="24"/>
        </w:rPr>
        <w:t>ing, lordosis) were monitored for 30 min. Serum levels of estrogen, testosterone, progesterone, and follicle-stimulating hormone (FSH) were determined using ELISA. Ovarian tissues were examined histologically.</w:t>
      </w:r>
    </w:p>
    <w:p w14:paraId="41E8FFD9" w14:textId="79D99B02" w:rsidR="00B26622" w:rsidRDefault="004E16E5">
      <w:pPr>
        <w:spacing w:line="360" w:lineRule="auto"/>
        <w:jc w:val="both"/>
        <w:rPr>
          <w:rFonts w:ascii="Times New Roman" w:hAnsi="Times New Roman"/>
          <w:sz w:val="24"/>
          <w:szCs w:val="24"/>
        </w:rPr>
      </w:pPr>
      <w:r>
        <w:rPr>
          <w:rFonts w:ascii="Times New Roman" w:hAnsi="Times New Roman"/>
          <w:b/>
          <w:sz w:val="24"/>
          <w:szCs w:val="24"/>
        </w:rPr>
        <w:t>Results</w:t>
      </w:r>
      <w:r>
        <w:rPr>
          <w:rFonts w:ascii="Times New Roman" w:hAnsi="Times New Roman"/>
          <w:sz w:val="24"/>
          <w:szCs w:val="24"/>
        </w:rPr>
        <w:t>: Phytochemical screening identified si</w:t>
      </w:r>
      <w:r>
        <w:rPr>
          <w:rFonts w:ascii="Times New Roman" w:hAnsi="Times New Roman"/>
          <w:sz w:val="24"/>
          <w:szCs w:val="24"/>
        </w:rPr>
        <w:t xml:space="preserve">x secondary metabolites (tannins, saponins, flavonoids, alkaloids, steroids, anthraquinones) in </w:t>
      </w:r>
      <w:r>
        <w:rPr>
          <w:rFonts w:ascii="Times New Roman" w:hAnsi="Times New Roman"/>
          <w:i/>
          <w:sz w:val="24"/>
          <w:szCs w:val="24"/>
        </w:rPr>
        <w:t>F. platyphylla</w:t>
      </w:r>
      <w:r>
        <w:rPr>
          <w:rFonts w:ascii="Times New Roman" w:hAnsi="Times New Roman"/>
          <w:sz w:val="24"/>
          <w:szCs w:val="24"/>
        </w:rPr>
        <w:t xml:space="preserve"> and eight in the polyherbal formulation (</w:t>
      </w:r>
      <w:r>
        <w:rPr>
          <w:rFonts w:ascii="Times New Roman" w:hAnsi="Times New Roman"/>
          <w:sz w:val="24"/>
          <w:szCs w:val="24"/>
        </w:rPr>
        <w:t>t</w:t>
      </w:r>
      <w:r>
        <w:rPr>
          <w:rFonts w:ascii="Times New Roman" w:hAnsi="Times New Roman"/>
          <w:sz w:val="24"/>
          <w:szCs w:val="24"/>
        </w:rPr>
        <w:t>a</w:t>
      </w:r>
      <w:r>
        <w:rPr>
          <w:rFonts w:ascii="Times New Roman" w:hAnsi="Times New Roman"/>
          <w:sz w:val="24"/>
          <w:szCs w:val="24"/>
        </w:rPr>
        <w:t>n</w:t>
      </w:r>
      <w:r>
        <w:rPr>
          <w:rFonts w:ascii="Times New Roman" w:hAnsi="Times New Roman"/>
          <w:sz w:val="24"/>
          <w:szCs w:val="24"/>
        </w:rPr>
        <w:t>n</w:t>
      </w:r>
      <w:r>
        <w:rPr>
          <w:rFonts w:ascii="Times New Roman" w:hAnsi="Times New Roman"/>
          <w:sz w:val="24"/>
          <w:szCs w:val="24"/>
        </w:rPr>
        <w:t>i</w:t>
      </w:r>
      <w:r>
        <w:rPr>
          <w:rFonts w:ascii="Times New Roman" w:hAnsi="Times New Roman"/>
          <w:sz w:val="24"/>
          <w:szCs w:val="24"/>
        </w:rPr>
        <w:t>n</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a</w:t>
      </w:r>
      <w:r>
        <w:rPr>
          <w:rFonts w:ascii="Times New Roman" w:hAnsi="Times New Roman"/>
          <w:sz w:val="24"/>
          <w:szCs w:val="24"/>
        </w:rPr>
        <w:t>p</w:t>
      </w:r>
      <w:r>
        <w:rPr>
          <w:rFonts w:ascii="Times New Roman" w:hAnsi="Times New Roman"/>
          <w:sz w:val="24"/>
          <w:szCs w:val="24"/>
        </w:rPr>
        <w:t>o</w:t>
      </w:r>
      <w:r>
        <w:rPr>
          <w:rFonts w:ascii="Times New Roman" w:hAnsi="Times New Roman"/>
          <w:sz w:val="24"/>
          <w:szCs w:val="24"/>
        </w:rPr>
        <w:t>n</w:t>
      </w:r>
      <w:r>
        <w:rPr>
          <w:rFonts w:ascii="Times New Roman" w:hAnsi="Times New Roman"/>
          <w:sz w:val="24"/>
          <w:szCs w:val="24"/>
        </w:rPr>
        <w:t>i</w:t>
      </w:r>
      <w:r>
        <w:rPr>
          <w:rFonts w:ascii="Times New Roman" w:hAnsi="Times New Roman"/>
          <w:sz w:val="24"/>
          <w:szCs w:val="24"/>
        </w:rPr>
        <w:t>ns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f</w:t>
      </w:r>
      <w:r>
        <w:rPr>
          <w:rFonts w:ascii="Times New Roman" w:hAnsi="Times New Roman"/>
          <w:sz w:val="24"/>
          <w:szCs w:val="24"/>
        </w:rPr>
        <w:t>l</w:t>
      </w:r>
      <w:r>
        <w:rPr>
          <w:rFonts w:ascii="Times New Roman" w:hAnsi="Times New Roman"/>
          <w:sz w:val="24"/>
          <w:szCs w:val="24"/>
        </w:rPr>
        <w:t>a</w:t>
      </w:r>
      <w:r>
        <w:rPr>
          <w:rFonts w:ascii="Times New Roman" w:hAnsi="Times New Roman"/>
          <w:sz w:val="24"/>
          <w:szCs w:val="24"/>
        </w:rPr>
        <w:t>v</w:t>
      </w:r>
      <w:r>
        <w:rPr>
          <w:rFonts w:ascii="Times New Roman" w:hAnsi="Times New Roman"/>
          <w:sz w:val="24"/>
          <w:szCs w:val="24"/>
        </w:rPr>
        <w:t>o</w:t>
      </w:r>
      <w:r>
        <w:rPr>
          <w:rFonts w:ascii="Times New Roman" w:hAnsi="Times New Roman"/>
          <w:sz w:val="24"/>
          <w:szCs w:val="24"/>
        </w:rPr>
        <w:t>n</w:t>
      </w:r>
      <w:r>
        <w:rPr>
          <w:rFonts w:ascii="Times New Roman" w:hAnsi="Times New Roman"/>
          <w:sz w:val="24"/>
          <w:szCs w:val="24"/>
        </w:rPr>
        <w:t>o</w:t>
      </w:r>
      <w:r>
        <w:rPr>
          <w:rFonts w:ascii="Times New Roman" w:hAnsi="Times New Roman"/>
          <w:sz w:val="24"/>
          <w:szCs w:val="24"/>
        </w:rPr>
        <w:t>i</w:t>
      </w:r>
      <w:r>
        <w:rPr>
          <w:rFonts w:ascii="Times New Roman" w:hAnsi="Times New Roman"/>
          <w:sz w:val="24"/>
          <w:szCs w:val="24"/>
        </w:rPr>
        <w:t>d</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l</w:t>
      </w:r>
      <w:r>
        <w:rPr>
          <w:rFonts w:ascii="Times New Roman" w:hAnsi="Times New Roman"/>
          <w:sz w:val="24"/>
          <w:szCs w:val="24"/>
        </w:rPr>
        <w:t>k</w:t>
      </w:r>
      <w:r>
        <w:rPr>
          <w:rFonts w:ascii="Times New Roman" w:hAnsi="Times New Roman"/>
          <w:sz w:val="24"/>
          <w:szCs w:val="24"/>
        </w:rPr>
        <w:t>a</w:t>
      </w:r>
      <w:r>
        <w:rPr>
          <w:rFonts w:ascii="Times New Roman" w:hAnsi="Times New Roman"/>
          <w:sz w:val="24"/>
          <w:szCs w:val="24"/>
        </w:rPr>
        <w:t>l</w:t>
      </w:r>
      <w:r>
        <w:rPr>
          <w:rFonts w:ascii="Times New Roman" w:hAnsi="Times New Roman"/>
          <w:sz w:val="24"/>
          <w:szCs w:val="24"/>
        </w:rPr>
        <w:t>o</w:t>
      </w:r>
      <w:r>
        <w:rPr>
          <w:rFonts w:ascii="Times New Roman" w:hAnsi="Times New Roman"/>
          <w:sz w:val="24"/>
          <w:szCs w:val="24"/>
        </w:rPr>
        <w:t>i</w:t>
      </w:r>
      <w:r>
        <w:rPr>
          <w:rFonts w:ascii="Times New Roman" w:hAnsi="Times New Roman"/>
          <w:sz w:val="24"/>
          <w:szCs w:val="24"/>
        </w:rPr>
        <w:t>d</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t</w:t>
      </w:r>
      <w:r>
        <w:rPr>
          <w:rFonts w:ascii="Times New Roman" w:hAnsi="Times New Roman"/>
          <w:sz w:val="24"/>
          <w:szCs w:val="24"/>
        </w:rPr>
        <w:t>e</w:t>
      </w:r>
      <w:r>
        <w:rPr>
          <w:rFonts w:ascii="Times New Roman" w:hAnsi="Times New Roman"/>
          <w:sz w:val="24"/>
          <w:szCs w:val="24"/>
        </w:rPr>
        <w:t>r</w:t>
      </w:r>
      <w:r>
        <w:rPr>
          <w:rFonts w:ascii="Times New Roman" w:hAnsi="Times New Roman"/>
          <w:sz w:val="24"/>
          <w:szCs w:val="24"/>
        </w:rPr>
        <w:t>o</w:t>
      </w:r>
      <w:r>
        <w:rPr>
          <w:rFonts w:ascii="Times New Roman" w:hAnsi="Times New Roman"/>
          <w:sz w:val="24"/>
          <w:szCs w:val="24"/>
        </w:rPr>
        <w:t>i</w:t>
      </w:r>
      <w:r>
        <w:rPr>
          <w:rFonts w:ascii="Times New Roman" w:hAnsi="Times New Roman"/>
          <w:sz w:val="24"/>
          <w:szCs w:val="24"/>
        </w:rPr>
        <w:t>d</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c</w:t>
      </w:r>
      <w:r>
        <w:rPr>
          <w:rFonts w:ascii="Times New Roman" w:hAnsi="Times New Roman"/>
          <w:sz w:val="24"/>
          <w:szCs w:val="24"/>
        </w:rPr>
        <w:t>a</w:t>
      </w:r>
      <w:r>
        <w:rPr>
          <w:rFonts w:ascii="Times New Roman" w:hAnsi="Times New Roman"/>
          <w:sz w:val="24"/>
          <w:szCs w:val="24"/>
        </w:rPr>
        <w:t>r</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ac</w:t>
      </w:r>
      <w:r>
        <w:rPr>
          <w:rFonts w:ascii="Times New Roman" w:hAnsi="Times New Roman"/>
          <w:sz w:val="24"/>
          <w:szCs w:val="24"/>
        </w:rPr>
        <w:t xml:space="preserve"> g</w:t>
      </w:r>
      <w:r>
        <w:rPr>
          <w:rFonts w:ascii="Times New Roman" w:hAnsi="Times New Roman"/>
          <w:sz w:val="24"/>
          <w:szCs w:val="24"/>
        </w:rPr>
        <w:t>l</w:t>
      </w:r>
      <w:r>
        <w:rPr>
          <w:rFonts w:ascii="Times New Roman" w:hAnsi="Times New Roman"/>
          <w:sz w:val="24"/>
          <w:szCs w:val="24"/>
        </w:rPr>
        <w:t>y</w:t>
      </w:r>
      <w:r>
        <w:rPr>
          <w:rFonts w:ascii="Times New Roman" w:hAnsi="Times New Roman"/>
          <w:sz w:val="24"/>
          <w:szCs w:val="24"/>
        </w:rPr>
        <w:t>c</w:t>
      </w:r>
      <w:r>
        <w:rPr>
          <w:rFonts w:ascii="Times New Roman" w:hAnsi="Times New Roman"/>
          <w:sz w:val="24"/>
          <w:szCs w:val="24"/>
        </w:rPr>
        <w:t>o</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d</w:t>
      </w:r>
      <w:r>
        <w:rPr>
          <w:rFonts w:ascii="Times New Roman" w:hAnsi="Times New Roman"/>
          <w:sz w:val="24"/>
          <w:szCs w:val="24"/>
        </w:rPr>
        <w:t>e</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h</w:t>
      </w:r>
      <w:r>
        <w:rPr>
          <w:rFonts w:ascii="Times New Roman" w:hAnsi="Times New Roman"/>
          <w:sz w:val="24"/>
          <w:szCs w:val="24"/>
        </w:rPr>
        <w:t>e</w:t>
      </w:r>
      <w:r>
        <w:rPr>
          <w:rFonts w:ascii="Times New Roman" w:hAnsi="Times New Roman"/>
          <w:sz w:val="24"/>
          <w:szCs w:val="24"/>
        </w:rPr>
        <w:t>n</w:t>
      </w:r>
      <w:r>
        <w:rPr>
          <w:rFonts w:ascii="Times New Roman" w:hAnsi="Times New Roman"/>
          <w:sz w:val="24"/>
          <w:szCs w:val="24"/>
        </w:rPr>
        <w:t>o</w:t>
      </w:r>
      <w:r>
        <w:rPr>
          <w:rFonts w:ascii="Times New Roman" w:hAnsi="Times New Roman"/>
          <w:sz w:val="24"/>
          <w:szCs w:val="24"/>
        </w:rPr>
        <w:t>l</w:t>
      </w:r>
      <w:r>
        <w:rPr>
          <w:rFonts w:ascii="Times New Roman" w:hAnsi="Times New Roman"/>
          <w:sz w:val="24"/>
          <w:szCs w:val="24"/>
        </w:rPr>
        <w:t>i</w:t>
      </w:r>
      <w:r>
        <w:rPr>
          <w:rFonts w:ascii="Times New Roman" w:hAnsi="Times New Roman"/>
          <w:sz w:val="24"/>
          <w:szCs w:val="24"/>
        </w:rPr>
        <w:t>c</w:t>
      </w:r>
      <w:r>
        <w:rPr>
          <w:rFonts w:ascii="Times New Roman" w:hAnsi="Times New Roman"/>
          <w:sz w:val="24"/>
          <w:szCs w:val="24"/>
        </w:rPr>
        <w:t xml:space="preserve"> </w:t>
      </w:r>
      <w:r>
        <w:rPr>
          <w:rFonts w:ascii="Times New Roman" w:hAnsi="Times New Roman"/>
          <w:sz w:val="24"/>
          <w:szCs w:val="24"/>
        </w:rPr>
        <w:t>c</w:t>
      </w:r>
      <w:r>
        <w:rPr>
          <w:rFonts w:ascii="Times New Roman" w:hAnsi="Times New Roman"/>
          <w:sz w:val="24"/>
          <w:szCs w:val="24"/>
        </w:rPr>
        <w:t>o</w:t>
      </w:r>
      <w:r>
        <w:rPr>
          <w:rFonts w:ascii="Times New Roman" w:hAnsi="Times New Roman"/>
          <w:sz w:val="24"/>
          <w:szCs w:val="24"/>
        </w:rPr>
        <w:t>m</w:t>
      </w:r>
      <w:r>
        <w:rPr>
          <w:rFonts w:ascii="Times New Roman" w:hAnsi="Times New Roman"/>
          <w:sz w:val="24"/>
          <w:szCs w:val="24"/>
        </w:rPr>
        <w:t>p</w:t>
      </w:r>
      <w:r>
        <w:rPr>
          <w:rFonts w:ascii="Times New Roman" w:hAnsi="Times New Roman"/>
          <w:sz w:val="24"/>
          <w:szCs w:val="24"/>
        </w:rPr>
        <w:t>o</w:t>
      </w:r>
      <w:r>
        <w:rPr>
          <w:rFonts w:ascii="Times New Roman" w:hAnsi="Times New Roman"/>
          <w:sz w:val="24"/>
          <w:szCs w:val="24"/>
        </w:rPr>
        <w:t>und</w:t>
      </w:r>
      <w:r>
        <w:rPr>
          <w:rFonts w:ascii="Times New Roman" w:hAnsi="Times New Roman"/>
          <w:sz w:val="24"/>
          <w:szCs w:val="24"/>
        </w:rPr>
        <w:t>s</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n</w:t>
      </w:r>
      <w:r>
        <w:rPr>
          <w:rFonts w:ascii="Times New Roman" w:hAnsi="Times New Roman"/>
          <w:sz w:val="24"/>
          <w:szCs w:val="24"/>
        </w:rPr>
        <w:t>d</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h</w:t>
      </w:r>
      <w:r>
        <w:rPr>
          <w:rFonts w:ascii="Times New Roman" w:hAnsi="Times New Roman"/>
          <w:sz w:val="24"/>
          <w:szCs w:val="24"/>
        </w:rPr>
        <w:t>l</w:t>
      </w:r>
      <w:r>
        <w:rPr>
          <w:rFonts w:ascii="Times New Roman" w:hAnsi="Times New Roman"/>
          <w:sz w:val="24"/>
          <w:szCs w:val="24"/>
        </w:rPr>
        <w:t>o</w:t>
      </w:r>
      <w:r>
        <w:rPr>
          <w:rFonts w:ascii="Times New Roman" w:hAnsi="Times New Roman"/>
          <w:sz w:val="24"/>
          <w:szCs w:val="24"/>
        </w:rPr>
        <w:t>b</w:t>
      </w:r>
      <w:r>
        <w:rPr>
          <w:rFonts w:ascii="Times New Roman" w:hAnsi="Times New Roman"/>
          <w:sz w:val="24"/>
          <w:szCs w:val="24"/>
        </w:rPr>
        <w:t>a</w:t>
      </w:r>
      <w:r>
        <w:rPr>
          <w:rFonts w:ascii="Times New Roman" w:hAnsi="Times New Roman"/>
          <w:sz w:val="24"/>
          <w:szCs w:val="24"/>
        </w:rPr>
        <w:t>t</w:t>
      </w:r>
      <w:r>
        <w:rPr>
          <w:rFonts w:ascii="Times New Roman" w:hAnsi="Times New Roman"/>
          <w:sz w:val="24"/>
          <w:szCs w:val="24"/>
        </w:rPr>
        <w:t>a</w:t>
      </w:r>
      <w:r>
        <w:rPr>
          <w:rFonts w:ascii="Times New Roman" w:hAnsi="Times New Roman"/>
          <w:sz w:val="24"/>
          <w:szCs w:val="24"/>
        </w:rPr>
        <w:t>n</w:t>
      </w:r>
      <w:r>
        <w:rPr>
          <w:rFonts w:ascii="Times New Roman" w:hAnsi="Times New Roman"/>
          <w:sz w:val="24"/>
          <w:szCs w:val="24"/>
        </w:rPr>
        <w:t>n</w:t>
      </w:r>
      <w:r>
        <w:rPr>
          <w:rFonts w:ascii="Times New Roman" w:hAnsi="Times New Roman"/>
          <w:sz w:val="24"/>
          <w:szCs w:val="24"/>
        </w:rPr>
        <w:t>i</w:t>
      </w:r>
      <w:r>
        <w:rPr>
          <w:rFonts w:ascii="Times New Roman" w:hAnsi="Times New Roman"/>
          <w:sz w:val="24"/>
          <w:szCs w:val="24"/>
        </w:rPr>
        <w:t>n</w:t>
      </w:r>
      <w:r>
        <w:rPr>
          <w:rFonts w:ascii="Times New Roman" w:hAnsi="Times New Roman"/>
          <w:sz w:val="24"/>
          <w:szCs w:val="24"/>
        </w:rPr>
        <w:t>s</w:t>
      </w:r>
      <w:r>
        <w:rPr>
          <w:rFonts w:ascii="Times New Roman" w:hAnsi="Times New Roman"/>
          <w:sz w:val="24"/>
          <w:szCs w:val="24"/>
        </w:rPr>
        <w:t xml:space="preserve">). The 25 mg/kg dose of </w:t>
      </w:r>
      <w:r>
        <w:rPr>
          <w:rFonts w:ascii="Times New Roman" w:hAnsi="Times New Roman"/>
          <w:i/>
          <w:sz w:val="24"/>
          <w:szCs w:val="24"/>
        </w:rPr>
        <w:t>F. platyphylla</w:t>
      </w:r>
      <w:r>
        <w:rPr>
          <w:rFonts w:ascii="Times New Roman" w:hAnsi="Times New Roman"/>
          <w:sz w:val="24"/>
          <w:szCs w:val="24"/>
        </w:rPr>
        <w:t xml:space="preserve"> and its polyherbal formulation significantly (P&lt;0.05) increased darting, hopping, licking, ear wiggling, genital and anogenital grooming, and lordosis, comparable to Exus</w:t>
      </w:r>
      <w:r>
        <w:rPr>
          <w:rFonts w:ascii="Times New Roman" w:hAnsi="Times New Roman"/>
          <w:sz w:val="24"/>
          <w:szCs w:val="24"/>
        </w:rPr>
        <w:t xml:space="preserve"> Ginseng. Serum estrogen increased significantly (P&lt;0.05) at 25 mg/kg </w:t>
      </w:r>
      <w:r>
        <w:rPr>
          <w:rFonts w:ascii="Times New Roman" w:hAnsi="Times New Roman"/>
          <w:i/>
          <w:sz w:val="24"/>
          <w:szCs w:val="24"/>
        </w:rPr>
        <w:t>F. platyphylla</w:t>
      </w:r>
      <w:r>
        <w:rPr>
          <w:rFonts w:ascii="Times New Roman" w:hAnsi="Times New Roman"/>
          <w:sz w:val="24"/>
          <w:szCs w:val="24"/>
        </w:rPr>
        <w:t>, with no changes in FSH or testosterone. The 50 mg/kg dose moderately elevated FSH, estrogen, progesterone, and testosterone, while 100 mg/kg showed the lowest hormonal ef</w:t>
      </w:r>
      <w:r>
        <w:rPr>
          <w:rFonts w:ascii="Times New Roman" w:hAnsi="Times New Roman"/>
          <w:sz w:val="24"/>
          <w:szCs w:val="24"/>
        </w:rPr>
        <w:t>fects. The 25 mg/kg polyherbal group exhibited the highest FSH and estrogen levels, with increased progesterone, but unchanged testosterone. Histology revealed multiple follicular stages, suggesting ovulatory activity at low doses.</w:t>
      </w:r>
    </w:p>
    <w:p w14:paraId="22ABF889" w14:textId="77777777" w:rsidR="00B26622" w:rsidRDefault="004E16E5">
      <w:pPr>
        <w:spacing w:line="360" w:lineRule="auto"/>
        <w:jc w:val="both"/>
        <w:rPr>
          <w:rFonts w:ascii="Times New Roman" w:hAnsi="Times New Roman"/>
          <w:sz w:val="24"/>
          <w:szCs w:val="24"/>
        </w:rPr>
      </w:pPr>
      <w:r>
        <w:rPr>
          <w:rFonts w:ascii="Times New Roman" w:hAnsi="Times New Roman"/>
          <w:b/>
          <w:sz w:val="24"/>
          <w:szCs w:val="24"/>
        </w:rPr>
        <w:lastRenderedPageBreak/>
        <w:t>Conclusion</w:t>
      </w:r>
      <w:r>
        <w:rPr>
          <w:rFonts w:ascii="Times New Roman" w:hAnsi="Times New Roman"/>
          <w:sz w:val="24"/>
          <w:szCs w:val="24"/>
        </w:rPr>
        <w:t xml:space="preserve">: </w:t>
      </w:r>
      <w:r>
        <w:rPr>
          <w:rFonts w:ascii="Times New Roman" w:hAnsi="Times New Roman"/>
          <w:i/>
          <w:sz w:val="24"/>
          <w:szCs w:val="24"/>
        </w:rPr>
        <w:t xml:space="preserve">F. </w:t>
      </w:r>
      <w:r>
        <w:rPr>
          <w:rFonts w:ascii="Times New Roman" w:hAnsi="Times New Roman"/>
          <w:i/>
          <w:sz w:val="24"/>
          <w:szCs w:val="24"/>
        </w:rPr>
        <w:t>platyphylla</w:t>
      </w:r>
      <w:r>
        <w:rPr>
          <w:rFonts w:ascii="Times New Roman" w:hAnsi="Times New Roman"/>
          <w:sz w:val="24"/>
          <w:szCs w:val="24"/>
        </w:rPr>
        <w:t xml:space="preserve"> extract at 25 mg/kg demonstrates aphrodisiac activity in female rats, supporting its traditional use. Further studies are needed to elucidate mechanisms and clinical relevance.</w:t>
      </w:r>
    </w:p>
    <w:p w14:paraId="3A6A5BF0" w14:textId="5E100861" w:rsidR="00B26622" w:rsidRDefault="004E16E5">
      <w:pPr>
        <w:spacing w:line="360" w:lineRule="auto"/>
        <w:jc w:val="both"/>
        <w:rPr>
          <w:rFonts w:ascii="Times New Roman" w:hAnsi="Times New Roman"/>
          <w:sz w:val="24"/>
          <w:szCs w:val="24"/>
        </w:rPr>
      </w:pPr>
      <w:r>
        <w:rPr>
          <w:rFonts w:ascii="Times New Roman" w:hAnsi="Times New Roman"/>
          <w:b/>
          <w:sz w:val="24"/>
          <w:szCs w:val="24"/>
        </w:rPr>
        <w:t>Keywords</w:t>
      </w:r>
      <w:r>
        <w:rPr>
          <w:rFonts w:ascii="Times New Roman" w:hAnsi="Times New Roman"/>
          <w:sz w:val="24"/>
          <w:szCs w:val="24"/>
        </w:rPr>
        <w:t xml:space="preserve">: Aphrodisiac, female rats, </w:t>
      </w:r>
      <w:r>
        <w:rPr>
          <w:rFonts w:ascii="Times New Roman" w:hAnsi="Times New Roman"/>
          <w:i/>
          <w:sz w:val="24"/>
          <w:szCs w:val="24"/>
        </w:rPr>
        <w:t>Ficus platyphylla</w:t>
      </w:r>
      <w:r>
        <w:rPr>
          <w:rFonts w:ascii="Times New Roman" w:hAnsi="Times New Roman"/>
          <w:sz w:val="24"/>
          <w:szCs w:val="24"/>
        </w:rPr>
        <w:t>, polyherbal f</w:t>
      </w:r>
      <w:r>
        <w:rPr>
          <w:rFonts w:ascii="Times New Roman" w:hAnsi="Times New Roman"/>
          <w:sz w:val="24"/>
          <w:szCs w:val="24"/>
        </w:rPr>
        <w:t xml:space="preserve">ormulation, </w:t>
      </w:r>
      <w:r>
        <w:rPr>
          <w:rFonts w:ascii="Times New Roman" w:hAnsi="Times New Roman"/>
          <w:sz w:val="24"/>
          <w:szCs w:val="24"/>
        </w:rPr>
        <w:t xml:space="preserve">hormonal effects </w:t>
      </w:r>
      <w:r>
        <w:rPr>
          <w:rFonts w:ascii="Times New Roman" w:hAnsi="Times New Roman"/>
          <w:sz w:val="24"/>
          <w:szCs w:val="24"/>
        </w:rPr>
        <w:t>, sexual behavior</w:t>
      </w:r>
    </w:p>
    <w:p w14:paraId="08E234F1" w14:textId="5B135EA0" w:rsidR="00B26622" w:rsidRDefault="004E16E5">
      <w:pPr>
        <w:spacing w:line="360" w:lineRule="auto"/>
        <w:jc w:val="both"/>
        <w:rPr>
          <w:rFonts w:ascii="Times New Roman" w:hAnsi="Times New Roman"/>
          <w:sz w:val="24"/>
          <w:szCs w:val="24"/>
        </w:rPr>
      </w:pPr>
      <w:r>
        <w:rPr>
          <w:rFonts w:ascii="Times New Roman" w:hAnsi="Times New Roman"/>
          <w:b/>
          <w:sz w:val="24"/>
          <w:szCs w:val="24"/>
        </w:rPr>
        <w:t>1.0 INTRODUCTION</w:t>
      </w:r>
    </w:p>
    <w:p w14:paraId="006CE39E" w14:textId="5FFDC4B6" w:rsidR="00B26622" w:rsidRDefault="00B26622">
      <w:pPr>
        <w:spacing w:line="360" w:lineRule="auto"/>
        <w:jc w:val="both"/>
        <w:rPr>
          <w:rFonts w:ascii="Times New Roman" w:hAnsi="Times New Roman"/>
          <w:sz w:val="24"/>
          <w:szCs w:val="24"/>
        </w:rPr>
      </w:pPr>
    </w:p>
    <w:p w14:paraId="6C64CA16"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Aphrodisiacs are substances that enhance sexual </w:t>
      </w:r>
      <w:r>
        <w:rPr>
          <w:rFonts w:ascii="Times New Roman" w:hAnsi="Times New Roman"/>
          <w:sz w:val="24"/>
          <w:szCs w:val="24"/>
        </w:rPr>
        <w:t>activity and are widely used to manage sexual dysfunctions [1]. These agents, which may include drugs, foods, scents, devices, or medicinal plants, are thought to modulate neurotransmitters or alter sex hormone levels, such as progesterone, estrogen, and t</w:t>
      </w:r>
      <w:r>
        <w:rPr>
          <w:rFonts w:ascii="Times New Roman" w:hAnsi="Times New Roman"/>
          <w:sz w:val="24"/>
          <w:szCs w:val="24"/>
        </w:rPr>
        <w:t>estosterone [2]. The World Health Organization (WHO) defines sexual health as a state of physical, emotional, mental, and social well-being related to sexuality, beyond the absence of disease or dysfunction [3]. In females, sexual function involves a compl</w:t>
      </w:r>
      <w:r>
        <w:rPr>
          <w:rFonts w:ascii="Times New Roman" w:hAnsi="Times New Roman"/>
          <w:sz w:val="24"/>
          <w:szCs w:val="24"/>
        </w:rPr>
        <w:t>ex interplay of physiological factors (e.g., hormones like estrogen, progesterone, and testosterone, which regulate desire, arousal, lubrication, and orgasm [4,5]), nerve function, genital blood flow [6], and psychological elements such as motivation, self</w:t>
      </w:r>
      <w:r>
        <w:rPr>
          <w:rFonts w:ascii="Times New Roman" w:hAnsi="Times New Roman"/>
          <w:sz w:val="24"/>
          <w:szCs w:val="24"/>
        </w:rPr>
        <w:t>-image, and emotional intimacy [7-9].</w:t>
      </w:r>
    </w:p>
    <w:p w14:paraId="71A995D7" w14:textId="25705E00" w:rsidR="00B26622" w:rsidRDefault="004E16E5">
      <w:pPr>
        <w:spacing w:line="360" w:lineRule="auto"/>
        <w:jc w:val="both"/>
        <w:rPr>
          <w:rFonts w:ascii="Times New Roman" w:hAnsi="Times New Roman"/>
          <w:sz w:val="24"/>
          <w:szCs w:val="24"/>
        </w:rPr>
      </w:pPr>
      <w:r>
        <w:rPr>
          <w:rFonts w:ascii="Times New Roman" w:hAnsi="Times New Roman"/>
          <w:sz w:val="24"/>
          <w:szCs w:val="24"/>
        </w:rPr>
        <w:t>Medicinal plants have long been utilized to promote sexual health, with a rich tradition of herbal remedies in therapeutic practices [10]. Scientific studies increasingly validate the aphrodisiac potential of these pla</w:t>
      </w:r>
      <w:r>
        <w:rPr>
          <w:rFonts w:ascii="Times New Roman" w:hAnsi="Times New Roman"/>
          <w:sz w:val="24"/>
          <w:szCs w:val="24"/>
        </w:rPr>
        <w:t>nts, often using animal models [11]. However, despite its traditional use, the aphrodisiac properties of Ficus platyphylla remain scientifically unestablished. Preliminary research suggests analgesic, anti-inflammatory, and fertility-enhancing effects [12,</w:t>
      </w:r>
      <w:r>
        <w:rPr>
          <w:rFonts w:ascii="Times New Roman" w:hAnsi="Times New Roman"/>
          <w:sz w:val="24"/>
          <w:szCs w:val="24"/>
        </w:rPr>
        <w:t>13</w:t>
      </w: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4</w:t>
      </w:r>
      <w:r>
        <w:rPr>
          <w:rFonts w:ascii="Times New Roman" w:hAnsi="Times New Roman"/>
          <w:sz w:val="24"/>
          <w:szCs w:val="24"/>
        </w:rPr>
        <w:t>], but its impact on female sexual behavior is poorly understood. This study aims to evaluate the aphrodisiac activity of Ficus platyphylla stem bark aqueous extract in female albino rats, both alone and in a polyherbal formulation, to provide empiri</w:t>
      </w:r>
      <w:r>
        <w:rPr>
          <w:rFonts w:ascii="Times New Roman" w:hAnsi="Times New Roman"/>
          <w:sz w:val="24"/>
          <w:szCs w:val="24"/>
        </w:rPr>
        <w:t>cal evidence supporting its traditional claims</w:t>
      </w:r>
      <w:r>
        <w:rPr>
          <w:rFonts w:ascii="Times New Roman" w:hAnsi="Times New Roman"/>
          <w:sz w:val="24"/>
          <w:szCs w:val="24"/>
        </w:rPr>
        <w:t>.</w:t>
      </w:r>
    </w:p>
    <w:p w14:paraId="11E65B69" w14:textId="4EA8C696" w:rsidR="00B26622" w:rsidRDefault="004E16E5">
      <w:pPr>
        <w:spacing w:line="360" w:lineRule="auto"/>
        <w:jc w:val="both"/>
        <w:rPr>
          <w:rFonts w:ascii="Times New Roman" w:hAnsi="Times New Roman"/>
          <w:sz w:val="24"/>
          <w:szCs w:val="24"/>
        </w:rPr>
      </w:pPr>
      <w:r>
        <w:rPr>
          <w:rFonts w:ascii="Times New Roman" w:hAnsi="Times New Roman"/>
          <w:sz w:val="24"/>
          <w:szCs w:val="24"/>
        </w:rPr>
        <w:t>In Northern Nigerian ethnomedicine, Ficus platyphylla stem bark is traditionally utilized to promote fertility and address reproductive issues in women, often combined with other plants to enhance efficacy [1</w:t>
      </w:r>
      <w:r>
        <w:rPr>
          <w:rFonts w:ascii="Times New Roman" w:hAnsi="Times New Roman"/>
          <w:sz w:val="24"/>
          <w:szCs w:val="24"/>
        </w:rPr>
        <w:t xml:space="preserve">7,19]. This study investigates the aphrodisiac activity of Ficus platyphylla </w:t>
      </w:r>
      <w:r>
        <w:rPr>
          <w:rFonts w:ascii="Times New Roman" w:hAnsi="Times New Roman"/>
          <w:sz w:val="24"/>
          <w:szCs w:val="24"/>
        </w:rPr>
        <w:lastRenderedPageBreak/>
        <w:t>stem bark aqueous extract in female albino rats, both independently and within a polyherbal formulation that includes complementary herbs—Anogeissus leiocarpa (root bark, recogniz</w:t>
      </w:r>
      <w:r>
        <w:rPr>
          <w:rFonts w:ascii="Times New Roman" w:hAnsi="Times New Roman"/>
          <w:sz w:val="24"/>
          <w:szCs w:val="24"/>
        </w:rPr>
        <w:t>ed as an aphrodisiac and stimulant to boost vitality [6,9]), Syzygium aromaticum (clove, valued for libido enhancement and mood-boosting properties in African traditions [</w:t>
      </w:r>
      <w:r>
        <w:rPr>
          <w:rFonts w:ascii="Times New Roman" w:hAnsi="Times New Roman"/>
          <w:sz w:val="24"/>
          <w:szCs w:val="24"/>
        </w:rPr>
        <w:t>1]), Securidaca longepedunculata (root bark, traditionally used for treating low li</w:t>
      </w:r>
      <w:r>
        <w:rPr>
          <w:rFonts w:ascii="Times New Roman" w:hAnsi="Times New Roman"/>
          <w:sz w:val="24"/>
          <w:szCs w:val="24"/>
        </w:rPr>
        <w:t>bido and sexual dysfunction [11,12]), and Phyllanthus amarus (known for its hepatoprotective and libido-supporting properties in traditional remedies [23,24]). These plants are interconnected through their shared use in West African polyherbal remedies, ai</w:t>
      </w:r>
      <w:r>
        <w:rPr>
          <w:rFonts w:ascii="Times New Roman" w:hAnsi="Times New Roman"/>
          <w:sz w:val="24"/>
          <w:szCs w:val="24"/>
        </w:rPr>
        <w:t>med at achieving synergistic effects on sexual health [20,21]. The polyherbal approach reflects local healing practices where these plants are blended to amplify fertility and aphrodisiac benefits, addressing the holistic nature of traditional formulations</w:t>
      </w:r>
      <w:r>
        <w:rPr>
          <w:rFonts w:ascii="Times New Roman" w:hAnsi="Times New Roman"/>
          <w:sz w:val="24"/>
          <w:szCs w:val="24"/>
        </w:rPr>
        <w:t xml:space="preserve"> [22]. By evaluating behavioral responses, hormonal profiles, and ovarian histology, the study aims to provide empirical evidence supporting these traditional claims and validating the safety and efficacy of the polyherbal preparation</w:t>
      </w:r>
      <w:r>
        <w:rPr>
          <w:rFonts w:ascii="Times New Roman" w:hAnsi="Times New Roman"/>
          <w:sz w:val="24"/>
          <w:szCs w:val="24"/>
        </w:rPr>
        <w:t>.</w:t>
      </w:r>
    </w:p>
    <w:p w14:paraId="4D4D79D3"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2.0 MATERIALS AND </w:t>
      </w:r>
      <w:r>
        <w:rPr>
          <w:rFonts w:ascii="Times New Roman" w:hAnsi="Times New Roman"/>
          <w:b/>
          <w:sz w:val="24"/>
          <w:szCs w:val="24"/>
        </w:rPr>
        <w:t>METHODS</w:t>
      </w:r>
    </w:p>
    <w:p w14:paraId="304773B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2.1 Plant Samples</w:t>
      </w:r>
    </w:p>
    <w:p w14:paraId="402EE1B6"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Fresh stem bark of </w:t>
      </w:r>
      <w:r>
        <w:rPr>
          <w:rFonts w:ascii="Times New Roman" w:hAnsi="Times New Roman"/>
          <w:i/>
          <w:sz w:val="24"/>
          <w:szCs w:val="24"/>
        </w:rPr>
        <w:t>Ficus platyphylla</w:t>
      </w:r>
      <w:r>
        <w:rPr>
          <w:rFonts w:ascii="Times New Roman" w:hAnsi="Times New Roman"/>
          <w:sz w:val="24"/>
          <w:szCs w:val="24"/>
        </w:rPr>
        <w:t xml:space="preserve"> (gamji), </w:t>
      </w:r>
      <w:r>
        <w:rPr>
          <w:rFonts w:ascii="Times New Roman" w:hAnsi="Times New Roman"/>
          <w:i/>
          <w:sz w:val="24"/>
          <w:szCs w:val="24"/>
        </w:rPr>
        <w:t>Anogeissus leiocarpa</w:t>
      </w:r>
      <w:r>
        <w:rPr>
          <w:rFonts w:ascii="Times New Roman" w:hAnsi="Times New Roman"/>
          <w:sz w:val="24"/>
          <w:szCs w:val="24"/>
        </w:rPr>
        <w:t xml:space="preserve"> (tuntuben harshe), </w:t>
      </w:r>
      <w:r>
        <w:rPr>
          <w:rFonts w:ascii="Times New Roman" w:hAnsi="Times New Roman"/>
          <w:i/>
          <w:sz w:val="24"/>
          <w:szCs w:val="24"/>
        </w:rPr>
        <w:t>Syzygium aromaticum</w:t>
      </w:r>
      <w:r>
        <w:rPr>
          <w:rFonts w:ascii="Times New Roman" w:hAnsi="Times New Roman"/>
          <w:sz w:val="24"/>
          <w:szCs w:val="24"/>
        </w:rPr>
        <w:t xml:space="preserve"> (Kannunfari), </w:t>
      </w:r>
      <w:r>
        <w:rPr>
          <w:rFonts w:ascii="Times New Roman" w:hAnsi="Times New Roman"/>
          <w:i/>
          <w:sz w:val="24"/>
          <w:szCs w:val="24"/>
        </w:rPr>
        <w:t>Securidaca longepedunculata</w:t>
      </w:r>
      <w:r>
        <w:rPr>
          <w:rFonts w:ascii="Times New Roman" w:hAnsi="Times New Roman"/>
          <w:sz w:val="24"/>
          <w:szCs w:val="24"/>
        </w:rPr>
        <w:t xml:space="preserve"> (umar magungunna), and </w:t>
      </w:r>
      <w:r>
        <w:rPr>
          <w:rFonts w:ascii="Times New Roman" w:hAnsi="Times New Roman"/>
          <w:i/>
          <w:sz w:val="24"/>
          <w:szCs w:val="24"/>
        </w:rPr>
        <w:t>Phyllanthus amarus</w:t>
      </w:r>
      <w:r>
        <w:rPr>
          <w:rFonts w:ascii="Times New Roman" w:hAnsi="Times New Roman"/>
          <w:sz w:val="24"/>
          <w:szCs w:val="24"/>
        </w:rPr>
        <w:t xml:space="preserve"> (minannas) were collected in August and </w:t>
      </w:r>
      <w:r>
        <w:rPr>
          <w:rFonts w:ascii="Times New Roman" w:hAnsi="Times New Roman"/>
          <w:sz w:val="24"/>
          <w:szCs w:val="24"/>
        </w:rPr>
        <w:t>September 2024, respectively, from a farmland along Byepass Road, Birnin Kebbi, Kebbi State, Nigeria. The plants were identified and authenticated by a taxonomist at the herbarium section of the Department of Plant Sciences, Kebbi State University of Scien</w:t>
      </w:r>
      <w:r>
        <w:rPr>
          <w:rFonts w:ascii="Times New Roman" w:hAnsi="Times New Roman"/>
          <w:sz w:val="24"/>
          <w:szCs w:val="24"/>
        </w:rPr>
        <w:t>ce and Technology, Aleiro, and assigned voucher numbers KSUSTA |PSB|H|NO: 292 (</w:t>
      </w:r>
      <w:r>
        <w:rPr>
          <w:rFonts w:ascii="Times New Roman" w:hAnsi="Times New Roman"/>
          <w:i/>
          <w:sz w:val="24"/>
          <w:szCs w:val="24"/>
        </w:rPr>
        <w:t>Ficus platyphylla</w:t>
      </w:r>
      <w:r>
        <w:rPr>
          <w:rFonts w:ascii="Times New Roman" w:hAnsi="Times New Roman"/>
          <w:sz w:val="24"/>
          <w:szCs w:val="24"/>
        </w:rPr>
        <w:t>), KSUSTA |PSB|H|NO: 9 (</w:t>
      </w:r>
      <w:r>
        <w:rPr>
          <w:rFonts w:ascii="Times New Roman" w:hAnsi="Times New Roman"/>
          <w:i/>
          <w:sz w:val="24"/>
          <w:szCs w:val="24"/>
        </w:rPr>
        <w:t>Anogeissus leiocarpa</w:t>
      </w:r>
      <w:r>
        <w:rPr>
          <w:rFonts w:ascii="Times New Roman" w:hAnsi="Times New Roman"/>
          <w:sz w:val="24"/>
          <w:szCs w:val="24"/>
        </w:rPr>
        <w:t>), KSUSTA |PSB|H|NO: 55 (</w:t>
      </w:r>
      <w:r>
        <w:rPr>
          <w:rFonts w:ascii="Times New Roman" w:hAnsi="Times New Roman"/>
          <w:i/>
          <w:sz w:val="24"/>
          <w:szCs w:val="24"/>
        </w:rPr>
        <w:t>Syzygium aromaticum</w:t>
      </w:r>
      <w:r>
        <w:rPr>
          <w:rFonts w:ascii="Times New Roman" w:hAnsi="Times New Roman"/>
          <w:sz w:val="24"/>
          <w:szCs w:val="24"/>
        </w:rPr>
        <w:t>), KSUSTA |PSB|H|NO: 53 (</w:t>
      </w:r>
      <w:r>
        <w:rPr>
          <w:rFonts w:ascii="Times New Roman" w:hAnsi="Times New Roman"/>
          <w:i/>
          <w:sz w:val="24"/>
          <w:szCs w:val="24"/>
        </w:rPr>
        <w:t>Securidaca longepedunculata</w:t>
      </w:r>
      <w:r>
        <w:rPr>
          <w:rFonts w:ascii="Times New Roman" w:hAnsi="Times New Roman"/>
          <w:sz w:val="24"/>
          <w:szCs w:val="24"/>
        </w:rPr>
        <w:t>), and KSUSTA |PSB|H</w:t>
      </w:r>
      <w:r>
        <w:rPr>
          <w:rFonts w:ascii="Times New Roman" w:hAnsi="Times New Roman"/>
          <w:sz w:val="24"/>
          <w:szCs w:val="24"/>
        </w:rPr>
        <w:t>|NO: 44 (</w:t>
      </w:r>
      <w:r>
        <w:rPr>
          <w:rFonts w:ascii="Times New Roman" w:hAnsi="Times New Roman"/>
          <w:i/>
          <w:sz w:val="24"/>
          <w:szCs w:val="24"/>
        </w:rPr>
        <w:t>Phyllanthus amarus</w:t>
      </w:r>
      <w:r>
        <w:rPr>
          <w:rFonts w:ascii="Times New Roman" w:hAnsi="Times New Roman"/>
          <w:sz w:val="24"/>
          <w:szCs w:val="24"/>
        </w:rPr>
        <w:t>).</w:t>
      </w:r>
    </w:p>
    <w:p w14:paraId="6195DFBA" w14:textId="4C21282A" w:rsidR="00B26622" w:rsidRDefault="004E16E5">
      <w:pPr>
        <w:spacing w:line="360" w:lineRule="auto"/>
        <w:jc w:val="both"/>
        <w:rPr>
          <w:rFonts w:ascii="Times New Roman" w:hAnsi="Times New Roman"/>
          <w:sz w:val="24"/>
          <w:szCs w:val="24"/>
        </w:rPr>
      </w:pPr>
      <w:r>
        <w:rPr>
          <w:rFonts w:ascii="Times New Roman" w:hAnsi="Times New Roman"/>
          <w:b/>
          <w:sz w:val="24"/>
          <w:szCs w:val="24"/>
        </w:rPr>
        <w:t>2.2</w:t>
      </w:r>
      <w:r>
        <w:rPr>
          <w:rFonts w:ascii="Times New Roman" w:hAnsi="Times New Roman"/>
          <w:sz w:val="24"/>
          <w:szCs w:val="24"/>
        </w:rPr>
        <w:t xml:space="preserve"> </w:t>
      </w:r>
      <w:r>
        <w:rPr>
          <w:rFonts w:ascii="Times New Roman" w:hAnsi="Times New Roman"/>
          <w:b/>
          <w:sz w:val="24"/>
          <w:szCs w:val="24"/>
        </w:rPr>
        <w:t xml:space="preserve">Experimental Animals </w:t>
      </w:r>
    </w:p>
    <w:p w14:paraId="4DB4CFE4"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Thirty-two healthy female albino rats (</w:t>
      </w:r>
      <w:r>
        <w:rPr>
          <w:rFonts w:ascii="Times New Roman" w:hAnsi="Times New Roman"/>
          <w:i/>
          <w:sz w:val="24"/>
          <w:szCs w:val="24"/>
        </w:rPr>
        <w:t>Rattus norvegicus</w:t>
      </w:r>
      <w:r>
        <w:rPr>
          <w:rFonts w:ascii="Times New Roman" w:hAnsi="Times New Roman"/>
          <w:sz w:val="24"/>
          <w:szCs w:val="24"/>
        </w:rPr>
        <w:t>), with a mean weight of 142.40 ± 1.16 g, were obtained from the animal house of the College of Medicine, Usmanu Dan Fod</w:t>
      </w:r>
      <w:r>
        <w:rPr>
          <w:rFonts w:ascii="Times New Roman" w:hAnsi="Times New Roman"/>
          <w:sz w:val="24"/>
          <w:szCs w:val="24"/>
        </w:rPr>
        <w:t xml:space="preserve">io University, Sokoto, Nigeria. The rats were acclimatized for two weeks under standard laboratory conditions (temperature: 32–34 °C, 12-hour light/dark cycle) and allowed free access to rat </w:t>
      </w:r>
      <w:r>
        <w:rPr>
          <w:rFonts w:ascii="Times New Roman" w:hAnsi="Times New Roman"/>
          <w:sz w:val="24"/>
          <w:szCs w:val="24"/>
        </w:rPr>
        <w:lastRenderedPageBreak/>
        <w:t>pellets (Premier Feeds, Sokoto, Nigeria) and treated tap water. A</w:t>
      </w:r>
      <w:r>
        <w:rPr>
          <w:rFonts w:ascii="Times New Roman" w:hAnsi="Times New Roman"/>
          <w:sz w:val="24"/>
          <w:szCs w:val="24"/>
        </w:rPr>
        <w:t>ll experiments complied with the World Health Organization guidelines for the use of laboratory animals in biomedical research [15].</w:t>
      </w:r>
    </w:p>
    <w:p w14:paraId="2C983831"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2.3 Preparation of Plant Extract</w:t>
      </w:r>
    </w:p>
    <w:p w14:paraId="66B08BE3"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Two-hundred grams of </w:t>
      </w:r>
      <w:r>
        <w:rPr>
          <w:rFonts w:ascii="Times New Roman" w:hAnsi="Times New Roman"/>
          <w:i/>
          <w:sz w:val="24"/>
          <w:szCs w:val="24"/>
        </w:rPr>
        <w:t>F. platyphylla</w:t>
      </w:r>
      <w:r>
        <w:rPr>
          <w:rFonts w:ascii="Times New Roman" w:hAnsi="Times New Roman"/>
          <w:sz w:val="24"/>
          <w:szCs w:val="24"/>
        </w:rPr>
        <w:t xml:space="preserve"> stem bark powder was soaked in 1 L of distilled water </w:t>
      </w:r>
      <w:r>
        <w:rPr>
          <w:rFonts w:ascii="Times New Roman" w:hAnsi="Times New Roman"/>
          <w:sz w:val="24"/>
          <w:szCs w:val="24"/>
        </w:rPr>
        <w:t xml:space="preserve">for 48 hours, filtered using muslin cloth, and the filtrate dried in a water bath at 55 °C. This yielded 41.5 g of </w:t>
      </w:r>
      <w:r>
        <w:rPr>
          <w:rFonts w:ascii="Times New Roman" w:hAnsi="Times New Roman"/>
          <w:i/>
          <w:sz w:val="24"/>
          <w:szCs w:val="24"/>
        </w:rPr>
        <w:t>F. platyphylla</w:t>
      </w:r>
      <w:r>
        <w:rPr>
          <w:rFonts w:ascii="Times New Roman" w:hAnsi="Times New Roman"/>
          <w:sz w:val="24"/>
          <w:szCs w:val="24"/>
        </w:rPr>
        <w:t xml:space="preserve"> extract (20.7% yield) [16].</w:t>
      </w:r>
    </w:p>
    <w:p w14:paraId="1DF3665F" w14:textId="77777777" w:rsidR="00B26622" w:rsidRDefault="00B26622">
      <w:pPr>
        <w:spacing w:line="360" w:lineRule="auto"/>
        <w:jc w:val="both"/>
        <w:rPr>
          <w:rFonts w:ascii="Times New Roman" w:hAnsi="Times New Roman"/>
          <w:b/>
          <w:sz w:val="24"/>
          <w:szCs w:val="24"/>
        </w:rPr>
      </w:pPr>
    </w:p>
    <w:p w14:paraId="1DAB1B5D" w14:textId="77777777" w:rsidR="00B26622" w:rsidRDefault="00B26622">
      <w:pPr>
        <w:spacing w:line="360" w:lineRule="auto"/>
        <w:jc w:val="both"/>
        <w:rPr>
          <w:rFonts w:ascii="Times New Roman" w:hAnsi="Times New Roman"/>
          <w:b/>
          <w:sz w:val="24"/>
          <w:szCs w:val="24"/>
        </w:rPr>
      </w:pPr>
    </w:p>
    <w:p w14:paraId="484571E3" w14:textId="77777777" w:rsidR="00B26622" w:rsidRDefault="00B26622">
      <w:pPr>
        <w:spacing w:line="360" w:lineRule="auto"/>
        <w:jc w:val="both"/>
        <w:rPr>
          <w:rFonts w:ascii="Times New Roman" w:hAnsi="Times New Roman"/>
          <w:b/>
          <w:sz w:val="24"/>
          <w:szCs w:val="24"/>
        </w:rPr>
      </w:pPr>
    </w:p>
    <w:p w14:paraId="2B2EE6A9"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2.4 Preparation of Polyherbal</w:t>
      </w:r>
      <w:r>
        <w:rPr>
          <w:rFonts w:ascii="Times New Roman" w:hAnsi="Times New Roman"/>
          <w:b/>
          <w:sz w:val="24"/>
          <w:szCs w:val="24"/>
        </w:rPr>
        <w:t xml:space="preserve"> Extract</w:t>
      </w:r>
    </w:p>
    <w:p w14:paraId="41883DE5" w14:textId="4AABE081"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A total of two-hundred grams of powdered plant </w:t>
      </w:r>
      <w:r>
        <w:rPr>
          <w:rFonts w:ascii="Times New Roman" w:hAnsi="Times New Roman"/>
          <w:sz w:val="24"/>
          <w:szCs w:val="24"/>
        </w:rPr>
        <w:t>material was prepared in a ratio of 1:1:1:1:1, incorporating Anogeissus leiocarpa, Syzygium aromaticum, Securidaca longepedunculata, Phyllanthus amarus, and Ficus platyphylla. The selection of these complementary plants is justified by their established ro</w:t>
      </w:r>
      <w:r>
        <w:rPr>
          <w:rFonts w:ascii="Times New Roman" w:hAnsi="Times New Roman"/>
          <w:sz w:val="24"/>
          <w:szCs w:val="24"/>
        </w:rPr>
        <w:t>les in Northern Nigerian ethnomedicine, where they are traditionally combined to enhance sexual health and fertility through synergistic effects. Specifically, Anogeissus leiocarpa (root bark) is used as an aphrodisiac and stimulant to boost vitality [6,9]</w:t>
      </w:r>
      <w:r>
        <w:rPr>
          <w:rFonts w:ascii="Times New Roman" w:hAnsi="Times New Roman"/>
          <w:sz w:val="24"/>
          <w:szCs w:val="24"/>
        </w:rPr>
        <w:t>, Syzygium aromaticum (clove) is renowned for its libido-enhancing and mood-boosting properties [</w:t>
      </w:r>
      <w:r>
        <w:rPr>
          <w:rFonts w:ascii="Times New Roman" w:hAnsi="Times New Roman"/>
          <w:sz w:val="24"/>
          <w:szCs w:val="24"/>
        </w:rPr>
        <w:t>1], Securidaca longepedunculata (root bark) addresses low libido and sexual dysfunction [11,12], Phyllanthus amarus supports libido and overall vitality with</w:t>
      </w:r>
      <w:r>
        <w:rPr>
          <w:rFonts w:ascii="Times New Roman" w:hAnsi="Times New Roman"/>
          <w:sz w:val="24"/>
          <w:szCs w:val="24"/>
        </w:rPr>
        <w:t xml:space="preserve"> its hepatoprotective and antioxidant properties [23,24], and Ficus platyphylla is traditionally employed to promote fertility and reproductive health [17,19]. The combined two-hundred grams was soaked in 1 L of distilled water for 48 hours, filtered using</w:t>
      </w:r>
      <w:r>
        <w:rPr>
          <w:rFonts w:ascii="Times New Roman" w:hAnsi="Times New Roman"/>
          <w:sz w:val="24"/>
          <w:szCs w:val="24"/>
        </w:rPr>
        <w:t xml:space="preserve"> muslin cloth, and the filtrate was dried in a water bath at 55 °C, yielding 24.9 g (12.5% yield) [16]. This polyherbal formulation mirrors local healing practices, aiming to validate the traditional synergy of these plants for aphrodisiac activity in fema</w:t>
      </w:r>
      <w:r>
        <w:rPr>
          <w:rFonts w:ascii="Times New Roman" w:hAnsi="Times New Roman"/>
          <w:sz w:val="24"/>
          <w:szCs w:val="24"/>
        </w:rPr>
        <w:t>le albino rats.</w:t>
      </w:r>
    </w:p>
    <w:p w14:paraId="22BB578E"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2.5 Qualitative Phytochemical </w:t>
      </w:r>
      <w:r>
        <w:rPr>
          <w:rFonts w:ascii="Times New Roman" w:hAnsi="Times New Roman"/>
          <w:b/>
          <w:sz w:val="24"/>
          <w:szCs w:val="24"/>
        </w:rPr>
        <w:t>Screening</w:t>
      </w:r>
    </w:p>
    <w:p w14:paraId="081AA28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 xml:space="preserve">Preliminary screening for secondary metabolites in </w:t>
      </w:r>
      <w:r>
        <w:rPr>
          <w:rFonts w:ascii="Times New Roman" w:hAnsi="Times New Roman"/>
          <w:i/>
          <w:sz w:val="24"/>
          <w:szCs w:val="24"/>
        </w:rPr>
        <w:t>F. platyphylla</w:t>
      </w:r>
      <w:r>
        <w:rPr>
          <w:rFonts w:ascii="Times New Roman" w:hAnsi="Times New Roman"/>
          <w:sz w:val="24"/>
          <w:szCs w:val="24"/>
        </w:rPr>
        <w:t xml:space="preserve"> stem bark and the polyherbal extract (comprising </w:t>
      </w:r>
      <w:r>
        <w:rPr>
          <w:rFonts w:ascii="Times New Roman" w:hAnsi="Times New Roman"/>
          <w:i/>
          <w:sz w:val="24"/>
          <w:szCs w:val="24"/>
        </w:rPr>
        <w:t>Anogeissus leiocarpa, Ficus platyphylla, Syzygium aromaticum, Securidaca longepedunculata</w:t>
      </w:r>
      <w:r>
        <w:rPr>
          <w:rFonts w:ascii="Times New Roman" w:hAnsi="Times New Roman"/>
          <w:sz w:val="24"/>
          <w:szCs w:val="24"/>
        </w:rPr>
        <w:t xml:space="preserve">, and </w:t>
      </w:r>
      <w:r>
        <w:rPr>
          <w:rFonts w:ascii="Times New Roman" w:hAnsi="Times New Roman"/>
          <w:i/>
          <w:sz w:val="24"/>
          <w:szCs w:val="24"/>
        </w:rPr>
        <w:t>Phyllanthus amarus</w:t>
      </w:r>
      <w:r>
        <w:rPr>
          <w:rFonts w:ascii="Times New Roman" w:hAnsi="Times New Roman"/>
          <w:sz w:val="24"/>
          <w:szCs w:val="24"/>
        </w:rPr>
        <w:t>) was conducted to</w:t>
      </w:r>
      <w:r>
        <w:rPr>
          <w:rFonts w:ascii="Times New Roman" w:hAnsi="Times New Roman"/>
          <w:sz w:val="24"/>
          <w:szCs w:val="24"/>
        </w:rPr>
        <w:t xml:space="preserve"> detect alkaloids, tannins, phlobatannins, and anthraquinones [17]; flavonoids and phenolics [18]; and saponins, cardiac glycosides, steroids, and anthocyanidins [19], using established protocols.</w:t>
      </w:r>
    </w:p>
    <w:p w14:paraId="00D8E005"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2.6 Experimental Design</w:t>
      </w:r>
    </w:p>
    <w:p w14:paraId="1B16D94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Thirty-two female (32) albino rats </w:t>
      </w:r>
      <w:r>
        <w:rPr>
          <w:rFonts w:ascii="Times New Roman" w:hAnsi="Times New Roman"/>
          <w:sz w:val="24"/>
          <w:szCs w:val="24"/>
        </w:rPr>
        <w:t>(</w:t>
      </w:r>
      <w:r>
        <w:rPr>
          <w:rFonts w:ascii="Times New Roman" w:hAnsi="Times New Roman"/>
          <w:i/>
          <w:sz w:val="24"/>
          <w:szCs w:val="24"/>
        </w:rPr>
        <w:t>Rattus norvegicus</w:t>
      </w:r>
      <w:r>
        <w:rPr>
          <w:rFonts w:ascii="Times New Roman" w:hAnsi="Times New Roman"/>
          <w:sz w:val="24"/>
          <w:szCs w:val="24"/>
        </w:rPr>
        <w:t xml:space="preserve">) were divided into eight groups of four (4) rats each. Groups 1–3 received aqueous </w:t>
      </w:r>
      <w:r>
        <w:rPr>
          <w:rFonts w:ascii="Times New Roman" w:hAnsi="Times New Roman"/>
          <w:i/>
          <w:sz w:val="24"/>
          <w:szCs w:val="24"/>
        </w:rPr>
        <w:t>Ficus platyphylla</w:t>
      </w:r>
      <w:r>
        <w:rPr>
          <w:rFonts w:ascii="Times New Roman" w:hAnsi="Times New Roman"/>
          <w:sz w:val="24"/>
          <w:szCs w:val="24"/>
        </w:rPr>
        <w:t xml:space="preserve"> stem bark extract at doses of 25, 50, and 100 mg/kg body weight, respectively. Groups 4–6 were administered with a polyherbal formulatio</w:t>
      </w:r>
      <w:r>
        <w:rPr>
          <w:rFonts w:ascii="Times New Roman" w:hAnsi="Times New Roman"/>
          <w:sz w:val="24"/>
          <w:szCs w:val="24"/>
        </w:rPr>
        <w:t xml:space="preserve">n (comprising </w:t>
      </w:r>
      <w:r>
        <w:rPr>
          <w:rFonts w:ascii="Times New Roman" w:hAnsi="Times New Roman"/>
          <w:i/>
          <w:sz w:val="24"/>
          <w:szCs w:val="24"/>
        </w:rPr>
        <w:t>Ficus platyphylla, Anogeissus leiocarpa</w:t>
      </w:r>
      <w:r>
        <w:rPr>
          <w:rFonts w:ascii="Times New Roman" w:hAnsi="Times New Roman"/>
          <w:sz w:val="24"/>
          <w:szCs w:val="24"/>
        </w:rPr>
        <w:t xml:space="preserve"> [tuntuben harshe], </w:t>
      </w:r>
      <w:r>
        <w:rPr>
          <w:rFonts w:ascii="Times New Roman" w:hAnsi="Times New Roman"/>
          <w:i/>
          <w:sz w:val="24"/>
          <w:szCs w:val="24"/>
        </w:rPr>
        <w:t>Syzygium aromaticum</w:t>
      </w:r>
      <w:r>
        <w:rPr>
          <w:rFonts w:ascii="Times New Roman" w:hAnsi="Times New Roman"/>
          <w:sz w:val="24"/>
          <w:szCs w:val="24"/>
        </w:rPr>
        <w:t xml:space="preserve"> [kannunfari], </w:t>
      </w:r>
      <w:r>
        <w:rPr>
          <w:rFonts w:ascii="Times New Roman" w:hAnsi="Times New Roman"/>
          <w:i/>
          <w:sz w:val="24"/>
          <w:szCs w:val="24"/>
        </w:rPr>
        <w:t>Securidaca longepedunculata</w:t>
      </w:r>
      <w:r>
        <w:rPr>
          <w:rFonts w:ascii="Times New Roman" w:hAnsi="Times New Roman"/>
          <w:sz w:val="24"/>
          <w:szCs w:val="24"/>
        </w:rPr>
        <w:t xml:space="preserve"> [uwar magungunna], and </w:t>
      </w:r>
      <w:r>
        <w:rPr>
          <w:rFonts w:ascii="Times New Roman" w:hAnsi="Times New Roman"/>
          <w:i/>
          <w:sz w:val="24"/>
          <w:szCs w:val="24"/>
        </w:rPr>
        <w:t>Phyllanthus amarus</w:t>
      </w:r>
      <w:r>
        <w:rPr>
          <w:rFonts w:ascii="Times New Roman" w:hAnsi="Times New Roman"/>
          <w:sz w:val="24"/>
          <w:szCs w:val="24"/>
        </w:rPr>
        <w:t xml:space="preserve"> [minannas]) at corresponding doses of 25, 50, and 100 mg/kg body weight. Group </w:t>
      </w:r>
      <w:r>
        <w:rPr>
          <w:rFonts w:ascii="Times New Roman" w:hAnsi="Times New Roman"/>
          <w:sz w:val="24"/>
          <w:szCs w:val="24"/>
        </w:rPr>
        <w:t>7 served as the positive control, receiving 5.7 mg/kg body weight of Panax ginseng, while Group 8 acted as the normal control, given 1 mL of distilled water. All treatments were administered orally once daily for 7 days, with three replication cycles. Rats</w:t>
      </w:r>
      <w:r>
        <w:rPr>
          <w:rFonts w:ascii="Times New Roman" w:hAnsi="Times New Roman"/>
          <w:sz w:val="24"/>
          <w:szCs w:val="24"/>
        </w:rPr>
        <w:t xml:space="preserve"> were sacrificed 24 hours after the seventh dose (Day 8), following National Research Council guidelines [15, 20].</w:t>
      </w:r>
    </w:p>
    <w:p w14:paraId="569AAB92" w14:textId="77777777" w:rsidR="00B26622" w:rsidRDefault="00B26622">
      <w:pPr>
        <w:spacing w:line="360" w:lineRule="auto"/>
        <w:jc w:val="both"/>
        <w:rPr>
          <w:rFonts w:ascii="Times New Roman" w:hAnsi="Times New Roman"/>
          <w:b/>
          <w:sz w:val="24"/>
          <w:szCs w:val="24"/>
        </w:rPr>
      </w:pPr>
    </w:p>
    <w:p w14:paraId="06B4F485" w14:textId="77777777" w:rsidR="00B26622" w:rsidRDefault="00B26622">
      <w:pPr>
        <w:spacing w:line="360" w:lineRule="auto"/>
        <w:jc w:val="both"/>
        <w:rPr>
          <w:rFonts w:ascii="Times New Roman" w:hAnsi="Times New Roman"/>
          <w:b/>
          <w:sz w:val="24"/>
          <w:szCs w:val="24"/>
        </w:rPr>
      </w:pPr>
    </w:p>
    <w:p w14:paraId="67154078" w14:textId="77777777" w:rsidR="00B26622" w:rsidRDefault="00B26622">
      <w:pPr>
        <w:spacing w:line="360" w:lineRule="auto"/>
        <w:jc w:val="both"/>
        <w:rPr>
          <w:rFonts w:ascii="Times New Roman" w:hAnsi="Times New Roman"/>
          <w:b/>
          <w:sz w:val="24"/>
          <w:szCs w:val="24"/>
        </w:rPr>
      </w:pPr>
    </w:p>
    <w:p w14:paraId="3557379A" w14:textId="77777777" w:rsidR="00B26622" w:rsidRDefault="00B26622">
      <w:pPr>
        <w:spacing w:line="360" w:lineRule="auto"/>
        <w:jc w:val="both"/>
        <w:rPr>
          <w:rFonts w:ascii="Times New Roman" w:hAnsi="Times New Roman"/>
          <w:b/>
          <w:sz w:val="24"/>
          <w:szCs w:val="24"/>
        </w:rPr>
      </w:pPr>
    </w:p>
    <w:p w14:paraId="6DFCDA05"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2.7 Mating Behavior Test</w:t>
      </w:r>
    </w:p>
    <w:p w14:paraId="1844F22C"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A unilevel pacing chamber (60 L × 40 W × 40 H cm) with a transparent Plexiglas divider was used to observe femal</w:t>
      </w:r>
      <w:r>
        <w:rPr>
          <w:rFonts w:ascii="Times New Roman" w:hAnsi="Times New Roman"/>
          <w:sz w:val="24"/>
          <w:szCs w:val="24"/>
        </w:rPr>
        <w:t>e sexual behavior [21, 22]. One-hour post-treatment, the following parameters were recorded over 30 minutes:</w:t>
      </w:r>
    </w:p>
    <w:p w14:paraId="280B3B4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Proceptive behavior: darting latency (DL; time to initiate darting), darting frequency (DF; number of darts), hopping latency (HL; time to initiate</w:t>
      </w:r>
      <w:r>
        <w:rPr>
          <w:rFonts w:ascii="Times New Roman" w:hAnsi="Times New Roman"/>
          <w:sz w:val="24"/>
          <w:szCs w:val="24"/>
        </w:rPr>
        <w:t xml:space="preserve"> hopping), and hopping frequency (HF; number of hops).</w:t>
      </w:r>
    </w:p>
    <w:p w14:paraId="51EEF773"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Receptive behavior: lordosis latency (LL; time to assume lordosis posture) and lordosis frequency (LF; number of lordosis postures).</w:t>
      </w:r>
    </w:p>
    <w:p w14:paraId="5797E7F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Orientation activities: licking behavior (LB), genital grooming (GG)</w:t>
      </w:r>
      <w:r>
        <w:rPr>
          <w:rFonts w:ascii="Times New Roman" w:hAnsi="Times New Roman"/>
          <w:sz w:val="24"/>
          <w:szCs w:val="24"/>
        </w:rPr>
        <w:t>, and anogenital grooming (AG). Frequency and duration of behaviors were documented for each pair of rats [20].</w:t>
      </w:r>
    </w:p>
    <w:p w14:paraId="79ABE6B8" w14:textId="3ED08E7A"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2.8 </w:t>
      </w:r>
      <w:r>
        <w:rPr>
          <w:rFonts w:ascii="Times New Roman" w:hAnsi="Times New Roman"/>
          <w:b/>
          <w:sz w:val="24"/>
          <w:szCs w:val="24"/>
        </w:rPr>
        <w:t xml:space="preserve"> Serum collection</w:t>
      </w:r>
    </w:p>
    <w:p w14:paraId="52BF0CD1" w14:textId="264A01DC" w:rsidR="00B26622" w:rsidRDefault="004E16E5">
      <w:pPr>
        <w:spacing w:line="360" w:lineRule="auto"/>
        <w:jc w:val="both"/>
        <w:rPr>
          <w:rFonts w:ascii="Times New Roman" w:hAnsi="Times New Roman"/>
          <w:sz w:val="24"/>
          <w:szCs w:val="24"/>
        </w:rPr>
      </w:pPr>
      <w:r>
        <w:rPr>
          <w:rFonts w:ascii="Times New Roman" w:hAnsi="Times New Roman"/>
          <w:sz w:val="24"/>
          <w:szCs w:val="24"/>
        </w:rPr>
        <w:t>The procedure described by [22] was adopted. Rats were anaesthetized with diethyl ether fumes</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rPr>
        <w:t>o</w:t>
      </w:r>
      <w:r>
        <w:rPr>
          <w:rFonts w:ascii="Times New Roman" w:hAnsi="Times New Roman"/>
          <w:sz w:val="24"/>
          <w:szCs w:val="24"/>
        </w:rPr>
        <w:t xml:space="preserve"> </w:t>
      </w:r>
      <w:r>
        <w:rPr>
          <w:rFonts w:ascii="Times New Roman" w:hAnsi="Times New Roman"/>
          <w:sz w:val="24"/>
          <w:szCs w:val="24"/>
        </w:rPr>
        <w:t>e</w:t>
      </w:r>
      <w:r>
        <w:rPr>
          <w:rFonts w:ascii="Times New Roman" w:hAnsi="Times New Roman"/>
          <w:sz w:val="24"/>
          <w:szCs w:val="24"/>
        </w:rPr>
        <w:t>n</w:t>
      </w:r>
      <w:r>
        <w:rPr>
          <w:rFonts w:ascii="Times New Roman" w:hAnsi="Times New Roman"/>
          <w:sz w:val="24"/>
          <w:szCs w:val="24"/>
        </w:rPr>
        <w:t>s</w:t>
      </w:r>
      <w:r>
        <w:rPr>
          <w:rFonts w:ascii="Times New Roman" w:hAnsi="Times New Roman"/>
          <w:sz w:val="24"/>
          <w:szCs w:val="24"/>
        </w:rPr>
        <w:t>u</w:t>
      </w:r>
      <w:r>
        <w:rPr>
          <w:rFonts w:ascii="Times New Roman" w:hAnsi="Times New Roman"/>
          <w:sz w:val="24"/>
          <w:szCs w:val="24"/>
        </w:rPr>
        <w:t>r</w:t>
      </w:r>
      <w:r>
        <w:rPr>
          <w:rFonts w:ascii="Times New Roman" w:hAnsi="Times New Roman"/>
          <w:sz w:val="24"/>
          <w:szCs w:val="24"/>
        </w:rPr>
        <w:t>e</w:t>
      </w:r>
      <w:r>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rPr>
        <w:t>i</w:t>
      </w:r>
      <w:r>
        <w:rPr>
          <w:rFonts w:ascii="Times New Roman" w:hAnsi="Times New Roman"/>
          <w:sz w:val="24"/>
          <w:szCs w:val="24"/>
        </w:rPr>
        <w:t>n</w:t>
      </w:r>
      <w:r>
        <w:rPr>
          <w:rFonts w:ascii="Times New Roman" w:hAnsi="Times New Roman"/>
          <w:sz w:val="24"/>
          <w:szCs w:val="24"/>
        </w:rPr>
        <w:t>i</w:t>
      </w:r>
      <w:r>
        <w:rPr>
          <w:rFonts w:ascii="Times New Roman" w:hAnsi="Times New Roman"/>
          <w:sz w:val="24"/>
          <w:szCs w:val="24"/>
        </w:rPr>
        <w:t>m</w:t>
      </w:r>
      <w:r>
        <w:rPr>
          <w:rFonts w:ascii="Times New Roman" w:hAnsi="Times New Roman"/>
          <w:sz w:val="24"/>
          <w:szCs w:val="24"/>
        </w:rPr>
        <w:t>a</w:t>
      </w:r>
      <w:r>
        <w:rPr>
          <w:rFonts w:ascii="Times New Roman" w:hAnsi="Times New Roman"/>
          <w:sz w:val="24"/>
          <w:szCs w:val="24"/>
        </w:rPr>
        <w:t>l</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w:t>
      </w:r>
      <w:r>
        <w:rPr>
          <w:rFonts w:ascii="Times New Roman" w:hAnsi="Times New Roman"/>
          <w:sz w:val="24"/>
          <w:szCs w:val="24"/>
        </w:rPr>
        <w:t>t</w:t>
      </w:r>
      <w:r>
        <w:rPr>
          <w:rFonts w:ascii="Times New Roman" w:hAnsi="Times New Roman"/>
          <w:sz w:val="24"/>
          <w:szCs w:val="24"/>
        </w:rPr>
        <w:t>r</w:t>
      </w:r>
      <w:r>
        <w:rPr>
          <w:rFonts w:ascii="Times New Roman" w:hAnsi="Times New Roman"/>
          <w:sz w:val="24"/>
          <w:szCs w:val="24"/>
        </w:rPr>
        <w:t>e</w:t>
      </w:r>
      <w:r>
        <w:rPr>
          <w:rFonts w:ascii="Times New Roman" w:hAnsi="Times New Roman"/>
          <w:sz w:val="24"/>
          <w:szCs w:val="24"/>
        </w:rPr>
        <w:t>s</w:t>
      </w:r>
      <w:r>
        <w:rPr>
          <w:rFonts w:ascii="Times New Roman" w:hAnsi="Times New Roman"/>
          <w:sz w:val="24"/>
          <w:szCs w:val="24"/>
        </w:rPr>
        <w:t>s</w:t>
      </w:r>
      <w:r>
        <w:rPr>
          <w:rFonts w:ascii="Times New Roman" w:hAnsi="Times New Roman"/>
          <w:sz w:val="24"/>
          <w:szCs w:val="24"/>
        </w:rPr>
        <w:t xml:space="preserve"> and</w:t>
      </w:r>
      <w:r>
        <w:rPr>
          <w:rFonts w:ascii="Times New Roman" w:hAnsi="Times New Roman"/>
          <w:sz w:val="24"/>
          <w:szCs w:val="24"/>
        </w:rPr>
        <w:t xml:space="preserve"> blood samples were collected solely by carefully cutting the jugular veins, yielding 5 mL of blood into sterile, dry centrifuge tubes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Samples were left at room temperature for 15 minutes to clot, then centrifuged at 503 × g for 10 minutes using a Uniscope Laboratory Centrifuge (Model SM800B, Surgifriend</w:t>
      </w:r>
      <w:r>
        <w:rPr>
          <w:rFonts w:ascii="Times New Roman" w:hAnsi="Times New Roman"/>
          <w:sz w:val="24"/>
          <w:szCs w:val="24"/>
        </w:rPr>
        <w:t xml:space="preserve"> Medicals, Essex, UK). The clear serum was separated using a Pasteur pipette and refrigerated until use.</w:t>
      </w:r>
    </w:p>
    <w:p w14:paraId="7EFE8CAF" w14:textId="77777777" w:rsidR="00B26622" w:rsidRDefault="00B26622">
      <w:pPr>
        <w:spacing w:line="360" w:lineRule="auto"/>
        <w:jc w:val="both"/>
        <w:rPr>
          <w:rFonts w:ascii="Times New Roman" w:hAnsi="Times New Roman"/>
          <w:b/>
          <w:sz w:val="24"/>
          <w:szCs w:val="24"/>
        </w:rPr>
      </w:pPr>
    </w:p>
    <w:p w14:paraId="066813FB" w14:textId="77777777" w:rsidR="00B26622" w:rsidRDefault="00B26622">
      <w:pPr>
        <w:spacing w:line="360" w:lineRule="auto"/>
        <w:jc w:val="both"/>
        <w:rPr>
          <w:rFonts w:ascii="Times New Roman" w:hAnsi="Times New Roman"/>
          <w:b/>
          <w:sz w:val="24"/>
          <w:szCs w:val="24"/>
        </w:rPr>
      </w:pPr>
    </w:p>
    <w:p w14:paraId="61D34824" w14:textId="77777777" w:rsidR="00B26622" w:rsidRDefault="00B26622">
      <w:pPr>
        <w:spacing w:line="360" w:lineRule="auto"/>
        <w:jc w:val="both"/>
        <w:rPr>
          <w:rFonts w:ascii="Times New Roman" w:hAnsi="Times New Roman"/>
          <w:b/>
          <w:sz w:val="24"/>
          <w:szCs w:val="24"/>
        </w:rPr>
      </w:pPr>
    </w:p>
    <w:p w14:paraId="0183839E" w14:textId="77777777" w:rsidR="00B26622" w:rsidRDefault="00B26622">
      <w:pPr>
        <w:spacing w:line="360" w:lineRule="auto"/>
        <w:jc w:val="both"/>
        <w:rPr>
          <w:rFonts w:ascii="Times New Roman" w:hAnsi="Times New Roman"/>
          <w:b/>
          <w:sz w:val="24"/>
          <w:szCs w:val="24"/>
        </w:rPr>
      </w:pPr>
    </w:p>
    <w:p w14:paraId="2D5D0583" w14:textId="77777777" w:rsidR="00B26622" w:rsidRDefault="00B26622">
      <w:pPr>
        <w:spacing w:line="360" w:lineRule="auto"/>
        <w:jc w:val="both"/>
        <w:rPr>
          <w:rFonts w:ascii="Times New Roman" w:hAnsi="Times New Roman"/>
          <w:b/>
          <w:sz w:val="24"/>
          <w:szCs w:val="24"/>
        </w:rPr>
      </w:pPr>
    </w:p>
    <w:p w14:paraId="64A94682" w14:textId="77777777" w:rsidR="00B26622" w:rsidRDefault="00B26622">
      <w:pPr>
        <w:spacing w:line="360" w:lineRule="auto"/>
        <w:jc w:val="both"/>
        <w:rPr>
          <w:rFonts w:ascii="Times New Roman" w:hAnsi="Times New Roman"/>
          <w:b/>
          <w:sz w:val="24"/>
          <w:szCs w:val="24"/>
        </w:rPr>
      </w:pPr>
    </w:p>
    <w:p w14:paraId="4D02DF5A" w14:textId="77777777" w:rsidR="00B26622" w:rsidRDefault="00B26622">
      <w:pPr>
        <w:spacing w:line="360" w:lineRule="auto"/>
        <w:jc w:val="both"/>
        <w:rPr>
          <w:rFonts w:ascii="Times New Roman" w:hAnsi="Times New Roman"/>
          <w:b/>
          <w:sz w:val="24"/>
          <w:szCs w:val="24"/>
        </w:rPr>
      </w:pPr>
    </w:p>
    <w:p w14:paraId="023F5412"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2.9 Quantification of reproductive hormones</w:t>
      </w:r>
    </w:p>
    <w:p w14:paraId="5288D7E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Serum concentrations of progesterone, follicle-stimulating hormone (FSH), estrogen, and testosterone</w:t>
      </w:r>
      <w:r>
        <w:rPr>
          <w:rFonts w:ascii="Times New Roman" w:hAnsi="Times New Roman"/>
          <w:sz w:val="24"/>
          <w:szCs w:val="24"/>
        </w:rPr>
        <w:t xml:space="preserve"> were quantified using enzyme-linked immunosorbent assay (ELISA) techniques, following the manufacturer’s instructions for each specific kit. Progesterone was measured using the Progesterone ELISA Kit (Abcam, Catalog #ab108654), validated for rat sera [37,</w:t>
      </w:r>
      <w:r>
        <w:rPr>
          <w:rFonts w:ascii="Times New Roman" w:hAnsi="Times New Roman"/>
          <w:sz w:val="24"/>
          <w:szCs w:val="24"/>
        </w:rPr>
        <w:t xml:space="preserve"> 38]. FSH was quantified using the Rat FSH ELISA Kit (Sigma-Aldrich, Catalog #RAB0326), as validated for rat sera [39, 40]. Estrogen levels were determined with the Rat Estradiol ELISA Kit (Thermo </w:t>
      </w:r>
      <w:r>
        <w:rPr>
          <w:rFonts w:ascii="Times New Roman" w:hAnsi="Times New Roman"/>
          <w:sz w:val="24"/>
          <w:szCs w:val="24"/>
        </w:rPr>
        <w:lastRenderedPageBreak/>
        <w:t xml:space="preserve">Fisher, Catalog #KA0234), validated for rat sera [41, 42]. </w:t>
      </w:r>
      <w:r>
        <w:rPr>
          <w:rFonts w:ascii="Times New Roman" w:hAnsi="Times New Roman"/>
          <w:sz w:val="24"/>
          <w:szCs w:val="24"/>
        </w:rPr>
        <w:t>Testosterone was measured using the Testosterone ELISA Kit (Enzo Life Sciences, Catalog #ADI-900-065), as validated for rat sera [43, 44]. The ELISA analyzer was calibrated with standard curves and validated for rat sera [45]. All ELISA procedures followed</w:t>
      </w:r>
      <w:r>
        <w:rPr>
          <w:rFonts w:ascii="Times New Roman" w:hAnsi="Times New Roman"/>
          <w:sz w:val="24"/>
          <w:szCs w:val="24"/>
        </w:rPr>
        <w:t xml:space="preserve"> established protocols for hormone quantification [46].</w:t>
      </w:r>
    </w:p>
    <w:p w14:paraId="66CECC6C"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2.10 Histological Examination</w:t>
      </w:r>
    </w:p>
    <w:p w14:paraId="26853B7B" w14:textId="5732BE85" w:rsidR="00B26622" w:rsidRDefault="004E16E5">
      <w:pPr>
        <w:spacing w:line="360" w:lineRule="auto"/>
        <w:jc w:val="both"/>
        <w:rPr>
          <w:rFonts w:ascii="Times New Roman" w:hAnsi="Times New Roman"/>
          <w:sz w:val="24"/>
          <w:szCs w:val="24"/>
        </w:rPr>
      </w:pPr>
      <w:r>
        <w:rPr>
          <w:rFonts w:ascii="Times New Roman" w:hAnsi="Times New Roman"/>
          <w:sz w:val="24"/>
          <w:szCs w:val="24"/>
        </w:rPr>
        <w:t>At the end of the experiment, ovaries were harvested, blotted dry, and chopped into small pieces. Samples were fixed in 10% buffered formalin, dehydrated in ascending gra</w:t>
      </w:r>
      <w:r>
        <w:rPr>
          <w:rFonts w:ascii="Times New Roman" w:hAnsi="Times New Roman"/>
          <w:sz w:val="24"/>
          <w:szCs w:val="24"/>
        </w:rPr>
        <w:t>des of ethanol (70%, 90%, and 95% v/v), cleared in xylene, and embedded in paraffin wax (melting point 56 °C) [2</w:t>
      </w:r>
      <w:r>
        <w:rPr>
          <w:rFonts w:ascii="Times New Roman" w:hAnsi="Times New Roman"/>
          <w:sz w:val="24"/>
          <w:szCs w:val="24"/>
        </w:rPr>
        <w:t>4</w:t>
      </w:r>
      <w:r>
        <w:rPr>
          <w:rFonts w:ascii="Times New Roman" w:hAnsi="Times New Roman"/>
          <w:sz w:val="24"/>
          <w:szCs w:val="24"/>
        </w:rPr>
        <w:t xml:space="preserve">]. </w:t>
      </w:r>
      <w:r>
        <w:rPr>
          <w:rFonts w:ascii="Times New Roman" w:hAnsi="Times New Roman"/>
          <w:sz w:val="24"/>
          <w:szCs w:val="24"/>
        </w:rPr>
        <w:t xml:space="preserve">Tissue sections (5–6 µm) were prepared according to </w:t>
      </w:r>
      <w:r>
        <w:rPr>
          <w:rFonts w:ascii="Times New Roman" w:hAnsi="Times New Roman"/>
          <w:sz w:val="24"/>
          <w:szCs w:val="24"/>
        </w:rPr>
        <w:t>Bancroft’s Theory and Practice of Histological Techniques (8th ed.) [2</w:t>
      </w: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and stained with hematoxylin and eosin (H&amp;E). Slides were examined under a light microscope, and photomicrographs were captured at ×400 magnification using Presto Image Folio Package</w:t>
      </w:r>
      <w:r>
        <w:rPr>
          <w:rFonts w:ascii="Times New Roman" w:hAnsi="Times New Roman"/>
          <w:sz w:val="24"/>
          <w:szCs w:val="24"/>
        </w:rPr>
        <w:t xml:space="preserve"> Software.</w:t>
      </w:r>
    </w:p>
    <w:p w14:paraId="604794E7"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2.11 Statistical Analysis</w:t>
      </w:r>
    </w:p>
    <w:p w14:paraId="35285D1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Results were expressed as the mean ± standard error of mean of 6 replicates. Data were analyzed using a one-way analysis of variance, followed by the independent T-test to determine significant differences in all the pa</w:t>
      </w:r>
      <w:r>
        <w:rPr>
          <w:rFonts w:ascii="Times New Roman" w:hAnsi="Times New Roman"/>
          <w:sz w:val="24"/>
          <w:szCs w:val="24"/>
        </w:rPr>
        <w:t>rameters with Students Package for Social Science, version 20.0 (SPSS Inc., Chicago, USA). Differences with values of P&lt;0.05 were considered statistically significant.</w:t>
      </w:r>
    </w:p>
    <w:p w14:paraId="68887999" w14:textId="77777777" w:rsidR="00B26622" w:rsidRDefault="00B26622">
      <w:pPr>
        <w:spacing w:line="360" w:lineRule="auto"/>
        <w:jc w:val="both"/>
        <w:rPr>
          <w:rFonts w:ascii="Times New Roman" w:hAnsi="Times New Roman"/>
          <w:b/>
          <w:sz w:val="24"/>
          <w:szCs w:val="24"/>
        </w:rPr>
      </w:pPr>
    </w:p>
    <w:p w14:paraId="56ADC38A" w14:textId="77777777" w:rsidR="00B26622" w:rsidRDefault="00B26622">
      <w:pPr>
        <w:spacing w:line="360" w:lineRule="auto"/>
        <w:jc w:val="both"/>
        <w:rPr>
          <w:rFonts w:ascii="Times New Roman" w:hAnsi="Times New Roman"/>
          <w:b/>
          <w:sz w:val="24"/>
          <w:szCs w:val="24"/>
        </w:rPr>
      </w:pPr>
    </w:p>
    <w:p w14:paraId="6333609E" w14:textId="77777777" w:rsidR="00B26622" w:rsidRDefault="00B26622">
      <w:pPr>
        <w:spacing w:line="360" w:lineRule="auto"/>
        <w:jc w:val="both"/>
        <w:rPr>
          <w:rFonts w:ascii="Times New Roman" w:hAnsi="Times New Roman"/>
          <w:b/>
          <w:sz w:val="24"/>
          <w:szCs w:val="24"/>
        </w:rPr>
      </w:pPr>
    </w:p>
    <w:p w14:paraId="450E8549"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3.0 RESULTS</w:t>
      </w:r>
    </w:p>
    <w:p w14:paraId="591C0CF9"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3.1 Phytochemical Composition</w:t>
      </w:r>
    </w:p>
    <w:p w14:paraId="242A82ED"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The screening of secondary plant metabolite</w:t>
      </w:r>
      <w:r>
        <w:rPr>
          <w:rFonts w:ascii="Times New Roman" w:hAnsi="Times New Roman"/>
          <w:sz w:val="24"/>
          <w:szCs w:val="24"/>
        </w:rPr>
        <w:t xml:space="preserve">s in the aqueous extract of </w:t>
      </w:r>
      <w:r>
        <w:rPr>
          <w:rFonts w:ascii="Times New Roman" w:hAnsi="Times New Roman"/>
          <w:i/>
          <w:sz w:val="24"/>
          <w:szCs w:val="24"/>
        </w:rPr>
        <w:t>F. platyphylla</w:t>
      </w:r>
      <w:r>
        <w:rPr>
          <w:rFonts w:ascii="Times New Roman" w:hAnsi="Times New Roman"/>
          <w:sz w:val="24"/>
          <w:szCs w:val="24"/>
        </w:rPr>
        <w:t xml:space="preserve"> stem bark extract revealed the presence of tannins, saponins, flavonoids, alkaloids, steroids, and anthraquinones. Cardiac glycosides, phenolic compounds, and anthracyanide were absent.</w:t>
      </w:r>
    </w:p>
    <w:p w14:paraId="0DED891B"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Table 1: Phytochemical comp</w:t>
      </w:r>
      <w:r>
        <w:rPr>
          <w:rFonts w:ascii="Times New Roman" w:hAnsi="Times New Roman"/>
          <w:sz w:val="24"/>
          <w:szCs w:val="24"/>
        </w:rPr>
        <w:t xml:space="preserve">osition of </w:t>
      </w:r>
      <w:r>
        <w:rPr>
          <w:rFonts w:ascii="Times New Roman" w:hAnsi="Times New Roman"/>
          <w:i/>
          <w:sz w:val="24"/>
          <w:szCs w:val="24"/>
        </w:rPr>
        <w:t>Ficus platyphylla</w:t>
      </w:r>
      <w:r>
        <w:rPr>
          <w:rFonts w:ascii="Times New Roman" w:hAnsi="Times New Roman"/>
          <w:sz w:val="24"/>
          <w:szCs w:val="24"/>
        </w:rPr>
        <w:t xml:space="preserve"> stem bark extract</w:t>
      </w:r>
    </w:p>
    <w:tbl>
      <w:tblPr>
        <w:tblW w:w="9470" w:type="dxa"/>
        <w:tblBorders>
          <w:top w:val="single" w:sz="4" w:space="0" w:color="auto"/>
          <w:bottom w:val="single" w:sz="4" w:space="0" w:color="auto"/>
        </w:tblBorders>
        <w:tblLook w:val="04A0" w:firstRow="1" w:lastRow="0" w:firstColumn="1" w:lastColumn="0" w:noHBand="0" w:noVBand="1"/>
      </w:tblPr>
      <w:tblGrid>
        <w:gridCol w:w="2071"/>
        <w:gridCol w:w="2258"/>
        <w:gridCol w:w="2963"/>
        <w:gridCol w:w="2178"/>
      </w:tblGrid>
      <w:tr w:rsidR="00B26622" w14:paraId="6237687A" w14:textId="77777777">
        <w:tc>
          <w:tcPr>
            <w:tcW w:w="2071" w:type="dxa"/>
            <w:tcBorders>
              <w:top w:val="single" w:sz="4" w:space="0" w:color="auto"/>
              <w:bottom w:val="single" w:sz="4" w:space="0" w:color="auto"/>
            </w:tcBorders>
          </w:tcPr>
          <w:p w14:paraId="6CB17D77"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S/N</w:t>
            </w:r>
          </w:p>
        </w:tc>
        <w:tc>
          <w:tcPr>
            <w:tcW w:w="2258" w:type="dxa"/>
            <w:tcBorders>
              <w:top w:val="single" w:sz="4" w:space="0" w:color="auto"/>
              <w:bottom w:val="single" w:sz="4" w:space="0" w:color="auto"/>
            </w:tcBorders>
          </w:tcPr>
          <w:p w14:paraId="702721F5"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Phytochemicals</w:t>
            </w:r>
          </w:p>
        </w:tc>
        <w:tc>
          <w:tcPr>
            <w:tcW w:w="2963" w:type="dxa"/>
            <w:tcBorders>
              <w:top w:val="single" w:sz="4" w:space="0" w:color="auto"/>
              <w:bottom w:val="single" w:sz="4" w:space="0" w:color="auto"/>
            </w:tcBorders>
          </w:tcPr>
          <w:p w14:paraId="284EAB37" w14:textId="77777777" w:rsidR="00B26622" w:rsidRDefault="004E16E5">
            <w:pPr>
              <w:spacing w:line="360" w:lineRule="auto"/>
              <w:jc w:val="both"/>
              <w:rPr>
                <w:rFonts w:ascii="Times New Roman" w:eastAsia="Times New Roman" w:hAnsi="Times New Roman"/>
                <w:b/>
                <w:i/>
                <w:sz w:val="24"/>
                <w:szCs w:val="24"/>
              </w:rPr>
            </w:pPr>
            <w:r>
              <w:rPr>
                <w:rFonts w:ascii="Times New Roman" w:eastAsia="Times New Roman" w:hAnsi="Times New Roman"/>
                <w:b/>
                <w:i/>
                <w:sz w:val="24"/>
                <w:szCs w:val="24"/>
              </w:rPr>
              <w:t>Ficus Platyphylla</w:t>
            </w:r>
          </w:p>
        </w:tc>
        <w:tc>
          <w:tcPr>
            <w:tcW w:w="2178" w:type="dxa"/>
            <w:tcBorders>
              <w:top w:val="single" w:sz="4" w:space="0" w:color="auto"/>
              <w:bottom w:val="single" w:sz="4" w:space="0" w:color="auto"/>
            </w:tcBorders>
          </w:tcPr>
          <w:p w14:paraId="6D0B368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Polyherbal Formulation </w:t>
            </w:r>
          </w:p>
        </w:tc>
      </w:tr>
      <w:tr w:rsidR="00B26622" w14:paraId="65F1292B" w14:textId="77777777">
        <w:tc>
          <w:tcPr>
            <w:tcW w:w="2071" w:type="dxa"/>
            <w:tcBorders>
              <w:top w:val="single" w:sz="4" w:space="0" w:color="auto"/>
            </w:tcBorders>
          </w:tcPr>
          <w:p w14:paraId="02AFFA5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2258" w:type="dxa"/>
            <w:tcBorders>
              <w:top w:val="single" w:sz="4" w:space="0" w:color="auto"/>
            </w:tcBorders>
          </w:tcPr>
          <w:p w14:paraId="3423DCA2"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Tannins </w:t>
            </w:r>
          </w:p>
        </w:tc>
        <w:tc>
          <w:tcPr>
            <w:tcW w:w="2963" w:type="dxa"/>
            <w:tcBorders>
              <w:top w:val="single" w:sz="4" w:space="0" w:color="auto"/>
            </w:tcBorders>
          </w:tcPr>
          <w:p w14:paraId="5ED4047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Borders>
              <w:top w:val="single" w:sz="4" w:space="0" w:color="auto"/>
            </w:tcBorders>
          </w:tcPr>
          <w:p w14:paraId="06BB9935"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1BE8D8AD" w14:textId="77777777">
        <w:tc>
          <w:tcPr>
            <w:tcW w:w="2071" w:type="dxa"/>
          </w:tcPr>
          <w:p w14:paraId="6FC5492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2258" w:type="dxa"/>
          </w:tcPr>
          <w:p w14:paraId="7E9585D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Saponins</w:t>
            </w:r>
          </w:p>
        </w:tc>
        <w:tc>
          <w:tcPr>
            <w:tcW w:w="2963" w:type="dxa"/>
          </w:tcPr>
          <w:p w14:paraId="493D377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4C84C0E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3E296355" w14:textId="77777777">
        <w:tc>
          <w:tcPr>
            <w:tcW w:w="2071" w:type="dxa"/>
          </w:tcPr>
          <w:p w14:paraId="4ECD234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2258" w:type="dxa"/>
          </w:tcPr>
          <w:p w14:paraId="2ECEA6F2"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Flavonoids</w:t>
            </w:r>
          </w:p>
        </w:tc>
        <w:tc>
          <w:tcPr>
            <w:tcW w:w="2963" w:type="dxa"/>
          </w:tcPr>
          <w:p w14:paraId="48E75114"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6D1E4AD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2D83D1DB" w14:textId="77777777">
        <w:tc>
          <w:tcPr>
            <w:tcW w:w="2071" w:type="dxa"/>
          </w:tcPr>
          <w:p w14:paraId="54D49642"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2258" w:type="dxa"/>
          </w:tcPr>
          <w:p w14:paraId="7A954EC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Alkaloids</w:t>
            </w:r>
          </w:p>
        </w:tc>
        <w:tc>
          <w:tcPr>
            <w:tcW w:w="2963" w:type="dxa"/>
          </w:tcPr>
          <w:p w14:paraId="4CFBD1E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73AF7762"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272C449C" w14:textId="77777777">
        <w:tc>
          <w:tcPr>
            <w:tcW w:w="2071" w:type="dxa"/>
          </w:tcPr>
          <w:p w14:paraId="35167DB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2258" w:type="dxa"/>
          </w:tcPr>
          <w:p w14:paraId="3AE200C4"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Steroids</w:t>
            </w:r>
          </w:p>
        </w:tc>
        <w:tc>
          <w:tcPr>
            <w:tcW w:w="2963" w:type="dxa"/>
          </w:tcPr>
          <w:p w14:paraId="0B4441E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54A05D68"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35DD0C3D" w14:textId="77777777">
        <w:tc>
          <w:tcPr>
            <w:tcW w:w="2071" w:type="dxa"/>
          </w:tcPr>
          <w:p w14:paraId="6850E8B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2258" w:type="dxa"/>
          </w:tcPr>
          <w:p w14:paraId="02FD933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Anthraquinones</w:t>
            </w:r>
          </w:p>
        </w:tc>
        <w:tc>
          <w:tcPr>
            <w:tcW w:w="2963" w:type="dxa"/>
          </w:tcPr>
          <w:p w14:paraId="5505AF2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561D1C8C"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6FEDB859" w14:textId="77777777">
        <w:tc>
          <w:tcPr>
            <w:tcW w:w="2071" w:type="dxa"/>
          </w:tcPr>
          <w:p w14:paraId="7C2B50C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2258" w:type="dxa"/>
          </w:tcPr>
          <w:p w14:paraId="24C6F39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Cardiac glycosides</w:t>
            </w:r>
          </w:p>
        </w:tc>
        <w:tc>
          <w:tcPr>
            <w:tcW w:w="2963" w:type="dxa"/>
          </w:tcPr>
          <w:p w14:paraId="7F7B566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39AE5488"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1292DB58" w14:textId="77777777">
        <w:tc>
          <w:tcPr>
            <w:tcW w:w="2071" w:type="dxa"/>
          </w:tcPr>
          <w:p w14:paraId="0DC6317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2258" w:type="dxa"/>
          </w:tcPr>
          <w:p w14:paraId="07642A8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Phenolic </w:t>
            </w:r>
            <w:r>
              <w:rPr>
                <w:rFonts w:ascii="Times New Roman" w:eastAsia="Times New Roman" w:hAnsi="Times New Roman"/>
                <w:sz w:val="24"/>
                <w:szCs w:val="24"/>
              </w:rPr>
              <w:t>compounds</w:t>
            </w:r>
          </w:p>
        </w:tc>
        <w:tc>
          <w:tcPr>
            <w:tcW w:w="2963" w:type="dxa"/>
          </w:tcPr>
          <w:p w14:paraId="28C11CE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137F37F8"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225D57B6" w14:textId="77777777">
        <w:tc>
          <w:tcPr>
            <w:tcW w:w="2071" w:type="dxa"/>
          </w:tcPr>
          <w:p w14:paraId="26F585E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2258" w:type="dxa"/>
          </w:tcPr>
          <w:p w14:paraId="341FAF7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Anthracyanide</w:t>
            </w:r>
          </w:p>
        </w:tc>
        <w:tc>
          <w:tcPr>
            <w:tcW w:w="2963" w:type="dxa"/>
          </w:tcPr>
          <w:p w14:paraId="3E9B1DF4"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5FD8FC8B"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r w:rsidR="00B26622" w14:paraId="6BD2FBD6" w14:textId="77777777">
        <w:tc>
          <w:tcPr>
            <w:tcW w:w="2071" w:type="dxa"/>
          </w:tcPr>
          <w:p w14:paraId="71FA9437"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2258" w:type="dxa"/>
          </w:tcPr>
          <w:p w14:paraId="3514FD8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Phlobatannins</w:t>
            </w:r>
          </w:p>
        </w:tc>
        <w:tc>
          <w:tcPr>
            <w:tcW w:w="2963" w:type="dxa"/>
          </w:tcPr>
          <w:p w14:paraId="014F5ED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178" w:type="dxa"/>
          </w:tcPr>
          <w:p w14:paraId="5CF6316D"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tc>
      </w:tr>
    </w:tbl>
    <w:p w14:paraId="181432DC"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Key: (+) = Detected, (-) = Not Detected</w:t>
      </w:r>
    </w:p>
    <w:p w14:paraId="59EFEDF9" w14:textId="77777777" w:rsidR="00B26622" w:rsidRDefault="00B26622">
      <w:pPr>
        <w:spacing w:line="360" w:lineRule="auto"/>
        <w:jc w:val="both"/>
        <w:rPr>
          <w:rFonts w:ascii="Times New Roman" w:hAnsi="Times New Roman"/>
          <w:b/>
          <w:sz w:val="24"/>
          <w:szCs w:val="24"/>
        </w:rPr>
      </w:pPr>
    </w:p>
    <w:p w14:paraId="6489514E" w14:textId="77777777" w:rsidR="00B26622" w:rsidRDefault="00B26622">
      <w:pPr>
        <w:spacing w:line="360" w:lineRule="auto"/>
        <w:jc w:val="both"/>
        <w:rPr>
          <w:rFonts w:ascii="Times New Roman" w:hAnsi="Times New Roman"/>
          <w:b/>
          <w:sz w:val="24"/>
          <w:szCs w:val="24"/>
        </w:rPr>
      </w:pPr>
    </w:p>
    <w:p w14:paraId="0301141A" w14:textId="77777777" w:rsidR="00B26622" w:rsidRDefault="00B26622">
      <w:pPr>
        <w:spacing w:line="360" w:lineRule="auto"/>
        <w:jc w:val="both"/>
        <w:rPr>
          <w:rFonts w:ascii="Times New Roman" w:hAnsi="Times New Roman"/>
          <w:b/>
          <w:sz w:val="24"/>
          <w:szCs w:val="24"/>
        </w:rPr>
      </w:pPr>
    </w:p>
    <w:p w14:paraId="5B6CD919"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3.2 Effect of </w:t>
      </w:r>
      <w:r>
        <w:rPr>
          <w:rFonts w:ascii="Times New Roman" w:hAnsi="Times New Roman"/>
          <w:b/>
          <w:i/>
          <w:sz w:val="24"/>
          <w:szCs w:val="24"/>
        </w:rPr>
        <w:t>Ficus platyphylla</w:t>
      </w:r>
      <w:r>
        <w:rPr>
          <w:rFonts w:ascii="Times New Roman" w:hAnsi="Times New Roman"/>
          <w:b/>
          <w:sz w:val="24"/>
          <w:szCs w:val="24"/>
        </w:rPr>
        <w:t xml:space="preserve"> and its Polyherbal Formulation on Female Sexual Behavior</w:t>
      </w:r>
    </w:p>
    <w:p w14:paraId="79D18200"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The administration of </w:t>
      </w:r>
      <w:r>
        <w:rPr>
          <w:rFonts w:ascii="Times New Roman" w:hAnsi="Times New Roman"/>
          <w:i/>
          <w:sz w:val="24"/>
          <w:szCs w:val="24"/>
        </w:rPr>
        <w:t>Ficus platyphylla</w:t>
      </w:r>
      <w:r>
        <w:rPr>
          <w:rFonts w:ascii="Times New Roman" w:hAnsi="Times New Roman"/>
          <w:sz w:val="24"/>
          <w:szCs w:val="24"/>
        </w:rPr>
        <w:t xml:space="preserve"> aqueous stem bark extract and its polyherbal formulation produced dose- and time-dependent effects on female sexual behavior parameters (darting frequency [DF], dating latency [DL], hopping frequency [HF], hopping latency [HL], licking frequency [LF], ano</w:t>
      </w:r>
      <w:r>
        <w:rPr>
          <w:rFonts w:ascii="Times New Roman" w:hAnsi="Times New Roman"/>
          <w:sz w:val="24"/>
          <w:szCs w:val="24"/>
        </w:rPr>
        <w:t xml:space="preserve">genital and genital grooming frequency, ear wiggling frequency, and lordosis frequency) compared to control groups (distilled water and drug controls).On day 1, DF increased significantly (P&lt;0.05) at 25 mg/kg </w:t>
      </w:r>
      <w:r>
        <w:rPr>
          <w:rFonts w:ascii="Times New Roman" w:hAnsi="Times New Roman"/>
          <w:i/>
          <w:sz w:val="24"/>
          <w:szCs w:val="24"/>
        </w:rPr>
        <w:t>F. platyphylla,</w:t>
      </w:r>
      <w:r>
        <w:rPr>
          <w:rFonts w:ascii="Times New Roman" w:hAnsi="Times New Roman"/>
          <w:sz w:val="24"/>
          <w:szCs w:val="24"/>
        </w:rPr>
        <w:t xml:space="preserve"> while 50 mg/kg showed a signifi</w:t>
      </w:r>
      <w:r>
        <w:rPr>
          <w:rFonts w:ascii="Times New Roman" w:hAnsi="Times New Roman"/>
          <w:sz w:val="24"/>
          <w:szCs w:val="24"/>
        </w:rPr>
        <w:t xml:space="preserve">cant </w:t>
      </w:r>
      <w:r>
        <w:rPr>
          <w:rFonts w:ascii="Times New Roman" w:hAnsi="Times New Roman"/>
          <w:sz w:val="24"/>
          <w:szCs w:val="24"/>
        </w:rPr>
        <w:lastRenderedPageBreak/>
        <w:t xml:space="preserve">decrease; by day 7, DF dropped to zero in controls but remained higher in all extract-treated groups. DL was highest at 100 mg/kg polyherbal on day 1 and lowest at 50 mg/kg </w:t>
      </w:r>
      <w:r>
        <w:rPr>
          <w:rFonts w:ascii="Times New Roman" w:hAnsi="Times New Roman"/>
          <w:i/>
          <w:sz w:val="24"/>
          <w:szCs w:val="24"/>
        </w:rPr>
        <w:t>F. platyphylla</w:t>
      </w:r>
      <w:r>
        <w:rPr>
          <w:rFonts w:ascii="Times New Roman" w:hAnsi="Times New Roman"/>
          <w:sz w:val="24"/>
          <w:szCs w:val="24"/>
        </w:rPr>
        <w:t>, declining significantly (P&lt;0.05) in controls by day 7 compared</w:t>
      </w:r>
      <w:r>
        <w:rPr>
          <w:rFonts w:ascii="Times New Roman" w:hAnsi="Times New Roman"/>
          <w:sz w:val="24"/>
          <w:szCs w:val="24"/>
        </w:rPr>
        <w:t xml:space="preserve"> to treated groups. HF and HL varied with dose: 25 mg/kg </w:t>
      </w:r>
      <w:r>
        <w:rPr>
          <w:rFonts w:ascii="Times New Roman" w:hAnsi="Times New Roman"/>
          <w:i/>
          <w:sz w:val="24"/>
          <w:szCs w:val="24"/>
        </w:rPr>
        <w:t>F. platyphylla</w:t>
      </w:r>
      <w:r>
        <w:rPr>
          <w:rFonts w:ascii="Times New Roman" w:hAnsi="Times New Roman"/>
          <w:sz w:val="24"/>
          <w:szCs w:val="24"/>
        </w:rPr>
        <w:t xml:space="preserve"> increased HF and decreased HL (P&lt;0.05) versus controls, while 50 and 100 mg/kg reduced activity; on day 7, treated groups (especially 25 mg/kg) maintained higher HF with lower latency </w:t>
      </w:r>
      <w:r>
        <w:rPr>
          <w:rFonts w:ascii="Times New Roman" w:hAnsi="Times New Roman"/>
          <w:sz w:val="24"/>
          <w:szCs w:val="24"/>
        </w:rPr>
        <w:t xml:space="preserve">than inactive controls. LF peaked at 25 mg/kg </w:t>
      </w:r>
      <w:r>
        <w:rPr>
          <w:rFonts w:ascii="Times New Roman" w:hAnsi="Times New Roman"/>
          <w:i/>
          <w:sz w:val="24"/>
          <w:szCs w:val="24"/>
        </w:rPr>
        <w:t>F. platyphylla</w:t>
      </w:r>
      <w:r>
        <w:rPr>
          <w:rFonts w:ascii="Times New Roman" w:hAnsi="Times New Roman"/>
          <w:sz w:val="24"/>
          <w:szCs w:val="24"/>
        </w:rPr>
        <w:t xml:space="preserve"> on day 1 (P&lt;0.05), followed by 50 mg/kg, with 100 mg/kg showing the lowest effect; on day 7, 25 mg/kg matched the drug control, both exceeding distilled water, while 50 and 100 mg/kg remained low</w:t>
      </w:r>
      <w:r>
        <w:rPr>
          <w:rFonts w:ascii="Times New Roman" w:hAnsi="Times New Roman"/>
          <w:sz w:val="24"/>
          <w:szCs w:val="24"/>
        </w:rPr>
        <w:t xml:space="preserve">er than drug control but higher than distilled water. A similar dose-dependent trend was observed with the polyherbal formulation, with 25 mg/kg yielding the highest LF. Anogenital grooming frequency was highest at 100 mg/kg </w:t>
      </w:r>
      <w:r>
        <w:rPr>
          <w:rFonts w:ascii="Times New Roman" w:hAnsi="Times New Roman"/>
          <w:i/>
          <w:sz w:val="24"/>
          <w:szCs w:val="24"/>
        </w:rPr>
        <w:t>F. platyphylla</w:t>
      </w:r>
      <w:r>
        <w:rPr>
          <w:rFonts w:ascii="Times New Roman" w:hAnsi="Times New Roman"/>
          <w:sz w:val="24"/>
          <w:szCs w:val="24"/>
        </w:rPr>
        <w:t xml:space="preserve"> on day 1 (P&lt;0.05</w:t>
      </w:r>
      <w:r>
        <w:rPr>
          <w:rFonts w:ascii="Times New Roman" w:hAnsi="Times New Roman"/>
          <w:sz w:val="24"/>
          <w:szCs w:val="24"/>
        </w:rPr>
        <w:t>), followed by 50 mg/kg, and lowest at 25 mg/kg; on day 7, 50 mg/kg led, followed by 25 mg/kg, with 100 mg/kg lowest. Genital grooming was lower than controls at most doses on day 1 except for 25 mg/kg polyherbal (P&lt;0.05), with 50 mg/kg highest on day 7 an</w:t>
      </w:r>
      <w:r>
        <w:rPr>
          <w:rFonts w:ascii="Times New Roman" w:hAnsi="Times New Roman"/>
          <w:sz w:val="24"/>
          <w:szCs w:val="24"/>
        </w:rPr>
        <w:t xml:space="preserve">d 100 mg/kg showing no activity. Ear wiggling frequency was highest at 100 mg/kg </w:t>
      </w:r>
      <w:r>
        <w:rPr>
          <w:rFonts w:ascii="Times New Roman" w:hAnsi="Times New Roman"/>
          <w:i/>
          <w:sz w:val="24"/>
          <w:szCs w:val="24"/>
        </w:rPr>
        <w:t>F. platyphylla</w:t>
      </w:r>
      <w:r>
        <w:rPr>
          <w:rFonts w:ascii="Times New Roman" w:hAnsi="Times New Roman"/>
          <w:sz w:val="24"/>
          <w:szCs w:val="24"/>
        </w:rPr>
        <w:t xml:space="preserve"> on day 1, then 25 mg/kg, and lowest at 50 mg/kg; on day 7, 25 mg/kg </w:t>
      </w:r>
      <w:r>
        <w:rPr>
          <w:rFonts w:ascii="Times New Roman" w:hAnsi="Times New Roman"/>
          <w:i/>
          <w:sz w:val="24"/>
          <w:szCs w:val="24"/>
        </w:rPr>
        <w:t>F. platyphylla</w:t>
      </w:r>
      <w:r>
        <w:rPr>
          <w:rFonts w:ascii="Times New Roman" w:hAnsi="Times New Roman"/>
          <w:sz w:val="24"/>
          <w:szCs w:val="24"/>
        </w:rPr>
        <w:t xml:space="preserve"> exceeded controls, with no difference between distilled water and drug controls. Lordosis frequency increased significantly (P&lt;0.05) at 25 mg/kg polyherbal on day 1 versus controls (which showed none), declining overall by day 7 except in the drug control</w:t>
      </w:r>
      <w:r>
        <w:rPr>
          <w:rFonts w:ascii="Times New Roman" w:hAnsi="Times New Roman"/>
          <w:sz w:val="24"/>
          <w:szCs w:val="24"/>
        </w:rPr>
        <w:t xml:space="preserve"> group.</w:t>
      </w:r>
    </w:p>
    <w:p w14:paraId="75753CBF" w14:textId="77777777" w:rsidR="00B26622" w:rsidRDefault="00B26622">
      <w:pPr>
        <w:spacing w:line="360" w:lineRule="auto"/>
        <w:jc w:val="both"/>
        <w:rPr>
          <w:rFonts w:ascii="Times New Roman" w:hAnsi="Times New Roman"/>
          <w:b/>
          <w:sz w:val="24"/>
          <w:szCs w:val="24"/>
        </w:rPr>
      </w:pPr>
    </w:p>
    <w:p w14:paraId="2DA86A3E" w14:textId="77777777" w:rsidR="00B26622" w:rsidRDefault="00B26622">
      <w:pPr>
        <w:spacing w:line="360" w:lineRule="auto"/>
        <w:jc w:val="both"/>
        <w:rPr>
          <w:rFonts w:ascii="Times New Roman" w:hAnsi="Times New Roman"/>
          <w:b/>
          <w:sz w:val="24"/>
          <w:szCs w:val="24"/>
        </w:rPr>
      </w:pPr>
    </w:p>
    <w:p w14:paraId="310093EE" w14:textId="77777777" w:rsidR="00B26622" w:rsidRDefault="004E16E5">
      <w:pPr>
        <w:spacing w:line="360" w:lineRule="auto"/>
        <w:jc w:val="both"/>
        <w:rPr>
          <w:rFonts w:ascii="Times New Roman" w:hAnsi="Times New Roman"/>
          <w:sz w:val="24"/>
          <w:szCs w:val="24"/>
        </w:rPr>
      </w:pPr>
      <w:r>
        <w:rPr>
          <w:rFonts w:ascii="Times New Roman" w:hAnsi="Times New Roman"/>
          <w:b/>
          <w:sz w:val="24"/>
          <w:szCs w:val="24"/>
        </w:rPr>
        <w:t xml:space="preserve">Table 2: Effect of </w:t>
      </w:r>
      <w:r>
        <w:rPr>
          <w:rFonts w:ascii="Times New Roman" w:hAnsi="Times New Roman"/>
          <w:b/>
          <w:i/>
          <w:sz w:val="24"/>
          <w:szCs w:val="24"/>
        </w:rPr>
        <w:t xml:space="preserve">Ficus platyphylla </w:t>
      </w:r>
      <w:r>
        <w:rPr>
          <w:rFonts w:ascii="Times New Roman" w:hAnsi="Times New Roman"/>
          <w:b/>
          <w:sz w:val="24"/>
          <w:szCs w:val="24"/>
        </w:rPr>
        <w:t>Aqueous Stem Bark and its Polyherbal Extract on Darting Latency and Frequency</w:t>
      </w:r>
    </w:p>
    <w:tbl>
      <w:tblPr>
        <w:tblW w:w="9965" w:type="dxa"/>
        <w:tblBorders>
          <w:top w:val="single" w:sz="4" w:space="0" w:color="auto"/>
          <w:bottom w:val="single" w:sz="4" w:space="0" w:color="auto"/>
        </w:tblBorders>
        <w:tblLook w:val="04A0" w:firstRow="1" w:lastRow="0" w:firstColumn="1" w:lastColumn="0" w:noHBand="0" w:noVBand="1"/>
      </w:tblPr>
      <w:tblGrid>
        <w:gridCol w:w="2989"/>
        <w:gridCol w:w="1965"/>
        <w:gridCol w:w="1674"/>
        <w:gridCol w:w="1722"/>
        <w:gridCol w:w="1615"/>
      </w:tblGrid>
      <w:tr w:rsidR="00B26622" w14:paraId="75C1F364" w14:textId="77777777">
        <w:tc>
          <w:tcPr>
            <w:tcW w:w="2989" w:type="dxa"/>
            <w:tcBorders>
              <w:top w:val="single" w:sz="4" w:space="0" w:color="auto"/>
              <w:bottom w:val="single" w:sz="4" w:space="0" w:color="auto"/>
            </w:tcBorders>
          </w:tcPr>
          <w:p w14:paraId="7E37EF45"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1965" w:type="dxa"/>
            <w:tcBorders>
              <w:top w:val="single" w:sz="4" w:space="0" w:color="auto"/>
              <w:bottom w:val="single" w:sz="4" w:space="0" w:color="auto"/>
            </w:tcBorders>
          </w:tcPr>
          <w:p w14:paraId="42E313CA"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Darting Latency(sec)</w:t>
            </w:r>
          </w:p>
          <w:p w14:paraId="1C7B119D"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674" w:type="dxa"/>
            <w:tcBorders>
              <w:top w:val="single" w:sz="4" w:space="0" w:color="auto"/>
              <w:bottom w:val="single" w:sz="4" w:space="0" w:color="auto"/>
            </w:tcBorders>
          </w:tcPr>
          <w:p w14:paraId="385F76B9" w14:textId="77777777" w:rsidR="00B26622" w:rsidRDefault="00B26622">
            <w:pPr>
              <w:spacing w:line="360" w:lineRule="auto"/>
              <w:jc w:val="both"/>
              <w:rPr>
                <w:rFonts w:ascii="Times New Roman" w:eastAsia="Times New Roman" w:hAnsi="Times New Roman"/>
                <w:b/>
                <w:sz w:val="24"/>
                <w:szCs w:val="24"/>
              </w:rPr>
            </w:pPr>
          </w:p>
          <w:p w14:paraId="415A6402"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c>
          <w:tcPr>
            <w:tcW w:w="1722" w:type="dxa"/>
            <w:tcBorders>
              <w:top w:val="single" w:sz="4" w:space="0" w:color="auto"/>
              <w:bottom w:val="single" w:sz="4" w:space="0" w:color="auto"/>
            </w:tcBorders>
          </w:tcPr>
          <w:p w14:paraId="43BB8189"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Darting frequency</w:t>
            </w:r>
          </w:p>
          <w:p w14:paraId="0B65325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615" w:type="dxa"/>
            <w:tcBorders>
              <w:top w:val="single" w:sz="4" w:space="0" w:color="auto"/>
              <w:bottom w:val="single" w:sz="4" w:space="0" w:color="auto"/>
            </w:tcBorders>
          </w:tcPr>
          <w:p w14:paraId="44484D8E" w14:textId="77777777" w:rsidR="00B26622" w:rsidRDefault="00B26622">
            <w:pPr>
              <w:spacing w:line="360" w:lineRule="auto"/>
              <w:jc w:val="both"/>
              <w:rPr>
                <w:rFonts w:ascii="Times New Roman" w:eastAsia="Times New Roman" w:hAnsi="Times New Roman"/>
                <w:b/>
                <w:sz w:val="24"/>
                <w:szCs w:val="24"/>
              </w:rPr>
            </w:pPr>
          </w:p>
          <w:p w14:paraId="24D40B4B"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r>
      <w:tr w:rsidR="00B26622" w14:paraId="4B406040" w14:textId="77777777">
        <w:tc>
          <w:tcPr>
            <w:tcW w:w="2989" w:type="dxa"/>
            <w:tcBorders>
              <w:top w:val="single" w:sz="4" w:space="0" w:color="auto"/>
            </w:tcBorders>
          </w:tcPr>
          <w:p w14:paraId="2CA3378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Normal </w:t>
            </w:r>
            <w:r>
              <w:rPr>
                <w:rFonts w:ascii="Times New Roman" w:eastAsia="Times New Roman" w:hAnsi="Times New Roman"/>
                <w:sz w:val="24"/>
                <w:szCs w:val="24"/>
              </w:rPr>
              <w:t>control</w:t>
            </w:r>
          </w:p>
        </w:tc>
        <w:tc>
          <w:tcPr>
            <w:tcW w:w="1965" w:type="dxa"/>
            <w:tcBorders>
              <w:top w:val="single" w:sz="4" w:space="0" w:color="auto"/>
            </w:tcBorders>
          </w:tcPr>
          <w:p w14:paraId="0C969ED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126.58 ± 189.62</w:t>
            </w:r>
            <w:r>
              <w:rPr>
                <w:rFonts w:ascii="Times New Roman" w:eastAsia="Times New Roman" w:hAnsi="Times New Roman"/>
                <w:sz w:val="24"/>
                <w:szCs w:val="24"/>
                <w:vertAlign w:val="superscript"/>
              </w:rPr>
              <w:t>a</w:t>
            </w:r>
          </w:p>
        </w:tc>
        <w:tc>
          <w:tcPr>
            <w:tcW w:w="1674" w:type="dxa"/>
            <w:tcBorders>
              <w:top w:val="single" w:sz="4" w:space="0" w:color="auto"/>
            </w:tcBorders>
          </w:tcPr>
          <w:p w14:paraId="0958AC0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2" w:type="dxa"/>
            <w:tcBorders>
              <w:top w:val="single" w:sz="4" w:space="0" w:color="auto"/>
            </w:tcBorders>
          </w:tcPr>
          <w:p w14:paraId="29CC16B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0.33 ± 0.27</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615" w:type="dxa"/>
            <w:tcBorders>
              <w:top w:val="single" w:sz="4" w:space="0" w:color="auto"/>
            </w:tcBorders>
          </w:tcPr>
          <w:p w14:paraId="158FDDE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24E57CE7" w14:textId="77777777">
        <w:tc>
          <w:tcPr>
            <w:tcW w:w="2989" w:type="dxa"/>
          </w:tcPr>
          <w:p w14:paraId="7FB94AB7"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Exus Ginseng(5.7 mg/kg)</w:t>
            </w:r>
          </w:p>
        </w:tc>
        <w:tc>
          <w:tcPr>
            <w:tcW w:w="1965" w:type="dxa"/>
          </w:tcPr>
          <w:p w14:paraId="02745C0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121.00 ± 230.37</w:t>
            </w:r>
            <w:r>
              <w:rPr>
                <w:rFonts w:ascii="Times New Roman" w:eastAsia="Times New Roman" w:hAnsi="Times New Roman"/>
                <w:sz w:val="24"/>
                <w:szCs w:val="24"/>
                <w:vertAlign w:val="superscript"/>
              </w:rPr>
              <w:t>b</w:t>
            </w:r>
          </w:p>
        </w:tc>
        <w:tc>
          <w:tcPr>
            <w:tcW w:w="1674" w:type="dxa"/>
          </w:tcPr>
          <w:p w14:paraId="44FB0A4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2" w:type="dxa"/>
          </w:tcPr>
          <w:p w14:paraId="6DC707A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0.42 ± 0.63</w:t>
            </w:r>
            <w:r>
              <w:rPr>
                <w:rFonts w:ascii="Times New Roman" w:eastAsia="Times New Roman" w:hAnsi="Times New Roman"/>
                <w:sz w:val="24"/>
                <w:szCs w:val="24"/>
                <w:vertAlign w:val="superscript"/>
              </w:rPr>
              <w:t>b</w:t>
            </w:r>
          </w:p>
        </w:tc>
        <w:tc>
          <w:tcPr>
            <w:tcW w:w="1615" w:type="dxa"/>
          </w:tcPr>
          <w:p w14:paraId="077EC20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75781CC0" w14:textId="77777777">
        <w:tc>
          <w:tcPr>
            <w:tcW w:w="2989" w:type="dxa"/>
          </w:tcPr>
          <w:p w14:paraId="12F569E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1965" w:type="dxa"/>
          </w:tcPr>
          <w:p w14:paraId="6BECC7C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225.58 ± 244.53</w:t>
            </w:r>
            <w:r>
              <w:rPr>
                <w:rFonts w:ascii="Times New Roman" w:eastAsia="Times New Roman" w:hAnsi="Times New Roman"/>
                <w:sz w:val="24"/>
                <w:szCs w:val="24"/>
                <w:vertAlign w:val="superscript"/>
              </w:rPr>
              <w:t>c</w:t>
            </w:r>
          </w:p>
        </w:tc>
        <w:tc>
          <w:tcPr>
            <w:tcW w:w="1674" w:type="dxa"/>
          </w:tcPr>
          <w:p w14:paraId="75B885E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57.00 ± 65.85</w:t>
            </w:r>
            <w:r>
              <w:rPr>
                <w:rFonts w:ascii="Times New Roman" w:eastAsia="Times New Roman" w:hAnsi="Times New Roman"/>
                <w:sz w:val="24"/>
                <w:szCs w:val="24"/>
                <w:vertAlign w:val="superscript"/>
              </w:rPr>
              <w:t>b</w:t>
            </w:r>
          </w:p>
        </w:tc>
        <w:tc>
          <w:tcPr>
            <w:tcW w:w="1722" w:type="dxa"/>
          </w:tcPr>
          <w:p w14:paraId="42F6486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0.75 ± 0.50</w:t>
            </w:r>
            <w:r>
              <w:rPr>
                <w:rFonts w:ascii="Times New Roman" w:eastAsia="Times New Roman" w:hAnsi="Times New Roman"/>
                <w:sz w:val="24"/>
                <w:szCs w:val="24"/>
                <w:vertAlign w:val="superscript"/>
              </w:rPr>
              <w:t>c</w:t>
            </w:r>
          </w:p>
        </w:tc>
        <w:tc>
          <w:tcPr>
            <w:tcW w:w="1615" w:type="dxa"/>
          </w:tcPr>
          <w:p w14:paraId="7D45AFD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0.33 ± 0.38</w:t>
            </w:r>
            <w:r>
              <w:rPr>
                <w:rFonts w:ascii="Times New Roman" w:eastAsia="Times New Roman" w:hAnsi="Times New Roman"/>
                <w:sz w:val="24"/>
                <w:szCs w:val="24"/>
                <w:vertAlign w:val="superscript"/>
              </w:rPr>
              <w:t>b</w:t>
            </w:r>
          </w:p>
        </w:tc>
      </w:tr>
      <w:tr w:rsidR="00B26622" w14:paraId="1ED72BD2" w14:textId="77777777">
        <w:tc>
          <w:tcPr>
            <w:tcW w:w="2989" w:type="dxa"/>
          </w:tcPr>
          <w:p w14:paraId="1BF3FAF2"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1965" w:type="dxa"/>
          </w:tcPr>
          <w:p w14:paraId="79EEDFD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21.17 ± 42.34</w:t>
            </w:r>
            <w:r>
              <w:rPr>
                <w:rFonts w:ascii="Times New Roman" w:eastAsia="Times New Roman" w:hAnsi="Times New Roman"/>
                <w:sz w:val="24"/>
                <w:szCs w:val="24"/>
                <w:vertAlign w:val="superscript"/>
              </w:rPr>
              <w:t>ab</w:t>
            </w:r>
          </w:p>
        </w:tc>
        <w:tc>
          <w:tcPr>
            <w:tcW w:w="1674" w:type="dxa"/>
          </w:tcPr>
          <w:p w14:paraId="5C0F2C3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23.92 ± 29.08</w:t>
            </w:r>
            <w:r>
              <w:rPr>
                <w:rFonts w:ascii="Times New Roman" w:eastAsia="Times New Roman" w:hAnsi="Times New Roman"/>
                <w:sz w:val="24"/>
                <w:szCs w:val="24"/>
                <w:vertAlign w:val="superscript"/>
              </w:rPr>
              <w:t>c</w:t>
            </w:r>
          </w:p>
        </w:tc>
        <w:tc>
          <w:tcPr>
            <w:tcW w:w="1722" w:type="dxa"/>
          </w:tcPr>
          <w:p w14:paraId="4D1F97B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ab</w:t>
            </w:r>
            <w:r>
              <w:rPr>
                <w:rFonts w:ascii="Times New Roman" w:eastAsia="Times New Roman" w:hAnsi="Times New Roman"/>
                <w:sz w:val="24"/>
                <w:szCs w:val="24"/>
              </w:rPr>
              <w:t xml:space="preserve"> </w:t>
            </w:r>
          </w:p>
        </w:tc>
        <w:tc>
          <w:tcPr>
            <w:tcW w:w="1615" w:type="dxa"/>
          </w:tcPr>
          <w:p w14:paraId="500D0720"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0.25 ± 0.31</w:t>
            </w:r>
            <w:r>
              <w:rPr>
                <w:rFonts w:ascii="Times New Roman" w:eastAsia="Times New Roman" w:hAnsi="Times New Roman"/>
                <w:sz w:val="24"/>
                <w:szCs w:val="24"/>
                <w:vertAlign w:val="superscript"/>
              </w:rPr>
              <w:t>c</w:t>
            </w:r>
          </w:p>
        </w:tc>
      </w:tr>
      <w:tr w:rsidR="00B26622" w14:paraId="3903EA4B" w14:textId="77777777">
        <w:tc>
          <w:tcPr>
            <w:tcW w:w="2989" w:type="dxa"/>
          </w:tcPr>
          <w:p w14:paraId="3FB8DEE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1965" w:type="dxa"/>
          </w:tcPr>
          <w:p w14:paraId="324CD01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70.42 ± 140.84</w:t>
            </w:r>
            <w:r>
              <w:rPr>
                <w:rFonts w:ascii="Times New Roman" w:eastAsia="Times New Roman" w:hAnsi="Times New Roman"/>
                <w:sz w:val="24"/>
                <w:szCs w:val="24"/>
                <w:vertAlign w:val="superscript"/>
              </w:rPr>
              <w:t>bc</w:t>
            </w:r>
          </w:p>
        </w:tc>
        <w:tc>
          <w:tcPr>
            <w:tcW w:w="1674" w:type="dxa"/>
          </w:tcPr>
          <w:p w14:paraId="47D7B95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29.84 ±57.90</w:t>
            </w:r>
            <w:r>
              <w:rPr>
                <w:rFonts w:ascii="Times New Roman" w:eastAsia="Times New Roman" w:hAnsi="Times New Roman"/>
                <w:sz w:val="24"/>
                <w:szCs w:val="24"/>
                <w:vertAlign w:val="superscript"/>
              </w:rPr>
              <w:t>ab</w:t>
            </w:r>
          </w:p>
        </w:tc>
        <w:tc>
          <w:tcPr>
            <w:tcW w:w="1722" w:type="dxa"/>
          </w:tcPr>
          <w:p w14:paraId="39EE97F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0.17 ± 0.33</w:t>
            </w:r>
            <w:r>
              <w:rPr>
                <w:rFonts w:ascii="Times New Roman" w:eastAsia="Times New Roman" w:hAnsi="Times New Roman"/>
                <w:sz w:val="24"/>
                <w:szCs w:val="24"/>
                <w:vertAlign w:val="superscript"/>
              </w:rPr>
              <w:t>bc</w:t>
            </w:r>
          </w:p>
        </w:tc>
        <w:tc>
          <w:tcPr>
            <w:tcW w:w="1615" w:type="dxa"/>
          </w:tcPr>
          <w:p w14:paraId="114902F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0.17 ± 0.19</w:t>
            </w:r>
            <w:r>
              <w:rPr>
                <w:rFonts w:ascii="Times New Roman" w:eastAsia="Times New Roman" w:hAnsi="Times New Roman"/>
                <w:sz w:val="24"/>
                <w:szCs w:val="24"/>
                <w:vertAlign w:val="superscript"/>
              </w:rPr>
              <w:t>ab</w:t>
            </w:r>
          </w:p>
        </w:tc>
      </w:tr>
      <w:tr w:rsidR="00B26622" w14:paraId="08AA2007" w14:textId="77777777">
        <w:tc>
          <w:tcPr>
            <w:tcW w:w="2989" w:type="dxa"/>
          </w:tcPr>
          <w:p w14:paraId="663FFEE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1965" w:type="dxa"/>
          </w:tcPr>
          <w:p w14:paraId="4023FFC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54.67 ± 37.87</w:t>
            </w:r>
            <w:r>
              <w:rPr>
                <w:rFonts w:ascii="Times New Roman" w:eastAsia="Times New Roman" w:hAnsi="Times New Roman"/>
                <w:sz w:val="24"/>
                <w:szCs w:val="24"/>
                <w:vertAlign w:val="superscript"/>
              </w:rPr>
              <w:t>e</w:t>
            </w:r>
          </w:p>
        </w:tc>
        <w:tc>
          <w:tcPr>
            <w:tcW w:w="1674" w:type="dxa"/>
          </w:tcPr>
          <w:p w14:paraId="4019214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56.00 ± 60.54</w:t>
            </w:r>
            <w:r>
              <w:rPr>
                <w:rFonts w:ascii="Times New Roman" w:eastAsia="Times New Roman" w:hAnsi="Times New Roman"/>
                <w:sz w:val="24"/>
                <w:szCs w:val="24"/>
                <w:vertAlign w:val="superscript"/>
              </w:rPr>
              <w:t>b</w:t>
            </w:r>
          </w:p>
        </w:tc>
        <w:tc>
          <w:tcPr>
            <w:tcW w:w="1722" w:type="dxa"/>
          </w:tcPr>
          <w:p w14:paraId="1F1F924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0.42 ± 0.17</w:t>
            </w:r>
            <w:r>
              <w:rPr>
                <w:rFonts w:ascii="Times New Roman" w:eastAsia="Times New Roman" w:hAnsi="Times New Roman"/>
                <w:sz w:val="24"/>
                <w:szCs w:val="24"/>
                <w:vertAlign w:val="superscript"/>
              </w:rPr>
              <w:t>b</w:t>
            </w:r>
          </w:p>
        </w:tc>
        <w:tc>
          <w:tcPr>
            <w:tcW w:w="1615" w:type="dxa"/>
          </w:tcPr>
          <w:p w14:paraId="193B07E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0.25 ± 0.32</w:t>
            </w:r>
            <w:r>
              <w:rPr>
                <w:rFonts w:ascii="Times New Roman" w:eastAsia="Times New Roman" w:hAnsi="Times New Roman"/>
                <w:sz w:val="24"/>
                <w:szCs w:val="24"/>
                <w:vertAlign w:val="superscript"/>
              </w:rPr>
              <w:t>c</w:t>
            </w:r>
          </w:p>
        </w:tc>
      </w:tr>
      <w:tr w:rsidR="00B26622" w14:paraId="0A61A2D2" w14:textId="77777777">
        <w:tc>
          <w:tcPr>
            <w:tcW w:w="2989" w:type="dxa"/>
          </w:tcPr>
          <w:p w14:paraId="019B657E"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1965" w:type="dxa"/>
          </w:tcPr>
          <w:p w14:paraId="4191480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184.08 ± 219.56</w:t>
            </w:r>
            <w:r>
              <w:rPr>
                <w:rFonts w:ascii="Times New Roman" w:eastAsia="Times New Roman" w:hAnsi="Times New Roman"/>
                <w:sz w:val="24"/>
                <w:szCs w:val="24"/>
                <w:vertAlign w:val="superscript"/>
              </w:rPr>
              <w:t>d</w:t>
            </w:r>
          </w:p>
        </w:tc>
        <w:tc>
          <w:tcPr>
            <w:tcW w:w="1674" w:type="dxa"/>
          </w:tcPr>
          <w:p w14:paraId="7D85D3D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40.75 ±62.56</w:t>
            </w:r>
            <w:r>
              <w:rPr>
                <w:rFonts w:ascii="Times New Roman" w:eastAsia="Times New Roman" w:hAnsi="Times New Roman"/>
                <w:sz w:val="24"/>
                <w:szCs w:val="24"/>
                <w:vertAlign w:val="superscript"/>
              </w:rPr>
              <w:t>bc</w:t>
            </w:r>
          </w:p>
        </w:tc>
        <w:tc>
          <w:tcPr>
            <w:tcW w:w="1722" w:type="dxa"/>
          </w:tcPr>
          <w:p w14:paraId="121BEDF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0.58 ± 0.57</w:t>
            </w:r>
            <w:r>
              <w:rPr>
                <w:rFonts w:ascii="Times New Roman" w:eastAsia="Times New Roman" w:hAnsi="Times New Roman"/>
                <w:sz w:val="24"/>
                <w:szCs w:val="24"/>
                <w:vertAlign w:val="superscript"/>
              </w:rPr>
              <w:t>e</w:t>
            </w:r>
          </w:p>
        </w:tc>
        <w:tc>
          <w:tcPr>
            <w:tcW w:w="1615" w:type="dxa"/>
          </w:tcPr>
          <w:p w14:paraId="5484EC1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0.33 ± 0.38</w:t>
            </w:r>
            <w:r>
              <w:rPr>
                <w:rFonts w:ascii="Times New Roman" w:eastAsia="Times New Roman" w:hAnsi="Times New Roman"/>
                <w:sz w:val="24"/>
                <w:szCs w:val="24"/>
                <w:vertAlign w:val="superscript"/>
              </w:rPr>
              <w:t>b</w:t>
            </w:r>
          </w:p>
        </w:tc>
      </w:tr>
      <w:tr w:rsidR="00B26622" w14:paraId="6F5CE425" w14:textId="77777777">
        <w:tc>
          <w:tcPr>
            <w:tcW w:w="2989" w:type="dxa"/>
          </w:tcPr>
          <w:p w14:paraId="5EB006D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1965" w:type="dxa"/>
          </w:tcPr>
          <w:p w14:paraId="2202401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352.42 ± 350.86</w:t>
            </w:r>
            <w:r>
              <w:rPr>
                <w:rFonts w:ascii="Times New Roman" w:eastAsia="Times New Roman" w:hAnsi="Times New Roman"/>
                <w:sz w:val="24"/>
                <w:szCs w:val="24"/>
                <w:vertAlign w:val="superscript"/>
              </w:rPr>
              <w:t>f</w:t>
            </w:r>
          </w:p>
        </w:tc>
        <w:tc>
          <w:tcPr>
            <w:tcW w:w="1674" w:type="dxa"/>
          </w:tcPr>
          <w:p w14:paraId="4B60923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2" w:type="dxa"/>
          </w:tcPr>
          <w:p w14:paraId="52D6DB4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0.66 ± 0.27</w:t>
            </w:r>
            <w:r>
              <w:rPr>
                <w:rFonts w:ascii="Times New Roman" w:eastAsia="Times New Roman" w:hAnsi="Times New Roman"/>
                <w:sz w:val="24"/>
                <w:szCs w:val="24"/>
                <w:vertAlign w:val="superscript"/>
              </w:rPr>
              <w:t>f</w:t>
            </w:r>
          </w:p>
        </w:tc>
        <w:tc>
          <w:tcPr>
            <w:tcW w:w="1615" w:type="dxa"/>
          </w:tcPr>
          <w:p w14:paraId="17A6A6E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bl>
    <w:p w14:paraId="59A95A8C"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 xml:space="preserve">Values are presented as mean ± standard error of mean (n=4). Value with different superscript in each column was </w:t>
      </w:r>
      <w:r>
        <w:rPr>
          <w:rFonts w:ascii="Times New Roman" w:hAnsi="Times New Roman"/>
          <w:sz w:val="18"/>
          <w:szCs w:val="18"/>
        </w:rPr>
        <w:t>significant different at P&lt;0.05</w:t>
      </w:r>
    </w:p>
    <w:p w14:paraId="5103977B" w14:textId="77777777" w:rsidR="00B26622" w:rsidRDefault="00B26622">
      <w:pPr>
        <w:spacing w:line="360" w:lineRule="auto"/>
        <w:jc w:val="both"/>
        <w:rPr>
          <w:rFonts w:ascii="Times New Roman" w:hAnsi="Times New Roman"/>
          <w:b/>
          <w:sz w:val="24"/>
          <w:szCs w:val="24"/>
        </w:rPr>
      </w:pPr>
    </w:p>
    <w:p w14:paraId="11D735BC" w14:textId="77777777" w:rsidR="00B26622" w:rsidRDefault="00B26622">
      <w:pPr>
        <w:spacing w:line="360" w:lineRule="auto"/>
        <w:jc w:val="both"/>
        <w:rPr>
          <w:rFonts w:ascii="Times New Roman" w:hAnsi="Times New Roman"/>
          <w:b/>
          <w:sz w:val="24"/>
          <w:szCs w:val="24"/>
        </w:rPr>
      </w:pPr>
    </w:p>
    <w:p w14:paraId="08351DEE" w14:textId="77777777" w:rsidR="00B26622" w:rsidRDefault="00B26622">
      <w:pPr>
        <w:spacing w:line="360" w:lineRule="auto"/>
        <w:jc w:val="both"/>
        <w:rPr>
          <w:rFonts w:ascii="Times New Roman" w:hAnsi="Times New Roman"/>
          <w:b/>
          <w:sz w:val="24"/>
          <w:szCs w:val="24"/>
        </w:rPr>
      </w:pPr>
    </w:p>
    <w:p w14:paraId="78C9E283" w14:textId="77777777" w:rsidR="00B26622" w:rsidRDefault="00B26622">
      <w:pPr>
        <w:spacing w:line="360" w:lineRule="auto"/>
        <w:jc w:val="both"/>
        <w:rPr>
          <w:rFonts w:ascii="Times New Roman" w:hAnsi="Times New Roman"/>
          <w:b/>
          <w:sz w:val="24"/>
          <w:szCs w:val="24"/>
        </w:rPr>
      </w:pPr>
    </w:p>
    <w:p w14:paraId="7403BE7D" w14:textId="77777777" w:rsidR="00B26622" w:rsidRDefault="00B26622">
      <w:pPr>
        <w:spacing w:line="360" w:lineRule="auto"/>
        <w:jc w:val="both"/>
        <w:rPr>
          <w:rFonts w:ascii="Times New Roman" w:hAnsi="Times New Roman"/>
          <w:b/>
          <w:sz w:val="24"/>
          <w:szCs w:val="24"/>
        </w:rPr>
      </w:pPr>
    </w:p>
    <w:p w14:paraId="4EAFA7D6" w14:textId="77777777" w:rsidR="00B26622" w:rsidRDefault="00B26622">
      <w:pPr>
        <w:spacing w:line="360" w:lineRule="auto"/>
        <w:jc w:val="both"/>
        <w:rPr>
          <w:rFonts w:ascii="Times New Roman" w:hAnsi="Times New Roman"/>
          <w:b/>
          <w:sz w:val="24"/>
          <w:szCs w:val="24"/>
        </w:rPr>
      </w:pPr>
    </w:p>
    <w:p w14:paraId="43C6A245" w14:textId="77777777" w:rsidR="00B26622" w:rsidRDefault="00B26622">
      <w:pPr>
        <w:spacing w:line="360" w:lineRule="auto"/>
        <w:jc w:val="both"/>
        <w:rPr>
          <w:rFonts w:ascii="Times New Roman" w:hAnsi="Times New Roman"/>
          <w:b/>
          <w:sz w:val="24"/>
          <w:szCs w:val="24"/>
        </w:rPr>
      </w:pPr>
    </w:p>
    <w:p w14:paraId="364C0FA0"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 3: Effect of </w:t>
      </w:r>
      <w:r>
        <w:rPr>
          <w:rFonts w:ascii="Times New Roman" w:hAnsi="Times New Roman"/>
          <w:b/>
          <w:i/>
          <w:sz w:val="24"/>
          <w:szCs w:val="24"/>
        </w:rPr>
        <w:t xml:space="preserve">Ficus Platyphylla </w:t>
      </w:r>
      <w:r>
        <w:rPr>
          <w:rFonts w:ascii="Times New Roman" w:hAnsi="Times New Roman"/>
          <w:b/>
          <w:sz w:val="24"/>
          <w:szCs w:val="24"/>
        </w:rPr>
        <w:t xml:space="preserve">Aqueous Stem Bark and its Polyherbal Extract on Hopping Latency and Frequency </w:t>
      </w:r>
    </w:p>
    <w:tbl>
      <w:tblPr>
        <w:tblW w:w="9965"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1945"/>
        <w:gridCol w:w="1768"/>
        <w:gridCol w:w="1703"/>
        <w:gridCol w:w="1560"/>
      </w:tblGrid>
      <w:tr w:rsidR="00B26622" w14:paraId="585D6931" w14:textId="77777777">
        <w:tc>
          <w:tcPr>
            <w:tcW w:w="2636" w:type="dxa"/>
            <w:tcBorders>
              <w:bottom w:val="single" w:sz="4" w:space="0" w:color="auto"/>
            </w:tcBorders>
          </w:tcPr>
          <w:p w14:paraId="1F004FCF"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2031" w:type="dxa"/>
            <w:tcBorders>
              <w:bottom w:val="single" w:sz="4" w:space="0" w:color="auto"/>
            </w:tcBorders>
          </w:tcPr>
          <w:p w14:paraId="6A02742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Hopping Latency(sec)</w:t>
            </w:r>
          </w:p>
          <w:p w14:paraId="7B2E6EE7"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781" w:type="dxa"/>
            <w:tcBorders>
              <w:bottom w:val="single" w:sz="4" w:space="0" w:color="auto"/>
            </w:tcBorders>
          </w:tcPr>
          <w:p w14:paraId="3F618E5A" w14:textId="77777777" w:rsidR="00B26622" w:rsidRDefault="00B26622">
            <w:pPr>
              <w:spacing w:line="360" w:lineRule="auto"/>
              <w:jc w:val="both"/>
              <w:rPr>
                <w:rFonts w:ascii="Times New Roman" w:eastAsia="Times New Roman" w:hAnsi="Times New Roman"/>
                <w:b/>
                <w:sz w:val="24"/>
                <w:szCs w:val="24"/>
              </w:rPr>
            </w:pPr>
          </w:p>
          <w:p w14:paraId="1C9EE50B"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c>
          <w:tcPr>
            <w:tcW w:w="1792" w:type="dxa"/>
            <w:tcBorders>
              <w:bottom w:val="single" w:sz="4" w:space="0" w:color="auto"/>
            </w:tcBorders>
          </w:tcPr>
          <w:p w14:paraId="16C5A260"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Hopping frequency</w:t>
            </w:r>
          </w:p>
          <w:p w14:paraId="36F30C60"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725" w:type="dxa"/>
            <w:tcBorders>
              <w:bottom w:val="single" w:sz="4" w:space="0" w:color="auto"/>
            </w:tcBorders>
          </w:tcPr>
          <w:p w14:paraId="252E8E00" w14:textId="77777777" w:rsidR="00B26622" w:rsidRDefault="00B26622">
            <w:pPr>
              <w:spacing w:line="360" w:lineRule="auto"/>
              <w:jc w:val="both"/>
              <w:rPr>
                <w:rFonts w:ascii="Times New Roman" w:eastAsia="Times New Roman" w:hAnsi="Times New Roman"/>
                <w:b/>
                <w:sz w:val="24"/>
                <w:szCs w:val="24"/>
              </w:rPr>
            </w:pPr>
          </w:p>
          <w:p w14:paraId="060A68A6"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r>
      <w:tr w:rsidR="00B26622" w14:paraId="45EDDA6D" w14:textId="77777777">
        <w:tc>
          <w:tcPr>
            <w:tcW w:w="2636" w:type="dxa"/>
            <w:tcBorders>
              <w:bottom w:val="nil"/>
            </w:tcBorders>
          </w:tcPr>
          <w:p w14:paraId="1299622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2031" w:type="dxa"/>
            <w:tcBorders>
              <w:bottom w:val="nil"/>
            </w:tcBorders>
          </w:tcPr>
          <w:p w14:paraId="21584F5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781" w:type="dxa"/>
            <w:tcBorders>
              <w:bottom w:val="nil"/>
            </w:tcBorders>
          </w:tcPr>
          <w:p w14:paraId="53E85AC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92" w:type="dxa"/>
            <w:tcBorders>
              <w:bottom w:val="nil"/>
            </w:tcBorders>
          </w:tcPr>
          <w:p w14:paraId="13F04C0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725" w:type="dxa"/>
            <w:tcBorders>
              <w:bottom w:val="nil"/>
            </w:tcBorders>
          </w:tcPr>
          <w:p w14:paraId="04A1956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5D4019CD" w14:textId="77777777">
        <w:tc>
          <w:tcPr>
            <w:tcW w:w="2636" w:type="dxa"/>
            <w:tcBorders>
              <w:top w:val="nil"/>
              <w:bottom w:val="nil"/>
            </w:tcBorders>
          </w:tcPr>
          <w:p w14:paraId="50E1560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Exus ginseng(5.7 mg/kg)</w:t>
            </w:r>
          </w:p>
        </w:tc>
        <w:tc>
          <w:tcPr>
            <w:tcW w:w="2031" w:type="dxa"/>
            <w:tcBorders>
              <w:top w:val="nil"/>
              <w:bottom w:val="nil"/>
            </w:tcBorders>
          </w:tcPr>
          <w:p w14:paraId="6FAEEB0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81" w:type="dxa"/>
            <w:tcBorders>
              <w:top w:val="nil"/>
              <w:bottom w:val="nil"/>
            </w:tcBorders>
          </w:tcPr>
          <w:p w14:paraId="247ADE6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92" w:type="dxa"/>
            <w:tcBorders>
              <w:top w:val="nil"/>
              <w:bottom w:val="nil"/>
            </w:tcBorders>
          </w:tcPr>
          <w:p w14:paraId="18B4040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5" w:type="dxa"/>
            <w:tcBorders>
              <w:top w:val="nil"/>
              <w:bottom w:val="nil"/>
            </w:tcBorders>
          </w:tcPr>
          <w:p w14:paraId="4D0BEAE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2C2D2651" w14:textId="77777777">
        <w:tc>
          <w:tcPr>
            <w:tcW w:w="2636" w:type="dxa"/>
            <w:tcBorders>
              <w:top w:val="nil"/>
              <w:bottom w:val="nil"/>
            </w:tcBorders>
          </w:tcPr>
          <w:p w14:paraId="7F2AC4E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2031" w:type="dxa"/>
            <w:tcBorders>
              <w:top w:val="nil"/>
              <w:bottom w:val="nil"/>
            </w:tcBorders>
          </w:tcPr>
          <w:p w14:paraId="26D0E6A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115.33 ± </w:t>
            </w:r>
            <w:r>
              <w:rPr>
                <w:rFonts w:ascii="Times New Roman" w:eastAsia="Times New Roman" w:hAnsi="Times New Roman"/>
                <w:color w:val="000000"/>
                <w:sz w:val="24"/>
                <w:szCs w:val="24"/>
              </w:rPr>
              <w:t>186.76</w:t>
            </w:r>
            <w:r>
              <w:rPr>
                <w:rFonts w:ascii="Times New Roman" w:eastAsia="Times New Roman" w:hAnsi="Times New Roman"/>
                <w:color w:val="000000"/>
                <w:sz w:val="24"/>
                <w:szCs w:val="24"/>
                <w:vertAlign w:val="superscript"/>
              </w:rPr>
              <w:t>b</w:t>
            </w:r>
          </w:p>
        </w:tc>
        <w:tc>
          <w:tcPr>
            <w:tcW w:w="1781" w:type="dxa"/>
            <w:tcBorders>
              <w:top w:val="nil"/>
              <w:bottom w:val="nil"/>
            </w:tcBorders>
          </w:tcPr>
          <w:p w14:paraId="372D5D9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10.00 ± 20.00</w:t>
            </w:r>
            <w:r>
              <w:rPr>
                <w:rFonts w:ascii="Times New Roman" w:eastAsia="Times New Roman" w:hAnsi="Times New Roman"/>
                <w:sz w:val="24"/>
                <w:szCs w:val="24"/>
                <w:vertAlign w:val="superscript"/>
              </w:rPr>
              <w:t>b</w:t>
            </w:r>
          </w:p>
        </w:tc>
        <w:tc>
          <w:tcPr>
            <w:tcW w:w="1792" w:type="dxa"/>
            <w:tcBorders>
              <w:top w:val="nil"/>
              <w:bottom w:val="nil"/>
            </w:tcBorders>
          </w:tcPr>
          <w:p w14:paraId="626BA020"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0.33 ± 0.27</w:t>
            </w:r>
            <w:r>
              <w:rPr>
                <w:rFonts w:ascii="Times New Roman" w:eastAsia="Times New Roman" w:hAnsi="Times New Roman"/>
                <w:sz w:val="24"/>
                <w:szCs w:val="24"/>
                <w:vertAlign w:val="superscript"/>
              </w:rPr>
              <w:t>b</w:t>
            </w:r>
          </w:p>
        </w:tc>
        <w:tc>
          <w:tcPr>
            <w:tcW w:w="1725" w:type="dxa"/>
            <w:tcBorders>
              <w:top w:val="nil"/>
              <w:bottom w:val="nil"/>
            </w:tcBorders>
          </w:tcPr>
          <w:p w14:paraId="55EACFA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c</w:t>
            </w:r>
          </w:p>
        </w:tc>
      </w:tr>
      <w:tr w:rsidR="00B26622" w14:paraId="03F5F6B7" w14:textId="77777777">
        <w:tc>
          <w:tcPr>
            <w:tcW w:w="2636" w:type="dxa"/>
            <w:tcBorders>
              <w:top w:val="nil"/>
              <w:bottom w:val="nil"/>
            </w:tcBorders>
          </w:tcPr>
          <w:p w14:paraId="5B23B37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2031" w:type="dxa"/>
            <w:tcBorders>
              <w:top w:val="nil"/>
              <w:bottom w:val="nil"/>
            </w:tcBorders>
          </w:tcPr>
          <w:p w14:paraId="03A7AA8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81" w:type="dxa"/>
            <w:tcBorders>
              <w:top w:val="nil"/>
              <w:bottom w:val="nil"/>
            </w:tcBorders>
          </w:tcPr>
          <w:p w14:paraId="5244D00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179.66 ±89.84</w:t>
            </w:r>
            <w:r>
              <w:rPr>
                <w:rFonts w:ascii="Times New Roman" w:eastAsia="Times New Roman" w:hAnsi="Times New Roman"/>
                <w:sz w:val="24"/>
                <w:szCs w:val="24"/>
                <w:vertAlign w:val="superscript"/>
              </w:rPr>
              <w:t>c</w:t>
            </w:r>
          </w:p>
        </w:tc>
        <w:tc>
          <w:tcPr>
            <w:tcW w:w="1792" w:type="dxa"/>
            <w:tcBorders>
              <w:top w:val="nil"/>
              <w:bottom w:val="nil"/>
            </w:tcBorders>
          </w:tcPr>
          <w:p w14:paraId="34EDB37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725" w:type="dxa"/>
            <w:tcBorders>
              <w:top w:val="nil"/>
              <w:bottom w:val="nil"/>
            </w:tcBorders>
          </w:tcPr>
          <w:p w14:paraId="1E0A15E0"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c</w:t>
            </w:r>
          </w:p>
        </w:tc>
      </w:tr>
      <w:tr w:rsidR="00B26622" w14:paraId="29167D4A" w14:textId="77777777">
        <w:tc>
          <w:tcPr>
            <w:tcW w:w="2636" w:type="dxa"/>
            <w:tcBorders>
              <w:top w:val="nil"/>
              <w:bottom w:val="nil"/>
            </w:tcBorders>
          </w:tcPr>
          <w:p w14:paraId="0E0670C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2031" w:type="dxa"/>
            <w:tcBorders>
              <w:top w:val="nil"/>
              <w:bottom w:val="nil"/>
            </w:tcBorders>
          </w:tcPr>
          <w:p w14:paraId="2821087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46.00 ± 92.00</w:t>
            </w:r>
            <w:r>
              <w:rPr>
                <w:rFonts w:ascii="Times New Roman" w:eastAsia="Times New Roman" w:hAnsi="Times New Roman"/>
                <w:sz w:val="24"/>
                <w:szCs w:val="24"/>
                <w:vertAlign w:val="superscript"/>
              </w:rPr>
              <w:t>c</w:t>
            </w:r>
            <w:r>
              <w:rPr>
                <w:rFonts w:ascii="Times New Roman" w:eastAsia="Times New Roman" w:hAnsi="Times New Roman"/>
                <w:sz w:val="24"/>
                <w:szCs w:val="24"/>
              </w:rPr>
              <w:t xml:space="preserve"> </w:t>
            </w:r>
          </w:p>
        </w:tc>
        <w:tc>
          <w:tcPr>
            <w:tcW w:w="1781" w:type="dxa"/>
            <w:tcBorders>
              <w:top w:val="nil"/>
              <w:bottom w:val="nil"/>
            </w:tcBorders>
          </w:tcPr>
          <w:p w14:paraId="164D867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92" w:type="dxa"/>
            <w:tcBorders>
              <w:top w:val="nil"/>
              <w:bottom w:val="nil"/>
            </w:tcBorders>
          </w:tcPr>
          <w:p w14:paraId="372CF5B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0.33</w:t>
            </w:r>
            <w:r>
              <w:rPr>
                <w:rFonts w:ascii="Times New Roman" w:eastAsia="Times New Roman" w:hAnsi="Times New Roman"/>
                <w:sz w:val="24"/>
                <w:szCs w:val="24"/>
                <w:vertAlign w:val="superscript"/>
              </w:rPr>
              <w:t>c</w:t>
            </w:r>
          </w:p>
        </w:tc>
        <w:tc>
          <w:tcPr>
            <w:tcW w:w="1725" w:type="dxa"/>
            <w:tcBorders>
              <w:top w:val="nil"/>
              <w:bottom w:val="nil"/>
            </w:tcBorders>
          </w:tcPr>
          <w:p w14:paraId="52DAA5C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73F0BEA9" w14:textId="77777777">
        <w:tc>
          <w:tcPr>
            <w:tcW w:w="2636" w:type="dxa"/>
            <w:tcBorders>
              <w:top w:val="nil"/>
              <w:bottom w:val="nil"/>
            </w:tcBorders>
          </w:tcPr>
          <w:p w14:paraId="5ED149F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2031" w:type="dxa"/>
            <w:tcBorders>
              <w:top w:val="nil"/>
              <w:bottom w:val="nil"/>
            </w:tcBorders>
          </w:tcPr>
          <w:p w14:paraId="1E103B0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140.66 ± 33.72</w:t>
            </w:r>
            <w:r>
              <w:rPr>
                <w:rFonts w:ascii="Times New Roman" w:eastAsia="Times New Roman" w:hAnsi="Times New Roman"/>
                <w:sz w:val="24"/>
                <w:szCs w:val="24"/>
                <w:vertAlign w:val="superscript"/>
              </w:rPr>
              <w:t>ab</w:t>
            </w:r>
          </w:p>
        </w:tc>
        <w:tc>
          <w:tcPr>
            <w:tcW w:w="1781" w:type="dxa"/>
            <w:tcBorders>
              <w:top w:val="nil"/>
              <w:bottom w:val="nil"/>
            </w:tcBorders>
          </w:tcPr>
          <w:p w14:paraId="6FB5B71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66.66±115.50</w:t>
            </w:r>
            <w:r>
              <w:rPr>
                <w:rFonts w:ascii="Times New Roman" w:eastAsia="Times New Roman" w:hAnsi="Times New Roman"/>
                <w:sz w:val="24"/>
                <w:szCs w:val="24"/>
                <w:vertAlign w:val="superscript"/>
              </w:rPr>
              <w:t>ab</w:t>
            </w:r>
          </w:p>
        </w:tc>
        <w:tc>
          <w:tcPr>
            <w:tcW w:w="1792" w:type="dxa"/>
            <w:tcBorders>
              <w:top w:val="nil"/>
              <w:bottom w:val="nil"/>
            </w:tcBorders>
          </w:tcPr>
          <w:p w14:paraId="293DB9A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0.16 ± 0.19</w:t>
            </w:r>
            <w:r>
              <w:rPr>
                <w:rFonts w:ascii="Times New Roman" w:eastAsia="Times New Roman" w:hAnsi="Times New Roman"/>
                <w:sz w:val="24"/>
                <w:szCs w:val="24"/>
                <w:vertAlign w:val="superscript"/>
              </w:rPr>
              <w:t>ab</w:t>
            </w:r>
          </w:p>
        </w:tc>
        <w:tc>
          <w:tcPr>
            <w:tcW w:w="1725" w:type="dxa"/>
            <w:tcBorders>
              <w:top w:val="nil"/>
              <w:bottom w:val="nil"/>
            </w:tcBorders>
          </w:tcPr>
          <w:p w14:paraId="4007526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c</w:t>
            </w:r>
          </w:p>
        </w:tc>
      </w:tr>
      <w:tr w:rsidR="00B26622" w14:paraId="32B742E2" w14:textId="77777777">
        <w:tc>
          <w:tcPr>
            <w:tcW w:w="2636" w:type="dxa"/>
            <w:tcBorders>
              <w:top w:val="nil"/>
              <w:bottom w:val="nil"/>
            </w:tcBorders>
          </w:tcPr>
          <w:p w14:paraId="75CF4EA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w:t>
            </w:r>
            <w:r>
              <w:rPr>
                <w:rFonts w:ascii="Times New Roman" w:eastAsia="Times New Roman" w:hAnsi="Times New Roman"/>
                <w:sz w:val="24"/>
                <w:szCs w:val="24"/>
              </w:rPr>
              <w:t xml:space="preserve"> (50mg/kg)</w:t>
            </w:r>
          </w:p>
        </w:tc>
        <w:tc>
          <w:tcPr>
            <w:tcW w:w="2031" w:type="dxa"/>
            <w:tcBorders>
              <w:top w:val="nil"/>
              <w:bottom w:val="nil"/>
            </w:tcBorders>
          </w:tcPr>
          <w:p w14:paraId="2D09673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81" w:type="dxa"/>
            <w:tcBorders>
              <w:top w:val="nil"/>
              <w:bottom w:val="nil"/>
            </w:tcBorders>
          </w:tcPr>
          <w:p w14:paraId="5CC956E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92" w:type="dxa"/>
            <w:tcBorders>
              <w:top w:val="nil"/>
              <w:bottom w:val="nil"/>
            </w:tcBorders>
          </w:tcPr>
          <w:p w14:paraId="33180FB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5" w:type="dxa"/>
            <w:tcBorders>
              <w:top w:val="nil"/>
              <w:bottom w:val="nil"/>
            </w:tcBorders>
          </w:tcPr>
          <w:p w14:paraId="3D20E9D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0B93D6A1" w14:textId="77777777">
        <w:tc>
          <w:tcPr>
            <w:tcW w:w="2636" w:type="dxa"/>
            <w:tcBorders>
              <w:top w:val="nil"/>
            </w:tcBorders>
          </w:tcPr>
          <w:p w14:paraId="3B8D9BE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2031" w:type="dxa"/>
            <w:tcBorders>
              <w:top w:val="nil"/>
            </w:tcBorders>
          </w:tcPr>
          <w:p w14:paraId="42A3223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81" w:type="dxa"/>
            <w:tcBorders>
              <w:top w:val="nil"/>
            </w:tcBorders>
          </w:tcPr>
          <w:p w14:paraId="0765943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92" w:type="dxa"/>
            <w:tcBorders>
              <w:top w:val="nil"/>
            </w:tcBorders>
          </w:tcPr>
          <w:p w14:paraId="5EF4E1B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725" w:type="dxa"/>
            <w:tcBorders>
              <w:top w:val="nil"/>
            </w:tcBorders>
          </w:tcPr>
          <w:p w14:paraId="738334F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bl>
    <w:p w14:paraId="419D8B5F"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 xml:space="preserve">Values are presented as mean ± standard error of mean (n=4). Value with different superscript in each column was </w:t>
      </w:r>
      <w:r>
        <w:rPr>
          <w:rFonts w:ascii="Times New Roman" w:hAnsi="Times New Roman"/>
          <w:sz w:val="18"/>
          <w:szCs w:val="18"/>
        </w:rPr>
        <w:t>significant different at P&lt;0.05</w:t>
      </w:r>
    </w:p>
    <w:p w14:paraId="53F88DC8" w14:textId="77777777" w:rsidR="00B26622" w:rsidRDefault="00B26622">
      <w:pPr>
        <w:spacing w:line="360" w:lineRule="auto"/>
        <w:jc w:val="both"/>
        <w:rPr>
          <w:rFonts w:ascii="Times New Roman" w:hAnsi="Times New Roman"/>
          <w:b/>
          <w:sz w:val="24"/>
          <w:szCs w:val="24"/>
        </w:rPr>
      </w:pPr>
    </w:p>
    <w:p w14:paraId="01641C6F" w14:textId="77777777" w:rsidR="00B26622" w:rsidRDefault="00B26622">
      <w:pPr>
        <w:spacing w:line="360" w:lineRule="auto"/>
        <w:jc w:val="both"/>
        <w:rPr>
          <w:rFonts w:ascii="Times New Roman" w:hAnsi="Times New Roman"/>
          <w:b/>
          <w:sz w:val="24"/>
          <w:szCs w:val="24"/>
        </w:rPr>
      </w:pPr>
    </w:p>
    <w:p w14:paraId="78A37B94" w14:textId="77777777" w:rsidR="00B26622" w:rsidRDefault="00B26622">
      <w:pPr>
        <w:spacing w:line="360" w:lineRule="auto"/>
        <w:jc w:val="both"/>
        <w:rPr>
          <w:rFonts w:ascii="Times New Roman" w:hAnsi="Times New Roman"/>
          <w:b/>
          <w:sz w:val="24"/>
          <w:szCs w:val="24"/>
        </w:rPr>
      </w:pPr>
    </w:p>
    <w:p w14:paraId="32C8D1E1" w14:textId="77777777" w:rsidR="00B26622" w:rsidRDefault="00B26622">
      <w:pPr>
        <w:spacing w:line="360" w:lineRule="auto"/>
        <w:jc w:val="both"/>
        <w:rPr>
          <w:rFonts w:ascii="Times New Roman" w:hAnsi="Times New Roman"/>
          <w:b/>
          <w:sz w:val="24"/>
          <w:szCs w:val="24"/>
        </w:rPr>
      </w:pPr>
    </w:p>
    <w:p w14:paraId="5D288685" w14:textId="77777777" w:rsidR="00B26622" w:rsidRDefault="00B26622">
      <w:pPr>
        <w:spacing w:line="360" w:lineRule="auto"/>
        <w:jc w:val="both"/>
        <w:rPr>
          <w:rFonts w:ascii="Times New Roman" w:hAnsi="Times New Roman"/>
          <w:b/>
          <w:sz w:val="24"/>
          <w:szCs w:val="24"/>
        </w:rPr>
      </w:pPr>
    </w:p>
    <w:p w14:paraId="76BD77BA" w14:textId="77777777" w:rsidR="00B26622" w:rsidRDefault="00B26622">
      <w:pPr>
        <w:spacing w:line="360" w:lineRule="auto"/>
        <w:jc w:val="both"/>
        <w:rPr>
          <w:rFonts w:ascii="Times New Roman" w:hAnsi="Times New Roman"/>
          <w:b/>
          <w:sz w:val="24"/>
          <w:szCs w:val="24"/>
        </w:rPr>
      </w:pPr>
    </w:p>
    <w:p w14:paraId="5DA70B7C" w14:textId="77777777" w:rsidR="00B26622" w:rsidRDefault="00B26622">
      <w:pPr>
        <w:spacing w:line="360" w:lineRule="auto"/>
        <w:jc w:val="both"/>
        <w:rPr>
          <w:rFonts w:ascii="Times New Roman" w:hAnsi="Times New Roman"/>
          <w:b/>
          <w:sz w:val="24"/>
          <w:szCs w:val="24"/>
        </w:rPr>
      </w:pPr>
    </w:p>
    <w:p w14:paraId="6C708A0E"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 4: Effect of </w:t>
      </w:r>
      <w:r>
        <w:rPr>
          <w:rFonts w:ascii="Times New Roman" w:hAnsi="Times New Roman"/>
          <w:b/>
          <w:i/>
          <w:sz w:val="24"/>
          <w:szCs w:val="24"/>
        </w:rPr>
        <w:t xml:space="preserve">ficus platyphylla </w:t>
      </w:r>
      <w:r>
        <w:rPr>
          <w:rFonts w:ascii="Times New Roman" w:hAnsi="Times New Roman"/>
          <w:b/>
          <w:sz w:val="24"/>
          <w:szCs w:val="24"/>
        </w:rPr>
        <w:t xml:space="preserve">Aqueous Stem Bark and its Polyherbal Extract on Licking Behavior </w:t>
      </w:r>
    </w:p>
    <w:tbl>
      <w:tblPr>
        <w:tblW w:w="7076"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494"/>
        <w:gridCol w:w="1593"/>
      </w:tblGrid>
      <w:tr w:rsidR="00B26622" w14:paraId="6AC11C3A" w14:textId="77777777">
        <w:tc>
          <w:tcPr>
            <w:tcW w:w="2989" w:type="dxa"/>
            <w:tcBorders>
              <w:bottom w:val="single" w:sz="4" w:space="0" w:color="auto"/>
            </w:tcBorders>
          </w:tcPr>
          <w:p w14:paraId="346D3E8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2494" w:type="dxa"/>
            <w:tcBorders>
              <w:bottom w:val="single" w:sz="4" w:space="0" w:color="auto"/>
            </w:tcBorders>
          </w:tcPr>
          <w:p w14:paraId="5E03F22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Licking Behavior</w:t>
            </w:r>
          </w:p>
          <w:p w14:paraId="586D450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1</w:t>
            </w:r>
          </w:p>
        </w:tc>
        <w:tc>
          <w:tcPr>
            <w:tcW w:w="1593" w:type="dxa"/>
            <w:tcBorders>
              <w:bottom w:val="single" w:sz="4" w:space="0" w:color="auto"/>
            </w:tcBorders>
          </w:tcPr>
          <w:p w14:paraId="72FD808B" w14:textId="77777777" w:rsidR="00B26622" w:rsidRDefault="00B26622">
            <w:pPr>
              <w:spacing w:line="360" w:lineRule="auto"/>
              <w:jc w:val="both"/>
              <w:rPr>
                <w:rFonts w:ascii="Times New Roman" w:eastAsia="Times New Roman" w:hAnsi="Times New Roman"/>
                <w:sz w:val="24"/>
                <w:szCs w:val="24"/>
              </w:rPr>
            </w:pPr>
          </w:p>
          <w:p w14:paraId="0239496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7</w:t>
            </w:r>
          </w:p>
        </w:tc>
      </w:tr>
      <w:tr w:rsidR="00B26622" w14:paraId="156C585C" w14:textId="77777777">
        <w:tc>
          <w:tcPr>
            <w:tcW w:w="2989" w:type="dxa"/>
            <w:tcBorders>
              <w:bottom w:val="nil"/>
            </w:tcBorders>
          </w:tcPr>
          <w:p w14:paraId="0D64BEE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2494" w:type="dxa"/>
            <w:tcBorders>
              <w:bottom w:val="nil"/>
            </w:tcBorders>
          </w:tcPr>
          <w:p w14:paraId="6CFD837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1.92 ± 1.17</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593" w:type="dxa"/>
            <w:tcBorders>
              <w:bottom w:val="nil"/>
            </w:tcBorders>
          </w:tcPr>
          <w:p w14:paraId="54A9E96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1.17 ± </w:t>
            </w:r>
            <w:r>
              <w:rPr>
                <w:rFonts w:ascii="Times New Roman" w:eastAsia="Times New Roman" w:hAnsi="Times New Roman"/>
                <w:sz w:val="24"/>
                <w:szCs w:val="24"/>
              </w:rPr>
              <w:t>0.19</w:t>
            </w:r>
            <w:r>
              <w:rPr>
                <w:rFonts w:ascii="Times New Roman" w:eastAsia="Times New Roman" w:hAnsi="Times New Roman"/>
                <w:sz w:val="24"/>
                <w:szCs w:val="24"/>
                <w:vertAlign w:val="superscript"/>
              </w:rPr>
              <w:t>a</w:t>
            </w:r>
          </w:p>
        </w:tc>
      </w:tr>
      <w:tr w:rsidR="00B26622" w14:paraId="4D3882F3" w14:textId="77777777">
        <w:tc>
          <w:tcPr>
            <w:tcW w:w="2989" w:type="dxa"/>
            <w:tcBorders>
              <w:top w:val="nil"/>
              <w:bottom w:val="nil"/>
            </w:tcBorders>
          </w:tcPr>
          <w:p w14:paraId="7886748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Exus ginseng(5.7mg/kg)</w:t>
            </w:r>
          </w:p>
        </w:tc>
        <w:tc>
          <w:tcPr>
            <w:tcW w:w="2494" w:type="dxa"/>
            <w:tcBorders>
              <w:top w:val="nil"/>
              <w:bottom w:val="nil"/>
            </w:tcBorders>
          </w:tcPr>
          <w:p w14:paraId="59310DD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2.05 ± 0.84</w:t>
            </w:r>
            <w:r>
              <w:rPr>
                <w:rFonts w:ascii="Times New Roman" w:eastAsia="Times New Roman" w:hAnsi="Times New Roman"/>
                <w:sz w:val="24"/>
                <w:szCs w:val="24"/>
                <w:vertAlign w:val="superscript"/>
              </w:rPr>
              <w:t>b</w:t>
            </w:r>
          </w:p>
        </w:tc>
        <w:tc>
          <w:tcPr>
            <w:tcW w:w="1593" w:type="dxa"/>
            <w:tcBorders>
              <w:top w:val="nil"/>
              <w:bottom w:val="nil"/>
            </w:tcBorders>
          </w:tcPr>
          <w:p w14:paraId="49EE121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2.19 ± 0.57</w:t>
            </w:r>
            <w:r>
              <w:rPr>
                <w:rFonts w:ascii="Times New Roman" w:eastAsia="Times New Roman" w:hAnsi="Times New Roman"/>
                <w:sz w:val="24"/>
                <w:szCs w:val="24"/>
                <w:vertAlign w:val="superscript"/>
              </w:rPr>
              <w:t>c</w:t>
            </w:r>
          </w:p>
        </w:tc>
      </w:tr>
      <w:tr w:rsidR="00B26622" w14:paraId="5522A090" w14:textId="77777777">
        <w:tc>
          <w:tcPr>
            <w:tcW w:w="2989" w:type="dxa"/>
            <w:tcBorders>
              <w:top w:val="nil"/>
              <w:bottom w:val="nil"/>
            </w:tcBorders>
          </w:tcPr>
          <w:p w14:paraId="0C047D8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2494" w:type="dxa"/>
            <w:tcBorders>
              <w:top w:val="nil"/>
              <w:bottom w:val="nil"/>
            </w:tcBorders>
          </w:tcPr>
          <w:p w14:paraId="2350179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2.83 ± </w:t>
            </w:r>
            <w:r>
              <w:rPr>
                <w:rFonts w:ascii="Times New Roman" w:eastAsia="Times New Roman" w:hAnsi="Times New Roman"/>
                <w:color w:val="000000"/>
                <w:sz w:val="24"/>
                <w:szCs w:val="24"/>
              </w:rPr>
              <w:t>0.64</w:t>
            </w:r>
            <w:r>
              <w:rPr>
                <w:rFonts w:ascii="Times New Roman" w:eastAsia="Times New Roman" w:hAnsi="Times New Roman"/>
                <w:color w:val="000000"/>
                <w:sz w:val="24"/>
                <w:szCs w:val="24"/>
                <w:vertAlign w:val="superscript"/>
              </w:rPr>
              <w:t>c</w:t>
            </w:r>
          </w:p>
        </w:tc>
        <w:tc>
          <w:tcPr>
            <w:tcW w:w="1593" w:type="dxa"/>
            <w:tcBorders>
              <w:top w:val="nil"/>
              <w:bottom w:val="nil"/>
            </w:tcBorders>
          </w:tcPr>
          <w:p w14:paraId="52A6694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2.16 ± 0.84</w:t>
            </w:r>
            <w:r>
              <w:rPr>
                <w:rFonts w:ascii="Times New Roman" w:eastAsia="Times New Roman" w:hAnsi="Times New Roman"/>
                <w:sz w:val="24"/>
                <w:szCs w:val="24"/>
                <w:vertAlign w:val="superscript"/>
              </w:rPr>
              <w:t>c</w:t>
            </w:r>
          </w:p>
        </w:tc>
      </w:tr>
      <w:tr w:rsidR="00B26622" w14:paraId="3DBC607B" w14:textId="77777777">
        <w:tc>
          <w:tcPr>
            <w:tcW w:w="2989" w:type="dxa"/>
            <w:tcBorders>
              <w:top w:val="nil"/>
              <w:bottom w:val="nil"/>
            </w:tcBorders>
          </w:tcPr>
          <w:p w14:paraId="2C769C3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2494" w:type="dxa"/>
            <w:tcBorders>
              <w:top w:val="nil"/>
              <w:bottom w:val="nil"/>
            </w:tcBorders>
          </w:tcPr>
          <w:p w14:paraId="5D54A78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2.50 ± 0.79</w:t>
            </w:r>
            <w:r>
              <w:rPr>
                <w:rFonts w:ascii="Times New Roman" w:eastAsia="Times New Roman" w:hAnsi="Times New Roman"/>
                <w:sz w:val="24"/>
                <w:szCs w:val="24"/>
                <w:vertAlign w:val="superscript"/>
              </w:rPr>
              <w:t>ab</w:t>
            </w:r>
          </w:p>
        </w:tc>
        <w:tc>
          <w:tcPr>
            <w:tcW w:w="1593" w:type="dxa"/>
            <w:tcBorders>
              <w:top w:val="nil"/>
              <w:bottom w:val="nil"/>
            </w:tcBorders>
          </w:tcPr>
          <w:p w14:paraId="13ABB7F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2.08 ± 0.92</w:t>
            </w:r>
            <w:r>
              <w:rPr>
                <w:rFonts w:ascii="Times New Roman" w:eastAsia="Times New Roman" w:hAnsi="Times New Roman"/>
                <w:sz w:val="24"/>
                <w:szCs w:val="24"/>
                <w:vertAlign w:val="superscript"/>
              </w:rPr>
              <w:t>b</w:t>
            </w:r>
          </w:p>
        </w:tc>
      </w:tr>
      <w:tr w:rsidR="00B26622" w14:paraId="07909CE5" w14:textId="77777777">
        <w:tc>
          <w:tcPr>
            <w:tcW w:w="2989" w:type="dxa"/>
            <w:tcBorders>
              <w:top w:val="nil"/>
              <w:bottom w:val="nil"/>
            </w:tcBorders>
          </w:tcPr>
          <w:p w14:paraId="7ECE36E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2494" w:type="dxa"/>
            <w:tcBorders>
              <w:top w:val="nil"/>
              <w:bottom w:val="nil"/>
            </w:tcBorders>
          </w:tcPr>
          <w:p w14:paraId="481D558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2.41 ± 1.32</w:t>
            </w:r>
            <w:r>
              <w:rPr>
                <w:rFonts w:ascii="Times New Roman" w:eastAsia="Times New Roman" w:hAnsi="Times New Roman"/>
                <w:sz w:val="24"/>
                <w:szCs w:val="24"/>
                <w:vertAlign w:val="superscript"/>
              </w:rPr>
              <w:t>bc</w:t>
            </w:r>
            <w:r>
              <w:rPr>
                <w:rFonts w:ascii="Times New Roman" w:eastAsia="Times New Roman" w:hAnsi="Times New Roman"/>
                <w:sz w:val="24"/>
                <w:szCs w:val="24"/>
              </w:rPr>
              <w:t xml:space="preserve"> </w:t>
            </w:r>
          </w:p>
        </w:tc>
        <w:tc>
          <w:tcPr>
            <w:tcW w:w="1593" w:type="dxa"/>
            <w:tcBorders>
              <w:top w:val="nil"/>
              <w:bottom w:val="nil"/>
            </w:tcBorders>
          </w:tcPr>
          <w:p w14:paraId="2866B73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1.91 ± 0.79</w:t>
            </w:r>
            <w:r>
              <w:rPr>
                <w:rFonts w:ascii="Times New Roman" w:eastAsia="Times New Roman" w:hAnsi="Times New Roman"/>
                <w:sz w:val="24"/>
                <w:szCs w:val="24"/>
                <w:vertAlign w:val="superscript"/>
              </w:rPr>
              <w:t>ab</w:t>
            </w:r>
          </w:p>
        </w:tc>
      </w:tr>
      <w:tr w:rsidR="00B26622" w14:paraId="74E91172" w14:textId="77777777">
        <w:tc>
          <w:tcPr>
            <w:tcW w:w="2989" w:type="dxa"/>
            <w:tcBorders>
              <w:top w:val="nil"/>
              <w:bottom w:val="nil"/>
            </w:tcBorders>
          </w:tcPr>
          <w:p w14:paraId="51DFA8B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2494" w:type="dxa"/>
            <w:tcBorders>
              <w:top w:val="nil"/>
              <w:bottom w:val="nil"/>
            </w:tcBorders>
          </w:tcPr>
          <w:p w14:paraId="0C58AF8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2.08 ± 0.47</w:t>
            </w:r>
            <w:r>
              <w:rPr>
                <w:rFonts w:ascii="Times New Roman" w:eastAsia="Times New Roman" w:hAnsi="Times New Roman"/>
                <w:sz w:val="24"/>
                <w:szCs w:val="24"/>
                <w:vertAlign w:val="superscript"/>
              </w:rPr>
              <w:t>b</w:t>
            </w:r>
          </w:p>
        </w:tc>
        <w:tc>
          <w:tcPr>
            <w:tcW w:w="1593" w:type="dxa"/>
            <w:tcBorders>
              <w:top w:val="nil"/>
              <w:bottom w:val="nil"/>
            </w:tcBorders>
          </w:tcPr>
          <w:p w14:paraId="4151A9B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2.00 ± 0.38</w:t>
            </w:r>
            <w:r>
              <w:rPr>
                <w:rFonts w:ascii="Times New Roman" w:eastAsia="Times New Roman" w:hAnsi="Times New Roman"/>
                <w:sz w:val="24"/>
                <w:szCs w:val="24"/>
                <w:vertAlign w:val="superscript"/>
              </w:rPr>
              <w:t>b</w:t>
            </w:r>
          </w:p>
        </w:tc>
      </w:tr>
      <w:tr w:rsidR="00B26622" w14:paraId="2B17407A" w14:textId="77777777">
        <w:tc>
          <w:tcPr>
            <w:tcW w:w="2989" w:type="dxa"/>
            <w:tcBorders>
              <w:top w:val="nil"/>
              <w:bottom w:val="nil"/>
            </w:tcBorders>
          </w:tcPr>
          <w:p w14:paraId="2C4F2A3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2494" w:type="dxa"/>
            <w:tcBorders>
              <w:top w:val="nil"/>
              <w:bottom w:val="nil"/>
            </w:tcBorders>
          </w:tcPr>
          <w:p w14:paraId="7412634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1.75 ± 0.32</w:t>
            </w:r>
            <w:r>
              <w:rPr>
                <w:rFonts w:ascii="Times New Roman" w:eastAsia="Times New Roman" w:hAnsi="Times New Roman"/>
                <w:sz w:val="24"/>
                <w:szCs w:val="24"/>
                <w:vertAlign w:val="superscript"/>
              </w:rPr>
              <w:t>e</w:t>
            </w:r>
          </w:p>
        </w:tc>
        <w:tc>
          <w:tcPr>
            <w:tcW w:w="1593" w:type="dxa"/>
            <w:tcBorders>
              <w:top w:val="nil"/>
              <w:bottom w:val="nil"/>
            </w:tcBorders>
          </w:tcPr>
          <w:p w14:paraId="0078887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1.66 ± 0.82</w:t>
            </w:r>
            <w:r>
              <w:rPr>
                <w:rFonts w:ascii="Times New Roman" w:eastAsia="Times New Roman" w:hAnsi="Times New Roman"/>
                <w:sz w:val="24"/>
                <w:szCs w:val="24"/>
                <w:vertAlign w:val="superscript"/>
              </w:rPr>
              <w:t>e</w:t>
            </w:r>
          </w:p>
        </w:tc>
      </w:tr>
      <w:tr w:rsidR="00B26622" w14:paraId="1357DFBF" w14:textId="77777777">
        <w:tc>
          <w:tcPr>
            <w:tcW w:w="2989" w:type="dxa"/>
            <w:tcBorders>
              <w:top w:val="nil"/>
            </w:tcBorders>
          </w:tcPr>
          <w:p w14:paraId="3611519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2494" w:type="dxa"/>
            <w:tcBorders>
              <w:top w:val="nil"/>
            </w:tcBorders>
          </w:tcPr>
          <w:p w14:paraId="517458A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2.00 ± 0.47</w:t>
            </w:r>
            <w:r>
              <w:rPr>
                <w:rFonts w:ascii="Times New Roman" w:eastAsia="Times New Roman" w:hAnsi="Times New Roman"/>
                <w:sz w:val="24"/>
                <w:szCs w:val="24"/>
                <w:vertAlign w:val="superscript"/>
              </w:rPr>
              <w:t>b</w:t>
            </w:r>
          </w:p>
        </w:tc>
        <w:tc>
          <w:tcPr>
            <w:tcW w:w="1593" w:type="dxa"/>
            <w:tcBorders>
              <w:top w:val="nil"/>
            </w:tcBorders>
          </w:tcPr>
          <w:p w14:paraId="7779B66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1.42 ± 0.50</w:t>
            </w:r>
            <w:r>
              <w:rPr>
                <w:rFonts w:ascii="Times New Roman" w:eastAsia="Times New Roman" w:hAnsi="Times New Roman"/>
                <w:sz w:val="24"/>
                <w:szCs w:val="24"/>
                <w:vertAlign w:val="superscript"/>
              </w:rPr>
              <w:t>bc</w:t>
            </w:r>
          </w:p>
        </w:tc>
      </w:tr>
    </w:tbl>
    <w:p w14:paraId="2D2F50C5"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Values are presented as mean ± standard error of mean (n=4). Value with different superscript in each column was significant different at P&lt;0.05</w:t>
      </w:r>
    </w:p>
    <w:p w14:paraId="0B3A59C1" w14:textId="77777777" w:rsidR="00B26622" w:rsidRDefault="00B26622">
      <w:pPr>
        <w:spacing w:line="360" w:lineRule="auto"/>
        <w:jc w:val="both"/>
        <w:rPr>
          <w:rFonts w:ascii="Times New Roman" w:hAnsi="Times New Roman"/>
          <w:b/>
          <w:sz w:val="24"/>
          <w:szCs w:val="24"/>
        </w:rPr>
      </w:pPr>
    </w:p>
    <w:p w14:paraId="5891FFD4" w14:textId="77777777" w:rsidR="00B26622" w:rsidRDefault="00B26622">
      <w:pPr>
        <w:spacing w:line="360" w:lineRule="auto"/>
        <w:jc w:val="both"/>
        <w:rPr>
          <w:rFonts w:ascii="Times New Roman" w:hAnsi="Times New Roman"/>
          <w:b/>
          <w:sz w:val="24"/>
          <w:szCs w:val="24"/>
        </w:rPr>
      </w:pPr>
    </w:p>
    <w:p w14:paraId="74104320" w14:textId="77777777" w:rsidR="00B26622" w:rsidRDefault="00B26622">
      <w:pPr>
        <w:spacing w:line="360" w:lineRule="auto"/>
        <w:jc w:val="both"/>
        <w:rPr>
          <w:rFonts w:ascii="Times New Roman" w:hAnsi="Times New Roman"/>
          <w:b/>
          <w:sz w:val="24"/>
          <w:szCs w:val="24"/>
        </w:rPr>
      </w:pPr>
    </w:p>
    <w:p w14:paraId="2EEC1E09" w14:textId="77777777" w:rsidR="00B26622" w:rsidRDefault="00B26622">
      <w:pPr>
        <w:spacing w:line="360" w:lineRule="auto"/>
        <w:jc w:val="both"/>
        <w:rPr>
          <w:rFonts w:ascii="Times New Roman" w:hAnsi="Times New Roman"/>
          <w:b/>
          <w:sz w:val="24"/>
          <w:szCs w:val="24"/>
        </w:rPr>
      </w:pPr>
    </w:p>
    <w:p w14:paraId="3348F90A" w14:textId="77777777" w:rsidR="00B26622" w:rsidRDefault="00B26622">
      <w:pPr>
        <w:spacing w:line="360" w:lineRule="auto"/>
        <w:jc w:val="both"/>
        <w:rPr>
          <w:rFonts w:ascii="Times New Roman" w:hAnsi="Times New Roman"/>
          <w:b/>
          <w:sz w:val="24"/>
          <w:szCs w:val="24"/>
        </w:rPr>
      </w:pPr>
    </w:p>
    <w:p w14:paraId="1186D033" w14:textId="77777777" w:rsidR="00B26622" w:rsidRDefault="00B26622">
      <w:pPr>
        <w:spacing w:line="360" w:lineRule="auto"/>
        <w:jc w:val="both"/>
        <w:rPr>
          <w:rFonts w:ascii="Times New Roman" w:hAnsi="Times New Roman"/>
          <w:b/>
          <w:sz w:val="24"/>
          <w:szCs w:val="24"/>
        </w:rPr>
      </w:pPr>
    </w:p>
    <w:p w14:paraId="7BEDE6A7" w14:textId="77777777" w:rsidR="00B26622" w:rsidRDefault="00B26622">
      <w:pPr>
        <w:spacing w:line="360" w:lineRule="auto"/>
        <w:jc w:val="both"/>
        <w:rPr>
          <w:rFonts w:ascii="Times New Roman" w:hAnsi="Times New Roman"/>
          <w:b/>
          <w:sz w:val="24"/>
          <w:szCs w:val="24"/>
        </w:rPr>
      </w:pPr>
    </w:p>
    <w:p w14:paraId="70B6825C"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Table.5: Effect of </w:t>
      </w:r>
      <w:r>
        <w:rPr>
          <w:rFonts w:ascii="Times New Roman" w:hAnsi="Times New Roman"/>
          <w:b/>
          <w:i/>
          <w:sz w:val="24"/>
          <w:szCs w:val="24"/>
        </w:rPr>
        <w:t xml:space="preserve">Ficus platyphylla </w:t>
      </w:r>
      <w:r>
        <w:rPr>
          <w:rFonts w:ascii="Times New Roman" w:hAnsi="Times New Roman"/>
          <w:b/>
          <w:sz w:val="24"/>
          <w:szCs w:val="24"/>
        </w:rPr>
        <w:t>Aqueous Stem Bark and its Polyherbal Extract on Anogenital and Genital Grooming</w:t>
      </w:r>
    </w:p>
    <w:tbl>
      <w:tblPr>
        <w:tblW w:w="10115"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070"/>
        <w:gridCol w:w="1653"/>
        <w:gridCol w:w="1750"/>
        <w:gridCol w:w="1653"/>
      </w:tblGrid>
      <w:tr w:rsidR="00B26622" w14:paraId="7A12EC73" w14:textId="77777777">
        <w:tc>
          <w:tcPr>
            <w:tcW w:w="2989" w:type="dxa"/>
            <w:tcBorders>
              <w:bottom w:val="single" w:sz="4" w:space="0" w:color="auto"/>
            </w:tcBorders>
          </w:tcPr>
          <w:p w14:paraId="24B400A1"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2070" w:type="dxa"/>
            <w:tcBorders>
              <w:bottom w:val="single" w:sz="4" w:space="0" w:color="auto"/>
            </w:tcBorders>
          </w:tcPr>
          <w:p w14:paraId="2888E80C"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Anogenital Grooming</w:t>
            </w:r>
          </w:p>
          <w:p w14:paraId="273AD9BF"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653" w:type="dxa"/>
            <w:tcBorders>
              <w:bottom w:val="single" w:sz="4" w:space="0" w:color="auto"/>
            </w:tcBorders>
          </w:tcPr>
          <w:p w14:paraId="17C02F82" w14:textId="77777777" w:rsidR="00B26622" w:rsidRDefault="00B26622">
            <w:pPr>
              <w:spacing w:line="360" w:lineRule="auto"/>
              <w:jc w:val="both"/>
              <w:rPr>
                <w:rFonts w:ascii="Times New Roman" w:eastAsia="Times New Roman" w:hAnsi="Times New Roman"/>
                <w:b/>
                <w:sz w:val="24"/>
                <w:szCs w:val="24"/>
              </w:rPr>
            </w:pPr>
          </w:p>
          <w:p w14:paraId="42EB4DC4"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c>
          <w:tcPr>
            <w:tcW w:w="1750" w:type="dxa"/>
            <w:tcBorders>
              <w:bottom w:val="single" w:sz="4" w:space="0" w:color="auto"/>
            </w:tcBorders>
          </w:tcPr>
          <w:p w14:paraId="5813333D"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Genital Grooming</w:t>
            </w:r>
          </w:p>
          <w:p w14:paraId="73A19F99"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1</w:t>
            </w:r>
          </w:p>
        </w:tc>
        <w:tc>
          <w:tcPr>
            <w:tcW w:w="1653" w:type="dxa"/>
            <w:tcBorders>
              <w:bottom w:val="single" w:sz="4" w:space="0" w:color="auto"/>
            </w:tcBorders>
          </w:tcPr>
          <w:p w14:paraId="1A7494C4" w14:textId="77777777" w:rsidR="00B26622" w:rsidRDefault="00B26622">
            <w:pPr>
              <w:spacing w:line="360" w:lineRule="auto"/>
              <w:jc w:val="both"/>
              <w:rPr>
                <w:rFonts w:ascii="Times New Roman" w:eastAsia="Times New Roman" w:hAnsi="Times New Roman"/>
                <w:b/>
                <w:sz w:val="24"/>
                <w:szCs w:val="24"/>
              </w:rPr>
            </w:pPr>
          </w:p>
          <w:p w14:paraId="057BD12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Day 7</w:t>
            </w:r>
          </w:p>
        </w:tc>
      </w:tr>
      <w:tr w:rsidR="00B26622" w14:paraId="0D716487" w14:textId="77777777">
        <w:tc>
          <w:tcPr>
            <w:tcW w:w="2989" w:type="dxa"/>
            <w:tcBorders>
              <w:bottom w:val="nil"/>
            </w:tcBorders>
          </w:tcPr>
          <w:p w14:paraId="4305F59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2070" w:type="dxa"/>
            <w:tcBorders>
              <w:bottom w:val="nil"/>
            </w:tcBorders>
          </w:tcPr>
          <w:p w14:paraId="56AB2E1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3.25 ± 1.17</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653" w:type="dxa"/>
            <w:tcBorders>
              <w:bottom w:val="nil"/>
            </w:tcBorders>
          </w:tcPr>
          <w:p w14:paraId="0013335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2.25 ± 1.10</w:t>
            </w:r>
            <w:r>
              <w:rPr>
                <w:rFonts w:ascii="Times New Roman" w:eastAsia="Times New Roman" w:hAnsi="Times New Roman"/>
                <w:sz w:val="24"/>
                <w:szCs w:val="24"/>
                <w:vertAlign w:val="superscript"/>
              </w:rPr>
              <w:t>a</w:t>
            </w:r>
          </w:p>
        </w:tc>
        <w:tc>
          <w:tcPr>
            <w:tcW w:w="1750" w:type="dxa"/>
            <w:tcBorders>
              <w:bottom w:val="nil"/>
            </w:tcBorders>
          </w:tcPr>
          <w:p w14:paraId="7BA48EE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0.58 ± 0.32</w:t>
            </w:r>
            <w:r>
              <w:rPr>
                <w:rFonts w:ascii="Times New Roman" w:eastAsia="Times New Roman" w:hAnsi="Times New Roman"/>
                <w:sz w:val="24"/>
                <w:szCs w:val="24"/>
                <w:vertAlign w:val="superscript"/>
              </w:rPr>
              <w:t>a</w:t>
            </w:r>
          </w:p>
        </w:tc>
        <w:tc>
          <w:tcPr>
            <w:tcW w:w="1653" w:type="dxa"/>
            <w:tcBorders>
              <w:bottom w:val="nil"/>
            </w:tcBorders>
          </w:tcPr>
          <w:p w14:paraId="730B240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0.50 ± 1.00</w:t>
            </w:r>
            <w:r>
              <w:rPr>
                <w:rFonts w:ascii="Times New Roman" w:eastAsia="Times New Roman" w:hAnsi="Times New Roman"/>
                <w:sz w:val="24"/>
                <w:szCs w:val="24"/>
                <w:vertAlign w:val="superscript"/>
              </w:rPr>
              <w:t>bc</w:t>
            </w:r>
          </w:p>
        </w:tc>
      </w:tr>
      <w:tr w:rsidR="00B26622" w14:paraId="7A9729CE" w14:textId="77777777">
        <w:tc>
          <w:tcPr>
            <w:tcW w:w="2989" w:type="dxa"/>
            <w:tcBorders>
              <w:top w:val="nil"/>
              <w:bottom w:val="nil"/>
            </w:tcBorders>
          </w:tcPr>
          <w:p w14:paraId="522A560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Exus ginseng(5.7mg/kg)</w:t>
            </w:r>
          </w:p>
        </w:tc>
        <w:tc>
          <w:tcPr>
            <w:tcW w:w="2070" w:type="dxa"/>
            <w:tcBorders>
              <w:top w:val="nil"/>
              <w:bottom w:val="nil"/>
            </w:tcBorders>
          </w:tcPr>
          <w:p w14:paraId="3D32185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2.46 ± 1.01</w:t>
            </w:r>
            <w:r>
              <w:rPr>
                <w:rFonts w:ascii="Times New Roman" w:eastAsia="Times New Roman" w:hAnsi="Times New Roman"/>
                <w:sz w:val="24"/>
                <w:szCs w:val="24"/>
                <w:vertAlign w:val="superscript"/>
              </w:rPr>
              <w:t>b</w:t>
            </w:r>
          </w:p>
        </w:tc>
        <w:tc>
          <w:tcPr>
            <w:tcW w:w="1653" w:type="dxa"/>
            <w:tcBorders>
              <w:top w:val="nil"/>
              <w:bottom w:val="nil"/>
            </w:tcBorders>
          </w:tcPr>
          <w:p w14:paraId="45DD83D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2.58 ± 0.74</w:t>
            </w:r>
            <w:r>
              <w:rPr>
                <w:rFonts w:ascii="Times New Roman" w:eastAsia="Times New Roman" w:hAnsi="Times New Roman"/>
                <w:sz w:val="24"/>
                <w:szCs w:val="24"/>
                <w:vertAlign w:val="superscript"/>
              </w:rPr>
              <w:t>b</w:t>
            </w:r>
          </w:p>
        </w:tc>
        <w:tc>
          <w:tcPr>
            <w:tcW w:w="1750" w:type="dxa"/>
            <w:tcBorders>
              <w:top w:val="nil"/>
              <w:bottom w:val="nil"/>
            </w:tcBorders>
          </w:tcPr>
          <w:p w14:paraId="5E18E4E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0.83 ± 0.69</w:t>
            </w:r>
            <w:r>
              <w:rPr>
                <w:rFonts w:ascii="Times New Roman" w:eastAsia="Times New Roman" w:hAnsi="Times New Roman"/>
                <w:sz w:val="24"/>
                <w:szCs w:val="24"/>
                <w:vertAlign w:val="superscript"/>
              </w:rPr>
              <w:t>b</w:t>
            </w:r>
          </w:p>
        </w:tc>
        <w:tc>
          <w:tcPr>
            <w:tcW w:w="1653" w:type="dxa"/>
            <w:tcBorders>
              <w:top w:val="nil"/>
              <w:bottom w:val="nil"/>
            </w:tcBorders>
          </w:tcPr>
          <w:p w14:paraId="7C12DC3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0.92 ± 0.63</w:t>
            </w:r>
            <w:r>
              <w:rPr>
                <w:rFonts w:ascii="Times New Roman" w:eastAsia="Times New Roman" w:hAnsi="Times New Roman"/>
                <w:sz w:val="24"/>
                <w:szCs w:val="24"/>
                <w:vertAlign w:val="superscript"/>
              </w:rPr>
              <w:t>b</w:t>
            </w:r>
          </w:p>
        </w:tc>
      </w:tr>
      <w:tr w:rsidR="00B26622" w14:paraId="61D9C706" w14:textId="77777777">
        <w:tc>
          <w:tcPr>
            <w:tcW w:w="2989" w:type="dxa"/>
            <w:tcBorders>
              <w:top w:val="nil"/>
              <w:bottom w:val="nil"/>
            </w:tcBorders>
          </w:tcPr>
          <w:p w14:paraId="142BBF8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2070" w:type="dxa"/>
            <w:tcBorders>
              <w:top w:val="nil"/>
              <w:bottom w:val="nil"/>
            </w:tcBorders>
          </w:tcPr>
          <w:p w14:paraId="6D600D2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2.67 ± </w:t>
            </w:r>
            <w:r>
              <w:rPr>
                <w:rFonts w:ascii="Times New Roman" w:eastAsia="Times New Roman" w:hAnsi="Times New Roman"/>
                <w:color w:val="000000"/>
                <w:sz w:val="24"/>
                <w:szCs w:val="24"/>
              </w:rPr>
              <w:t>0.98</w:t>
            </w:r>
            <w:r>
              <w:rPr>
                <w:rFonts w:ascii="Times New Roman" w:eastAsia="Times New Roman" w:hAnsi="Times New Roman"/>
                <w:color w:val="000000"/>
                <w:sz w:val="24"/>
                <w:szCs w:val="24"/>
                <w:vertAlign w:val="superscript"/>
              </w:rPr>
              <w:t>c</w:t>
            </w:r>
          </w:p>
        </w:tc>
        <w:tc>
          <w:tcPr>
            <w:tcW w:w="1653" w:type="dxa"/>
            <w:tcBorders>
              <w:top w:val="nil"/>
              <w:bottom w:val="nil"/>
            </w:tcBorders>
          </w:tcPr>
          <w:p w14:paraId="18E4E92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2.00 ± 1.05</w:t>
            </w:r>
            <w:r>
              <w:rPr>
                <w:rFonts w:ascii="Times New Roman" w:eastAsia="Times New Roman" w:hAnsi="Times New Roman"/>
                <w:sz w:val="24"/>
                <w:szCs w:val="24"/>
                <w:vertAlign w:val="superscript"/>
              </w:rPr>
              <w:t>c</w:t>
            </w:r>
          </w:p>
        </w:tc>
        <w:tc>
          <w:tcPr>
            <w:tcW w:w="1750" w:type="dxa"/>
            <w:tcBorders>
              <w:top w:val="nil"/>
              <w:bottom w:val="nil"/>
            </w:tcBorders>
          </w:tcPr>
          <w:p w14:paraId="20D17DA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0.50 ± 0.43</w:t>
            </w:r>
            <w:r>
              <w:rPr>
                <w:rFonts w:ascii="Times New Roman" w:eastAsia="Times New Roman" w:hAnsi="Times New Roman"/>
                <w:sz w:val="24"/>
                <w:szCs w:val="24"/>
                <w:vertAlign w:val="superscript"/>
              </w:rPr>
              <w:t>a</w:t>
            </w:r>
          </w:p>
        </w:tc>
        <w:tc>
          <w:tcPr>
            <w:tcW w:w="1653" w:type="dxa"/>
            <w:tcBorders>
              <w:top w:val="nil"/>
              <w:bottom w:val="nil"/>
            </w:tcBorders>
          </w:tcPr>
          <w:p w14:paraId="1FCEF6A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0.92 ± 0.17</w:t>
            </w:r>
            <w:r>
              <w:rPr>
                <w:rFonts w:ascii="Times New Roman" w:eastAsia="Times New Roman" w:hAnsi="Times New Roman"/>
                <w:sz w:val="24"/>
                <w:szCs w:val="24"/>
                <w:vertAlign w:val="superscript"/>
              </w:rPr>
              <w:t>b</w:t>
            </w:r>
          </w:p>
        </w:tc>
      </w:tr>
      <w:tr w:rsidR="00B26622" w14:paraId="4F59AC90" w14:textId="77777777">
        <w:tc>
          <w:tcPr>
            <w:tcW w:w="2989" w:type="dxa"/>
            <w:tcBorders>
              <w:top w:val="nil"/>
              <w:bottom w:val="nil"/>
            </w:tcBorders>
          </w:tcPr>
          <w:p w14:paraId="7AB5274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2070" w:type="dxa"/>
            <w:tcBorders>
              <w:top w:val="nil"/>
              <w:bottom w:val="nil"/>
            </w:tcBorders>
          </w:tcPr>
          <w:p w14:paraId="12B03FB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3.17 ± 0.58</w:t>
            </w:r>
            <w:r>
              <w:rPr>
                <w:rFonts w:ascii="Times New Roman" w:eastAsia="Times New Roman" w:hAnsi="Times New Roman"/>
                <w:sz w:val="24"/>
                <w:szCs w:val="24"/>
                <w:vertAlign w:val="superscript"/>
              </w:rPr>
              <w:t>ab</w:t>
            </w:r>
          </w:p>
        </w:tc>
        <w:tc>
          <w:tcPr>
            <w:tcW w:w="1653" w:type="dxa"/>
            <w:tcBorders>
              <w:top w:val="nil"/>
              <w:bottom w:val="nil"/>
            </w:tcBorders>
          </w:tcPr>
          <w:p w14:paraId="0E89D5A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2.96 </w:t>
            </w:r>
            <w:r>
              <w:rPr>
                <w:rFonts w:ascii="Times New Roman" w:eastAsia="Times New Roman" w:hAnsi="Times New Roman"/>
                <w:sz w:val="24"/>
                <w:szCs w:val="24"/>
              </w:rPr>
              <w:t>± 0.95</w:t>
            </w:r>
            <w:r>
              <w:rPr>
                <w:rFonts w:ascii="Times New Roman" w:eastAsia="Times New Roman" w:hAnsi="Times New Roman"/>
                <w:sz w:val="24"/>
                <w:szCs w:val="24"/>
                <w:vertAlign w:val="superscript"/>
              </w:rPr>
              <w:t>d</w:t>
            </w:r>
          </w:p>
        </w:tc>
        <w:tc>
          <w:tcPr>
            <w:tcW w:w="1750" w:type="dxa"/>
            <w:tcBorders>
              <w:top w:val="nil"/>
              <w:bottom w:val="nil"/>
            </w:tcBorders>
          </w:tcPr>
          <w:p w14:paraId="58D6570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ab</w:t>
            </w:r>
            <w:r>
              <w:rPr>
                <w:rFonts w:ascii="Times New Roman" w:eastAsia="Times New Roman" w:hAnsi="Times New Roman"/>
                <w:sz w:val="24"/>
                <w:szCs w:val="24"/>
              </w:rPr>
              <w:t xml:space="preserve"> </w:t>
            </w:r>
          </w:p>
        </w:tc>
        <w:tc>
          <w:tcPr>
            <w:tcW w:w="1653" w:type="dxa"/>
            <w:tcBorders>
              <w:top w:val="nil"/>
              <w:bottom w:val="nil"/>
            </w:tcBorders>
          </w:tcPr>
          <w:p w14:paraId="31D4E4C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0.96 ± 0.95</w:t>
            </w:r>
            <w:r>
              <w:rPr>
                <w:rFonts w:ascii="Times New Roman" w:eastAsia="Times New Roman" w:hAnsi="Times New Roman"/>
                <w:sz w:val="24"/>
                <w:szCs w:val="24"/>
                <w:vertAlign w:val="superscript"/>
              </w:rPr>
              <w:t>c</w:t>
            </w:r>
          </w:p>
        </w:tc>
      </w:tr>
      <w:tr w:rsidR="00B26622" w14:paraId="56ADB10C" w14:textId="77777777">
        <w:tc>
          <w:tcPr>
            <w:tcW w:w="2989" w:type="dxa"/>
            <w:tcBorders>
              <w:top w:val="nil"/>
              <w:bottom w:val="nil"/>
            </w:tcBorders>
          </w:tcPr>
          <w:p w14:paraId="3E3DFD5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2070" w:type="dxa"/>
            <w:tcBorders>
              <w:top w:val="nil"/>
              <w:bottom w:val="nil"/>
            </w:tcBorders>
          </w:tcPr>
          <w:p w14:paraId="6B2C8AB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3.75 ± 0.92</w:t>
            </w:r>
            <w:r>
              <w:rPr>
                <w:rFonts w:ascii="Times New Roman" w:eastAsia="Times New Roman" w:hAnsi="Times New Roman"/>
                <w:sz w:val="24"/>
                <w:szCs w:val="24"/>
                <w:vertAlign w:val="superscript"/>
              </w:rPr>
              <w:t>bc</w:t>
            </w:r>
            <w:r>
              <w:rPr>
                <w:rFonts w:ascii="Times New Roman" w:eastAsia="Times New Roman" w:hAnsi="Times New Roman"/>
                <w:sz w:val="24"/>
                <w:szCs w:val="24"/>
              </w:rPr>
              <w:t xml:space="preserve"> </w:t>
            </w:r>
          </w:p>
        </w:tc>
        <w:tc>
          <w:tcPr>
            <w:tcW w:w="1653" w:type="dxa"/>
            <w:tcBorders>
              <w:top w:val="nil"/>
              <w:bottom w:val="nil"/>
            </w:tcBorders>
          </w:tcPr>
          <w:p w14:paraId="26D3148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2.58 ± 1.17</w:t>
            </w:r>
            <w:r>
              <w:rPr>
                <w:rFonts w:ascii="Times New Roman" w:eastAsia="Times New Roman" w:hAnsi="Times New Roman"/>
                <w:sz w:val="24"/>
                <w:szCs w:val="24"/>
                <w:vertAlign w:val="superscript"/>
              </w:rPr>
              <w:t>ab</w:t>
            </w:r>
          </w:p>
        </w:tc>
        <w:tc>
          <w:tcPr>
            <w:tcW w:w="1750" w:type="dxa"/>
            <w:tcBorders>
              <w:top w:val="nil"/>
              <w:bottom w:val="nil"/>
            </w:tcBorders>
          </w:tcPr>
          <w:p w14:paraId="0AC67A5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0.42 ± 0.17</w:t>
            </w:r>
            <w:r>
              <w:rPr>
                <w:rFonts w:ascii="Times New Roman" w:eastAsia="Times New Roman" w:hAnsi="Times New Roman"/>
                <w:sz w:val="24"/>
                <w:szCs w:val="24"/>
                <w:vertAlign w:val="superscript"/>
              </w:rPr>
              <w:t>e</w:t>
            </w:r>
          </w:p>
        </w:tc>
        <w:tc>
          <w:tcPr>
            <w:tcW w:w="1653" w:type="dxa"/>
            <w:tcBorders>
              <w:top w:val="nil"/>
              <w:bottom w:val="nil"/>
            </w:tcBorders>
          </w:tcPr>
          <w:p w14:paraId="7B5067D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ab</w:t>
            </w:r>
          </w:p>
        </w:tc>
      </w:tr>
      <w:tr w:rsidR="00B26622" w14:paraId="3DE503CE" w14:textId="77777777">
        <w:tc>
          <w:tcPr>
            <w:tcW w:w="2989" w:type="dxa"/>
            <w:tcBorders>
              <w:top w:val="nil"/>
              <w:bottom w:val="nil"/>
            </w:tcBorders>
          </w:tcPr>
          <w:p w14:paraId="606E0DD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2070" w:type="dxa"/>
            <w:tcBorders>
              <w:top w:val="nil"/>
              <w:bottom w:val="nil"/>
            </w:tcBorders>
          </w:tcPr>
          <w:p w14:paraId="79170F2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3.50 ± 1.50</w:t>
            </w:r>
            <w:r>
              <w:rPr>
                <w:rFonts w:ascii="Times New Roman" w:eastAsia="Times New Roman" w:hAnsi="Times New Roman"/>
                <w:sz w:val="24"/>
                <w:szCs w:val="24"/>
                <w:vertAlign w:val="superscript"/>
              </w:rPr>
              <w:t>e</w:t>
            </w:r>
          </w:p>
        </w:tc>
        <w:tc>
          <w:tcPr>
            <w:tcW w:w="1653" w:type="dxa"/>
            <w:tcBorders>
              <w:top w:val="nil"/>
              <w:bottom w:val="nil"/>
            </w:tcBorders>
          </w:tcPr>
          <w:p w14:paraId="04AD67F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2.17 ± 0.43</w:t>
            </w:r>
            <w:r>
              <w:rPr>
                <w:rFonts w:ascii="Times New Roman" w:eastAsia="Times New Roman" w:hAnsi="Times New Roman"/>
                <w:sz w:val="24"/>
                <w:szCs w:val="24"/>
                <w:vertAlign w:val="superscript"/>
              </w:rPr>
              <w:t>bc</w:t>
            </w:r>
          </w:p>
        </w:tc>
        <w:tc>
          <w:tcPr>
            <w:tcW w:w="1750" w:type="dxa"/>
            <w:tcBorders>
              <w:top w:val="nil"/>
              <w:bottom w:val="nil"/>
            </w:tcBorders>
          </w:tcPr>
          <w:p w14:paraId="0B7B5BD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1.00 ± 0.38</w:t>
            </w:r>
            <w:r>
              <w:rPr>
                <w:rFonts w:ascii="Times New Roman" w:eastAsia="Times New Roman" w:hAnsi="Times New Roman"/>
                <w:sz w:val="24"/>
                <w:szCs w:val="24"/>
                <w:vertAlign w:val="superscript"/>
              </w:rPr>
              <w:t>bc</w:t>
            </w:r>
          </w:p>
        </w:tc>
        <w:tc>
          <w:tcPr>
            <w:tcW w:w="1653" w:type="dxa"/>
            <w:tcBorders>
              <w:top w:val="nil"/>
              <w:bottom w:val="nil"/>
            </w:tcBorders>
          </w:tcPr>
          <w:p w14:paraId="167FBF9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0.58 ± 0.42</w:t>
            </w:r>
            <w:r>
              <w:rPr>
                <w:rFonts w:ascii="Times New Roman" w:eastAsia="Times New Roman" w:hAnsi="Times New Roman"/>
                <w:sz w:val="24"/>
                <w:szCs w:val="24"/>
                <w:vertAlign w:val="superscript"/>
              </w:rPr>
              <w:t>a</w:t>
            </w:r>
          </w:p>
        </w:tc>
      </w:tr>
      <w:tr w:rsidR="00B26622" w14:paraId="61298D77" w14:textId="77777777">
        <w:tc>
          <w:tcPr>
            <w:tcW w:w="2989" w:type="dxa"/>
            <w:tcBorders>
              <w:top w:val="nil"/>
              <w:bottom w:val="nil"/>
            </w:tcBorders>
          </w:tcPr>
          <w:p w14:paraId="15CFBF6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2070" w:type="dxa"/>
            <w:tcBorders>
              <w:top w:val="nil"/>
              <w:bottom w:val="nil"/>
            </w:tcBorders>
          </w:tcPr>
          <w:p w14:paraId="5DEF2D9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3.00 ± 0.90</w:t>
            </w:r>
            <w:r>
              <w:rPr>
                <w:rFonts w:ascii="Times New Roman" w:eastAsia="Times New Roman" w:hAnsi="Times New Roman"/>
                <w:sz w:val="24"/>
                <w:szCs w:val="24"/>
                <w:vertAlign w:val="superscript"/>
              </w:rPr>
              <w:t>f</w:t>
            </w:r>
          </w:p>
        </w:tc>
        <w:tc>
          <w:tcPr>
            <w:tcW w:w="1653" w:type="dxa"/>
            <w:tcBorders>
              <w:top w:val="nil"/>
              <w:bottom w:val="nil"/>
            </w:tcBorders>
          </w:tcPr>
          <w:p w14:paraId="3BB4926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2.00 ± 1.15c</w:t>
            </w:r>
          </w:p>
        </w:tc>
        <w:tc>
          <w:tcPr>
            <w:tcW w:w="1750" w:type="dxa"/>
            <w:tcBorders>
              <w:top w:val="nil"/>
              <w:bottom w:val="nil"/>
            </w:tcBorders>
          </w:tcPr>
          <w:p w14:paraId="196275F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0.16 ± 0.19</w:t>
            </w:r>
            <w:r>
              <w:rPr>
                <w:rFonts w:ascii="Times New Roman" w:eastAsia="Times New Roman" w:hAnsi="Times New Roman"/>
                <w:sz w:val="24"/>
                <w:szCs w:val="24"/>
                <w:vertAlign w:val="superscript"/>
              </w:rPr>
              <w:t>c</w:t>
            </w:r>
          </w:p>
        </w:tc>
        <w:tc>
          <w:tcPr>
            <w:tcW w:w="1653" w:type="dxa"/>
            <w:tcBorders>
              <w:top w:val="nil"/>
              <w:bottom w:val="nil"/>
            </w:tcBorders>
          </w:tcPr>
          <w:p w14:paraId="7154E6D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0.58 ± 0.42</w:t>
            </w:r>
            <w:r>
              <w:rPr>
                <w:rFonts w:ascii="Times New Roman" w:eastAsia="Times New Roman" w:hAnsi="Times New Roman"/>
                <w:sz w:val="24"/>
                <w:szCs w:val="24"/>
                <w:vertAlign w:val="superscript"/>
              </w:rPr>
              <w:t>a</w:t>
            </w:r>
          </w:p>
        </w:tc>
      </w:tr>
      <w:tr w:rsidR="00B26622" w14:paraId="7AD2F369" w14:textId="77777777">
        <w:tc>
          <w:tcPr>
            <w:tcW w:w="2989" w:type="dxa"/>
            <w:tcBorders>
              <w:top w:val="nil"/>
            </w:tcBorders>
          </w:tcPr>
          <w:p w14:paraId="1224FEB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2070" w:type="dxa"/>
            <w:tcBorders>
              <w:top w:val="nil"/>
            </w:tcBorders>
          </w:tcPr>
          <w:p w14:paraId="304BE52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2.92 ± 0.50</w:t>
            </w:r>
            <w:r>
              <w:rPr>
                <w:rFonts w:ascii="Times New Roman" w:eastAsia="Times New Roman" w:hAnsi="Times New Roman"/>
                <w:sz w:val="24"/>
                <w:szCs w:val="24"/>
                <w:vertAlign w:val="superscript"/>
              </w:rPr>
              <w:t>d</w:t>
            </w:r>
          </w:p>
        </w:tc>
        <w:tc>
          <w:tcPr>
            <w:tcW w:w="1653" w:type="dxa"/>
            <w:tcBorders>
              <w:top w:val="nil"/>
            </w:tcBorders>
          </w:tcPr>
          <w:p w14:paraId="6AA2F7F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0.42 ± 0.17</w:t>
            </w:r>
            <w:r>
              <w:rPr>
                <w:rFonts w:ascii="Times New Roman" w:eastAsia="Times New Roman" w:hAnsi="Times New Roman"/>
                <w:sz w:val="24"/>
                <w:szCs w:val="24"/>
                <w:vertAlign w:val="superscript"/>
              </w:rPr>
              <w:t>e</w:t>
            </w:r>
          </w:p>
        </w:tc>
        <w:tc>
          <w:tcPr>
            <w:tcW w:w="1750" w:type="dxa"/>
            <w:tcBorders>
              <w:top w:val="nil"/>
            </w:tcBorders>
          </w:tcPr>
          <w:p w14:paraId="0910713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0.33 ± 0.27</w:t>
            </w:r>
            <w:r>
              <w:rPr>
                <w:rFonts w:ascii="Times New Roman" w:eastAsia="Times New Roman" w:hAnsi="Times New Roman"/>
                <w:sz w:val="24"/>
                <w:szCs w:val="24"/>
                <w:vertAlign w:val="superscript"/>
              </w:rPr>
              <w:t>f</w:t>
            </w:r>
          </w:p>
        </w:tc>
        <w:tc>
          <w:tcPr>
            <w:tcW w:w="1653" w:type="dxa"/>
            <w:tcBorders>
              <w:top w:val="nil"/>
            </w:tcBorders>
          </w:tcPr>
          <w:p w14:paraId="56D314D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ab</w:t>
            </w:r>
          </w:p>
        </w:tc>
      </w:tr>
    </w:tbl>
    <w:p w14:paraId="09D100A7"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Values are presented as mean ± standard error of mean (n=4). Value with different superscript in each column was significant different at P&lt;0.05</w:t>
      </w:r>
    </w:p>
    <w:p w14:paraId="3212C3BC" w14:textId="77777777" w:rsidR="00B26622" w:rsidRDefault="00B26622">
      <w:pPr>
        <w:spacing w:line="360" w:lineRule="auto"/>
        <w:jc w:val="both"/>
        <w:rPr>
          <w:rFonts w:ascii="Times New Roman" w:hAnsi="Times New Roman"/>
          <w:b/>
          <w:sz w:val="24"/>
          <w:szCs w:val="24"/>
        </w:rPr>
      </w:pPr>
    </w:p>
    <w:p w14:paraId="14EBDE90" w14:textId="77777777" w:rsidR="00B26622" w:rsidRDefault="00B26622">
      <w:pPr>
        <w:spacing w:line="360" w:lineRule="auto"/>
        <w:jc w:val="both"/>
        <w:rPr>
          <w:rFonts w:ascii="Times New Roman" w:hAnsi="Times New Roman"/>
          <w:b/>
          <w:sz w:val="24"/>
          <w:szCs w:val="24"/>
        </w:rPr>
      </w:pPr>
    </w:p>
    <w:p w14:paraId="37C5F6EE" w14:textId="77777777" w:rsidR="00B26622" w:rsidRDefault="00B26622">
      <w:pPr>
        <w:spacing w:line="360" w:lineRule="auto"/>
        <w:jc w:val="both"/>
        <w:rPr>
          <w:rFonts w:ascii="Times New Roman" w:hAnsi="Times New Roman"/>
          <w:b/>
          <w:sz w:val="24"/>
          <w:szCs w:val="24"/>
        </w:rPr>
      </w:pPr>
    </w:p>
    <w:p w14:paraId="409EE047" w14:textId="77777777" w:rsidR="00B26622" w:rsidRDefault="00B26622">
      <w:pPr>
        <w:spacing w:line="360" w:lineRule="auto"/>
        <w:jc w:val="both"/>
        <w:rPr>
          <w:rFonts w:ascii="Times New Roman" w:hAnsi="Times New Roman"/>
          <w:b/>
          <w:sz w:val="24"/>
          <w:szCs w:val="24"/>
        </w:rPr>
      </w:pPr>
    </w:p>
    <w:p w14:paraId="2A0ED923" w14:textId="77777777" w:rsidR="00B26622" w:rsidRDefault="00B26622">
      <w:pPr>
        <w:spacing w:line="360" w:lineRule="auto"/>
        <w:jc w:val="both"/>
        <w:rPr>
          <w:rFonts w:ascii="Times New Roman" w:hAnsi="Times New Roman"/>
          <w:b/>
          <w:sz w:val="24"/>
          <w:szCs w:val="24"/>
        </w:rPr>
      </w:pPr>
    </w:p>
    <w:p w14:paraId="16ACE949" w14:textId="77777777" w:rsidR="00B26622" w:rsidRDefault="00B26622">
      <w:pPr>
        <w:spacing w:line="360" w:lineRule="auto"/>
        <w:jc w:val="both"/>
        <w:rPr>
          <w:rFonts w:ascii="Times New Roman" w:hAnsi="Times New Roman"/>
          <w:b/>
          <w:sz w:val="24"/>
          <w:szCs w:val="24"/>
        </w:rPr>
      </w:pPr>
    </w:p>
    <w:p w14:paraId="027E59A2" w14:textId="77777777" w:rsidR="00B26622" w:rsidRDefault="00B26622">
      <w:pPr>
        <w:spacing w:line="360" w:lineRule="auto"/>
        <w:jc w:val="both"/>
        <w:rPr>
          <w:rFonts w:ascii="Times New Roman" w:hAnsi="Times New Roman"/>
          <w:b/>
          <w:sz w:val="24"/>
          <w:szCs w:val="24"/>
        </w:rPr>
      </w:pPr>
    </w:p>
    <w:p w14:paraId="44415399"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Table.6: Effect of </w:t>
      </w:r>
      <w:r>
        <w:rPr>
          <w:rFonts w:ascii="Times New Roman" w:hAnsi="Times New Roman"/>
          <w:b/>
          <w:i/>
          <w:sz w:val="24"/>
          <w:szCs w:val="24"/>
        </w:rPr>
        <w:t xml:space="preserve">ficus platyphylla </w:t>
      </w:r>
      <w:r>
        <w:rPr>
          <w:rFonts w:ascii="Times New Roman" w:hAnsi="Times New Roman"/>
          <w:b/>
          <w:sz w:val="24"/>
          <w:szCs w:val="24"/>
        </w:rPr>
        <w:t>Aqueous Stem Bark and its polyherbal Extract on Ear Wiggling Behavior</w:t>
      </w:r>
    </w:p>
    <w:tbl>
      <w:tblPr>
        <w:tblW w:w="7364"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756"/>
        <w:gridCol w:w="1619"/>
      </w:tblGrid>
      <w:tr w:rsidR="00B26622" w14:paraId="67CD1688" w14:textId="77777777">
        <w:tc>
          <w:tcPr>
            <w:tcW w:w="2989" w:type="dxa"/>
            <w:tcBorders>
              <w:bottom w:val="single" w:sz="4" w:space="0" w:color="auto"/>
            </w:tcBorders>
          </w:tcPr>
          <w:p w14:paraId="1930F3D2"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2756" w:type="dxa"/>
            <w:tcBorders>
              <w:bottom w:val="single" w:sz="4" w:space="0" w:color="auto"/>
            </w:tcBorders>
          </w:tcPr>
          <w:p w14:paraId="0606849A"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Ear Wiggling Behavior</w:t>
            </w:r>
          </w:p>
          <w:p w14:paraId="4319BC18"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1</w:t>
            </w:r>
          </w:p>
        </w:tc>
        <w:tc>
          <w:tcPr>
            <w:tcW w:w="1619" w:type="dxa"/>
            <w:tcBorders>
              <w:bottom w:val="single" w:sz="4" w:space="0" w:color="auto"/>
            </w:tcBorders>
          </w:tcPr>
          <w:p w14:paraId="4D51CEBE" w14:textId="77777777" w:rsidR="00B26622" w:rsidRDefault="00B26622">
            <w:pPr>
              <w:spacing w:line="360" w:lineRule="auto"/>
              <w:jc w:val="both"/>
              <w:rPr>
                <w:rFonts w:ascii="Times New Roman" w:eastAsia="Times New Roman" w:hAnsi="Times New Roman"/>
                <w:sz w:val="24"/>
                <w:szCs w:val="24"/>
              </w:rPr>
            </w:pPr>
          </w:p>
          <w:p w14:paraId="567529B0"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7</w:t>
            </w:r>
          </w:p>
        </w:tc>
      </w:tr>
      <w:tr w:rsidR="00B26622" w14:paraId="716FF592" w14:textId="77777777">
        <w:tc>
          <w:tcPr>
            <w:tcW w:w="2989" w:type="dxa"/>
            <w:tcBorders>
              <w:bottom w:val="nil"/>
            </w:tcBorders>
          </w:tcPr>
          <w:p w14:paraId="41E6583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2756" w:type="dxa"/>
            <w:tcBorders>
              <w:bottom w:val="nil"/>
            </w:tcBorders>
          </w:tcPr>
          <w:p w14:paraId="3CD2222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1.13 ± 0.47</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619" w:type="dxa"/>
            <w:tcBorders>
              <w:bottom w:val="nil"/>
            </w:tcBorders>
          </w:tcPr>
          <w:p w14:paraId="6474D72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2.42 ± 0.63</w:t>
            </w:r>
            <w:r>
              <w:rPr>
                <w:rFonts w:ascii="Times New Roman" w:eastAsia="Times New Roman" w:hAnsi="Times New Roman"/>
                <w:sz w:val="24"/>
                <w:szCs w:val="24"/>
                <w:vertAlign w:val="superscript"/>
              </w:rPr>
              <w:t>a</w:t>
            </w:r>
          </w:p>
        </w:tc>
      </w:tr>
      <w:tr w:rsidR="00B26622" w14:paraId="1C4A29B0" w14:textId="77777777">
        <w:tc>
          <w:tcPr>
            <w:tcW w:w="2989" w:type="dxa"/>
            <w:tcBorders>
              <w:top w:val="nil"/>
              <w:bottom w:val="nil"/>
            </w:tcBorders>
          </w:tcPr>
          <w:p w14:paraId="6F2CD78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Exus ginseng(5.7mg/kg)</w:t>
            </w:r>
          </w:p>
        </w:tc>
        <w:tc>
          <w:tcPr>
            <w:tcW w:w="2756" w:type="dxa"/>
            <w:tcBorders>
              <w:top w:val="nil"/>
              <w:bottom w:val="nil"/>
            </w:tcBorders>
          </w:tcPr>
          <w:p w14:paraId="265528B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2.42 ± </w:t>
            </w:r>
            <w:r>
              <w:rPr>
                <w:rFonts w:ascii="Times New Roman" w:eastAsia="Times New Roman" w:hAnsi="Times New Roman"/>
                <w:sz w:val="24"/>
                <w:szCs w:val="24"/>
              </w:rPr>
              <w:t>0.74</w:t>
            </w:r>
            <w:r>
              <w:rPr>
                <w:rFonts w:ascii="Times New Roman" w:eastAsia="Times New Roman" w:hAnsi="Times New Roman"/>
                <w:sz w:val="24"/>
                <w:szCs w:val="24"/>
                <w:vertAlign w:val="superscript"/>
              </w:rPr>
              <w:t>b</w:t>
            </w:r>
          </w:p>
        </w:tc>
        <w:tc>
          <w:tcPr>
            <w:tcW w:w="1619" w:type="dxa"/>
            <w:tcBorders>
              <w:top w:val="nil"/>
              <w:bottom w:val="nil"/>
            </w:tcBorders>
          </w:tcPr>
          <w:p w14:paraId="2C06CF4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2.42 ± 0.92</w:t>
            </w:r>
            <w:r>
              <w:rPr>
                <w:rFonts w:ascii="Times New Roman" w:eastAsia="Times New Roman" w:hAnsi="Times New Roman"/>
                <w:sz w:val="24"/>
                <w:szCs w:val="24"/>
                <w:vertAlign w:val="superscript"/>
              </w:rPr>
              <w:t>a</w:t>
            </w:r>
          </w:p>
        </w:tc>
      </w:tr>
      <w:tr w:rsidR="00B26622" w14:paraId="3A148965" w14:textId="77777777">
        <w:tc>
          <w:tcPr>
            <w:tcW w:w="2989" w:type="dxa"/>
            <w:tcBorders>
              <w:top w:val="nil"/>
              <w:bottom w:val="nil"/>
            </w:tcBorders>
          </w:tcPr>
          <w:p w14:paraId="642E117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2756" w:type="dxa"/>
            <w:tcBorders>
              <w:top w:val="nil"/>
              <w:bottom w:val="nil"/>
            </w:tcBorders>
          </w:tcPr>
          <w:p w14:paraId="565FE0F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2.75 ± </w:t>
            </w:r>
            <w:r>
              <w:rPr>
                <w:rFonts w:ascii="Times New Roman" w:eastAsia="Times New Roman" w:hAnsi="Times New Roman"/>
                <w:color w:val="000000"/>
                <w:sz w:val="24"/>
                <w:szCs w:val="24"/>
              </w:rPr>
              <w:t>0.88</w:t>
            </w:r>
            <w:r>
              <w:rPr>
                <w:rFonts w:ascii="Times New Roman" w:eastAsia="Times New Roman" w:hAnsi="Times New Roman"/>
                <w:color w:val="000000"/>
                <w:sz w:val="24"/>
                <w:szCs w:val="24"/>
                <w:vertAlign w:val="superscript"/>
              </w:rPr>
              <w:t>b</w:t>
            </w:r>
          </w:p>
        </w:tc>
        <w:tc>
          <w:tcPr>
            <w:tcW w:w="1619" w:type="dxa"/>
            <w:tcBorders>
              <w:top w:val="nil"/>
              <w:bottom w:val="nil"/>
            </w:tcBorders>
          </w:tcPr>
          <w:p w14:paraId="3747019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2.50 ± 0.84</w:t>
            </w:r>
            <w:r>
              <w:rPr>
                <w:rFonts w:ascii="Times New Roman" w:eastAsia="Times New Roman" w:hAnsi="Times New Roman"/>
                <w:sz w:val="24"/>
                <w:szCs w:val="24"/>
                <w:vertAlign w:val="superscript"/>
              </w:rPr>
              <w:t>a</w:t>
            </w:r>
          </w:p>
        </w:tc>
      </w:tr>
      <w:tr w:rsidR="00B26622" w14:paraId="5ED1E06B" w14:textId="77777777">
        <w:tc>
          <w:tcPr>
            <w:tcW w:w="2989" w:type="dxa"/>
            <w:tcBorders>
              <w:top w:val="nil"/>
              <w:bottom w:val="nil"/>
            </w:tcBorders>
          </w:tcPr>
          <w:p w14:paraId="40E7C07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2756" w:type="dxa"/>
            <w:tcBorders>
              <w:top w:val="nil"/>
              <w:bottom w:val="nil"/>
            </w:tcBorders>
          </w:tcPr>
          <w:p w14:paraId="15D011E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2.58 ± 1.20</w:t>
            </w:r>
            <w:r>
              <w:rPr>
                <w:rFonts w:ascii="Times New Roman" w:eastAsia="Times New Roman" w:hAnsi="Times New Roman"/>
                <w:sz w:val="24"/>
                <w:szCs w:val="24"/>
                <w:vertAlign w:val="superscript"/>
              </w:rPr>
              <w:t>c</w:t>
            </w:r>
          </w:p>
        </w:tc>
        <w:tc>
          <w:tcPr>
            <w:tcW w:w="1619" w:type="dxa"/>
            <w:tcBorders>
              <w:top w:val="nil"/>
              <w:bottom w:val="nil"/>
            </w:tcBorders>
          </w:tcPr>
          <w:p w14:paraId="6A4B1E2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2.29 ± 0.61</w:t>
            </w:r>
            <w:r>
              <w:rPr>
                <w:rFonts w:ascii="Times New Roman" w:eastAsia="Times New Roman" w:hAnsi="Times New Roman"/>
                <w:sz w:val="24"/>
                <w:szCs w:val="24"/>
                <w:vertAlign w:val="superscript"/>
              </w:rPr>
              <w:t>b</w:t>
            </w:r>
          </w:p>
        </w:tc>
      </w:tr>
      <w:tr w:rsidR="00B26622" w14:paraId="22D090A4" w14:textId="77777777">
        <w:tc>
          <w:tcPr>
            <w:tcW w:w="2989" w:type="dxa"/>
            <w:tcBorders>
              <w:top w:val="nil"/>
              <w:bottom w:val="nil"/>
            </w:tcBorders>
          </w:tcPr>
          <w:p w14:paraId="349B3F90"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2756" w:type="dxa"/>
            <w:tcBorders>
              <w:top w:val="nil"/>
              <w:bottom w:val="nil"/>
            </w:tcBorders>
          </w:tcPr>
          <w:p w14:paraId="42E2573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3.33 ± 0.27</w:t>
            </w:r>
            <w:r>
              <w:rPr>
                <w:rFonts w:ascii="Times New Roman" w:eastAsia="Times New Roman" w:hAnsi="Times New Roman"/>
                <w:sz w:val="24"/>
                <w:szCs w:val="24"/>
                <w:vertAlign w:val="superscript"/>
              </w:rPr>
              <w:t>ab</w:t>
            </w:r>
            <w:r>
              <w:rPr>
                <w:rFonts w:ascii="Times New Roman" w:eastAsia="Times New Roman" w:hAnsi="Times New Roman"/>
                <w:sz w:val="24"/>
                <w:szCs w:val="24"/>
              </w:rPr>
              <w:t xml:space="preserve"> </w:t>
            </w:r>
          </w:p>
        </w:tc>
        <w:tc>
          <w:tcPr>
            <w:tcW w:w="1619" w:type="dxa"/>
            <w:tcBorders>
              <w:top w:val="nil"/>
              <w:bottom w:val="nil"/>
            </w:tcBorders>
          </w:tcPr>
          <w:p w14:paraId="0038EC5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2.42 ± 1.13</w:t>
            </w:r>
            <w:r>
              <w:rPr>
                <w:rFonts w:ascii="Times New Roman" w:eastAsia="Times New Roman" w:hAnsi="Times New Roman"/>
                <w:sz w:val="24"/>
                <w:szCs w:val="24"/>
                <w:vertAlign w:val="superscript"/>
              </w:rPr>
              <w:t>a</w:t>
            </w:r>
          </w:p>
        </w:tc>
      </w:tr>
      <w:tr w:rsidR="00B26622" w14:paraId="797FDC92" w14:textId="77777777">
        <w:tc>
          <w:tcPr>
            <w:tcW w:w="2989" w:type="dxa"/>
            <w:tcBorders>
              <w:top w:val="nil"/>
              <w:bottom w:val="nil"/>
            </w:tcBorders>
          </w:tcPr>
          <w:p w14:paraId="3649A9C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2756" w:type="dxa"/>
            <w:tcBorders>
              <w:top w:val="nil"/>
              <w:bottom w:val="nil"/>
            </w:tcBorders>
          </w:tcPr>
          <w:p w14:paraId="430373D0"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2.67 ± 0.90</w:t>
            </w:r>
            <w:r>
              <w:rPr>
                <w:rFonts w:ascii="Times New Roman" w:eastAsia="Times New Roman" w:hAnsi="Times New Roman"/>
                <w:sz w:val="24"/>
                <w:szCs w:val="24"/>
                <w:vertAlign w:val="superscript"/>
              </w:rPr>
              <w:t>b</w:t>
            </w:r>
          </w:p>
        </w:tc>
        <w:tc>
          <w:tcPr>
            <w:tcW w:w="1619" w:type="dxa"/>
            <w:tcBorders>
              <w:top w:val="nil"/>
              <w:bottom w:val="nil"/>
            </w:tcBorders>
          </w:tcPr>
          <w:p w14:paraId="767ECCB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2.83 ± 0.58</w:t>
            </w:r>
            <w:r>
              <w:rPr>
                <w:rFonts w:ascii="Times New Roman" w:eastAsia="Times New Roman" w:hAnsi="Times New Roman"/>
                <w:sz w:val="24"/>
                <w:szCs w:val="24"/>
                <w:vertAlign w:val="superscript"/>
              </w:rPr>
              <w:t>ab</w:t>
            </w:r>
          </w:p>
        </w:tc>
      </w:tr>
      <w:tr w:rsidR="00B26622" w14:paraId="5A54EA48" w14:textId="77777777">
        <w:tc>
          <w:tcPr>
            <w:tcW w:w="2989" w:type="dxa"/>
            <w:tcBorders>
              <w:top w:val="nil"/>
              <w:bottom w:val="nil"/>
            </w:tcBorders>
          </w:tcPr>
          <w:p w14:paraId="393DBC7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2756" w:type="dxa"/>
            <w:tcBorders>
              <w:top w:val="nil"/>
              <w:bottom w:val="nil"/>
            </w:tcBorders>
          </w:tcPr>
          <w:p w14:paraId="1073B23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2.00</w:t>
            </w:r>
            <w:r>
              <w:rPr>
                <w:rFonts w:ascii="Times New Roman" w:eastAsia="Times New Roman" w:hAnsi="Times New Roman"/>
                <w:sz w:val="24"/>
                <w:szCs w:val="24"/>
              </w:rPr>
              <w:t xml:space="preserve"> ± 0.54</w:t>
            </w:r>
            <w:r>
              <w:rPr>
                <w:rFonts w:ascii="Times New Roman" w:eastAsia="Times New Roman" w:hAnsi="Times New Roman"/>
                <w:sz w:val="24"/>
                <w:szCs w:val="24"/>
                <w:vertAlign w:val="superscript"/>
              </w:rPr>
              <w:t>bc</w:t>
            </w:r>
          </w:p>
        </w:tc>
        <w:tc>
          <w:tcPr>
            <w:tcW w:w="1619" w:type="dxa"/>
            <w:tcBorders>
              <w:top w:val="nil"/>
              <w:bottom w:val="nil"/>
            </w:tcBorders>
          </w:tcPr>
          <w:p w14:paraId="4189B0E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1.92 ± 0.83</w:t>
            </w:r>
            <w:r>
              <w:rPr>
                <w:rFonts w:ascii="Times New Roman" w:eastAsia="Times New Roman" w:hAnsi="Times New Roman"/>
                <w:sz w:val="24"/>
                <w:szCs w:val="24"/>
                <w:vertAlign w:val="superscript"/>
              </w:rPr>
              <w:t>bc</w:t>
            </w:r>
          </w:p>
        </w:tc>
      </w:tr>
      <w:tr w:rsidR="00B26622" w14:paraId="78B596DE" w14:textId="77777777">
        <w:tc>
          <w:tcPr>
            <w:tcW w:w="2989" w:type="dxa"/>
            <w:tcBorders>
              <w:top w:val="nil"/>
            </w:tcBorders>
          </w:tcPr>
          <w:p w14:paraId="06ACADDE"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2756" w:type="dxa"/>
            <w:tcBorders>
              <w:top w:val="nil"/>
            </w:tcBorders>
          </w:tcPr>
          <w:p w14:paraId="2996CBB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3.00 ± 0.82</w:t>
            </w:r>
            <w:r>
              <w:rPr>
                <w:rFonts w:ascii="Times New Roman" w:eastAsia="Times New Roman" w:hAnsi="Times New Roman"/>
                <w:sz w:val="24"/>
                <w:szCs w:val="24"/>
                <w:vertAlign w:val="superscript"/>
              </w:rPr>
              <w:t>ab</w:t>
            </w:r>
          </w:p>
        </w:tc>
        <w:tc>
          <w:tcPr>
            <w:tcW w:w="1619" w:type="dxa"/>
            <w:tcBorders>
              <w:top w:val="nil"/>
            </w:tcBorders>
          </w:tcPr>
          <w:p w14:paraId="1912939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2.08 ± 1.03</w:t>
            </w:r>
            <w:r>
              <w:rPr>
                <w:rFonts w:ascii="Times New Roman" w:eastAsia="Times New Roman" w:hAnsi="Times New Roman"/>
                <w:sz w:val="24"/>
                <w:szCs w:val="24"/>
                <w:vertAlign w:val="superscript"/>
              </w:rPr>
              <w:t>e</w:t>
            </w:r>
          </w:p>
        </w:tc>
      </w:tr>
    </w:tbl>
    <w:p w14:paraId="6969C2A0"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Values are presented as mean ± standard error of mean (n=4). Value with different superscript in each column was significant different at P&lt;0.05</w:t>
      </w:r>
    </w:p>
    <w:p w14:paraId="195C5742" w14:textId="77777777" w:rsidR="00B26622" w:rsidRDefault="00B26622">
      <w:pPr>
        <w:spacing w:line="360" w:lineRule="auto"/>
        <w:jc w:val="both"/>
        <w:rPr>
          <w:rFonts w:ascii="Times New Roman" w:hAnsi="Times New Roman"/>
          <w:b/>
          <w:sz w:val="24"/>
          <w:szCs w:val="24"/>
        </w:rPr>
      </w:pPr>
    </w:p>
    <w:p w14:paraId="068C3E5F" w14:textId="77777777" w:rsidR="00B26622" w:rsidRDefault="00B26622">
      <w:pPr>
        <w:spacing w:line="360" w:lineRule="auto"/>
        <w:jc w:val="both"/>
        <w:rPr>
          <w:rFonts w:ascii="Times New Roman" w:hAnsi="Times New Roman"/>
          <w:b/>
          <w:sz w:val="24"/>
          <w:szCs w:val="24"/>
        </w:rPr>
      </w:pPr>
    </w:p>
    <w:p w14:paraId="4D416940" w14:textId="77777777" w:rsidR="00B26622" w:rsidRDefault="00B26622">
      <w:pPr>
        <w:spacing w:line="360" w:lineRule="auto"/>
        <w:jc w:val="both"/>
        <w:rPr>
          <w:rFonts w:ascii="Times New Roman" w:hAnsi="Times New Roman"/>
          <w:b/>
          <w:sz w:val="24"/>
          <w:szCs w:val="24"/>
        </w:rPr>
      </w:pPr>
    </w:p>
    <w:p w14:paraId="616F9291" w14:textId="77777777" w:rsidR="00B26622" w:rsidRDefault="00B26622">
      <w:pPr>
        <w:spacing w:line="360" w:lineRule="auto"/>
        <w:jc w:val="both"/>
        <w:rPr>
          <w:rFonts w:ascii="Times New Roman" w:hAnsi="Times New Roman"/>
          <w:b/>
          <w:sz w:val="24"/>
          <w:szCs w:val="24"/>
        </w:rPr>
      </w:pPr>
    </w:p>
    <w:p w14:paraId="1056A81C" w14:textId="77777777" w:rsidR="00B26622" w:rsidRDefault="00B26622">
      <w:pPr>
        <w:spacing w:line="360" w:lineRule="auto"/>
        <w:jc w:val="both"/>
        <w:rPr>
          <w:rFonts w:ascii="Times New Roman" w:hAnsi="Times New Roman"/>
          <w:b/>
          <w:sz w:val="24"/>
          <w:szCs w:val="24"/>
        </w:rPr>
      </w:pPr>
    </w:p>
    <w:p w14:paraId="677BEF12" w14:textId="77777777" w:rsidR="00B26622" w:rsidRDefault="00B26622">
      <w:pPr>
        <w:spacing w:line="360" w:lineRule="auto"/>
        <w:jc w:val="both"/>
        <w:rPr>
          <w:rFonts w:ascii="Times New Roman" w:hAnsi="Times New Roman"/>
          <w:b/>
          <w:sz w:val="24"/>
          <w:szCs w:val="24"/>
        </w:rPr>
      </w:pPr>
    </w:p>
    <w:p w14:paraId="188F6886" w14:textId="77777777" w:rsidR="00B26622" w:rsidRDefault="00B26622">
      <w:pPr>
        <w:spacing w:line="360" w:lineRule="auto"/>
        <w:jc w:val="both"/>
        <w:rPr>
          <w:rFonts w:ascii="Times New Roman" w:hAnsi="Times New Roman"/>
          <w:b/>
          <w:sz w:val="24"/>
          <w:szCs w:val="24"/>
        </w:rPr>
      </w:pPr>
    </w:p>
    <w:p w14:paraId="50A98E22"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Table.7: Effect of </w:t>
      </w:r>
      <w:r>
        <w:rPr>
          <w:rFonts w:ascii="Times New Roman" w:hAnsi="Times New Roman"/>
          <w:b/>
          <w:i/>
          <w:sz w:val="24"/>
          <w:szCs w:val="24"/>
        </w:rPr>
        <w:t xml:space="preserve">ficus </w:t>
      </w:r>
      <w:r>
        <w:rPr>
          <w:rFonts w:ascii="Times New Roman" w:hAnsi="Times New Roman"/>
          <w:b/>
          <w:i/>
          <w:sz w:val="24"/>
          <w:szCs w:val="24"/>
        </w:rPr>
        <w:t xml:space="preserve">platyphylla </w:t>
      </w:r>
      <w:r>
        <w:rPr>
          <w:rFonts w:ascii="Times New Roman" w:hAnsi="Times New Roman"/>
          <w:b/>
          <w:sz w:val="24"/>
          <w:szCs w:val="24"/>
        </w:rPr>
        <w:t>Aqueous Stem Bark and its polyherbal Extract on Lordosis Behavior</w:t>
      </w:r>
    </w:p>
    <w:tbl>
      <w:tblPr>
        <w:tblW w:w="7364" w:type="dxa"/>
        <w:tblBorders>
          <w:top w:val="single" w:sz="4" w:space="0" w:color="auto"/>
          <w:bottom w:val="single" w:sz="4" w:space="0" w:color="auto"/>
          <w:insideH w:val="single" w:sz="4" w:space="0" w:color="auto"/>
        </w:tblBorders>
        <w:tblLook w:val="04A0" w:firstRow="1" w:lastRow="0" w:firstColumn="1" w:lastColumn="0" w:noHBand="0" w:noVBand="1"/>
      </w:tblPr>
      <w:tblGrid>
        <w:gridCol w:w="2989"/>
        <w:gridCol w:w="2756"/>
        <w:gridCol w:w="1619"/>
      </w:tblGrid>
      <w:tr w:rsidR="00B26622" w14:paraId="1B1A57FC" w14:textId="77777777">
        <w:tc>
          <w:tcPr>
            <w:tcW w:w="2989" w:type="dxa"/>
            <w:tcBorders>
              <w:bottom w:val="single" w:sz="4" w:space="0" w:color="auto"/>
            </w:tcBorders>
          </w:tcPr>
          <w:p w14:paraId="13BE83B3"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Groups</w:t>
            </w:r>
          </w:p>
        </w:tc>
        <w:tc>
          <w:tcPr>
            <w:tcW w:w="2756" w:type="dxa"/>
            <w:tcBorders>
              <w:bottom w:val="single" w:sz="4" w:space="0" w:color="auto"/>
            </w:tcBorders>
          </w:tcPr>
          <w:p w14:paraId="0ECF193C"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Lordosis Behavior</w:t>
            </w:r>
          </w:p>
          <w:p w14:paraId="3A07D6E8"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1</w:t>
            </w:r>
          </w:p>
        </w:tc>
        <w:tc>
          <w:tcPr>
            <w:tcW w:w="1619" w:type="dxa"/>
            <w:tcBorders>
              <w:bottom w:val="single" w:sz="4" w:space="0" w:color="auto"/>
            </w:tcBorders>
          </w:tcPr>
          <w:p w14:paraId="59CC6064" w14:textId="77777777" w:rsidR="00B26622" w:rsidRDefault="00B26622">
            <w:pPr>
              <w:spacing w:line="360" w:lineRule="auto"/>
              <w:jc w:val="both"/>
              <w:rPr>
                <w:rFonts w:ascii="Times New Roman" w:eastAsia="Times New Roman" w:hAnsi="Times New Roman"/>
                <w:sz w:val="24"/>
                <w:szCs w:val="24"/>
              </w:rPr>
            </w:pPr>
          </w:p>
          <w:p w14:paraId="109ABB91"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Day 7</w:t>
            </w:r>
          </w:p>
        </w:tc>
      </w:tr>
      <w:tr w:rsidR="00B26622" w14:paraId="735B0013" w14:textId="77777777">
        <w:tc>
          <w:tcPr>
            <w:tcW w:w="2989" w:type="dxa"/>
            <w:tcBorders>
              <w:bottom w:val="nil"/>
            </w:tcBorders>
          </w:tcPr>
          <w:p w14:paraId="5CAE1BC3"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2756" w:type="dxa"/>
            <w:tcBorders>
              <w:bottom w:val="nil"/>
            </w:tcBorders>
          </w:tcPr>
          <w:p w14:paraId="1E6BF10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619" w:type="dxa"/>
            <w:tcBorders>
              <w:bottom w:val="nil"/>
            </w:tcBorders>
          </w:tcPr>
          <w:p w14:paraId="2E0AE75F"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3103BBCB" w14:textId="77777777">
        <w:tc>
          <w:tcPr>
            <w:tcW w:w="2989" w:type="dxa"/>
            <w:tcBorders>
              <w:top w:val="nil"/>
              <w:bottom w:val="nil"/>
            </w:tcBorders>
          </w:tcPr>
          <w:p w14:paraId="051ECD92"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Exus ginseng(5.7mg/kg)</w:t>
            </w:r>
          </w:p>
        </w:tc>
        <w:tc>
          <w:tcPr>
            <w:tcW w:w="2756" w:type="dxa"/>
            <w:tcBorders>
              <w:top w:val="nil"/>
              <w:bottom w:val="nil"/>
            </w:tcBorders>
          </w:tcPr>
          <w:p w14:paraId="09C1067A"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619" w:type="dxa"/>
            <w:tcBorders>
              <w:top w:val="nil"/>
              <w:bottom w:val="nil"/>
            </w:tcBorders>
          </w:tcPr>
          <w:p w14:paraId="4D221EC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0.42 ± 0.50</w:t>
            </w:r>
            <w:r>
              <w:rPr>
                <w:rFonts w:ascii="Times New Roman" w:eastAsia="Times New Roman" w:hAnsi="Times New Roman"/>
                <w:sz w:val="24"/>
                <w:szCs w:val="24"/>
                <w:vertAlign w:val="superscript"/>
              </w:rPr>
              <w:t>ab</w:t>
            </w:r>
          </w:p>
        </w:tc>
      </w:tr>
      <w:tr w:rsidR="00B26622" w14:paraId="7EA0EB7C" w14:textId="77777777">
        <w:tc>
          <w:tcPr>
            <w:tcW w:w="2989" w:type="dxa"/>
            <w:tcBorders>
              <w:top w:val="nil"/>
              <w:bottom w:val="nil"/>
            </w:tcBorders>
          </w:tcPr>
          <w:p w14:paraId="77482C1D"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lastRenderedPageBreak/>
              <w:t>FicusPlatyphylla</w:t>
            </w:r>
            <w:r>
              <w:rPr>
                <w:rFonts w:ascii="Times New Roman" w:eastAsia="Times New Roman" w:hAnsi="Times New Roman"/>
                <w:sz w:val="24"/>
                <w:szCs w:val="24"/>
              </w:rPr>
              <w:t>(25mg/kg)</w:t>
            </w:r>
          </w:p>
        </w:tc>
        <w:tc>
          <w:tcPr>
            <w:tcW w:w="2756" w:type="dxa"/>
            <w:tcBorders>
              <w:top w:val="nil"/>
              <w:bottom w:val="nil"/>
            </w:tcBorders>
          </w:tcPr>
          <w:p w14:paraId="26D15EC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 xml:space="preserve">0.08 ± </w:t>
            </w:r>
            <w:r>
              <w:rPr>
                <w:rFonts w:ascii="Times New Roman" w:eastAsia="Times New Roman" w:hAnsi="Times New Roman"/>
                <w:color w:val="000000"/>
                <w:sz w:val="24"/>
                <w:szCs w:val="24"/>
              </w:rPr>
              <w:t>0.17</w:t>
            </w:r>
            <w:r>
              <w:rPr>
                <w:rFonts w:ascii="Times New Roman" w:eastAsia="Times New Roman" w:hAnsi="Times New Roman"/>
                <w:color w:val="000000"/>
                <w:sz w:val="24"/>
                <w:szCs w:val="24"/>
                <w:vertAlign w:val="superscript"/>
              </w:rPr>
              <w:t>b</w:t>
            </w:r>
          </w:p>
        </w:tc>
        <w:tc>
          <w:tcPr>
            <w:tcW w:w="1619" w:type="dxa"/>
            <w:tcBorders>
              <w:top w:val="nil"/>
              <w:bottom w:val="nil"/>
            </w:tcBorders>
          </w:tcPr>
          <w:p w14:paraId="492DD71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50DB0011" w14:textId="77777777">
        <w:tc>
          <w:tcPr>
            <w:tcW w:w="2989" w:type="dxa"/>
            <w:tcBorders>
              <w:top w:val="nil"/>
              <w:bottom w:val="nil"/>
            </w:tcBorders>
          </w:tcPr>
          <w:p w14:paraId="7E76F059"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(50mg/kg)</w:t>
            </w:r>
          </w:p>
        </w:tc>
        <w:tc>
          <w:tcPr>
            <w:tcW w:w="2756" w:type="dxa"/>
            <w:tcBorders>
              <w:top w:val="nil"/>
              <w:bottom w:val="nil"/>
            </w:tcBorders>
          </w:tcPr>
          <w:p w14:paraId="33EF93B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619" w:type="dxa"/>
            <w:tcBorders>
              <w:top w:val="nil"/>
              <w:bottom w:val="nil"/>
            </w:tcBorders>
          </w:tcPr>
          <w:p w14:paraId="0902F0C2"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535DD9B7" w14:textId="77777777">
        <w:tc>
          <w:tcPr>
            <w:tcW w:w="2989" w:type="dxa"/>
            <w:tcBorders>
              <w:top w:val="nil"/>
              <w:bottom w:val="nil"/>
            </w:tcBorders>
          </w:tcPr>
          <w:p w14:paraId="7C9E71D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2756" w:type="dxa"/>
            <w:tcBorders>
              <w:top w:val="nil"/>
              <w:bottom w:val="nil"/>
            </w:tcBorders>
          </w:tcPr>
          <w:p w14:paraId="6582A4B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c>
          <w:tcPr>
            <w:tcW w:w="1619" w:type="dxa"/>
            <w:tcBorders>
              <w:top w:val="nil"/>
              <w:bottom w:val="nil"/>
            </w:tcBorders>
          </w:tcPr>
          <w:p w14:paraId="5FF4F4B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6E168195" w14:textId="77777777">
        <w:tc>
          <w:tcPr>
            <w:tcW w:w="2989" w:type="dxa"/>
            <w:tcBorders>
              <w:top w:val="nil"/>
              <w:bottom w:val="nil"/>
            </w:tcBorders>
          </w:tcPr>
          <w:p w14:paraId="52762044"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2756" w:type="dxa"/>
            <w:tcBorders>
              <w:top w:val="nil"/>
              <w:bottom w:val="nil"/>
            </w:tcBorders>
          </w:tcPr>
          <w:p w14:paraId="18C0A1E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0.17 ± 0.33</w:t>
            </w:r>
            <w:r>
              <w:rPr>
                <w:rFonts w:ascii="Times New Roman" w:eastAsia="Times New Roman" w:hAnsi="Times New Roman"/>
                <w:sz w:val="24"/>
                <w:szCs w:val="24"/>
                <w:vertAlign w:val="superscript"/>
              </w:rPr>
              <w:t>c</w:t>
            </w:r>
          </w:p>
        </w:tc>
        <w:tc>
          <w:tcPr>
            <w:tcW w:w="1619" w:type="dxa"/>
            <w:tcBorders>
              <w:top w:val="nil"/>
              <w:bottom w:val="nil"/>
            </w:tcBorders>
          </w:tcPr>
          <w:p w14:paraId="3110D70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236297E5" w14:textId="77777777">
        <w:tc>
          <w:tcPr>
            <w:tcW w:w="2989" w:type="dxa"/>
            <w:tcBorders>
              <w:top w:val="nil"/>
              <w:bottom w:val="nil"/>
            </w:tcBorders>
          </w:tcPr>
          <w:p w14:paraId="707620F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2756" w:type="dxa"/>
            <w:tcBorders>
              <w:top w:val="nil"/>
              <w:bottom w:val="nil"/>
            </w:tcBorders>
          </w:tcPr>
          <w:p w14:paraId="7EDCB7D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0.17</w:t>
            </w:r>
            <w:r>
              <w:rPr>
                <w:rFonts w:ascii="Times New Roman" w:eastAsia="Times New Roman" w:hAnsi="Times New Roman"/>
                <w:sz w:val="24"/>
                <w:szCs w:val="24"/>
                <w:vertAlign w:val="superscript"/>
              </w:rPr>
              <w:t>b</w:t>
            </w:r>
          </w:p>
        </w:tc>
        <w:tc>
          <w:tcPr>
            <w:tcW w:w="1619" w:type="dxa"/>
            <w:tcBorders>
              <w:top w:val="nil"/>
              <w:bottom w:val="nil"/>
            </w:tcBorders>
          </w:tcPr>
          <w:p w14:paraId="7484BD6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r>
      <w:tr w:rsidR="00B26622" w14:paraId="366A5DC7" w14:textId="77777777">
        <w:tc>
          <w:tcPr>
            <w:tcW w:w="2989" w:type="dxa"/>
            <w:tcBorders>
              <w:top w:val="nil"/>
            </w:tcBorders>
          </w:tcPr>
          <w:p w14:paraId="1869FBB1"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2756" w:type="dxa"/>
            <w:tcBorders>
              <w:top w:val="nil"/>
            </w:tcBorders>
          </w:tcPr>
          <w:p w14:paraId="34E9846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r>
              <w:rPr>
                <w:rFonts w:ascii="Times New Roman" w:eastAsia="Times New Roman" w:hAnsi="Times New Roman"/>
                <w:sz w:val="24"/>
                <w:szCs w:val="24"/>
                <w:vertAlign w:val="superscript"/>
              </w:rPr>
              <w:t>a</w:t>
            </w:r>
          </w:p>
        </w:tc>
        <w:tc>
          <w:tcPr>
            <w:tcW w:w="1619" w:type="dxa"/>
            <w:tcBorders>
              <w:top w:val="nil"/>
            </w:tcBorders>
          </w:tcPr>
          <w:p w14:paraId="7D8A1C3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0.00 ± 0.00</w:t>
            </w:r>
          </w:p>
        </w:tc>
      </w:tr>
    </w:tbl>
    <w:p w14:paraId="299C5A76"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Values are presented as mean ± standard error of mean (n=4). Value with different superscript in each column was significant different at P&lt;0.05</w:t>
      </w:r>
    </w:p>
    <w:p w14:paraId="6E471910"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3.3 Effects of </w:t>
      </w:r>
      <w:r>
        <w:rPr>
          <w:rFonts w:ascii="Times New Roman" w:hAnsi="Times New Roman"/>
          <w:b/>
          <w:i/>
          <w:sz w:val="24"/>
          <w:szCs w:val="24"/>
        </w:rPr>
        <w:t>Ficus platyphylla</w:t>
      </w:r>
      <w:r>
        <w:rPr>
          <w:rFonts w:ascii="Times New Roman" w:hAnsi="Times New Roman"/>
          <w:b/>
          <w:sz w:val="24"/>
          <w:szCs w:val="24"/>
        </w:rPr>
        <w:t xml:space="preserve"> stem bark aqueous extract and its polyherbal formulation on reproductive hormone</w:t>
      </w:r>
    </w:p>
    <w:p w14:paraId="38995D7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The effects of </w:t>
      </w:r>
      <w:r>
        <w:rPr>
          <w:rFonts w:ascii="Times New Roman" w:hAnsi="Times New Roman"/>
          <w:i/>
          <w:sz w:val="24"/>
          <w:szCs w:val="24"/>
        </w:rPr>
        <w:t>Ficus platyphylla</w:t>
      </w:r>
      <w:r>
        <w:rPr>
          <w:rFonts w:ascii="Times New Roman" w:hAnsi="Times New Roman"/>
          <w:sz w:val="24"/>
          <w:szCs w:val="24"/>
        </w:rPr>
        <w:t xml:space="preserve"> stem bark aqueous extract and its polyherbal formulation on reproductive hormone levels are shown in Table.8. At 25 mg/kg, the polyherbal extract significantly (P&lt;0.05) elevated serum estrogen, follicle-stimulating hormone (FSH), and progesterone levels c</w:t>
      </w:r>
      <w:r>
        <w:rPr>
          <w:rFonts w:ascii="Times New Roman" w:hAnsi="Times New Roman"/>
          <w:sz w:val="24"/>
          <w:szCs w:val="24"/>
        </w:rPr>
        <w:t>ompared to control groups. In contrast, testosterone levels decreased significantly (P&lt;0.05) at 50 mg/kg polyherbal extract relative to controls [23].</w:t>
      </w:r>
    </w:p>
    <w:p w14:paraId="6EA48D27" w14:textId="77777777" w:rsidR="00B26622" w:rsidRDefault="00B26622">
      <w:pPr>
        <w:spacing w:line="360" w:lineRule="auto"/>
        <w:jc w:val="both"/>
        <w:rPr>
          <w:rFonts w:ascii="Times New Roman" w:hAnsi="Times New Roman"/>
          <w:b/>
          <w:sz w:val="24"/>
          <w:szCs w:val="24"/>
        </w:rPr>
      </w:pPr>
    </w:p>
    <w:p w14:paraId="39C7FDF7" w14:textId="77777777" w:rsidR="00B26622" w:rsidRDefault="00B26622">
      <w:pPr>
        <w:spacing w:line="360" w:lineRule="auto"/>
        <w:jc w:val="both"/>
        <w:rPr>
          <w:rFonts w:ascii="Times New Roman" w:hAnsi="Times New Roman"/>
          <w:b/>
          <w:sz w:val="24"/>
          <w:szCs w:val="24"/>
        </w:rPr>
      </w:pPr>
    </w:p>
    <w:p w14:paraId="4866BCAE"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Table.8: Effect of </w:t>
      </w:r>
      <w:r>
        <w:rPr>
          <w:rFonts w:ascii="Times New Roman" w:hAnsi="Times New Roman"/>
          <w:b/>
          <w:i/>
          <w:sz w:val="24"/>
          <w:szCs w:val="24"/>
        </w:rPr>
        <w:t xml:space="preserve">ficus platyphylla </w:t>
      </w:r>
      <w:r>
        <w:rPr>
          <w:rFonts w:ascii="Times New Roman" w:hAnsi="Times New Roman"/>
          <w:b/>
          <w:sz w:val="24"/>
          <w:szCs w:val="24"/>
        </w:rPr>
        <w:t>Aqueous Stem Bark and its polyherbal Extract on Hormones</w:t>
      </w:r>
    </w:p>
    <w:tbl>
      <w:tblPr>
        <w:tblW w:w="9586" w:type="dxa"/>
        <w:tblBorders>
          <w:top w:val="single" w:sz="4" w:space="0" w:color="auto"/>
          <w:bottom w:val="single" w:sz="4" w:space="0" w:color="auto"/>
        </w:tblBorders>
        <w:tblLook w:val="04A0" w:firstRow="1" w:lastRow="0" w:firstColumn="1" w:lastColumn="0" w:noHBand="0" w:noVBand="1"/>
      </w:tblPr>
      <w:tblGrid>
        <w:gridCol w:w="2963"/>
        <w:gridCol w:w="1694"/>
        <w:gridCol w:w="1643"/>
        <w:gridCol w:w="1643"/>
        <w:gridCol w:w="1643"/>
      </w:tblGrid>
      <w:tr w:rsidR="00B26622" w14:paraId="4A59F844" w14:textId="77777777">
        <w:tc>
          <w:tcPr>
            <w:tcW w:w="2963" w:type="dxa"/>
            <w:tcBorders>
              <w:top w:val="single" w:sz="4" w:space="0" w:color="auto"/>
              <w:bottom w:val="single" w:sz="4" w:space="0" w:color="auto"/>
            </w:tcBorders>
          </w:tcPr>
          <w:p w14:paraId="286131C9"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Doses</w:t>
            </w:r>
          </w:p>
        </w:tc>
        <w:tc>
          <w:tcPr>
            <w:tcW w:w="1694" w:type="dxa"/>
            <w:tcBorders>
              <w:top w:val="single" w:sz="4" w:space="0" w:color="auto"/>
              <w:bottom w:val="single" w:sz="4" w:space="0" w:color="auto"/>
            </w:tcBorders>
          </w:tcPr>
          <w:p w14:paraId="33BFA5F1"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FSH</w:t>
            </w:r>
            <w:r>
              <w:rPr>
                <w:rFonts w:ascii="Times New Roman" w:eastAsia="Times New Roman" w:hAnsi="Times New Roman"/>
                <w:b/>
                <w:sz w:val="24"/>
                <w:szCs w:val="24"/>
              </w:rPr>
              <w:t xml:space="preserve"> (mlU/mL)</w:t>
            </w:r>
          </w:p>
        </w:tc>
        <w:tc>
          <w:tcPr>
            <w:tcW w:w="1643" w:type="dxa"/>
            <w:tcBorders>
              <w:top w:val="single" w:sz="4" w:space="0" w:color="auto"/>
              <w:bottom w:val="single" w:sz="4" w:space="0" w:color="auto"/>
            </w:tcBorders>
          </w:tcPr>
          <w:p w14:paraId="5A4DD1AF"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E (pg/mL)</w:t>
            </w:r>
          </w:p>
        </w:tc>
        <w:tc>
          <w:tcPr>
            <w:tcW w:w="1643" w:type="dxa"/>
            <w:tcBorders>
              <w:top w:val="single" w:sz="4" w:space="0" w:color="auto"/>
              <w:bottom w:val="single" w:sz="4" w:space="0" w:color="auto"/>
            </w:tcBorders>
          </w:tcPr>
          <w:p w14:paraId="76721D2F"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P (ng/mL)</w:t>
            </w:r>
          </w:p>
        </w:tc>
        <w:tc>
          <w:tcPr>
            <w:tcW w:w="1643" w:type="dxa"/>
            <w:tcBorders>
              <w:top w:val="single" w:sz="4" w:space="0" w:color="auto"/>
              <w:bottom w:val="single" w:sz="4" w:space="0" w:color="auto"/>
            </w:tcBorders>
          </w:tcPr>
          <w:p w14:paraId="12D68286" w14:textId="77777777" w:rsidR="00B26622" w:rsidRDefault="004E16E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T (ng/mL)</w:t>
            </w:r>
          </w:p>
        </w:tc>
      </w:tr>
      <w:tr w:rsidR="00B26622" w14:paraId="1BBEF9F8" w14:textId="77777777">
        <w:tc>
          <w:tcPr>
            <w:tcW w:w="2963" w:type="dxa"/>
            <w:tcBorders>
              <w:top w:val="single" w:sz="4" w:space="0" w:color="auto"/>
            </w:tcBorders>
          </w:tcPr>
          <w:p w14:paraId="78961B4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Normal control</w:t>
            </w:r>
          </w:p>
        </w:tc>
        <w:tc>
          <w:tcPr>
            <w:tcW w:w="1694" w:type="dxa"/>
            <w:tcBorders>
              <w:top w:val="single" w:sz="4" w:space="0" w:color="auto"/>
            </w:tcBorders>
          </w:tcPr>
          <w:p w14:paraId="31A12CB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2.35 ± 0.21</w:t>
            </w:r>
            <w:r>
              <w:rPr>
                <w:rFonts w:ascii="Times New Roman" w:eastAsia="Times New Roman" w:hAnsi="Times New Roman"/>
                <w:sz w:val="24"/>
                <w:szCs w:val="24"/>
                <w:vertAlign w:val="superscript"/>
              </w:rPr>
              <w:t>a</w:t>
            </w:r>
          </w:p>
        </w:tc>
        <w:tc>
          <w:tcPr>
            <w:tcW w:w="1643" w:type="dxa"/>
            <w:tcBorders>
              <w:top w:val="single" w:sz="4" w:space="0" w:color="auto"/>
            </w:tcBorders>
          </w:tcPr>
          <w:p w14:paraId="0F3D2BB2" w14:textId="77777777" w:rsidR="00B26622" w:rsidRDefault="004E16E5">
            <w:pPr>
              <w:spacing w:line="360" w:lineRule="auto"/>
              <w:jc w:val="both"/>
              <w:rPr>
                <w:rFonts w:ascii="Times New Roman" w:eastAsia="Times New Roman" w:hAnsi="Times New Roman"/>
                <w:color w:val="000000"/>
                <w:sz w:val="24"/>
                <w:szCs w:val="24"/>
                <w:vertAlign w:val="superscript"/>
              </w:rPr>
            </w:pPr>
            <w:r>
              <w:rPr>
                <w:rFonts w:ascii="Times New Roman" w:eastAsia="Times New Roman" w:hAnsi="Times New Roman"/>
                <w:color w:val="000000"/>
                <w:sz w:val="24"/>
                <w:szCs w:val="24"/>
              </w:rPr>
              <w:t xml:space="preserve">2.20 </w:t>
            </w:r>
            <w:r>
              <w:rPr>
                <w:rFonts w:ascii="Times New Roman" w:eastAsia="Times New Roman" w:hAnsi="Times New Roman"/>
                <w:sz w:val="24"/>
                <w:szCs w:val="24"/>
              </w:rPr>
              <w:t>± 0.28</w:t>
            </w:r>
            <w:r>
              <w:rPr>
                <w:rFonts w:ascii="Times New Roman" w:eastAsia="Times New Roman" w:hAnsi="Times New Roman"/>
                <w:sz w:val="24"/>
                <w:szCs w:val="24"/>
                <w:vertAlign w:val="superscript"/>
              </w:rPr>
              <w:t>a</w:t>
            </w:r>
          </w:p>
        </w:tc>
        <w:tc>
          <w:tcPr>
            <w:tcW w:w="1643" w:type="dxa"/>
            <w:tcBorders>
              <w:top w:val="single" w:sz="4" w:space="0" w:color="auto"/>
            </w:tcBorders>
          </w:tcPr>
          <w:p w14:paraId="38C1FC8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1.20 ± 0.14</w:t>
            </w:r>
            <w:r>
              <w:rPr>
                <w:rFonts w:ascii="Times New Roman" w:eastAsia="Times New Roman" w:hAnsi="Times New Roman"/>
                <w:sz w:val="24"/>
                <w:szCs w:val="24"/>
                <w:vertAlign w:val="superscript"/>
              </w:rPr>
              <w:t>a</w:t>
            </w:r>
          </w:p>
        </w:tc>
        <w:tc>
          <w:tcPr>
            <w:tcW w:w="1643" w:type="dxa"/>
            <w:tcBorders>
              <w:top w:val="single" w:sz="4" w:space="0" w:color="auto"/>
            </w:tcBorders>
          </w:tcPr>
          <w:p w14:paraId="05013E48"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0.03 ± 0.00</w:t>
            </w:r>
            <w:r>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
        </w:tc>
      </w:tr>
      <w:tr w:rsidR="00B26622" w14:paraId="78699907" w14:textId="77777777">
        <w:tc>
          <w:tcPr>
            <w:tcW w:w="2963" w:type="dxa"/>
          </w:tcPr>
          <w:p w14:paraId="08886036"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Exus ginseng(5.7 mg/kg)</w:t>
            </w:r>
          </w:p>
        </w:tc>
        <w:tc>
          <w:tcPr>
            <w:tcW w:w="1694" w:type="dxa"/>
          </w:tcPr>
          <w:p w14:paraId="72DFA52C"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4.47 ± 0.25</w:t>
            </w:r>
            <w:r>
              <w:rPr>
                <w:rFonts w:ascii="Times New Roman" w:eastAsia="Times New Roman" w:hAnsi="Times New Roman"/>
                <w:sz w:val="24"/>
                <w:szCs w:val="24"/>
                <w:vertAlign w:val="superscript"/>
              </w:rPr>
              <w:t>b</w:t>
            </w:r>
            <w:r>
              <w:rPr>
                <w:rFonts w:ascii="Times New Roman" w:eastAsia="Times New Roman" w:hAnsi="Times New Roman"/>
                <w:sz w:val="24"/>
                <w:szCs w:val="24"/>
              </w:rPr>
              <w:t xml:space="preserve"> </w:t>
            </w:r>
          </w:p>
        </w:tc>
        <w:tc>
          <w:tcPr>
            <w:tcW w:w="1643" w:type="dxa"/>
          </w:tcPr>
          <w:p w14:paraId="08D0739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3.60 ± 0.53</w:t>
            </w:r>
            <w:r>
              <w:rPr>
                <w:rFonts w:ascii="Times New Roman" w:eastAsia="Times New Roman" w:hAnsi="Times New Roman"/>
                <w:sz w:val="24"/>
                <w:szCs w:val="24"/>
                <w:vertAlign w:val="superscript"/>
              </w:rPr>
              <w:t>c</w:t>
            </w:r>
          </w:p>
        </w:tc>
        <w:tc>
          <w:tcPr>
            <w:tcW w:w="1643" w:type="dxa"/>
          </w:tcPr>
          <w:p w14:paraId="3FEFED6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2.30 ± 0.20</w:t>
            </w:r>
            <w:r>
              <w:rPr>
                <w:rFonts w:ascii="Times New Roman" w:eastAsia="Times New Roman" w:hAnsi="Times New Roman"/>
                <w:sz w:val="24"/>
                <w:szCs w:val="24"/>
                <w:vertAlign w:val="superscript"/>
              </w:rPr>
              <w:t>b</w:t>
            </w:r>
          </w:p>
        </w:tc>
        <w:tc>
          <w:tcPr>
            <w:tcW w:w="1643" w:type="dxa"/>
          </w:tcPr>
          <w:p w14:paraId="727472E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0.08 ± 0.01</w:t>
            </w:r>
            <w:r>
              <w:rPr>
                <w:rFonts w:ascii="Times New Roman" w:eastAsia="Times New Roman" w:hAnsi="Times New Roman"/>
                <w:sz w:val="24"/>
                <w:szCs w:val="24"/>
                <w:vertAlign w:val="superscript"/>
              </w:rPr>
              <w:t>b</w:t>
            </w:r>
          </w:p>
        </w:tc>
      </w:tr>
      <w:tr w:rsidR="00B26622" w14:paraId="5693C844" w14:textId="77777777">
        <w:tc>
          <w:tcPr>
            <w:tcW w:w="2963" w:type="dxa"/>
          </w:tcPr>
          <w:p w14:paraId="0620A4E5"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(25mg/kg)</w:t>
            </w:r>
          </w:p>
        </w:tc>
        <w:tc>
          <w:tcPr>
            <w:tcW w:w="1694" w:type="dxa"/>
          </w:tcPr>
          <w:p w14:paraId="2D62A8B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4.65 ± 0.24</w:t>
            </w:r>
            <w:r>
              <w:rPr>
                <w:rFonts w:ascii="Times New Roman" w:eastAsia="Times New Roman" w:hAnsi="Times New Roman"/>
                <w:sz w:val="24"/>
                <w:szCs w:val="24"/>
                <w:vertAlign w:val="superscript"/>
              </w:rPr>
              <w:t>b</w:t>
            </w:r>
          </w:p>
        </w:tc>
        <w:tc>
          <w:tcPr>
            <w:tcW w:w="1643" w:type="dxa"/>
          </w:tcPr>
          <w:p w14:paraId="3CEECE1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4.28 ± 0.17</w:t>
            </w:r>
            <w:r>
              <w:rPr>
                <w:rFonts w:ascii="Times New Roman" w:eastAsia="Times New Roman" w:hAnsi="Times New Roman"/>
                <w:sz w:val="24"/>
                <w:szCs w:val="24"/>
                <w:vertAlign w:val="superscript"/>
              </w:rPr>
              <w:t>ab</w:t>
            </w:r>
          </w:p>
        </w:tc>
        <w:tc>
          <w:tcPr>
            <w:tcW w:w="1643" w:type="dxa"/>
          </w:tcPr>
          <w:p w14:paraId="30662EB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1.60 ± 0.26</w:t>
            </w:r>
            <w:r>
              <w:rPr>
                <w:rFonts w:ascii="Times New Roman" w:eastAsia="Times New Roman" w:hAnsi="Times New Roman"/>
                <w:sz w:val="24"/>
                <w:szCs w:val="24"/>
                <w:vertAlign w:val="superscript"/>
              </w:rPr>
              <w:t>c</w:t>
            </w:r>
          </w:p>
        </w:tc>
        <w:tc>
          <w:tcPr>
            <w:tcW w:w="1643" w:type="dxa"/>
          </w:tcPr>
          <w:p w14:paraId="5B1BDA5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0.07 ±  0.00</w:t>
            </w:r>
            <w:r>
              <w:rPr>
                <w:rFonts w:ascii="Times New Roman" w:eastAsia="Times New Roman" w:hAnsi="Times New Roman"/>
                <w:sz w:val="24"/>
                <w:szCs w:val="24"/>
                <w:vertAlign w:val="superscript"/>
              </w:rPr>
              <w:t>b</w:t>
            </w:r>
          </w:p>
        </w:tc>
      </w:tr>
      <w:tr w:rsidR="00B26622" w14:paraId="3BC4B13B" w14:textId="77777777">
        <w:tc>
          <w:tcPr>
            <w:tcW w:w="2963" w:type="dxa"/>
          </w:tcPr>
          <w:p w14:paraId="7E76CD4A"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lastRenderedPageBreak/>
              <w:t>Ficusplatyphylla</w:t>
            </w:r>
            <w:r>
              <w:rPr>
                <w:rFonts w:ascii="Times New Roman" w:eastAsia="Times New Roman" w:hAnsi="Times New Roman"/>
                <w:sz w:val="24"/>
                <w:szCs w:val="24"/>
              </w:rPr>
              <w:t>(50mg/kg)</w:t>
            </w:r>
          </w:p>
        </w:tc>
        <w:tc>
          <w:tcPr>
            <w:tcW w:w="1694" w:type="dxa"/>
          </w:tcPr>
          <w:p w14:paraId="2EAE8200"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3.50 ± 0.10</w:t>
            </w:r>
            <w:r>
              <w:rPr>
                <w:rFonts w:ascii="Times New Roman" w:eastAsia="Times New Roman" w:hAnsi="Times New Roman"/>
                <w:sz w:val="24"/>
                <w:szCs w:val="24"/>
                <w:vertAlign w:val="superscript"/>
              </w:rPr>
              <w:t>c</w:t>
            </w:r>
          </w:p>
        </w:tc>
        <w:tc>
          <w:tcPr>
            <w:tcW w:w="1643" w:type="dxa"/>
          </w:tcPr>
          <w:p w14:paraId="77BE060D"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3.13 ± 0.15</w:t>
            </w:r>
            <w:r>
              <w:rPr>
                <w:rFonts w:ascii="Times New Roman" w:eastAsia="Times New Roman" w:hAnsi="Times New Roman"/>
                <w:sz w:val="24"/>
                <w:szCs w:val="24"/>
                <w:vertAlign w:val="superscript"/>
              </w:rPr>
              <w:t>c</w:t>
            </w:r>
          </w:p>
        </w:tc>
        <w:tc>
          <w:tcPr>
            <w:tcW w:w="1643" w:type="dxa"/>
          </w:tcPr>
          <w:p w14:paraId="4FFB089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1.40 ± 0.15</w:t>
            </w:r>
            <w:r>
              <w:rPr>
                <w:rFonts w:ascii="Times New Roman" w:eastAsia="Times New Roman" w:hAnsi="Times New Roman"/>
                <w:sz w:val="24"/>
                <w:szCs w:val="24"/>
                <w:vertAlign w:val="superscript"/>
              </w:rPr>
              <w:t>f</w:t>
            </w:r>
          </w:p>
        </w:tc>
        <w:tc>
          <w:tcPr>
            <w:tcW w:w="1643" w:type="dxa"/>
          </w:tcPr>
          <w:p w14:paraId="6C84BFF3"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0.04 ±  0.00</w:t>
            </w:r>
            <w:r>
              <w:rPr>
                <w:rFonts w:ascii="Times New Roman" w:eastAsia="Times New Roman" w:hAnsi="Times New Roman"/>
                <w:sz w:val="24"/>
                <w:szCs w:val="24"/>
                <w:vertAlign w:val="superscript"/>
              </w:rPr>
              <w:t>f</w:t>
            </w:r>
          </w:p>
        </w:tc>
      </w:tr>
      <w:tr w:rsidR="00B26622" w14:paraId="7D2394D6" w14:textId="77777777">
        <w:tc>
          <w:tcPr>
            <w:tcW w:w="2963" w:type="dxa"/>
          </w:tcPr>
          <w:p w14:paraId="03D00A44"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i/>
                <w:sz w:val="24"/>
                <w:szCs w:val="24"/>
              </w:rPr>
              <w:t>Ficusplatyphylla</w:t>
            </w:r>
            <w:r>
              <w:rPr>
                <w:rFonts w:ascii="Times New Roman" w:eastAsia="Times New Roman" w:hAnsi="Times New Roman"/>
                <w:sz w:val="24"/>
                <w:szCs w:val="24"/>
              </w:rPr>
              <w:t>(100mg/kg)</w:t>
            </w:r>
          </w:p>
        </w:tc>
        <w:tc>
          <w:tcPr>
            <w:tcW w:w="1694" w:type="dxa"/>
          </w:tcPr>
          <w:p w14:paraId="5F26806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2.50 ± 0.04</w:t>
            </w:r>
            <w:r>
              <w:rPr>
                <w:rFonts w:ascii="Times New Roman" w:eastAsia="Times New Roman" w:hAnsi="Times New Roman"/>
                <w:sz w:val="24"/>
                <w:szCs w:val="24"/>
                <w:vertAlign w:val="superscript"/>
              </w:rPr>
              <w:t>e</w:t>
            </w:r>
          </w:p>
        </w:tc>
        <w:tc>
          <w:tcPr>
            <w:tcW w:w="1643" w:type="dxa"/>
          </w:tcPr>
          <w:p w14:paraId="63190E5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2.77 ± 0.10</w:t>
            </w:r>
            <w:r>
              <w:rPr>
                <w:rFonts w:ascii="Times New Roman" w:eastAsia="Times New Roman" w:hAnsi="Times New Roman"/>
                <w:sz w:val="24"/>
                <w:szCs w:val="24"/>
                <w:vertAlign w:val="superscript"/>
              </w:rPr>
              <w:t>bc</w:t>
            </w:r>
          </w:p>
        </w:tc>
        <w:tc>
          <w:tcPr>
            <w:tcW w:w="1643" w:type="dxa"/>
          </w:tcPr>
          <w:p w14:paraId="53480369"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1.60 ± 0.15</w:t>
            </w:r>
            <w:r>
              <w:rPr>
                <w:rFonts w:ascii="Times New Roman" w:eastAsia="Times New Roman" w:hAnsi="Times New Roman"/>
                <w:sz w:val="24"/>
                <w:szCs w:val="24"/>
                <w:vertAlign w:val="superscript"/>
              </w:rPr>
              <w:t>c</w:t>
            </w:r>
          </w:p>
        </w:tc>
        <w:tc>
          <w:tcPr>
            <w:tcW w:w="1643" w:type="dxa"/>
          </w:tcPr>
          <w:p w14:paraId="0CB7AAE4"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0.05 ±  0.01</w:t>
            </w:r>
            <w:r>
              <w:rPr>
                <w:rFonts w:ascii="Times New Roman" w:eastAsia="Times New Roman" w:hAnsi="Times New Roman"/>
                <w:sz w:val="24"/>
                <w:szCs w:val="24"/>
                <w:vertAlign w:val="superscript"/>
              </w:rPr>
              <w:t>b</w:t>
            </w:r>
          </w:p>
        </w:tc>
      </w:tr>
      <w:tr w:rsidR="00B26622" w14:paraId="3E4FEF79" w14:textId="77777777">
        <w:tc>
          <w:tcPr>
            <w:tcW w:w="2963" w:type="dxa"/>
          </w:tcPr>
          <w:p w14:paraId="5911D5CB"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(25mg/kg)</w:t>
            </w:r>
          </w:p>
        </w:tc>
        <w:tc>
          <w:tcPr>
            <w:tcW w:w="1694" w:type="dxa"/>
          </w:tcPr>
          <w:p w14:paraId="1C43B6EC"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5.37 ± 0.31</w:t>
            </w:r>
            <w:r>
              <w:rPr>
                <w:rFonts w:ascii="Times New Roman" w:eastAsia="Times New Roman" w:hAnsi="Times New Roman"/>
                <w:sz w:val="24"/>
                <w:szCs w:val="24"/>
                <w:vertAlign w:val="superscript"/>
              </w:rPr>
              <w:t>f</w:t>
            </w:r>
          </w:p>
        </w:tc>
        <w:tc>
          <w:tcPr>
            <w:tcW w:w="1643" w:type="dxa"/>
          </w:tcPr>
          <w:p w14:paraId="6CCD3DF8"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10.10 ± 0.20</w:t>
            </w:r>
            <w:r>
              <w:rPr>
                <w:rFonts w:ascii="Times New Roman" w:eastAsia="Times New Roman" w:hAnsi="Times New Roman"/>
                <w:sz w:val="24"/>
                <w:szCs w:val="24"/>
                <w:vertAlign w:val="superscript"/>
              </w:rPr>
              <w:t>d</w:t>
            </w:r>
          </w:p>
        </w:tc>
        <w:tc>
          <w:tcPr>
            <w:tcW w:w="1643" w:type="dxa"/>
          </w:tcPr>
          <w:p w14:paraId="18CF42D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2.57 ± 0.15</w:t>
            </w:r>
            <w:r>
              <w:rPr>
                <w:rFonts w:ascii="Times New Roman" w:eastAsia="Times New Roman" w:hAnsi="Times New Roman"/>
                <w:sz w:val="24"/>
                <w:szCs w:val="24"/>
                <w:vertAlign w:val="superscript"/>
              </w:rPr>
              <w:t>ab</w:t>
            </w:r>
          </w:p>
        </w:tc>
        <w:tc>
          <w:tcPr>
            <w:tcW w:w="1643" w:type="dxa"/>
          </w:tcPr>
          <w:p w14:paraId="6242F8CE"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0.09 ± 0.00</w:t>
            </w:r>
            <w:r>
              <w:rPr>
                <w:rFonts w:ascii="Times New Roman" w:eastAsia="Times New Roman" w:hAnsi="Times New Roman"/>
                <w:sz w:val="24"/>
                <w:szCs w:val="24"/>
                <w:vertAlign w:val="superscript"/>
              </w:rPr>
              <w:t>b</w:t>
            </w:r>
          </w:p>
        </w:tc>
      </w:tr>
      <w:tr w:rsidR="00B26622" w14:paraId="7B5C789E" w14:textId="77777777">
        <w:tc>
          <w:tcPr>
            <w:tcW w:w="2963" w:type="dxa"/>
          </w:tcPr>
          <w:p w14:paraId="1BA2B95E"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(50mg/kg)</w:t>
            </w:r>
          </w:p>
        </w:tc>
        <w:tc>
          <w:tcPr>
            <w:tcW w:w="1694" w:type="dxa"/>
          </w:tcPr>
          <w:p w14:paraId="4CAE1EC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4.60 ± 0.10</w:t>
            </w:r>
            <w:r>
              <w:rPr>
                <w:rFonts w:ascii="Times New Roman" w:eastAsia="Times New Roman" w:hAnsi="Times New Roman"/>
                <w:sz w:val="24"/>
                <w:szCs w:val="24"/>
                <w:vertAlign w:val="superscript"/>
              </w:rPr>
              <w:t>b</w:t>
            </w:r>
          </w:p>
        </w:tc>
        <w:tc>
          <w:tcPr>
            <w:tcW w:w="1643" w:type="dxa"/>
          </w:tcPr>
          <w:p w14:paraId="4EDF3A51"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5.57 ± 0.31</w:t>
            </w:r>
            <w:r>
              <w:rPr>
                <w:rFonts w:ascii="Times New Roman" w:eastAsia="Times New Roman" w:hAnsi="Times New Roman"/>
                <w:sz w:val="24"/>
                <w:szCs w:val="24"/>
                <w:vertAlign w:val="superscript"/>
              </w:rPr>
              <w:t>b</w:t>
            </w:r>
          </w:p>
        </w:tc>
        <w:tc>
          <w:tcPr>
            <w:tcW w:w="1643" w:type="dxa"/>
          </w:tcPr>
          <w:p w14:paraId="64CD0B9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2.20 ± 0.20</w:t>
            </w:r>
            <w:r>
              <w:rPr>
                <w:rFonts w:ascii="Times New Roman" w:eastAsia="Times New Roman" w:hAnsi="Times New Roman"/>
                <w:sz w:val="24"/>
                <w:szCs w:val="24"/>
                <w:vertAlign w:val="superscript"/>
              </w:rPr>
              <w:t>b</w:t>
            </w:r>
          </w:p>
        </w:tc>
        <w:tc>
          <w:tcPr>
            <w:tcW w:w="1643" w:type="dxa"/>
          </w:tcPr>
          <w:p w14:paraId="29429BB7"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0.07 ± 0.00</w:t>
            </w:r>
            <w:r>
              <w:rPr>
                <w:rFonts w:ascii="Times New Roman" w:eastAsia="Times New Roman" w:hAnsi="Times New Roman"/>
                <w:sz w:val="24"/>
                <w:szCs w:val="24"/>
                <w:vertAlign w:val="superscript"/>
              </w:rPr>
              <w:t>b</w:t>
            </w:r>
          </w:p>
        </w:tc>
      </w:tr>
      <w:tr w:rsidR="00B26622" w14:paraId="3F5F9977" w14:textId="77777777">
        <w:tc>
          <w:tcPr>
            <w:tcW w:w="2963" w:type="dxa"/>
          </w:tcPr>
          <w:p w14:paraId="258C4DFF" w14:textId="77777777" w:rsidR="00B26622" w:rsidRDefault="004E16E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Polyherbal (100mg/kg)</w:t>
            </w:r>
          </w:p>
        </w:tc>
        <w:tc>
          <w:tcPr>
            <w:tcW w:w="1694" w:type="dxa"/>
          </w:tcPr>
          <w:p w14:paraId="1298E83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3.70 ± 0.26</w:t>
            </w:r>
            <w:r>
              <w:rPr>
                <w:rFonts w:ascii="Times New Roman" w:eastAsia="Times New Roman" w:hAnsi="Times New Roman"/>
                <w:sz w:val="24"/>
                <w:szCs w:val="24"/>
                <w:vertAlign w:val="superscript"/>
              </w:rPr>
              <w:t>c</w:t>
            </w:r>
          </w:p>
        </w:tc>
        <w:tc>
          <w:tcPr>
            <w:tcW w:w="1643" w:type="dxa"/>
          </w:tcPr>
          <w:p w14:paraId="0F11186B"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5.70 ± 0.20</w:t>
            </w:r>
            <w:r>
              <w:rPr>
                <w:rFonts w:ascii="Times New Roman" w:eastAsia="Times New Roman" w:hAnsi="Times New Roman"/>
                <w:sz w:val="24"/>
                <w:szCs w:val="24"/>
                <w:vertAlign w:val="superscript"/>
              </w:rPr>
              <w:t>b</w:t>
            </w:r>
          </w:p>
        </w:tc>
        <w:tc>
          <w:tcPr>
            <w:tcW w:w="1643" w:type="dxa"/>
          </w:tcPr>
          <w:p w14:paraId="1DE26836"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2.10 ± 0.10</w:t>
            </w:r>
            <w:r>
              <w:rPr>
                <w:rFonts w:ascii="Times New Roman" w:eastAsia="Times New Roman" w:hAnsi="Times New Roman"/>
                <w:sz w:val="24"/>
                <w:szCs w:val="24"/>
                <w:vertAlign w:val="superscript"/>
              </w:rPr>
              <w:t>b</w:t>
            </w:r>
          </w:p>
        </w:tc>
        <w:tc>
          <w:tcPr>
            <w:tcW w:w="1643" w:type="dxa"/>
          </w:tcPr>
          <w:p w14:paraId="11C4A0F5" w14:textId="77777777" w:rsidR="00B26622" w:rsidRDefault="004E16E5">
            <w:pPr>
              <w:spacing w:line="360" w:lineRule="auto"/>
              <w:jc w:val="both"/>
              <w:rPr>
                <w:rFonts w:ascii="Times New Roman" w:eastAsia="Times New Roman" w:hAnsi="Times New Roman"/>
                <w:sz w:val="24"/>
                <w:szCs w:val="24"/>
                <w:vertAlign w:val="superscript"/>
              </w:rPr>
            </w:pPr>
            <w:r>
              <w:rPr>
                <w:rFonts w:ascii="Times New Roman" w:eastAsia="Times New Roman" w:hAnsi="Times New Roman"/>
                <w:sz w:val="24"/>
                <w:szCs w:val="24"/>
              </w:rPr>
              <w:t>0.06 ± 0.01</w:t>
            </w:r>
            <w:r>
              <w:rPr>
                <w:rFonts w:ascii="Times New Roman" w:eastAsia="Times New Roman" w:hAnsi="Times New Roman"/>
                <w:sz w:val="24"/>
                <w:szCs w:val="24"/>
                <w:vertAlign w:val="superscript"/>
              </w:rPr>
              <w:t>b</w:t>
            </w:r>
          </w:p>
        </w:tc>
      </w:tr>
    </w:tbl>
    <w:p w14:paraId="518F487D" w14:textId="77777777" w:rsidR="00B26622" w:rsidRDefault="004E16E5">
      <w:pPr>
        <w:spacing w:line="240" w:lineRule="auto"/>
        <w:jc w:val="both"/>
        <w:rPr>
          <w:rFonts w:ascii="Times New Roman" w:hAnsi="Times New Roman"/>
          <w:b/>
          <w:sz w:val="18"/>
          <w:szCs w:val="18"/>
        </w:rPr>
      </w:pPr>
      <w:r>
        <w:rPr>
          <w:rFonts w:ascii="Times New Roman" w:hAnsi="Times New Roman"/>
          <w:sz w:val="18"/>
          <w:szCs w:val="18"/>
        </w:rPr>
        <w:t xml:space="preserve">Values are presented as mean ± standard error of mean (n=4). Value with different superscript in each </w:t>
      </w:r>
      <w:r>
        <w:rPr>
          <w:rFonts w:ascii="Times New Roman" w:hAnsi="Times New Roman"/>
          <w:sz w:val="18"/>
          <w:szCs w:val="18"/>
        </w:rPr>
        <w:t>column was significant different at P&lt;0.05</w:t>
      </w:r>
    </w:p>
    <w:p w14:paraId="00DCD096" w14:textId="238461F9" w:rsidR="00B26622" w:rsidRDefault="004E16E5">
      <w:pPr>
        <w:spacing w:line="360" w:lineRule="auto"/>
        <w:jc w:val="both"/>
      </w:pPr>
      <w:r>
        <w:rPr>
          <w:rFonts w:ascii="Times New Roman" w:hAnsi="Times New Roman"/>
          <w:sz w:val="24"/>
          <w:szCs w:val="24"/>
        </w:rPr>
        <w:t>E</w:t>
      </w:r>
      <w:r>
        <w:rPr>
          <w:rFonts w:ascii="Times New Roman" w:hAnsi="Times New Roman"/>
          <w:sz w:val="24"/>
          <w:szCs w:val="24"/>
        </w:rPr>
        <w:t>:</w:t>
      </w:r>
      <w:r>
        <w:rPr>
          <w:rFonts w:ascii="Times New Roman" w:hAnsi="Times New Roman"/>
          <w:sz w:val="24"/>
          <w:szCs w:val="24"/>
        </w:rPr>
        <w:t xml:space="preserve"> Estrogen, FSH</w:t>
      </w:r>
      <w:r>
        <w:rPr>
          <w:rFonts w:ascii="Times New Roman" w:hAnsi="Times New Roman"/>
          <w:sz w:val="24"/>
          <w:szCs w:val="24"/>
        </w:rPr>
        <w:t>:</w:t>
      </w:r>
      <w:r>
        <w:rPr>
          <w:rFonts w:ascii="Times New Roman" w:hAnsi="Times New Roman"/>
          <w:sz w:val="24"/>
          <w:szCs w:val="24"/>
        </w:rPr>
        <w:t xml:space="preserve"> follicle stimulating hormone, P</w:t>
      </w:r>
      <w:r>
        <w:rPr>
          <w:rFonts w:ascii="Times New Roman" w:hAnsi="Times New Roman"/>
          <w:sz w:val="24"/>
          <w:szCs w:val="24"/>
        </w:rPr>
        <w:t>:</w:t>
      </w:r>
      <w:r>
        <w:rPr>
          <w:rFonts w:ascii="Times New Roman" w:hAnsi="Times New Roman"/>
          <w:sz w:val="24"/>
          <w:szCs w:val="24"/>
        </w:rPr>
        <w:t xml:space="preserve"> progesterone hormone, T</w:t>
      </w:r>
      <w:r>
        <w:rPr>
          <w:rFonts w:ascii="Times New Roman" w:hAnsi="Times New Roman"/>
          <w:sz w:val="24"/>
          <w:szCs w:val="24"/>
        </w:rPr>
        <w:t>:</w:t>
      </w:r>
      <w:r>
        <w:rPr>
          <w:rFonts w:ascii="Times New Roman" w:hAnsi="Times New Roman"/>
          <w:sz w:val="24"/>
          <w:szCs w:val="24"/>
        </w:rPr>
        <w:t xml:space="preserve"> testosterone.</w:t>
      </w:r>
    </w:p>
    <w:p w14:paraId="323AB08F" w14:textId="77777777" w:rsidR="00B26622" w:rsidRDefault="00B26622">
      <w:pPr>
        <w:spacing w:line="360" w:lineRule="auto"/>
        <w:jc w:val="both"/>
        <w:rPr>
          <w:rFonts w:ascii="Times New Roman" w:hAnsi="Times New Roman"/>
          <w:b/>
          <w:sz w:val="24"/>
          <w:szCs w:val="24"/>
        </w:rPr>
      </w:pPr>
    </w:p>
    <w:p w14:paraId="10941BEB" w14:textId="77777777" w:rsidR="00B26622" w:rsidRDefault="00B26622">
      <w:pPr>
        <w:spacing w:line="360" w:lineRule="auto"/>
        <w:jc w:val="both"/>
        <w:rPr>
          <w:rFonts w:ascii="Times New Roman" w:hAnsi="Times New Roman"/>
          <w:b/>
          <w:sz w:val="24"/>
          <w:szCs w:val="24"/>
        </w:rPr>
      </w:pPr>
    </w:p>
    <w:p w14:paraId="1CFFCDAB" w14:textId="77777777" w:rsidR="00B26622" w:rsidRDefault="00B26622">
      <w:pPr>
        <w:spacing w:line="360" w:lineRule="auto"/>
        <w:jc w:val="both"/>
        <w:rPr>
          <w:rFonts w:ascii="Times New Roman" w:hAnsi="Times New Roman"/>
          <w:b/>
          <w:sz w:val="24"/>
          <w:szCs w:val="24"/>
        </w:rPr>
      </w:pPr>
    </w:p>
    <w:p w14:paraId="1C81D94D" w14:textId="77777777" w:rsidR="00B26622" w:rsidRDefault="00B26622">
      <w:pPr>
        <w:spacing w:line="360" w:lineRule="auto"/>
        <w:jc w:val="both"/>
        <w:rPr>
          <w:rFonts w:ascii="Times New Roman" w:hAnsi="Times New Roman"/>
          <w:b/>
          <w:sz w:val="24"/>
          <w:szCs w:val="24"/>
        </w:rPr>
      </w:pPr>
    </w:p>
    <w:p w14:paraId="3C7A1555" w14:textId="77777777" w:rsidR="00B26622" w:rsidRDefault="00B26622">
      <w:pPr>
        <w:spacing w:line="360" w:lineRule="auto"/>
        <w:jc w:val="both"/>
        <w:rPr>
          <w:rFonts w:ascii="Times New Roman" w:hAnsi="Times New Roman"/>
          <w:b/>
          <w:sz w:val="24"/>
          <w:szCs w:val="24"/>
        </w:rPr>
      </w:pPr>
    </w:p>
    <w:p w14:paraId="32914279" w14:textId="77777777" w:rsidR="00B26622" w:rsidRDefault="00B26622">
      <w:pPr>
        <w:spacing w:line="360" w:lineRule="auto"/>
        <w:jc w:val="both"/>
        <w:rPr>
          <w:rFonts w:ascii="Times New Roman" w:hAnsi="Times New Roman"/>
          <w:b/>
          <w:sz w:val="24"/>
          <w:szCs w:val="24"/>
        </w:rPr>
      </w:pPr>
    </w:p>
    <w:p w14:paraId="09AFDD00" w14:textId="77777777" w:rsidR="00B26622" w:rsidRDefault="00B26622">
      <w:pPr>
        <w:spacing w:line="360" w:lineRule="auto"/>
        <w:jc w:val="both"/>
        <w:rPr>
          <w:rFonts w:ascii="Times New Roman" w:hAnsi="Times New Roman"/>
          <w:b/>
          <w:sz w:val="24"/>
          <w:szCs w:val="24"/>
        </w:rPr>
      </w:pPr>
    </w:p>
    <w:p w14:paraId="3ABDEF97" w14:textId="77777777" w:rsidR="00B26622" w:rsidRDefault="00B26622">
      <w:pPr>
        <w:spacing w:line="360" w:lineRule="auto"/>
        <w:jc w:val="both"/>
        <w:rPr>
          <w:rFonts w:ascii="Times New Roman" w:hAnsi="Times New Roman"/>
          <w:b/>
          <w:sz w:val="24"/>
          <w:szCs w:val="24"/>
        </w:rPr>
      </w:pPr>
    </w:p>
    <w:p w14:paraId="239D3C3D"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3.3 Histological Architecture of Tissues Examined</w:t>
      </w:r>
    </w:p>
    <w:p w14:paraId="621CB578"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The effects of </w:t>
      </w:r>
      <w:r>
        <w:rPr>
          <w:rFonts w:ascii="Times New Roman" w:hAnsi="Times New Roman"/>
          <w:i/>
          <w:sz w:val="24"/>
          <w:szCs w:val="24"/>
        </w:rPr>
        <w:t>Ficus platyphylla</w:t>
      </w:r>
      <w:r>
        <w:rPr>
          <w:rFonts w:ascii="Times New Roman" w:hAnsi="Times New Roman"/>
          <w:sz w:val="24"/>
          <w:szCs w:val="24"/>
        </w:rPr>
        <w:t xml:space="preserve"> aqueous leaf extract and its polyherbal formulation on ovarian histology are depicted in Plates 1–8. The normal control group displayed numerous antral follicles and a well-formed graafian follicle, reflecting normal ovarian architecture (Plate 1). The dr</w:t>
      </w:r>
      <w:r>
        <w:rPr>
          <w:rFonts w:ascii="Times New Roman" w:hAnsi="Times New Roman"/>
          <w:sz w:val="24"/>
          <w:szCs w:val="24"/>
        </w:rPr>
        <w:t xml:space="preserve">ug control group, treated with Panax ginseng, showed larger antral follicles, prominent primary follicles, and an enlarged graafian follicle, suggesting enhanced folliculogenesis (Plate 2). At 25 mg/kg, </w:t>
      </w:r>
      <w:r>
        <w:rPr>
          <w:rFonts w:ascii="Times New Roman" w:hAnsi="Times New Roman"/>
          <w:i/>
          <w:sz w:val="24"/>
          <w:szCs w:val="24"/>
        </w:rPr>
        <w:t>F. platyphylla</w:t>
      </w:r>
      <w:r>
        <w:rPr>
          <w:rFonts w:ascii="Times New Roman" w:hAnsi="Times New Roman"/>
          <w:sz w:val="24"/>
          <w:szCs w:val="24"/>
        </w:rPr>
        <w:t xml:space="preserve"> extract revealed numerous primordial c</w:t>
      </w:r>
      <w:r>
        <w:rPr>
          <w:rFonts w:ascii="Times New Roman" w:hAnsi="Times New Roman"/>
          <w:sz w:val="24"/>
          <w:szCs w:val="24"/>
        </w:rPr>
        <w:t xml:space="preserve">ells, primary follicles, antral follicles, and a corpus luteum, indicating active follicular recruitment and ovulatory potential </w:t>
      </w:r>
      <w:r>
        <w:rPr>
          <w:rFonts w:ascii="Times New Roman" w:hAnsi="Times New Roman"/>
          <w:sz w:val="24"/>
          <w:szCs w:val="24"/>
        </w:rPr>
        <w:lastRenderedPageBreak/>
        <w:t xml:space="preserve">(Plate 3). At 50 mg/kg, </w:t>
      </w:r>
      <w:r>
        <w:rPr>
          <w:rFonts w:ascii="Times New Roman" w:hAnsi="Times New Roman"/>
          <w:i/>
          <w:sz w:val="24"/>
          <w:szCs w:val="24"/>
        </w:rPr>
        <w:t>F. platyphylla</w:t>
      </w:r>
      <w:r>
        <w:rPr>
          <w:rFonts w:ascii="Times New Roman" w:hAnsi="Times New Roman"/>
          <w:sz w:val="24"/>
          <w:szCs w:val="24"/>
        </w:rPr>
        <w:t xml:space="preserve"> exhibited secondary and antral follicles, suggesting moderate development without ovulat</w:t>
      </w:r>
      <w:r>
        <w:rPr>
          <w:rFonts w:ascii="Times New Roman" w:hAnsi="Times New Roman"/>
          <w:sz w:val="24"/>
          <w:szCs w:val="24"/>
        </w:rPr>
        <w:t xml:space="preserve">ion (Plate 4), while 100 mg/kg showed graafian and antral follicles but lacked earlier stages and corpus luteum, hinting at delayed maturation (Plate.5). The 25 mg/kg polyherbal extract mirrored the 25 mg/kg </w:t>
      </w:r>
      <w:r>
        <w:rPr>
          <w:rFonts w:ascii="Times New Roman" w:hAnsi="Times New Roman"/>
          <w:i/>
          <w:sz w:val="24"/>
          <w:szCs w:val="24"/>
        </w:rPr>
        <w:t>F. platyphylla</w:t>
      </w:r>
      <w:r>
        <w:rPr>
          <w:rFonts w:ascii="Times New Roman" w:hAnsi="Times New Roman"/>
          <w:sz w:val="24"/>
          <w:szCs w:val="24"/>
        </w:rPr>
        <w:t xml:space="preserve"> group with similar follicular and</w:t>
      </w:r>
      <w:r>
        <w:rPr>
          <w:rFonts w:ascii="Times New Roman" w:hAnsi="Times New Roman"/>
          <w:sz w:val="24"/>
          <w:szCs w:val="24"/>
        </w:rPr>
        <w:t xml:space="preserve"> ovulatory features (Plate.6). At 50 mg/kg, the polyherbal extract displayed a large graafian follicle and occasional primary follicles, indicating selective maturation (Plate.7), while 100 mg/kg showed numerous antral and primary follicles without ovulati</w:t>
      </w:r>
      <w:r>
        <w:rPr>
          <w:rFonts w:ascii="Times New Roman" w:hAnsi="Times New Roman"/>
          <w:sz w:val="24"/>
          <w:szCs w:val="24"/>
        </w:rPr>
        <w:t>on (Plate.8).</w:t>
      </w:r>
    </w:p>
    <w:p w14:paraId="026A971C" w14:textId="77777777" w:rsidR="00B26622" w:rsidRDefault="00B26622">
      <w:pPr>
        <w:spacing w:line="360" w:lineRule="auto"/>
        <w:jc w:val="both"/>
        <w:rPr>
          <w:rFonts w:ascii="Times New Roman" w:hAnsi="Times New Roman"/>
          <w:sz w:val="24"/>
          <w:szCs w:val="24"/>
        </w:rPr>
      </w:pPr>
    </w:p>
    <w:p w14:paraId="4E33D0D5" w14:textId="77777777" w:rsidR="00B26622" w:rsidRDefault="00B26622">
      <w:pPr>
        <w:spacing w:line="360" w:lineRule="auto"/>
        <w:jc w:val="both"/>
        <w:rPr>
          <w:rFonts w:ascii="Times New Roman" w:hAnsi="Times New Roman"/>
          <w:sz w:val="24"/>
          <w:szCs w:val="24"/>
        </w:rPr>
      </w:pPr>
    </w:p>
    <w:p w14:paraId="34DF560C" w14:textId="77777777" w:rsidR="00B26622" w:rsidRDefault="00B26622">
      <w:pPr>
        <w:spacing w:line="360" w:lineRule="auto"/>
        <w:jc w:val="both"/>
        <w:rPr>
          <w:rFonts w:ascii="Times New Roman" w:hAnsi="Times New Roman"/>
          <w:sz w:val="24"/>
          <w:szCs w:val="24"/>
        </w:rPr>
      </w:pPr>
    </w:p>
    <w:p w14:paraId="76F4CC98" w14:textId="77777777" w:rsidR="00B26622" w:rsidRDefault="00B26622">
      <w:pPr>
        <w:spacing w:line="360" w:lineRule="auto"/>
        <w:jc w:val="both"/>
        <w:rPr>
          <w:rFonts w:ascii="Times New Roman" w:hAnsi="Times New Roman"/>
          <w:sz w:val="24"/>
          <w:szCs w:val="24"/>
        </w:rPr>
      </w:pPr>
    </w:p>
    <w:p w14:paraId="2859D2F0" w14:textId="77777777" w:rsidR="00B26622" w:rsidRDefault="00B26622">
      <w:pPr>
        <w:spacing w:line="360" w:lineRule="auto"/>
        <w:jc w:val="both"/>
        <w:rPr>
          <w:rFonts w:ascii="Times New Roman" w:hAnsi="Times New Roman"/>
          <w:sz w:val="24"/>
          <w:szCs w:val="24"/>
        </w:rPr>
      </w:pPr>
    </w:p>
    <w:p w14:paraId="18FE146F" w14:textId="77777777" w:rsidR="00B26622" w:rsidRDefault="00B26622">
      <w:pPr>
        <w:spacing w:line="360" w:lineRule="auto"/>
        <w:jc w:val="both"/>
        <w:rPr>
          <w:rFonts w:ascii="Times New Roman" w:hAnsi="Times New Roman"/>
          <w:sz w:val="24"/>
          <w:szCs w:val="24"/>
        </w:rPr>
      </w:pPr>
    </w:p>
    <w:p w14:paraId="6662B898" w14:textId="77777777" w:rsidR="00B26622" w:rsidRDefault="00B26622">
      <w:pPr>
        <w:spacing w:line="360" w:lineRule="auto"/>
        <w:jc w:val="both"/>
        <w:rPr>
          <w:rFonts w:ascii="Times New Roman" w:hAnsi="Times New Roman"/>
          <w:sz w:val="24"/>
          <w:szCs w:val="24"/>
        </w:rPr>
      </w:pPr>
    </w:p>
    <w:p w14:paraId="745089FD" w14:textId="77777777" w:rsidR="00B26622" w:rsidRDefault="00B26622">
      <w:pPr>
        <w:spacing w:line="360" w:lineRule="auto"/>
        <w:jc w:val="both"/>
        <w:rPr>
          <w:rFonts w:ascii="Times New Roman" w:hAnsi="Times New Roman"/>
          <w:sz w:val="24"/>
          <w:szCs w:val="24"/>
        </w:rPr>
      </w:pPr>
    </w:p>
    <w:p w14:paraId="50CAA8E5" w14:textId="77777777" w:rsidR="00B26622" w:rsidRDefault="00B26622">
      <w:pPr>
        <w:spacing w:line="360" w:lineRule="auto"/>
        <w:jc w:val="both"/>
        <w:rPr>
          <w:rFonts w:ascii="Times New Roman" w:hAnsi="Times New Roman"/>
          <w:sz w:val="24"/>
          <w:szCs w:val="24"/>
        </w:rPr>
      </w:pPr>
    </w:p>
    <w:p w14:paraId="09BE27F2" w14:textId="77777777" w:rsidR="00B26622" w:rsidRDefault="00B26622">
      <w:pPr>
        <w:spacing w:line="360" w:lineRule="auto"/>
        <w:jc w:val="both"/>
        <w:rPr>
          <w:rFonts w:ascii="Times New Roman" w:hAnsi="Times New Roman"/>
          <w:sz w:val="24"/>
          <w:szCs w:val="24"/>
        </w:rPr>
      </w:pPr>
    </w:p>
    <w:p w14:paraId="5F0F1EB7" w14:textId="77777777" w:rsidR="00B26622" w:rsidRDefault="00B26622">
      <w:pPr>
        <w:spacing w:line="360" w:lineRule="auto"/>
        <w:jc w:val="both"/>
        <w:rPr>
          <w:rFonts w:ascii="Times New Roman" w:hAnsi="Times New Roman"/>
          <w:sz w:val="24"/>
          <w:szCs w:val="24"/>
        </w:rPr>
      </w:pPr>
    </w:p>
    <w:p w14:paraId="621A4E56" w14:textId="77777777" w:rsidR="00B26622" w:rsidRDefault="00B26622">
      <w:pPr>
        <w:spacing w:line="360" w:lineRule="auto"/>
        <w:jc w:val="both"/>
        <w:rPr>
          <w:rFonts w:ascii="Times New Roman" w:hAnsi="Times New Roman"/>
          <w:sz w:val="24"/>
          <w:szCs w:val="24"/>
        </w:rPr>
      </w:pPr>
    </w:p>
    <w:p w14:paraId="263C1CC0" w14:textId="77777777" w:rsidR="00B26622" w:rsidRDefault="00B26622">
      <w:pPr>
        <w:spacing w:line="360" w:lineRule="auto"/>
        <w:jc w:val="both"/>
        <w:rPr>
          <w:rFonts w:ascii="Times New Roman" w:hAnsi="Times New Roman"/>
          <w:b/>
          <w:sz w:val="24"/>
          <w:szCs w:val="24"/>
        </w:rPr>
      </w:pPr>
    </w:p>
    <w:p w14:paraId="6B27AD9E" w14:textId="77777777" w:rsidR="00B26622" w:rsidRDefault="004E16E5">
      <w:pPr>
        <w:spacing w:line="360" w:lineRule="auto"/>
        <w:jc w:val="both"/>
        <w:rPr>
          <w:rFonts w:ascii="Times New Roman" w:hAnsi="Times New Roman"/>
          <w:sz w:val="24"/>
          <w:szCs w:val="24"/>
        </w:rPr>
      </w:pPr>
      <w:r>
        <w:rPr>
          <w:noProof/>
          <w:lang w:val="fr-FR" w:eastAsia="fr-FR"/>
        </w:rPr>
        <w:drawing>
          <wp:anchor distT="0" distB="0" distL="0" distR="0" simplePos="0" relativeHeight="251652608" behindDoc="0" locked="0" layoutInCell="1" allowOverlap="1">
            <wp:simplePos x="0" y="0"/>
            <wp:positionH relativeFrom="column">
              <wp:posOffset>2830195</wp:posOffset>
            </wp:positionH>
            <wp:positionV relativeFrom="paragraph">
              <wp:posOffset>-826770</wp:posOffset>
            </wp:positionV>
            <wp:extent cx="3112770" cy="1945005"/>
            <wp:effectExtent l="0" t="0" r="0" b="0"/>
            <wp:wrapNone/>
            <wp:docPr id="102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0" cstate="print"/>
                    <a:srcRect/>
                    <a:stretch/>
                  </pic:blipFill>
                  <pic:spPr>
                    <a:xfrm>
                      <a:off x="0" y="0"/>
                      <a:ext cx="3112770" cy="1945005"/>
                    </a:xfrm>
                    <a:prstGeom prst="rect">
                      <a:avLst/>
                    </a:prstGeom>
                  </pic:spPr>
                </pic:pic>
              </a:graphicData>
            </a:graphic>
            <wp14:sizeRelH relativeFrom="margin">
              <wp14:pctWidth>0</wp14:pctWidth>
            </wp14:sizeRelH>
            <wp14:sizeRelV relativeFrom="page">
              <wp14:pctHeight>0</wp14:pctHeight>
            </wp14:sizeRelV>
          </wp:anchor>
        </w:drawing>
      </w:r>
      <w:r>
        <w:rPr>
          <w:noProof/>
          <w:lang w:val="fr-FR" w:eastAsia="fr-FR"/>
        </w:rPr>
        <w:drawing>
          <wp:anchor distT="0" distB="0" distL="0" distR="0" simplePos="0" relativeHeight="251663872" behindDoc="0" locked="0" layoutInCell="1" allowOverlap="1">
            <wp:simplePos x="0" y="0"/>
            <wp:positionH relativeFrom="column">
              <wp:posOffset>-875665</wp:posOffset>
            </wp:positionH>
            <wp:positionV relativeFrom="paragraph">
              <wp:posOffset>-827405</wp:posOffset>
            </wp:positionV>
            <wp:extent cx="3521075" cy="2061845"/>
            <wp:effectExtent l="0" t="0" r="3175" b="0"/>
            <wp:wrapNone/>
            <wp:docPr id="102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7"/>
                    <pic:cNvPicPr/>
                  </pic:nvPicPr>
                  <pic:blipFill>
                    <a:blip r:embed="rId91" cstate="print"/>
                    <a:srcRect/>
                    <a:stretch/>
                  </pic:blipFill>
                  <pic:spPr>
                    <a:xfrm>
                      <a:off x="0" y="0"/>
                      <a:ext cx="3521075" cy="2061845"/>
                    </a:xfrm>
                    <a:prstGeom prst="rect">
                      <a:avLst/>
                    </a:prstGeom>
                  </pic:spPr>
                </pic:pic>
              </a:graphicData>
            </a:graphic>
            <wp14:sizeRelH relativeFrom="margin">
              <wp14:pctWidth>0</wp14:pctWidth>
            </wp14:sizeRelH>
            <wp14:sizeRelV relativeFrom="page">
              <wp14:pctHeight>0</wp14:pctHeight>
            </wp14:sizeRelV>
          </wp:anchor>
        </w:drawing>
      </w:r>
    </w:p>
    <w:p w14:paraId="6C3C6541" w14:textId="77777777" w:rsidR="00B26622" w:rsidRDefault="00B26622">
      <w:pPr>
        <w:spacing w:line="360" w:lineRule="auto"/>
        <w:jc w:val="both"/>
        <w:rPr>
          <w:rFonts w:ascii="Times New Roman" w:hAnsi="Times New Roman"/>
          <w:sz w:val="24"/>
          <w:szCs w:val="24"/>
        </w:rPr>
      </w:pPr>
    </w:p>
    <w:p w14:paraId="64056D51" w14:textId="77777777" w:rsidR="00B26622" w:rsidRDefault="004E16E5">
      <w:pPr>
        <w:spacing w:line="360" w:lineRule="auto"/>
        <w:jc w:val="both"/>
        <w:rPr>
          <w:rFonts w:ascii="Times New Roman" w:hAnsi="Times New Roman"/>
          <w:sz w:val="24"/>
          <w:szCs w:val="24"/>
        </w:rPr>
      </w:pPr>
      <w:r>
        <w:rPr>
          <w:noProof/>
          <w:lang w:val="fr-FR" w:eastAsia="fr-FR"/>
        </w:rPr>
        <w:lastRenderedPageBreak/>
        <mc:AlternateContent>
          <mc:Choice Requires="wps">
            <w:drawing>
              <wp:anchor distT="45720" distB="45720" distL="114300" distR="114300" simplePos="0" relativeHeight="251666944" behindDoc="1" locked="0" layoutInCell="1" allowOverlap="1">
                <wp:simplePos x="0" y="0"/>
                <wp:positionH relativeFrom="column">
                  <wp:posOffset>2776220</wp:posOffset>
                </wp:positionH>
                <wp:positionV relativeFrom="paragraph">
                  <wp:posOffset>660400</wp:posOffset>
                </wp:positionV>
                <wp:extent cx="2874645" cy="1818640"/>
                <wp:effectExtent l="4445" t="3175" r="0" b="0"/>
                <wp:wrapSquare wrapText="bothSides"/>
                <wp:docPr id="10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818640"/>
                        </a:xfrm>
                        <a:prstGeom prst="rect">
                          <a:avLst/>
                        </a:prstGeom>
                        <a:solidFill>
                          <a:srgbClr val="FFFFFF"/>
                        </a:solidFill>
                        <a:ln>
                          <a:noFill/>
                        </a:ln>
                      </wps:spPr>
                      <wps:txbx>
                        <w:txbxContent>
                          <w:p w14:paraId="51B55B2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 2: Photomicrograph of Rat’s Ovary obtained from Drug Control (Gensing 5.7mg/kg)</w:t>
                            </w:r>
                          </w:p>
                          <w:p w14:paraId="3576A5BC" w14:textId="77777777" w:rsidR="00B26622" w:rsidRDefault="004E16E5">
                            <w:pPr>
                              <w:spacing w:line="360" w:lineRule="auto"/>
                              <w:jc w:val="both"/>
                            </w:pPr>
                            <w:r>
                              <w:rPr>
                                <w:rFonts w:ascii="Times New Roman" w:hAnsi="Times New Roman"/>
                                <w:sz w:val="24"/>
                                <w:szCs w:val="24"/>
                              </w:rPr>
                              <w:t>Section showing antral (red arrow), primary (black arrow) and graphian follicles (white arrow)</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6" o:spid="_x0000_s1026" style="position:absolute;left:0;text-align:left;margin-left:218.6pt;margin-top:52pt;width:226.35pt;height:143.2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" stroked="f">
                <v:textbox>
                  <w:txbxContent>
                    <w:p w14:paraId="51B55B2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 2: Photomicrograph of Rat’s Ovary obtained from Drug Control (Gensing 5.7mg/kg)</w:t>
                      </w:r>
                    </w:p>
                    <w:p w14:paraId="3576A5BC" w14:textId="77777777" w:rsidR="00B26622" w:rsidRDefault="004E16E5">
                      <w:pPr>
                        <w:spacing w:line="360" w:lineRule="auto"/>
                        <w:jc w:val="both"/>
                      </w:pPr>
                      <w:r>
                        <w:rPr>
                          <w:rFonts w:ascii="Times New Roman" w:hAnsi="Times New Roman"/>
                          <w:sz w:val="24"/>
                          <w:szCs w:val="24"/>
                        </w:rPr>
                        <w:t>Section showing antral (red arrow), primary (black arrow) and graphian follicles (white arrow)</w:t>
                      </w:r>
                    </w:p>
                  </w:txbxContent>
                </v:textbox>
                <w10:wrap type="square"/>
              </v:rect>
            </w:pict>
          </mc:Fallback>
        </mc:AlternateContent>
      </w:r>
      <w:r>
        <w:rPr>
          <w:noProof/>
          <w:lang w:val="fr-FR" w:eastAsia="fr-FR"/>
        </w:rPr>
        <mc:AlternateContent>
          <mc:Choice Requires="wps">
            <w:drawing>
              <wp:anchor distT="45720" distB="45720" distL="114300" distR="114300" simplePos="0" relativeHeight="251654656" behindDoc="0" locked="0" layoutInCell="1" allowOverlap="1">
                <wp:simplePos x="0" y="0"/>
                <wp:positionH relativeFrom="column">
                  <wp:posOffset>-700405</wp:posOffset>
                </wp:positionH>
                <wp:positionV relativeFrom="paragraph">
                  <wp:posOffset>707390</wp:posOffset>
                </wp:positionV>
                <wp:extent cx="3297553" cy="1426210"/>
                <wp:effectExtent l="4445" t="2540" r="3175" b="0"/>
                <wp:wrapSquare wrapText="bothSides"/>
                <wp:docPr id="10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7553" cy="1426210"/>
                        </a:xfrm>
                        <a:prstGeom prst="rect">
                          <a:avLst/>
                        </a:prstGeom>
                        <a:solidFill>
                          <a:srgbClr val="FFFFFF"/>
                        </a:solidFill>
                        <a:ln>
                          <a:noFill/>
                        </a:ln>
                      </wps:spPr>
                      <wps:txbx>
                        <w:txbxContent>
                          <w:p w14:paraId="246C86D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1: Photomicrograph of Rat’s </w:t>
                            </w:r>
                            <w:r>
                              <w:rPr>
                                <w:rFonts w:ascii="Times New Roman" w:hAnsi="Times New Roman"/>
                                <w:b/>
                                <w:sz w:val="24"/>
                                <w:szCs w:val="24"/>
                              </w:rPr>
                              <w:t>Ovary obtained from Normal Control</w:t>
                            </w:r>
                          </w:p>
                          <w:p w14:paraId="727D7503"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normal follicular activities, numerous antral (red arrow) and graphian (black arrows) follicles.</w:t>
                            </w:r>
                          </w:p>
                          <w:p w14:paraId="51FEF9E9" w14:textId="77777777" w:rsidR="00B26622" w:rsidRDefault="00B26622"/>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5" o:spid="_x0000_s1027" style="position:absolute;left:0;text-align:left;margin-left:-55.15pt;margin-top:55.7pt;width:259.65pt;height:112.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" stroked="f">
                <v:textbox>
                  <w:txbxContent>
                    <w:p w14:paraId="246C86D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1: Photomicrograph of Rat’s </w:t>
                      </w:r>
                      <w:r>
                        <w:rPr>
                          <w:rFonts w:ascii="Times New Roman" w:hAnsi="Times New Roman"/>
                          <w:b/>
                          <w:sz w:val="24"/>
                          <w:szCs w:val="24"/>
                        </w:rPr>
                        <w:t>Ovary obtained from Normal Control</w:t>
                      </w:r>
                    </w:p>
                    <w:p w14:paraId="727D7503"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normal follicular activities, numerous antral (red arrow) and graphian (black arrows) follicles.</w:t>
                      </w:r>
                    </w:p>
                    <w:p w14:paraId="51FEF9E9" w14:textId="77777777" w:rsidR="00B26622" w:rsidRDefault="00B26622"/>
                  </w:txbxContent>
                </v:textbox>
                <w10:wrap type="square"/>
              </v:rect>
            </w:pict>
          </mc:Fallback>
        </mc:AlternateContent>
      </w:r>
    </w:p>
    <w:p w14:paraId="3DC6495E" w14:textId="77777777" w:rsidR="00B26622" w:rsidRDefault="004E16E5">
      <w:pPr>
        <w:spacing w:line="360" w:lineRule="auto"/>
        <w:jc w:val="both"/>
        <w:rPr>
          <w:rFonts w:ascii="Times New Roman" w:hAnsi="Times New Roman"/>
          <w:sz w:val="24"/>
          <w:szCs w:val="24"/>
        </w:rPr>
      </w:pPr>
      <w:r>
        <w:rPr>
          <w:rFonts w:ascii="Times New Roman" w:hAnsi="Times New Roman"/>
          <w:noProof/>
          <w:sz w:val="24"/>
          <w:szCs w:val="24"/>
          <w:lang w:val="fr-FR" w:eastAsia="fr-FR"/>
        </w:rPr>
        <w:drawing>
          <wp:anchor distT="0" distB="0" distL="0" distR="0" simplePos="0" relativeHeight="251662848" behindDoc="0" locked="0" layoutInCell="1" allowOverlap="1">
            <wp:simplePos x="0" y="0"/>
            <wp:positionH relativeFrom="column">
              <wp:posOffset>2747645</wp:posOffset>
            </wp:positionH>
            <wp:positionV relativeFrom="paragraph">
              <wp:posOffset>2089150</wp:posOffset>
            </wp:positionV>
            <wp:extent cx="3185160" cy="1770378"/>
            <wp:effectExtent l="0" t="0" r="0" b="1270"/>
            <wp:wrapNone/>
            <wp:docPr id="1031" name="Picture 24" descr="f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4"/>
                    <pic:cNvPicPr/>
                  </pic:nvPicPr>
                  <pic:blipFill>
                    <a:blip r:embed="rId92" cstate="print"/>
                    <a:srcRect/>
                    <a:stretch/>
                  </pic:blipFill>
                  <pic:spPr>
                    <a:xfrm>
                      <a:off x="0" y="0"/>
                      <a:ext cx="3185160" cy="1770378"/>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60800" behindDoc="0" locked="0" layoutInCell="1" allowOverlap="1">
            <wp:simplePos x="0" y="0"/>
            <wp:positionH relativeFrom="column">
              <wp:posOffset>-846455</wp:posOffset>
            </wp:positionH>
            <wp:positionV relativeFrom="paragraph">
              <wp:posOffset>2069465</wp:posOffset>
            </wp:positionV>
            <wp:extent cx="3434079" cy="1799590"/>
            <wp:effectExtent l="0" t="0" r="0" b="0"/>
            <wp:wrapNone/>
            <wp:docPr id="10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3"/>
                    <pic:cNvPicPr/>
                  </pic:nvPicPr>
                  <pic:blipFill>
                    <a:blip r:embed="rId93" cstate="print"/>
                    <a:srcRect/>
                    <a:stretch/>
                  </pic:blipFill>
                  <pic:spPr>
                    <a:xfrm>
                      <a:off x="0" y="0"/>
                      <a:ext cx="3434079" cy="1799590"/>
                    </a:xfrm>
                    <a:prstGeom prst="rect">
                      <a:avLst/>
                    </a:prstGeom>
                  </pic:spPr>
                </pic:pic>
              </a:graphicData>
            </a:graphic>
            <wp14:sizeRelH relativeFrom="margin">
              <wp14:pctWidth>0</wp14:pctWidth>
            </wp14:sizeRelH>
            <wp14:sizeRelV relativeFrom="margin">
              <wp14:pctHeight>0</wp14:pctHeight>
            </wp14:sizeRelV>
          </wp:anchor>
        </w:drawing>
      </w:r>
    </w:p>
    <w:p w14:paraId="7AF9804C" w14:textId="77777777" w:rsidR="00B26622" w:rsidRDefault="00B26622">
      <w:pPr>
        <w:spacing w:line="360" w:lineRule="auto"/>
        <w:jc w:val="both"/>
        <w:rPr>
          <w:rFonts w:ascii="Times New Roman" w:hAnsi="Times New Roman"/>
          <w:sz w:val="24"/>
          <w:szCs w:val="24"/>
        </w:rPr>
      </w:pPr>
    </w:p>
    <w:p w14:paraId="50BBEC0E" w14:textId="77777777" w:rsidR="00B26622" w:rsidRDefault="00B26622">
      <w:pPr>
        <w:spacing w:line="360" w:lineRule="auto"/>
        <w:jc w:val="both"/>
        <w:rPr>
          <w:rFonts w:ascii="Times New Roman" w:hAnsi="Times New Roman"/>
          <w:sz w:val="24"/>
          <w:szCs w:val="24"/>
        </w:rPr>
      </w:pPr>
    </w:p>
    <w:p w14:paraId="545BA615"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 </w:t>
      </w:r>
    </w:p>
    <w:p w14:paraId="5AFF5B07" w14:textId="77777777" w:rsidR="00B26622" w:rsidRDefault="004E16E5">
      <w:pPr>
        <w:spacing w:line="360" w:lineRule="auto"/>
        <w:jc w:val="both"/>
        <w:rPr>
          <w:rFonts w:ascii="Times New Roman" w:hAnsi="Times New Roman"/>
          <w:sz w:val="24"/>
          <w:szCs w:val="24"/>
        </w:rPr>
      </w:pPr>
      <w:r>
        <w:rPr>
          <w:noProof/>
          <w:lang w:val="fr-FR" w:eastAsia="fr-FR"/>
        </w:rPr>
        <mc:AlternateContent>
          <mc:Choice Requires="wps">
            <w:drawing>
              <wp:anchor distT="45720" distB="45720" distL="114300" distR="114300" simplePos="0" relativeHeight="251656704" behindDoc="0" locked="0" layoutInCell="1" allowOverlap="1">
                <wp:simplePos x="0" y="0"/>
                <wp:positionH relativeFrom="column">
                  <wp:posOffset>2797175</wp:posOffset>
                </wp:positionH>
                <wp:positionV relativeFrom="paragraph">
                  <wp:posOffset>568960</wp:posOffset>
                </wp:positionV>
                <wp:extent cx="3233420" cy="2052319"/>
                <wp:effectExtent l="0" t="0" r="0" b="0"/>
                <wp:wrapSquare wrapText="bothSides"/>
                <wp:docPr id="10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3420" cy="2052319"/>
                        </a:xfrm>
                        <a:prstGeom prst="rect">
                          <a:avLst/>
                        </a:prstGeom>
                        <a:ln>
                          <a:noFill/>
                        </a:ln>
                      </wps:spPr>
                      <wps:txbx>
                        <w:txbxContent>
                          <w:p w14:paraId="608C33A5"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4 Photomicrograph of Rat’s Ovary obtained from Group Treated with </w:t>
                            </w:r>
                            <w:r>
                              <w:rPr>
                                <w:rFonts w:ascii="Times New Roman" w:hAnsi="Times New Roman"/>
                                <w:b/>
                                <w:i/>
                                <w:sz w:val="24"/>
                                <w:szCs w:val="24"/>
                              </w:rPr>
                              <w:t xml:space="preserve">Ficus Platyphylla </w:t>
                            </w:r>
                            <w:r>
                              <w:rPr>
                                <w:rFonts w:ascii="Times New Roman" w:hAnsi="Times New Roman"/>
                                <w:b/>
                                <w:sz w:val="24"/>
                                <w:szCs w:val="24"/>
                              </w:rPr>
                              <w:t>Aqueous Stem Bark Extract (50mg/kg)</w:t>
                            </w:r>
                          </w:p>
                          <w:p w14:paraId="7DA61B74"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secondary (red arrow), antral follicles (black arrow)</w:t>
                            </w:r>
                          </w:p>
                          <w:p w14:paraId="68781B29" w14:textId="77777777" w:rsidR="00B26622" w:rsidRDefault="00B26622"/>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2" o:spid="_x0000_s1028" style="position:absolute;left:0;text-align:left;margin-left:220.25pt;margin-top:44.8pt;width:254.6pt;height:161.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" filled="f" stroked="f">
                <v:textbox>
                  <w:txbxContent>
                    <w:p w14:paraId="608C33A5"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4 Photomicrograph of Rat’s Ovary obtained from Group Treated with </w:t>
                      </w:r>
                      <w:r>
                        <w:rPr>
                          <w:rFonts w:ascii="Times New Roman" w:hAnsi="Times New Roman"/>
                          <w:b/>
                          <w:i/>
                          <w:sz w:val="24"/>
                          <w:szCs w:val="24"/>
                        </w:rPr>
                        <w:t xml:space="preserve">Ficus Platyphylla </w:t>
                      </w:r>
                      <w:r>
                        <w:rPr>
                          <w:rFonts w:ascii="Times New Roman" w:hAnsi="Times New Roman"/>
                          <w:b/>
                          <w:sz w:val="24"/>
                          <w:szCs w:val="24"/>
                        </w:rPr>
                        <w:t>Aqueous Stem Bark Extract (50mg/kg)</w:t>
                      </w:r>
                    </w:p>
                    <w:p w14:paraId="7DA61B74"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secondary (red arrow), antral follicles (black arrow)</w:t>
                      </w:r>
                    </w:p>
                    <w:p w14:paraId="68781B29" w14:textId="77777777" w:rsidR="00B26622" w:rsidRDefault="00B26622"/>
                  </w:txbxContent>
                </v:textbox>
                <w10:wrap type="square"/>
              </v:rect>
            </w:pict>
          </mc:Fallback>
        </mc:AlternateContent>
      </w:r>
    </w:p>
    <w:p w14:paraId="62B6F4FF" w14:textId="77777777" w:rsidR="00B26622" w:rsidRDefault="004E16E5">
      <w:pPr>
        <w:spacing w:line="360" w:lineRule="auto"/>
        <w:jc w:val="both"/>
        <w:rPr>
          <w:rFonts w:ascii="Times New Roman" w:hAnsi="Times New Roman"/>
          <w:sz w:val="24"/>
          <w:szCs w:val="24"/>
        </w:rPr>
      </w:pPr>
      <w:r>
        <w:rPr>
          <w:noProof/>
          <w:lang w:val="fr-FR" w:eastAsia="fr-FR"/>
        </w:rPr>
        <mc:AlternateContent>
          <mc:Choice Requires="wps">
            <w:drawing>
              <wp:anchor distT="45720" distB="45720" distL="114300" distR="114300" simplePos="0" relativeHeight="251655680" behindDoc="0" locked="0" layoutInCell="1" allowOverlap="1">
                <wp:simplePos x="0" y="0"/>
                <wp:positionH relativeFrom="column">
                  <wp:posOffset>-835025</wp:posOffset>
                </wp:positionH>
                <wp:positionV relativeFrom="paragraph">
                  <wp:posOffset>179070</wp:posOffset>
                </wp:positionV>
                <wp:extent cx="3703320" cy="1720850"/>
                <wp:effectExtent l="3175" t="0" r="0" b="0"/>
                <wp:wrapSquare wrapText="bothSides"/>
                <wp:docPr id="10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1720850"/>
                        </a:xfrm>
                        <a:prstGeom prst="rect">
                          <a:avLst/>
                        </a:prstGeom>
                        <a:ln>
                          <a:noFill/>
                        </a:ln>
                      </wps:spPr>
                      <wps:txbx>
                        <w:txbxContent>
                          <w:p w14:paraId="36A24A8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3: Photomicrograph of Rat’s Ovary obtained from Group Treated with </w:t>
                            </w:r>
                            <w:r>
                              <w:rPr>
                                <w:rFonts w:ascii="Times New Roman" w:hAnsi="Times New Roman"/>
                                <w:b/>
                                <w:i/>
                                <w:sz w:val="24"/>
                                <w:szCs w:val="24"/>
                              </w:rPr>
                              <w:t xml:space="preserve">Ficus Platyphylla </w:t>
                            </w:r>
                            <w:r>
                              <w:rPr>
                                <w:rFonts w:ascii="Times New Roman" w:hAnsi="Times New Roman"/>
                                <w:b/>
                                <w:sz w:val="24"/>
                                <w:szCs w:val="24"/>
                              </w:rPr>
                              <w:t>Aqueous Stem Bark Extract (</w:t>
                            </w:r>
                            <w:r>
                              <w:rPr>
                                <w:rFonts w:ascii="Times New Roman" w:hAnsi="Times New Roman"/>
                                <w:b/>
                                <w:sz w:val="24"/>
                                <w:szCs w:val="24"/>
                              </w:rPr>
                              <w:t>25mg/kg)</w:t>
                            </w:r>
                          </w:p>
                          <w:p w14:paraId="0B11BE8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increased in follicular activities, numerous primordial cells, primary (red arrow), antral follicles (black arrow) and corpus luteum (white arrow).</w:t>
                            </w:r>
                          </w:p>
                          <w:p w14:paraId="42C76F07" w14:textId="77777777" w:rsidR="00B26622" w:rsidRDefault="00B26622"/>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1" o:spid="_x0000_s1029" style="position:absolute;left:0;text-align:left;margin-left:-65.75pt;margin-top:14.1pt;width:291.6pt;height:13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" filled="f" stroked="f">
                <v:textbox>
                  <w:txbxContent>
                    <w:p w14:paraId="36A24A86"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3: Photomicrograph of Rat’s Ovary obtained from Group Treated with </w:t>
                      </w:r>
                      <w:r>
                        <w:rPr>
                          <w:rFonts w:ascii="Times New Roman" w:hAnsi="Times New Roman"/>
                          <w:b/>
                          <w:i/>
                          <w:sz w:val="24"/>
                          <w:szCs w:val="24"/>
                        </w:rPr>
                        <w:t xml:space="preserve">Ficus Platyphylla </w:t>
                      </w:r>
                      <w:r>
                        <w:rPr>
                          <w:rFonts w:ascii="Times New Roman" w:hAnsi="Times New Roman"/>
                          <w:b/>
                          <w:sz w:val="24"/>
                          <w:szCs w:val="24"/>
                        </w:rPr>
                        <w:t>Aqueous Stem Bark Extract (</w:t>
                      </w:r>
                      <w:r>
                        <w:rPr>
                          <w:rFonts w:ascii="Times New Roman" w:hAnsi="Times New Roman"/>
                          <w:b/>
                          <w:sz w:val="24"/>
                          <w:szCs w:val="24"/>
                        </w:rPr>
                        <w:t>25mg/kg)</w:t>
                      </w:r>
                    </w:p>
                    <w:p w14:paraId="0B11BE8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increased in follicular activities, numerous primordial cells, primary (red arrow), antral follicles (black arrow) and corpus luteum (white arrow).</w:t>
                      </w:r>
                    </w:p>
                    <w:p w14:paraId="42C76F07" w14:textId="77777777" w:rsidR="00B26622" w:rsidRDefault="00B26622"/>
                  </w:txbxContent>
                </v:textbox>
                <w10:wrap type="square"/>
              </v:rect>
            </w:pict>
          </mc:Fallback>
        </mc:AlternateContent>
      </w:r>
    </w:p>
    <w:p w14:paraId="77FB308A" w14:textId="77777777" w:rsidR="00B26622" w:rsidRDefault="00B26622">
      <w:pPr>
        <w:spacing w:line="360" w:lineRule="auto"/>
        <w:jc w:val="both"/>
        <w:rPr>
          <w:rFonts w:ascii="Times New Roman" w:hAnsi="Times New Roman"/>
          <w:sz w:val="24"/>
          <w:szCs w:val="24"/>
        </w:rPr>
      </w:pPr>
    </w:p>
    <w:p w14:paraId="7A820588" w14:textId="77777777" w:rsidR="00B26622" w:rsidRDefault="00B26622">
      <w:pPr>
        <w:spacing w:line="360" w:lineRule="auto"/>
        <w:jc w:val="both"/>
        <w:rPr>
          <w:rFonts w:ascii="Times New Roman" w:hAnsi="Times New Roman"/>
          <w:sz w:val="24"/>
          <w:szCs w:val="24"/>
        </w:rPr>
      </w:pPr>
    </w:p>
    <w:p w14:paraId="691B25B8" w14:textId="77777777" w:rsidR="00B26622" w:rsidRDefault="00B26622">
      <w:pPr>
        <w:spacing w:line="360" w:lineRule="auto"/>
        <w:jc w:val="both"/>
        <w:rPr>
          <w:rFonts w:ascii="Times New Roman" w:hAnsi="Times New Roman"/>
          <w:sz w:val="24"/>
          <w:szCs w:val="24"/>
        </w:rPr>
      </w:pPr>
    </w:p>
    <w:p w14:paraId="5182F2A9" w14:textId="77777777" w:rsidR="00B26622" w:rsidRDefault="004E16E5">
      <w:pPr>
        <w:spacing w:line="360" w:lineRule="auto"/>
        <w:jc w:val="both"/>
        <w:rPr>
          <w:rFonts w:ascii="Times New Roman" w:hAnsi="Times New Roman"/>
          <w:sz w:val="24"/>
          <w:szCs w:val="24"/>
        </w:rPr>
      </w:pPr>
      <w:r>
        <w:rPr>
          <w:noProof/>
          <w:lang w:val="fr-FR" w:eastAsia="fr-FR"/>
        </w:rPr>
        <w:drawing>
          <wp:anchor distT="0" distB="0" distL="0" distR="0" simplePos="0" relativeHeight="251653632" behindDoc="0" locked="0" layoutInCell="1" allowOverlap="1">
            <wp:simplePos x="0" y="0"/>
            <wp:positionH relativeFrom="page">
              <wp:posOffset>3722370</wp:posOffset>
            </wp:positionH>
            <wp:positionV relativeFrom="page">
              <wp:posOffset>964564</wp:posOffset>
            </wp:positionV>
            <wp:extent cx="3164840" cy="1913889"/>
            <wp:effectExtent l="0" t="0" r="0" b="0"/>
            <wp:wrapNone/>
            <wp:docPr id="10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94" cstate="print"/>
                    <a:srcRect/>
                    <a:stretch/>
                  </pic:blipFill>
                  <pic:spPr>
                    <a:xfrm>
                      <a:off x="0" y="0"/>
                      <a:ext cx="3164840" cy="1913889"/>
                    </a:xfrm>
                    <a:prstGeom prst="rect">
                      <a:avLst/>
                    </a:prstGeom>
                  </pic:spPr>
                </pic:pic>
              </a:graphicData>
            </a:graphic>
            <wp14:sizeRelH relativeFrom="page">
              <wp14:pctWidth>0</wp14:pctWidth>
            </wp14:sizeRelH>
            <wp14:sizeRelV relativeFrom="page">
              <wp14:pctHeight>0</wp14:pctHeight>
            </wp14:sizeRelV>
          </wp:anchor>
        </w:drawing>
      </w:r>
    </w:p>
    <w:p w14:paraId="27A43009" w14:textId="77777777" w:rsidR="00B26622" w:rsidRDefault="004E16E5">
      <w:pPr>
        <w:spacing w:line="360" w:lineRule="auto"/>
        <w:jc w:val="both"/>
        <w:rPr>
          <w:rFonts w:ascii="Times New Roman" w:hAnsi="Times New Roman"/>
          <w:sz w:val="24"/>
          <w:szCs w:val="24"/>
        </w:rPr>
      </w:pPr>
      <w:r>
        <w:rPr>
          <w:noProof/>
          <w:lang w:val="fr-FR" w:eastAsia="fr-FR"/>
        </w:rPr>
        <w:drawing>
          <wp:anchor distT="0" distB="0" distL="0" distR="0" simplePos="0" relativeHeight="251650560" behindDoc="0" locked="0" layoutInCell="1" allowOverlap="1">
            <wp:simplePos x="0" y="0"/>
            <wp:positionH relativeFrom="column">
              <wp:posOffset>-4147185</wp:posOffset>
            </wp:positionH>
            <wp:positionV relativeFrom="paragraph">
              <wp:posOffset>145415</wp:posOffset>
            </wp:positionV>
            <wp:extent cx="3248660" cy="2061845"/>
            <wp:effectExtent l="0" t="0" r="8890" b="0"/>
            <wp:wrapNone/>
            <wp:docPr id="10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92" cstate="print"/>
                    <a:srcRect/>
                    <a:stretch/>
                  </pic:blipFill>
                  <pic:spPr>
                    <a:xfrm>
                      <a:off x="0" y="0"/>
                      <a:ext cx="3248660" cy="2061845"/>
                    </a:xfrm>
                    <a:prstGeom prst="rect">
                      <a:avLst/>
                    </a:prstGeom>
                  </pic:spPr>
                </pic:pic>
              </a:graphicData>
            </a:graphic>
            <wp14:sizeRelH relativeFrom="margin">
              <wp14:pctWidth>0</wp14:pctWidth>
            </wp14:sizeRelH>
            <wp14:sizeRelV relativeFrom="margin">
              <wp14:pctHeight>0</wp14:pctHeight>
            </wp14:sizeRelV>
          </wp:anchor>
        </w:drawing>
      </w:r>
    </w:p>
    <w:p w14:paraId="60D39FA9" w14:textId="77777777" w:rsidR="00B26622" w:rsidRDefault="004E16E5">
      <w:pPr>
        <w:spacing w:line="360" w:lineRule="auto"/>
        <w:jc w:val="both"/>
        <w:rPr>
          <w:rFonts w:ascii="Times New Roman" w:hAnsi="Times New Roman"/>
          <w:sz w:val="24"/>
          <w:szCs w:val="24"/>
        </w:rPr>
      </w:pPr>
      <w:r>
        <w:rPr>
          <w:noProof/>
          <w:lang w:val="fr-FR" w:eastAsia="fr-FR"/>
        </w:rPr>
        <w:lastRenderedPageBreak/>
        <w:drawing>
          <wp:anchor distT="0" distB="0" distL="0" distR="0" simplePos="0" relativeHeight="251651584" behindDoc="0" locked="0" layoutInCell="1" allowOverlap="1">
            <wp:simplePos x="0" y="0"/>
            <wp:positionH relativeFrom="column">
              <wp:posOffset>-817880</wp:posOffset>
            </wp:positionH>
            <wp:positionV relativeFrom="paragraph">
              <wp:posOffset>-767715</wp:posOffset>
            </wp:positionV>
            <wp:extent cx="3540125" cy="1985645"/>
            <wp:effectExtent l="0" t="0" r="3175" b="0"/>
            <wp:wrapNone/>
            <wp:docPr id="103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95" cstate="print"/>
                    <a:srcRect/>
                    <a:stretch/>
                  </pic:blipFill>
                  <pic:spPr>
                    <a:xfrm>
                      <a:off x="0" y="0"/>
                      <a:ext cx="3540125" cy="1985645"/>
                    </a:xfrm>
                    <a:prstGeom prst="rect">
                      <a:avLst/>
                    </a:prstGeom>
                  </pic:spPr>
                </pic:pic>
              </a:graphicData>
            </a:graphic>
            <wp14:sizeRelH relativeFrom="page">
              <wp14:pctWidth>0</wp14:pctWidth>
            </wp14:sizeRelH>
            <wp14:sizeRelV relativeFrom="page">
              <wp14:pctHeight>0</wp14:pctHeight>
            </wp14:sizeRelV>
          </wp:anchor>
        </w:drawing>
      </w:r>
    </w:p>
    <w:p w14:paraId="31A100CB" w14:textId="77777777" w:rsidR="00B26622" w:rsidRDefault="00B26622">
      <w:pPr>
        <w:spacing w:line="360" w:lineRule="auto"/>
        <w:jc w:val="both"/>
        <w:rPr>
          <w:rFonts w:ascii="Times New Roman" w:hAnsi="Times New Roman"/>
          <w:sz w:val="24"/>
          <w:szCs w:val="24"/>
        </w:rPr>
      </w:pPr>
    </w:p>
    <w:p w14:paraId="08A842E4" w14:textId="77777777" w:rsidR="00B26622" w:rsidRDefault="004E16E5">
      <w:pPr>
        <w:spacing w:line="360" w:lineRule="auto"/>
        <w:jc w:val="both"/>
        <w:rPr>
          <w:rFonts w:ascii="Times New Roman" w:hAnsi="Times New Roman"/>
          <w:sz w:val="24"/>
          <w:szCs w:val="24"/>
        </w:rPr>
      </w:pPr>
      <w:r>
        <w:rPr>
          <w:rFonts w:ascii="Times New Roman" w:hAnsi="Times New Roman"/>
          <w:noProof/>
          <w:sz w:val="24"/>
          <w:szCs w:val="24"/>
          <w:lang w:val="fr-FR" w:eastAsia="fr-FR"/>
        </w:rPr>
        <mc:AlternateContent>
          <mc:Choice Requires="wps">
            <w:drawing>
              <wp:anchor distT="45720" distB="45720" distL="114300" distR="114300" simplePos="0" relativeHeight="251657728" behindDoc="0" locked="0" layoutInCell="1" allowOverlap="1">
                <wp:simplePos x="0" y="0"/>
                <wp:positionH relativeFrom="column">
                  <wp:posOffset>-892175</wp:posOffset>
                </wp:positionH>
                <wp:positionV relativeFrom="paragraph">
                  <wp:posOffset>487045</wp:posOffset>
                </wp:positionV>
                <wp:extent cx="3567430" cy="1484629"/>
                <wp:effectExtent l="3175" t="1270" r="1270" b="0"/>
                <wp:wrapSquare wrapText="bothSides"/>
                <wp:docPr id="10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30" cy="1484629"/>
                        </a:xfrm>
                        <a:prstGeom prst="rect">
                          <a:avLst/>
                        </a:prstGeom>
                        <a:ln>
                          <a:noFill/>
                        </a:ln>
                      </wps:spPr>
                      <wps:txbx>
                        <w:txbxContent>
                          <w:p w14:paraId="63BA803A"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5: Photomicrograph of Rat’s Ovary obtained from Group Treated </w:t>
                            </w:r>
                            <w:r>
                              <w:rPr>
                                <w:rFonts w:ascii="Times New Roman" w:hAnsi="Times New Roman"/>
                                <w:b/>
                                <w:sz w:val="24"/>
                                <w:szCs w:val="24"/>
                              </w:rPr>
                              <w:t xml:space="preserve">with </w:t>
                            </w:r>
                            <w:r>
                              <w:rPr>
                                <w:rFonts w:ascii="Times New Roman" w:hAnsi="Times New Roman"/>
                                <w:b/>
                                <w:i/>
                                <w:sz w:val="24"/>
                                <w:szCs w:val="24"/>
                              </w:rPr>
                              <w:t xml:space="preserve">Ficus Platyphylla </w:t>
                            </w:r>
                            <w:r>
                              <w:rPr>
                                <w:rFonts w:ascii="Times New Roman" w:hAnsi="Times New Roman"/>
                                <w:b/>
                                <w:sz w:val="24"/>
                                <w:szCs w:val="24"/>
                              </w:rPr>
                              <w:t>Aqueous Stem Bark Extract (100mg/kg)</w:t>
                            </w:r>
                          </w:p>
                          <w:p w14:paraId="04D62EE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graafian (red arrow) and antral (black arrow)</w:t>
                            </w:r>
                          </w:p>
                          <w:p w14:paraId="27D1203E" w14:textId="77777777" w:rsidR="00B26622" w:rsidRDefault="00B26622">
                            <w:pPr>
                              <w:spacing w:line="360" w:lineRule="auto"/>
                              <w:jc w:val="both"/>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7" o:spid="_x0000_s1030" style="position:absolute;left:0;text-align:left;margin-left:-70.25pt;margin-top:38.35pt;width:280.9pt;height:116.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" filled="f" stroked="f">
                <v:textbox>
                  <w:txbxContent>
                    <w:p w14:paraId="63BA803A"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5: Photomicrograph of Rat’s Ovary obtained from Group Treated </w:t>
                      </w:r>
                      <w:r>
                        <w:rPr>
                          <w:rFonts w:ascii="Times New Roman" w:hAnsi="Times New Roman"/>
                          <w:b/>
                          <w:sz w:val="24"/>
                          <w:szCs w:val="24"/>
                        </w:rPr>
                        <w:t xml:space="preserve">with </w:t>
                      </w:r>
                      <w:r>
                        <w:rPr>
                          <w:rFonts w:ascii="Times New Roman" w:hAnsi="Times New Roman"/>
                          <w:b/>
                          <w:i/>
                          <w:sz w:val="24"/>
                          <w:szCs w:val="24"/>
                        </w:rPr>
                        <w:t xml:space="preserve">Ficus Platyphylla </w:t>
                      </w:r>
                      <w:r>
                        <w:rPr>
                          <w:rFonts w:ascii="Times New Roman" w:hAnsi="Times New Roman"/>
                          <w:b/>
                          <w:sz w:val="24"/>
                          <w:szCs w:val="24"/>
                        </w:rPr>
                        <w:t>Aqueous Stem Bark Extract (100mg/kg)</w:t>
                      </w:r>
                    </w:p>
                    <w:p w14:paraId="04D62EE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graafian (red arrow) and antral (black arrow)</w:t>
                      </w:r>
                    </w:p>
                    <w:p w14:paraId="27D1203E" w14:textId="77777777" w:rsidR="00B26622" w:rsidRDefault="00B26622">
                      <w:pPr>
                        <w:spacing w:line="360" w:lineRule="auto"/>
                        <w:jc w:val="both"/>
                      </w:pPr>
                    </w:p>
                  </w:txbxContent>
                </v:textbox>
                <w10:wrap type="square"/>
              </v:rect>
            </w:pict>
          </mc:Fallback>
        </mc:AlternateContent>
      </w:r>
      <w:r>
        <w:rPr>
          <w:rFonts w:ascii="Times New Roman" w:hAnsi="Times New Roman"/>
          <w:noProof/>
          <w:sz w:val="24"/>
          <w:szCs w:val="24"/>
          <w:lang w:val="fr-FR" w:eastAsia="fr-FR"/>
        </w:rPr>
        <mc:AlternateContent>
          <mc:Choice Requires="wps">
            <w:drawing>
              <wp:anchor distT="45720" distB="45720" distL="114300" distR="114300" simplePos="0" relativeHeight="251658752" behindDoc="0" locked="0" layoutInCell="1" allowOverlap="1">
                <wp:simplePos x="0" y="0"/>
                <wp:positionH relativeFrom="column">
                  <wp:posOffset>2774950</wp:posOffset>
                </wp:positionH>
                <wp:positionV relativeFrom="paragraph">
                  <wp:posOffset>455294</wp:posOffset>
                </wp:positionV>
                <wp:extent cx="3083559" cy="2024380"/>
                <wp:effectExtent l="3175" t="0" r="0" b="0"/>
                <wp:wrapSquare wrapText="bothSides"/>
                <wp:docPr id="10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3559" cy="2024380"/>
                        </a:xfrm>
                        <a:prstGeom prst="rect">
                          <a:avLst/>
                        </a:prstGeom>
                        <a:ln>
                          <a:noFill/>
                        </a:ln>
                      </wps:spPr>
                      <wps:txbx>
                        <w:txbxContent>
                          <w:p w14:paraId="48AAC70A"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Plate.6: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(2</w:t>
                            </w:r>
                            <w:r>
                              <w:rPr>
                                <w:rFonts w:ascii="Times New Roman" w:hAnsi="Times New Roman"/>
                                <w:b/>
                                <w:sz w:val="24"/>
                                <w:szCs w:val="24"/>
                              </w:rPr>
                              <w:t>5mg/kg)</w:t>
                            </w:r>
                          </w:p>
                          <w:p w14:paraId="5AA29DCD"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higher follicular activities, numerous primordial cells, primary (red arrow), antral follicles (black arrow) and corpus luteum (white arrow)</w:t>
                            </w:r>
                          </w:p>
                          <w:p w14:paraId="2B8CB324" w14:textId="77777777" w:rsidR="00B26622" w:rsidRDefault="00B26622">
                            <w:pPr>
                              <w:spacing w:line="360" w:lineRule="auto"/>
                              <w:jc w:val="both"/>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6" o:spid="_x0000_s1031" style="position:absolute;left:0;text-align:left;margin-left:218.5pt;margin-top:35.85pt;width:242.8pt;height:159.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" filled="f" stroked="f">
                <v:textbox>
                  <w:txbxContent>
                    <w:p w14:paraId="48AAC70A"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Plate.6: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Aqueous Extract (2</w:t>
                      </w:r>
                      <w:r>
                        <w:rPr>
                          <w:rFonts w:ascii="Times New Roman" w:hAnsi="Times New Roman"/>
                          <w:b/>
                          <w:sz w:val="24"/>
                          <w:szCs w:val="24"/>
                        </w:rPr>
                        <w:t>5mg/kg)</w:t>
                      </w:r>
                    </w:p>
                    <w:p w14:paraId="5AA29DCD"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higher follicular activities, numerous primordial cells, primary (red arrow), antral follicles (black arrow) and corpus luteum (white arrow)</w:t>
                      </w:r>
                    </w:p>
                    <w:p w14:paraId="2B8CB324" w14:textId="77777777" w:rsidR="00B26622" w:rsidRDefault="00B26622">
                      <w:pPr>
                        <w:spacing w:line="360" w:lineRule="auto"/>
                        <w:jc w:val="both"/>
                      </w:pPr>
                    </w:p>
                  </w:txbxContent>
                </v:textbox>
                <w10:wrap type="square"/>
              </v:rect>
            </w:pict>
          </mc:Fallback>
        </mc:AlternateContent>
      </w:r>
    </w:p>
    <w:p w14:paraId="4FC1349C" w14:textId="77777777" w:rsidR="00B26622" w:rsidRDefault="004E16E5">
      <w:pPr>
        <w:spacing w:line="360" w:lineRule="auto"/>
        <w:jc w:val="both"/>
        <w:rPr>
          <w:rFonts w:ascii="Times New Roman" w:hAnsi="Times New Roman"/>
          <w:sz w:val="24"/>
          <w:szCs w:val="24"/>
        </w:rPr>
      </w:pPr>
      <w:r>
        <w:rPr>
          <w:rFonts w:ascii="Times New Roman" w:hAnsi="Times New Roman"/>
          <w:noProof/>
          <w:sz w:val="24"/>
          <w:szCs w:val="24"/>
          <w:lang w:val="fr-FR" w:eastAsia="fr-FR"/>
        </w:rPr>
        <w:drawing>
          <wp:anchor distT="0" distB="0" distL="0" distR="0" simplePos="0" relativeHeight="251664896" behindDoc="0" locked="0" layoutInCell="1" allowOverlap="1">
            <wp:simplePos x="0" y="0"/>
            <wp:positionH relativeFrom="column">
              <wp:posOffset>-855980</wp:posOffset>
            </wp:positionH>
            <wp:positionV relativeFrom="paragraph">
              <wp:posOffset>1946910</wp:posOffset>
            </wp:positionV>
            <wp:extent cx="3584575" cy="2023109"/>
            <wp:effectExtent l="0" t="0" r="0" b="0"/>
            <wp:wrapNone/>
            <wp:docPr id="1040" name="Picture 15" descr="po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6" cstate="print"/>
                    <a:srcRect/>
                    <a:stretch/>
                  </pic:blipFill>
                  <pic:spPr>
                    <a:xfrm>
                      <a:off x="0" y="0"/>
                      <a:ext cx="3584575" cy="2023109"/>
                    </a:xfrm>
                    <a:prstGeom prst="rect">
                      <a:avLst/>
                    </a:prstGeom>
                  </pic:spPr>
                </pic:pic>
              </a:graphicData>
            </a:graphic>
            <wp14:sizeRelH relativeFrom="page">
              <wp14:pctWidth>0</wp14:pctWidth>
            </wp14:sizeRelH>
            <wp14:sizeRelV relativeFrom="page">
              <wp14:pctHeight>0</wp14:pctHeight>
            </wp14:sizeRelV>
          </wp:anchor>
        </w:drawing>
      </w:r>
    </w:p>
    <w:p w14:paraId="420C17EB" w14:textId="77777777" w:rsidR="00B26622" w:rsidRDefault="004E16E5">
      <w:pPr>
        <w:spacing w:line="360" w:lineRule="auto"/>
        <w:jc w:val="both"/>
        <w:rPr>
          <w:rFonts w:ascii="Times New Roman" w:hAnsi="Times New Roman"/>
          <w:sz w:val="24"/>
          <w:szCs w:val="24"/>
        </w:rPr>
      </w:pPr>
      <w:r>
        <w:rPr>
          <w:rFonts w:ascii="Times New Roman" w:hAnsi="Times New Roman"/>
          <w:noProof/>
          <w:sz w:val="24"/>
          <w:szCs w:val="24"/>
          <w:lang w:val="fr-FR" w:eastAsia="fr-FR"/>
        </w:rPr>
        <w:drawing>
          <wp:anchor distT="0" distB="0" distL="0" distR="0" simplePos="0" relativeHeight="251665920" behindDoc="0" locked="0" layoutInCell="1" allowOverlap="1">
            <wp:simplePos x="0" y="0"/>
            <wp:positionH relativeFrom="column">
              <wp:posOffset>2805430</wp:posOffset>
            </wp:positionH>
            <wp:positionV relativeFrom="paragraph">
              <wp:posOffset>1270</wp:posOffset>
            </wp:positionV>
            <wp:extent cx="3167379" cy="1948814"/>
            <wp:effectExtent l="0" t="0" r="0" b="0"/>
            <wp:wrapNone/>
            <wp:docPr id="1041" name="Picture 14" descr="po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97" cstate="print"/>
                    <a:srcRect/>
                    <a:stretch/>
                  </pic:blipFill>
                  <pic:spPr>
                    <a:xfrm>
                      <a:off x="0" y="0"/>
                      <a:ext cx="3167379" cy="1948814"/>
                    </a:xfrm>
                    <a:prstGeom prst="rect">
                      <a:avLst/>
                    </a:prstGeom>
                  </pic:spPr>
                </pic:pic>
              </a:graphicData>
            </a:graphic>
            <wp14:sizeRelH relativeFrom="page">
              <wp14:pctWidth>0</wp14:pctWidth>
            </wp14:sizeRelH>
            <wp14:sizeRelV relativeFrom="page">
              <wp14:pctHeight>0</wp14:pctHeight>
            </wp14:sizeRelV>
          </wp:anchor>
        </w:drawing>
      </w:r>
    </w:p>
    <w:p w14:paraId="64FE64A4" w14:textId="77777777" w:rsidR="00B26622" w:rsidRDefault="00B26622">
      <w:pPr>
        <w:spacing w:line="360" w:lineRule="auto"/>
        <w:jc w:val="both"/>
        <w:rPr>
          <w:rFonts w:ascii="Times New Roman" w:hAnsi="Times New Roman"/>
          <w:sz w:val="24"/>
          <w:szCs w:val="24"/>
        </w:rPr>
      </w:pPr>
    </w:p>
    <w:p w14:paraId="0E67D25B" w14:textId="77777777" w:rsidR="00B26622" w:rsidRDefault="00B26622">
      <w:pPr>
        <w:spacing w:line="360" w:lineRule="auto"/>
        <w:jc w:val="both"/>
        <w:rPr>
          <w:rFonts w:ascii="Times New Roman" w:hAnsi="Times New Roman"/>
          <w:sz w:val="24"/>
          <w:szCs w:val="24"/>
        </w:rPr>
      </w:pPr>
    </w:p>
    <w:p w14:paraId="3FFD9A51" w14:textId="77777777" w:rsidR="00B26622" w:rsidRDefault="00B26622">
      <w:pPr>
        <w:spacing w:line="360" w:lineRule="auto"/>
        <w:jc w:val="both"/>
        <w:rPr>
          <w:rFonts w:ascii="Times New Roman" w:hAnsi="Times New Roman"/>
          <w:sz w:val="24"/>
          <w:szCs w:val="24"/>
        </w:rPr>
      </w:pPr>
    </w:p>
    <w:p w14:paraId="7F15E42C" w14:textId="77777777" w:rsidR="00B26622" w:rsidRDefault="00B26622">
      <w:pPr>
        <w:spacing w:line="360" w:lineRule="auto"/>
        <w:jc w:val="both"/>
        <w:rPr>
          <w:rFonts w:ascii="Times New Roman" w:hAnsi="Times New Roman"/>
          <w:sz w:val="24"/>
          <w:szCs w:val="24"/>
        </w:rPr>
      </w:pPr>
    </w:p>
    <w:p w14:paraId="05DF6885" w14:textId="77777777" w:rsidR="00B26622" w:rsidRDefault="004E16E5">
      <w:pPr>
        <w:spacing w:line="360" w:lineRule="auto"/>
        <w:jc w:val="both"/>
        <w:rPr>
          <w:rFonts w:ascii="Times New Roman" w:hAnsi="Times New Roman"/>
          <w:sz w:val="24"/>
          <w:szCs w:val="24"/>
        </w:rPr>
      </w:pPr>
      <w:r>
        <w:rPr>
          <w:rFonts w:ascii="Times New Roman" w:hAnsi="Times New Roman"/>
          <w:noProof/>
          <w:sz w:val="24"/>
          <w:szCs w:val="24"/>
          <w:lang w:val="fr-FR" w:eastAsia="fr-FR"/>
        </w:rPr>
        <mc:AlternateContent>
          <mc:Choice Requires="wps">
            <w:drawing>
              <wp:anchor distT="45720" distB="45720" distL="114300" distR="114300" simplePos="0" relativeHeight="251661824" behindDoc="0" locked="0" layoutInCell="1" allowOverlap="1">
                <wp:simplePos x="0" y="0"/>
                <wp:positionH relativeFrom="column">
                  <wp:posOffset>2718435</wp:posOffset>
                </wp:positionH>
                <wp:positionV relativeFrom="paragraph">
                  <wp:posOffset>146685</wp:posOffset>
                </wp:positionV>
                <wp:extent cx="3254375" cy="1706877"/>
                <wp:effectExtent l="3810" t="3810" r="0" b="3810"/>
                <wp:wrapSquare wrapText="bothSides"/>
                <wp:docPr id="10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4375" cy="1706877"/>
                        </a:xfrm>
                        <a:prstGeom prst="rect">
                          <a:avLst/>
                        </a:prstGeom>
                        <a:ln>
                          <a:noFill/>
                        </a:ln>
                      </wps:spPr>
                      <wps:txbx>
                        <w:txbxContent>
                          <w:p w14:paraId="26915263"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8: Photomicrograph of Rat’s Ovary obtained from Group Treated with </w:t>
                            </w:r>
                            <w:r>
                              <w:rPr>
                                <w:rFonts w:ascii="Times New Roman" w:hAnsi="Times New Roman"/>
                                <w:b/>
                                <w:sz w:val="24"/>
                                <w:szCs w:val="24"/>
                              </w:rPr>
                              <w:t>Polyherbal</w:t>
                            </w:r>
                            <w:r>
                              <w:rPr>
                                <w:rFonts w:ascii="Times New Roman" w:hAnsi="Times New Roman"/>
                                <w:b/>
                                <w:i/>
                                <w:sz w:val="24"/>
                                <w:szCs w:val="24"/>
                              </w:rPr>
                              <w:t xml:space="preserve"> </w:t>
                            </w:r>
                            <w:r>
                              <w:rPr>
                                <w:rFonts w:ascii="Times New Roman" w:hAnsi="Times New Roman"/>
                                <w:b/>
                                <w:sz w:val="24"/>
                                <w:szCs w:val="24"/>
                              </w:rPr>
                              <w:t>Aqueous Extract (100mg/kg)</w:t>
                            </w:r>
                          </w:p>
                          <w:p w14:paraId="30125949"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numerous antral (red arrow) and primary (black arrow) follicles</w:t>
                            </w:r>
                          </w:p>
                          <w:p w14:paraId="4AF81DA3" w14:textId="77777777" w:rsidR="00B26622" w:rsidRDefault="00B26622">
                            <w:pPr>
                              <w:spacing w:line="360" w:lineRule="auto"/>
                              <w:jc w:val="both"/>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3" o:spid="_x0000_s1032" style="position:absolute;left:0;text-align:left;margin-left:214.05pt;margin-top:11.55pt;width:256.25pt;height:134.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" filled="f" stroked="f">
                <v:textbox>
                  <w:txbxContent>
                    <w:p w14:paraId="26915263"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 xml:space="preserve">Plate 8: Photomicrograph of Rat’s Ovary obtained from Group Treated with </w:t>
                      </w:r>
                      <w:r>
                        <w:rPr>
                          <w:rFonts w:ascii="Times New Roman" w:hAnsi="Times New Roman"/>
                          <w:b/>
                          <w:sz w:val="24"/>
                          <w:szCs w:val="24"/>
                        </w:rPr>
                        <w:t>Polyherbal</w:t>
                      </w:r>
                      <w:r>
                        <w:rPr>
                          <w:rFonts w:ascii="Times New Roman" w:hAnsi="Times New Roman"/>
                          <w:b/>
                          <w:i/>
                          <w:sz w:val="24"/>
                          <w:szCs w:val="24"/>
                        </w:rPr>
                        <w:t xml:space="preserve"> </w:t>
                      </w:r>
                      <w:r>
                        <w:rPr>
                          <w:rFonts w:ascii="Times New Roman" w:hAnsi="Times New Roman"/>
                          <w:b/>
                          <w:sz w:val="24"/>
                          <w:szCs w:val="24"/>
                        </w:rPr>
                        <w:t>Aqueous Extract (100mg/kg)</w:t>
                      </w:r>
                    </w:p>
                    <w:p w14:paraId="30125949"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numerous antral (red arrow) and primary (black arrow) follicles</w:t>
                      </w:r>
                    </w:p>
                    <w:p w14:paraId="4AF81DA3" w14:textId="77777777" w:rsidR="00B26622" w:rsidRDefault="00B26622">
                      <w:pPr>
                        <w:spacing w:line="360" w:lineRule="auto"/>
                        <w:jc w:val="both"/>
                      </w:pPr>
                    </w:p>
                  </w:txbxContent>
                </v:textbox>
                <w10:wrap type="square"/>
              </v:rect>
            </w:pict>
          </mc:Fallback>
        </mc:AlternateContent>
      </w:r>
      <w:r>
        <w:rPr>
          <w:rFonts w:ascii="Times New Roman" w:hAnsi="Times New Roman"/>
          <w:noProof/>
          <w:sz w:val="24"/>
          <w:szCs w:val="24"/>
          <w:lang w:val="fr-FR" w:eastAsia="fr-FR"/>
        </w:rPr>
        <mc:AlternateContent>
          <mc:Choice Requires="wps">
            <w:drawing>
              <wp:anchor distT="0" distB="0" distL="0" distR="0" simplePos="0" relativeHeight="251659776" behindDoc="0" locked="0" layoutInCell="1" allowOverlap="1">
                <wp:simplePos x="0" y="0"/>
                <wp:positionH relativeFrom="column">
                  <wp:posOffset>-906145</wp:posOffset>
                </wp:positionH>
                <wp:positionV relativeFrom="paragraph">
                  <wp:posOffset>121285</wp:posOffset>
                </wp:positionV>
                <wp:extent cx="3703955" cy="1783715"/>
                <wp:effectExtent l="0" t="0" r="2540" b="0"/>
                <wp:wrapNone/>
                <wp:docPr id="10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955" cy="1783715"/>
                        </a:xfrm>
                        <a:prstGeom prst="rect">
                          <a:avLst/>
                        </a:prstGeom>
                        <a:ln>
                          <a:noFill/>
                        </a:ln>
                      </wps:spPr>
                      <wps:txbx>
                        <w:txbxContent>
                          <w:p w14:paraId="027E83BD"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 7: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 xml:space="preserve">Aqueous Extract </w:t>
                            </w:r>
                            <w:r>
                              <w:rPr>
                                <w:rFonts w:ascii="Times New Roman" w:hAnsi="Times New Roman"/>
                                <w:b/>
                                <w:sz w:val="24"/>
                                <w:szCs w:val="24"/>
                              </w:rPr>
                              <w:t>(50mg/kg)</w:t>
                            </w:r>
                          </w:p>
                          <w:p w14:paraId="4A90935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large graafian follicle (red arrow) and occasional primary follicle (black arrow)</w:t>
                            </w:r>
                          </w:p>
                          <w:p w14:paraId="27708A55" w14:textId="77777777" w:rsidR="00B26622" w:rsidRDefault="00B26622">
                            <w:pPr>
                              <w:spacing w:line="360" w:lineRule="auto"/>
                              <w:jc w:val="both"/>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2" o:spid="_x0000_s1033" style="position:absolute;left:0;text-align:left;margin-left:-71.35pt;margin-top:9.55pt;width:291.65pt;height:140.4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" filled="f" stroked="f">
                <v:textbox>
                  <w:txbxContent>
                    <w:p w14:paraId="027E83BD"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Plate 7: Photomicrograph of Rat’s Ovary obtained from Group Treated with Polyherbal</w:t>
                      </w:r>
                      <w:r>
                        <w:rPr>
                          <w:rFonts w:ascii="Times New Roman" w:hAnsi="Times New Roman"/>
                          <w:b/>
                          <w:i/>
                          <w:sz w:val="24"/>
                          <w:szCs w:val="24"/>
                        </w:rPr>
                        <w:t xml:space="preserve"> </w:t>
                      </w:r>
                      <w:r>
                        <w:rPr>
                          <w:rFonts w:ascii="Times New Roman" w:hAnsi="Times New Roman"/>
                          <w:b/>
                          <w:sz w:val="24"/>
                          <w:szCs w:val="24"/>
                        </w:rPr>
                        <w:t xml:space="preserve">Aqueous Extract </w:t>
                      </w:r>
                      <w:r>
                        <w:rPr>
                          <w:rFonts w:ascii="Times New Roman" w:hAnsi="Times New Roman"/>
                          <w:b/>
                          <w:sz w:val="24"/>
                          <w:szCs w:val="24"/>
                        </w:rPr>
                        <w:t>(50mg/kg)</w:t>
                      </w:r>
                    </w:p>
                    <w:p w14:paraId="4A90935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Section showing mild follicular activities, large graafian follicle (red arrow) and occasional primary follicle (black arrow)</w:t>
                      </w:r>
                    </w:p>
                    <w:p w14:paraId="27708A55" w14:textId="77777777" w:rsidR="00B26622" w:rsidRDefault="00B26622">
                      <w:pPr>
                        <w:spacing w:line="360" w:lineRule="auto"/>
                        <w:jc w:val="both"/>
                      </w:pPr>
                    </w:p>
                  </w:txbxContent>
                </v:textbox>
              </v:rect>
            </w:pict>
          </mc:Fallback>
        </mc:AlternateContent>
      </w:r>
    </w:p>
    <w:p w14:paraId="2377ABAF" w14:textId="77777777" w:rsidR="00B26622" w:rsidRDefault="00B26622">
      <w:pPr>
        <w:spacing w:line="360" w:lineRule="auto"/>
        <w:jc w:val="both"/>
        <w:rPr>
          <w:rFonts w:ascii="Times New Roman" w:hAnsi="Times New Roman"/>
          <w:sz w:val="24"/>
          <w:szCs w:val="24"/>
        </w:rPr>
      </w:pPr>
    </w:p>
    <w:p w14:paraId="41021305" w14:textId="77777777" w:rsidR="00B26622" w:rsidRDefault="00B26622">
      <w:pPr>
        <w:spacing w:line="360" w:lineRule="auto"/>
        <w:jc w:val="both"/>
        <w:rPr>
          <w:rFonts w:ascii="Times New Roman" w:hAnsi="Times New Roman"/>
          <w:sz w:val="24"/>
          <w:szCs w:val="24"/>
        </w:rPr>
      </w:pPr>
    </w:p>
    <w:p w14:paraId="07A0745F" w14:textId="77777777" w:rsidR="00B26622" w:rsidRDefault="00B26622">
      <w:pPr>
        <w:spacing w:line="360" w:lineRule="auto"/>
        <w:jc w:val="both"/>
        <w:rPr>
          <w:rFonts w:ascii="Times New Roman" w:hAnsi="Times New Roman"/>
          <w:sz w:val="24"/>
          <w:szCs w:val="24"/>
        </w:rPr>
      </w:pPr>
    </w:p>
    <w:p w14:paraId="319D13EA" w14:textId="77777777" w:rsidR="00B26622" w:rsidRDefault="00B26622">
      <w:pPr>
        <w:spacing w:line="360" w:lineRule="auto"/>
        <w:jc w:val="both"/>
        <w:rPr>
          <w:rFonts w:ascii="Times New Roman" w:hAnsi="Times New Roman"/>
          <w:sz w:val="24"/>
          <w:szCs w:val="24"/>
        </w:rPr>
      </w:pPr>
    </w:p>
    <w:p w14:paraId="7211C2B5" w14:textId="77777777" w:rsidR="00B26622" w:rsidRDefault="00B26622">
      <w:pPr>
        <w:spacing w:line="360" w:lineRule="auto"/>
        <w:jc w:val="both"/>
        <w:rPr>
          <w:rFonts w:ascii="Times New Roman" w:hAnsi="Times New Roman"/>
          <w:b/>
          <w:sz w:val="24"/>
          <w:szCs w:val="24"/>
        </w:rPr>
      </w:pPr>
    </w:p>
    <w:p w14:paraId="2E679DA1"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4.0 DISCUSSION</w:t>
      </w:r>
    </w:p>
    <w:p w14:paraId="5816F756"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 xml:space="preserve">The study demonstrates that </w:t>
      </w:r>
      <w:r>
        <w:rPr>
          <w:rFonts w:ascii="Times New Roman" w:hAnsi="Times New Roman"/>
          <w:i/>
          <w:sz w:val="24"/>
          <w:szCs w:val="24"/>
        </w:rPr>
        <w:t>Ficus platyphylla</w:t>
      </w:r>
      <w:r>
        <w:rPr>
          <w:rFonts w:ascii="Times New Roman" w:hAnsi="Times New Roman"/>
          <w:sz w:val="24"/>
          <w:szCs w:val="24"/>
        </w:rPr>
        <w:t xml:space="preserve"> and its polyherbal formulation exhibit aphrodisiac a</w:t>
      </w:r>
      <w:r>
        <w:rPr>
          <w:rFonts w:ascii="Times New Roman" w:hAnsi="Times New Roman"/>
          <w:sz w:val="24"/>
          <w:szCs w:val="24"/>
        </w:rPr>
        <w:t xml:space="preserve">ctivity in female albino rats, supporting traditional claims of enhanced reproductive function in northern Nigeria, likely through phytochemicals. Phytochemical analysis of </w:t>
      </w:r>
      <w:r>
        <w:rPr>
          <w:rFonts w:ascii="Times New Roman" w:hAnsi="Times New Roman"/>
          <w:i/>
          <w:sz w:val="24"/>
          <w:szCs w:val="24"/>
        </w:rPr>
        <w:t>Ficus platyphylla</w:t>
      </w:r>
      <w:r>
        <w:rPr>
          <w:rFonts w:ascii="Times New Roman" w:hAnsi="Times New Roman"/>
          <w:sz w:val="24"/>
          <w:szCs w:val="24"/>
        </w:rPr>
        <w:t xml:space="preserve"> and its polyherbal formulation revealed the presence of important</w:t>
      </w:r>
      <w:r>
        <w:rPr>
          <w:rFonts w:ascii="Times New Roman" w:hAnsi="Times New Roman"/>
          <w:sz w:val="24"/>
          <w:szCs w:val="24"/>
        </w:rPr>
        <w:t xml:space="preserve"> secondary metabolites such as flavonoids, saponins, alkaloids, tannins, steroids, and anthraquinones. These classes of compounds have been widely associated with reproductive-enhancing properties. For instance, flavonoids and saponins act as phytoestrogen</w:t>
      </w:r>
      <w:r>
        <w:rPr>
          <w:rFonts w:ascii="Times New Roman" w:hAnsi="Times New Roman"/>
          <w:sz w:val="24"/>
          <w:szCs w:val="24"/>
        </w:rPr>
        <w:t>s capable of mimicking estrogenic activity, thereby improving reproductive function and sexual receptivity in experimental animals [11,17,34]. Alkaloids and tannins have also been implicated in neuroendocrine modulation, enhancing central nervous system ac</w:t>
      </w:r>
      <w:r>
        <w:rPr>
          <w:rFonts w:ascii="Times New Roman" w:hAnsi="Times New Roman"/>
          <w:sz w:val="24"/>
          <w:szCs w:val="24"/>
        </w:rPr>
        <w:t>tivity that influences sexual arousal [13,20]. The combination of these phytochemicals likely underlies the aphrodisiac effects observed in the present study.</w:t>
      </w:r>
    </w:p>
    <w:p w14:paraId="041B93E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The effects on female mating behavior further support the pharmacological potential of these extr</w:t>
      </w:r>
      <w:r>
        <w:rPr>
          <w:rFonts w:ascii="Times New Roman" w:hAnsi="Times New Roman"/>
          <w:sz w:val="24"/>
          <w:szCs w:val="24"/>
        </w:rPr>
        <w:t xml:space="preserve">acts. Aphrodisiac plants such as </w:t>
      </w:r>
      <w:r>
        <w:rPr>
          <w:rFonts w:ascii="Times New Roman" w:hAnsi="Times New Roman"/>
          <w:i/>
          <w:sz w:val="24"/>
          <w:szCs w:val="24"/>
        </w:rPr>
        <w:t>Mondia whitei</w:t>
      </w:r>
      <w:r>
        <w:rPr>
          <w:rFonts w:ascii="Times New Roman" w:hAnsi="Times New Roman"/>
          <w:sz w:val="24"/>
          <w:szCs w:val="24"/>
        </w:rPr>
        <w:t xml:space="preserve"> and </w:t>
      </w:r>
      <w:r>
        <w:rPr>
          <w:rFonts w:ascii="Times New Roman" w:hAnsi="Times New Roman"/>
          <w:i/>
          <w:sz w:val="24"/>
          <w:szCs w:val="24"/>
        </w:rPr>
        <w:t>Bulbine natalensis</w:t>
      </w:r>
      <w:r>
        <w:rPr>
          <w:rFonts w:ascii="Times New Roman" w:hAnsi="Times New Roman"/>
          <w:sz w:val="24"/>
          <w:szCs w:val="24"/>
        </w:rPr>
        <w:t xml:space="preserve"> have been shown to increase female sexual receptivity through modulation of proceptive and receptive behaviors, including hopping, darting, and lordosis [11,22,25]. Similar behavioral en</w:t>
      </w:r>
      <w:r>
        <w:rPr>
          <w:rFonts w:ascii="Times New Roman" w:hAnsi="Times New Roman"/>
          <w:sz w:val="24"/>
          <w:szCs w:val="24"/>
        </w:rPr>
        <w:t xml:space="preserve">hancements observed in this study suggest that </w:t>
      </w:r>
      <w:r>
        <w:rPr>
          <w:rFonts w:ascii="Times New Roman" w:hAnsi="Times New Roman"/>
          <w:i/>
          <w:sz w:val="24"/>
          <w:szCs w:val="24"/>
        </w:rPr>
        <w:t>F. platyphylla</w:t>
      </w:r>
      <w:r>
        <w:rPr>
          <w:rFonts w:ascii="Times New Roman" w:hAnsi="Times New Roman"/>
          <w:sz w:val="24"/>
          <w:szCs w:val="24"/>
        </w:rPr>
        <w:t xml:space="preserve"> and its polyherbal formulation act through mechanisms that improve motivation and receptivity, possibly via estrogenic pathways. This agrees with earlier reports that phytoestrogens enhance sexu</w:t>
      </w:r>
      <w:r>
        <w:rPr>
          <w:rFonts w:ascii="Times New Roman" w:hAnsi="Times New Roman"/>
          <w:sz w:val="24"/>
          <w:szCs w:val="24"/>
        </w:rPr>
        <w:t>al receptivity in female rodents by stimulating hypothalamic and limbic centers responsible for sexual behavior [21,29].</w:t>
      </w:r>
    </w:p>
    <w:p w14:paraId="3104FF5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Hormonal assays provide further evidence of estrogen-mediated effects. Elevations in estrogen, FSH, and progesterone observed in treate</w:t>
      </w:r>
      <w:r>
        <w:rPr>
          <w:rFonts w:ascii="Times New Roman" w:hAnsi="Times New Roman"/>
          <w:sz w:val="24"/>
          <w:szCs w:val="24"/>
        </w:rPr>
        <w:t xml:space="preserve">d groups align with studies on </w:t>
      </w:r>
      <w:r>
        <w:rPr>
          <w:rFonts w:ascii="Times New Roman" w:hAnsi="Times New Roman"/>
          <w:i/>
          <w:sz w:val="24"/>
          <w:szCs w:val="24"/>
        </w:rPr>
        <w:t>Tribulus terrestris</w:t>
      </w:r>
      <w:r>
        <w:rPr>
          <w:rFonts w:ascii="Times New Roman" w:hAnsi="Times New Roman"/>
          <w:sz w:val="24"/>
          <w:szCs w:val="24"/>
        </w:rPr>
        <w:t xml:space="preserve"> and </w:t>
      </w:r>
      <w:r>
        <w:rPr>
          <w:rFonts w:ascii="Times New Roman" w:hAnsi="Times New Roman"/>
          <w:i/>
          <w:sz w:val="24"/>
          <w:szCs w:val="24"/>
        </w:rPr>
        <w:t>Mucuna pruriens</w:t>
      </w:r>
      <w:r>
        <w:rPr>
          <w:rFonts w:ascii="Times New Roman" w:hAnsi="Times New Roman"/>
          <w:sz w:val="24"/>
          <w:szCs w:val="24"/>
        </w:rPr>
        <w:t>, which demonstrated increased gonadotropins and improved reproductive outcomes in both male and female models [34,35,52]. The modulation of gonadotropins indicates stimulation of the hy</w:t>
      </w:r>
      <w:r>
        <w:rPr>
          <w:rFonts w:ascii="Times New Roman" w:hAnsi="Times New Roman"/>
          <w:sz w:val="24"/>
          <w:szCs w:val="24"/>
        </w:rPr>
        <w:t>pothalamic–pituitary–gonadal axis, which is essential for follicular development and ovulatory cycles [28,31]. Interestingly, testosterone levels were minimally affected, suggesting that the aphrodisiac effects are mediated predominantly through estrogenic</w:t>
      </w:r>
      <w:r>
        <w:rPr>
          <w:rFonts w:ascii="Times New Roman" w:hAnsi="Times New Roman"/>
          <w:sz w:val="24"/>
          <w:szCs w:val="24"/>
        </w:rPr>
        <w:t xml:space="preserve"> rather than androgenic pathways. This is consistent with previous findings that female sexual receptivity depends primarily on estrogen and progesterone rather than androgens [27,30].</w:t>
      </w:r>
    </w:p>
    <w:p w14:paraId="27C3CBCD"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Histological examination of ovarian tissues further corroborates these </w:t>
      </w:r>
      <w:r>
        <w:rPr>
          <w:rFonts w:ascii="Times New Roman" w:hAnsi="Times New Roman"/>
          <w:sz w:val="24"/>
          <w:szCs w:val="24"/>
        </w:rPr>
        <w:t xml:space="preserve">findings. Extract-treated rats displayed multiple follicular stages, including the presence of corpus luteum, which is </w:t>
      </w:r>
      <w:r>
        <w:rPr>
          <w:rFonts w:ascii="Times New Roman" w:hAnsi="Times New Roman"/>
          <w:sz w:val="24"/>
          <w:szCs w:val="24"/>
        </w:rPr>
        <w:lastRenderedPageBreak/>
        <w:t xml:space="preserve">indicative of ovulation. Similar follicular progression has been reported in rats treated with fertility-enhancing plants such as </w:t>
      </w:r>
      <w:r>
        <w:rPr>
          <w:rFonts w:ascii="Times New Roman" w:hAnsi="Times New Roman"/>
          <w:i/>
          <w:sz w:val="24"/>
          <w:szCs w:val="24"/>
        </w:rPr>
        <w:t>Ficus b</w:t>
      </w:r>
      <w:r>
        <w:rPr>
          <w:rFonts w:ascii="Times New Roman" w:hAnsi="Times New Roman"/>
          <w:i/>
          <w:sz w:val="24"/>
          <w:szCs w:val="24"/>
        </w:rPr>
        <w:t>engalensis</w:t>
      </w:r>
      <w:r>
        <w:rPr>
          <w:rFonts w:ascii="Times New Roman" w:hAnsi="Times New Roman"/>
          <w:sz w:val="24"/>
          <w:szCs w:val="24"/>
        </w:rPr>
        <w:t xml:space="preserve"> and </w:t>
      </w:r>
      <w:r>
        <w:rPr>
          <w:rFonts w:ascii="Times New Roman" w:hAnsi="Times New Roman"/>
          <w:i/>
          <w:sz w:val="24"/>
          <w:szCs w:val="24"/>
        </w:rPr>
        <w:t>Ficus racemosa</w:t>
      </w:r>
      <w:r>
        <w:rPr>
          <w:rFonts w:ascii="Times New Roman" w:hAnsi="Times New Roman"/>
          <w:sz w:val="24"/>
          <w:szCs w:val="24"/>
        </w:rPr>
        <w:t xml:space="preserve"> [33]. In contrast, higher doses appeared to disrupt normal folliculogenesis, reflecting dose-dependent effects of phytochemicals on ovarian function. Such inhibitory effects at elevated doses have also been documented in other</w:t>
      </w:r>
      <w:r>
        <w:rPr>
          <w:rFonts w:ascii="Times New Roman" w:hAnsi="Times New Roman"/>
          <w:sz w:val="24"/>
          <w:szCs w:val="24"/>
        </w:rPr>
        <w:t xml:space="preserve"> phytotherapeutic studies where excessive exposure to phytoestrogens led to ovarian suppression [49,50]. Taken together, the phytochemical constituents of </w:t>
      </w:r>
      <w:r>
        <w:rPr>
          <w:rFonts w:ascii="Times New Roman" w:hAnsi="Times New Roman"/>
          <w:i/>
          <w:sz w:val="24"/>
          <w:szCs w:val="24"/>
        </w:rPr>
        <w:t>Ficus platyphylla</w:t>
      </w:r>
      <w:r>
        <w:rPr>
          <w:rFonts w:ascii="Times New Roman" w:hAnsi="Times New Roman"/>
          <w:sz w:val="24"/>
          <w:szCs w:val="24"/>
        </w:rPr>
        <w:t xml:space="preserve"> and its polyherbal formulation appear to enhance female sexual function by stimulat</w:t>
      </w:r>
      <w:r>
        <w:rPr>
          <w:rFonts w:ascii="Times New Roman" w:hAnsi="Times New Roman"/>
          <w:sz w:val="24"/>
          <w:szCs w:val="24"/>
        </w:rPr>
        <w:t>ing estrogenic pathways, modulating gonadotropin release, and promoting ovarian follicular development. These findings are consistent with previous literature on medicinal plants with aphrodisiac and fertility-enhancing potential, thereby providing a pharm</w:t>
      </w:r>
      <w:r>
        <w:rPr>
          <w:rFonts w:ascii="Times New Roman" w:hAnsi="Times New Roman"/>
          <w:sz w:val="24"/>
          <w:szCs w:val="24"/>
        </w:rPr>
        <w:t>acological basis for their traditional use in reproductive health.</w:t>
      </w:r>
    </w:p>
    <w:p w14:paraId="1D6E373D"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5.0 CONCLUSION</w:t>
      </w:r>
    </w:p>
    <w:p w14:paraId="2849E8B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The study confirms that the aqueous stem bark extract of </w:t>
      </w:r>
      <w:r>
        <w:rPr>
          <w:rFonts w:ascii="Times New Roman" w:hAnsi="Times New Roman"/>
          <w:i/>
          <w:sz w:val="24"/>
          <w:szCs w:val="24"/>
        </w:rPr>
        <w:t>Ficus platyphylla</w:t>
      </w:r>
      <w:r>
        <w:rPr>
          <w:rFonts w:ascii="Times New Roman" w:hAnsi="Times New Roman"/>
          <w:sz w:val="24"/>
          <w:szCs w:val="24"/>
        </w:rPr>
        <w:t xml:space="preserve"> possess aphrodisiac potential in female albino rats, enhancing sexual behaviors and promoting follicular development, ovulatory readiness and modulates female reproductive functions. These findings validate the traditional use of </w:t>
      </w:r>
      <w:r>
        <w:rPr>
          <w:rFonts w:ascii="Times New Roman" w:hAnsi="Times New Roman"/>
          <w:i/>
          <w:sz w:val="24"/>
          <w:szCs w:val="24"/>
        </w:rPr>
        <w:t>Ficus platyphylla</w:t>
      </w:r>
      <w:r>
        <w:rPr>
          <w:rFonts w:ascii="Times New Roman" w:hAnsi="Times New Roman"/>
          <w:sz w:val="24"/>
          <w:szCs w:val="24"/>
        </w:rPr>
        <w:t xml:space="preserve"> as an a</w:t>
      </w:r>
      <w:r>
        <w:rPr>
          <w:rFonts w:ascii="Times New Roman" w:hAnsi="Times New Roman"/>
          <w:sz w:val="24"/>
          <w:szCs w:val="24"/>
        </w:rPr>
        <w:t xml:space="preserve">phrodisiac and warrant further research into its mechanisms and clinical applications.  </w:t>
      </w:r>
    </w:p>
    <w:p w14:paraId="367282BD" w14:textId="77777777" w:rsidR="00B26622" w:rsidRDefault="00B26622">
      <w:pPr>
        <w:spacing w:line="360" w:lineRule="auto"/>
        <w:jc w:val="both"/>
        <w:rPr>
          <w:rFonts w:ascii="Times New Roman" w:hAnsi="Times New Roman"/>
          <w:sz w:val="24"/>
          <w:szCs w:val="24"/>
        </w:rPr>
      </w:pPr>
    </w:p>
    <w:p w14:paraId="620E4B99" w14:textId="77777777" w:rsidR="00B26622" w:rsidRDefault="00B26622">
      <w:pPr>
        <w:spacing w:line="360" w:lineRule="auto"/>
        <w:jc w:val="both"/>
        <w:rPr>
          <w:rFonts w:ascii="Times New Roman" w:hAnsi="Times New Roman"/>
          <w:sz w:val="24"/>
          <w:szCs w:val="24"/>
        </w:rPr>
      </w:pPr>
    </w:p>
    <w:p w14:paraId="59771C99" w14:textId="77777777" w:rsidR="00B26622" w:rsidRDefault="00B26622">
      <w:pPr>
        <w:spacing w:line="360" w:lineRule="auto"/>
        <w:jc w:val="both"/>
        <w:rPr>
          <w:rFonts w:ascii="Times New Roman" w:hAnsi="Times New Roman"/>
          <w:sz w:val="24"/>
          <w:szCs w:val="24"/>
        </w:rPr>
      </w:pPr>
    </w:p>
    <w:p w14:paraId="499108A0" w14:textId="77777777" w:rsidR="00B26622" w:rsidRDefault="00B26622">
      <w:pPr>
        <w:spacing w:line="360" w:lineRule="auto"/>
        <w:jc w:val="both"/>
        <w:rPr>
          <w:rFonts w:ascii="Times New Roman" w:hAnsi="Times New Roman"/>
          <w:b/>
          <w:sz w:val="24"/>
          <w:szCs w:val="24"/>
        </w:rPr>
      </w:pPr>
    </w:p>
    <w:p w14:paraId="5C04C34E" w14:textId="77777777" w:rsidR="00B26622" w:rsidRDefault="00B26622">
      <w:pPr>
        <w:spacing w:line="360" w:lineRule="auto"/>
        <w:jc w:val="both"/>
        <w:rPr>
          <w:rFonts w:ascii="Times New Roman" w:hAnsi="Times New Roman"/>
          <w:b/>
          <w:sz w:val="24"/>
          <w:szCs w:val="24"/>
        </w:rPr>
      </w:pPr>
    </w:p>
    <w:p w14:paraId="3DC577BB" w14:textId="77777777" w:rsidR="00B26622" w:rsidRDefault="00B26622">
      <w:pPr>
        <w:spacing w:line="360" w:lineRule="auto"/>
        <w:jc w:val="both"/>
        <w:rPr>
          <w:rFonts w:ascii="Times New Roman" w:hAnsi="Times New Roman"/>
          <w:b/>
          <w:sz w:val="24"/>
          <w:szCs w:val="24"/>
        </w:rPr>
      </w:pPr>
    </w:p>
    <w:p w14:paraId="5B8F0617" w14:textId="77777777" w:rsidR="00B26622" w:rsidRDefault="00B26622">
      <w:pPr>
        <w:spacing w:line="360" w:lineRule="auto"/>
        <w:jc w:val="both"/>
        <w:rPr>
          <w:rFonts w:ascii="Times New Roman" w:hAnsi="Times New Roman"/>
          <w:b/>
          <w:sz w:val="24"/>
          <w:szCs w:val="24"/>
        </w:rPr>
      </w:pPr>
    </w:p>
    <w:p w14:paraId="18E9934C" w14:textId="77777777" w:rsidR="00B26622" w:rsidRDefault="004E16E5">
      <w:pPr>
        <w:spacing w:line="360" w:lineRule="auto"/>
        <w:jc w:val="both"/>
        <w:rPr>
          <w:rFonts w:ascii="Times New Roman" w:hAnsi="Times New Roman"/>
          <w:b/>
          <w:sz w:val="24"/>
          <w:szCs w:val="24"/>
        </w:rPr>
      </w:pPr>
      <w:r>
        <w:rPr>
          <w:rFonts w:ascii="Times New Roman" w:hAnsi="Times New Roman"/>
          <w:b/>
          <w:sz w:val="24"/>
          <w:szCs w:val="24"/>
        </w:rPr>
        <w:t>REFERENCES</w:t>
      </w:r>
    </w:p>
    <w:p w14:paraId="37CEF981" w14:textId="7CADD80E"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 xml:space="preserve">1. </w:t>
      </w:r>
      <w:r>
        <w:rPr>
          <w:rFonts w:ascii="Times New Roman" w:hAnsi="Times New Roman"/>
          <w:sz w:val="24"/>
          <w:szCs w:val="24"/>
        </w:rPr>
        <w:t>Kingsberg, S. A.,</w:t>
      </w:r>
      <w:r>
        <w:rPr>
          <w:rFonts w:ascii="Times New Roman" w:hAnsi="Times New Roman"/>
          <w:sz w:val="24"/>
          <w:szCs w:val="24"/>
        </w:rPr>
        <w:t xml:space="preserve"> </w:t>
      </w:r>
      <w:r>
        <w:rPr>
          <w:rFonts w:ascii="Times New Roman" w:hAnsi="Times New Roman"/>
          <w:sz w:val="24"/>
          <w:szCs w:val="24"/>
        </w:rPr>
        <w:t>Woodard, T. (2015). Female sexual dysfunction: Focus on low desire.</w:t>
      </w:r>
      <w:r>
        <w:rPr>
          <w:rFonts w:ascii="Times New Roman" w:hAnsi="Times New Roman"/>
          <w:sz w:val="24"/>
          <w:szCs w:val="24"/>
        </w:rPr>
        <w:t xml:space="preserve"> </w:t>
      </w:r>
      <w:r>
        <w:rPr>
          <w:rFonts w:ascii="Times New Roman" w:hAnsi="Times New Roman"/>
          <w:sz w:val="24"/>
          <w:szCs w:val="24"/>
        </w:rPr>
        <w:t>Journal of Sexual Medicine, 12(7)</w:t>
      </w:r>
      <w:r>
        <w:rPr>
          <w:rFonts w:ascii="Times New Roman" w:hAnsi="Times New Roman"/>
          <w:sz w:val="24"/>
          <w:szCs w:val="24"/>
        </w:rPr>
        <w:t>p</w:t>
      </w:r>
      <w:r>
        <w:rPr>
          <w:rFonts w:ascii="Times New Roman" w:hAnsi="Times New Roman"/>
          <w:sz w:val="24"/>
          <w:szCs w:val="24"/>
        </w:rPr>
        <w:t>p</w:t>
      </w:r>
      <w:r>
        <w:rPr>
          <w:rFonts w:ascii="Times New Roman" w:hAnsi="Times New Roman"/>
          <w:sz w:val="24"/>
          <w:szCs w:val="24"/>
        </w:rPr>
        <w:t xml:space="preserve">1640–1651. </w:t>
      </w:r>
      <w:r>
        <w:rPr>
          <w:rFonts w:ascii="Times New Roman" w:hAnsi="Times New Roman"/>
          <w:sz w:val="24"/>
          <w:szCs w:val="24"/>
        </w:rPr>
        <w:t>https://doi.org/10.1111/jsm.12949</w:t>
      </w:r>
    </w:p>
    <w:p w14:paraId="1A46A282" w14:textId="119CBD14"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2. Alok, S., Jain, S. K., Verma, A., Kumar, M., Mahor, A., Sabharwal, </w:t>
      </w:r>
      <w:r>
        <w:rPr>
          <w:rFonts w:ascii="Times New Roman" w:hAnsi="Times New Roman"/>
          <w:sz w:val="24"/>
          <w:szCs w:val="24"/>
        </w:rPr>
        <w:t>M (2013). Herbal plants with potential aphrodisiac activity: A review. Journal of Pharmacognosy and Phytochemistry,</w:t>
      </w:r>
      <w:r>
        <w:rPr>
          <w:rFonts w:ascii="Times New Roman" w:hAnsi="Times New Roman"/>
          <w:sz w:val="24"/>
          <w:szCs w:val="24"/>
        </w:rPr>
        <w:t>2(1)pp91–95.</w:t>
      </w:r>
      <w:r>
        <w:rPr>
          <w:rFonts w:ascii="Times New Roman" w:hAnsi="Times New Roman"/>
          <w:sz w:val="24"/>
          <w:szCs w:val="24"/>
        </w:rPr>
        <w:t xml:space="preserve"> </w:t>
      </w:r>
      <w:r>
        <w:rPr>
          <w:rFonts w:ascii="Times New Roman" w:hAnsi="Times New Roman"/>
          <w:sz w:val="24"/>
          <w:szCs w:val="24"/>
        </w:rPr>
        <w:t>Retrieved</w:t>
      </w:r>
      <w:r>
        <w:rPr>
          <w:rFonts w:ascii="Times New Roman" w:hAnsi="Times New Roman"/>
          <w:sz w:val="24"/>
          <w:szCs w:val="24"/>
        </w:rPr>
        <w:t>from https://www.phytojournal.com/archives/2013.v2.i1/2-1-16</w:t>
      </w:r>
    </w:p>
    <w:p w14:paraId="22D5042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3. World Health Organization. (2002). Defining sexual </w:t>
      </w:r>
      <w:r>
        <w:rPr>
          <w:rFonts w:ascii="Times New Roman" w:hAnsi="Times New Roman"/>
          <w:sz w:val="24"/>
          <w:szCs w:val="24"/>
        </w:rPr>
        <w:t>health: Report of a technical consultation on sexual health, pp28–31</w:t>
      </w:r>
    </w:p>
    <w:p w14:paraId="610C5AF3"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4. Basson, R., Berman, J., Burnett, A., Derogatis, L., Ferguson, D., Fourcroy, J., Whipple, B (2004). Report of the international consensus development conference on female sexual dysfunc</w:t>
      </w:r>
      <w:r>
        <w:rPr>
          <w:rFonts w:ascii="Times New Roman" w:hAnsi="Times New Roman"/>
          <w:sz w:val="24"/>
          <w:szCs w:val="24"/>
        </w:rPr>
        <w:t>tion: Definitions and classifications. Journal of Urology, 163(3)pp888–893.</w:t>
      </w:r>
    </w:p>
    <w:p w14:paraId="320A0ADF"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5. McCarthy, B., &amp; McDonald, D (2012). Female sexual arousal and desire: An integrated model. Journal of Sex and Marital Therapy, 38(5)pp435–454.</w:t>
      </w:r>
      <w:r>
        <w:rPr>
          <w:rFonts w:ascii="Times New Roman" w:hAnsi="Times New Roman"/>
          <w:sz w:val="24"/>
          <w:szCs w:val="24"/>
        </w:rPr>
        <w:t xml:space="preserve"> https://doi.org/10.1080/0092623X.2</w:t>
      </w:r>
      <w:r>
        <w:rPr>
          <w:rFonts w:ascii="Times New Roman" w:hAnsi="Times New Roman"/>
          <w:sz w:val="24"/>
          <w:szCs w:val="24"/>
        </w:rPr>
        <w:t>011.569637</w:t>
      </w:r>
    </w:p>
    <w:p w14:paraId="02ED8425"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6. Davis, S. R., Davison, S. L., Donath, S., Bell, R. J (2006). Circulating androgen levels and self-reported sexual function in women. JAMA, 295(14)pp1546–1553.</w:t>
      </w:r>
      <w:r>
        <w:rPr>
          <w:rFonts w:ascii="Times New Roman" w:hAnsi="Times New Roman"/>
          <w:sz w:val="24"/>
          <w:szCs w:val="24"/>
        </w:rPr>
        <w:t xml:space="preserve"> </w:t>
      </w:r>
      <w:r>
        <w:rPr>
          <w:rFonts w:ascii="Times New Roman" w:hAnsi="Times New Roman"/>
          <w:sz w:val="24"/>
          <w:szCs w:val="24"/>
        </w:rPr>
        <w:t>https://doi.org/10.1001/jama.294.1.91</w:t>
      </w:r>
    </w:p>
    <w:p w14:paraId="6CF3425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7. Leiblum, S. R., Koochaki, P. E., Rodenber</w:t>
      </w:r>
      <w:r>
        <w:rPr>
          <w:rFonts w:ascii="Times New Roman" w:hAnsi="Times New Roman"/>
          <w:sz w:val="24"/>
          <w:szCs w:val="24"/>
        </w:rPr>
        <w:t>g, C. A., Barton, I. P., Rosen, R. C (2006). Hypoactive sexual desire disorder in postmenopausal women: US results from the Women's International Study of Health and Sexuality. Menopause, 13(1)pp46–56.</w:t>
      </w:r>
    </w:p>
    <w:p w14:paraId="4B455867" w14:textId="0757BF29"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sz w:val="24"/>
          <w:szCs w:val="24"/>
        </w:rPr>
        <w:t>Nappi, R. E., Cucinella, L. (2015). Advances in pharmacotherapy for treating female sexual dysfunction. Expert Opinion on Pharmacotherapy, 16(6), 875-8</w:t>
      </w:r>
      <w:r>
        <w:rPr>
          <w:rFonts w:ascii="Times New Roman" w:hAnsi="Times New Roman"/>
          <w:sz w:val="24"/>
          <w:szCs w:val="24"/>
        </w:rPr>
        <w:t xml:space="preserve">87. </w:t>
      </w:r>
      <w:r>
        <w:rPr>
          <w:rFonts w:ascii="Times New Roman" w:hAnsi="Times New Roman"/>
          <w:sz w:val="24"/>
          <w:szCs w:val="24"/>
        </w:rPr>
        <w:t>h</w:t>
      </w:r>
      <w:r>
        <w:rPr>
          <w:rFonts w:ascii="Times New Roman" w:hAnsi="Times New Roman"/>
          <w:sz w:val="24"/>
          <w:szCs w:val="24"/>
        </w:rPr>
        <w:t>t</w:t>
      </w:r>
      <w:r>
        <w:rPr>
          <w:rFonts w:ascii="Times New Roman" w:hAnsi="Times New Roman"/>
          <w:sz w:val="24"/>
          <w:szCs w:val="24"/>
        </w:rPr>
        <w:t>t</w:t>
      </w:r>
      <w:r>
        <w:rPr>
          <w:rFonts w:ascii="Times New Roman" w:hAnsi="Times New Roman"/>
          <w:sz w:val="24"/>
          <w:szCs w:val="24"/>
        </w:rPr>
        <w:t>p</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d</w:t>
      </w:r>
      <w:r>
        <w:rPr>
          <w:rFonts w:ascii="Times New Roman" w:hAnsi="Times New Roman"/>
          <w:sz w:val="24"/>
          <w:szCs w:val="24"/>
        </w:rPr>
        <w:t>o</w:t>
      </w:r>
      <w:r>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o</w:t>
      </w:r>
      <w:r>
        <w:rPr>
          <w:rFonts w:ascii="Times New Roman" w:hAnsi="Times New Roman"/>
          <w:sz w:val="24"/>
          <w:szCs w:val="24"/>
        </w:rPr>
        <w:t>r</w:t>
      </w:r>
      <w:r>
        <w:rPr>
          <w:rFonts w:ascii="Times New Roman" w:hAnsi="Times New Roman"/>
          <w:sz w:val="24"/>
          <w:szCs w:val="24"/>
        </w:rPr>
        <w:t>g</w:t>
      </w:r>
      <w:r>
        <w:rPr>
          <w:rFonts w:ascii="Times New Roman" w:hAnsi="Times New Roman"/>
          <w:sz w:val="24"/>
          <w:szCs w:val="24"/>
        </w:rPr>
        <w:t>.</w:t>
      </w:r>
      <w:r>
        <w:rPr>
          <w:rFonts w:ascii="Times New Roman" w:hAnsi="Times New Roman"/>
          <w:sz w:val="24"/>
          <w:szCs w:val="24"/>
        </w:rPr>
        <w:t>10.1517/14656566.2015.1020791</w:t>
      </w:r>
    </w:p>
    <w:p w14:paraId="3E5D52F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9. Gupta, S., Sur, R (2008). Psychosocial factors and female sexual dysfunction. Indian Journal of Psychiatry, 50(4)pp254–259.</w:t>
      </w:r>
      <w:r>
        <w:rPr>
          <w:rFonts w:ascii="Times New Roman" w:hAnsi="Times New Roman"/>
          <w:sz w:val="24"/>
          <w:szCs w:val="24"/>
        </w:rPr>
        <w:t xml:space="preserve"> </w:t>
      </w:r>
      <w:r>
        <w:rPr>
          <w:rFonts w:ascii="Times New Roman" w:hAnsi="Times New Roman"/>
          <w:sz w:val="24"/>
          <w:szCs w:val="24"/>
        </w:rPr>
        <w:t>https://doi.org/10.4103/0019-5545.44750</w:t>
      </w:r>
    </w:p>
    <w:p w14:paraId="1D43B42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 xml:space="preserve">10. Ephrain, E., Peter, A (2008). </w:t>
      </w:r>
      <w:r>
        <w:rPr>
          <w:rFonts w:ascii="Times New Roman" w:hAnsi="Times New Roman"/>
          <w:sz w:val="24"/>
          <w:szCs w:val="24"/>
        </w:rPr>
        <w:t>Ethnobotanical survey of medicinal plants in the treatment of sexually transmitted diseases. African Journal of Traditional, Complementary and Alternative Medicines, 5(1)pp38–45.</w:t>
      </w:r>
    </w:p>
    <w:p w14:paraId="496221E4"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11. Watcho, P., Zelefack, F., Nguelefack, T. B., Kamanyi, A (2007). Sexual st</w:t>
      </w:r>
      <w:r>
        <w:rPr>
          <w:rFonts w:ascii="Times New Roman" w:hAnsi="Times New Roman"/>
          <w:sz w:val="24"/>
          <w:szCs w:val="24"/>
        </w:rPr>
        <w:t>imulant effects of aqueous extract of Mondia whitei in female rat. Pharmacologyonline, 2, pp401–419.</w:t>
      </w:r>
    </w:p>
    <w:p w14:paraId="54BB01B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12. Chindo, B. A., Yaro, A. H., Adamu, M., &amp; Amos, S (2016). Antidepressant-like activity of Ficus platyphylla stem bark in mice. Journal of Ethnopharmacol</w:t>
      </w:r>
      <w:r>
        <w:rPr>
          <w:rFonts w:ascii="Times New Roman" w:hAnsi="Times New Roman"/>
          <w:sz w:val="24"/>
          <w:szCs w:val="24"/>
        </w:rPr>
        <w:t>ogy, 194,pp671–679.</w:t>
      </w:r>
      <w:r>
        <w:rPr>
          <w:rFonts w:ascii="Times New Roman" w:hAnsi="Times New Roman"/>
          <w:sz w:val="24"/>
          <w:szCs w:val="24"/>
        </w:rPr>
        <w:t xml:space="preserve"> </w:t>
      </w:r>
      <w:r>
        <w:rPr>
          <w:rFonts w:ascii="Times New Roman" w:hAnsi="Times New Roman"/>
          <w:sz w:val="24"/>
          <w:szCs w:val="24"/>
        </w:rPr>
        <w:t>https://doi.org/10.1016/j.jep.2016.10.032</w:t>
      </w:r>
    </w:p>
    <w:p w14:paraId="253EAEAA"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13. Chindo, B. A., Amos, S., Odutola, A. A., Vongtau, H. O., Abbah, J., Wambebe, C., Gamaniel, K. S (2003). Central nervous system activity of the methanol extract of Ficus platyphylla</w:t>
      </w:r>
      <w:r>
        <w:rPr>
          <w:rFonts w:ascii="Times New Roman" w:hAnsi="Times New Roman"/>
          <w:sz w:val="24"/>
          <w:szCs w:val="24"/>
        </w:rPr>
        <w:t xml:space="preserve"> stem bark. Journal of Ethnopharmacology, 85(1)pp131–137.</w:t>
      </w:r>
    </w:p>
    <w:p w14:paraId="70BF8506"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14. Ukwani-Kwaja, A. N., Tanko, Y., Mohammed, A., Musa, M (2021). Analgesic and anti-inflammatory activities of Ficus platyphylla stem bark in rats. Journal of Medicinal Plants Research, 15(5)pp207–</w:t>
      </w:r>
      <w:r>
        <w:rPr>
          <w:rFonts w:ascii="Times New Roman" w:hAnsi="Times New Roman"/>
          <w:sz w:val="24"/>
          <w:szCs w:val="24"/>
        </w:rPr>
        <w:t>214.</w:t>
      </w:r>
      <w:r>
        <w:rPr>
          <w:rFonts w:ascii="Times New Roman" w:hAnsi="Times New Roman"/>
          <w:sz w:val="24"/>
          <w:szCs w:val="24"/>
        </w:rPr>
        <w:t xml:space="preserve"> </w:t>
      </w:r>
      <w:r>
        <w:rPr>
          <w:rFonts w:ascii="Times New Roman" w:hAnsi="Times New Roman"/>
          <w:sz w:val="24"/>
          <w:szCs w:val="24"/>
        </w:rPr>
        <w:t>Retrieved from https://academicjournals.org/journal/JMPR/article-full-text-pdf/9C46EBA67842</w:t>
      </w:r>
    </w:p>
    <w:p w14:paraId="7E5F2C24"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15. National Research Council (2011). Guide for the care and use of laboratory animals (8th ed.). Washington, DC: National Academies Press.</w:t>
      </w:r>
    </w:p>
    <w:p w14:paraId="242D4FC0"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16. Abedi, A., Parv</w:t>
      </w:r>
      <w:r>
        <w:rPr>
          <w:rFonts w:ascii="Times New Roman" w:hAnsi="Times New Roman"/>
          <w:sz w:val="24"/>
          <w:szCs w:val="24"/>
        </w:rPr>
        <w:t>iz, M., Karimian, S. M., &amp; Beyer, C (2013). The effects of nitric oxide synthase inhibition on female sexual behavior in rats. Behavioural Brain Research, 253pp78–84.</w:t>
      </w:r>
      <w:r>
        <w:rPr>
          <w:rFonts w:ascii="Times New Roman" w:hAnsi="Times New Roman"/>
          <w:sz w:val="24"/>
          <w:szCs w:val="24"/>
        </w:rPr>
        <w:t xml:space="preserve"> </w:t>
      </w:r>
      <w:r>
        <w:rPr>
          <w:rFonts w:ascii="Times New Roman" w:hAnsi="Times New Roman"/>
          <w:sz w:val="24"/>
          <w:szCs w:val="24"/>
        </w:rPr>
        <w:t>https://doi.org/10.1016/j.bbr.2013.07.018</w:t>
      </w:r>
    </w:p>
    <w:p w14:paraId="79593729"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17. Hajimahmoudidis, A., Amin, G., Zamora, M. S</w:t>
      </w:r>
      <w:r>
        <w:rPr>
          <w:rFonts w:ascii="Times New Roman" w:hAnsi="Times New Roman"/>
          <w:sz w:val="24"/>
          <w:szCs w:val="24"/>
        </w:rPr>
        <w:t>., Hamadanizadeh, M. H (2023). The profertility and aphrodisiac activities of tribulus terrestris L.: evidence from meta analyses. Hindawi,7118431</w:t>
      </w:r>
    </w:p>
    <w:p w14:paraId="6EA62BDC"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18. Robbers, J. E., Tyler, V. E., Brady, L. R (2015). Pharmacognosy and pharmacobiotechnology. </w:t>
      </w:r>
    </w:p>
    <w:p w14:paraId="77ED7C72"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19. Van Wyk, B. E., Wink, M. (2014). Medicinal plants of the world. Briza publications. </w:t>
      </w:r>
      <w:r>
        <w:rPr>
          <w:rFonts w:ascii="Times New Roman" w:hAnsi="Times New Roman"/>
          <w:sz w:val="24"/>
          <w:szCs w:val="24"/>
        </w:rPr>
        <w:t>ISBN: 9781920217383</w:t>
      </w:r>
    </w:p>
    <w:p w14:paraId="6CCC2669"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20. S. M. M. I. N. Hussaini, A. T. S. M. I. I.N Ahmed (2019). Traditional medicine in Africa: A global perspective, journal of ethnopharmacology, 23</w:t>
      </w:r>
      <w:r>
        <w:rPr>
          <w:rFonts w:ascii="Times New Roman" w:hAnsi="Times New Roman"/>
          <w:sz w:val="24"/>
          <w:szCs w:val="24"/>
        </w:rPr>
        <w:t>5pp 240-252.</w:t>
      </w:r>
      <w:r>
        <w:rPr>
          <w:rFonts w:ascii="Times New Roman" w:hAnsi="Times New Roman"/>
          <w:sz w:val="24"/>
          <w:szCs w:val="24"/>
        </w:rPr>
        <w:t xml:space="preserve"> </w:t>
      </w:r>
      <w:r>
        <w:rPr>
          <w:rFonts w:ascii="Times New Roman" w:hAnsi="Times New Roman"/>
          <w:sz w:val="24"/>
          <w:szCs w:val="24"/>
        </w:rPr>
        <w:t>https://doi.org/10.1016/j.jep.2019.02.034</w:t>
      </w:r>
    </w:p>
    <w:p w14:paraId="6EEA73DE"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21. Sarkar, M., Saha, S., Mandal, S (2008). Behavioral responses of female rats during paced mating. Indian Journal of Experimental Biology, 46(6)pp421–427.</w:t>
      </w:r>
      <w:r>
        <w:rPr>
          <w:rFonts w:ascii="Times New Roman" w:hAnsi="Times New Roman"/>
          <w:sz w:val="24"/>
          <w:szCs w:val="24"/>
        </w:rPr>
        <w:t xml:space="preserve"> </w:t>
      </w:r>
      <w:r>
        <w:rPr>
          <w:rFonts w:ascii="Times New Roman" w:hAnsi="Times New Roman"/>
          <w:sz w:val="24"/>
          <w:szCs w:val="24"/>
        </w:rPr>
        <w:t xml:space="preserve">Retrieved from </w:t>
      </w:r>
      <w:r>
        <w:rPr>
          <w:rFonts w:ascii="Times New Roman" w:hAnsi="Times New Roman"/>
          <w:sz w:val="24"/>
          <w:szCs w:val="24"/>
        </w:rPr>
        <w:t>http://nopr.niscair.res.in/handle/123456789/1900</w:t>
      </w:r>
    </w:p>
    <w:p w14:paraId="336BF0E1"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22. Yakubu, M. T., &amp; Afolayan, A. J (2009). Effect of aqueous extract of Bulbine natalensis (Baker) stem on the sexual behaviour of male rats. International Journal of Andrology, 32(6)pp629–636.</w:t>
      </w:r>
    </w:p>
    <w:p w14:paraId="4F04AA80"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 xml:space="preserve">23. Yakubu, </w:t>
      </w:r>
      <w:r>
        <w:rPr>
          <w:rFonts w:ascii="Times New Roman" w:hAnsi="Times New Roman"/>
          <w:sz w:val="24"/>
          <w:szCs w:val="24"/>
        </w:rPr>
        <w:t>M. T., Akanji, M. A., Oladiji, A. T (2009). Male sexual dysfunction and methods used in assessing medicinal plants with aphrodisiac potentials. Pharmacognosy Reviews, 2(</w:t>
      </w:r>
      <w:r>
        <w:rPr>
          <w:rFonts w:ascii="Times New Roman" w:hAnsi="Times New Roman"/>
          <w:b/>
          <w:sz w:val="24"/>
          <w:szCs w:val="24"/>
        </w:rPr>
        <w:t>4</w:t>
      </w:r>
      <w:r>
        <w:rPr>
          <w:rFonts w:ascii="Times New Roman" w:hAnsi="Times New Roman"/>
          <w:sz w:val="24"/>
          <w:szCs w:val="24"/>
        </w:rPr>
        <w:t>), 49–56.</w:t>
      </w:r>
    </w:p>
    <w:p w14:paraId="010DC446" w14:textId="77777777" w:rsidR="00B26622" w:rsidRDefault="004E16E5">
      <w:pPr>
        <w:spacing w:line="360" w:lineRule="auto"/>
        <w:jc w:val="both"/>
        <w:rPr>
          <w:rFonts w:ascii="Times New Roman" w:hAnsi="Times New Roman"/>
          <w:sz w:val="24"/>
          <w:szCs w:val="24"/>
        </w:rPr>
      </w:pPr>
      <w:r>
        <w:rPr>
          <w:rFonts w:ascii="Times New Roman" w:hAnsi="Times New Roman"/>
          <w:sz w:val="24"/>
          <w:szCs w:val="24"/>
        </w:rPr>
        <w:t>24. Su, M (2021). Improved preservation of ovarian tissue morphology that is</w:t>
      </w:r>
      <w:r>
        <w:rPr>
          <w:rFonts w:ascii="Times New Roman" w:hAnsi="Times New Roman"/>
          <w:sz w:val="24"/>
          <w:szCs w:val="24"/>
        </w:rPr>
        <w:t xml:space="preserve"> compatible wirh antigen detection using a fixative mixure of formalin and acetic acid. Journal of histochemistry and cytochemistry, 69(</w:t>
      </w:r>
      <w:r>
        <w:rPr>
          <w:rFonts w:ascii="Times New Roman" w:hAnsi="Times New Roman"/>
          <w:b/>
          <w:sz w:val="24"/>
          <w:szCs w:val="24"/>
        </w:rPr>
        <w:t>12</w:t>
      </w:r>
      <w:r>
        <w:rPr>
          <w:rFonts w:ascii="Times New Roman" w:hAnsi="Times New Roman"/>
          <w:sz w:val="24"/>
          <w:szCs w:val="24"/>
        </w:rPr>
        <w:t>)pp793-808.</w:t>
      </w:r>
    </w:p>
    <w:p w14:paraId="082F67C2" w14:textId="77777777" w:rsidR="00B26622" w:rsidRDefault="004E16E5">
      <w:pPr>
        <w:spacing w:line="360" w:lineRule="auto"/>
        <w:jc w:val="both"/>
        <w:rPr>
          <w:rFonts w:ascii="Times New Roman" w:hAnsi="Times New Roman"/>
          <w:sz w:val="24"/>
          <w:szCs w:val="24"/>
        </w:rPr>
      </w:pPr>
      <w:r>
        <w:rPr>
          <w:rFonts w:ascii="Times New Roman"/>
          <w:sz w:val="24"/>
          <w:szCs w:val="24"/>
        </w:rPr>
        <w:t>25</w:t>
      </w:r>
      <w:r>
        <w:rPr>
          <w:rFonts w:ascii="Times New Roman"/>
          <w:sz w:val="24"/>
          <w:szCs w:val="24"/>
        </w:rPr>
        <w:t>.</w:t>
      </w:r>
      <w:r>
        <w:rPr>
          <w:rFonts w:ascii="Times New Roman"/>
          <w:sz w:val="24"/>
          <w:szCs w:val="24"/>
        </w:rPr>
        <w:t xml:space="preserve"> </w:t>
      </w:r>
      <w:r>
        <w:rPr>
          <w:rFonts w:ascii="Times New Roman" w:hAnsi="Times New Roman"/>
          <w:sz w:val="24"/>
          <w:szCs w:val="24"/>
        </w:rPr>
        <w:t>Suvarna, S. K., Layton, C., &amp; Bancroft, J. D. (2018). Bancroft’s Theory and Practice of Histological T</w:t>
      </w:r>
      <w:r>
        <w:rPr>
          <w:rFonts w:ascii="Times New Roman" w:hAnsi="Times New Roman"/>
          <w:sz w:val="24"/>
          <w:szCs w:val="24"/>
        </w:rPr>
        <w:t>echniques (8th ed.). Elsevier. ISBN: 978‐0702068645.</w:t>
      </w:r>
    </w:p>
    <w:p w14:paraId="1DAC250B" w14:textId="2C4DD936" w:rsidR="00B26622" w:rsidRDefault="004E16E5">
      <w:pPr>
        <w:spacing w:line="360" w:lineRule="auto"/>
        <w:jc w:val="both"/>
        <w:rPr>
          <w:rFonts w:ascii="Times New Roman"/>
          <w:sz w:val="24"/>
          <w:szCs w:val="24"/>
        </w:rPr>
      </w:pPr>
      <w:r>
        <w:rPr>
          <w:rFonts w:ascii="Times New Roman" w:hAnsi="Times New Roman"/>
          <w:sz w:val="24"/>
          <w:szCs w:val="24"/>
        </w:rPr>
        <w:t xml:space="preserve">26. </w:t>
      </w:r>
      <w:r>
        <w:rPr>
          <w:rFonts w:ascii="Times New Roman" w:hAnsi="Times New Roman"/>
          <w:sz w:val="24"/>
          <w:szCs w:val="24"/>
        </w:rPr>
        <w:t>Frye, C. A.,</w:t>
      </w:r>
      <w:r>
        <w:rPr>
          <w:rFonts w:ascii="Times New Roman" w:hAnsi="Times New Roman"/>
          <w:sz w:val="24"/>
          <w:szCs w:val="24"/>
        </w:rPr>
        <w:t xml:space="preserve"> (2009). Estrogen receptor modulation of female sexual behavior in rodents. Hormones and Behavior, 56(1), 46–52. https://doi.org/10.1016/j.yhbeh.2009.03.007</w:t>
      </w:r>
    </w:p>
    <w:p w14:paraId="7015D260" w14:textId="77777777" w:rsidR="00B26622" w:rsidRDefault="004E16E5">
      <w:pPr>
        <w:spacing w:line="360" w:lineRule="auto"/>
        <w:jc w:val="both"/>
        <w:rPr>
          <w:rFonts w:ascii="Times New Roman"/>
          <w:sz w:val="24"/>
          <w:szCs w:val="24"/>
        </w:rPr>
      </w:pPr>
      <w:r>
        <w:rPr>
          <w:rFonts w:ascii="Times New Roman" w:hAnsi="Times New Roman"/>
          <w:sz w:val="24"/>
          <w:szCs w:val="24"/>
        </w:rPr>
        <w:t>27. Edinger, K. L., Frye, C. A</w:t>
      </w:r>
      <w:r>
        <w:rPr>
          <w:rFonts w:ascii="Times New Roman"/>
          <w:sz w:val="24"/>
          <w:szCs w:val="24"/>
        </w:rPr>
        <w:t xml:space="preserve"> (2007). Sexual experience of female rats influences mating-induced estradiol and progesterone in the brain. </w:t>
      </w:r>
      <w:r>
        <w:rPr>
          <w:rFonts w:ascii="Times New Roman"/>
          <w:i/>
          <w:sz w:val="24"/>
          <w:szCs w:val="24"/>
        </w:rPr>
        <w:t>Neuroendocrinology</w:t>
      </w:r>
      <w:r>
        <w:rPr>
          <w:rFonts w:ascii="Times New Roman"/>
          <w:sz w:val="24"/>
          <w:szCs w:val="24"/>
        </w:rPr>
        <w:t>, 85(</w:t>
      </w:r>
      <w:r>
        <w:rPr>
          <w:rFonts w:ascii="Times New Roman"/>
          <w:b/>
          <w:sz w:val="24"/>
          <w:szCs w:val="24"/>
        </w:rPr>
        <w:t>2</w:t>
      </w:r>
      <w:r>
        <w:rPr>
          <w:rFonts w:ascii="Times New Roman" w:hAnsi="Times New Roman"/>
          <w:sz w:val="24"/>
          <w:szCs w:val="24"/>
        </w:rPr>
        <w:t>)pp</w:t>
      </w:r>
      <w:r>
        <w:rPr>
          <w:rFonts w:ascii="Times New Roman"/>
          <w:sz w:val="24"/>
          <w:szCs w:val="24"/>
        </w:rPr>
        <w:t>93</w:t>
      </w:r>
      <w:r>
        <w:rPr>
          <w:rFonts w:ascii="Times New Roman"/>
          <w:sz w:val="24"/>
          <w:szCs w:val="24"/>
        </w:rPr>
        <w:t>–</w:t>
      </w:r>
      <w:r>
        <w:rPr>
          <w:rFonts w:ascii="Times New Roman"/>
          <w:sz w:val="24"/>
          <w:szCs w:val="24"/>
        </w:rPr>
        <w:t>103.</w:t>
      </w:r>
      <w:r>
        <w:rPr>
          <w:rFonts w:ascii="Times New Roman"/>
          <w:sz w:val="24"/>
          <w:szCs w:val="24"/>
        </w:rPr>
        <w:t xml:space="preserve"> https://doi.org/10.1159/000101702</w:t>
      </w:r>
    </w:p>
    <w:p w14:paraId="103497FD" w14:textId="77777777" w:rsidR="00B26622" w:rsidRDefault="004E16E5">
      <w:pPr>
        <w:spacing w:line="360" w:lineRule="auto"/>
        <w:jc w:val="both"/>
        <w:rPr>
          <w:rFonts w:ascii="Times New Roman"/>
          <w:sz w:val="24"/>
          <w:szCs w:val="24"/>
        </w:rPr>
      </w:pPr>
      <w:r>
        <w:rPr>
          <w:rFonts w:ascii="Times New Roman" w:hAnsi="Times New Roman"/>
          <w:sz w:val="24"/>
          <w:szCs w:val="24"/>
        </w:rPr>
        <w:t>28. Nelson, R. J</w:t>
      </w:r>
      <w:r>
        <w:rPr>
          <w:rFonts w:ascii="Times New Roman"/>
          <w:sz w:val="24"/>
          <w:szCs w:val="24"/>
        </w:rPr>
        <w:t xml:space="preserve"> (2011). An introduction to behavioral endocrinology (4th ed.). Sunderland, MA: Sinauer Associates.</w:t>
      </w:r>
      <w:r>
        <w:rPr>
          <w:rFonts w:ascii="Times New Roman"/>
          <w:sz w:val="24"/>
          <w:szCs w:val="24"/>
        </w:rPr>
        <w:t xml:space="preserve"> </w:t>
      </w:r>
      <w:r>
        <w:rPr>
          <w:rFonts w:ascii="Times New Roman"/>
          <w:sz w:val="24"/>
          <w:szCs w:val="24"/>
        </w:rPr>
        <w:t>ISBN: 9780878936205</w:t>
      </w:r>
    </w:p>
    <w:p w14:paraId="4CB77E61" w14:textId="77777777" w:rsidR="00B26622" w:rsidRDefault="004E16E5">
      <w:pPr>
        <w:spacing w:line="360" w:lineRule="auto"/>
        <w:jc w:val="both"/>
        <w:rPr>
          <w:rFonts w:ascii="Times New Roman"/>
          <w:sz w:val="24"/>
          <w:szCs w:val="24"/>
        </w:rPr>
      </w:pPr>
      <w:r>
        <w:rPr>
          <w:rFonts w:ascii="Times New Roman" w:hAnsi="Times New Roman"/>
          <w:sz w:val="24"/>
          <w:szCs w:val="24"/>
        </w:rPr>
        <w:t>29. Balthazart, J</w:t>
      </w:r>
      <w:r>
        <w:rPr>
          <w:rFonts w:ascii="Times New Roman"/>
          <w:sz w:val="24"/>
          <w:szCs w:val="24"/>
        </w:rPr>
        <w:t xml:space="preserve"> (2018). Hormonal control of sexual behavior in female mammals and birds: Similarities and differences. </w:t>
      </w:r>
      <w:r>
        <w:rPr>
          <w:rFonts w:ascii="Times New Roman"/>
          <w:i/>
          <w:sz w:val="24"/>
          <w:szCs w:val="24"/>
        </w:rPr>
        <w:t>Frontiers in Ne</w:t>
      </w:r>
      <w:r>
        <w:rPr>
          <w:rFonts w:ascii="Times New Roman"/>
          <w:i/>
          <w:sz w:val="24"/>
          <w:szCs w:val="24"/>
        </w:rPr>
        <w:t>uroendocrinology</w:t>
      </w:r>
      <w:r>
        <w:rPr>
          <w:rFonts w:ascii="Times New Roman"/>
          <w:sz w:val="24"/>
          <w:szCs w:val="24"/>
        </w:rPr>
        <w:t xml:space="preserve">, 50, </w:t>
      </w:r>
      <w:r>
        <w:rPr>
          <w:rFonts w:ascii="Times New Roman" w:hAnsi="Times New Roman"/>
          <w:sz w:val="24"/>
          <w:szCs w:val="24"/>
        </w:rPr>
        <w:t>pp</w:t>
      </w:r>
      <w:r>
        <w:rPr>
          <w:rFonts w:ascii="Times New Roman"/>
          <w:sz w:val="24"/>
          <w:szCs w:val="24"/>
        </w:rPr>
        <w:t>43</w:t>
      </w:r>
      <w:r>
        <w:rPr>
          <w:rFonts w:ascii="Times New Roman"/>
          <w:sz w:val="24"/>
          <w:szCs w:val="24"/>
        </w:rPr>
        <w:t>–</w:t>
      </w:r>
      <w:r>
        <w:rPr>
          <w:rFonts w:ascii="Times New Roman"/>
          <w:sz w:val="24"/>
          <w:szCs w:val="24"/>
        </w:rPr>
        <w:t>67.</w:t>
      </w:r>
      <w:r>
        <w:rPr>
          <w:rFonts w:ascii="Times New Roman"/>
          <w:sz w:val="24"/>
          <w:szCs w:val="24"/>
        </w:rPr>
        <w:t xml:space="preserve"> </w:t>
      </w:r>
      <w:r>
        <w:rPr>
          <w:rFonts w:ascii="Times New Roman"/>
          <w:sz w:val="24"/>
          <w:szCs w:val="24"/>
        </w:rPr>
        <w:t>https://doi.org/10.1016/j.yfrne.2018.04.001</w:t>
      </w:r>
    </w:p>
    <w:p w14:paraId="3678354B" w14:textId="77777777" w:rsidR="00B26622" w:rsidRDefault="004E16E5">
      <w:pPr>
        <w:spacing w:line="360" w:lineRule="auto"/>
        <w:jc w:val="both"/>
        <w:rPr>
          <w:rFonts w:ascii="Times New Roman"/>
          <w:sz w:val="24"/>
          <w:szCs w:val="24"/>
        </w:rPr>
      </w:pPr>
      <w:r>
        <w:rPr>
          <w:rFonts w:ascii="Times New Roman" w:hAnsi="Times New Roman"/>
          <w:sz w:val="24"/>
          <w:szCs w:val="24"/>
        </w:rPr>
        <w:lastRenderedPageBreak/>
        <w:t>30. Carter, C. S (2008</w:t>
      </w:r>
      <w:r>
        <w:rPr>
          <w:rFonts w:ascii="Times New Roman"/>
          <w:sz w:val="24"/>
          <w:szCs w:val="24"/>
        </w:rPr>
        <w:t xml:space="preserve">). Hormonal influences on human sexual behavior. </w:t>
      </w:r>
      <w:r>
        <w:rPr>
          <w:rFonts w:ascii="Times New Roman"/>
          <w:i/>
          <w:sz w:val="24"/>
          <w:szCs w:val="24"/>
        </w:rPr>
        <w:t>Journal</w:t>
      </w:r>
      <w:r>
        <w:rPr>
          <w:rFonts w:ascii="Times New Roman" w:hAnsi="Times New Roman"/>
          <w:i/>
          <w:sz w:val="24"/>
          <w:szCs w:val="24"/>
        </w:rPr>
        <w:t xml:space="preserve"> of Sex Research</w:t>
      </w:r>
      <w:r>
        <w:rPr>
          <w:rFonts w:ascii="Times New Roman" w:hAnsi="Times New Roman"/>
          <w:sz w:val="24"/>
          <w:szCs w:val="24"/>
        </w:rPr>
        <w:t>, 29(</w:t>
      </w:r>
      <w:r>
        <w:rPr>
          <w:rFonts w:ascii="Times New Roman" w:hAnsi="Times New Roman"/>
          <w:b/>
          <w:sz w:val="24"/>
          <w:szCs w:val="24"/>
        </w:rPr>
        <w:t>1</w:t>
      </w:r>
      <w:r>
        <w:rPr>
          <w:rFonts w:ascii="Times New Roman" w:hAnsi="Times New Roman"/>
          <w:sz w:val="24"/>
          <w:szCs w:val="24"/>
        </w:rPr>
        <w:t>)pp</w:t>
      </w:r>
      <w:r>
        <w:rPr>
          <w:rFonts w:ascii="Times New Roman"/>
          <w:sz w:val="24"/>
          <w:szCs w:val="24"/>
        </w:rPr>
        <w:t>39</w:t>
      </w:r>
      <w:r>
        <w:rPr>
          <w:rFonts w:ascii="Times New Roman"/>
          <w:sz w:val="24"/>
          <w:szCs w:val="24"/>
        </w:rPr>
        <w:t>–</w:t>
      </w:r>
      <w:r>
        <w:rPr>
          <w:rFonts w:ascii="Times New Roman"/>
          <w:sz w:val="24"/>
          <w:szCs w:val="24"/>
        </w:rPr>
        <w:t>51.</w:t>
      </w:r>
    </w:p>
    <w:p w14:paraId="1141FDC2" w14:textId="00B591F8" w:rsidR="00B26622" w:rsidRDefault="004E16E5">
      <w:pPr>
        <w:spacing w:line="360" w:lineRule="auto"/>
        <w:jc w:val="both"/>
        <w:rPr>
          <w:rFonts w:ascii="Times New Roman"/>
          <w:sz w:val="24"/>
          <w:szCs w:val="24"/>
        </w:rPr>
      </w:pPr>
      <w:r>
        <w:rPr>
          <w:rFonts w:ascii="Times New Roman"/>
          <w:sz w:val="24"/>
          <w:szCs w:val="24"/>
        </w:rPr>
        <w:t>31.</w:t>
      </w:r>
      <w:r>
        <w:rPr>
          <w:rFonts w:ascii="Times New Roman"/>
          <w:sz w:val="24"/>
          <w:szCs w:val="24"/>
        </w:rPr>
        <w:t>Hirshfield, A. N. (1991). Development of follicles in the mammalian ovary. International Review of Cytology,</w:t>
      </w:r>
      <w:r>
        <w:rPr>
          <w:rFonts w:ascii="Times New Roman"/>
          <w:sz w:val="24"/>
          <w:szCs w:val="24"/>
        </w:rPr>
        <w:t xml:space="preserve"> </w:t>
      </w:r>
      <w:r>
        <w:rPr>
          <w:rFonts w:ascii="Times New Roman"/>
          <w:sz w:val="24"/>
          <w:szCs w:val="24"/>
        </w:rPr>
        <w:t>124</w:t>
      </w:r>
      <w:r>
        <w:rPr>
          <w:rFonts w:ascii="Times New Roman"/>
          <w:sz w:val="24"/>
          <w:szCs w:val="24"/>
        </w:rPr>
        <w:t>p</w:t>
      </w:r>
      <w:r>
        <w:rPr>
          <w:rFonts w:ascii="Times New Roman"/>
          <w:sz w:val="24"/>
          <w:szCs w:val="24"/>
        </w:rPr>
        <w:t>p</w:t>
      </w:r>
      <w:r>
        <w:rPr>
          <w:rFonts w:ascii="Times New Roman"/>
          <w:sz w:val="24"/>
          <w:szCs w:val="24"/>
        </w:rPr>
        <w:t>43</w:t>
      </w:r>
      <w:r>
        <w:rPr>
          <w:rFonts w:ascii="Times New Roman"/>
          <w:sz w:val="24"/>
          <w:szCs w:val="24"/>
        </w:rPr>
        <w:t>–</w:t>
      </w:r>
      <w:r>
        <w:rPr>
          <w:rFonts w:ascii="Times New Roman"/>
          <w:sz w:val="24"/>
          <w:szCs w:val="24"/>
        </w:rPr>
        <w:t>101. https://doi.org/10.1016/S0074-7696(08)61524-7</w:t>
      </w:r>
    </w:p>
    <w:p w14:paraId="2BB0BA0B" w14:textId="2F2BFBFC" w:rsidR="00B26622" w:rsidRDefault="004E16E5">
      <w:pPr>
        <w:spacing w:line="360" w:lineRule="auto"/>
        <w:jc w:val="both"/>
        <w:rPr>
          <w:rFonts w:ascii="Times New Roman"/>
          <w:sz w:val="24"/>
          <w:szCs w:val="24"/>
        </w:rPr>
      </w:pPr>
      <w:r>
        <w:rPr>
          <w:rFonts w:ascii="Times New Roman"/>
          <w:sz w:val="24"/>
          <w:szCs w:val="24"/>
        </w:rPr>
        <w:t>32</w:t>
      </w:r>
      <w:r>
        <w:rPr>
          <w:rFonts w:ascii="Times New Roman" w:hAnsi="Times New Roman"/>
          <w:sz w:val="24"/>
          <w:szCs w:val="24"/>
        </w:rPr>
        <w:t xml:space="preserve">. </w:t>
      </w:r>
      <w:r>
        <w:rPr>
          <w:rFonts w:ascii="Times New Roman" w:hAnsi="Times New Roman"/>
          <w:sz w:val="24"/>
          <w:szCs w:val="24"/>
        </w:rPr>
        <w:t xml:space="preserve">Khaleghi, M., Ghanbari, </w:t>
      </w:r>
      <w:r>
        <w:rPr>
          <w:rFonts w:ascii="Times New Roman" w:hAnsi="Times New Roman"/>
          <w:sz w:val="24"/>
          <w:szCs w:val="24"/>
        </w:rPr>
        <w:t>A., &amp; Ziai, S. A. (2019). Phytochemicals and female sexual health: Mechanistic insights and therapeutic potential. Journal of Ethnopharmacology, 235, 181–193. https://doi.org/10.1016/j.jep.2019.02.022</w:t>
      </w:r>
    </w:p>
    <w:p w14:paraId="35DE052C" w14:textId="77777777" w:rsidR="00B26622" w:rsidRDefault="004E16E5">
      <w:pPr>
        <w:spacing w:line="360" w:lineRule="auto"/>
        <w:jc w:val="both"/>
        <w:rPr>
          <w:rFonts w:ascii="Times New Roman" w:hAnsi="Times New Roman"/>
          <w:sz w:val="24"/>
          <w:szCs w:val="24"/>
        </w:rPr>
      </w:pPr>
      <w:r>
        <w:rPr>
          <w:rFonts w:ascii="Times New Roman"/>
          <w:sz w:val="24"/>
          <w:szCs w:val="24"/>
        </w:rPr>
        <w:t>33. Sharma</w:t>
      </w:r>
      <w:r>
        <w:rPr>
          <w:rFonts w:ascii="Times New Roman" w:hAnsi="Times New Roman"/>
          <w:sz w:val="24"/>
          <w:szCs w:val="24"/>
        </w:rPr>
        <w:t>, V., Thakur, M., &amp; Dixit, V. K</w:t>
      </w:r>
      <w:r>
        <w:rPr>
          <w:rFonts w:ascii="Times New Roman"/>
          <w:sz w:val="24"/>
          <w:szCs w:val="24"/>
        </w:rPr>
        <w:t xml:space="preserve"> (2011). A comparative study of effect of Ficus bengalensis and Ficus racemosa on reproductive health in male albino rats. </w:t>
      </w:r>
      <w:r>
        <w:rPr>
          <w:rFonts w:ascii="Times New Roman"/>
          <w:i/>
          <w:sz w:val="24"/>
          <w:szCs w:val="24"/>
        </w:rPr>
        <w:t>Journal of Ethnopharmacology</w:t>
      </w:r>
      <w:r>
        <w:rPr>
          <w:rFonts w:ascii="Times New Roman"/>
          <w:sz w:val="24"/>
          <w:szCs w:val="24"/>
        </w:rPr>
        <w:t>, 134(</w:t>
      </w:r>
      <w:r>
        <w:rPr>
          <w:rFonts w:ascii="Times New Roman"/>
          <w:b/>
          <w:sz w:val="24"/>
          <w:szCs w:val="24"/>
        </w:rPr>
        <w:t>3</w:t>
      </w:r>
      <w:r>
        <w:rPr>
          <w:rFonts w:ascii="Times New Roman" w:hAnsi="Times New Roman"/>
          <w:sz w:val="24"/>
          <w:szCs w:val="24"/>
        </w:rPr>
        <w:t>)pp</w:t>
      </w:r>
      <w:r>
        <w:rPr>
          <w:rFonts w:ascii="Times New Roman"/>
          <w:sz w:val="24"/>
          <w:szCs w:val="24"/>
        </w:rPr>
        <w:t>817</w:t>
      </w:r>
      <w:r>
        <w:rPr>
          <w:rFonts w:ascii="Times New Roman"/>
          <w:sz w:val="24"/>
          <w:szCs w:val="24"/>
        </w:rPr>
        <w:t>–</w:t>
      </w:r>
      <w:r>
        <w:rPr>
          <w:rFonts w:ascii="Times New Roman"/>
          <w:sz w:val="24"/>
          <w:szCs w:val="24"/>
        </w:rPr>
        <w:t>822.</w:t>
      </w:r>
      <w:r>
        <w:rPr>
          <w:rFonts w:ascii="Times New Roman"/>
          <w:sz w:val="24"/>
          <w:szCs w:val="24"/>
        </w:rPr>
        <w:t xml:space="preserve"> </w:t>
      </w:r>
      <w:r>
        <w:rPr>
          <w:rFonts w:ascii="Times New Roman"/>
          <w:sz w:val="24"/>
          <w:szCs w:val="24"/>
        </w:rPr>
        <w:t>https://doi.org/10.1016/j.jep.2011.01.028</w:t>
      </w:r>
    </w:p>
    <w:p w14:paraId="21794646" w14:textId="77777777" w:rsidR="00B26622" w:rsidRDefault="004E16E5">
      <w:pPr>
        <w:spacing w:line="360" w:lineRule="auto"/>
        <w:jc w:val="both"/>
        <w:rPr>
          <w:rFonts w:ascii="Times New Roman"/>
          <w:sz w:val="24"/>
          <w:szCs w:val="24"/>
        </w:rPr>
      </w:pPr>
      <w:r>
        <w:rPr>
          <w:rFonts w:ascii="Times New Roman"/>
          <w:sz w:val="24"/>
          <w:szCs w:val="24"/>
        </w:rPr>
        <w:t>34. G</w:t>
      </w:r>
      <w:r>
        <w:rPr>
          <w:rFonts w:ascii="Times New Roman" w:hAnsi="Times New Roman"/>
          <w:sz w:val="24"/>
          <w:szCs w:val="24"/>
        </w:rPr>
        <w:t xml:space="preserve">authaman, K., Adaikan, P. G., Prasad, </w:t>
      </w:r>
      <w:r>
        <w:rPr>
          <w:rFonts w:ascii="Times New Roman" w:hAnsi="Times New Roman"/>
          <w:sz w:val="24"/>
          <w:szCs w:val="24"/>
        </w:rPr>
        <w:t>R. N. V</w:t>
      </w:r>
      <w:r>
        <w:rPr>
          <w:rFonts w:ascii="Times New Roman"/>
          <w:sz w:val="24"/>
          <w:szCs w:val="24"/>
        </w:rPr>
        <w:t xml:space="preserve"> (2002). Aphrodisiac properties of Tribulus terrestris extract (Protodioscin) in normal and castrated rats. </w:t>
      </w:r>
      <w:r>
        <w:rPr>
          <w:rFonts w:ascii="Times New Roman"/>
          <w:i/>
          <w:sz w:val="24"/>
          <w:szCs w:val="24"/>
        </w:rPr>
        <w:t>Life Sciences</w:t>
      </w:r>
      <w:r>
        <w:rPr>
          <w:rFonts w:ascii="Times New Roman"/>
          <w:sz w:val="24"/>
          <w:szCs w:val="24"/>
        </w:rPr>
        <w:t>, 71(</w:t>
      </w:r>
      <w:r>
        <w:rPr>
          <w:rFonts w:ascii="Times New Roman"/>
          <w:b/>
          <w:sz w:val="24"/>
          <w:szCs w:val="24"/>
        </w:rPr>
        <w:t>12</w:t>
      </w:r>
      <w:r>
        <w:rPr>
          <w:rFonts w:ascii="Times New Roman"/>
          <w:sz w:val="24"/>
          <w:szCs w:val="24"/>
        </w:rPr>
        <w:t xml:space="preserve">), </w:t>
      </w:r>
      <w:r>
        <w:rPr>
          <w:rFonts w:ascii="Times New Roman" w:hAnsi="Times New Roman"/>
          <w:sz w:val="24"/>
          <w:szCs w:val="24"/>
        </w:rPr>
        <w:t>pp</w:t>
      </w:r>
      <w:r>
        <w:rPr>
          <w:rFonts w:ascii="Times New Roman"/>
          <w:sz w:val="24"/>
          <w:szCs w:val="24"/>
        </w:rPr>
        <w:t>1385</w:t>
      </w:r>
      <w:r>
        <w:rPr>
          <w:rFonts w:ascii="Times New Roman"/>
          <w:sz w:val="24"/>
          <w:szCs w:val="24"/>
        </w:rPr>
        <w:t>–</w:t>
      </w:r>
      <w:r>
        <w:rPr>
          <w:rFonts w:ascii="Times New Roman"/>
          <w:sz w:val="24"/>
          <w:szCs w:val="24"/>
        </w:rPr>
        <w:t>1396.</w:t>
      </w:r>
      <w:r>
        <w:rPr>
          <w:rFonts w:ascii="Times New Roman"/>
          <w:sz w:val="24"/>
          <w:szCs w:val="24"/>
        </w:rPr>
        <w:t xml:space="preserve"> </w:t>
      </w:r>
      <w:r>
        <w:rPr>
          <w:rFonts w:ascii="Times New Roman"/>
          <w:sz w:val="24"/>
          <w:szCs w:val="24"/>
        </w:rPr>
        <w:t>https://doi.org/10.1016/S0024-3205(02)01858-1</w:t>
      </w:r>
    </w:p>
    <w:p w14:paraId="4489A460" w14:textId="43176C81" w:rsidR="00B26622" w:rsidRDefault="004E16E5">
      <w:pPr>
        <w:spacing w:line="360" w:lineRule="auto"/>
        <w:jc w:val="both"/>
        <w:rPr>
          <w:rFonts w:ascii="Times New Roman"/>
          <w:sz w:val="24"/>
          <w:szCs w:val="24"/>
        </w:rPr>
      </w:pPr>
      <w:r>
        <w:rPr>
          <w:rFonts w:ascii="Times New Roman" w:hAnsi="Times New Roman"/>
          <w:sz w:val="24"/>
          <w:szCs w:val="24"/>
        </w:rPr>
        <w:t>35.</w:t>
      </w:r>
      <w:r>
        <w:rPr>
          <w:rFonts w:ascii="Times New Roman" w:hAnsi="Times New Roman"/>
          <w:sz w:val="24"/>
          <w:szCs w:val="24"/>
        </w:rPr>
        <w:t xml:space="preserve"> </w:t>
      </w:r>
      <w:r>
        <w:rPr>
          <w:rFonts w:ascii="Times New Roman"/>
          <w:sz w:val="24"/>
          <w:szCs w:val="24"/>
        </w:rPr>
        <w:t>Shukla, K. K., Mahdi, A. A.,</w:t>
      </w:r>
      <w:r>
        <w:rPr>
          <w:rFonts w:ascii="Times New Roman"/>
          <w:sz w:val="24"/>
          <w:szCs w:val="24"/>
        </w:rPr>
        <w:t xml:space="preserve"> Ahmad, M. K. (2010). Muc</w:t>
      </w:r>
      <w:r>
        <w:rPr>
          <w:rFonts w:ascii="Times New Roman"/>
          <w:sz w:val="24"/>
          <w:szCs w:val="24"/>
        </w:rPr>
        <w:t>una pruriens improves male fertility by its action on the hypothalamus-pituitary-gonadal axis. Fertility and Sterility, 94(3), 1020</w:t>
      </w:r>
      <w:r>
        <w:rPr>
          <w:rFonts w:ascii="Times New Roman"/>
          <w:sz w:val="24"/>
          <w:szCs w:val="24"/>
        </w:rPr>
        <w:t>–</w:t>
      </w:r>
      <w:r>
        <w:rPr>
          <w:rFonts w:ascii="Times New Roman"/>
          <w:sz w:val="24"/>
          <w:szCs w:val="24"/>
        </w:rPr>
        <w:t>1027. https://doi.org/10.1016/j.fertnstert.2009.04.046</w:t>
      </w:r>
    </w:p>
    <w:p w14:paraId="6F73D282" w14:textId="753DF0C3" w:rsidR="00B26622" w:rsidRDefault="004E16E5">
      <w:pPr>
        <w:spacing w:line="360" w:lineRule="auto"/>
        <w:jc w:val="both"/>
        <w:rPr>
          <w:rFonts w:ascii="Times New Roman"/>
          <w:sz w:val="24"/>
          <w:szCs w:val="24"/>
        </w:rPr>
      </w:pPr>
      <w:r>
        <w:rPr>
          <w:rFonts w:ascii="Times New Roman"/>
          <w:sz w:val="24"/>
          <w:szCs w:val="24"/>
        </w:rPr>
        <w:t>36</w:t>
      </w:r>
      <w:r>
        <w:rPr>
          <w:rFonts w:ascii="Times New Roman"/>
          <w:sz w:val="24"/>
          <w:szCs w:val="24"/>
        </w:rPr>
        <w:t>.</w:t>
      </w:r>
      <w:r>
        <w:rPr>
          <w:rFonts w:ascii="Times New Roman"/>
          <w:sz w:val="24"/>
          <w:szCs w:val="24"/>
        </w:rPr>
        <w:t xml:space="preserve"> </w:t>
      </w:r>
      <w:r>
        <w:rPr>
          <w:rFonts w:ascii="Times New Roman"/>
          <w:sz w:val="24"/>
          <w:szCs w:val="24"/>
        </w:rPr>
        <w:t xml:space="preserve">Ugwah-Oguejiofor, C. J., Bello, S. O., Okolo, R. U., Etuk, E. U., Ugwah, M. O., &amp; Igbokwe, </w:t>
      </w:r>
      <w:r>
        <w:rPr>
          <w:rFonts w:ascii="Times New Roman"/>
          <w:sz w:val="24"/>
          <w:szCs w:val="24"/>
        </w:rPr>
        <w:t>V. U. (2011). Ficus platyphylla promotes fertility in female Rattus norvegicus Wistar strain: a preliminary study. Reproductive Biology and Endocrinology, 9, 145. https://doi.org/10.1186/1477-7827-9-145</w:t>
      </w:r>
    </w:p>
    <w:p w14:paraId="495FCB0C" w14:textId="3A8167EE" w:rsidR="00B26622" w:rsidRDefault="004E16E5">
      <w:pPr>
        <w:pStyle w:val="ListParagraph"/>
        <w:spacing w:line="360" w:lineRule="auto"/>
        <w:ind w:left="0"/>
        <w:jc w:val="both"/>
      </w:pPr>
      <w:r>
        <w:rPr>
          <w:sz w:val="24"/>
          <w:szCs w:val="24"/>
        </w:rPr>
        <w:t xml:space="preserve">37. </w:t>
      </w:r>
      <w:r>
        <w:rPr>
          <w:sz w:val="24"/>
          <w:szCs w:val="24"/>
        </w:rPr>
        <w:t xml:space="preserve">Choi, M. H., et al. (2018). Validation of an ELISA for progesterone in rodent serum and plasma. Journal of Endocrinology, </w:t>
      </w:r>
      <w:r>
        <w:rPr>
          <w:sz w:val="24"/>
          <w:szCs w:val="24"/>
        </w:rPr>
        <w:t>236(2)</w:t>
      </w:r>
      <w:r>
        <w:rPr>
          <w:sz w:val="24"/>
          <w:szCs w:val="24"/>
        </w:rPr>
        <w:t>p</w:t>
      </w:r>
      <w:r>
        <w:rPr>
          <w:sz w:val="24"/>
          <w:szCs w:val="24"/>
        </w:rPr>
        <w:t>p</w:t>
      </w:r>
      <w:r>
        <w:rPr>
          <w:sz w:val="24"/>
          <w:szCs w:val="24"/>
        </w:rPr>
        <w:t>123–131. https://doi.org/10.1530/JOE-17-0441</w:t>
      </w:r>
    </w:p>
    <w:p w14:paraId="4CDC59E3" w14:textId="293344EB" w:rsidR="00B26622" w:rsidRDefault="004E16E5">
      <w:pPr>
        <w:pStyle w:val="ListParagraph"/>
        <w:spacing w:after="200" w:line="360" w:lineRule="auto"/>
        <w:ind w:left="0"/>
        <w:jc w:val="both"/>
        <w:rPr>
          <w:sz w:val="24"/>
          <w:szCs w:val="24"/>
        </w:rPr>
      </w:pPr>
      <w:r>
        <w:rPr>
          <w:sz w:val="24"/>
          <w:szCs w:val="24"/>
        </w:rPr>
        <w:t xml:space="preserve">38. </w:t>
      </w:r>
      <w:r>
        <w:rPr>
          <w:sz w:val="24"/>
          <w:szCs w:val="24"/>
        </w:rPr>
        <w:t>Abcam. (2023). Progesterone ELISA Kit, Catalog #ab1086</w:t>
      </w:r>
      <w:r>
        <w:rPr>
          <w:sz w:val="24"/>
          <w:szCs w:val="24"/>
        </w:rPr>
        <w:t>54 [Product manual]. Cambridge, UK: Abcam. Available from https://www.abcam.com/ps/products/108/ab108654.html</w:t>
      </w:r>
    </w:p>
    <w:p w14:paraId="5E8AA057" w14:textId="03CD26D1" w:rsidR="00B26622" w:rsidRDefault="004E16E5">
      <w:pPr>
        <w:pStyle w:val="ListParagraph"/>
        <w:spacing w:after="200" w:line="360" w:lineRule="auto"/>
        <w:ind w:left="0"/>
        <w:jc w:val="both"/>
      </w:pPr>
      <w:r>
        <w:rPr>
          <w:sz w:val="24"/>
          <w:szCs w:val="24"/>
        </w:rPr>
        <w:t xml:space="preserve">39. </w:t>
      </w:r>
      <w:r>
        <w:rPr>
          <w:sz w:val="24"/>
          <w:szCs w:val="24"/>
        </w:rPr>
        <w:t xml:space="preserve">Hui, Q., Yang, R., Lu, C., Bi, J., Li, L., Gong, J., Zhang, L., Jin, Z., &amp; Wang, X. (2020). Validation of a Double-Sandwich Enzyme-Linked Immunoassay for Pharmacokinetic Study of </w:t>
      </w:r>
      <w:r>
        <w:rPr>
          <w:sz w:val="24"/>
          <w:szCs w:val="24"/>
        </w:rPr>
        <w:lastRenderedPageBreak/>
        <w:t>an rh-aFGF Hydrogel in Rat Skin and Serum. Frontiers in Pharmacology, 11:700.</w:t>
      </w:r>
      <w:r>
        <w:rPr>
          <w:sz w:val="24"/>
          <w:szCs w:val="24"/>
        </w:rPr>
        <w:t xml:space="preserve"> </w:t>
      </w:r>
      <w:r>
        <w:rPr>
          <w:sz w:val="24"/>
          <w:szCs w:val="24"/>
        </w:rPr>
        <w:t>h</w:t>
      </w:r>
      <w:r>
        <w:rPr>
          <w:sz w:val="24"/>
          <w:szCs w:val="24"/>
        </w:rPr>
        <w:t>t</w:t>
      </w:r>
      <w:r>
        <w:rPr>
          <w:sz w:val="24"/>
          <w:szCs w:val="24"/>
        </w:rPr>
        <w:t>t</w:t>
      </w:r>
      <w:r>
        <w:rPr>
          <w:sz w:val="24"/>
          <w:szCs w:val="24"/>
        </w:rPr>
        <w:t>p</w:t>
      </w:r>
      <w:r>
        <w:rPr>
          <w:sz w:val="24"/>
          <w:szCs w:val="24"/>
        </w:rPr>
        <w:t>:</w:t>
      </w:r>
      <w:r>
        <w:rPr>
          <w:sz w:val="24"/>
          <w:szCs w:val="24"/>
        </w:rPr>
        <w:t>/</w:t>
      </w:r>
      <w:r>
        <w:rPr>
          <w:sz w:val="24"/>
          <w:szCs w:val="24"/>
        </w:rPr>
        <w:t>/</w:t>
      </w:r>
      <w:r>
        <w:rPr>
          <w:sz w:val="24"/>
          <w:szCs w:val="24"/>
        </w:rPr>
        <w:t>d</w:t>
      </w:r>
      <w:r>
        <w:rPr>
          <w:sz w:val="24"/>
          <w:szCs w:val="24"/>
        </w:rPr>
        <w:t>o</w:t>
      </w:r>
      <w:r>
        <w:rPr>
          <w:sz w:val="24"/>
          <w:szCs w:val="24"/>
        </w:rPr>
        <w:t>i</w:t>
      </w:r>
      <w:r>
        <w:rPr>
          <w:sz w:val="24"/>
          <w:szCs w:val="24"/>
        </w:rPr>
        <w:t>.</w:t>
      </w:r>
      <w:r>
        <w:rPr>
          <w:sz w:val="24"/>
          <w:szCs w:val="24"/>
        </w:rPr>
        <w:t>o</w:t>
      </w:r>
      <w:r>
        <w:rPr>
          <w:sz w:val="24"/>
          <w:szCs w:val="24"/>
        </w:rPr>
        <w:t>r</w:t>
      </w:r>
      <w:r>
        <w:rPr>
          <w:sz w:val="24"/>
          <w:szCs w:val="24"/>
        </w:rPr>
        <w:t>g</w:t>
      </w:r>
      <w:r>
        <w:rPr>
          <w:sz w:val="24"/>
          <w:szCs w:val="24"/>
        </w:rPr>
        <w:t>.</w:t>
      </w:r>
      <w:r>
        <w:rPr>
          <w:sz w:val="24"/>
          <w:szCs w:val="24"/>
        </w:rPr>
        <w:t>10.3389/fphar.2020.00700</w:t>
      </w:r>
    </w:p>
    <w:p w14:paraId="073621CB" w14:textId="77777777" w:rsidR="00B26622" w:rsidRDefault="004E16E5">
      <w:pPr>
        <w:pStyle w:val="ListParagraph"/>
        <w:spacing w:after="200" w:line="360" w:lineRule="auto"/>
        <w:ind w:left="0"/>
        <w:jc w:val="both"/>
      </w:pPr>
      <w:r>
        <w:rPr>
          <w:sz w:val="24"/>
          <w:szCs w:val="24"/>
        </w:rPr>
        <w:t xml:space="preserve">40. Sigma-Aldrich (2024). Rat FSH ELISA Kit (Catalog #RAB0326) Technical Datasheet. St. Louis, MO: Sigma-Aldrich;.Available from: </w:t>
      </w:r>
      <w:r>
        <w:rPr>
          <w:sz w:val="24"/>
          <w:szCs w:val="24"/>
        </w:rPr>
        <w:t>https://www.sigmaaldrich.com/RAB0326</w:t>
      </w:r>
    </w:p>
    <w:p w14:paraId="42BB29B6" w14:textId="6F3B1B29" w:rsidR="00B26622" w:rsidRDefault="004E16E5">
      <w:pPr>
        <w:pStyle w:val="ListParagraph"/>
        <w:spacing w:after="200" w:line="360" w:lineRule="auto"/>
        <w:ind w:left="0"/>
        <w:jc w:val="both"/>
      </w:pPr>
      <w:r>
        <w:rPr>
          <w:sz w:val="24"/>
          <w:szCs w:val="24"/>
        </w:rPr>
        <w:t xml:space="preserve">41. </w:t>
      </w:r>
      <w:r>
        <w:rPr>
          <w:sz w:val="24"/>
          <w:szCs w:val="24"/>
        </w:rPr>
        <w:t>Xing, Y., Lin, H., Zhang, Y., et al. (2020). A high-sensitivity estradiol ELISA for</w:t>
      </w:r>
      <w:r>
        <w:rPr>
          <w:sz w:val="24"/>
          <w:szCs w:val="24"/>
        </w:rPr>
        <w:t xml:space="preserve"> rodent serum: Development and validation. Frontiers in Pharmacology, 11, 700. https://doi.org/10.3389/fphar.2020.00700</w:t>
      </w:r>
    </w:p>
    <w:p w14:paraId="213BF11A" w14:textId="77777777" w:rsidR="00B26622" w:rsidRDefault="004E16E5">
      <w:pPr>
        <w:pStyle w:val="ListParagraph"/>
        <w:spacing w:after="200" w:line="360" w:lineRule="auto"/>
        <w:ind w:left="0"/>
        <w:jc w:val="both"/>
      </w:pPr>
      <w:r>
        <w:rPr>
          <w:sz w:val="24"/>
          <w:szCs w:val="24"/>
        </w:rPr>
        <w:t>42. Waltham, MA (2023). Thermo Fisher Scientific Rat Estradiol ELISA Kit (Catalog #KA0234) User Manual.: Thermo Fisher Scientific;. Avai</w:t>
      </w:r>
      <w:r>
        <w:rPr>
          <w:sz w:val="24"/>
          <w:szCs w:val="24"/>
        </w:rPr>
        <w:t>lable from: https://www.thermofisher.com.</w:t>
      </w:r>
    </w:p>
    <w:p w14:paraId="139D3EF3" w14:textId="05EF86E9" w:rsidR="00B26622" w:rsidRDefault="004E16E5">
      <w:pPr>
        <w:pStyle w:val="ListParagraph"/>
        <w:spacing w:after="200" w:line="360" w:lineRule="auto"/>
        <w:ind w:left="0"/>
        <w:jc w:val="both"/>
      </w:pPr>
      <w:r>
        <w:rPr>
          <w:sz w:val="24"/>
          <w:szCs w:val="24"/>
        </w:rPr>
        <w:t xml:space="preserve">43. </w:t>
      </w:r>
      <w:r>
        <w:rPr>
          <w:sz w:val="24"/>
          <w:szCs w:val="24"/>
        </w:rPr>
        <w:t>Smith, L. B., Walker, W. H., &amp; O’Don</w:t>
      </w:r>
      <w:r>
        <w:rPr>
          <w:sz w:val="24"/>
          <w:szCs w:val="24"/>
        </w:rPr>
        <w:t>nell, L. (2017). ELISA-based measurement of testosterone in rat models: Validation and optimization. Andrology, 5(5), 987–994. https://doi.org/10.1111/andr.12412</w:t>
      </w:r>
    </w:p>
    <w:p w14:paraId="1284B537" w14:textId="77777777" w:rsidR="00B26622" w:rsidRDefault="004E16E5">
      <w:pPr>
        <w:pStyle w:val="ListParagraph"/>
        <w:spacing w:after="200" w:line="360" w:lineRule="auto"/>
        <w:ind w:left="0"/>
        <w:jc w:val="both"/>
      </w:pPr>
      <w:r>
        <w:rPr>
          <w:sz w:val="24"/>
          <w:szCs w:val="24"/>
        </w:rPr>
        <w:t xml:space="preserve">44. Farmingdale, NY (2024). Enzo Life Sciences. Testosterone ELISA Kit (Catalog #ADI-900-065) </w:t>
      </w:r>
      <w:r>
        <w:rPr>
          <w:sz w:val="24"/>
          <w:szCs w:val="24"/>
        </w:rPr>
        <w:t>Technical Datasheet.: Enzo Life Sciences;. Available from: https://www.enzolifesciences.com.</w:t>
      </w:r>
    </w:p>
    <w:p w14:paraId="0828B6A8" w14:textId="43EADB98" w:rsidR="00B26622" w:rsidRDefault="004E16E5">
      <w:pPr>
        <w:pStyle w:val="ListParagraph"/>
        <w:spacing w:after="200" w:line="360" w:lineRule="auto"/>
        <w:ind w:left="0"/>
        <w:jc w:val="both"/>
      </w:pPr>
      <w:r>
        <w:rPr>
          <w:sz w:val="24"/>
          <w:szCs w:val="24"/>
        </w:rPr>
        <w:t>45.</w:t>
      </w:r>
      <w:r>
        <w:rPr>
          <w:sz w:val="24"/>
          <w:szCs w:val="24"/>
        </w:rPr>
        <w:t xml:space="preserve"> </w:t>
      </w:r>
      <w:r>
        <w:rPr>
          <w:sz w:val="24"/>
          <w:szCs w:val="24"/>
        </w:rPr>
        <w:t xml:space="preserve">Andreasson, U., Perret-Liaudet, A., van Waalwijk van Doorn, L. J., Blennow, K., </w:t>
      </w:r>
      <w:r>
        <w:rPr>
          <w:sz w:val="24"/>
          <w:szCs w:val="24"/>
        </w:rPr>
        <w:t>Chiasserini, D., Engelborghs, S., … &amp; Zetterberg, H. (2015). A practical guide to immunoassay validation for biomarker quantification. Clinical Chemistry and Laboratory Medicine, 53(7), 955–965. https://doi.org/10.1515/cclm-2015-0141</w:t>
      </w:r>
    </w:p>
    <w:p w14:paraId="1CF3FCF0" w14:textId="723BF9C5" w:rsidR="00B26622" w:rsidRDefault="004E16E5">
      <w:pPr>
        <w:pStyle w:val="ListParagraph"/>
        <w:spacing w:after="200" w:line="360" w:lineRule="auto"/>
        <w:ind w:left="0"/>
        <w:jc w:val="both"/>
      </w:pPr>
      <w:r>
        <w:rPr>
          <w:sz w:val="24"/>
          <w:szCs w:val="24"/>
        </w:rPr>
        <w:t xml:space="preserve">46. </w:t>
      </w:r>
      <w:r>
        <w:rPr>
          <w:sz w:val="24"/>
          <w:szCs w:val="24"/>
        </w:rPr>
        <w:t>Crowther, J. R. (2009). The ELISA guidebook (2nd ed.). New York, NY: Humana Press. https://doi.org/10.1007/978-1-60327-254-4</w:t>
      </w:r>
    </w:p>
    <w:p w14:paraId="1584AB3E" w14:textId="0306C577" w:rsidR="00B26622" w:rsidRDefault="004E16E5">
      <w:pPr>
        <w:spacing w:line="360" w:lineRule="auto"/>
        <w:jc w:val="both"/>
        <w:rPr>
          <w:rFonts w:ascii="Times New Roman" w:hAnsi="Times New Roman"/>
          <w:sz w:val="24"/>
          <w:szCs w:val="24"/>
        </w:rPr>
      </w:pPr>
      <w:r>
        <w:rPr>
          <w:rFonts w:ascii="Times New Roman" w:hAnsi="Times New Roman"/>
          <w:sz w:val="24"/>
          <w:szCs w:val="24"/>
        </w:rPr>
        <w:t>47. Edinger, K. L., &amp; Frye, C. A. (2007).</w:t>
      </w:r>
      <w:r>
        <w:rPr>
          <w:rFonts w:ascii="Times New Roman" w:hAnsi="Times New Roman"/>
          <w:sz w:val="24"/>
          <w:szCs w:val="24"/>
        </w:rPr>
        <w:t xml:space="preserve"> Androgens’ effects on sexual behavior in female rats: Role of androgen and estrogen receptors. Hormones and Behavior, 52(5), 598–604. https://doi.org/10.1016/j.yhbeh.2007.07.010</w:t>
      </w:r>
    </w:p>
    <w:p w14:paraId="1DAA2FE2" w14:textId="35D21DE7" w:rsidR="00B26622" w:rsidRDefault="004E16E5">
      <w:pPr>
        <w:spacing w:line="36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8</w:t>
      </w:r>
      <w:r>
        <w:rPr>
          <w:rFonts w:ascii="Times New Roman" w:hAnsi="Times New Roman"/>
          <w:sz w:val="24"/>
          <w:szCs w:val="24"/>
        </w:rPr>
        <w:t>. Chaudhury, R. R., &amp; Dey, S. K. (2003). Follicular development and corpus luteum formation in rats. Indian Journal of Physiology and Pharmacology, 47(1), 44–50.</w:t>
      </w:r>
    </w:p>
    <w:p w14:paraId="24FBBA15" w14:textId="53F33790" w:rsidR="00B26622" w:rsidRDefault="004E16E5">
      <w:pPr>
        <w:spacing w:line="360" w:lineRule="auto"/>
        <w:jc w:val="both"/>
        <w:rPr>
          <w:rFonts w:ascii="Times New Roman" w:hAnsi="Times New Roman"/>
          <w:sz w:val="24"/>
          <w:szCs w:val="24"/>
        </w:rPr>
      </w:pPr>
      <w:r>
        <w:rPr>
          <w:rFonts w:ascii="Times New Roman" w:hAnsi="Times New Roman"/>
          <w:sz w:val="24"/>
          <w:szCs w:val="24"/>
        </w:rPr>
        <w:lastRenderedPageBreak/>
        <w:t>4</w:t>
      </w:r>
      <w:r>
        <w:rPr>
          <w:rFonts w:ascii="Times New Roman" w:hAnsi="Times New Roman"/>
          <w:sz w:val="24"/>
          <w:szCs w:val="24"/>
        </w:rPr>
        <w:t>9</w:t>
      </w:r>
      <w:r>
        <w:rPr>
          <w:rFonts w:ascii="Times New Roman" w:hAnsi="Times New Roman"/>
          <w:sz w:val="24"/>
          <w:szCs w:val="24"/>
        </w:rPr>
        <w:t>.</w:t>
      </w:r>
      <w:r>
        <w:rPr>
          <w:rFonts w:ascii="Times New Roman" w:hAnsi="Times New Roman"/>
          <w:sz w:val="24"/>
          <w:szCs w:val="24"/>
        </w:rPr>
        <w:t xml:space="preserve"> Balthazart</w:t>
      </w:r>
      <w:r>
        <w:rPr>
          <w:rFonts w:ascii="Times New Roman" w:hAnsi="Times New Roman"/>
          <w:sz w:val="24"/>
          <w:szCs w:val="24"/>
        </w:rPr>
        <w:t xml:space="preserve">, J. (2018). Hormonal control of sexual behavior in animals. Comprehensive Physiology, 8(3), 1211–1279. </w:t>
      </w:r>
      <w:hyperlink r:id="rId98" w:history="1">
        <w:r>
          <w:rPr>
            <w:rStyle w:val="Hyperlink"/>
            <w:sz w:val="24"/>
            <w:szCs w:val="24"/>
          </w:rPr>
          <w:t>https://doi.org/10.1002/cphy.c170018</w:t>
        </w:r>
      </w:hyperlink>
    </w:p>
    <w:p w14:paraId="7746BFB2" w14:textId="3E7A0DAE" w:rsidR="00B26622" w:rsidRDefault="004E16E5">
      <w:pPr>
        <w:spacing w:line="36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0</w:t>
      </w:r>
      <w:r>
        <w:rPr>
          <w:rFonts w:ascii="Times New Roman" w:hAnsi="Times New Roman"/>
          <w:sz w:val="24"/>
          <w:szCs w:val="24"/>
        </w:rPr>
        <w:t>. Adaikan, P. G., Gauthaman, K., Ng, S. C., &amp; Prasad, R. N.</w:t>
      </w:r>
      <w:r>
        <w:rPr>
          <w:rFonts w:ascii="Times New Roman" w:hAnsi="Times New Roman"/>
          <w:sz w:val="24"/>
          <w:szCs w:val="24"/>
        </w:rPr>
        <w:t xml:space="preserve"> V. (2020). Pro-sexual and aphrodisiac effects of medicinal plants: Current perspectives. Phytotherapy Research, 34(5), 1029–1046. </w:t>
      </w:r>
      <w:hyperlink r:id="rId99" w:history="1">
        <w:r>
          <w:rPr>
            <w:rStyle w:val="Hyperlink"/>
            <w:sz w:val="24"/>
            <w:szCs w:val="24"/>
          </w:rPr>
          <w:t>https://doi.org/10.1002/ptr.6598</w:t>
        </w:r>
      </w:hyperlink>
    </w:p>
    <w:p w14:paraId="7034FCAF" w14:textId="197DED0A" w:rsidR="00B26622" w:rsidRDefault="004E16E5">
      <w:pPr>
        <w:spacing w:line="36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 xml:space="preserve"> Patel, S., &amp; Rauf, A. (2017). Adaptogens and phytoestrogens: Mechanisms in reproductive health. Biomedicine &amp; Pharmacotherapy, 90, 731–743. https://doi.org/10.1016/j.biopha.2017.04.059</w:t>
      </w:r>
    </w:p>
    <w:sectPr w:rsidR="00B26622">
      <w:headerReference w:type="even" r:id="rId100"/>
      <w:headerReference w:type="default" r:id="rId101"/>
      <w:footerReference w:type="even" r:id="rId102"/>
      <w:footerReference w:type="default" r:id="rId103"/>
      <w:headerReference w:type="firs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CF2D6" w14:textId="77777777" w:rsidR="004E16E5" w:rsidRDefault="004E16E5">
      <w:pPr>
        <w:spacing w:after="0" w:line="240" w:lineRule="auto"/>
      </w:pPr>
      <w:r>
        <w:separator/>
      </w:r>
    </w:p>
  </w:endnote>
  <w:endnote w:type="continuationSeparator" w:id="0">
    <w:p w14:paraId="391CEEB2" w14:textId="77777777" w:rsidR="004E16E5" w:rsidRDefault="004E1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269E" w14:textId="77777777" w:rsidR="00B26622" w:rsidRDefault="00B26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CD68" w14:textId="77777777" w:rsidR="00B26622" w:rsidRDefault="00B2662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D4040" w14:textId="77777777" w:rsidR="004E16E5" w:rsidRDefault="004E16E5">
      <w:pPr>
        <w:spacing w:after="0" w:line="240" w:lineRule="auto"/>
      </w:pPr>
      <w:r>
        <w:separator/>
      </w:r>
    </w:p>
  </w:footnote>
  <w:footnote w:type="continuationSeparator" w:id="0">
    <w:p w14:paraId="71CF1DE7" w14:textId="77777777" w:rsidR="004E16E5" w:rsidRDefault="004E1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827A" w14:textId="77777777" w:rsidR="00B26622" w:rsidRDefault="004E16E5">
    <w:pPr>
      <w:pStyle w:val="Header"/>
    </w:pPr>
    <w:r>
      <w:rPr>
        <w:noProof/>
      </w:rPr>
      <w:pict w14:anchorId="54756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FA5E5" w14:textId="77777777" w:rsidR="00B26622" w:rsidRDefault="004E16E5">
    <w:pPr>
      <w:jc w:val="center"/>
    </w:pPr>
    <w:r>
      <w:rPr>
        <w:noProof/>
      </w:rPr>
      <w:pict w14:anchorId="40FC3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left:0;text-align:left;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0584D" w14:textId="77777777" w:rsidR="00B26622" w:rsidRDefault="004E16E5">
    <w:pPr>
      <w:pStyle w:val="Header"/>
    </w:pPr>
    <w:r>
      <w:rPr>
        <w:noProof/>
      </w:rPr>
      <w:pict w14:anchorId="3B884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6622"/>
    <w:rsid w:val="004E16E5"/>
    <w:rsid w:val="00B26622"/>
    <w:rsid w:val="00B70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F6E7C7A-D290-4CB7-8D12-9CE380CE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SimSun" w:cs="Times New Roman"/>
      <w:lang w:val="en-US" w:eastAsia="zh-CN"/>
    </w:rPr>
  </w:style>
  <w:style w:type="paragraph" w:styleId="Heading1">
    <w:name w:val="heading 1"/>
    <w:basedOn w:val="Normal"/>
    <w:link w:val="Heading1Char"/>
    <w:uiPriority w:val="9"/>
    <w:qFormat/>
    <w:pPr>
      <w:keepNext/>
      <w:keepLines/>
      <w:widowControl w:val="0"/>
      <w:spacing w:before="340" w:after="330" w:line="578" w:lineRule="auto"/>
      <w:outlineLvl w:val="0"/>
    </w:pPr>
    <w:rPr>
      <w:rFonts w:ascii="Times New Roman" w:eastAsia="Calibri" w:hAnsi="Times New Roman"/>
      <w:b/>
      <w:bCs/>
      <w:kern w:val="44"/>
      <w:sz w:val="44"/>
      <w:szCs w:val="44"/>
      <w:lang w:val="en-GB" w:eastAsia="en-US"/>
    </w:rPr>
  </w:style>
  <w:style w:type="paragraph" w:styleId="Heading2">
    <w:name w:val="heading 2"/>
    <w:basedOn w:val="Normal"/>
    <w:link w:val="Heading2Char"/>
    <w:uiPriority w:val="9"/>
    <w:semiHidden/>
    <w:unhideWhenUsed/>
    <w:qFormat/>
    <w:pPr>
      <w:keepNext/>
      <w:keepLines/>
      <w:widowControl w:val="0"/>
      <w:spacing w:before="200" w:after="0"/>
      <w:outlineLvl w:val="1"/>
    </w:pPr>
    <w:rPr>
      <w:rFonts w:ascii="Cambria" w:hAnsi="Cambria" w:cs="SimSu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Calibri" w:hAnsi="Times New Roman" w:cs="Times New Roman"/>
      <w:b/>
      <w:bCs/>
      <w:kern w:val="44"/>
      <w:sz w:val="44"/>
      <w:szCs w:val="44"/>
    </w:rPr>
  </w:style>
  <w:style w:type="character" w:customStyle="1" w:styleId="Heading2Char">
    <w:name w:val="Heading 2 Char"/>
    <w:basedOn w:val="DefaultParagraphFont"/>
    <w:link w:val="Heading2"/>
    <w:rPr>
      <w:rFonts w:ascii="Cambria" w:eastAsia="SimSun" w:hAnsi="Cambria" w:cs="SimSun"/>
      <w:b/>
      <w:bCs/>
      <w:color w:val="4F81BD"/>
      <w:sz w:val="26"/>
      <w:szCs w:val="26"/>
      <w:lang w:val="en-US"/>
    </w:rPr>
  </w:style>
  <w:style w:type="character" w:styleId="CommentReference">
    <w:name w:val="annotation reference"/>
    <w:uiPriority w:val="99"/>
    <w:rPr>
      <w:rFonts w:ascii="Times New Roman" w:eastAsia="SimSun" w:hAnsi="Times New Roman" w:cs="Times New Roman"/>
      <w:sz w:val="16"/>
      <w:szCs w:val="16"/>
    </w:rPr>
  </w:style>
  <w:style w:type="paragraph" w:styleId="CommentText">
    <w:name w:val="annotation text"/>
    <w:basedOn w:val="Normal"/>
    <w:link w:val="CommentTextChar"/>
    <w:uiPriority w:val="9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eastAsia="SimSun" w:hAnsi="Times New Roman" w:cs="Times New Roman"/>
      <w:sz w:val="20"/>
      <w:szCs w:val="20"/>
      <w:lang w:val="en-US" w:eastAsia="zh-CN"/>
    </w:rPr>
  </w:style>
  <w:style w:type="paragraph" w:styleId="ListParagraph">
    <w:name w:val="List Paragraph"/>
    <w:basedOn w:val="Normal"/>
    <w:uiPriority w:val="34"/>
    <w:qFormat/>
    <w:pPr>
      <w:spacing w:after="160" w:line="259" w:lineRule="auto"/>
      <w:ind w:left="720"/>
    </w:pPr>
    <w:rPr>
      <w:rFonts w:ascii="Times New Roman" w:eastAsia="Calibri" w:hAnsi="Times New Roman" w:cs="SimSun"/>
      <w:sz w:val="21"/>
      <w:lang w:eastAsia="en-US"/>
    </w:rPr>
  </w:style>
  <w:style w:type="character" w:styleId="Hyperlink">
    <w:name w:val="Hyperlink"/>
    <w:rPr>
      <w:rFonts w:ascii="Times New Roman" w:eastAsia="SimSun" w:hAnsi="Times New Roman" w:cs="Times New Roman"/>
      <w:color w:val="0563C1"/>
      <w:sz w:val="21"/>
      <w:u w:val="single"/>
    </w:rPr>
  </w:style>
  <w:style w:type="table" w:styleId="TableGrid">
    <w:name w:val="Table Grid"/>
    <w:basedOn w:val="TableNormal"/>
    <w:uiPriority w:val="39"/>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lang w:val="en-US" w:eastAsia="zh-CN"/>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Calibri" w:eastAsia="SimSun" w:hAnsi="Calibri" w:cs="Times New Roman"/>
      <w:lang w:val="en-US" w:eastAsia="zh-C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Calibri" w:eastAsia="SimSun" w:hAnsi="Calibri" w:cs="Times New Roman"/>
      <w:lang w:val="en-US" w:eastAsia="zh-CN"/>
    </w:rPr>
  </w:style>
  <w:style w:type="paragraph" w:styleId="CommentSubject">
    <w:name w:val="annotation subject"/>
    <w:basedOn w:val="CommentText"/>
    <w:next w:val="CommentText"/>
    <w:link w:val="CommentSubjectChar"/>
    <w:uiPriority w:val="99"/>
    <w:pPr>
      <w:spacing w:after="200"/>
    </w:pPr>
    <w:rPr>
      <w:rFonts w:ascii="Calibri" w:hAnsi="Calibri"/>
      <w:b/>
      <w:bCs/>
    </w:rPr>
  </w:style>
  <w:style w:type="character" w:customStyle="1" w:styleId="CommentSubjectChar">
    <w:name w:val="Comment Subject Char"/>
    <w:basedOn w:val="CommentTextChar"/>
    <w:link w:val="CommentSubject"/>
    <w:uiPriority w:val="99"/>
    <w:rPr>
      <w:rFonts w:ascii="Calibri" w:eastAsia="SimSun" w:hAnsi="Calibri"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endnotes" Target="endnotes.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1.jpeg"/><Relationship Id="rId95" Type="http://schemas.openxmlformats.org/officeDocument/2006/relationships/image" Target="media/image6.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80" Type="http://schemas.openxmlformats.org/officeDocument/2006/relationships/customXml" Target="../customXml/item80.xml"/><Relationship Id="rId85" Type="http://schemas.openxmlformats.org/officeDocument/2006/relationships/styles" Target="styles.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footer" Target="footer2.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footnotes" Target="footnotes.xml"/><Relationship Id="rId91" Type="http://schemas.openxmlformats.org/officeDocument/2006/relationships/image" Target="media/image2.jpeg"/><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settings" Target="settings.xml"/><Relationship Id="rId94" Type="http://schemas.openxmlformats.org/officeDocument/2006/relationships/image" Target="media/image5.jpeg"/><Relationship Id="rId99" Type="http://schemas.openxmlformats.org/officeDocument/2006/relationships/hyperlink" Target="https://doi.org/10.1002/ptr.6598" TargetMode="Externa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8.jpeg"/><Relationship Id="rId104"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image" Target="media/image3.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webSettings" Target="webSettings.xml"/><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header" Target="header1.xm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image" Target="media/image4.jpeg"/><Relationship Id="rId98" Type="http://schemas.openxmlformats.org/officeDocument/2006/relationships/hyperlink" Target="https://doi.org/10.1002/cphy.c170018"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3AF7954-62CF-4D5B-9045-D9EEA9A7A1B8}">
  <ds:schemaRefs>
    <ds:schemaRef ds:uri="http://www.wps.cn/android/officeDocument/2013/mofficeCustomData"/>
  </ds:schemaRefs>
</ds:datastoreItem>
</file>

<file path=customXml/itemProps10.xml><?xml version="1.0" encoding="utf-8"?>
<ds:datastoreItem xmlns:ds="http://schemas.openxmlformats.org/officeDocument/2006/customXml" ds:itemID="{AF829929-345A-4F39-8086-5532CCAEB0A2}">
  <ds:schemaRefs>
    <ds:schemaRef ds:uri="http://www.wps.cn/android/officeDocument/2013/mofficeCustomData"/>
  </ds:schemaRefs>
</ds:datastoreItem>
</file>

<file path=customXml/itemProps11.xml><?xml version="1.0" encoding="utf-8"?>
<ds:datastoreItem xmlns:ds="http://schemas.openxmlformats.org/officeDocument/2006/customXml" ds:itemID="{DEBD8C8B-B8AA-411D-BCBB-618D44532B10}">
  <ds:schemaRefs>
    <ds:schemaRef ds:uri="http://www.wps.cn/android/officeDocument/2013/mofficeCustomData"/>
  </ds:schemaRefs>
</ds:datastoreItem>
</file>

<file path=customXml/itemProps12.xml><?xml version="1.0" encoding="utf-8"?>
<ds:datastoreItem xmlns:ds="http://schemas.openxmlformats.org/officeDocument/2006/customXml" ds:itemID="{85C3440F-FA56-4A8F-85A6-9594E8F265A9}">
  <ds:schemaRefs>
    <ds:schemaRef ds:uri="http://www.wps.cn/android/officeDocument/2013/mofficeCustomData"/>
  </ds:schemaRefs>
</ds:datastoreItem>
</file>

<file path=customXml/itemProps13.xml><?xml version="1.0" encoding="utf-8"?>
<ds:datastoreItem xmlns:ds="http://schemas.openxmlformats.org/officeDocument/2006/customXml" ds:itemID="{00FDABF6-1072-4EB9-9FFB-425B302AD292}">
  <ds:schemaRefs>
    <ds:schemaRef ds:uri="http://www.wps.cn/android/officeDocument/2013/mofficeCustomData"/>
  </ds:schemaRefs>
</ds:datastoreItem>
</file>

<file path=customXml/itemProps14.xml><?xml version="1.0" encoding="utf-8"?>
<ds:datastoreItem xmlns:ds="http://schemas.openxmlformats.org/officeDocument/2006/customXml" ds:itemID="{91CC4436-AA6B-4580-B0BC-B8F6BB0BE2B1}">
  <ds:schemaRefs>
    <ds:schemaRef ds:uri="http://www.wps.cn/android/officeDocument/2013/mofficeCustomData"/>
  </ds:schemaRefs>
</ds:datastoreItem>
</file>

<file path=customXml/itemProps15.xml><?xml version="1.0" encoding="utf-8"?>
<ds:datastoreItem xmlns:ds="http://schemas.openxmlformats.org/officeDocument/2006/customXml" ds:itemID="{AA5CDE65-1A55-4BAA-B4C4-3916B2E3511B}">
  <ds:schemaRefs>
    <ds:schemaRef ds:uri="http://www.wps.cn/android/officeDocument/2013/mofficeCustomData"/>
  </ds:schemaRefs>
</ds:datastoreItem>
</file>

<file path=customXml/itemProps16.xml><?xml version="1.0" encoding="utf-8"?>
<ds:datastoreItem xmlns:ds="http://schemas.openxmlformats.org/officeDocument/2006/customXml" ds:itemID="{547B064C-3B7B-42B4-8D55-CBBDB32178F6}">
  <ds:schemaRefs>
    <ds:schemaRef ds:uri="http://www.wps.cn/android/officeDocument/2013/mofficeCustomData"/>
  </ds:schemaRefs>
</ds:datastoreItem>
</file>

<file path=customXml/itemProps17.xml><?xml version="1.0" encoding="utf-8"?>
<ds:datastoreItem xmlns:ds="http://schemas.openxmlformats.org/officeDocument/2006/customXml" ds:itemID="{6123D6BF-6ED0-422F-858F-998278B3950D}">
  <ds:schemaRefs>
    <ds:schemaRef ds:uri="http://www.wps.cn/android/officeDocument/2013/mofficeCustomData"/>
  </ds:schemaRefs>
</ds:datastoreItem>
</file>

<file path=customXml/itemProps18.xml><?xml version="1.0" encoding="utf-8"?>
<ds:datastoreItem xmlns:ds="http://schemas.openxmlformats.org/officeDocument/2006/customXml" ds:itemID="{140AEA1E-7B28-4D67-B3C2-BD46D831506E}">
  <ds:schemaRefs>
    <ds:schemaRef ds:uri="http://www.wps.cn/android/officeDocument/2013/mofficeCustomData"/>
  </ds:schemaRefs>
</ds:datastoreItem>
</file>

<file path=customXml/itemProps19.xml><?xml version="1.0" encoding="utf-8"?>
<ds:datastoreItem xmlns:ds="http://schemas.openxmlformats.org/officeDocument/2006/customXml" ds:itemID="{B9B283B4-F5FA-4832-928F-F60B40DAC394}">
  <ds:schemaRefs>
    <ds:schemaRef ds:uri="http://www.wps.cn/android/officeDocument/2013/mofficeCustomData"/>
  </ds:schemaRefs>
</ds:datastoreItem>
</file>

<file path=customXml/itemProps2.xml><?xml version="1.0" encoding="utf-8"?>
<ds:datastoreItem xmlns:ds="http://schemas.openxmlformats.org/officeDocument/2006/customXml" ds:itemID="{D62460CE-0135-4A19-BD39-0098B3F44FE3}">
  <ds:schemaRefs>
    <ds:schemaRef ds:uri="http://www.wps.cn/android/officeDocument/2013/mofficeCustomData"/>
  </ds:schemaRefs>
</ds:datastoreItem>
</file>

<file path=customXml/itemProps20.xml><?xml version="1.0" encoding="utf-8"?>
<ds:datastoreItem xmlns:ds="http://schemas.openxmlformats.org/officeDocument/2006/customXml" ds:itemID="{15CCCE8B-F4DD-4BF9-91B9-D2759CDEE297}">
  <ds:schemaRefs>
    <ds:schemaRef ds:uri="http://www.wps.cn/android/officeDocument/2013/mofficeCustomData"/>
  </ds:schemaRefs>
</ds:datastoreItem>
</file>

<file path=customXml/itemProps21.xml><?xml version="1.0" encoding="utf-8"?>
<ds:datastoreItem xmlns:ds="http://schemas.openxmlformats.org/officeDocument/2006/customXml" ds:itemID="{A268424E-B77B-4125-911D-F98DB50AB2C2}">
  <ds:schemaRefs>
    <ds:schemaRef ds:uri="http://www.wps.cn/android/officeDocument/2013/mofficeCustomData"/>
  </ds:schemaRefs>
</ds:datastoreItem>
</file>

<file path=customXml/itemProps22.xml><?xml version="1.0" encoding="utf-8"?>
<ds:datastoreItem xmlns:ds="http://schemas.openxmlformats.org/officeDocument/2006/customXml" ds:itemID="{BDB1F644-947C-45D9-BEB8-D8745A3E5F58}">
  <ds:schemaRefs>
    <ds:schemaRef ds:uri="http://www.wps.cn/android/officeDocument/2013/mofficeCustomData"/>
  </ds:schemaRefs>
</ds:datastoreItem>
</file>

<file path=customXml/itemProps23.xml><?xml version="1.0" encoding="utf-8"?>
<ds:datastoreItem xmlns:ds="http://schemas.openxmlformats.org/officeDocument/2006/customXml" ds:itemID="{BAED889B-3DD8-4DFC-AA5C-A1EA45FD4045}">
  <ds:schemaRefs>
    <ds:schemaRef ds:uri="http://www.wps.cn/android/officeDocument/2013/mofficeCustomData"/>
  </ds:schemaRefs>
</ds:datastoreItem>
</file>

<file path=customXml/itemProps24.xml><?xml version="1.0" encoding="utf-8"?>
<ds:datastoreItem xmlns:ds="http://schemas.openxmlformats.org/officeDocument/2006/customXml" ds:itemID="{2FF81735-16D3-435B-A1C5-30184CDE480A}">
  <ds:schemaRefs>
    <ds:schemaRef ds:uri="http://www.wps.cn/android/officeDocument/2013/mofficeCustomData"/>
  </ds:schemaRefs>
</ds:datastoreItem>
</file>

<file path=customXml/itemProps25.xml><?xml version="1.0" encoding="utf-8"?>
<ds:datastoreItem xmlns:ds="http://schemas.openxmlformats.org/officeDocument/2006/customXml" ds:itemID="{56E9CAF9-1774-4B89-BC6C-F07289BA79A0}">
  <ds:schemaRefs>
    <ds:schemaRef ds:uri="http://www.wps.cn/android/officeDocument/2013/mofficeCustomData"/>
  </ds:schemaRefs>
</ds:datastoreItem>
</file>

<file path=customXml/itemProps26.xml><?xml version="1.0" encoding="utf-8"?>
<ds:datastoreItem xmlns:ds="http://schemas.openxmlformats.org/officeDocument/2006/customXml" ds:itemID="{9CC64E68-8E41-4D2A-A2C0-1F71EB90DEC0}">
  <ds:schemaRefs>
    <ds:schemaRef ds:uri="http://www.wps.cn/android/officeDocument/2013/mofficeCustomData"/>
  </ds:schemaRefs>
</ds:datastoreItem>
</file>

<file path=customXml/itemProps27.xml><?xml version="1.0" encoding="utf-8"?>
<ds:datastoreItem xmlns:ds="http://schemas.openxmlformats.org/officeDocument/2006/customXml" ds:itemID="{19FC9728-1BE5-4CFD-8184-F4FF2ABD42A5}">
  <ds:schemaRefs>
    <ds:schemaRef ds:uri="http://www.wps.cn/android/officeDocument/2013/mofficeCustomData"/>
  </ds:schemaRefs>
</ds:datastoreItem>
</file>

<file path=customXml/itemProps28.xml><?xml version="1.0" encoding="utf-8"?>
<ds:datastoreItem xmlns:ds="http://schemas.openxmlformats.org/officeDocument/2006/customXml" ds:itemID="{E61C59A4-D634-4677-8974-768C4E9A30FE}">
  <ds:schemaRefs>
    <ds:schemaRef ds:uri="http://www.wps.cn/android/officeDocument/2013/mofficeCustomData"/>
  </ds:schemaRefs>
</ds:datastoreItem>
</file>

<file path=customXml/itemProps29.xml><?xml version="1.0" encoding="utf-8"?>
<ds:datastoreItem xmlns:ds="http://schemas.openxmlformats.org/officeDocument/2006/customXml" ds:itemID="{6F147AC2-95F4-4344-BFB5-CDF95CFDD122}">
  <ds:schemaRefs>
    <ds:schemaRef ds:uri="http://www.wps.cn/android/officeDocument/2013/mofficeCustomData"/>
  </ds:schemaRefs>
</ds:datastoreItem>
</file>

<file path=customXml/itemProps3.xml><?xml version="1.0" encoding="utf-8"?>
<ds:datastoreItem xmlns:ds="http://schemas.openxmlformats.org/officeDocument/2006/customXml" ds:itemID="{6D476507-EA39-4C24-846E-5FAE79145B6E}">
  <ds:schemaRefs>
    <ds:schemaRef ds:uri="http://www.wps.cn/android/officeDocument/2013/mofficeCustomData"/>
  </ds:schemaRefs>
</ds:datastoreItem>
</file>

<file path=customXml/itemProps30.xml><?xml version="1.0" encoding="utf-8"?>
<ds:datastoreItem xmlns:ds="http://schemas.openxmlformats.org/officeDocument/2006/customXml" ds:itemID="{127EAA73-8FC3-41C5-AFBB-CAF3EA0EDD3B}">
  <ds:schemaRefs>
    <ds:schemaRef ds:uri="http://www.wps.cn/android/officeDocument/2013/mofficeCustomData"/>
  </ds:schemaRefs>
</ds:datastoreItem>
</file>

<file path=customXml/itemProps31.xml><?xml version="1.0" encoding="utf-8"?>
<ds:datastoreItem xmlns:ds="http://schemas.openxmlformats.org/officeDocument/2006/customXml" ds:itemID="{3979DED9-DD81-4181-81AE-6EF7D45F3927}">
  <ds:schemaRefs>
    <ds:schemaRef ds:uri="http://www.wps.cn/android/officeDocument/2013/mofficeCustomData"/>
  </ds:schemaRefs>
</ds:datastoreItem>
</file>

<file path=customXml/itemProps32.xml><?xml version="1.0" encoding="utf-8"?>
<ds:datastoreItem xmlns:ds="http://schemas.openxmlformats.org/officeDocument/2006/customXml" ds:itemID="{F3B472A4-03DD-4DE8-ADB0-5B48614097B5}">
  <ds:schemaRefs>
    <ds:schemaRef ds:uri="http://www.wps.cn/android/officeDocument/2013/mofficeCustomData"/>
  </ds:schemaRefs>
</ds:datastoreItem>
</file>

<file path=customXml/itemProps33.xml><?xml version="1.0" encoding="utf-8"?>
<ds:datastoreItem xmlns:ds="http://schemas.openxmlformats.org/officeDocument/2006/customXml" ds:itemID="{40E92AFA-00C5-4793-8DA3-9BC6836BA80E}">
  <ds:schemaRefs>
    <ds:schemaRef ds:uri="http://www.wps.cn/android/officeDocument/2013/mofficeCustomData"/>
  </ds:schemaRefs>
</ds:datastoreItem>
</file>

<file path=customXml/itemProps34.xml><?xml version="1.0" encoding="utf-8"?>
<ds:datastoreItem xmlns:ds="http://schemas.openxmlformats.org/officeDocument/2006/customXml" ds:itemID="{79E4A212-347E-4033-8361-9D94E5BF013E}">
  <ds:schemaRefs>
    <ds:schemaRef ds:uri="http://www.wps.cn/android/officeDocument/2013/mofficeCustomData"/>
  </ds:schemaRefs>
</ds:datastoreItem>
</file>

<file path=customXml/itemProps35.xml><?xml version="1.0" encoding="utf-8"?>
<ds:datastoreItem xmlns:ds="http://schemas.openxmlformats.org/officeDocument/2006/customXml" ds:itemID="{C89E3FE9-0808-4C92-9C74-99B0402C07E2}">
  <ds:schemaRefs>
    <ds:schemaRef ds:uri="http://www.wps.cn/android/officeDocument/2013/mofficeCustomData"/>
  </ds:schemaRefs>
</ds:datastoreItem>
</file>

<file path=customXml/itemProps36.xml><?xml version="1.0" encoding="utf-8"?>
<ds:datastoreItem xmlns:ds="http://schemas.openxmlformats.org/officeDocument/2006/customXml" ds:itemID="{40D3800C-9AC1-4655-A325-595E56EDCC6D}">
  <ds:schemaRefs>
    <ds:schemaRef ds:uri="http://www.wps.cn/android/officeDocument/2013/mofficeCustomData"/>
  </ds:schemaRefs>
</ds:datastoreItem>
</file>

<file path=customXml/itemProps37.xml><?xml version="1.0" encoding="utf-8"?>
<ds:datastoreItem xmlns:ds="http://schemas.openxmlformats.org/officeDocument/2006/customXml" ds:itemID="{D6F40420-F622-4EFE-B05E-7C4F8CE4C7E6}">
  <ds:schemaRefs>
    <ds:schemaRef ds:uri="http://www.wps.cn/android/officeDocument/2013/mofficeCustomData"/>
  </ds:schemaRefs>
</ds:datastoreItem>
</file>

<file path=customXml/itemProps38.xml><?xml version="1.0" encoding="utf-8"?>
<ds:datastoreItem xmlns:ds="http://schemas.openxmlformats.org/officeDocument/2006/customXml" ds:itemID="{2F0E2C0A-5764-46FA-9073-389B103FD507}">
  <ds:schemaRefs>
    <ds:schemaRef ds:uri="http://www.wps.cn/android/officeDocument/2013/mofficeCustomData"/>
  </ds:schemaRefs>
</ds:datastoreItem>
</file>

<file path=customXml/itemProps39.xml><?xml version="1.0" encoding="utf-8"?>
<ds:datastoreItem xmlns:ds="http://schemas.openxmlformats.org/officeDocument/2006/customXml" ds:itemID="{DA6C0137-BDFC-4EBE-B260-EEF1730EE04E}">
  <ds:schemaRefs>
    <ds:schemaRef ds:uri="http://www.wps.cn/android/officeDocument/2013/mofficeCustomData"/>
  </ds:schemaRefs>
</ds:datastoreItem>
</file>

<file path=customXml/itemProps4.xml><?xml version="1.0" encoding="utf-8"?>
<ds:datastoreItem xmlns:ds="http://schemas.openxmlformats.org/officeDocument/2006/customXml" ds:itemID="{D8F6E304-BD6C-4210-A7A2-8721AC5BAAE2}">
  <ds:schemaRefs>
    <ds:schemaRef ds:uri="http://www.wps.cn/android/officeDocument/2013/mofficeCustomData"/>
  </ds:schemaRefs>
</ds:datastoreItem>
</file>

<file path=customXml/itemProps40.xml><?xml version="1.0" encoding="utf-8"?>
<ds:datastoreItem xmlns:ds="http://schemas.openxmlformats.org/officeDocument/2006/customXml" ds:itemID="{93D642C6-8DD8-4163-A4DF-5985D4743F0B}">
  <ds:schemaRefs>
    <ds:schemaRef ds:uri="http://www.wps.cn/android/officeDocument/2013/mofficeCustomData"/>
  </ds:schemaRefs>
</ds:datastoreItem>
</file>

<file path=customXml/itemProps41.xml><?xml version="1.0" encoding="utf-8"?>
<ds:datastoreItem xmlns:ds="http://schemas.openxmlformats.org/officeDocument/2006/customXml" ds:itemID="{5DC56493-4DA7-4341-8C0C-6BEC4A259D1C}">
  <ds:schemaRefs>
    <ds:schemaRef ds:uri="http://www.wps.cn/android/officeDocument/2013/mofficeCustomData"/>
  </ds:schemaRefs>
</ds:datastoreItem>
</file>

<file path=customXml/itemProps42.xml><?xml version="1.0" encoding="utf-8"?>
<ds:datastoreItem xmlns:ds="http://schemas.openxmlformats.org/officeDocument/2006/customXml" ds:itemID="{D13B50AA-4BE2-4A84-A094-B9F607C1987A}">
  <ds:schemaRefs>
    <ds:schemaRef ds:uri="http://www.wps.cn/android/officeDocument/2013/mofficeCustomData"/>
  </ds:schemaRefs>
</ds:datastoreItem>
</file>

<file path=customXml/itemProps43.xml><?xml version="1.0" encoding="utf-8"?>
<ds:datastoreItem xmlns:ds="http://schemas.openxmlformats.org/officeDocument/2006/customXml" ds:itemID="{4D9B2E85-F2CE-47EB-A627-9B6E634732C7}">
  <ds:schemaRefs>
    <ds:schemaRef ds:uri="http://www.wps.cn/android/officeDocument/2013/mofficeCustomData"/>
  </ds:schemaRefs>
</ds:datastoreItem>
</file>

<file path=customXml/itemProps44.xml><?xml version="1.0" encoding="utf-8"?>
<ds:datastoreItem xmlns:ds="http://schemas.openxmlformats.org/officeDocument/2006/customXml" ds:itemID="{F86D031D-6042-472E-8A95-648BDE77F601}">
  <ds:schemaRefs>
    <ds:schemaRef ds:uri="http://www.wps.cn/android/officeDocument/2013/mofficeCustomData"/>
  </ds:schemaRefs>
</ds:datastoreItem>
</file>

<file path=customXml/itemProps45.xml><?xml version="1.0" encoding="utf-8"?>
<ds:datastoreItem xmlns:ds="http://schemas.openxmlformats.org/officeDocument/2006/customXml" ds:itemID="{AB9F8CCA-61FD-47F7-9A19-0093D49F7456}">
  <ds:schemaRefs>
    <ds:schemaRef ds:uri="http://www.wps.cn/android/officeDocument/2013/mofficeCustomData"/>
  </ds:schemaRefs>
</ds:datastoreItem>
</file>

<file path=customXml/itemProps46.xml><?xml version="1.0" encoding="utf-8"?>
<ds:datastoreItem xmlns:ds="http://schemas.openxmlformats.org/officeDocument/2006/customXml" ds:itemID="{5B93B3E5-F59C-4169-9968-EBE8F5126795}">
  <ds:schemaRefs>
    <ds:schemaRef ds:uri="http://www.wps.cn/android/officeDocument/2013/mofficeCustomData"/>
  </ds:schemaRefs>
</ds:datastoreItem>
</file>

<file path=customXml/itemProps47.xml><?xml version="1.0" encoding="utf-8"?>
<ds:datastoreItem xmlns:ds="http://schemas.openxmlformats.org/officeDocument/2006/customXml" ds:itemID="{D0B9ED5B-C77F-4FDE-96C4-B5A2F5BA60C6}">
  <ds:schemaRefs>
    <ds:schemaRef ds:uri="http://www.wps.cn/android/officeDocument/2013/mofficeCustomData"/>
  </ds:schemaRefs>
</ds:datastoreItem>
</file>

<file path=customXml/itemProps48.xml><?xml version="1.0" encoding="utf-8"?>
<ds:datastoreItem xmlns:ds="http://schemas.openxmlformats.org/officeDocument/2006/customXml" ds:itemID="{595B1A18-43DD-4EAF-84AF-C0D0FA91D0C3}">
  <ds:schemaRefs>
    <ds:schemaRef ds:uri="http://www.wps.cn/android/officeDocument/2013/mofficeCustomData"/>
  </ds:schemaRefs>
</ds:datastoreItem>
</file>

<file path=customXml/itemProps49.xml><?xml version="1.0" encoding="utf-8"?>
<ds:datastoreItem xmlns:ds="http://schemas.openxmlformats.org/officeDocument/2006/customXml" ds:itemID="{6FF89D93-5FED-4290-A450-CB8E1B37C80C}">
  <ds:schemaRefs>
    <ds:schemaRef ds:uri="http://www.wps.cn/android/officeDocument/2013/mofficeCustomData"/>
  </ds:schemaRefs>
</ds:datastoreItem>
</file>

<file path=customXml/itemProps5.xml><?xml version="1.0" encoding="utf-8"?>
<ds:datastoreItem xmlns:ds="http://schemas.openxmlformats.org/officeDocument/2006/customXml" ds:itemID="{679A1105-B90A-4C60-932D-236E5150DAC7}">
  <ds:schemaRefs>
    <ds:schemaRef ds:uri="http://www.wps.cn/android/officeDocument/2013/mofficeCustomData"/>
  </ds:schemaRefs>
</ds:datastoreItem>
</file>

<file path=customXml/itemProps50.xml><?xml version="1.0" encoding="utf-8"?>
<ds:datastoreItem xmlns:ds="http://schemas.openxmlformats.org/officeDocument/2006/customXml" ds:itemID="{38FF2A5C-1254-4F1F-8E61-EA90E3866A7D}">
  <ds:schemaRefs>
    <ds:schemaRef ds:uri="http://www.wps.cn/android/officeDocument/2013/mofficeCustomData"/>
  </ds:schemaRefs>
</ds:datastoreItem>
</file>

<file path=customXml/itemProps51.xml><?xml version="1.0" encoding="utf-8"?>
<ds:datastoreItem xmlns:ds="http://schemas.openxmlformats.org/officeDocument/2006/customXml" ds:itemID="{AFE00790-BC98-46D5-AEF9-0E526A006659}">
  <ds:schemaRefs>
    <ds:schemaRef ds:uri="http://www.wps.cn/android/officeDocument/2013/mofficeCustomData"/>
  </ds:schemaRefs>
</ds:datastoreItem>
</file>

<file path=customXml/itemProps52.xml><?xml version="1.0" encoding="utf-8"?>
<ds:datastoreItem xmlns:ds="http://schemas.openxmlformats.org/officeDocument/2006/customXml" ds:itemID="{0106F8C0-5EC1-4F52-8F64-135A47E1AEE3}">
  <ds:schemaRefs>
    <ds:schemaRef ds:uri="http://www.wps.cn/android/officeDocument/2013/mofficeCustomData"/>
  </ds:schemaRefs>
</ds:datastoreItem>
</file>

<file path=customXml/itemProps53.xml><?xml version="1.0" encoding="utf-8"?>
<ds:datastoreItem xmlns:ds="http://schemas.openxmlformats.org/officeDocument/2006/customXml" ds:itemID="{48E22671-0239-4F74-BC77-979FABCF3377}">
  <ds:schemaRefs>
    <ds:schemaRef ds:uri="http://www.wps.cn/android/officeDocument/2013/mofficeCustomData"/>
  </ds:schemaRefs>
</ds:datastoreItem>
</file>

<file path=customXml/itemProps54.xml><?xml version="1.0" encoding="utf-8"?>
<ds:datastoreItem xmlns:ds="http://schemas.openxmlformats.org/officeDocument/2006/customXml" ds:itemID="{0EF314F5-4080-44A1-B0DF-25788C7A03A6}">
  <ds:schemaRefs>
    <ds:schemaRef ds:uri="http://www.wps.cn/android/officeDocument/2013/mofficeCustomData"/>
  </ds:schemaRefs>
</ds:datastoreItem>
</file>

<file path=customXml/itemProps55.xml><?xml version="1.0" encoding="utf-8"?>
<ds:datastoreItem xmlns:ds="http://schemas.openxmlformats.org/officeDocument/2006/customXml" ds:itemID="{194D8EAB-0751-4568-99E6-83EFC045B7B4}">
  <ds:schemaRefs>
    <ds:schemaRef ds:uri="http://www.wps.cn/android/officeDocument/2013/mofficeCustomData"/>
  </ds:schemaRefs>
</ds:datastoreItem>
</file>

<file path=customXml/itemProps56.xml><?xml version="1.0" encoding="utf-8"?>
<ds:datastoreItem xmlns:ds="http://schemas.openxmlformats.org/officeDocument/2006/customXml" ds:itemID="{1E4D6755-9756-4A80-956E-EAE783895EB7}">
  <ds:schemaRefs>
    <ds:schemaRef ds:uri="http://www.wps.cn/android/officeDocument/2013/mofficeCustomData"/>
  </ds:schemaRefs>
</ds:datastoreItem>
</file>

<file path=customXml/itemProps57.xml><?xml version="1.0" encoding="utf-8"?>
<ds:datastoreItem xmlns:ds="http://schemas.openxmlformats.org/officeDocument/2006/customXml" ds:itemID="{599F251B-630C-4087-A3D3-0AC31E6ED2AF}">
  <ds:schemaRefs>
    <ds:schemaRef ds:uri="http://www.wps.cn/android/officeDocument/2013/mofficeCustomData"/>
  </ds:schemaRefs>
</ds:datastoreItem>
</file>

<file path=customXml/itemProps58.xml><?xml version="1.0" encoding="utf-8"?>
<ds:datastoreItem xmlns:ds="http://schemas.openxmlformats.org/officeDocument/2006/customXml" ds:itemID="{F82C3404-8A93-4578-A101-62BE947C1A77}">
  <ds:schemaRefs>
    <ds:schemaRef ds:uri="http://www.wps.cn/android/officeDocument/2013/mofficeCustomData"/>
  </ds:schemaRefs>
</ds:datastoreItem>
</file>

<file path=customXml/itemProps59.xml><?xml version="1.0" encoding="utf-8"?>
<ds:datastoreItem xmlns:ds="http://schemas.openxmlformats.org/officeDocument/2006/customXml" ds:itemID="{E758D750-7DEF-44D4-BD1A-0634247CA800}">
  <ds:schemaRefs>
    <ds:schemaRef ds:uri="http://www.wps.cn/android/officeDocument/2013/mofficeCustomData"/>
  </ds:schemaRefs>
</ds:datastoreItem>
</file>

<file path=customXml/itemProps6.xml><?xml version="1.0" encoding="utf-8"?>
<ds:datastoreItem xmlns:ds="http://schemas.openxmlformats.org/officeDocument/2006/customXml" ds:itemID="{59B0DBA3-1252-4C37-A2C7-0915020588F5}">
  <ds:schemaRefs>
    <ds:schemaRef ds:uri="http://www.wps.cn/android/officeDocument/2013/mofficeCustomData"/>
  </ds:schemaRefs>
</ds:datastoreItem>
</file>

<file path=customXml/itemProps60.xml><?xml version="1.0" encoding="utf-8"?>
<ds:datastoreItem xmlns:ds="http://schemas.openxmlformats.org/officeDocument/2006/customXml" ds:itemID="{17578301-5974-4AA8-A772-A101D3567DB3}">
  <ds:schemaRefs>
    <ds:schemaRef ds:uri="http://www.wps.cn/android/officeDocument/2013/mofficeCustomData"/>
  </ds:schemaRefs>
</ds:datastoreItem>
</file>

<file path=customXml/itemProps61.xml><?xml version="1.0" encoding="utf-8"?>
<ds:datastoreItem xmlns:ds="http://schemas.openxmlformats.org/officeDocument/2006/customXml" ds:itemID="{A2748D5E-A983-47C8-8D4F-30079404BA98}">
  <ds:schemaRefs>
    <ds:schemaRef ds:uri="http://www.wps.cn/android/officeDocument/2013/mofficeCustomData"/>
  </ds:schemaRefs>
</ds:datastoreItem>
</file>

<file path=customXml/itemProps62.xml><?xml version="1.0" encoding="utf-8"?>
<ds:datastoreItem xmlns:ds="http://schemas.openxmlformats.org/officeDocument/2006/customXml" ds:itemID="{F8C1253D-E6C8-424B-B922-2F9A8E584334}">
  <ds:schemaRefs>
    <ds:schemaRef ds:uri="http://www.wps.cn/android/officeDocument/2013/mofficeCustomData"/>
  </ds:schemaRefs>
</ds:datastoreItem>
</file>

<file path=customXml/itemProps63.xml><?xml version="1.0" encoding="utf-8"?>
<ds:datastoreItem xmlns:ds="http://schemas.openxmlformats.org/officeDocument/2006/customXml" ds:itemID="{E47BE728-C576-4FEC-BCD8-6A41B3F05266}">
  <ds:schemaRefs>
    <ds:schemaRef ds:uri="http://www.wps.cn/android/officeDocument/2013/mofficeCustomData"/>
  </ds:schemaRefs>
</ds:datastoreItem>
</file>

<file path=customXml/itemProps64.xml><?xml version="1.0" encoding="utf-8"?>
<ds:datastoreItem xmlns:ds="http://schemas.openxmlformats.org/officeDocument/2006/customXml" ds:itemID="{F4DCDFE2-165B-49C4-8F27-0ECC2CC76F6B}">
  <ds:schemaRefs>
    <ds:schemaRef ds:uri="http://www.wps.cn/android/officeDocument/2013/mofficeCustomData"/>
  </ds:schemaRefs>
</ds:datastoreItem>
</file>

<file path=customXml/itemProps65.xml><?xml version="1.0" encoding="utf-8"?>
<ds:datastoreItem xmlns:ds="http://schemas.openxmlformats.org/officeDocument/2006/customXml" ds:itemID="{006840A4-DCCE-4CAC-B248-684263B0F6F1}">
  <ds:schemaRefs>
    <ds:schemaRef ds:uri="http://www.wps.cn/android/officeDocument/2013/mofficeCustomData"/>
  </ds:schemaRefs>
</ds:datastoreItem>
</file>

<file path=customXml/itemProps66.xml><?xml version="1.0" encoding="utf-8"?>
<ds:datastoreItem xmlns:ds="http://schemas.openxmlformats.org/officeDocument/2006/customXml" ds:itemID="{9585E85A-1602-49E3-B708-C949E53A05AF}">
  <ds:schemaRefs>
    <ds:schemaRef ds:uri="http://www.wps.cn/android/officeDocument/2013/mofficeCustomData"/>
  </ds:schemaRefs>
</ds:datastoreItem>
</file>

<file path=customXml/itemProps67.xml><?xml version="1.0" encoding="utf-8"?>
<ds:datastoreItem xmlns:ds="http://schemas.openxmlformats.org/officeDocument/2006/customXml" ds:itemID="{344B9E1B-A5F5-4F7A-B44A-8083A807A08C}">
  <ds:schemaRefs>
    <ds:schemaRef ds:uri="http://www.wps.cn/android/officeDocument/2013/mofficeCustomData"/>
  </ds:schemaRefs>
</ds:datastoreItem>
</file>

<file path=customXml/itemProps68.xml><?xml version="1.0" encoding="utf-8"?>
<ds:datastoreItem xmlns:ds="http://schemas.openxmlformats.org/officeDocument/2006/customXml" ds:itemID="{6216FA61-A7B9-45AA-B183-CA0DA22069CC}">
  <ds:schemaRefs>
    <ds:schemaRef ds:uri="http://www.wps.cn/android/officeDocument/2013/mofficeCustomData"/>
  </ds:schemaRefs>
</ds:datastoreItem>
</file>

<file path=customXml/itemProps69.xml><?xml version="1.0" encoding="utf-8"?>
<ds:datastoreItem xmlns:ds="http://schemas.openxmlformats.org/officeDocument/2006/customXml" ds:itemID="{AB22A195-4FAD-44A2-8969-08505AE588A8}">
  <ds:schemaRefs>
    <ds:schemaRef ds:uri="http://www.wps.cn/android/officeDocument/2013/mofficeCustomData"/>
  </ds:schemaRefs>
</ds:datastoreItem>
</file>

<file path=customXml/itemProps7.xml><?xml version="1.0" encoding="utf-8"?>
<ds:datastoreItem xmlns:ds="http://schemas.openxmlformats.org/officeDocument/2006/customXml" ds:itemID="{C4894E00-EEEC-4A1B-8D8D-70764D9650E6}">
  <ds:schemaRefs>
    <ds:schemaRef ds:uri="http://www.wps.cn/android/officeDocument/2013/mofficeCustomData"/>
  </ds:schemaRefs>
</ds:datastoreItem>
</file>

<file path=customXml/itemProps70.xml><?xml version="1.0" encoding="utf-8"?>
<ds:datastoreItem xmlns:ds="http://schemas.openxmlformats.org/officeDocument/2006/customXml" ds:itemID="{A0854987-E003-401A-A31C-5DC9F8048AF0}">
  <ds:schemaRefs>
    <ds:schemaRef ds:uri="http://www.wps.cn/android/officeDocument/2013/mofficeCustomData"/>
  </ds:schemaRefs>
</ds:datastoreItem>
</file>

<file path=customXml/itemProps71.xml><?xml version="1.0" encoding="utf-8"?>
<ds:datastoreItem xmlns:ds="http://schemas.openxmlformats.org/officeDocument/2006/customXml" ds:itemID="{E167C14A-A844-40DB-ADAC-40AAAF51F0B8}">
  <ds:schemaRefs>
    <ds:schemaRef ds:uri="http://www.wps.cn/android/officeDocument/2013/mofficeCustomData"/>
  </ds:schemaRefs>
</ds:datastoreItem>
</file>

<file path=customXml/itemProps72.xml><?xml version="1.0" encoding="utf-8"?>
<ds:datastoreItem xmlns:ds="http://schemas.openxmlformats.org/officeDocument/2006/customXml" ds:itemID="{318E2C28-3D95-4B69-BFB4-A5B865D2962D}">
  <ds:schemaRefs>
    <ds:schemaRef ds:uri="http://www.wps.cn/android/officeDocument/2013/mofficeCustomData"/>
  </ds:schemaRefs>
</ds:datastoreItem>
</file>

<file path=customXml/itemProps73.xml><?xml version="1.0" encoding="utf-8"?>
<ds:datastoreItem xmlns:ds="http://schemas.openxmlformats.org/officeDocument/2006/customXml" ds:itemID="{C478DEBC-4683-4AAF-A97B-1C4419A8ADD0}">
  <ds:schemaRefs>
    <ds:schemaRef ds:uri="http://www.wps.cn/android/officeDocument/2013/mofficeCustomData"/>
  </ds:schemaRefs>
</ds:datastoreItem>
</file>

<file path=customXml/itemProps74.xml><?xml version="1.0" encoding="utf-8"?>
<ds:datastoreItem xmlns:ds="http://schemas.openxmlformats.org/officeDocument/2006/customXml" ds:itemID="{359CA51F-200C-4E38-A267-2B0B435CFC2C}">
  <ds:schemaRefs>
    <ds:schemaRef ds:uri="http://www.wps.cn/android/officeDocument/2013/mofficeCustomData"/>
  </ds:schemaRefs>
</ds:datastoreItem>
</file>

<file path=customXml/itemProps75.xml><?xml version="1.0" encoding="utf-8"?>
<ds:datastoreItem xmlns:ds="http://schemas.openxmlformats.org/officeDocument/2006/customXml" ds:itemID="{E634F77B-62E2-4426-926C-F4296682F153}">
  <ds:schemaRefs>
    <ds:schemaRef ds:uri="http://www.wps.cn/android/officeDocument/2013/mofficeCustomData"/>
  </ds:schemaRefs>
</ds:datastoreItem>
</file>

<file path=customXml/itemProps76.xml><?xml version="1.0" encoding="utf-8"?>
<ds:datastoreItem xmlns:ds="http://schemas.openxmlformats.org/officeDocument/2006/customXml" ds:itemID="{231B5468-A592-4E79-9C56-1EED0070E2A1}">
  <ds:schemaRefs>
    <ds:schemaRef ds:uri="http://www.wps.cn/android/officeDocument/2013/mofficeCustomData"/>
  </ds:schemaRefs>
</ds:datastoreItem>
</file>

<file path=customXml/itemProps77.xml><?xml version="1.0" encoding="utf-8"?>
<ds:datastoreItem xmlns:ds="http://schemas.openxmlformats.org/officeDocument/2006/customXml" ds:itemID="{95F04D87-6E51-4FAD-9A08-0E5EECAB229D}">
  <ds:schemaRefs>
    <ds:schemaRef ds:uri="http://www.wps.cn/android/officeDocument/2013/mofficeCustomData"/>
  </ds:schemaRefs>
</ds:datastoreItem>
</file>

<file path=customXml/itemProps78.xml><?xml version="1.0" encoding="utf-8"?>
<ds:datastoreItem xmlns:ds="http://schemas.openxmlformats.org/officeDocument/2006/customXml" ds:itemID="{9192184C-76D9-4AC4-80CE-34C53EA034C4}">
  <ds:schemaRefs>
    <ds:schemaRef ds:uri="http://www.wps.cn/android/officeDocument/2013/mofficeCustomData"/>
  </ds:schemaRefs>
</ds:datastoreItem>
</file>

<file path=customXml/itemProps79.xml><?xml version="1.0" encoding="utf-8"?>
<ds:datastoreItem xmlns:ds="http://schemas.openxmlformats.org/officeDocument/2006/customXml" ds:itemID="{2DC28B08-FB58-44A3-9C9F-8F746CD7F2C5}">
  <ds:schemaRefs>
    <ds:schemaRef ds:uri="http://www.wps.cn/android/officeDocument/2013/mofficeCustomData"/>
  </ds:schemaRefs>
</ds:datastoreItem>
</file>

<file path=customXml/itemProps8.xml><?xml version="1.0" encoding="utf-8"?>
<ds:datastoreItem xmlns:ds="http://schemas.openxmlformats.org/officeDocument/2006/customXml" ds:itemID="{7F8078BD-0ED2-4893-A8B9-1ACE200CADB4}">
  <ds:schemaRefs>
    <ds:schemaRef ds:uri="http://www.wps.cn/android/officeDocument/2013/mofficeCustomData"/>
  </ds:schemaRefs>
</ds:datastoreItem>
</file>

<file path=customXml/itemProps80.xml><?xml version="1.0" encoding="utf-8"?>
<ds:datastoreItem xmlns:ds="http://schemas.openxmlformats.org/officeDocument/2006/customXml" ds:itemID="{CAFB8157-6B52-4918-AF1C-9207945175DD}">
  <ds:schemaRefs>
    <ds:schemaRef ds:uri="http://www.wps.cn/android/officeDocument/2013/mofficeCustomData"/>
  </ds:schemaRefs>
</ds:datastoreItem>
</file>

<file path=customXml/itemProps81.xml><?xml version="1.0" encoding="utf-8"?>
<ds:datastoreItem xmlns:ds="http://schemas.openxmlformats.org/officeDocument/2006/customXml" ds:itemID="{5B38D1CF-36B7-49C2-BC3E-3BE183E34926}">
  <ds:schemaRefs>
    <ds:schemaRef ds:uri="http://www.wps.cn/android/officeDocument/2013/mofficeCustomData"/>
  </ds:schemaRefs>
</ds:datastoreItem>
</file>

<file path=customXml/itemProps82.xml><?xml version="1.0" encoding="utf-8"?>
<ds:datastoreItem xmlns:ds="http://schemas.openxmlformats.org/officeDocument/2006/customXml" ds:itemID="{B73F93C9-1FB6-4060-B3BF-631B0C9E7000}">
  <ds:schemaRefs>
    <ds:schemaRef ds:uri="http://www.wps.cn/android/officeDocument/2013/mofficeCustomData"/>
  </ds:schemaRefs>
</ds:datastoreItem>
</file>

<file path=customXml/itemProps83.xml><?xml version="1.0" encoding="utf-8"?>
<ds:datastoreItem xmlns:ds="http://schemas.openxmlformats.org/officeDocument/2006/customXml" ds:itemID="{8A454E26-56CA-4C00-95A5-B013FEC6CB41}">
  <ds:schemaRefs>
    <ds:schemaRef ds:uri="http://www.wps.cn/android/officeDocument/2013/mofficeCustomData"/>
  </ds:schemaRefs>
</ds:datastoreItem>
</file>

<file path=customXml/itemProps84.xml><?xml version="1.0" encoding="utf-8"?>
<ds:datastoreItem xmlns:ds="http://schemas.openxmlformats.org/officeDocument/2006/customXml" ds:itemID="{55D75D76-90CF-4D18-881A-9EB339D6403F}">
  <ds:schemaRefs>
    <ds:schemaRef ds:uri="http://www.wps.cn/android/officeDocument/2013/mofficeCustomData"/>
  </ds:schemaRefs>
</ds:datastoreItem>
</file>

<file path=customXml/itemProps9.xml><?xml version="1.0" encoding="utf-8"?>
<ds:datastoreItem xmlns:ds="http://schemas.openxmlformats.org/officeDocument/2006/customXml" ds:itemID="{FC32E39A-14F1-4D41-A45D-612AB195E1A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27</Pages>
  <Words>5862</Words>
  <Characters>33415</Characters>
  <Application>Microsoft Office Word</Application>
  <DocSecurity>0</DocSecurity>
  <Lines>278</Lines>
  <Paragraphs>78</Paragraphs>
  <ScaleCrop>false</ScaleCrop>
  <Company/>
  <LinksUpToDate>false</LinksUpToDate>
  <CharactersWithSpaces>39199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Editor-11</cp:lastModifiedBy>
  <cp:revision>49</cp:revision>
  <dcterms:created xsi:type="dcterms:W3CDTF">2025-09-16T12:31:00Z</dcterms:created>
  <dcterms:modified xsi:type="dcterms:W3CDTF">2025-09-18T06:55:00Z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b8576620a110454db718ac85d3c5da3c</vt:lpwstr>
  </property>
</Properties>
</file>