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D666D" w14:textId="4FADEDB4" w:rsidR="00AA0D5F" w:rsidRPr="00AA0D5F" w:rsidRDefault="00AA0D5F" w:rsidP="0077467A">
      <w:pPr>
        <w:jc w:val="right"/>
        <w:rPr>
          <w:rFonts w:ascii="Arial" w:hAnsi="Arial" w:cs="Arial"/>
          <w:b/>
          <w:bCs/>
          <w:color w:val="EE0000"/>
          <w:sz w:val="36"/>
          <w:szCs w:val="36"/>
        </w:rPr>
      </w:pPr>
      <w:r w:rsidRPr="00AA0D5F">
        <w:rPr>
          <w:rFonts w:ascii="Arial" w:hAnsi="Arial" w:cs="Arial"/>
          <w:b/>
          <w:bCs/>
          <w:color w:val="EE0000"/>
          <w:sz w:val="36"/>
          <w:szCs w:val="36"/>
        </w:rPr>
        <w:t xml:space="preserve">Synthesis, Antifungal Evaluation, and Structure–Activity Relationship of </w:t>
      </w:r>
      <w:r w:rsidR="004B3210">
        <w:rPr>
          <w:rFonts w:ascii="Arial" w:hAnsi="Arial" w:cs="Arial"/>
          <w:b/>
          <w:bCs/>
          <w:color w:val="EE0000"/>
          <w:sz w:val="36"/>
          <w:szCs w:val="36"/>
        </w:rPr>
        <w:t>C</w:t>
      </w:r>
      <w:r w:rsidRPr="00AA0D5F">
        <w:rPr>
          <w:rFonts w:ascii="Arial" w:hAnsi="Arial" w:cs="Arial"/>
          <w:b/>
          <w:bCs/>
          <w:color w:val="EE0000"/>
          <w:sz w:val="36"/>
          <w:szCs w:val="36"/>
        </w:rPr>
        <w:t xml:space="preserve">hlorinated </w:t>
      </w:r>
      <w:r>
        <w:rPr>
          <w:rFonts w:ascii="Arial" w:hAnsi="Arial" w:cs="Arial"/>
          <w:b/>
          <w:bCs/>
          <w:color w:val="EE0000"/>
          <w:sz w:val="36"/>
          <w:szCs w:val="36"/>
        </w:rPr>
        <w:t>I</w:t>
      </w:r>
      <w:r w:rsidRPr="00AA0D5F">
        <w:rPr>
          <w:rFonts w:ascii="Arial" w:hAnsi="Arial" w:cs="Arial"/>
          <w:b/>
          <w:bCs/>
          <w:color w:val="EE0000"/>
          <w:sz w:val="36"/>
          <w:szCs w:val="36"/>
        </w:rPr>
        <w:t>midazopyridinyl-</w:t>
      </w:r>
      <w:r w:rsidR="00D66BA7" w:rsidRPr="00D66BA7">
        <w:t xml:space="preserve"> </w:t>
      </w:r>
      <w:r w:rsidR="004B3210">
        <w:rPr>
          <w:rFonts w:ascii="Arial" w:hAnsi="Arial" w:cs="Arial"/>
          <w:b/>
          <w:bCs/>
          <w:color w:val="EE0000"/>
          <w:sz w:val="36"/>
          <w:szCs w:val="36"/>
        </w:rPr>
        <w:t>phenyl</w:t>
      </w:r>
      <w:r w:rsidR="00D66BA7" w:rsidRPr="00D66BA7">
        <w:rPr>
          <w:rFonts w:ascii="Arial" w:hAnsi="Arial" w:cs="Arial"/>
          <w:b/>
          <w:bCs/>
          <w:color w:val="EE0000"/>
          <w:sz w:val="36"/>
          <w:szCs w:val="36"/>
        </w:rPr>
        <w:t>propenone</w:t>
      </w:r>
      <w:r w:rsidRPr="00AA0D5F">
        <w:rPr>
          <w:rFonts w:ascii="Arial" w:hAnsi="Arial" w:cs="Arial"/>
          <w:b/>
          <w:bCs/>
          <w:color w:val="EE0000"/>
          <w:sz w:val="36"/>
          <w:szCs w:val="36"/>
        </w:rPr>
        <w:t xml:space="preserve"> Derivatives against </w:t>
      </w:r>
      <w:r w:rsidRPr="00AA0D5F">
        <w:rPr>
          <w:rFonts w:ascii="Arial" w:hAnsi="Arial" w:cs="Arial"/>
          <w:b/>
          <w:bCs/>
          <w:i/>
          <w:iCs/>
          <w:color w:val="EE0000"/>
          <w:sz w:val="36"/>
          <w:szCs w:val="36"/>
        </w:rPr>
        <w:t>Aspergillus fumigatus</w:t>
      </w:r>
      <w:r w:rsidRPr="00AA0D5F">
        <w:rPr>
          <w:rFonts w:ascii="Arial" w:hAnsi="Arial" w:cs="Arial"/>
          <w:b/>
          <w:bCs/>
          <w:color w:val="EE0000"/>
          <w:sz w:val="36"/>
          <w:szCs w:val="36"/>
        </w:rPr>
        <w:t xml:space="preserve"> </w:t>
      </w:r>
    </w:p>
    <w:p w14:paraId="4E1B51FD" w14:textId="77777777" w:rsidR="00AA0D5F" w:rsidRDefault="00AA0D5F" w:rsidP="0077467A">
      <w:pPr>
        <w:jc w:val="right"/>
        <w:rPr>
          <w:rFonts w:ascii="Arial" w:hAnsi="Arial" w:cs="Arial"/>
          <w:b/>
          <w:bCs/>
          <w:sz w:val="36"/>
          <w:szCs w:val="36"/>
        </w:rPr>
      </w:pPr>
    </w:p>
    <w:p w14:paraId="263B13B9" w14:textId="77777777" w:rsidR="00A258C3" w:rsidRPr="00790ADA" w:rsidRDefault="00A258C3" w:rsidP="00441B6F">
      <w:pPr>
        <w:pStyle w:val="Author"/>
        <w:spacing w:line="240" w:lineRule="auto"/>
        <w:jc w:val="both"/>
        <w:rPr>
          <w:rFonts w:ascii="Arial" w:hAnsi="Arial" w:cs="Arial"/>
          <w:sz w:val="36"/>
        </w:rPr>
      </w:pPr>
    </w:p>
    <w:p w14:paraId="7C8F4ED7" w14:textId="2AEC562E" w:rsidR="00B01FCD" w:rsidRPr="00FB3A86" w:rsidRDefault="005F0B02" w:rsidP="00441B6F">
      <w:pPr>
        <w:pStyle w:val="Copyright"/>
        <w:spacing w:after="0" w:line="240" w:lineRule="auto"/>
        <w:jc w:val="both"/>
        <w:rPr>
          <w:rFonts w:ascii="Arial" w:hAnsi="Arial" w:cs="Arial"/>
        </w:rPr>
        <w:sectPr w:rsidR="00B01FCD" w:rsidRPr="00FB3A86" w:rsidSect="00A905A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76EAE95" wp14:editId="2842EF8A">
                <wp:extent cx="5303520" cy="635"/>
                <wp:effectExtent l="13335" t="17145" r="17145" b="11430"/>
                <wp:docPr id="93260070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47A08A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EA0C60D" w14:textId="78E943FE" w:rsidR="00AC6470" w:rsidRDefault="00B01FCD" w:rsidP="00441B6F">
      <w:pPr>
        <w:pStyle w:val="AbstHead"/>
        <w:spacing w:after="0"/>
        <w:jc w:val="both"/>
        <w:rPr>
          <w:rFonts w:ascii="Arial" w:hAnsi="Arial" w:cs="Arial"/>
        </w:rPr>
      </w:pPr>
      <w:r w:rsidRPr="00FB3A86">
        <w:rPr>
          <w:rFonts w:ascii="Arial" w:hAnsi="Arial" w:cs="Arial"/>
        </w:rPr>
        <w:t>ABSTRACT</w:t>
      </w:r>
    </w:p>
    <w:p w14:paraId="27E2581E" w14:textId="77777777" w:rsidR="00AC6470" w:rsidRPr="00FB3A86" w:rsidRDefault="00AC6470"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CE2C5C4" w14:textId="77777777" w:rsidTr="001E44FE">
        <w:tc>
          <w:tcPr>
            <w:tcW w:w="9576" w:type="dxa"/>
            <w:shd w:val="clear" w:color="auto" w:fill="F2F2F2"/>
          </w:tcPr>
          <w:p w14:paraId="4F8052A6" w14:textId="77777777" w:rsidR="00AC6470" w:rsidRPr="00AC6470" w:rsidRDefault="00AC6470" w:rsidP="00AC6470">
            <w:pPr>
              <w:jc w:val="both"/>
              <w:rPr>
                <w:rFonts w:ascii="Arial" w:hAnsi="Arial" w:cs="Arial"/>
                <w:sz w:val="22"/>
                <w:szCs w:val="22"/>
              </w:rPr>
            </w:pPr>
            <w:r w:rsidRPr="00AC6470">
              <w:rPr>
                <w:rFonts w:ascii="Arial" w:hAnsi="Arial" w:cs="Arial"/>
                <w:sz w:val="22"/>
                <w:szCs w:val="22"/>
              </w:rPr>
              <w:t xml:space="preserve">Background: </w:t>
            </w:r>
            <w:r w:rsidRPr="00AC6470">
              <w:rPr>
                <w:rFonts w:ascii="Arial" w:hAnsi="Arial" w:cs="Arial"/>
                <w:i/>
                <w:iCs/>
                <w:sz w:val="22"/>
                <w:szCs w:val="22"/>
              </w:rPr>
              <w:t>Aspergillus fumigatus</w:t>
            </w:r>
            <w:r w:rsidRPr="00AC6470">
              <w:rPr>
                <w:rFonts w:ascii="Arial" w:hAnsi="Arial" w:cs="Arial"/>
                <w:sz w:val="22"/>
                <w:szCs w:val="22"/>
              </w:rPr>
              <w:t xml:space="preserve"> is the leading causative agent of invasive aspergillosis, a deadly opportunistic fungal infection in immunocompromised patients. The increasing emergence of azole-resistant strains necessitates the urgent development of new antifungal molecules.</w:t>
            </w:r>
          </w:p>
          <w:p w14:paraId="08EF8545" w14:textId="04169743" w:rsidR="00AC6470" w:rsidRPr="00AC6470" w:rsidRDefault="00AC6470" w:rsidP="00AC6470">
            <w:pPr>
              <w:jc w:val="both"/>
              <w:rPr>
                <w:rFonts w:ascii="Arial" w:hAnsi="Arial" w:cs="Arial"/>
                <w:sz w:val="22"/>
                <w:szCs w:val="22"/>
              </w:rPr>
            </w:pPr>
            <w:r w:rsidRPr="00AC6470">
              <w:rPr>
                <w:rFonts w:ascii="Arial" w:hAnsi="Arial" w:cs="Arial"/>
                <w:sz w:val="22"/>
                <w:szCs w:val="22"/>
              </w:rPr>
              <w:t xml:space="preserve">Objective: This study reports the synthesis, structural characterization, and evaluation of the antifungal activity of </w:t>
            </w:r>
            <w:r w:rsidR="00990BF3" w:rsidRPr="00990BF3">
              <w:rPr>
                <w:rFonts w:ascii="Arial" w:hAnsi="Arial" w:cs="Arial"/>
                <w:color w:val="EE0000"/>
                <w:sz w:val="22"/>
                <w:szCs w:val="22"/>
              </w:rPr>
              <w:t>ten</w:t>
            </w:r>
            <w:r w:rsidRPr="00AC6470">
              <w:rPr>
                <w:rFonts w:ascii="Arial" w:hAnsi="Arial" w:cs="Arial"/>
                <w:sz w:val="22"/>
                <w:szCs w:val="22"/>
              </w:rPr>
              <w:t xml:space="preserve"> novel </w:t>
            </w:r>
            <w:r w:rsidR="00990BF3" w:rsidRPr="00990BF3">
              <w:rPr>
                <w:rFonts w:ascii="Arial" w:hAnsi="Arial" w:cs="Arial"/>
                <w:color w:val="EE0000"/>
                <w:sz w:val="22"/>
                <w:szCs w:val="22"/>
              </w:rPr>
              <w:t xml:space="preserve">chlorinated </w:t>
            </w:r>
            <w:r w:rsidRPr="00AC6470">
              <w:rPr>
                <w:rFonts w:ascii="Arial" w:hAnsi="Arial" w:cs="Arial"/>
                <w:sz w:val="22"/>
                <w:szCs w:val="22"/>
              </w:rPr>
              <w:t>chalcone-imidazo[1,2-</w:t>
            </w:r>
            <w:r w:rsidRPr="00AC6470">
              <w:rPr>
                <w:rFonts w:ascii="Arial" w:hAnsi="Arial" w:cs="Arial"/>
                <w:i/>
                <w:iCs/>
                <w:sz w:val="22"/>
                <w:szCs w:val="22"/>
              </w:rPr>
              <w:t>a</w:t>
            </w:r>
            <w:r w:rsidRPr="00AC6470">
              <w:rPr>
                <w:rFonts w:ascii="Arial" w:hAnsi="Arial" w:cs="Arial"/>
                <w:sz w:val="22"/>
                <w:szCs w:val="22"/>
              </w:rPr>
              <w:t xml:space="preserve">]pyridine hybrid derivatives against a clinical strain of </w:t>
            </w:r>
            <w:r w:rsidRPr="00AC6470">
              <w:rPr>
                <w:rFonts w:ascii="Arial" w:hAnsi="Arial" w:cs="Arial"/>
                <w:i/>
                <w:iCs/>
                <w:sz w:val="22"/>
                <w:szCs w:val="22"/>
              </w:rPr>
              <w:t>A. fumigatus</w:t>
            </w:r>
            <w:r w:rsidRPr="00AC6470">
              <w:rPr>
                <w:rFonts w:ascii="Arial" w:hAnsi="Arial" w:cs="Arial"/>
                <w:sz w:val="22"/>
                <w:szCs w:val="22"/>
              </w:rPr>
              <w:t>.</w:t>
            </w:r>
          </w:p>
          <w:p w14:paraId="67D86F2C" w14:textId="77777777" w:rsidR="00AC6470" w:rsidRPr="00AC6470" w:rsidRDefault="00AC6470" w:rsidP="00AC6470">
            <w:pPr>
              <w:jc w:val="both"/>
              <w:rPr>
                <w:rFonts w:ascii="Arial" w:hAnsi="Arial" w:cs="Arial"/>
                <w:sz w:val="22"/>
                <w:szCs w:val="22"/>
              </w:rPr>
            </w:pPr>
            <w:r w:rsidRPr="00AC6470">
              <w:rPr>
                <w:rFonts w:ascii="Arial" w:hAnsi="Arial" w:cs="Arial"/>
                <w:sz w:val="22"/>
                <w:szCs w:val="22"/>
              </w:rPr>
              <w:t>Methods: The compounds were synthesized by Claisen-Schmidt condensation between acetylated imidazo[1,2-</w:t>
            </w:r>
            <w:r w:rsidRPr="00AC6470">
              <w:rPr>
                <w:rFonts w:ascii="Arial" w:hAnsi="Arial" w:cs="Arial"/>
                <w:i/>
                <w:iCs/>
                <w:sz w:val="22"/>
                <w:szCs w:val="22"/>
              </w:rPr>
              <w:t>a</w:t>
            </w:r>
            <w:r w:rsidRPr="00AC6470">
              <w:rPr>
                <w:rFonts w:ascii="Arial" w:hAnsi="Arial" w:cs="Arial"/>
                <w:sz w:val="22"/>
                <w:szCs w:val="22"/>
              </w:rPr>
              <w:t>]pyridine derivatives and various substituted aromatic aldehydes. Structural characterization was performed by ¹H and ¹³C NMR. Antifungal activity was determined by microplate scattering with calculation of minimum inhibitory concentrations (MICs).</w:t>
            </w:r>
          </w:p>
          <w:p w14:paraId="752DD348" w14:textId="77777777" w:rsidR="00AC6470" w:rsidRPr="00AC6470" w:rsidRDefault="00AC6470" w:rsidP="00AC6470">
            <w:pPr>
              <w:jc w:val="both"/>
              <w:rPr>
                <w:rFonts w:ascii="Arial" w:hAnsi="Arial" w:cs="Arial"/>
                <w:sz w:val="22"/>
                <w:szCs w:val="22"/>
              </w:rPr>
            </w:pPr>
            <w:r w:rsidRPr="00AC6470">
              <w:rPr>
                <w:rFonts w:ascii="Arial" w:hAnsi="Arial" w:cs="Arial"/>
                <w:sz w:val="22"/>
                <w:szCs w:val="22"/>
              </w:rPr>
              <w:t xml:space="preserve">Results: Ten compounds were obtained with varying yields (45– 83%). Spectral analysis confirmed the formation of α,β-unsaturated structures with </w:t>
            </w:r>
            <w:r w:rsidRPr="00AC6470">
              <w:rPr>
                <w:rFonts w:ascii="Arial" w:hAnsi="Arial" w:cs="Arial"/>
                <w:i/>
                <w:iCs/>
                <w:sz w:val="22"/>
                <w:szCs w:val="22"/>
              </w:rPr>
              <w:t>E</w:t>
            </w:r>
            <w:r w:rsidRPr="00AC6470">
              <w:rPr>
                <w:rFonts w:ascii="Arial" w:hAnsi="Arial" w:cs="Arial"/>
                <w:sz w:val="22"/>
                <w:szCs w:val="22"/>
              </w:rPr>
              <w:t xml:space="preserve"> geometry. The MICs ranged from 73.16 to 319.74 µM, with optimal activity for the 3-nitro derivative (MIC = 73.16 µM) and the Chlorinated derivatives (MIC = 75.48 µM). The 2-methoxyphenyl derivative (MIC = 76.50 µM) and the unsubstituted compound (MIC = 84.27 µM) show promising activity.</w:t>
            </w:r>
          </w:p>
          <w:p w14:paraId="1F578DAC" w14:textId="2E446D74" w:rsidR="00505F06" w:rsidRPr="00AC6470" w:rsidRDefault="00AC6470" w:rsidP="00AC6470">
            <w:pPr>
              <w:jc w:val="both"/>
              <w:rPr>
                <w:rFonts w:ascii="Arial" w:hAnsi="Arial" w:cs="Arial"/>
                <w:sz w:val="22"/>
                <w:szCs w:val="22"/>
              </w:rPr>
            </w:pPr>
            <w:r w:rsidRPr="00AC6470">
              <w:rPr>
                <w:rFonts w:ascii="Arial" w:hAnsi="Arial" w:cs="Arial"/>
                <w:sz w:val="22"/>
                <w:szCs w:val="22"/>
              </w:rPr>
              <w:t xml:space="preserve">Conclusion: Structure-activity relationship studies reveal the importance of lipophilicity and steric hindrance. These chalcone-imidazopyridine hybrids represent promising structures for the development of new antifungal agents against </w:t>
            </w:r>
            <w:r w:rsidRPr="00AC6470">
              <w:rPr>
                <w:rFonts w:ascii="Arial" w:hAnsi="Arial" w:cs="Arial"/>
                <w:i/>
                <w:iCs/>
                <w:sz w:val="22"/>
                <w:szCs w:val="22"/>
              </w:rPr>
              <w:t>A. fumigatus</w:t>
            </w:r>
            <w:r w:rsidRPr="00AC6470">
              <w:rPr>
                <w:rFonts w:ascii="Arial" w:hAnsi="Arial" w:cs="Arial"/>
                <w:sz w:val="22"/>
                <w:szCs w:val="22"/>
              </w:rPr>
              <w:t>.</w:t>
            </w:r>
          </w:p>
        </w:tc>
      </w:tr>
    </w:tbl>
    <w:p w14:paraId="22C9D895" w14:textId="77777777" w:rsidR="00636EB2" w:rsidRDefault="00636EB2" w:rsidP="00441B6F">
      <w:pPr>
        <w:pStyle w:val="Body"/>
        <w:spacing w:after="0"/>
        <w:rPr>
          <w:rFonts w:ascii="Arial" w:hAnsi="Arial" w:cs="Arial"/>
          <w:i/>
        </w:rPr>
      </w:pPr>
    </w:p>
    <w:p w14:paraId="1F4CF08C" w14:textId="3DDC1365" w:rsidR="00505F06" w:rsidRPr="001A161F" w:rsidRDefault="00AC6470" w:rsidP="001A161F">
      <w:pPr>
        <w:jc w:val="both"/>
        <w:rPr>
          <w:rFonts w:ascii="Arial" w:hAnsi="Arial" w:cs="Arial"/>
          <w:sz w:val="22"/>
          <w:szCs w:val="22"/>
        </w:rPr>
      </w:pPr>
      <w:r w:rsidRPr="00AC6470">
        <w:rPr>
          <w:rFonts w:ascii="Arial" w:hAnsi="Arial" w:cs="Arial"/>
          <w:sz w:val="22"/>
          <w:szCs w:val="22"/>
          <w:u w:val="single"/>
        </w:rPr>
        <w:t>Keywords</w:t>
      </w:r>
      <w:r w:rsidRPr="00AC6470">
        <w:rPr>
          <w:rFonts w:ascii="Arial" w:hAnsi="Arial" w:cs="Arial"/>
          <w:sz w:val="22"/>
          <w:szCs w:val="22"/>
        </w:rPr>
        <w:t xml:space="preserve">: </w:t>
      </w:r>
      <w:r w:rsidRPr="00AC6470">
        <w:rPr>
          <w:rFonts w:ascii="Arial" w:hAnsi="Arial" w:cs="Arial"/>
          <w:i/>
          <w:iCs/>
          <w:sz w:val="22"/>
          <w:szCs w:val="22"/>
        </w:rPr>
        <w:t>Aspergillus fumigatus</w:t>
      </w:r>
      <w:r w:rsidRPr="00AC6470">
        <w:rPr>
          <w:rFonts w:ascii="Arial" w:hAnsi="Arial" w:cs="Arial"/>
          <w:sz w:val="22"/>
          <w:szCs w:val="22"/>
        </w:rPr>
        <w:t>, chalcone, imidazo[1,2-</w:t>
      </w:r>
      <w:r w:rsidRPr="00AE2BB8">
        <w:rPr>
          <w:rFonts w:ascii="Arial" w:hAnsi="Arial" w:cs="Arial"/>
          <w:i/>
          <w:iCs/>
          <w:color w:val="EE0000"/>
          <w:sz w:val="22"/>
          <w:szCs w:val="22"/>
        </w:rPr>
        <w:t>a</w:t>
      </w:r>
      <w:r w:rsidRPr="00AC6470">
        <w:rPr>
          <w:rFonts w:ascii="Arial" w:hAnsi="Arial" w:cs="Arial"/>
          <w:sz w:val="22"/>
          <w:szCs w:val="22"/>
        </w:rPr>
        <w:t>]pyridine, antifungal, structure-activity relationship, azole resistance</w:t>
      </w:r>
    </w:p>
    <w:p w14:paraId="3F95CED7" w14:textId="77777777" w:rsidR="005830BE" w:rsidRDefault="005830BE" w:rsidP="00441B6F">
      <w:pPr>
        <w:pStyle w:val="AbstHead"/>
        <w:spacing w:after="0"/>
        <w:jc w:val="both"/>
        <w:rPr>
          <w:rFonts w:ascii="Arial" w:hAnsi="Arial" w:cs="Arial"/>
        </w:rPr>
        <w:sectPr w:rsidR="005830BE" w:rsidSect="001A161F">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65B4EF0B" w14:textId="049768A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9435E12" w14:textId="77777777" w:rsidR="00790ADA" w:rsidRPr="005830BE" w:rsidRDefault="00790ADA" w:rsidP="00441B6F">
      <w:pPr>
        <w:pStyle w:val="AbstHead"/>
        <w:spacing w:after="0"/>
        <w:jc w:val="both"/>
        <w:rPr>
          <w:rFonts w:ascii="Arial" w:hAnsi="Arial" w:cs="Arial"/>
          <w:sz w:val="6"/>
          <w:szCs w:val="4"/>
        </w:rPr>
      </w:pPr>
    </w:p>
    <w:p w14:paraId="1C20240C" w14:textId="77777777" w:rsidR="00AC6470" w:rsidRPr="00AC6470" w:rsidRDefault="00AC6470" w:rsidP="00AC6470">
      <w:pPr>
        <w:jc w:val="both"/>
        <w:rPr>
          <w:rFonts w:ascii="Arial" w:hAnsi="Arial" w:cs="Arial"/>
          <w:sz w:val="22"/>
          <w:szCs w:val="22"/>
        </w:rPr>
      </w:pPr>
      <w:r w:rsidRPr="00AC6470">
        <w:rPr>
          <w:rFonts w:ascii="Arial" w:hAnsi="Arial" w:cs="Arial"/>
          <w:i/>
          <w:iCs/>
          <w:sz w:val="22"/>
          <w:szCs w:val="22"/>
        </w:rPr>
        <w:t>Aspergillus fumigatus</w:t>
      </w:r>
      <w:r w:rsidRPr="00AC6470">
        <w:rPr>
          <w:rFonts w:ascii="Arial" w:hAnsi="Arial" w:cs="Arial"/>
          <w:sz w:val="22"/>
          <w:szCs w:val="22"/>
        </w:rPr>
        <w:t xml:space="preserve"> is the most formidable fungal pathogen among the species of the genus Aspergillus, responsible for more than 90% of cases of invasive aspergillosis [1]. This opportunistic fungal infection primarily affects immunocompromised patients, particularly those with prolonged neutropenia, organ transplantation, or </w:t>
      </w:r>
      <w:r w:rsidRPr="00AC6470">
        <w:rPr>
          <w:rFonts w:ascii="Arial" w:hAnsi="Arial" w:cs="Arial"/>
          <w:sz w:val="22"/>
          <w:szCs w:val="22"/>
        </w:rPr>
        <w:t>immunosuppressive therapy [2]. With a mortality rate that can reach 50% despite available treatments, invasive aspergillosis represents a major therapeutic challenge [3].</w:t>
      </w:r>
    </w:p>
    <w:p w14:paraId="18139722" w14:textId="77777777" w:rsidR="00AC6470" w:rsidRPr="00AC6470" w:rsidRDefault="00AC6470" w:rsidP="00AC6470">
      <w:pPr>
        <w:jc w:val="both"/>
        <w:rPr>
          <w:rFonts w:ascii="Arial" w:hAnsi="Arial" w:cs="Arial"/>
          <w:sz w:val="22"/>
          <w:szCs w:val="22"/>
        </w:rPr>
      </w:pPr>
      <w:r w:rsidRPr="00AC6470">
        <w:rPr>
          <w:rFonts w:ascii="Arial" w:hAnsi="Arial" w:cs="Arial"/>
          <w:sz w:val="22"/>
          <w:szCs w:val="22"/>
        </w:rPr>
        <w:t xml:space="preserve">The standard treatment relies on azole antifungals, primarily voriconazole and itraconazole, supplemented by amphotericin B and echinocandins [4]. However, the alarming emergence of </w:t>
      </w:r>
      <w:r w:rsidRPr="00AC6470">
        <w:rPr>
          <w:rFonts w:ascii="Arial" w:hAnsi="Arial" w:cs="Arial"/>
          <w:i/>
          <w:iCs/>
          <w:sz w:val="22"/>
          <w:szCs w:val="22"/>
        </w:rPr>
        <w:lastRenderedPageBreak/>
        <w:t>A. fumigatus</w:t>
      </w:r>
      <w:r w:rsidRPr="00AC6470">
        <w:rPr>
          <w:rFonts w:ascii="Arial" w:hAnsi="Arial" w:cs="Arial"/>
          <w:sz w:val="22"/>
          <w:szCs w:val="22"/>
        </w:rPr>
        <w:t xml:space="preserve"> strains. Azole-resistant </w:t>
      </w:r>
      <w:r w:rsidRPr="00AC6470">
        <w:rPr>
          <w:rFonts w:ascii="Arial" w:hAnsi="Arial" w:cs="Arial"/>
          <w:i/>
          <w:iCs/>
          <w:sz w:val="22"/>
          <w:szCs w:val="22"/>
        </w:rPr>
        <w:t>Fumigatus</w:t>
      </w:r>
      <w:r w:rsidRPr="00AC6470">
        <w:rPr>
          <w:rFonts w:ascii="Arial" w:hAnsi="Arial" w:cs="Arial"/>
          <w:sz w:val="22"/>
          <w:szCs w:val="22"/>
        </w:rPr>
        <w:t>, linked to the intensive agricultural use of azole fungicides and mutations in the cyp51A gene, severely compromises therapeutic efficacy [5,6]. This cross-resistance between medical and agricultural antifungals represents an emerging public health problem requiring the urgent development of new classes of antifungals [7].</w:t>
      </w:r>
    </w:p>
    <w:p w14:paraId="4299C4B9" w14:textId="77777777" w:rsidR="00AC6470" w:rsidRPr="00AC6470" w:rsidRDefault="00AC6470" w:rsidP="00AC6470">
      <w:pPr>
        <w:jc w:val="both"/>
        <w:rPr>
          <w:rFonts w:ascii="Arial" w:hAnsi="Arial" w:cs="Arial"/>
          <w:sz w:val="22"/>
          <w:szCs w:val="22"/>
        </w:rPr>
      </w:pPr>
      <w:r w:rsidRPr="00AC6470">
        <w:rPr>
          <w:rFonts w:ascii="Arial" w:hAnsi="Arial" w:cs="Arial"/>
          <w:sz w:val="22"/>
          <w:szCs w:val="22"/>
        </w:rPr>
        <w:t xml:space="preserve">Chalcones, biosynthetic precursors of flavonoids, constitute a class of natural compounds with a broad spectrum of biological activities [8]. These α,β-unsaturated ketones have demonstrated promising antifungal properties against various pathogenic fungal species, including </w:t>
      </w:r>
      <w:r w:rsidRPr="00AC6470">
        <w:rPr>
          <w:rFonts w:ascii="Arial" w:hAnsi="Arial" w:cs="Arial"/>
          <w:i/>
          <w:iCs/>
          <w:sz w:val="22"/>
          <w:szCs w:val="22"/>
        </w:rPr>
        <w:t>Aspergillus</w:t>
      </w:r>
      <w:r w:rsidRPr="00AC6470">
        <w:rPr>
          <w:rFonts w:ascii="Arial" w:hAnsi="Arial" w:cs="Arial"/>
          <w:sz w:val="22"/>
          <w:szCs w:val="22"/>
        </w:rPr>
        <w:t xml:space="preserve"> spp. [9]. Their mechanism of action involves the inhibition of ergosterol biosynthesis, disruption of the fungal cell wall, and induction of oxidative stress [10].</w:t>
      </w:r>
    </w:p>
    <w:p w14:paraId="201CD117" w14:textId="77777777" w:rsidR="00AC6470" w:rsidRPr="00AC6470" w:rsidRDefault="00AC6470" w:rsidP="00AC6470">
      <w:pPr>
        <w:jc w:val="both"/>
        <w:rPr>
          <w:rFonts w:ascii="Arial" w:hAnsi="Arial" w:cs="Arial"/>
          <w:sz w:val="22"/>
          <w:szCs w:val="22"/>
        </w:rPr>
      </w:pPr>
      <w:r w:rsidRPr="00AC6470">
        <w:rPr>
          <w:rFonts w:ascii="Arial" w:hAnsi="Arial" w:cs="Arial"/>
          <w:sz w:val="22"/>
          <w:szCs w:val="22"/>
        </w:rPr>
        <w:t>Imidazo[1,2-</w:t>
      </w:r>
      <w:r w:rsidRPr="00AC6470">
        <w:rPr>
          <w:rFonts w:ascii="Arial" w:hAnsi="Arial" w:cs="Arial"/>
          <w:i/>
          <w:iCs/>
          <w:sz w:val="22"/>
          <w:szCs w:val="22"/>
        </w:rPr>
        <w:t>a</w:t>
      </w:r>
      <w:r w:rsidRPr="00AC6470">
        <w:rPr>
          <w:rFonts w:ascii="Arial" w:hAnsi="Arial" w:cs="Arial"/>
          <w:sz w:val="22"/>
          <w:szCs w:val="22"/>
        </w:rPr>
        <w:t>]pyridine, a fused bicyclic heterocyclic system, is a preferred pharmacophore in medicinal chemistry [11]. This structure is present in many commercially available drugs, including zolpidem (a hypnotic) and alpidem (an anxiolytic), demonstrating its pharmacological versatility [12]. Molecular hybridization between chalcones or isoster acrylonitrile and imidazo[1,2-</w:t>
      </w:r>
      <w:r w:rsidRPr="00AC6470">
        <w:rPr>
          <w:rFonts w:ascii="Arial" w:hAnsi="Arial" w:cs="Arial"/>
          <w:i/>
          <w:iCs/>
          <w:sz w:val="22"/>
          <w:szCs w:val="22"/>
        </w:rPr>
        <w:t>a</w:t>
      </w:r>
      <w:r w:rsidRPr="00AC6470">
        <w:rPr>
          <w:rFonts w:ascii="Arial" w:hAnsi="Arial" w:cs="Arial"/>
          <w:sz w:val="22"/>
          <w:szCs w:val="22"/>
        </w:rPr>
        <w:t>]pyridine represents a rational strategy for optimizing antifungal activity [13-15].</w:t>
      </w:r>
    </w:p>
    <w:p w14:paraId="0C8E17B4" w14:textId="2AC8512F" w:rsidR="00AC6470" w:rsidRPr="00AC6470" w:rsidRDefault="00AC6470" w:rsidP="00AC6470">
      <w:pPr>
        <w:jc w:val="both"/>
        <w:rPr>
          <w:rFonts w:ascii="Arial" w:hAnsi="Arial" w:cs="Arial"/>
          <w:sz w:val="22"/>
          <w:szCs w:val="22"/>
        </w:rPr>
      </w:pPr>
      <w:r w:rsidRPr="00AC6470">
        <w:rPr>
          <w:rFonts w:ascii="Arial" w:hAnsi="Arial" w:cs="Arial"/>
          <w:sz w:val="22"/>
          <w:szCs w:val="22"/>
        </w:rPr>
        <w:t xml:space="preserve">This study presents the synthesis of </w:t>
      </w:r>
      <w:r w:rsidR="00A52184" w:rsidRPr="00A52184">
        <w:rPr>
          <w:rFonts w:ascii="Arial" w:hAnsi="Arial" w:cs="Arial"/>
          <w:color w:val="EE0000"/>
          <w:sz w:val="22"/>
          <w:szCs w:val="22"/>
        </w:rPr>
        <w:t>ten</w:t>
      </w:r>
      <w:r w:rsidRPr="00AC6470">
        <w:rPr>
          <w:rFonts w:ascii="Arial" w:hAnsi="Arial" w:cs="Arial"/>
          <w:sz w:val="22"/>
          <w:szCs w:val="22"/>
        </w:rPr>
        <w:t xml:space="preserve"> new chalcone-imidazo[1,2-</w:t>
      </w:r>
      <w:r w:rsidRPr="00AC6470">
        <w:rPr>
          <w:rFonts w:ascii="Arial" w:hAnsi="Arial" w:cs="Arial"/>
          <w:i/>
          <w:iCs/>
          <w:sz w:val="22"/>
          <w:szCs w:val="22"/>
        </w:rPr>
        <w:t>a</w:t>
      </w:r>
      <w:r w:rsidRPr="00AC6470">
        <w:rPr>
          <w:rFonts w:ascii="Arial" w:hAnsi="Arial" w:cs="Arial"/>
          <w:sz w:val="22"/>
          <w:szCs w:val="22"/>
        </w:rPr>
        <w:t xml:space="preserve">]pyridine hybrid derivatives, their complete structural characterization by NMR, and the systematic evaluation of their antifungal activity against </w:t>
      </w:r>
      <w:r w:rsidRPr="00AC6470">
        <w:rPr>
          <w:rFonts w:ascii="Arial" w:hAnsi="Arial" w:cs="Arial"/>
          <w:i/>
          <w:iCs/>
          <w:sz w:val="22"/>
          <w:szCs w:val="22"/>
        </w:rPr>
        <w:t>A. fumigatus</w:t>
      </w:r>
      <w:r w:rsidRPr="00AC6470">
        <w:rPr>
          <w:rFonts w:ascii="Arial" w:hAnsi="Arial" w:cs="Arial"/>
          <w:sz w:val="22"/>
          <w:szCs w:val="22"/>
        </w:rPr>
        <w:t>. A detailed structure-activity relationship analysis is provided to guide the future optimization of these compounds.</w:t>
      </w:r>
    </w:p>
    <w:p w14:paraId="637D3891" w14:textId="77777777" w:rsidR="005830BE" w:rsidRDefault="005830BE" w:rsidP="00441B6F">
      <w:pPr>
        <w:pStyle w:val="Body"/>
        <w:spacing w:after="0"/>
        <w:rPr>
          <w:rFonts w:ascii="Arial" w:hAnsi="Arial" w:cs="Arial"/>
        </w:rPr>
        <w:sectPr w:rsidR="005830BE" w:rsidSect="005830BE">
          <w:type w:val="continuous"/>
          <w:pgSz w:w="12240" w:h="15840"/>
          <w:pgMar w:top="1440" w:right="2016" w:bottom="2016" w:left="2016" w:header="720" w:footer="1123" w:gutter="0"/>
          <w:cols w:num="2" w:space="720"/>
          <w:docGrid w:linePitch="272"/>
        </w:sectPr>
      </w:pPr>
    </w:p>
    <w:p w14:paraId="5E9D3AC2" w14:textId="712CEC96" w:rsidR="00790ADA" w:rsidRPr="00FB3A86" w:rsidRDefault="00790ADA" w:rsidP="00441B6F">
      <w:pPr>
        <w:pStyle w:val="Body"/>
        <w:spacing w:after="0"/>
        <w:rPr>
          <w:rFonts w:ascii="Arial" w:hAnsi="Arial" w:cs="Arial"/>
        </w:rPr>
      </w:pPr>
    </w:p>
    <w:p w14:paraId="2C7D1F1E" w14:textId="77777777" w:rsidR="005830BE" w:rsidRDefault="005830BE" w:rsidP="005830BE">
      <w:pPr>
        <w:pStyle w:val="AbstHead"/>
        <w:spacing w:after="0"/>
        <w:jc w:val="both"/>
        <w:rPr>
          <w:rFonts w:ascii="Arial" w:hAnsi="Arial" w:cs="Arial"/>
          <w:szCs w:val="22"/>
        </w:rPr>
        <w:sectPr w:rsidR="005830BE" w:rsidSect="001A161F">
          <w:type w:val="continuous"/>
          <w:pgSz w:w="12240" w:h="15840"/>
          <w:pgMar w:top="1440" w:right="2016" w:bottom="2016" w:left="2016" w:header="720" w:footer="1123" w:gutter="0"/>
          <w:cols w:space="720"/>
          <w:docGrid w:linePitch="272"/>
        </w:sectPr>
      </w:pPr>
    </w:p>
    <w:p w14:paraId="75D09558" w14:textId="6F6322A4" w:rsidR="001A161F" w:rsidRDefault="00902823" w:rsidP="005830BE">
      <w:pPr>
        <w:pStyle w:val="AbstHead"/>
        <w:spacing w:after="0"/>
        <w:jc w:val="both"/>
        <w:rPr>
          <w:rFonts w:ascii="Arial" w:hAnsi="Arial" w:cs="Arial"/>
          <w:szCs w:val="22"/>
        </w:rPr>
      </w:pPr>
      <w:r w:rsidRPr="001A161F">
        <w:rPr>
          <w:rFonts w:ascii="Arial" w:hAnsi="Arial" w:cs="Arial"/>
          <w:szCs w:val="22"/>
        </w:rPr>
        <w:t xml:space="preserve">2. </w:t>
      </w:r>
      <w:r w:rsidR="006B57D0" w:rsidRPr="001A161F">
        <w:rPr>
          <w:rFonts w:ascii="Arial" w:hAnsi="Arial" w:cs="Arial"/>
          <w:szCs w:val="22"/>
        </w:rPr>
        <w:t>methodology</w:t>
      </w:r>
      <w:r w:rsidR="007F7B32" w:rsidRPr="001A161F">
        <w:rPr>
          <w:rFonts w:ascii="Arial" w:hAnsi="Arial" w:cs="Arial"/>
          <w:szCs w:val="22"/>
        </w:rPr>
        <w:t xml:space="preserve"> </w:t>
      </w:r>
    </w:p>
    <w:p w14:paraId="0A6BEE6C" w14:textId="77777777" w:rsidR="005830BE" w:rsidRPr="005830BE" w:rsidRDefault="005830BE" w:rsidP="005830BE">
      <w:pPr>
        <w:pStyle w:val="AbstHead"/>
        <w:spacing w:after="0"/>
        <w:jc w:val="both"/>
        <w:rPr>
          <w:rFonts w:ascii="Arial" w:hAnsi="Arial" w:cs="Arial"/>
          <w:sz w:val="6"/>
          <w:szCs w:val="6"/>
        </w:rPr>
      </w:pPr>
    </w:p>
    <w:p w14:paraId="3FFA3861" w14:textId="3E6CFA71" w:rsidR="001A161F" w:rsidRPr="001A161F" w:rsidRDefault="001A161F" w:rsidP="001A161F">
      <w:pPr>
        <w:jc w:val="both"/>
        <w:rPr>
          <w:rFonts w:ascii="Arial" w:hAnsi="Arial" w:cs="Arial"/>
          <w:b/>
          <w:bCs/>
          <w:sz w:val="22"/>
          <w:szCs w:val="22"/>
        </w:rPr>
      </w:pPr>
      <w:r w:rsidRPr="001A161F">
        <w:rPr>
          <w:rFonts w:ascii="Arial" w:hAnsi="Arial" w:cs="Arial"/>
          <w:b/>
          <w:bCs/>
          <w:sz w:val="22"/>
          <w:szCs w:val="22"/>
        </w:rPr>
        <w:t>2.1 General Chemistry</w:t>
      </w:r>
    </w:p>
    <w:p w14:paraId="7D51BC33" w14:textId="77777777" w:rsidR="001A161F" w:rsidRPr="005830BE" w:rsidRDefault="001A161F" w:rsidP="001A161F">
      <w:pPr>
        <w:jc w:val="both"/>
        <w:rPr>
          <w:rFonts w:ascii="Arial" w:hAnsi="Arial" w:cs="Arial"/>
          <w:sz w:val="6"/>
          <w:szCs w:val="6"/>
        </w:rPr>
      </w:pPr>
    </w:p>
    <w:p w14:paraId="43ADDDFF" w14:textId="290F36DF" w:rsidR="001A161F" w:rsidRDefault="001A161F" w:rsidP="001A161F">
      <w:pPr>
        <w:jc w:val="both"/>
        <w:rPr>
          <w:rFonts w:ascii="Arial" w:hAnsi="Arial" w:cs="Arial"/>
          <w:b/>
          <w:bCs/>
          <w:sz w:val="22"/>
          <w:szCs w:val="22"/>
        </w:rPr>
      </w:pPr>
      <w:r w:rsidRPr="001A161F">
        <w:rPr>
          <w:rFonts w:ascii="Arial" w:hAnsi="Arial" w:cs="Arial"/>
          <w:sz w:val="22"/>
          <w:szCs w:val="22"/>
        </w:rPr>
        <w:t xml:space="preserve"> </w:t>
      </w:r>
      <w:r w:rsidRPr="005830BE">
        <w:rPr>
          <w:rFonts w:ascii="Arial" w:hAnsi="Arial" w:cs="Arial"/>
          <w:b/>
          <w:bCs/>
          <w:sz w:val="22"/>
          <w:szCs w:val="22"/>
        </w:rPr>
        <w:t>2.1.1 Materials and Reagents</w:t>
      </w:r>
    </w:p>
    <w:p w14:paraId="47B8D118" w14:textId="77777777" w:rsidR="005830BE" w:rsidRPr="005830BE" w:rsidRDefault="005830BE" w:rsidP="001A161F">
      <w:pPr>
        <w:jc w:val="both"/>
        <w:rPr>
          <w:rFonts w:ascii="Arial" w:hAnsi="Arial" w:cs="Arial"/>
          <w:b/>
          <w:bCs/>
          <w:sz w:val="6"/>
          <w:szCs w:val="6"/>
        </w:rPr>
      </w:pPr>
    </w:p>
    <w:p w14:paraId="002A6804" w14:textId="76833AF2" w:rsidR="001A161F" w:rsidRPr="001A161F" w:rsidRDefault="001A161F" w:rsidP="001A161F">
      <w:pPr>
        <w:jc w:val="both"/>
        <w:rPr>
          <w:rFonts w:ascii="Arial" w:hAnsi="Arial" w:cs="Arial"/>
          <w:sz w:val="22"/>
          <w:szCs w:val="22"/>
        </w:rPr>
      </w:pPr>
      <w:r w:rsidRPr="001A161F">
        <w:rPr>
          <w:rFonts w:ascii="Arial" w:hAnsi="Arial" w:cs="Arial"/>
          <w:sz w:val="22"/>
          <w:szCs w:val="22"/>
        </w:rPr>
        <w:t>All commercial reagents were used without further purification (Sigma-Aldrich, Merck). Melting points were determined on a Kofler apparatus and are not corrected. Yields reported are for purified products.</w:t>
      </w:r>
    </w:p>
    <w:p w14:paraId="75E515E6" w14:textId="77777777" w:rsidR="001A161F" w:rsidRPr="001A161F" w:rsidRDefault="001A161F" w:rsidP="001A161F">
      <w:pPr>
        <w:jc w:val="both"/>
        <w:rPr>
          <w:rFonts w:ascii="Arial" w:hAnsi="Arial" w:cs="Arial"/>
          <w:sz w:val="22"/>
          <w:szCs w:val="22"/>
        </w:rPr>
      </w:pPr>
    </w:p>
    <w:p w14:paraId="70861E73" w14:textId="101954AA" w:rsidR="001A161F" w:rsidRDefault="001A161F" w:rsidP="001A161F">
      <w:pPr>
        <w:jc w:val="both"/>
        <w:rPr>
          <w:rFonts w:ascii="Arial" w:hAnsi="Arial" w:cs="Arial"/>
          <w:b/>
          <w:bCs/>
          <w:sz w:val="22"/>
          <w:szCs w:val="22"/>
        </w:rPr>
      </w:pPr>
      <w:r w:rsidRPr="005830BE">
        <w:rPr>
          <w:rFonts w:ascii="Arial" w:hAnsi="Arial" w:cs="Arial"/>
          <w:b/>
          <w:bCs/>
          <w:sz w:val="22"/>
          <w:szCs w:val="22"/>
        </w:rPr>
        <w:t>2.1.2 Instrumentation</w:t>
      </w:r>
    </w:p>
    <w:p w14:paraId="36D1AD43" w14:textId="77777777" w:rsidR="005830BE" w:rsidRPr="005830BE" w:rsidRDefault="005830BE" w:rsidP="001A161F">
      <w:pPr>
        <w:jc w:val="both"/>
        <w:rPr>
          <w:rFonts w:ascii="Arial" w:hAnsi="Arial" w:cs="Arial"/>
          <w:b/>
          <w:bCs/>
          <w:sz w:val="6"/>
          <w:szCs w:val="6"/>
        </w:rPr>
      </w:pPr>
    </w:p>
    <w:p w14:paraId="644B20C7"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¹H and ¹³C NMR spectra were recorded on a Bruker Avance 300 MHz spectrometer, using CDCl</w:t>
      </w:r>
      <w:r w:rsidRPr="001A161F">
        <w:rPr>
          <w:rFonts w:ascii="Cambria Math" w:hAnsi="Cambria Math" w:cs="Cambria Math"/>
          <w:sz w:val="22"/>
          <w:szCs w:val="22"/>
        </w:rPr>
        <w:t>₃</w:t>
      </w:r>
      <w:r w:rsidRPr="001A161F">
        <w:rPr>
          <w:rFonts w:ascii="Arial" w:hAnsi="Arial" w:cs="Arial"/>
          <w:sz w:val="22"/>
          <w:szCs w:val="22"/>
        </w:rPr>
        <w:t xml:space="preserve"> or DMSO-d</w:t>
      </w:r>
      <w:r w:rsidRPr="001A161F">
        <w:rPr>
          <w:rFonts w:ascii="Cambria Math" w:hAnsi="Cambria Math" w:cs="Cambria Math"/>
          <w:sz w:val="22"/>
          <w:szCs w:val="22"/>
        </w:rPr>
        <w:t>₆</w:t>
      </w:r>
      <w:r w:rsidRPr="001A161F">
        <w:rPr>
          <w:rFonts w:ascii="Arial" w:hAnsi="Arial" w:cs="Arial"/>
          <w:sz w:val="22"/>
          <w:szCs w:val="22"/>
        </w:rPr>
        <w:t xml:space="preserve"> as deuterated solvents. Chemical shifts (δ) are expressed in ppm relative to tetramethylsilane (TMS) as an internal reference. Coupling constants (</w:t>
      </w:r>
      <w:r w:rsidRPr="00D66BA7">
        <w:rPr>
          <w:rFonts w:ascii="Arial" w:hAnsi="Arial" w:cs="Arial"/>
          <w:i/>
          <w:iCs/>
          <w:sz w:val="22"/>
          <w:szCs w:val="22"/>
        </w:rPr>
        <w:t>J</w:t>
      </w:r>
      <w:r w:rsidRPr="001A161F">
        <w:rPr>
          <w:rFonts w:ascii="Arial" w:hAnsi="Arial" w:cs="Arial"/>
          <w:sz w:val="22"/>
          <w:szCs w:val="22"/>
        </w:rPr>
        <w:t>) are expressed in Hz.</w:t>
      </w:r>
    </w:p>
    <w:p w14:paraId="31356E00" w14:textId="77777777" w:rsidR="001A161F" w:rsidRPr="001A161F" w:rsidRDefault="001A161F" w:rsidP="001A161F">
      <w:pPr>
        <w:jc w:val="both"/>
        <w:rPr>
          <w:rFonts w:ascii="Arial" w:hAnsi="Arial" w:cs="Arial"/>
          <w:sz w:val="22"/>
          <w:szCs w:val="22"/>
        </w:rPr>
      </w:pPr>
    </w:p>
    <w:p w14:paraId="7D936425" w14:textId="3B9A1F09" w:rsidR="001A161F" w:rsidRDefault="001A161F" w:rsidP="001A161F">
      <w:pPr>
        <w:jc w:val="both"/>
        <w:rPr>
          <w:rFonts w:ascii="Arial" w:hAnsi="Arial" w:cs="Arial"/>
          <w:b/>
          <w:bCs/>
          <w:sz w:val="22"/>
          <w:szCs w:val="22"/>
        </w:rPr>
      </w:pPr>
      <w:r w:rsidRPr="005830BE">
        <w:rPr>
          <w:rFonts w:ascii="Arial" w:hAnsi="Arial" w:cs="Arial"/>
          <w:b/>
          <w:bCs/>
          <w:sz w:val="22"/>
          <w:szCs w:val="22"/>
        </w:rPr>
        <w:t>2.2 Chemical Synthesis</w:t>
      </w:r>
    </w:p>
    <w:p w14:paraId="22A5622E" w14:textId="77777777" w:rsidR="005830BE" w:rsidRPr="005830BE" w:rsidRDefault="005830BE" w:rsidP="001A161F">
      <w:pPr>
        <w:jc w:val="both"/>
        <w:rPr>
          <w:rFonts w:ascii="Arial" w:hAnsi="Arial" w:cs="Arial"/>
          <w:b/>
          <w:bCs/>
          <w:sz w:val="6"/>
          <w:szCs w:val="6"/>
        </w:rPr>
      </w:pPr>
    </w:p>
    <w:p w14:paraId="2B84AB73" w14:textId="062C5197" w:rsidR="005830BE" w:rsidRPr="005830BE" w:rsidRDefault="001A161F" w:rsidP="001A161F">
      <w:pPr>
        <w:jc w:val="both"/>
        <w:rPr>
          <w:rFonts w:ascii="Arial" w:hAnsi="Arial" w:cs="Arial"/>
          <w:b/>
          <w:bCs/>
          <w:sz w:val="22"/>
          <w:szCs w:val="22"/>
        </w:rPr>
      </w:pPr>
      <w:r w:rsidRPr="005830BE">
        <w:rPr>
          <w:rFonts w:ascii="Arial" w:hAnsi="Arial" w:cs="Arial"/>
          <w:b/>
          <w:bCs/>
          <w:sz w:val="22"/>
          <w:szCs w:val="22"/>
        </w:rPr>
        <w:t>2.2.1 Preparation of Acetylated Precursors</w:t>
      </w:r>
    </w:p>
    <w:p w14:paraId="165C4629" w14:textId="77777777" w:rsidR="005830BE" w:rsidRPr="005830BE" w:rsidRDefault="005830BE" w:rsidP="001A161F">
      <w:pPr>
        <w:jc w:val="both"/>
        <w:rPr>
          <w:rFonts w:ascii="Arial" w:hAnsi="Arial" w:cs="Arial"/>
          <w:sz w:val="6"/>
          <w:szCs w:val="6"/>
        </w:rPr>
      </w:pPr>
    </w:p>
    <w:p w14:paraId="37B5673E" w14:textId="3D984A04" w:rsidR="001A161F" w:rsidRPr="001A161F" w:rsidRDefault="001A161F" w:rsidP="001A161F">
      <w:pPr>
        <w:jc w:val="both"/>
        <w:rPr>
          <w:rFonts w:ascii="Arial" w:hAnsi="Arial" w:cs="Arial"/>
          <w:sz w:val="22"/>
          <w:szCs w:val="22"/>
        </w:rPr>
      </w:pPr>
      <w:r w:rsidRPr="001A161F">
        <w:rPr>
          <w:rFonts w:ascii="Arial" w:hAnsi="Arial" w:cs="Arial"/>
          <w:sz w:val="22"/>
          <w:szCs w:val="22"/>
        </w:rPr>
        <w:t>3-Acetyl-6-chloro-2-methylimidazo[1,2-</w:t>
      </w:r>
      <w:r w:rsidRPr="001A161F">
        <w:rPr>
          <w:rFonts w:ascii="Arial" w:hAnsi="Arial" w:cs="Arial"/>
          <w:i/>
          <w:iCs/>
          <w:sz w:val="22"/>
          <w:szCs w:val="22"/>
        </w:rPr>
        <w:t>a</w:t>
      </w:r>
      <w:r w:rsidRPr="001A161F">
        <w:rPr>
          <w:rFonts w:ascii="Arial" w:hAnsi="Arial" w:cs="Arial"/>
          <w:sz w:val="22"/>
          <w:szCs w:val="22"/>
        </w:rPr>
        <w:t>]pyridine were prepared according to published methods [15].</w:t>
      </w:r>
    </w:p>
    <w:p w14:paraId="45468A31"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To obtain the imidazopyridinyl-arylpropenones (</w:t>
      </w:r>
      <w:r w:rsidRPr="001A161F">
        <w:rPr>
          <w:rFonts w:ascii="Arial" w:hAnsi="Arial" w:cs="Arial"/>
          <w:b/>
          <w:bCs/>
          <w:sz w:val="22"/>
          <w:szCs w:val="22"/>
        </w:rPr>
        <w:t>3a–3j</w:t>
      </w:r>
      <w:r w:rsidRPr="001A161F">
        <w:rPr>
          <w:rFonts w:ascii="Arial" w:hAnsi="Arial" w:cs="Arial"/>
          <w:sz w:val="22"/>
          <w:szCs w:val="22"/>
        </w:rPr>
        <w:t>), 3-acetyl-2-methyl-6-Chloro-imidazo[1,2-</w:t>
      </w:r>
      <w:r w:rsidRPr="001A161F">
        <w:rPr>
          <w:rFonts w:ascii="Arial" w:hAnsi="Arial" w:cs="Arial"/>
          <w:i/>
          <w:iCs/>
          <w:sz w:val="22"/>
          <w:szCs w:val="22"/>
        </w:rPr>
        <w:t>a</w:t>
      </w:r>
      <w:r w:rsidRPr="001A161F">
        <w:rPr>
          <w:rFonts w:ascii="Arial" w:hAnsi="Arial" w:cs="Arial"/>
          <w:sz w:val="22"/>
          <w:szCs w:val="22"/>
        </w:rPr>
        <w:t>]pyridine (</w:t>
      </w:r>
      <w:r w:rsidRPr="001A161F">
        <w:rPr>
          <w:rFonts w:ascii="Arial" w:hAnsi="Arial" w:cs="Arial"/>
          <w:b/>
          <w:bCs/>
          <w:sz w:val="22"/>
          <w:szCs w:val="22"/>
        </w:rPr>
        <w:t>1</w:t>
      </w:r>
      <w:r w:rsidRPr="001A161F">
        <w:rPr>
          <w:rFonts w:ascii="Arial" w:hAnsi="Arial" w:cs="Arial"/>
          <w:sz w:val="22"/>
          <w:szCs w:val="22"/>
        </w:rPr>
        <w:t>) was first synthesized by condensation of 5-Chloro-2-aminopyridine (a) with 3-chloropentane-2,4-dione (b) under reflux in ethanol, and the solution was then neutralized with ammonium hydroxide (NH</w:t>
      </w:r>
      <w:r w:rsidRPr="001A161F">
        <w:rPr>
          <w:rFonts w:ascii="Cambria Math" w:hAnsi="Cambria Math" w:cs="Cambria Math"/>
          <w:sz w:val="22"/>
          <w:szCs w:val="22"/>
        </w:rPr>
        <w:t>₄</w:t>
      </w:r>
      <w:r w:rsidRPr="001A161F">
        <w:rPr>
          <w:rFonts w:ascii="Arial" w:hAnsi="Arial" w:cs="Arial"/>
          <w:sz w:val="22"/>
          <w:szCs w:val="22"/>
        </w:rPr>
        <w:t>OH). The compound (</w:t>
      </w:r>
      <w:r w:rsidRPr="001A161F">
        <w:rPr>
          <w:rFonts w:ascii="Arial" w:hAnsi="Arial" w:cs="Arial"/>
          <w:b/>
          <w:bCs/>
          <w:sz w:val="22"/>
          <w:szCs w:val="22"/>
        </w:rPr>
        <w:t>1</w:t>
      </w:r>
      <w:r w:rsidRPr="001A161F">
        <w:rPr>
          <w:rFonts w:ascii="Arial" w:hAnsi="Arial" w:cs="Arial"/>
          <w:sz w:val="22"/>
          <w:szCs w:val="22"/>
        </w:rPr>
        <w:t>) thus obtained was then subjected to a Claisen–Schmidt condensation, in the presence of base, with a series of substituted aromatic aldehydes (</w:t>
      </w:r>
      <w:r w:rsidRPr="001A161F">
        <w:rPr>
          <w:rFonts w:ascii="Arial" w:hAnsi="Arial" w:cs="Arial"/>
          <w:b/>
          <w:bCs/>
          <w:sz w:val="22"/>
          <w:szCs w:val="22"/>
        </w:rPr>
        <w:t>2a–2j</w:t>
      </w:r>
      <w:r w:rsidRPr="001A161F">
        <w:rPr>
          <w:rFonts w:ascii="Arial" w:hAnsi="Arial" w:cs="Arial"/>
          <w:sz w:val="22"/>
          <w:szCs w:val="22"/>
        </w:rPr>
        <w:t xml:space="preserve">), leading to the desired imidazopyridinyl-arylpropenones [16]. After neutralization with a 20% </w:t>
      </w:r>
      <w:r w:rsidRPr="001A161F">
        <w:rPr>
          <w:rFonts w:ascii="Arial" w:hAnsi="Arial" w:cs="Arial"/>
          <w:sz w:val="22"/>
          <w:szCs w:val="22"/>
        </w:rPr>
        <w:lastRenderedPageBreak/>
        <w:t>hydrochloric acid solution, the products were isolated by precipitation and then purified by recrystallization (Figure 1).</w:t>
      </w:r>
    </w:p>
    <w:p w14:paraId="72E2D09D" w14:textId="77777777" w:rsidR="005830BE" w:rsidRDefault="005830BE" w:rsidP="001A161F">
      <w:pPr>
        <w:jc w:val="both"/>
        <w:rPr>
          <w:rFonts w:ascii="Arial" w:hAnsi="Arial" w:cs="Arial"/>
          <w:sz w:val="22"/>
          <w:szCs w:val="22"/>
        </w:rPr>
        <w:sectPr w:rsidR="005830BE" w:rsidSect="005830BE">
          <w:type w:val="continuous"/>
          <w:pgSz w:w="12240" w:h="15840"/>
          <w:pgMar w:top="1440" w:right="2016" w:bottom="2016" w:left="2016" w:header="720" w:footer="1123" w:gutter="0"/>
          <w:cols w:num="2" w:space="720"/>
          <w:docGrid w:linePitch="272"/>
        </w:sectPr>
      </w:pPr>
    </w:p>
    <w:p w14:paraId="3E305D62" w14:textId="571F9D4F" w:rsidR="001A161F" w:rsidRPr="001A161F" w:rsidRDefault="001A161F" w:rsidP="001A161F">
      <w:pPr>
        <w:jc w:val="both"/>
        <w:rPr>
          <w:rFonts w:ascii="Arial" w:hAnsi="Arial" w:cs="Arial"/>
          <w:sz w:val="22"/>
          <w:szCs w:val="22"/>
        </w:rPr>
      </w:pPr>
    </w:p>
    <w:p w14:paraId="607B3B70" w14:textId="77777777" w:rsidR="001A161F" w:rsidRPr="001A161F" w:rsidRDefault="001A161F" w:rsidP="001A161F">
      <w:pPr>
        <w:jc w:val="center"/>
        <w:rPr>
          <w:rFonts w:ascii="Arial" w:hAnsi="Arial" w:cs="Arial"/>
          <w:sz w:val="22"/>
          <w:szCs w:val="22"/>
        </w:rPr>
      </w:pPr>
      <w:r w:rsidRPr="001A161F">
        <w:rPr>
          <w:rFonts w:ascii="Arial" w:hAnsi="Arial" w:cs="Arial"/>
          <w:sz w:val="22"/>
          <w:szCs w:val="22"/>
        </w:rPr>
        <w:object w:dxaOrig="7277" w:dyaOrig="4171" w14:anchorId="3909D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7pt;height:146.7pt" o:ole="">
            <v:imagedata r:id="rId18" o:title=""/>
          </v:shape>
          <o:OLEObject Type="Embed" ProgID="ChemDraw.Document.6.0" ShapeID="_x0000_i1025" DrawAspect="Content" ObjectID="_1827996922" r:id="rId19"/>
        </w:object>
      </w:r>
    </w:p>
    <w:p w14:paraId="72A4126C" w14:textId="77777777" w:rsidR="001A161F" w:rsidRPr="001A161F" w:rsidRDefault="001A161F" w:rsidP="001A161F">
      <w:pPr>
        <w:jc w:val="center"/>
        <w:rPr>
          <w:rFonts w:ascii="Arial" w:hAnsi="Arial" w:cs="Arial"/>
          <w:spacing w:val="-4"/>
          <w:sz w:val="22"/>
          <w:szCs w:val="22"/>
        </w:rPr>
      </w:pPr>
      <w:r w:rsidRPr="001A161F">
        <w:rPr>
          <w:rFonts w:ascii="Arial" w:hAnsi="Arial" w:cs="Arial"/>
          <w:b/>
          <w:bCs/>
          <w:spacing w:val="-4"/>
          <w:sz w:val="22"/>
          <w:szCs w:val="22"/>
          <w:u w:val="single"/>
        </w:rPr>
        <w:t>Figure 1</w:t>
      </w:r>
      <w:r w:rsidRPr="001A161F">
        <w:rPr>
          <w:rFonts w:ascii="Arial" w:hAnsi="Arial" w:cs="Arial"/>
          <w:b/>
          <w:bCs/>
          <w:i/>
          <w:iCs/>
          <w:spacing w:val="-4"/>
          <w:sz w:val="22"/>
          <w:szCs w:val="22"/>
          <w:u w:val="single"/>
        </w:rPr>
        <w:t>.</w:t>
      </w:r>
      <w:r w:rsidRPr="001A161F">
        <w:rPr>
          <w:rFonts w:ascii="Arial" w:hAnsi="Arial" w:cs="Arial"/>
          <w:i/>
          <w:iCs/>
          <w:spacing w:val="-4"/>
          <w:sz w:val="22"/>
          <w:szCs w:val="22"/>
        </w:rPr>
        <w:t xml:space="preserve"> Synthetic route to 6-Chloroimidazopyridinyl-phenylpropenones (</w:t>
      </w:r>
      <w:r w:rsidRPr="001A161F">
        <w:rPr>
          <w:rFonts w:ascii="Arial" w:hAnsi="Arial" w:cs="Arial"/>
          <w:b/>
          <w:bCs/>
          <w:i/>
          <w:iCs/>
          <w:spacing w:val="-4"/>
          <w:sz w:val="22"/>
          <w:szCs w:val="22"/>
        </w:rPr>
        <w:t>3a–3j</w:t>
      </w:r>
      <w:r w:rsidRPr="001A161F">
        <w:rPr>
          <w:rFonts w:ascii="Arial" w:hAnsi="Arial" w:cs="Arial"/>
          <w:i/>
          <w:iCs/>
          <w:spacing w:val="-4"/>
          <w:sz w:val="22"/>
          <w:szCs w:val="22"/>
        </w:rPr>
        <w:t>).</w:t>
      </w:r>
      <w:r w:rsidRPr="001A161F">
        <w:rPr>
          <w:rFonts w:ascii="Arial" w:hAnsi="Arial" w:cs="Arial"/>
          <w:spacing w:val="-4"/>
          <w:sz w:val="22"/>
          <w:szCs w:val="22"/>
        </w:rPr>
        <w:br/>
      </w:r>
      <w:r w:rsidRPr="001A161F">
        <w:rPr>
          <w:rFonts w:ascii="Arial" w:hAnsi="Arial" w:cs="Arial"/>
          <w:i/>
          <w:iCs/>
          <w:spacing w:val="-4"/>
          <w:sz w:val="22"/>
          <w:szCs w:val="22"/>
        </w:rPr>
        <w:t>Reagents and conditions: (i) EtOH / NH</w:t>
      </w:r>
      <w:r w:rsidRPr="001A161F">
        <w:rPr>
          <w:rFonts w:ascii="Cambria Math" w:hAnsi="Cambria Math" w:cs="Cambria Math"/>
          <w:i/>
          <w:iCs/>
          <w:spacing w:val="-4"/>
          <w:sz w:val="22"/>
          <w:szCs w:val="22"/>
        </w:rPr>
        <w:t>₄</w:t>
      </w:r>
      <w:r w:rsidRPr="001A161F">
        <w:rPr>
          <w:rFonts w:ascii="Arial" w:hAnsi="Arial" w:cs="Arial"/>
          <w:i/>
          <w:iCs/>
          <w:spacing w:val="-4"/>
          <w:sz w:val="22"/>
          <w:szCs w:val="22"/>
        </w:rPr>
        <w:t>OH; (ii) NaOH, EtOH.</w:t>
      </w:r>
    </w:p>
    <w:p w14:paraId="1B63B82A" w14:textId="77777777" w:rsidR="001A161F" w:rsidRPr="001A161F" w:rsidRDefault="001A161F" w:rsidP="001A161F">
      <w:pPr>
        <w:jc w:val="both"/>
        <w:rPr>
          <w:rFonts w:ascii="Arial" w:hAnsi="Arial" w:cs="Arial"/>
          <w:sz w:val="22"/>
          <w:szCs w:val="22"/>
        </w:rPr>
      </w:pPr>
    </w:p>
    <w:p w14:paraId="792A3B25" w14:textId="77777777" w:rsidR="008414AE" w:rsidRDefault="008414AE" w:rsidP="001A161F">
      <w:pPr>
        <w:jc w:val="both"/>
        <w:rPr>
          <w:rFonts w:ascii="Arial" w:hAnsi="Arial" w:cs="Arial"/>
          <w:b/>
          <w:bCs/>
          <w:sz w:val="22"/>
          <w:szCs w:val="22"/>
        </w:rPr>
        <w:sectPr w:rsidR="008414AE" w:rsidSect="001A161F">
          <w:type w:val="continuous"/>
          <w:pgSz w:w="12240" w:h="15840"/>
          <w:pgMar w:top="1440" w:right="2016" w:bottom="2016" w:left="2016" w:header="720" w:footer="1123" w:gutter="0"/>
          <w:cols w:space="720"/>
          <w:docGrid w:linePitch="272"/>
        </w:sectPr>
      </w:pPr>
    </w:p>
    <w:p w14:paraId="5B9CF1B5" w14:textId="0E1FE894" w:rsidR="001A161F" w:rsidRPr="005830BE" w:rsidRDefault="001A161F" w:rsidP="001A161F">
      <w:pPr>
        <w:jc w:val="both"/>
        <w:rPr>
          <w:rFonts w:ascii="Arial" w:hAnsi="Arial" w:cs="Arial"/>
          <w:b/>
          <w:bCs/>
          <w:sz w:val="22"/>
          <w:szCs w:val="22"/>
        </w:rPr>
      </w:pPr>
      <w:r w:rsidRPr="005830BE">
        <w:rPr>
          <w:rFonts w:ascii="Arial" w:hAnsi="Arial" w:cs="Arial"/>
          <w:b/>
          <w:bCs/>
          <w:sz w:val="22"/>
          <w:szCs w:val="22"/>
        </w:rPr>
        <w:t>2.2.2 General Synthesis of Chalcone-Imidazopyridine Hybrids</w:t>
      </w:r>
    </w:p>
    <w:p w14:paraId="2EF18D6A" w14:textId="77777777" w:rsidR="001A161F" w:rsidRPr="005830BE" w:rsidRDefault="001A161F" w:rsidP="001A161F">
      <w:pPr>
        <w:jc w:val="both"/>
        <w:rPr>
          <w:rFonts w:ascii="Arial" w:hAnsi="Arial" w:cs="Arial"/>
          <w:sz w:val="6"/>
          <w:szCs w:val="6"/>
        </w:rPr>
      </w:pPr>
    </w:p>
    <w:p w14:paraId="03CADB20"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To a solution of the acetylated imidazo[1,2-</w:t>
      </w:r>
      <w:r w:rsidRPr="001A161F">
        <w:rPr>
          <w:rFonts w:ascii="Arial" w:hAnsi="Arial" w:cs="Arial"/>
          <w:i/>
          <w:iCs/>
          <w:sz w:val="22"/>
          <w:szCs w:val="22"/>
        </w:rPr>
        <w:t>a</w:t>
      </w:r>
      <w:r w:rsidRPr="001A161F">
        <w:rPr>
          <w:rFonts w:ascii="Arial" w:hAnsi="Arial" w:cs="Arial"/>
          <w:sz w:val="22"/>
          <w:szCs w:val="22"/>
        </w:rPr>
        <w:t xml:space="preserve">]pyridine derivative (1 mmol) in anhydrous ethanol (15 mL), the appropriate aromatic aldehyde (1.2 mmol) and a solution of potassium hydroxide (2 mmol) in distilled water (3 mL) are successively added. The reaction mixture is kept under magnetic stirring at room temperature for 24 hours. The reaction progress is </w:t>
      </w:r>
      <w:r w:rsidRPr="001A161F">
        <w:rPr>
          <w:rFonts w:ascii="Arial" w:hAnsi="Arial" w:cs="Arial"/>
          <w:sz w:val="22"/>
          <w:szCs w:val="22"/>
        </w:rPr>
        <w:t>monitored by thin-layer chromatography (TLC) using a dichloromethane/methanol eluent mixture (9:1).</w:t>
      </w:r>
    </w:p>
    <w:p w14:paraId="18451645"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After neutralization by the dropwise addition of dilute hydrochloric acid (20%) until the pH is neutral, the resulting precipitate is filtered through sintered glass, washed thoroughly with cold water, and then dried under vacuum. Purification is carried out by recrystallization in hot ethanol [15,16].</w:t>
      </w:r>
    </w:p>
    <w:p w14:paraId="07609080" w14:textId="77777777" w:rsidR="008414AE" w:rsidRDefault="008414AE" w:rsidP="001A161F">
      <w:pPr>
        <w:jc w:val="both"/>
        <w:rPr>
          <w:rFonts w:ascii="Arial" w:hAnsi="Arial" w:cs="Arial"/>
          <w:sz w:val="22"/>
          <w:szCs w:val="22"/>
        </w:rPr>
        <w:sectPr w:rsidR="008414AE" w:rsidSect="008414AE">
          <w:type w:val="continuous"/>
          <w:pgSz w:w="12240" w:h="15840"/>
          <w:pgMar w:top="1440" w:right="2016" w:bottom="2016" w:left="2016" w:header="720" w:footer="1123" w:gutter="0"/>
          <w:cols w:num="2" w:space="720"/>
          <w:docGrid w:linePitch="272"/>
        </w:sectPr>
      </w:pPr>
    </w:p>
    <w:p w14:paraId="2D741F06" w14:textId="642C0249" w:rsidR="001A161F" w:rsidRPr="001A161F" w:rsidRDefault="001A161F" w:rsidP="001A161F">
      <w:pPr>
        <w:jc w:val="both"/>
        <w:rPr>
          <w:rFonts w:ascii="Arial" w:hAnsi="Arial" w:cs="Arial"/>
          <w:sz w:val="22"/>
          <w:szCs w:val="22"/>
        </w:rPr>
      </w:pPr>
    </w:p>
    <w:p w14:paraId="74994D83" w14:textId="77777777" w:rsidR="00CB0E2E" w:rsidRDefault="00CB0E2E" w:rsidP="001A161F">
      <w:pPr>
        <w:jc w:val="both"/>
        <w:rPr>
          <w:rFonts w:ascii="Arial" w:hAnsi="Arial" w:cs="Arial"/>
          <w:b/>
          <w:bCs/>
          <w:sz w:val="22"/>
          <w:szCs w:val="22"/>
        </w:rPr>
        <w:sectPr w:rsidR="00CB0E2E" w:rsidSect="001A161F">
          <w:type w:val="continuous"/>
          <w:pgSz w:w="12240" w:h="15840"/>
          <w:pgMar w:top="1440" w:right="2016" w:bottom="2016" w:left="2016" w:header="720" w:footer="1123" w:gutter="0"/>
          <w:cols w:space="720"/>
          <w:docGrid w:linePitch="272"/>
        </w:sectPr>
      </w:pPr>
    </w:p>
    <w:p w14:paraId="0337D970" w14:textId="3C49C1B7" w:rsidR="005830BE" w:rsidRDefault="001A161F" w:rsidP="001A161F">
      <w:pPr>
        <w:jc w:val="both"/>
        <w:rPr>
          <w:rFonts w:ascii="Arial" w:hAnsi="Arial" w:cs="Arial"/>
          <w:b/>
          <w:bCs/>
          <w:sz w:val="22"/>
          <w:szCs w:val="22"/>
        </w:rPr>
      </w:pPr>
      <w:r w:rsidRPr="005830BE">
        <w:rPr>
          <w:rFonts w:ascii="Arial" w:hAnsi="Arial" w:cs="Arial"/>
          <w:b/>
          <w:bCs/>
          <w:sz w:val="22"/>
          <w:szCs w:val="22"/>
        </w:rPr>
        <w:t>2.3 Biological Evaluation</w:t>
      </w:r>
    </w:p>
    <w:p w14:paraId="1FAB4C66" w14:textId="77777777" w:rsidR="005830BE" w:rsidRPr="005830BE" w:rsidRDefault="005830BE" w:rsidP="001A161F">
      <w:pPr>
        <w:jc w:val="both"/>
        <w:rPr>
          <w:rFonts w:ascii="Arial" w:hAnsi="Arial" w:cs="Arial"/>
          <w:b/>
          <w:bCs/>
          <w:sz w:val="6"/>
          <w:szCs w:val="6"/>
        </w:rPr>
      </w:pPr>
    </w:p>
    <w:p w14:paraId="0176F837" w14:textId="2CEB0553" w:rsidR="001A161F" w:rsidRDefault="001A161F" w:rsidP="001A161F">
      <w:pPr>
        <w:jc w:val="both"/>
        <w:rPr>
          <w:rFonts w:ascii="Arial" w:hAnsi="Arial" w:cs="Arial"/>
          <w:b/>
          <w:bCs/>
          <w:sz w:val="22"/>
          <w:szCs w:val="22"/>
        </w:rPr>
      </w:pPr>
      <w:r w:rsidRPr="005830BE">
        <w:rPr>
          <w:rFonts w:ascii="Arial" w:hAnsi="Arial" w:cs="Arial"/>
          <w:b/>
          <w:bCs/>
          <w:sz w:val="22"/>
          <w:szCs w:val="22"/>
        </w:rPr>
        <w:t>2.3.1. Chemical and Biological Materials</w:t>
      </w:r>
    </w:p>
    <w:p w14:paraId="4F381359" w14:textId="77777777" w:rsidR="005830BE" w:rsidRPr="005830BE" w:rsidRDefault="005830BE" w:rsidP="001A161F">
      <w:pPr>
        <w:jc w:val="both"/>
        <w:rPr>
          <w:rFonts w:ascii="Arial" w:hAnsi="Arial" w:cs="Arial"/>
          <w:b/>
          <w:bCs/>
          <w:sz w:val="6"/>
          <w:szCs w:val="6"/>
        </w:rPr>
      </w:pPr>
    </w:p>
    <w:p w14:paraId="4C1CFB25" w14:textId="1BB22E7A" w:rsidR="001A161F" w:rsidRDefault="001A161F" w:rsidP="001A161F">
      <w:pPr>
        <w:jc w:val="both"/>
        <w:rPr>
          <w:rFonts w:ascii="Arial" w:hAnsi="Arial" w:cs="Arial"/>
          <w:b/>
          <w:bCs/>
          <w:sz w:val="22"/>
          <w:szCs w:val="22"/>
        </w:rPr>
      </w:pPr>
      <w:r w:rsidRPr="005830BE">
        <w:rPr>
          <w:rFonts w:ascii="Arial" w:hAnsi="Arial" w:cs="Arial"/>
          <w:b/>
          <w:bCs/>
          <w:sz w:val="22"/>
          <w:szCs w:val="22"/>
        </w:rPr>
        <w:t>2.3.1.1. Chemical Materials</w:t>
      </w:r>
    </w:p>
    <w:p w14:paraId="1DADADAD" w14:textId="77777777" w:rsidR="005830BE" w:rsidRPr="005830BE" w:rsidRDefault="005830BE" w:rsidP="001A161F">
      <w:pPr>
        <w:jc w:val="both"/>
        <w:rPr>
          <w:rFonts w:ascii="Arial" w:hAnsi="Arial" w:cs="Arial"/>
          <w:b/>
          <w:bCs/>
          <w:sz w:val="6"/>
          <w:szCs w:val="6"/>
        </w:rPr>
      </w:pPr>
    </w:p>
    <w:p w14:paraId="0EDB97E2"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All test compounds, synthesized and characterized as pure powders by the Research Unit of Organic Chemistry and Therapeutic Chemistry, were provided for antifungal evaluation. Itraconazole (Sigma Aldrich) was used as the reference antifungal agent. Solvents included analytical grade methanol, dimethyl sulfoxide (DMSO), and distilled water. DMSO served as the primary solvent for stock solutions of poorly water-soluble compounds.</w:t>
      </w:r>
    </w:p>
    <w:p w14:paraId="195E6516" w14:textId="77777777" w:rsidR="001A161F" w:rsidRPr="001A161F" w:rsidRDefault="001A161F" w:rsidP="001A161F">
      <w:pPr>
        <w:jc w:val="both"/>
        <w:rPr>
          <w:rFonts w:ascii="Arial" w:hAnsi="Arial" w:cs="Arial"/>
          <w:sz w:val="22"/>
          <w:szCs w:val="22"/>
        </w:rPr>
      </w:pPr>
    </w:p>
    <w:p w14:paraId="5558C85E" w14:textId="6D79ED4D" w:rsidR="001A161F" w:rsidRDefault="001A161F" w:rsidP="001A161F">
      <w:pPr>
        <w:jc w:val="both"/>
        <w:rPr>
          <w:rFonts w:ascii="Arial" w:hAnsi="Arial" w:cs="Arial"/>
          <w:b/>
          <w:bCs/>
          <w:sz w:val="22"/>
          <w:szCs w:val="22"/>
        </w:rPr>
      </w:pPr>
      <w:r w:rsidRPr="005830BE">
        <w:rPr>
          <w:rFonts w:ascii="Arial" w:hAnsi="Arial" w:cs="Arial"/>
          <w:b/>
          <w:bCs/>
          <w:sz w:val="22"/>
          <w:szCs w:val="22"/>
        </w:rPr>
        <w:t>2.3.1.2 Fungal Strain and Culture Conditions</w:t>
      </w:r>
    </w:p>
    <w:p w14:paraId="79918F64" w14:textId="77777777" w:rsidR="005830BE" w:rsidRPr="005830BE" w:rsidRDefault="005830BE" w:rsidP="001A161F">
      <w:pPr>
        <w:jc w:val="both"/>
        <w:rPr>
          <w:rFonts w:ascii="Arial" w:hAnsi="Arial" w:cs="Arial"/>
          <w:b/>
          <w:bCs/>
          <w:sz w:val="6"/>
          <w:szCs w:val="6"/>
        </w:rPr>
      </w:pPr>
    </w:p>
    <w:p w14:paraId="4A0BB403"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 xml:space="preserve">Clinical isolates of </w:t>
      </w:r>
      <w:r w:rsidRPr="001A161F">
        <w:rPr>
          <w:rFonts w:ascii="Arial" w:hAnsi="Arial" w:cs="Arial"/>
          <w:i/>
          <w:iCs/>
          <w:sz w:val="22"/>
          <w:szCs w:val="22"/>
        </w:rPr>
        <w:t xml:space="preserve">Aspergillus fumigatus </w:t>
      </w:r>
      <w:r w:rsidRPr="001A161F">
        <w:rPr>
          <w:rFonts w:ascii="Arial" w:hAnsi="Arial" w:cs="Arial"/>
          <w:sz w:val="22"/>
          <w:szCs w:val="22"/>
        </w:rPr>
        <w:t>487957, characterized by the Parasitology-Mycology Unit (CHU d’Angré), were used. Culture media included Sabouraud-chloramphenicol agar for strain maintenance and Tryptone Soya Broth (TSB, Oxoid) for susceptibility testing. Methylthiazolyltetrazolium (MTT) was used for viability assessment.</w:t>
      </w:r>
    </w:p>
    <w:p w14:paraId="3E05A637" w14:textId="732FAEA4" w:rsidR="001A161F" w:rsidRPr="001A161F" w:rsidRDefault="001A161F" w:rsidP="001A161F">
      <w:pPr>
        <w:jc w:val="both"/>
        <w:rPr>
          <w:rFonts w:ascii="Arial" w:hAnsi="Arial" w:cs="Arial"/>
          <w:sz w:val="22"/>
          <w:szCs w:val="22"/>
        </w:rPr>
      </w:pPr>
      <w:r w:rsidRPr="001A161F">
        <w:rPr>
          <w:rFonts w:ascii="Arial" w:hAnsi="Arial" w:cs="Arial"/>
          <w:sz w:val="22"/>
          <w:szCs w:val="22"/>
        </w:rPr>
        <w:t xml:space="preserve">The antifungal susceptibility profile of the clinical </w:t>
      </w:r>
      <w:r w:rsidRPr="001A161F">
        <w:rPr>
          <w:rFonts w:ascii="Arial" w:hAnsi="Arial" w:cs="Arial"/>
          <w:i/>
          <w:iCs/>
          <w:sz w:val="22"/>
          <w:szCs w:val="22"/>
        </w:rPr>
        <w:t>A. fumigatus</w:t>
      </w:r>
      <w:r w:rsidRPr="001A161F">
        <w:rPr>
          <w:rFonts w:ascii="Arial" w:hAnsi="Arial" w:cs="Arial"/>
          <w:sz w:val="22"/>
          <w:szCs w:val="22"/>
        </w:rPr>
        <w:t xml:space="preserve"> </w:t>
      </w:r>
      <w:r w:rsidR="00B64BA1" w:rsidRPr="00B64BA1">
        <w:rPr>
          <w:rFonts w:ascii="Arial" w:hAnsi="Arial" w:cs="Arial"/>
          <w:color w:val="EE0000"/>
          <w:sz w:val="22"/>
          <w:szCs w:val="22"/>
        </w:rPr>
        <w:t>487957</w:t>
      </w:r>
      <w:r w:rsidR="00B64BA1">
        <w:rPr>
          <w:rFonts w:ascii="Arial" w:hAnsi="Arial" w:cs="Arial"/>
          <w:sz w:val="22"/>
          <w:szCs w:val="22"/>
        </w:rPr>
        <w:t xml:space="preserve"> </w:t>
      </w:r>
      <w:r w:rsidR="00B64BA1" w:rsidRPr="001A161F">
        <w:rPr>
          <w:rFonts w:ascii="Arial" w:hAnsi="Arial" w:cs="Arial"/>
          <w:sz w:val="22"/>
          <w:szCs w:val="22"/>
        </w:rPr>
        <w:t xml:space="preserve">isolate </w:t>
      </w:r>
      <w:r w:rsidRPr="001A161F">
        <w:rPr>
          <w:rFonts w:ascii="Arial" w:hAnsi="Arial" w:cs="Arial"/>
          <w:sz w:val="22"/>
          <w:szCs w:val="22"/>
        </w:rPr>
        <w:t xml:space="preserve">was initially confirmed using a disk </w:t>
      </w:r>
      <w:r w:rsidRPr="001A161F">
        <w:rPr>
          <w:rFonts w:ascii="Arial" w:hAnsi="Arial" w:cs="Arial"/>
          <w:sz w:val="22"/>
          <w:szCs w:val="22"/>
        </w:rPr>
        <w:lastRenderedPageBreak/>
        <w:t>diffusion assay on Casitone agar, following standard protocols. This ensured the strain's responsiveness to conventional agents [17].</w:t>
      </w:r>
    </w:p>
    <w:p w14:paraId="79C65EA0"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Inoculum Preparation: The strain was cultured on Sabouraud-chloramphenicol agar at 37°C for 48h. Spores were suspended in sterile water and adjusted to a 0.5 McFarland standard turbidity (~0.4-5 x 10⁶ spores/mL).</w:t>
      </w:r>
    </w:p>
    <w:p w14:paraId="4A290760"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Procedure: The adjusted inoculum was spread evenly on Casitone agar plates. Commercial antifungal disks (fluconazole, nystatin, 5-fluorocytosine, amphotericin B, econazole) were applied. Plates were incubated at 30°C for 24h, after which inhibition zone diameters were measured.</w:t>
      </w:r>
    </w:p>
    <w:p w14:paraId="230CD368" w14:textId="77777777" w:rsidR="001A161F" w:rsidRPr="001A161F" w:rsidRDefault="001A161F" w:rsidP="001A161F">
      <w:pPr>
        <w:jc w:val="both"/>
        <w:rPr>
          <w:rFonts w:ascii="Arial" w:hAnsi="Arial" w:cs="Arial"/>
          <w:sz w:val="22"/>
          <w:szCs w:val="22"/>
        </w:rPr>
      </w:pPr>
    </w:p>
    <w:p w14:paraId="3E16F4FA" w14:textId="77777777" w:rsidR="001A161F" w:rsidRPr="001039D3" w:rsidRDefault="001A161F" w:rsidP="001A161F">
      <w:pPr>
        <w:jc w:val="both"/>
        <w:rPr>
          <w:rFonts w:ascii="Arial" w:hAnsi="Arial" w:cs="Arial"/>
          <w:b/>
          <w:bCs/>
          <w:sz w:val="22"/>
          <w:szCs w:val="22"/>
        </w:rPr>
      </w:pPr>
      <w:r w:rsidRPr="001039D3">
        <w:rPr>
          <w:rFonts w:ascii="Arial" w:hAnsi="Arial" w:cs="Arial"/>
          <w:b/>
          <w:bCs/>
          <w:sz w:val="22"/>
          <w:szCs w:val="22"/>
        </w:rPr>
        <w:t>2.3.2 Determination of Minimum Inhibitory Concentrations (MICs)</w:t>
      </w:r>
    </w:p>
    <w:p w14:paraId="1BDD7C79" w14:textId="77777777" w:rsidR="001039D3" w:rsidRPr="001039D3" w:rsidRDefault="001039D3" w:rsidP="001A161F">
      <w:pPr>
        <w:jc w:val="both"/>
        <w:rPr>
          <w:rFonts w:ascii="Arial" w:hAnsi="Arial" w:cs="Arial"/>
          <w:sz w:val="6"/>
          <w:szCs w:val="6"/>
        </w:rPr>
      </w:pPr>
    </w:p>
    <w:p w14:paraId="11C0FD81" w14:textId="6BA108DA" w:rsidR="001A161F" w:rsidRPr="001A161F" w:rsidRDefault="001A161F" w:rsidP="001A161F">
      <w:pPr>
        <w:jc w:val="both"/>
        <w:rPr>
          <w:rFonts w:ascii="Arial" w:hAnsi="Arial" w:cs="Arial"/>
          <w:sz w:val="22"/>
          <w:szCs w:val="22"/>
        </w:rPr>
      </w:pPr>
      <w:r w:rsidRPr="001A161F">
        <w:rPr>
          <w:rFonts w:ascii="Arial" w:hAnsi="Arial" w:cs="Arial"/>
          <w:sz w:val="22"/>
          <w:szCs w:val="22"/>
        </w:rPr>
        <w:t>The minimum inhibitory concentration (MIC) of test compounds and itraconazole was determined using a broth microdilution method in 96-well plates, adapted from standard guidelines [17].</w:t>
      </w:r>
    </w:p>
    <w:p w14:paraId="33C9F9CF"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Compound Dilution Range: Twofold serial dilutions were prepared from 100 µg/mL stock solutions (in DMSO) using TSB as diluent.</w:t>
      </w:r>
    </w:p>
    <w:p w14:paraId="668139A9"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 xml:space="preserve">Fungal Inoculum Preparation: Spores from a 7-day-old </w:t>
      </w:r>
      <w:r w:rsidRPr="001A161F">
        <w:rPr>
          <w:rFonts w:ascii="Arial" w:hAnsi="Arial" w:cs="Arial"/>
          <w:i/>
          <w:iCs/>
          <w:sz w:val="22"/>
          <w:szCs w:val="22"/>
        </w:rPr>
        <w:t>A. fumigatus</w:t>
      </w:r>
      <w:r w:rsidRPr="001A161F">
        <w:rPr>
          <w:rFonts w:ascii="Arial" w:hAnsi="Arial" w:cs="Arial"/>
          <w:sz w:val="22"/>
          <w:szCs w:val="22"/>
        </w:rPr>
        <w:t xml:space="preserve"> culture on Sabouraud-chloramphenicol agar were harvested into TSB. The suspension was vortexed, spore density quantified with a Malassez chamber, and adjusted to 0.5 McFarland standard. A final 1:50 dilution in TSB yielded a working inoculum of ~0.08-1 x 10⁵ CFU/mL.</w:t>
      </w:r>
    </w:p>
    <w:p w14:paraId="068E02D5"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 xml:space="preserve">Microplate Preparation: In a sterile 96-well plate, 100 µL of each test compound or itraconazole (initial concentration 10 µg/mL) was added to the first row (A1-A10). Then, 50 µL of </w:t>
      </w:r>
      <w:r w:rsidRPr="001A161F">
        <w:rPr>
          <w:rFonts w:ascii="Arial" w:hAnsi="Arial" w:cs="Arial"/>
          <w:sz w:val="22"/>
          <w:szCs w:val="22"/>
        </w:rPr>
        <w:t xml:space="preserve">TSB was added to wells in rows B-H. A twofold serial dilution was performed by transferring 50 µL from row A to row B, mixing, and repeating down to row H, leaving 50 µL in each well after dilution. Finally, 50 µL of the standardized fungal inoculum was added to all test and growth control wells. </w:t>
      </w:r>
    </w:p>
    <w:p w14:paraId="110F5137"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Evaluation Protocol: In each well, 100 µL of medium containing the test compound and 100 µL of conidin suspension (10⁴ CFU/mL) were added. Itraconazole was used as the reference antifungal. The microplates were incubated at 37°C for 48 hours. The MIC was defined as the lowest concentration that completely inhibited visible fungal growth.</w:t>
      </w:r>
    </w:p>
    <w:p w14:paraId="13AB686D"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Wells included:</w:t>
      </w:r>
    </w:p>
    <w:p w14:paraId="31D1CEFA" w14:textId="77777777" w:rsidR="001A161F" w:rsidRPr="001A161F" w:rsidRDefault="001A161F" w:rsidP="001A161F">
      <w:pPr>
        <w:pStyle w:val="ListParagraph"/>
        <w:numPr>
          <w:ilvl w:val="0"/>
          <w:numId w:val="31"/>
        </w:numPr>
        <w:spacing w:after="0"/>
        <w:jc w:val="both"/>
        <w:rPr>
          <w:rFonts w:ascii="Arial" w:hAnsi="Arial" w:cs="Arial"/>
          <w:sz w:val="22"/>
          <w:szCs w:val="22"/>
          <w:lang w:val="en-US"/>
        </w:rPr>
      </w:pPr>
      <w:r w:rsidRPr="001A161F">
        <w:rPr>
          <w:rFonts w:ascii="Arial" w:hAnsi="Arial" w:cs="Arial"/>
          <w:sz w:val="22"/>
          <w:szCs w:val="22"/>
          <w:lang w:val="en-US"/>
        </w:rPr>
        <w:t>Test wells: Inoculum + compound (serial concentrations).</w:t>
      </w:r>
    </w:p>
    <w:p w14:paraId="58FE1B32" w14:textId="77777777" w:rsidR="001A161F" w:rsidRPr="001A161F" w:rsidRDefault="001A161F" w:rsidP="001A161F">
      <w:pPr>
        <w:pStyle w:val="ListParagraph"/>
        <w:numPr>
          <w:ilvl w:val="0"/>
          <w:numId w:val="31"/>
        </w:numPr>
        <w:spacing w:after="0"/>
        <w:jc w:val="both"/>
        <w:rPr>
          <w:rFonts w:ascii="Arial" w:hAnsi="Arial" w:cs="Arial"/>
          <w:sz w:val="22"/>
          <w:szCs w:val="22"/>
          <w:lang w:val="en-US"/>
        </w:rPr>
      </w:pPr>
      <w:r w:rsidRPr="001A161F">
        <w:rPr>
          <w:rFonts w:ascii="Arial" w:hAnsi="Arial" w:cs="Arial"/>
          <w:sz w:val="22"/>
          <w:szCs w:val="22"/>
          <w:lang w:val="en-US"/>
        </w:rPr>
        <w:t>Growth control: Inoculum + TSB (no compound).</w:t>
      </w:r>
    </w:p>
    <w:p w14:paraId="276626DB" w14:textId="77777777" w:rsidR="001A161F" w:rsidRPr="001A161F" w:rsidRDefault="001A161F" w:rsidP="001A161F">
      <w:pPr>
        <w:pStyle w:val="ListParagraph"/>
        <w:numPr>
          <w:ilvl w:val="0"/>
          <w:numId w:val="31"/>
        </w:numPr>
        <w:spacing w:after="0"/>
        <w:jc w:val="both"/>
        <w:rPr>
          <w:rFonts w:ascii="Arial" w:hAnsi="Arial" w:cs="Arial"/>
          <w:sz w:val="22"/>
          <w:szCs w:val="22"/>
          <w:lang w:val="en-US"/>
        </w:rPr>
      </w:pPr>
      <w:r w:rsidRPr="001A161F">
        <w:rPr>
          <w:rFonts w:ascii="Arial" w:hAnsi="Arial" w:cs="Arial"/>
          <w:sz w:val="22"/>
          <w:szCs w:val="22"/>
          <w:lang w:val="en-US"/>
        </w:rPr>
        <w:t>Sterility control: TSB only (no inoculum, no compound).</w:t>
      </w:r>
    </w:p>
    <w:p w14:paraId="14ED634C" w14:textId="77777777" w:rsidR="001A161F" w:rsidRPr="001A161F" w:rsidRDefault="001A161F" w:rsidP="001A161F">
      <w:pPr>
        <w:pStyle w:val="ListParagraph"/>
        <w:numPr>
          <w:ilvl w:val="0"/>
          <w:numId w:val="31"/>
        </w:numPr>
        <w:spacing w:after="0"/>
        <w:jc w:val="both"/>
        <w:rPr>
          <w:rFonts w:ascii="Arial" w:hAnsi="Arial" w:cs="Arial"/>
          <w:sz w:val="22"/>
          <w:szCs w:val="22"/>
          <w:lang w:val="en-US"/>
        </w:rPr>
      </w:pPr>
      <w:r w:rsidRPr="001A161F">
        <w:rPr>
          <w:rFonts w:ascii="Arial" w:hAnsi="Arial" w:cs="Arial"/>
          <w:sz w:val="22"/>
          <w:szCs w:val="22"/>
          <w:lang w:val="en-US"/>
        </w:rPr>
        <w:t>Plates were incubated at 37°C for 48 hours.</w:t>
      </w:r>
    </w:p>
    <w:p w14:paraId="720715E0"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After incubation, fungal viability was assessed using MTT.</w:t>
      </w:r>
    </w:p>
    <w:p w14:paraId="14DF2638"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Procedure: 40 µL of aqueous MTT solution was added to each well. Plates were incubated at room temperature for 30 minutes.</w:t>
      </w:r>
    </w:p>
    <w:p w14:paraId="4FC9DEED"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Visual Reading: Metabolic reduction of MTT by viable fungi produces a purple formazan precipitate. Wells were examined for color and turbidity:</w:t>
      </w:r>
    </w:p>
    <w:p w14:paraId="0E7A06DD"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Purple/turbid wells: Indicated fungal growth.</w:t>
      </w:r>
    </w:p>
    <w:p w14:paraId="7A65FAD0"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Clear/yellow wells: Indicated growth inhibition.</w:t>
      </w:r>
    </w:p>
    <w:p w14:paraId="3553F60C"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 xml:space="preserve">The MIC was defined as the lowest compound concentration that produced a well visually comparable to the sterility control (clear, no purple </w:t>
      </w:r>
      <w:r w:rsidRPr="001A161F">
        <w:rPr>
          <w:rFonts w:ascii="Arial" w:hAnsi="Arial" w:cs="Arial"/>
          <w:sz w:val="22"/>
          <w:szCs w:val="22"/>
        </w:rPr>
        <w:lastRenderedPageBreak/>
        <w:t>color), indicating complete inhibition of metabolic activity.</w:t>
      </w:r>
    </w:p>
    <w:p w14:paraId="71130731" w14:textId="77777777" w:rsidR="001A161F" w:rsidRPr="001A161F" w:rsidRDefault="001A161F" w:rsidP="001A161F">
      <w:pPr>
        <w:jc w:val="both"/>
        <w:rPr>
          <w:rFonts w:ascii="Arial" w:hAnsi="Arial" w:cs="Arial"/>
          <w:sz w:val="22"/>
          <w:szCs w:val="22"/>
        </w:rPr>
      </w:pPr>
    </w:p>
    <w:p w14:paraId="0207E508" w14:textId="2720FA7B" w:rsidR="001A161F" w:rsidRDefault="001A161F" w:rsidP="001A161F">
      <w:pPr>
        <w:jc w:val="both"/>
        <w:rPr>
          <w:rFonts w:ascii="Arial" w:hAnsi="Arial" w:cs="Arial"/>
          <w:b/>
          <w:bCs/>
          <w:sz w:val="22"/>
          <w:szCs w:val="22"/>
        </w:rPr>
      </w:pPr>
      <w:r w:rsidRPr="001039D3">
        <w:rPr>
          <w:rFonts w:ascii="Arial" w:hAnsi="Arial" w:cs="Arial"/>
          <w:b/>
          <w:bCs/>
          <w:sz w:val="22"/>
          <w:szCs w:val="22"/>
        </w:rPr>
        <w:t>2.3.3 Quality Controls</w:t>
      </w:r>
    </w:p>
    <w:p w14:paraId="3735F6B5" w14:textId="77777777" w:rsidR="001039D3" w:rsidRPr="001039D3" w:rsidRDefault="001039D3" w:rsidP="001A161F">
      <w:pPr>
        <w:jc w:val="both"/>
        <w:rPr>
          <w:rFonts w:ascii="Arial" w:hAnsi="Arial" w:cs="Arial"/>
          <w:b/>
          <w:bCs/>
          <w:sz w:val="6"/>
          <w:szCs w:val="6"/>
        </w:rPr>
      </w:pPr>
    </w:p>
    <w:p w14:paraId="03EA0BB2" w14:textId="23795E6F" w:rsidR="001A161F" w:rsidRPr="001A161F" w:rsidRDefault="001A161F" w:rsidP="001A161F">
      <w:pPr>
        <w:jc w:val="both"/>
        <w:rPr>
          <w:rFonts w:ascii="Arial" w:hAnsi="Arial" w:cs="Arial"/>
          <w:sz w:val="22"/>
          <w:szCs w:val="22"/>
        </w:rPr>
      </w:pPr>
      <w:r w:rsidRPr="001A161F">
        <w:rPr>
          <w:rFonts w:ascii="Arial" w:hAnsi="Arial" w:cs="Arial"/>
          <w:sz w:val="22"/>
          <w:szCs w:val="22"/>
        </w:rPr>
        <w:t>Growth controls (medium + inoculum without antifungal), sterility controls (medium alone), and solvent controls (DMSO at the maximum tested concentration) were included in each series of experiments. Each test was performed in triplicate independently.</w:t>
      </w:r>
    </w:p>
    <w:p w14:paraId="44CF7073" w14:textId="77777777" w:rsidR="001A161F" w:rsidRPr="001A161F" w:rsidRDefault="001A161F" w:rsidP="001A161F">
      <w:pPr>
        <w:jc w:val="both"/>
        <w:rPr>
          <w:rFonts w:ascii="Arial" w:hAnsi="Arial" w:cs="Arial"/>
          <w:sz w:val="22"/>
          <w:szCs w:val="22"/>
        </w:rPr>
      </w:pPr>
    </w:p>
    <w:p w14:paraId="6519D2DE" w14:textId="5CF97E04" w:rsidR="001A161F" w:rsidRDefault="001A161F" w:rsidP="001A161F">
      <w:pPr>
        <w:jc w:val="both"/>
        <w:rPr>
          <w:rFonts w:ascii="Arial" w:hAnsi="Arial" w:cs="Arial"/>
          <w:b/>
          <w:bCs/>
          <w:sz w:val="22"/>
          <w:szCs w:val="22"/>
        </w:rPr>
      </w:pPr>
      <w:r w:rsidRPr="001039D3">
        <w:rPr>
          <w:rFonts w:ascii="Arial" w:hAnsi="Arial" w:cs="Arial"/>
          <w:b/>
          <w:bCs/>
          <w:sz w:val="22"/>
          <w:szCs w:val="22"/>
        </w:rPr>
        <w:t xml:space="preserve">3. </w:t>
      </w:r>
      <w:r w:rsidR="008414AE" w:rsidRPr="001039D3">
        <w:rPr>
          <w:rFonts w:ascii="Arial" w:hAnsi="Arial" w:cs="Arial"/>
          <w:b/>
          <w:bCs/>
          <w:sz w:val="22"/>
          <w:szCs w:val="22"/>
        </w:rPr>
        <w:t>RESULTS AND DISCUSSION</w:t>
      </w:r>
    </w:p>
    <w:p w14:paraId="0C69CD0C" w14:textId="77777777" w:rsidR="001039D3" w:rsidRPr="001039D3" w:rsidRDefault="001039D3" w:rsidP="001A161F">
      <w:pPr>
        <w:jc w:val="both"/>
        <w:rPr>
          <w:rFonts w:ascii="Arial" w:hAnsi="Arial" w:cs="Arial"/>
          <w:b/>
          <w:bCs/>
          <w:sz w:val="6"/>
          <w:szCs w:val="6"/>
        </w:rPr>
      </w:pPr>
    </w:p>
    <w:p w14:paraId="2ABB7D2B" w14:textId="0FF8DF7B" w:rsidR="001A161F" w:rsidRDefault="001A161F" w:rsidP="001A161F">
      <w:pPr>
        <w:jc w:val="both"/>
        <w:rPr>
          <w:rFonts w:ascii="Arial" w:hAnsi="Arial" w:cs="Arial"/>
          <w:b/>
          <w:bCs/>
          <w:sz w:val="22"/>
          <w:szCs w:val="22"/>
        </w:rPr>
      </w:pPr>
      <w:r w:rsidRPr="001039D3">
        <w:rPr>
          <w:rFonts w:ascii="Arial" w:hAnsi="Arial" w:cs="Arial"/>
          <w:b/>
          <w:bCs/>
          <w:sz w:val="22"/>
          <w:szCs w:val="22"/>
        </w:rPr>
        <w:t>3.1 Chemical Synthesis and Yields</w:t>
      </w:r>
    </w:p>
    <w:p w14:paraId="59A22F6C" w14:textId="77777777" w:rsidR="001039D3" w:rsidRPr="001039D3" w:rsidRDefault="001039D3" w:rsidP="001A161F">
      <w:pPr>
        <w:jc w:val="both"/>
        <w:rPr>
          <w:rFonts w:ascii="Arial" w:hAnsi="Arial" w:cs="Arial"/>
          <w:b/>
          <w:bCs/>
          <w:sz w:val="6"/>
          <w:szCs w:val="6"/>
        </w:rPr>
      </w:pPr>
    </w:p>
    <w:p w14:paraId="75BDB163"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A series of ten chalcone-imidazo[1,2-</w:t>
      </w:r>
      <w:r w:rsidRPr="001A161F">
        <w:rPr>
          <w:rFonts w:ascii="Arial" w:hAnsi="Arial" w:cs="Arial"/>
          <w:i/>
          <w:iCs/>
          <w:sz w:val="22"/>
          <w:szCs w:val="22"/>
        </w:rPr>
        <w:t>a</w:t>
      </w:r>
      <w:r w:rsidRPr="001A161F">
        <w:rPr>
          <w:rFonts w:ascii="Arial" w:hAnsi="Arial" w:cs="Arial"/>
          <w:sz w:val="22"/>
          <w:szCs w:val="22"/>
        </w:rPr>
        <w:t xml:space="preserve">]pyridine hybrid derivatives was successfully synthesized by Claisen-Schmidt condensation under mild </w:t>
      </w:r>
      <w:r w:rsidRPr="001A161F">
        <w:rPr>
          <w:rFonts w:ascii="Arial" w:hAnsi="Arial" w:cs="Arial"/>
          <w:sz w:val="22"/>
          <w:szCs w:val="22"/>
        </w:rPr>
        <w:t>basic conditions (</w:t>
      </w:r>
      <w:r w:rsidRPr="001A161F">
        <w:rPr>
          <w:rFonts w:ascii="Arial" w:hAnsi="Arial" w:cs="Arial"/>
          <w:spacing w:val="-4"/>
          <w:sz w:val="22"/>
          <w:szCs w:val="22"/>
        </w:rPr>
        <w:t>Figure 1</w:t>
      </w:r>
      <w:r w:rsidRPr="001A161F">
        <w:rPr>
          <w:rFonts w:ascii="Arial" w:hAnsi="Arial" w:cs="Arial"/>
          <w:sz w:val="22"/>
          <w:szCs w:val="22"/>
        </w:rPr>
        <w:t>). This method offers the advantage of operational simplicity and compatibility with various aromatic substituents. The yields obtained (45 - 83%) are satisfactory and consistent with those reported in the literature for this type of condensation [16]. The observed yield variations can be attributed to the electronic influence of the aromatic substituents on the reactivity of the corresponding aldehydes. Electron-withdrawing groups (nitro) tend to activate the aldehyde, while electron-donating groups (methoxy, hydroxyl) exert a moderate deactivating effect.</w:t>
      </w:r>
    </w:p>
    <w:p w14:paraId="094B09D8"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Ten compounds were obtained with varying yields (45 – 83%) (Table 1).</w:t>
      </w:r>
    </w:p>
    <w:p w14:paraId="7ABAB425" w14:textId="77777777" w:rsidR="00CB0E2E" w:rsidRDefault="00CB0E2E" w:rsidP="001A161F">
      <w:pPr>
        <w:jc w:val="both"/>
        <w:rPr>
          <w:rFonts w:ascii="Arial" w:hAnsi="Arial" w:cs="Arial"/>
          <w:sz w:val="22"/>
          <w:szCs w:val="22"/>
        </w:rPr>
        <w:sectPr w:rsidR="00CB0E2E" w:rsidSect="00CB0E2E">
          <w:type w:val="continuous"/>
          <w:pgSz w:w="12240" w:h="15840"/>
          <w:pgMar w:top="1440" w:right="2016" w:bottom="2016" w:left="2016" w:header="720" w:footer="1123" w:gutter="0"/>
          <w:cols w:num="2" w:space="720"/>
          <w:docGrid w:linePitch="272"/>
        </w:sectPr>
      </w:pPr>
    </w:p>
    <w:p w14:paraId="1EC56615" w14:textId="383F9818" w:rsidR="001A161F" w:rsidRPr="001A161F" w:rsidRDefault="001A161F" w:rsidP="001A161F">
      <w:pPr>
        <w:jc w:val="both"/>
        <w:rPr>
          <w:rFonts w:ascii="Arial" w:hAnsi="Arial" w:cs="Arial"/>
          <w:sz w:val="22"/>
          <w:szCs w:val="22"/>
        </w:rPr>
      </w:pPr>
    </w:p>
    <w:p w14:paraId="15E9F977" w14:textId="77777777" w:rsidR="001A161F" w:rsidRPr="001A161F" w:rsidRDefault="001A161F" w:rsidP="001A161F">
      <w:pPr>
        <w:jc w:val="both"/>
        <w:rPr>
          <w:rFonts w:ascii="Arial" w:hAnsi="Arial" w:cs="Arial"/>
          <w:sz w:val="22"/>
          <w:szCs w:val="22"/>
        </w:rPr>
      </w:pPr>
      <w:r w:rsidRPr="001039D3">
        <w:rPr>
          <w:rFonts w:ascii="Arial" w:hAnsi="Arial" w:cs="Arial"/>
          <w:b/>
          <w:bCs/>
          <w:sz w:val="22"/>
          <w:szCs w:val="22"/>
        </w:rPr>
        <w:t>Table 1</w:t>
      </w:r>
      <w:r w:rsidRPr="001A161F">
        <w:rPr>
          <w:rFonts w:ascii="Arial" w:hAnsi="Arial" w:cs="Arial"/>
          <w:sz w:val="22"/>
          <w:szCs w:val="22"/>
        </w:rPr>
        <w:t>: Structures and yields of synthesized Compounds</w:t>
      </w:r>
    </w:p>
    <w:p w14:paraId="4C1408CC" w14:textId="77777777" w:rsidR="001A161F" w:rsidRPr="001A161F" w:rsidRDefault="001A161F" w:rsidP="001A161F">
      <w:pPr>
        <w:jc w:val="both"/>
        <w:rPr>
          <w:rFonts w:ascii="Arial" w:hAnsi="Arial" w:cs="Arial"/>
          <w:sz w:val="22"/>
          <w:szCs w:val="22"/>
        </w:rPr>
      </w:pPr>
    </w:p>
    <w:tbl>
      <w:tblPr>
        <w:tblStyle w:val="TableGrid"/>
        <w:tblW w:w="5103"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1275"/>
        <w:gridCol w:w="1134"/>
      </w:tblGrid>
      <w:tr w:rsidR="001A161F" w:rsidRPr="001A161F" w14:paraId="25D6C515" w14:textId="77777777" w:rsidTr="00115495">
        <w:trPr>
          <w:trHeight w:val="332"/>
          <w:jc w:val="center"/>
        </w:trPr>
        <w:tc>
          <w:tcPr>
            <w:tcW w:w="3969" w:type="dxa"/>
            <w:gridSpan w:val="2"/>
            <w:tcBorders>
              <w:top w:val="single" w:sz="4" w:space="0" w:color="auto"/>
              <w:bottom w:val="single" w:sz="4" w:space="0" w:color="auto"/>
            </w:tcBorders>
          </w:tcPr>
          <w:p w14:paraId="37A24749" w14:textId="77777777" w:rsidR="001A161F" w:rsidRPr="001A161F" w:rsidRDefault="001A161F" w:rsidP="00B64BA1">
            <w:pPr>
              <w:jc w:val="center"/>
              <w:rPr>
                <w:rFonts w:ascii="Arial" w:hAnsi="Arial" w:cs="Arial"/>
                <w:highlight w:val="green"/>
              </w:rPr>
            </w:pPr>
            <w:r w:rsidRPr="001A161F">
              <w:rPr>
                <w:rFonts w:ascii="Arial" w:hAnsi="Arial" w:cs="Arial"/>
              </w:rPr>
              <w:t>Compounds</w:t>
            </w:r>
          </w:p>
        </w:tc>
        <w:tc>
          <w:tcPr>
            <w:tcW w:w="1134" w:type="dxa"/>
            <w:vMerge w:val="restart"/>
            <w:tcBorders>
              <w:top w:val="single" w:sz="4" w:space="0" w:color="auto"/>
              <w:bottom w:val="single" w:sz="4" w:space="0" w:color="auto"/>
            </w:tcBorders>
          </w:tcPr>
          <w:p w14:paraId="679598CE" w14:textId="77777777" w:rsidR="001A161F" w:rsidRPr="001A161F" w:rsidRDefault="001A161F" w:rsidP="00115495">
            <w:pPr>
              <w:jc w:val="both"/>
              <w:rPr>
                <w:rFonts w:ascii="Arial" w:hAnsi="Arial" w:cs="Arial"/>
              </w:rPr>
            </w:pPr>
          </w:p>
          <w:p w14:paraId="7113F624" w14:textId="77777777" w:rsidR="001A161F" w:rsidRPr="001A161F" w:rsidRDefault="001A161F" w:rsidP="00115495">
            <w:pPr>
              <w:jc w:val="both"/>
              <w:rPr>
                <w:rFonts w:ascii="Arial" w:eastAsia="Times New Roman" w:hAnsi="Arial" w:cs="Arial"/>
                <w:color w:val="404040"/>
                <w:highlight w:val="green"/>
                <w:lang w:eastAsia="fr-FR"/>
              </w:rPr>
            </w:pPr>
            <w:r w:rsidRPr="001A161F">
              <w:rPr>
                <w:rFonts w:ascii="Arial" w:hAnsi="Arial" w:cs="Arial"/>
              </w:rPr>
              <w:t>Yield (%)</w:t>
            </w:r>
          </w:p>
        </w:tc>
      </w:tr>
      <w:tr w:rsidR="001A161F" w:rsidRPr="001A161F" w14:paraId="5C9C3589" w14:textId="77777777" w:rsidTr="00B64BA1">
        <w:trPr>
          <w:jc w:val="center"/>
        </w:trPr>
        <w:tc>
          <w:tcPr>
            <w:tcW w:w="2694" w:type="dxa"/>
            <w:tcBorders>
              <w:top w:val="single" w:sz="4" w:space="0" w:color="auto"/>
              <w:bottom w:val="single" w:sz="4" w:space="0" w:color="auto"/>
            </w:tcBorders>
          </w:tcPr>
          <w:p w14:paraId="3B536FCD" w14:textId="77777777" w:rsidR="001A161F" w:rsidRPr="001A161F" w:rsidRDefault="001A161F" w:rsidP="00115495">
            <w:pPr>
              <w:jc w:val="both"/>
              <w:rPr>
                <w:rFonts w:ascii="Arial" w:hAnsi="Arial" w:cs="Arial"/>
              </w:rPr>
            </w:pPr>
            <w:r w:rsidRPr="001A161F">
              <w:rPr>
                <w:rFonts w:ascii="Arial" w:hAnsi="Arial" w:cs="Arial"/>
              </w:rPr>
              <w:t>Structure</w:t>
            </w:r>
          </w:p>
        </w:tc>
        <w:tc>
          <w:tcPr>
            <w:tcW w:w="1275" w:type="dxa"/>
            <w:tcBorders>
              <w:top w:val="single" w:sz="4" w:space="0" w:color="auto"/>
              <w:bottom w:val="single" w:sz="4" w:space="0" w:color="auto"/>
            </w:tcBorders>
          </w:tcPr>
          <w:p w14:paraId="0AF4D5A8" w14:textId="77777777" w:rsidR="001A161F" w:rsidRPr="001A161F" w:rsidRDefault="001A161F" w:rsidP="00115495">
            <w:pPr>
              <w:jc w:val="both"/>
              <w:rPr>
                <w:rFonts w:ascii="Arial" w:hAnsi="Arial" w:cs="Arial"/>
              </w:rPr>
            </w:pPr>
            <w:r w:rsidRPr="001A161F">
              <w:rPr>
                <w:rFonts w:ascii="Arial" w:hAnsi="Arial" w:cs="Arial"/>
              </w:rPr>
              <w:t>R</w:t>
            </w:r>
          </w:p>
        </w:tc>
        <w:tc>
          <w:tcPr>
            <w:tcW w:w="1134" w:type="dxa"/>
            <w:vMerge/>
            <w:tcBorders>
              <w:top w:val="single" w:sz="4" w:space="0" w:color="auto"/>
              <w:bottom w:val="single" w:sz="4" w:space="0" w:color="auto"/>
            </w:tcBorders>
          </w:tcPr>
          <w:p w14:paraId="6DB53AC3" w14:textId="77777777" w:rsidR="001A161F" w:rsidRPr="001A161F" w:rsidRDefault="001A161F" w:rsidP="00115495">
            <w:pPr>
              <w:jc w:val="both"/>
              <w:rPr>
                <w:rFonts w:ascii="Arial" w:hAnsi="Arial" w:cs="Arial"/>
              </w:rPr>
            </w:pPr>
          </w:p>
        </w:tc>
      </w:tr>
      <w:tr w:rsidR="001A161F" w:rsidRPr="001A161F" w14:paraId="0290D891" w14:textId="77777777" w:rsidTr="00B64BA1">
        <w:trPr>
          <w:jc w:val="center"/>
        </w:trPr>
        <w:tc>
          <w:tcPr>
            <w:tcW w:w="2694" w:type="dxa"/>
            <w:vMerge w:val="restart"/>
            <w:tcBorders>
              <w:top w:val="single" w:sz="4" w:space="0" w:color="auto"/>
            </w:tcBorders>
          </w:tcPr>
          <w:p w14:paraId="6FBEBBC8" w14:textId="77777777" w:rsidR="001A161F" w:rsidRPr="001A161F" w:rsidRDefault="001A161F" w:rsidP="00115495">
            <w:pPr>
              <w:jc w:val="both"/>
              <w:rPr>
                <w:rFonts w:ascii="Arial" w:hAnsi="Arial" w:cs="Arial"/>
              </w:rPr>
            </w:pPr>
          </w:p>
          <w:p w14:paraId="0336E0E5" w14:textId="77777777" w:rsidR="001A161F" w:rsidRPr="001A161F" w:rsidRDefault="001A161F" w:rsidP="00115495">
            <w:pPr>
              <w:jc w:val="both"/>
              <w:rPr>
                <w:rFonts w:ascii="Arial" w:hAnsi="Arial" w:cs="Arial"/>
              </w:rPr>
            </w:pPr>
          </w:p>
          <w:p w14:paraId="6B5E60C5" w14:textId="77777777" w:rsidR="001A161F" w:rsidRPr="001A161F" w:rsidRDefault="001A161F" w:rsidP="00115495">
            <w:pPr>
              <w:jc w:val="both"/>
              <w:rPr>
                <w:rFonts w:ascii="Arial" w:hAnsi="Arial" w:cs="Arial"/>
                <w:highlight w:val="green"/>
              </w:rPr>
            </w:pPr>
            <w:r w:rsidRPr="001A161F">
              <w:rPr>
                <w:rFonts w:ascii="Arial" w:eastAsia="Times New Roman" w:hAnsi="Arial" w:cs="Arial"/>
                <w:sz w:val="20"/>
                <w:szCs w:val="20"/>
              </w:rPr>
              <w:object w:dxaOrig="2840" w:dyaOrig="1255" w14:anchorId="4A1EEC7D">
                <v:shape id="_x0000_i1026" type="#_x0000_t75" style="width:105.95pt;height:46.2pt" o:ole="">
                  <v:imagedata r:id="rId20" o:title=""/>
                </v:shape>
                <o:OLEObject Type="Embed" ProgID="ChemDraw.Document.6.0" ShapeID="_x0000_i1026" DrawAspect="Content" ObjectID="_1827996923" r:id="rId21"/>
              </w:object>
            </w:r>
          </w:p>
        </w:tc>
        <w:tc>
          <w:tcPr>
            <w:tcW w:w="1275" w:type="dxa"/>
            <w:tcBorders>
              <w:top w:val="single" w:sz="4" w:space="0" w:color="auto"/>
            </w:tcBorders>
          </w:tcPr>
          <w:p w14:paraId="1EB34C86" w14:textId="77777777" w:rsidR="001A161F" w:rsidRPr="001A161F" w:rsidRDefault="001A161F" w:rsidP="00115495">
            <w:pPr>
              <w:jc w:val="both"/>
              <w:rPr>
                <w:rFonts w:ascii="Arial" w:hAnsi="Arial" w:cs="Arial"/>
              </w:rPr>
            </w:pPr>
            <w:r w:rsidRPr="001A161F">
              <w:rPr>
                <w:rFonts w:ascii="Arial" w:hAnsi="Arial" w:cs="Arial"/>
              </w:rPr>
              <w:t>H</w:t>
            </w:r>
          </w:p>
        </w:tc>
        <w:tc>
          <w:tcPr>
            <w:tcW w:w="1134" w:type="dxa"/>
            <w:tcBorders>
              <w:top w:val="single" w:sz="4" w:space="0" w:color="auto"/>
            </w:tcBorders>
          </w:tcPr>
          <w:p w14:paraId="5F8B6AE6" w14:textId="77777777" w:rsidR="001A161F" w:rsidRPr="001A161F" w:rsidRDefault="001A161F" w:rsidP="00115495">
            <w:pPr>
              <w:jc w:val="both"/>
              <w:rPr>
                <w:rFonts w:ascii="Arial" w:eastAsia="Times New Roman" w:hAnsi="Arial" w:cs="Arial"/>
                <w:color w:val="404040"/>
                <w:lang w:eastAsia="fr-FR"/>
              </w:rPr>
            </w:pPr>
            <w:r w:rsidRPr="001A161F">
              <w:rPr>
                <w:rFonts w:ascii="Arial" w:hAnsi="Arial" w:cs="Arial"/>
              </w:rPr>
              <w:t>68</w:t>
            </w:r>
          </w:p>
        </w:tc>
      </w:tr>
      <w:tr w:rsidR="001A161F" w:rsidRPr="001A161F" w14:paraId="618AAFF0" w14:textId="77777777" w:rsidTr="00B64BA1">
        <w:trPr>
          <w:jc w:val="center"/>
        </w:trPr>
        <w:tc>
          <w:tcPr>
            <w:tcW w:w="2694" w:type="dxa"/>
            <w:vMerge/>
          </w:tcPr>
          <w:p w14:paraId="09D0F272" w14:textId="77777777" w:rsidR="001A161F" w:rsidRPr="001A161F" w:rsidRDefault="001A161F" w:rsidP="00115495">
            <w:pPr>
              <w:jc w:val="both"/>
              <w:rPr>
                <w:rFonts w:ascii="Arial" w:hAnsi="Arial" w:cs="Arial"/>
              </w:rPr>
            </w:pPr>
          </w:p>
        </w:tc>
        <w:tc>
          <w:tcPr>
            <w:tcW w:w="1275" w:type="dxa"/>
          </w:tcPr>
          <w:p w14:paraId="2FF1A2A2" w14:textId="77777777" w:rsidR="001A161F" w:rsidRPr="001A161F" w:rsidRDefault="001A161F" w:rsidP="00115495">
            <w:pPr>
              <w:jc w:val="both"/>
              <w:rPr>
                <w:rFonts w:ascii="Arial" w:hAnsi="Arial" w:cs="Arial"/>
              </w:rPr>
            </w:pPr>
            <w:r w:rsidRPr="001A161F">
              <w:rPr>
                <w:rFonts w:ascii="Arial" w:hAnsi="Arial" w:cs="Arial"/>
              </w:rPr>
              <w:t>3-Cl</w:t>
            </w:r>
          </w:p>
        </w:tc>
        <w:tc>
          <w:tcPr>
            <w:tcW w:w="1134" w:type="dxa"/>
          </w:tcPr>
          <w:p w14:paraId="63F8F98E" w14:textId="77777777" w:rsidR="001A161F" w:rsidRPr="001A161F" w:rsidRDefault="001A161F" w:rsidP="00115495">
            <w:pPr>
              <w:jc w:val="both"/>
              <w:rPr>
                <w:rFonts w:ascii="Arial" w:eastAsia="Times New Roman" w:hAnsi="Arial" w:cs="Arial"/>
                <w:color w:val="404040"/>
                <w:lang w:eastAsia="fr-FR"/>
              </w:rPr>
            </w:pPr>
            <w:r w:rsidRPr="001A161F">
              <w:rPr>
                <w:rFonts w:ascii="Arial" w:eastAsia="Times New Roman" w:hAnsi="Arial" w:cs="Arial"/>
                <w:color w:val="404040"/>
                <w:lang w:eastAsia="fr-FR"/>
              </w:rPr>
              <w:t>62</w:t>
            </w:r>
          </w:p>
        </w:tc>
      </w:tr>
      <w:tr w:rsidR="001A161F" w:rsidRPr="001A161F" w14:paraId="506745BA" w14:textId="77777777" w:rsidTr="00B64BA1">
        <w:trPr>
          <w:jc w:val="center"/>
        </w:trPr>
        <w:tc>
          <w:tcPr>
            <w:tcW w:w="2694" w:type="dxa"/>
            <w:vMerge/>
          </w:tcPr>
          <w:p w14:paraId="208C6933" w14:textId="77777777" w:rsidR="001A161F" w:rsidRPr="001A161F" w:rsidRDefault="001A161F" w:rsidP="00115495">
            <w:pPr>
              <w:jc w:val="both"/>
              <w:rPr>
                <w:rFonts w:ascii="Arial" w:hAnsi="Arial" w:cs="Arial"/>
                <w:highlight w:val="green"/>
              </w:rPr>
            </w:pPr>
          </w:p>
        </w:tc>
        <w:tc>
          <w:tcPr>
            <w:tcW w:w="1275" w:type="dxa"/>
          </w:tcPr>
          <w:p w14:paraId="45AC894B" w14:textId="77777777" w:rsidR="001A161F" w:rsidRPr="001A161F" w:rsidRDefault="001A161F" w:rsidP="00115495">
            <w:pPr>
              <w:jc w:val="both"/>
              <w:rPr>
                <w:rFonts w:ascii="Arial" w:hAnsi="Arial" w:cs="Arial"/>
              </w:rPr>
            </w:pPr>
            <w:r w:rsidRPr="001A161F">
              <w:rPr>
                <w:rFonts w:ascii="Arial" w:hAnsi="Arial" w:cs="Arial"/>
              </w:rPr>
              <w:t>2-OH</w:t>
            </w:r>
          </w:p>
        </w:tc>
        <w:tc>
          <w:tcPr>
            <w:tcW w:w="1134" w:type="dxa"/>
          </w:tcPr>
          <w:p w14:paraId="071BCBD4" w14:textId="77777777" w:rsidR="001A161F" w:rsidRPr="001A161F" w:rsidRDefault="001A161F" w:rsidP="00115495">
            <w:pPr>
              <w:jc w:val="both"/>
              <w:rPr>
                <w:rFonts w:ascii="Arial" w:eastAsia="Times New Roman" w:hAnsi="Arial" w:cs="Arial"/>
                <w:color w:val="404040"/>
                <w:lang w:eastAsia="fr-FR"/>
              </w:rPr>
            </w:pPr>
            <w:r w:rsidRPr="001A161F">
              <w:rPr>
                <w:rFonts w:ascii="Arial" w:hAnsi="Arial" w:cs="Arial"/>
              </w:rPr>
              <w:t>48</w:t>
            </w:r>
          </w:p>
        </w:tc>
      </w:tr>
      <w:tr w:rsidR="001A161F" w:rsidRPr="001A161F" w14:paraId="360C26AD" w14:textId="77777777" w:rsidTr="00B64BA1">
        <w:trPr>
          <w:jc w:val="center"/>
        </w:trPr>
        <w:tc>
          <w:tcPr>
            <w:tcW w:w="2694" w:type="dxa"/>
            <w:vMerge/>
          </w:tcPr>
          <w:p w14:paraId="24EAD5E0" w14:textId="77777777" w:rsidR="001A161F" w:rsidRPr="001A161F" w:rsidRDefault="001A161F" w:rsidP="00115495">
            <w:pPr>
              <w:jc w:val="both"/>
              <w:rPr>
                <w:rFonts w:ascii="Arial" w:hAnsi="Arial" w:cs="Arial"/>
                <w:highlight w:val="green"/>
              </w:rPr>
            </w:pPr>
          </w:p>
        </w:tc>
        <w:tc>
          <w:tcPr>
            <w:tcW w:w="1275" w:type="dxa"/>
          </w:tcPr>
          <w:p w14:paraId="601BBC07" w14:textId="77777777" w:rsidR="001A161F" w:rsidRPr="001A161F" w:rsidRDefault="001A161F" w:rsidP="00115495">
            <w:pPr>
              <w:jc w:val="both"/>
              <w:rPr>
                <w:rFonts w:ascii="Arial" w:hAnsi="Arial" w:cs="Arial"/>
              </w:rPr>
            </w:pPr>
            <w:r w:rsidRPr="001A161F">
              <w:rPr>
                <w:rFonts w:ascii="Arial" w:hAnsi="Arial" w:cs="Arial"/>
              </w:rPr>
              <w:t>2-OCH</w:t>
            </w:r>
            <w:r w:rsidRPr="001A161F">
              <w:rPr>
                <w:rFonts w:ascii="Arial" w:hAnsi="Arial" w:cs="Arial"/>
                <w:vertAlign w:val="subscript"/>
              </w:rPr>
              <w:t>3</w:t>
            </w:r>
          </w:p>
        </w:tc>
        <w:tc>
          <w:tcPr>
            <w:tcW w:w="1134" w:type="dxa"/>
          </w:tcPr>
          <w:p w14:paraId="23094797" w14:textId="77777777" w:rsidR="001A161F" w:rsidRPr="001A161F" w:rsidRDefault="001A161F" w:rsidP="00115495">
            <w:pPr>
              <w:jc w:val="both"/>
              <w:rPr>
                <w:rFonts w:ascii="Arial" w:eastAsia="Times New Roman" w:hAnsi="Arial" w:cs="Arial"/>
                <w:color w:val="404040"/>
                <w:lang w:eastAsia="fr-FR"/>
              </w:rPr>
            </w:pPr>
            <w:r w:rsidRPr="001A161F">
              <w:rPr>
                <w:rFonts w:ascii="Arial" w:hAnsi="Arial" w:cs="Arial"/>
              </w:rPr>
              <w:t>58</w:t>
            </w:r>
          </w:p>
        </w:tc>
      </w:tr>
      <w:tr w:rsidR="001A161F" w:rsidRPr="001A161F" w14:paraId="37878868" w14:textId="77777777" w:rsidTr="00B64BA1">
        <w:trPr>
          <w:jc w:val="center"/>
        </w:trPr>
        <w:tc>
          <w:tcPr>
            <w:tcW w:w="2694" w:type="dxa"/>
            <w:vMerge/>
          </w:tcPr>
          <w:p w14:paraId="0B3484E1" w14:textId="77777777" w:rsidR="001A161F" w:rsidRPr="001A161F" w:rsidRDefault="001A161F" w:rsidP="00115495">
            <w:pPr>
              <w:jc w:val="both"/>
              <w:rPr>
                <w:rFonts w:ascii="Arial" w:hAnsi="Arial" w:cs="Arial"/>
              </w:rPr>
            </w:pPr>
          </w:p>
        </w:tc>
        <w:tc>
          <w:tcPr>
            <w:tcW w:w="1275" w:type="dxa"/>
          </w:tcPr>
          <w:p w14:paraId="78DA70E5" w14:textId="77777777" w:rsidR="001A161F" w:rsidRPr="001A161F" w:rsidRDefault="001A161F" w:rsidP="00115495">
            <w:pPr>
              <w:jc w:val="both"/>
              <w:rPr>
                <w:rFonts w:ascii="Arial" w:hAnsi="Arial" w:cs="Arial"/>
              </w:rPr>
            </w:pPr>
            <w:r w:rsidRPr="001A161F">
              <w:rPr>
                <w:rFonts w:ascii="Arial" w:hAnsi="Arial" w:cs="Arial"/>
              </w:rPr>
              <w:t>3-OCH</w:t>
            </w:r>
            <w:r w:rsidRPr="001A161F">
              <w:rPr>
                <w:rFonts w:ascii="Arial" w:hAnsi="Arial" w:cs="Arial"/>
                <w:vertAlign w:val="subscript"/>
              </w:rPr>
              <w:t>3</w:t>
            </w:r>
          </w:p>
        </w:tc>
        <w:tc>
          <w:tcPr>
            <w:tcW w:w="1134" w:type="dxa"/>
          </w:tcPr>
          <w:p w14:paraId="6F29F421" w14:textId="77777777" w:rsidR="001A161F" w:rsidRPr="001A161F" w:rsidRDefault="001A161F" w:rsidP="00115495">
            <w:pPr>
              <w:jc w:val="both"/>
              <w:rPr>
                <w:rFonts w:ascii="Arial" w:eastAsia="Times New Roman" w:hAnsi="Arial" w:cs="Arial"/>
                <w:color w:val="404040"/>
                <w:lang w:eastAsia="fr-FR"/>
              </w:rPr>
            </w:pPr>
            <w:r w:rsidRPr="001A161F">
              <w:rPr>
                <w:rFonts w:ascii="Arial" w:eastAsia="Times New Roman" w:hAnsi="Arial" w:cs="Arial"/>
                <w:color w:val="404040"/>
                <w:lang w:eastAsia="fr-FR"/>
              </w:rPr>
              <w:t>64</w:t>
            </w:r>
          </w:p>
        </w:tc>
      </w:tr>
      <w:tr w:rsidR="001A161F" w:rsidRPr="001A161F" w14:paraId="39C52803" w14:textId="77777777" w:rsidTr="00B64BA1">
        <w:trPr>
          <w:jc w:val="center"/>
        </w:trPr>
        <w:tc>
          <w:tcPr>
            <w:tcW w:w="2694" w:type="dxa"/>
            <w:vMerge/>
          </w:tcPr>
          <w:p w14:paraId="6588BF57" w14:textId="77777777" w:rsidR="001A161F" w:rsidRPr="001A161F" w:rsidRDefault="001A161F" w:rsidP="00115495">
            <w:pPr>
              <w:jc w:val="both"/>
              <w:rPr>
                <w:rFonts w:ascii="Arial" w:hAnsi="Arial" w:cs="Arial"/>
                <w:highlight w:val="green"/>
              </w:rPr>
            </w:pPr>
          </w:p>
        </w:tc>
        <w:tc>
          <w:tcPr>
            <w:tcW w:w="1275" w:type="dxa"/>
          </w:tcPr>
          <w:p w14:paraId="4A216A56" w14:textId="77777777" w:rsidR="001A161F" w:rsidRPr="001A161F" w:rsidRDefault="001A161F" w:rsidP="00115495">
            <w:pPr>
              <w:jc w:val="both"/>
              <w:rPr>
                <w:rFonts w:ascii="Arial" w:hAnsi="Arial" w:cs="Arial"/>
              </w:rPr>
            </w:pPr>
            <w:r w:rsidRPr="001A161F">
              <w:rPr>
                <w:rFonts w:ascii="Arial" w:hAnsi="Arial" w:cs="Arial"/>
              </w:rPr>
              <w:t>2,4-OCH</w:t>
            </w:r>
            <w:r w:rsidRPr="001A161F">
              <w:rPr>
                <w:rFonts w:ascii="Arial" w:hAnsi="Arial" w:cs="Arial"/>
                <w:vertAlign w:val="subscript"/>
              </w:rPr>
              <w:t>3</w:t>
            </w:r>
          </w:p>
        </w:tc>
        <w:tc>
          <w:tcPr>
            <w:tcW w:w="1134" w:type="dxa"/>
          </w:tcPr>
          <w:p w14:paraId="7EF93723" w14:textId="77777777" w:rsidR="001A161F" w:rsidRPr="001A161F" w:rsidRDefault="001A161F" w:rsidP="00115495">
            <w:pPr>
              <w:jc w:val="both"/>
              <w:rPr>
                <w:rFonts w:ascii="Arial" w:eastAsia="Times New Roman" w:hAnsi="Arial" w:cs="Arial"/>
                <w:color w:val="404040"/>
                <w:lang w:eastAsia="fr-FR"/>
              </w:rPr>
            </w:pPr>
            <w:r w:rsidRPr="001A161F">
              <w:rPr>
                <w:rFonts w:ascii="Arial" w:hAnsi="Arial" w:cs="Arial"/>
              </w:rPr>
              <w:t>45</w:t>
            </w:r>
          </w:p>
        </w:tc>
      </w:tr>
      <w:tr w:rsidR="001A161F" w:rsidRPr="001A161F" w14:paraId="2F5D135D" w14:textId="77777777" w:rsidTr="00B64BA1">
        <w:trPr>
          <w:jc w:val="center"/>
        </w:trPr>
        <w:tc>
          <w:tcPr>
            <w:tcW w:w="2694" w:type="dxa"/>
            <w:vMerge/>
          </w:tcPr>
          <w:p w14:paraId="5B9CBCF3" w14:textId="77777777" w:rsidR="001A161F" w:rsidRPr="001A161F" w:rsidRDefault="001A161F" w:rsidP="00115495">
            <w:pPr>
              <w:jc w:val="both"/>
              <w:rPr>
                <w:rFonts w:ascii="Arial" w:hAnsi="Arial" w:cs="Arial"/>
                <w:highlight w:val="green"/>
              </w:rPr>
            </w:pPr>
          </w:p>
        </w:tc>
        <w:tc>
          <w:tcPr>
            <w:tcW w:w="1275" w:type="dxa"/>
          </w:tcPr>
          <w:p w14:paraId="2709A985" w14:textId="77777777" w:rsidR="001A161F" w:rsidRPr="001A161F" w:rsidRDefault="001A161F" w:rsidP="00115495">
            <w:pPr>
              <w:jc w:val="both"/>
              <w:rPr>
                <w:rFonts w:ascii="Arial" w:hAnsi="Arial" w:cs="Arial"/>
              </w:rPr>
            </w:pPr>
            <w:r w:rsidRPr="001A161F">
              <w:rPr>
                <w:rFonts w:ascii="Arial" w:hAnsi="Arial" w:cs="Arial"/>
              </w:rPr>
              <w:t>4-CH</w:t>
            </w:r>
            <w:r w:rsidRPr="001A161F">
              <w:rPr>
                <w:rFonts w:ascii="Arial" w:hAnsi="Arial" w:cs="Arial"/>
                <w:vertAlign w:val="subscript"/>
              </w:rPr>
              <w:t>3</w:t>
            </w:r>
          </w:p>
        </w:tc>
        <w:tc>
          <w:tcPr>
            <w:tcW w:w="1134" w:type="dxa"/>
          </w:tcPr>
          <w:p w14:paraId="38B914BB" w14:textId="77777777" w:rsidR="001A161F" w:rsidRPr="001A161F" w:rsidRDefault="001A161F" w:rsidP="00115495">
            <w:pPr>
              <w:jc w:val="both"/>
              <w:rPr>
                <w:rFonts w:ascii="Arial" w:eastAsia="Times New Roman" w:hAnsi="Arial" w:cs="Arial"/>
                <w:color w:val="404040"/>
                <w:lang w:eastAsia="fr-FR"/>
              </w:rPr>
            </w:pPr>
            <w:r w:rsidRPr="001A161F">
              <w:rPr>
                <w:rFonts w:ascii="Arial" w:eastAsia="Times New Roman" w:hAnsi="Arial" w:cs="Arial"/>
                <w:color w:val="404040"/>
                <w:lang w:eastAsia="fr-FR"/>
              </w:rPr>
              <w:t>74</w:t>
            </w:r>
          </w:p>
        </w:tc>
      </w:tr>
      <w:tr w:rsidR="001A161F" w:rsidRPr="001A161F" w14:paraId="04EAEF8B" w14:textId="77777777" w:rsidTr="00B64BA1">
        <w:trPr>
          <w:jc w:val="center"/>
        </w:trPr>
        <w:tc>
          <w:tcPr>
            <w:tcW w:w="2694" w:type="dxa"/>
            <w:vMerge/>
          </w:tcPr>
          <w:p w14:paraId="20BCB0ED" w14:textId="77777777" w:rsidR="001A161F" w:rsidRPr="001A161F" w:rsidRDefault="001A161F" w:rsidP="00115495">
            <w:pPr>
              <w:jc w:val="both"/>
              <w:rPr>
                <w:rFonts w:ascii="Arial" w:hAnsi="Arial" w:cs="Arial"/>
                <w:highlight w:val="green"/>
              </w:rPr>
            </w:pPr>
          </w:p>
        </w:tc>
        <w:tc>
          <w:tcPr>
            <w:tcW w:w="1275" w:type="dxa"/>
          </w:tcPr>
          <w:p w14:paraId="01DC3B49" w14:textId="77777777" w:rsidR="001A161F" w:rsidRPr="001A161F" w:rsidRDefault="001A161F" w:rsidP="00115495">
            <w:pPr>
              <w:jc w:val="both"/>
              <w:rPr>
                <w:rFonts w:ascii="Arial" w:hAnsi="Arial" w:cs="Arial"/>
              </w:rPr>
            </w:pPr>
            <w:r w:rsidRPr="001A161F">
              <w:rPr>
                <w:rFonts w:ascii="Arial" w:hAnsi="Arial" w:cs="Arial"/>
              </w:rPr>
              <w:t>3-CH</w:t>
            </w:r>
            <w:r w:rsidRPr="001A161F">
              <w:rPr>
                <w:rFonts w:ascii="Arial" w:hAnsi="Arial" w:cs="Arial"/>
                <w:vertAlign w:val="subscript"/>
              </w:rPr>
              <w:t>3</w:t>
            </w:r>
          </w:p>
        </w:tc>
        <w:tc>
          <w:tcPr>
            <w:tcW w:w="1134" w:type="dxa"/>
          </w:tcPr>
          <w:p w14:paraId="78DB020F" w14:textId="77777777" w:rsidR="001A161F" w:rsidRPr="001A161F" w:rsidRDefault="001A161F" w:rsidP="00115495">
            <w:pPr>
              <w:jc w:val="both"/>
              <w:rPr>
                <w:rFonts w:ascii="Arial" w:eastAsia="Times New Roman" w:hAnsi="Arial" w:cs="Arial"/>
                <w:color w:val="404040"/>
                <w:lang w:eastAsia="fr-FR"/>
              </w:rPr>
            </w:pPr>
            <w:r w:rsidRPr="001A161F">
              <w:rPr>
                <w:rFonts w:ascii="Arial" w:hAnsi="Arial" w:cs="Arial"/>
              </w:rPr>
              <w:t>53</w:t>
            </w:r>
          </w:p>
        </w:tc>
      </w:tr>
      <w:tr w:rsidR="001A161F" w:rsidRPr="001A161F" w14:paraId="57FB3CAD" w14:textId="77777777" w:rsidTr="00B64BA1">
        <w:trPr>
          <w:jc w:val="center"/>
        </w:trPr>
        <w:tc>
          <w:tcPr>
            <w:tcW w:w="2694" w:type="dxa"/>
            <w:vMerge/>
          </w:tcPr>
          <w:p w14:paraId="43F455E0" w14:textId="77777777" w:rsidR="001A161F" w:rsidRPr="001A161F" w:rsidRDefault="001A161F" w:rsidP="00115495">
            <w:pPr>
              <w:jc w:val="both"/>
              <w:rPr>
                <w:rFonts w:ascii="Arial" w:hAnsi="Arial" w:cs="Arial"/>
              </w:rPr>
            </w:pPr>
          </w:p>
        </w:tc>
        <w:tc>
          <w:tcPr>
            <w:tcW w:w="1275" w:type="dxa"/>
          </w:tcPr>
          <w:p w14:paraId="0F8F5CED" w14:textId="77777777" w:rsidR="001A161F" w:rsidRPr="001A161F" w:rsidRDefault="001A161F" w:rsidP="00115495">
            <w:pPr>
              <w:jc w:val="both"/>
              <w:rPr>
                <w:rFonts w:ascii="Arial" w:hAnsi="Arial" w:cs="Arial"/>
              </w:rPr>
            </w:pPr>
            <w:r w:rsidRPr="001A161F">
              <w:rPr>
                <w:rFonts w:ascii="Arial" w:hAnsi="Arial" w:cs="Arial"/>
              </w:rPr>
              <w:t>2-NO</w:t>
            </w:r>
            <w:r w:rsidRPr="001A161F">
              <w:rPr>
                <w:rFonts w:ascii="Arial" w:hAnsi="Arial" w:cs="Arial"/>
                <w:vertAlign w:val="subscript"/>
              </w:rPr>
              <w:t>2</w:t>
            </w:r>
          </w:p>
        </w:tc>
        <w:tc>
          <w:tcPr>
            <w:tcW w:w="1134" w:type="dxa"/>
          </w:tcPr>
          <w:p w14:paraId="09ECAED1" w14:textId="77777777" w:rsidR="001A161F" w:rsidRPr="001A161F" w:rsidRDefault="001A161F" w:rsidP="00115495">
            <w:pPr>
              <w:jc w:val="both"/>
              <w:rPr>
                <w:rFonts w:ascii="Arial" w:eastAsia="Times New Roman" w:hAnsi="Arial" w:cs="Arial"/>
                <w:color w:val="404040"/>
                <w:lang w:eastAsia="fr-FR"/>
              </w:rPr>
            </w:pPr>
            <w:r w:rsidRPr="001A161F">
              <w:rPr>
                <w:rFonts w:ascii="Arial" w:eastAsia="Times New Roman" w:hAnsi="Arial" w:cs="Arial"/>
                <w:color w:val="404040"/>
                <w:lang w:eastAsia="fr-FR"/>
              </w:rPr>
              <w:t>83</w:t>
            </w:r>
          </w:p>
        </w:tc>
      </w:tr>
      <w:tr w:rsidR="001A161F" w:rsidRPr="001A161F" w14:paraId="42648C10" w14:textId="77777777" w:rsidTr="00B64BA1">
        <w:trPr>
          <w:jc w:val="center"/>
        </w:trPr>
        <w:tc>
          <w:tcPr>
            <w:tcW w:w="2694" w:type="dxa"/>
            <w:vMerge/>
          </w:tcPr>
          <w:p w14:paraId="5C538DE4" w14:textId="77777777" w:rsidR="001A161F" w:rsidRPr="001A161F" w:rsidRDefault="001A161F" w:rsidP="00115495">
            <w:pPr>
              <w:jc w:val="both"/>
              <w:rPr>
                <w:rFonts w:ascii="Arial" w:hAnsi="Arial" w:cs="Arial"/>
              </w:rPr>
            </w:pPr>
          </w:p>
        </w:tc>
        <w:tc>
          <w:tcPr>
            <w:tcW w:w="1275" w:type="dxa"/>
          </w:tcPr>
          <w:p w14:paraId="0C7743E4" w14:textId="77777777" w:rsidR="001A161F" w:rsidRPr="001A161F" w:rsidRDefault="001A161F" w:rsidP="00115495">
            <w:pPr>
              <w:jc w:val="both"/>
              <w:rPr>
                <w:rFonts w:ascii="Arial" w:hAnsi="Arial" w:cs="Arial"/>
              </w:rPr>
            </w:pPr>
            <w:r w:rsidRPr="001A161F">
              <w:rPr>
                <w:rFonts w:ascii="Arial" w:hAnsi="Arial" w:cs="Arial"/>
              </w:rPr>
              <w:t>3-NO</w:t>
            </w:r>
            <w:r w:rsidRPr="001A161F">
              <w:rPr>
                <w:rFonts w:ascii="Arial" w:hAnsi="Arial" w:cs="Arial"/>
                <w:vertAlign w:val="subscript"/>
              </w:rPr>
              <w:t>2</w:t>
            </w:r>
          </w:p>
        </w:tc>
        <w:tc>
          <w:tcPr>
            <w:tcW w:w="1134" w:type="dxa"/>
          </w:tcPr>
          <w:p w14:paraId="5674300F" w14:textId="77777777" w:rsidR="001A161F" w:rsidRPr="001A161F" w:rsidRDefault="001A161F" w:rsidP="00115495">
            <w:pPr>
              <w:jc w:val="both"/>
              <w:rPr>
                <w:rFonts w:ascii="Arial" w:eastAsia="Times New Roman" w:hAnsi="Arial" w:cs="Arial"/>
                <w:color w:val="404040"/>
                <w:lang w:eastAsia="fr-FR"/>
              </w:rPr>
            </w:pPr>
            <w:r w:rsidRPr="001A161F">
              <w:rPr>
                <w:rFonts w:ascii="Arial" w:eastAsia="Times New Roman" w:hAnsi="Arial" w:cs="Arial"/>
                <w:color w:val="404040"/>
                <w:lang w:eastAsia="fr-FR"/>
              </w:rPr>
              <w:t>71</w:t>
            </w:r>
          </w:p>
        </w:tc>
      </w:tr>
    </w:tbl>
    <w:p w14:paraId="008347EF" w14:textId="77777777" w:rsidR="001A161F" w:rsidRPr="001A161F" w:rsidRDefault="001A161F" w:rsidP="001A161F">
      <w:pPr>
        <w:jc w:val="both"/>
        <w:rPr>
          <w:rFonts w:ascii="Arial" w:hAnsi="Arial" w:cs="Arial"/>
          <w:sz w:val="22"/>
          <w:szCs w:val="22"/>
        </w:rPr>
      </w:pPr>
    </w:p>
    <w:p w14:paraId="5AFF2756" w14:textId="77777777" w:rsidR="00CB0E2E" w:rsidRDefault="001A161F" w:rsidP="001A161F">
      <w:pPr>
        <w:jc w:val="both"/>
        <w:rPr>
          <w:rFonts w:ascii="Arial" w:hAnsi="Arial" w:cs="Arial"/>
          <w:sz w:val="22"/>
          <w:szCs w:val="22"/>
        </w:rPr>
        <w:sectPr w:rsidR="00CB0E2E" w:rsidSect="001A161F">
          <w:type w:val="continuous"/>
          <w:pgSz w:w="12240" w:h="15840"/>
          <w:pgMar w:top="1440" w:right="2016" w:bottom="2016" w:left="2016" w:header="720" w:footer="1123" w:gutter="0"/>
          <w:cols w:space="720"/>
          <w:docGrid w:linePitch="272"/>
        </w:sectPr>
      </w:pPr>
      <w:r w:rsidRPr="001A161F">
        <w:rPr>
          <w:rFonts w:ascii="Arial" w:hAnsi="Arial" w:cs="Arial"/>
          <w:sz w:val="22"/>
          <w:szCs w:val="22"/>
        </w:rPr>
        <w:t xml:space="preserve"> </w:t>
      </w:r>
    </w:p>
    <w:p w14:paraId="675169DD" w14:textId="77777777" w:rsidR="008414AE" w:rsidRDefault="008414AE" w:rsidP="001A161F">
      <w:pPr>
        <w:jc w:val="both"/>
        <w:rPr>
          <w:rFonts w:ascii="Arial" w:hAnsi="Arial" w:cs="Arial"/>
          <w:b/>
          <w:bCs/>
          <w:sz w:val="22"/>
          <w:szCs w:val="22"/>
        </w:rPr>
      </w:pPr>
    </w:p>
    <w:p w14:paraId="6382C70E" w14:textId="77777777" w:rsidR="008414AE" w:rsidRDefault="008414AE" w:rsidP="001A161F">
      <w:pPr>
        <w:jc w:val="both"/>
        <w:rPr>
          <w:rFonts w:ascii="Arial" w:hAnsi="Arial" w:cs="Arial"/>
          <w:b/>
          <w:bCs/>
          <w:sz w:val="22"/>
          <w:szCs w:val="22"/>
        </w:rPr>
      </w:pPr>
    </w:p>
    <w:p w14:paraId="476B518C" w14:textId="395741C4" w:rsidR="001A161F" w:rsidRPr="001039D3" w:rsidRDefault="001A161F" w:rsidP="001A161F">
      <w:pPr>
        <w:jc w:val="both"/>
        <w:rPr>
          <w:rFonts w:ascii="Arial" w:hAnsi="Arial" w:cs="Arial"/>
          <w:b/>
          <w:bCs/>
          <w:sz w:val="22"/>
          <w:szCs w:val="22"/>
        </w:rPr>
      </w:pPr>
      <w:r w:rsidRPr="001039D3">
        <w:rPr>
          <w:rFonts w:ascii="Arial" w:hAnsi="Arial" w:cs="Arial"/>
          <w:b/>
          <w:bCs/>
          <w:sz w:val="22"/>
          <w:szCs w:val="22"/>
        </w:rPr>
        <w:t>3.2 Structural Characterization</w:t>
      </w:r>
    </w:p>
    <w:p w14:paraId="7B244AC3" w14:textId="77777777" w:rsidR="001A161F" w:rsidRPr="001039D3" w:rsidRDefault="001A161F" w:rsidP="001A161F">
      <w:pPr>
        <w:jc w:val="both"/>
        <w:rPr>
          <w:rFonts w:ascii="Arial" w:hAnsi="Arial" w:cs="Arial"/>
          <w:b/>
          <w:bCs/>
          <w:sz w:val="6"/>
          <w:szCs w:val="6"/>
        </w:rPr>
      </w:pPr>
    </w:p>
    <w:p w14:paraId="3A551D84" w14:textId="2CEE580B" w:rsidR="001A161F" w:rsidRDefault="001A161F" w:rsidP="001A161F">
      <w:pPr>
        <w:jc w:val="both"/>
        <w:rPr>
          <w:rFonts w:ascii="Arial" w:hAnsi="Arial" w:cs="Arial"/>
          <w:b/>
          <w:bCs/>
          <w:sz w:val="22"/>
          <w:szCs w:val="22"/>
        </w:rPr>
      </w:pPr>
      <w:r w:rsidRPr="001039D3">
        <w:rPr>
          <w:rFonts w:ascii="Arial" w:hAnsi="Arial" w:cs="Arial"/>
          <w:b/>
          <w:bCs/>
          <w:sz w:val="22"/>
          <w:szCs w:val="22"/>
        </w:rPr>
        <w:t>3.2.1 ¹H NMR Spectroscopy Analysis</w:t>
      </w:r>
    </w:p>
    <w:p w14:paraId="2557FCFE" w14:textId="77777777" w:rsidR="008414AE" w:rsidRDefault="008414AE" w:rsidP="001A161F">
      <w:pPr>
        <w:jc w:val="both"/>
        <w:rPr>
          <w:rFonts w:ascii="Arial" w:hAnsi="Arial" w:cs="Arial"/>
          <w:b/>
          <w:bCs/>
          <w:sz w:val="6"/>
          <w:szCs w:val="6"/>
        </w:rPr>
        <w:sectPr w:rsidR="008414AE" w:rsidSect="008414AE">
          <w:type w:val="continuous"/>
          <w:pgSz w:w="12240" w:h="15840"/>
          <w:pgMar w:top="1440" w:right="2016" w:bottom="2016" w:left="2016" w:header="720" w:footer="1123" w:gutter="0"/>
          <w:cols w:space="720"/>
          <w:docGrid w:linePitch="272"/>
        </w:sectPr>
      </w:pPr>
    </w:p>
    <w:p w14:paraId="54E5FF6C" w14:textId="6A644FD8" w:rsidR="001039D3" w:rsidRPr="001039D3" w:rsidRDefault="001039D3" w:rsidP="001A161F">
      <w:pPr>
        <w:jc w:val="both"/>
        <w:rPr>
          <w:rFonts w:ascii="Arial" w:hAnsi="Arial" w:cs="Arial"/>
          <w:b/>
          <w:bCs/>
          <w:sz w:val="6"/>
          <w:szCs w:val="6"/>
        </w:rPr>
      </w:pPr>
    </w:p>
    <w:p w14:paraId="6E5A2266"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The ¹H NMR spectra unambiguously confirm the formation of the expected chalcone structures. Diagnostic signals include:</w:t>
      </w:r>
    </w:p>
    <w:p w14:paraId="12E68DE8" w14:textId="77777777" w:rsidR="001A161F" w:rsidRPr="001039D3" w:rsidRDefault="001A161F" w:rsidP="001A161F">
      <w:pPr>
        <w:jc w:val="both"/>
        <w:rPr>
          <w:rFonts w:ascii="Arial" w:hAnsi="Arial" w:cs="Arial"/>
          <w:sz w:val="6"/>
          <w:szCs w:val="6"/>
        </w:rPr>
      </w:pPr>
    </w:p>
    <w:p w14:paraId="31DEB1A8"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(E)-1-(6-chloro-2-methylimidazo[1,2-</w:t>
      </w:r>
      <w:r w:rsidRPr="001A161F">
        <w:rPr>
          <w:rFonts w:ascii="Arial" w:hAnsi="Arial" w:cs="Arial"/>
          <w:i/>
          <w:iCs/>
          <w:sz w:val="22"/>
          <w:szCs w:val="22"/>
        </w:rPr>
        <w:t>a</w:t>
      </w:r>
      <w:r w:rsidRPr="001A161F">
        <w:rPr>
          <w:rFonts w:ascii="Arial" w:hAnsi="Arial" w:cs="Arial"/>
          <w:sz w:val="22"/>
          <w:szCs w:val="22"/>
        </w:rPr>
        <w:t>]pyridin-3-yl)-3-phenylprop-2-en-1-one (</w:t>
      </w:r>
      <w:r w:rsidRPr="001A161F">
        <w:rPr>
          <w:rFonts w:ascii="Arial" w:hAnsi="Arial" w:cs="Arial"/>
          <w:b/>
          <w:bCs/>
          <w:sz w:val="22"/>
          <w:szCs w:val="22"/>
        </w:rPr>
        <w:t>3a</w:t>
      </w:r>
      <w:r w:rsidRPr="001A161F">
        <w:rPr>
          <w:rFonts w:ascii="Arial" w:hAnsi="Arial" w:cs="Arial"/>
          <w:sz w:val="22"/>
          <w:szCs w:val="22"/>
        </w:rPr>
        <w:t xml:space="preserve">) </w:t>
      </w:r>
    </w:p>
    <w:p w14:paraId="47525299"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Pale Green solid, Yield : 68%. Recrystallization in water/ethanol (1:1).</w:t>
      </w:r>
    </w:p>
    <w:p w14:paraId="3C3785E2" w14:textId="77777777" w:rsidR="001A161F" w:rsidRPr="001A161F" w:rsidRDefault="001A161F" w:rsidP="001A161F">
      <w:pPr>
        <w:jc w:val="both"/>
        <w:rPr>
          <w:rFonts w:ascii="Arial" w:hAnsi="Arial" w:cs="Arial"/>
          <w:sz w:val="22"/>
          <w:szCs w:val="22"/>
        </w:rPr>
      </w:pPr>
      <w:r w:rsidRPr="001A161F">
        <w:rPr>
          <w:rFonts w:ascii="Arial" w:hAnsi="Arial" w:cs="Arial"/>
          <w:sz w:val="22"/>
          <w:szCs w:val="22"/>
          <w:vertAlign w:val="superscript"/>
        </w:rPr>
        <w:t>1</w:t>
      </w:r>
      <w:r w:rsidRPr="001A161F">
        <w:rPr>
          <w:rFonts w:ascii="Arial" w:hAnsi="Arial" w:cs="Arial"/>
          <w:sz w:val="22"/>
          <w:szCs w:val="22"/>
        </w:rPr>
        <w:t>H NMR (300 MHz, CDCl</w:t>
      </w:r>
      <w:r w:rsidRPr="001A161F">
        <w:rPr>
          <w:rFonts w:ascii="Arial" w:hAnsi="Arial" w:cs="Arial"/>
          <w:sz w:val="22"/>
          <w:szCs w:val="22"/>
          <w:vertAlign w:val="subscript"/>
        </w:rPr>
        <w:t>3</w:t>
      </w:r>
      <w:r w:rsidRPr="001A161F">
        <w:rPr>
          <w:rFonts w:ascii="Arial" w:hAnsi="Arial" w:cs="Arial"/>
          <w:sz w:val="22"/>
          <w:szCs w:val="22"/>
        </w:rPr>
        <w:t>) δ 9.91 – 9.84 (m, 1H, Ph-4), 7.80 (d,</w:t>
      </w:r>
      <w:r w:rsidRPr="001A161F">
        <w:rPr>
          <w:rFonts w:ascii="Arial" w:hAnsi="Arial" w:cs="Arial"/>
          <w:i/>
          <w:iCs/>
          <w:sz w:val="22"/>
          <w:szCs w:val="22"/>
        </w:rPr>
        <w:t xml:space="preserve"> J</w:t>
      </w:r>
      <w:r w:rsidRPr="001A161F">
        <w:rPr>
          <w:rFonts w:ascii="Arial" w:hAnsi="Arial" w:cs="Arial"/>
          <w:sz w:val="22"/>
          <w:szCs w:val="22"/>
        </w:rPr>
        <w:t xml:space="preserve"> = 15.5 Hz, 1H, CH=CH), 7.63 – 7.54 (m, 3H, Ph-2,6 and CH=CH), 7.41 (dd,</w:t>
      </w:r>
      <w:r w:rsidRPr="001A161F">
        <w:rPr>
          <w:rFonts w:ascii="Arial" w:hAnsi="Arial" w:cs="Arial"/>
          <w:i/>
          <w:iCs/>
          <w:sz w:val="22"/>
          <w:szCs w:val="22"/>
        </w:rPr>
        <w:t xml:space="preserve"> J</w:t>
      </w:r>
      <w:r w:rsidRPr="001A161F">
        <w:rPr>
          <w:rFonts w:ascii="Arial" w:hAnsi="Arial" w:cs="Arial"/>
          <w:sz w:val="22"/>
          <w:szCs w:val="22"/>
        </w:rPr>
        <w:t xml:space="preserve"> = 9.4, 2.0 Hz, 1H, H7), 7.26 (s, 1H, H5), 7.00 </w:t>
      </w:r>
      <w:r w:rsidRPr="001A161F">
        <w:rPr>
          <w:rFonts w:ascii="Arial" w:hAnsi="Arial" w:cs="Arial"/>
          <w:sz w:val="22"/>
          <w:szCs w:val="22"/>
        </w:rPr>
        <w:lastRenderedPageBreak/>
        <w:t>– 6.89 (m, 2H, Ph-3,5), 2.89 (s, 3H, CH</w:t>
      </w:r>
      <w:r w:rsidRPr="001A161F">
        <w:rPr>
          <w:rFonts w:ascii="Arial" w:hAnsi="Arial" w:cs="Arial"/>
          <w:sz w:val="22"/>
          <w:szCs w:val="22"/>
          <w:vertAlign w:val="subscript"/>
        </w:rPr>
        <w:t>3</w:t>
      </w:r>
      <w:r w:rsidRPr="001A161F">
        <w:rPr>
          <w:rFonts w:ascii="Arial" w:hAnsi="Arial" w:cs="Arial"/>
          <w:sz w:val="22"/>
          <w:szCs w:val="22"/>
        </w:rPr>
        <w:t xml:space="preserve">). </w:t>
      </w:r>
    </w:p>
    <w:p w14:paraId="391801D3" w14:textId="317D2820" w:rsidR="001A161F" w:rsidRPr="001A161F" w:rsidRDefault="001A161F" w:rsidP="001A161F">
      <w:pPr>
        <w:jc w:val="both"/>
        <w:rPr>
          <w:rFonts w:ascii="Arial" w:hAnsi="Arial" w:cs="Arial"/>
          <w:sz w:val="22"/>
          <w:szCs w:val="22"/>
        </w:rPr>
      </w:pPr>
      <w:r w:rsidRPr="001A161F">
        <w:rPr>
          <w:rFonts w:ascii="Arial" w:hAnsi="Arial" w:cs="Arial"/>
          <w:sz w:val="22"/>
          <w:szCs w:val="22"/>
          <w:vertAlign w:val="superscript"/>
        </w:rPr>
        <w:t>13</w:t>
      </w:r>
      <w:r w:rsidRPr="001A161F">
        <w:rPr>
          <w:rFonts w:ascii="Arial" w:hAnsi="Arial" w:cs="Arial"/>
          <w:sz w:val="22"/>
          <w:szCs w:val="22"/>
        </w:rPr>
        <w:t>C NMR (75 MHz, CDCl</w:t>
      </w:r>
      <w:r w:rsidRPr="001A161F">
        <w:rPr>
          <w:rFonts w:ascii="Arial" w:hAnsi="Arial" w:cs="Arial"/>
          <w:sz w:val="22"/>
          <w:szCs w:val="22"/>
          <w:vertAlign w:val="subscript"/>
        </w:rPr>
        <w:t>3</w:t>
      </w:r>
      <w:r w:rsidRPr="001A161F">
        <w:rPr>
          <w:rFonts w:ascii="Arial" w:hAnsi="Arial" w:cs="Arial"/>
          <w:sz w:val="22"/>
          <w:szCs w:val="22"/>
        </w:rPr>
        <w:t>) δ 180.</w:t>
      </w:r>
      <w:r w:rsidR="004B3210" w:rsidRPr="004B3210">
        <w:rPr>
          <w:rFonts w:ascii="Arial" w:hAnsi="Arial" w:cs="Arial"/>
          <w:color w:val="EE0000"/>
          <w:sz w:val="22"/>
          <w:szCs w:val="22"/>
        </w:rPr>
        <w:t>3</w:t>
      </w:r>
      <w:r w:rsidRPr="001A161F">
        <w:rPr>
          <w:rFonts w:ascii="Arial" w:hAnsi="Arial" w:cs="Arial"/>
          <w:sz w:val="22"/>
          <w:szCs w:val="22"/>
        </w:rPr>
        <w:t xml:space="preserve"> (C=O), 161.</w:t>
      </w:r>
      <w:r w:rsidR="004B3210" w:rsidRPr="004B3210">
        <w:rPr>
          <w:rFonts w:ascii="Arial" w:hAnsi="Arial" w:cs="Arial"/>
          <w:color w:val="EE0000"/>
          <w:sz w:val="22"/>
          <w:szCs w:val="22"/>
        </w:rPr>
        <w:t>7</w:t>
      </w:r>
      <w:r w:rsidRPr="001A161F">
        <w:rPr>
          <w:rFonts w:ascii="Arial" w:hAnsi="Arial" w:cs="Arial"/>
          <w:sz w:val="22"/>
          <w:szCs w:val="22"/>
        </w:rPr>
        <w:t>, 151.</w:t>
      </w:r>
      <w:r w:rsidRPr="004B3210">
        <w:rPr>
          <w:rFonts w:ascii="Arial" w:hAnsi="Arial" w:cs="Arial"/>
          <w:color w:val="EE0000"/>
          <w:sz w:val="22"/>
          <w:szCs w:val="22"/>
        </w:rPr>
        <w:t>9</w:t>
      </w:r>
      <w:r w:rsidRPr="001A161F">
        <w:rPr>
          <w:rFonts w:ascii="Arial" w:hAnsi="Arial" w:cs="Arial"/>
          <w:sz w:val="22"/>
          <w:szCs w:val="22"/>
        </w:rPr>
        <w:t>, 145.</w:t>
      </w:r>
      <w:r w:rsidRPr="004B3210">
        <w:rPr>
          <w:rFonts w:ascii="Arial" w:hAnsi="Arial" w:cs="Arial"/>
          <w:color w:val="EE0000"/>
          <w:sz w:val="22"/>
          <w:szCs w:val="22"/>
        </w:rPr>
        <w:t>3</w:t>
      </w:r>
      <w:r w:rsidRPr="001A161F">
        <w:rPr>
          <w:rFonts w:ascii="Arial" w:hAnsi="Arial" w:cs="Arial"/>
          <w:sz w:val="22"/>
          <w:szCs w:val="22"/>
        </w:rPr>
        <w:t>, 142.</w:t>
      </w:r>
      <w:r w:rsidRPr="004B3210">
        <w:rPr>
          <w:rFonts w:ascii="Arial" w:hAnsi="Arial" w:cs="Arial"/>
          <w:color w:val="EE0000"/>
          <w:sz w:val="22"/>
          <w:szCs w:val="22"/>
        </w:rPr>
        <w:t>9</w:t>
      </w:r>
      <w:r w:rsidRPr="001A161F">
        <w:rPr>
          <w:rFonts w:ascii="Arial" w:hAnsi="Arial" w:cs="Arial"/>
          <w:sz w:val="22"/>
          <w:szCs w:val="22"/>
        </w:rPr>
        <w:t>, 130.</w:t>
      </w:r>
      <w:r w:rsidR="004B3210" w:rsidRPr="004B3210">
        <w:rPr>
          <w:rFonts w:ascii="Arial" w:hAnsi="Arial" w:cs="Arial"/>
          <w:color w:val="EE0000"/>
          <w:sz w:val="22"/>
          <w:szCs w:val="22"/>
        </w:rPr>
        <w:t>6</w:t>
      </w:r>
      <w:r w:rsidRPr="001A161F">
        <w:rPr>
          <w:rFonts w:ascii="Arial" w:hAnsi="Arial" w:cs="Arial"/>
          <w:sz w:val="22"/>
          <w:szCs w:val="22"/>
        </w:rPr>
        <w:t xml:space="preserve"> (CH=CH), 130</w:t>
      </w:r>
      <w:r w:rsidRPr="004B3210">
        <w:rPr>
          <w:rFonts w:ascii="Arial" w:hAnsi="Arial" w:cs="Arial"/>
          <w:color w:val="EE0000"/>
          <w:sz w:val="22"/>
          <w:szCs w:val="22"/>
        </w:rPr>
        <w:t>.</w:t>
      </w:r>
      <w:r w:rsidR="004B3210" w:rsidRPr="004B3210">
        <w:rPr>
          <w:rFonts w:ascii="Arial" w:hAnsi="Arial" w:cs="Arial"/>
          <w:color w:val="EE0000"/>
          <w:sz w:val="22"/>
          <w:szCs w:val="22"/>
        </w:rPr>
        <w:t>1</w:t>
      </w:r>
      <w:r w:rsidRPr="001A161F">
        <w:rPr>
          <w:rFonts w:ascii="Arial" w:hAnsi="Arial" w:cs="Arial"/>
          <w:sz w:val="22"/>
          <w:szCs w:val="22"/>
        </w:rPr>
        <w:t>, 129.</w:t>
      </w:r>
      <w:r w:rsidRPr="004B3210">
        <w:rPr>
          <w:rFonts w:ascii="Arial" w:hAnsi="Arial" w:cs="Arial"/>
          <w:color w:val="EE0000"/>
          <w:sz w:val="22"/>
          <w:szCs w:val="22"/>
        </w:rPr>
        <w:t>9</w:t>
      </w:r>
      <w:r w:rsidRPr="001A161F">
        <w:rPr>
          <w:rFonts w:ascii="Arial" w:hAnsi="Arial" w:cs="Arial"/>
          <w:sz w:val="22"/>
          <w:szCs w:val="22"/>
        </w:rPr>
        <w:t>, 128.</w:t>
      </w:r>
      <w:r w:rsidRPr="004B3210">
        <w:rPr>
          <w:rFonts w:ascii="Arial" w:hAnsi="Arial" w:cs="Arial"/>
          <w:color w:val="EE0000"/>
          <w:sz w:val="22"/>
          <w:szCs w:val="22"/>
        </w:rPr>
        <w:t>8</w:t>
      </w:r>
      <w:r w:rsidRPr="001A161F">
        <w:rPr>
          <w:rFonts w:ascii="Arial" w:hAnsi="Arial" w:cs="Arial"/>
          <w:sz w:val="22"/>
          <w:szCs w:val="22"/>
        </w:rPr>
        <w:t>, 127.</w:t>
      </w:r>
      <w:r w:rsidR="004B3210" w:rsidRPr="004B3210">
        <w:rPr>
          <w:rFonts w:ascii="Arial" w:hAnsi="Arial" w:cs="Arial"/>
          <w:color w:val="EE0000"/>
          <w:sz w:val="22"/>
          <w:szCs w:val="22"/>
        </w:rPr>
        <w:t>6</w:t>
      </w:r>
      <w:r w:rsidRPr="001A161F">
        <w:rPr>
          <w:rFonts w:ascii="Arial" w:hAnsi="Arial" w:cs="Arial"/>
          <w:sz w:val="22"/>
          <w:szCs w:val="22"/>
        </w:rPr>
        <w:t>, 127</w:t>
      </w:r>
      <w:r w:rsidRPr="004B3210">
        <w:rPr>
          <w:rFonts w:ascii="Arial" w:hAnsi="Arial" w:cs="Arial"/>
          <w:color w:val="EE0000"/>
          <w:sz w:val="22"/>
          <w:szCs w:val="22"/>
        </w:rPr>
        <w:t>.</w:t>
      </w:r>
      <w:r w:rsidR="004B3210" w:rsidRPr="004B3210">
        <w:rPr>
          <w:rFonts w:ascii="Arial" w:hAnsi="Arial" w:cs="Arial"/>
          <w:color w:val="EE0000"/>
          <w:sz w:val="22"/>
          <w:szCs w:val="22"/>
        </w:rPr>
        <w:t>1</w:t>
      </w:r>
      <w:r w:rsidRPr="001A161F">
        <w:rPr>
          <w:rFonts w:ascii="Arial" w:hAnsi="Arial" w:cs="Arial"/>
          <w:sz w:val="22"/>
          <w:szCs w:val="22"/>
        </w:rPr>
        <w:t>, 126</w:t>
      </w:r>
      <w:r w:rsidRPr="004B3210">
        <w:rPr>
          <w:rFonts w:ascii="Arial" w:hAnsi="Arial" w:cs="Arial"/>
          <w:color w:val="EE0000"/>
          <w:sz w:val="22"/>
          <w:szCs w:val="22"/>
        </w:rPr>
        <w:t>.6</w:t>
      </w:r>
      <w:r w:rsidRPr="001A161F">
        <w:rPr>
          <w:rFonts w:ascii="Arial" w:hAnsi="Arial" w:cs="Arial"/>
          <w:sz w:val="22"/>
          <w:szCs w:val="22"/>
        </w:rPr>
        <w:t>, 122</w:t>
      </w:r>
      <w:r w:rsidRPr="004B3210">
        <w:rPr>
          <w:rFonts w:ascii="Arial" w:hAnsi="Arial" w:cs="Arial"/>
          <w:color w:val="EE0000"/>
          <w:sz w:val="22"/>
          <w:szCs w:val="22"/>
        </w:rPr>
        <w:t>.5</w:t>
      </w:r>
      <w:r w:rsidRPr="001A161F">
        <w:rPr>
          <w:rFonts w:ascii="Arial" w:hAnsi="Arial" w:cs="Arial"/>
          <w:sz w:val="22"/>
          <w:szCs w:val="22"/>
        </w:rPr>
        <w:t>, 121.9 (CH=CH), 116.</w:t>
      </w:r>
      <w:r w:rsidRPr="004B3210">
        <w:rPr>
          <w:rFonts w:ascii="Arial" w:hAnsi="Arial" w:cs="Arial"/>
          <w:color w:val="EE0000"/>
          <w:sz w:val="22"/>
          <w:szCs w:val="22"/>
        </w:rPr>
        <w:t>7</w:t>
      </w:r>
      <w:r w:rsidRPr="001A161F">
        <w:rPr>
          <w:rFonts w:ascii="Arial" w:hAnsi="Arial" w:cs="Arial"/>
          <w:sz w:val="22"/>
          <w:szCs w:val="22"/>
        </w:rPr>
        <w:t>, 116.</w:t>
      </w:r>
      <w:r w:rsidRPr="004B3210">
        <w:rPr>
          <w:rFonts w:ascii="Arial" w:hAnsi="Arial" w:cs="Arial"/>
          <w:color w:val="EE0000"/>
          <w:sz w:val="22"/>
          <w:szCs w:val="22"/>
        </w:rPr>
        <w:t>5</w:t>
      </w:r>
      <w:r w:rsidRPr="001A161F">
        <w:rPr>
          <w:rFonts w:ascii="Arial" w:hAnsi="Arial" w:cs="Arial"/>
          <w:sz w:val="22"/>
          <w:szCs w:val="22"/>
        </w:rPr>
        <w:t>, 114.</w:t>
      </w:r>
      <w:r w:rsidRPr="004B3210">
        <w:rPr>
          <w:rFonts w:ascii="Arial" w:hAnsi="Arial" w:cs="Arial"/>
          <w:color w:val="EE0000"/>
          <w:sz w:val="22"/>
          <w:szCs w:val="22"/>
        </w:rPr>
        <w:t>5</w:t>
      </w:r>
      <w:r w:rsidRPr="001A161F">
        <w:rPr>
          <w:rFonts w:ascii="Arial" w:hAnsi="Arial" w:cs="Arial"/>
          <w:sz w:val="22"/>
          <w:szCs w:val="22"/>
        </w:rPr>
        <w:t>, 113.</w:t>
      </w:r>
      <w:r w:rsidRPr="004B3210">
        <w:rPr>
          <w:rFonts w:ascii="Arial" w:hAnsi="Arial" w:cs="Arial"/>
          <w:color w:val="EE0000"/>
          <w:sz w:val="22"/>
          <w:szCs w:val="22"/>
        </w:rPr>
        <w:t>7</w:t>
      </w:r>
      <w:r w:rsidRPr="001A161F">
        <w:rPr>
          <w:rFonts w:ascii="Arial" w:hAnsi="Arial" w:cs="Arial"/>
          <w:sz w:val="22"/>
          <w:szCs w:val="22"/>
        </w:rPr>
        <w:t>, 55.</w:t>
      </w:r>
      <w:r w:rsidRPr="004B3210">
        <w:rPr>
          <w:rFonts w:ascii="Arial" w:hAnsi="Arial" w:cs="Arial"/>
          <w:color w:val="EE0000"/>
          <w:sz w:val="22"/>
          <w:szCs w:val="22"/>
        </w:rPr>
        <w:t>4</w:t>
      </w:r>
      <w:r w:rsidRPr="001A161F">
        <w:rPr>
          <w:rFonts w:ascii="Arial" w:hAnsi="Arial" w:cs="Arial"/>
          <w:sz w:val="22"/>
          <w:szCs w:val="22"/>
        </w:rPr>
        <w:t>, 52.</w:t>
      </w:r>
      <w:r w:rsidRPr="004B3210">
        <w:rPr>
          <w:rFonts w:ascii="Arial" w:hAnsi="Arial" w:cs="Arial"/>
          <w:color w:val="EE0000"/>
          <w:sz w:val="22"/>
          <w:szCs w:val="22"/>
        </w:rPr>
        <w:t>8</w:t>
      </w:r>
      <w:r w:rsidRPr="001A161F">
        <w:rPr>
          <w:rFonts w:ascii="Arial" w:hAnsi="Arial" w:cs="Arial"/>
          <w:sz w:val="22"/>
          <w:szCs w:val="22"/>
        </w:rPr>
        <w:t>, 40.</w:t>
      </w:r>
      <w:r w:rsidRPr="004B3210">
        <w:rPr>
          <w:rFonts w:ascii="Arial" w:hAnsi="Arial" w:cs="Arial"/>
          <w:color w:val="EE0000"/>
          <w:sz w:val="22"/>
          <w:szCs w:val="22"/>
        </w:rPr>
        <w:t>3</w:t>
      </w:r>
      <w:r w:rsidRPr="001A161F">
        <w:rPr>
          <w:rFonts w:ascii="Arial" w:hAnsi="Arial" w:cs="Arial"/>
          <w:sz w:val="22"/>
          <w:szCs w:val="22"/>
        </w:rPr>
        <w:t>, 18.</w:t>
      </w:r>
      <w:r w:rsidR="004B3210" w:rsidRPr="004B3210">
        <w:rPr>
          <w:rFonts w:ascii="Arial" w:hAnsi="Arial" w:cs="Arial"/>
          <w:color w:val="EE0000"/>
          <w:sz w:val="22"/>
          <w:szCs w:val="22"/>
        </w:rPr>
        <w:t>5</w:t>
      </w:r>
      <w:r w:rsidRPr="001A161F">
        <w:rPr>
          <w:rFonts w:ascii="Arial" w:hAnsi="Arial" w:cs="Arial"/>
          <w:sz w:val="22"/>
          <w:szCs w:val="22"/>
        </w:rPr>
        <w:t>.</w:t>
      </w:r>
    </w:p>
    <w:p w14:paraId="690AC382"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 xml:space="preserve">Mp: 155-159°C. </w:t>
      </w:r>
    </w:p>
    <w:p w14:paraId="5CFB337B" w14:textId="77777777" w:rsidR="001A161F" w:rsidRPr="001039D3" w:rsidRDefault="001A161F" w:rsidP="001A161F">
      <w:pPr>
        <w:jc w:val="both"/>
        <w:rPr>
          <w:rFonts w:ascii="Arial" w:hAnsi="Arial" w:cs="Arial"/>
          <w:sz w:val="16"/>
          <w:szCs w:val="16"/>
        </w:rPr>
      </w:pPr>
    </w:p>
    <w:p w14:paraId="2BF2ED0C"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(E)-1-(6-chloro-2-methylimidazo[1,2-</w:t>
      </w:r>
      <w:r w:rsidRPr="001A161F">
        <w:rPr>
          <w:rFonts w:ascii="Arial" w:hAnsi="Arial" w:cs="Arial"/>
          <w:i/>
          <w:iCs/>
          <w:sz w:val="22"/>
          <w:szCs w:val="22"/>
        </w:rPr>
        <w:t>a</w:t>
      </w:r>
      <w:r w:rsidRPr="001A161F">
        <w:rPr>
          <w:rFonts w:ascii="Arial" w:hAnsi="Arial" w:cs="Arial"/>
          <w:sz w:val="22"/>
          <w:szCs w:val="22"/>
        </w:rPr>
        <w:t>]pyridin-3-yl)-3-(3-chlorophenyl)prop-2-en-1-one (</w:t>
      </w:r>
      <w:r w:rsidRPr="001A161F">
        <w:rPr>
          <w:rFonts w:ascii="Arial" w:hAnsi="Arial" w:cs="Arial"/>
          <w:b/>
          <w:bCs/>
          <w:sz w:val="22"/>
          <w:szCs w:val="22"/>
        </w:rPr>
        <w:t>3b</w:t>
      </w:r>
      <w:r w:rsidRPr="001A161F">
        <w:rPr>
          <w:rFonts w:ascii="Arial" w:hAnsi="Arial" w:cs="Arial"/>
          <w:sz w:val="22"/>
          <w:szCs w:val="22"/>
        </w:rPr>
        <w:t xml:space="preserve">) </w:t>
      </w:r>
    </w:p>
    <w:p w14:paraId="217CA666"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Yellow Solid, Yield : 62 %. Recrystallization in water</w:t>
      </w:r>
    </w:p>
    <w:p w14:paraId="46086402" w14:textId="77777777" w:rsidR="001A161F" w:rsidRPr="001A161F" w:rsidRDefault="001A161F" w:rsidP="001A161F">
      <w:pPr>
        <w:jc w:val="both"/>
        <w:rPr>
          <w:rFonts w:ascii="Arial" w:hAnsi="Arial" w:cs="Arial"/>
          <w:sz w:val="22"/>
          <w:szCs w:val="22"/>
        </w:rPr>
      </w:pPr>
      <w:r w:rsidRPr="001A161F">
        <w:rPr>
          <w:rFonts w:ascii="Arial" w:hAnsi="Arial" w:cs="Arial"/>
          <w:sz w:val="22"/>
          <w:szCs w:val="22"/>
          <w:vertAlign w:val="superscript"/>
        </w:rPr>
        <w:t>1</w:t>
      </w:r>
      <w:r w:rsidRPr="001A161F">
        <w:rPr>
          <w:rFonts w:ascii="Arial" w:hAnsi="Arial" w:cs="Arial"/>
          <w:sz w:val="22"/>
          <w:szCs w:val="22"/>
        </w:rPr>
        <w:t xml:space="preserve">H NMR (300MHz, DMSO-d6) δ: 9.66 (d, 1H, </w:t>
      </w:r>
      <w:r w:rsidRPr="001A161F">
        <w:rPr>
          <w:rFonts w:ascii="Arial" w:hAnsi="Arial" w:cs="Arial"/>
          <w:i/>
          <w:iCs/>
          <w:sz w:val="22"/>
          <w:szCs w:val="22"/>
        </w:rPr>
        <w:t>J</w:t>
      </w:r>
      <w:r w:rsidRPr="001A161F">
        <w:rPr>
          <w:rFonts w:ascii="Arial" w:hAnsi="Arial" w:cs="Arial"/>
          <w:sz w:val="22"/>
          <w:szCs w:val="22"/>
        </w:rPr>
        <w:t xml:space="preserve"> = 4.5 Hz, H5); </w:t>
      </w:r>
    </w:p>
    <w:p w14:paraId="4AF1691B"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 xml:space="preserve">7.75 (d, 1H, </w:t>
      </w:r>
      <w:r w:rsidRPr="001A161F">
        <w:rPr>
          <w:rFonts w:ascii="Arial" w:hAnsi="Arial" w:cs="Arial"/>
          <w:i/>
          <w:iCs/>
          <w:sz w:val="22"/>
          <w:szCs w:val="22"/>
        </w:rPr>
        <w:t>J</w:t>
      </w:r>
      <w:r w:rsidRPr="001A161F">
        <w:rPr>
          <w:rFonts w:ascii="Arial" w:hAnsi="Arial" w:cs="Arial"/>
          <w:sz w:val="22"/>
          <w:szCs w:val="22"/>
        </w:rPr>
        <w:t xml:space="preserve"> = 16 Hz, CH=CH); 7.55 - 7.68 (m, 3H, CH</w:t>
      </w:r>
      <w:r w:rsidRPr="001A161F">
        <w:rPr>
          <w:rFonts w:ascii="Arial" w:hAnsi="Arial" w:cs="Arial"/>
          <w:sz w:val="22"/>
          <w:szCs w:val="22"/>
          <w:vertAlign w:val="subscript"/>
        </w:rPr>
        <w:t>3</w:t>
      </w:r>
      <w:r w:rsidRPr="001A161F">
        <w:rPr>
          <w:rFonts w:ascii="Arial" w:hAnsi="Arial" w:cs="Arial"/>
          <w:sz w:val="22"/>
          <w:szCs w:val="22"/>
        </w:rPr>
        <w:t xml:space="preserve">-Ph-6, H7 and H8); 7.48 (d, 1H, </w:t>
      </w:r>
      <w:r w:rsidRPr="001A161F">
        <w:rPr>
          <w:rFonts w:ascii="Arial" w:hAnsi="Arial" w:cs="Arial"/>
          <w:i/>
          <w:iCs/>
          <w:sz w:val="22"/>
          <w:szCs w:val="22"/>
        </w:rPr>
        <w:t xml:space="preserve">J </w:t>
      </w:r>
      <w:r w:rsidRPr="001A161F">
        <w:rPr>
          <w:rFonts w:ascii="Arial" w:hAnsi="Arial" w:cs="Arial"/>
          <w:sz w:val="22"/>
          <w:szCs w:val="22"/>
        </w:rPr>
        <w:t>= 16 Hz, CH=CH); 7.15 - 7.44 (m, 4H, CH</w:t>
      </w:r>
      <w:r w:rsidRPr="001A161F">
        <w:rPr>
          <w:rFonts w:ascii="Arial" w:hAnsi="Arial" w:cs="Arial"/>
          <w:sz w:val="22"/>
          <w:szCs w:val="22"/>
          <w:vertAlign w:val="subscript"/>
        </w:rPr>
        <w:t>3</w:t>
      </w:r>
      <w:r w:rsidRPr="001A161F">
        <w:rPr>
          <w:rFonts w:ascii="Arial" w:hAnsi="Arial" w:cs="Arial"/>
          <w:sz w:val="22"/>
          <w:szCs w:val="22"/>
        </w:rPr>
        <w:t>-Ph-3,4,5 and H6); 2.89 (s, 3H, CH</w:t>
      </w:r>
      <w:r w:rsidRPr="001A161F">
        <w:rPr>
          <w:rFonts w:ascii="Arial" w:hAnsi="Arial" w:cs="Arial"/>
          <w:sz w:val="22"/>
          <w:szCs w:val="22"/>
          <w:vertAlign w:val="subscript"/>
        </w:rPr>
        <w:t>3</w:t>
      </w:r>
      <w:r w:rsidRPr="001A161F">
        <w:rPr>
          <w:rFonts w:ascii="Arial" w:hAnsi="Arial" w:cs="Arial"/>
          <w:sz w:val="22"/>
          <w:szCs w:val="22"/>
        </w:rPr>
        <w:t>), 2.33 (s, 3H, CH</w:t>
      </w:r>
      <w:r w:rsidRPr="001A161F">
        <w:rPr>
          <w:rFonts w:ascii="Arial" w:hAnsi="Arial" w:cs="Arial"/>
          <w:sz w:val="22"/>
          <w:szCs w:val="22"/>
          <w:vertAlign w:val="subscript"/>
        </w:rPr>
        <w:t>3</w:t>
      </w:r>
      <w:r w:rsidRPr="001A161F">
        <w:rPr>
          <w:rFonts w:ascii="Arial" w:hAnsi="Arial" w:cs="Arial"/>
          <w:sz w:val="22"/>
          <w:szCs w:val="22"/>
        </w:rPr>
        <w:t xml:space="preserve">-Ph). </w:t>
      </w:r>
    </w:p>
    <w:p w14:paraId="2A5A1C7B" w14:textId="77777777" w:rsidR="001A161F" w:rsidRPr="001A161F" w:rsidRDefault="001A161F" w:rsidP="001A161F">
      <w:pPr>
        <w:jc w:val="both"/>
        <w:rPr>
          <w:rFonts w:ascii="Arial" w:hAnsi="Arial" w:cs="Arial"/>
          <w:sz w:val="22"/>
          <w:szCs w:val="22"/>
        </w:rPr>
      </w:pPr>
      <w:r w:rsidRPr="001A161F">
        <w:rPr>
          <w:rFonts w:ascii="Arial" w:hAnsi="Arial" w:cs="Arial"/>
          <w:sz w:val="22"/>
          <w:szCs w:val="22"/>
          <w:vertAlign w:val="superscript"/>
        </w:rPr>
        <w:t>13</w:t>
      </w:r>
      <w:r w:rsidRPr="001A161F">
        <w:rPr>
          <w:rFonts w:ascii="Arial" w:hAnsi="Arial" w:cs="Arial"/>
          <w:sz w:val="22"/>
          <w:szCs w:val="22"/>
        </w:rPr>
        <w:t xml:space="preserve">C NMR (75MHz, DMSO-d6) δ: 179.4 (C=O), 152.0, 146.5, 141.5 (CH=CH), 140.9, 132.0, 128.4, 125.4, 124.9, 124.5, 122.5, 121.7 (CH=CH), 120.3, 120.2, 117.1, 114.7, 21.1, 18.1. </w:t>
      </w:r>
    </w:p>
    <w:p w14:paraId="5E037532"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 xml:space="preserve">Mp: 148-152°C. </w:t>
      </w:r>
    </w:p>
    <w:p w14:paraId="45B3E930" w14:textId="77777777" w:rsidR="001A161F" w:rsidRPr="001039D3" w:rsidRDefault="001A161F" w:rsidP="001A161F">
      <w:pPr>
        <w:jc w:val="both"/>
        <w:rPr>
          <w:rFonts w:ascii="Arial" w:hAnsi="Arial" w:cs="Arial"/>
          <w:sz w:val="16"/>
          <w:szCs w:val="16"/>
        </w:rPr>
      </w:pPr>
    </w:p>
    <w:p w14:paraId="2205B11A"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(E)-1-(6-chloro-2-methylimidazo[1,2-</w:t>
      </w:r>
      <w:r w:rsidRPr="001A161F">
        <w:rPr>
          <w:rFonts w:ascii="Arial" w:hAnsi="Arial" w:cs="Arial"/>
          <w:i/>
          <w:iCs/>
          <w:sz w:val="22"/>
          <w:szCs w:val="22"/>
        </w:rPr>
        <w:t>a</w:t>
      </w:r>
      <w:r w:rsidRPr="001A161F">
        <w:rPr>
          <w:rFonts w:ascii="Arial" w:hAnsi="Arial" w:cs="Arial"/>
          <w:sz w:val="22"/>
          <w:szCs w:val="22"/>
        </w:rPr>
        <w:t>]pyridin-3-yl)-3-(2-hydroxyphenyl)prop-2-en-1-one (</w:t>
      </w:r>
      <w:r w:rsidRPr="001A161F">
        <w:rPr>
          <w:rFonts w:ascii="Arial" w:hAnsi="Arial" w:cs="Arial"/>
          <w:b/>
          <w:bCs/>
          <w:sz w:val="22"/>
          <w:szCs w:val="22"/>
        </w:rPr>
        <w:t>3c</w:t>
      </w:r>
      <w:r w:rsidRPr="001A161F">
        <w:rPr>
          <w:rFonts w:ascii="Arial" w:hAnsi="Arial" w:cs="Arial"/>
          <w:sz w:val="22"/>
          <w:szCs w:val="22"/>
        </w:rPr>
        <w:t>)</w:t>
      </w:r>
    </w:p>
    <w:p w14:paraId="4F68040B"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Yellow solid, Yield : 49 %. Recrystallization in water</w:t>
      </w:r>
    </w:p>
    <w:p w14:paraId="646FEC6A" w14:textId="77777777" w:rsidR="001A161F" w:rsidRPr="001A161F" w:rsidRDefault="001A161F" w:rsidP="001A161F">
      <w:pPr>
        <w:jc w:val="both"/>
        <w:rPr>
          <w:rFonts w:ascii="Arial" w:hAnsi="Arial" w:cs="Arial"/>
          <w:sz w:val="22"/>
          <w:szCs w:val="22"/>
        </w:rPr>
      </w:pPr>
      <w:r w:rsidRPr="001A161F">
        <w:rPr>
          <w:rFonts w:ascii="Arial" w:hAnsi="Arial" w:cs="Arial"/>
          <w:sz w:val="22"/>
          <w:szCs w:val="22"/>
          <w:vertAlign w:val="superscript"/>
        </w:rPr>
        <w:t>1</w:t>
      </w:r>
      <w:r w:rsidRPr="001A161F">
        <w:rPr>
          <w:rFonts w:ascii="Arial" w:hAnsi="Arial" w:cs="Arial"/>
          <w:sz w:val="22"/>
          <w:szCs w:val="22"/>
        </w:rPr>
        <w:t>H NMR (300 MHz, CDCl</w:t>
      </w:r>
      <w:r w:rsidRPr="001A161F">
        <w:rPr>
          <w:rFonts w:ascii="Arial" w:hAnsi="Arial" w:cs="Arial"/>
          <w:sz w:val="22"/>
          <w:szCs w:val="22"/>
          <w:vertAlign w:val="subscript"/>
        </w:rPr>
        <w:t>3</w:t>
      </w:r>
      <w:r w:rsidRPr="001A161F">
        <w:rPr>
          <w:rFonts w:ascii="Arial" w:hAnsi="Arial" w:cs="Arial"/>
          <w:sz w:val="22"/>
          <w:szCs w:val="22"/>
        </w:rPr>
        <w:t>) δ 13.21 (s, 1H, OH), 9.42 (s, 1H, H-5), 8.47 (dd,</w:t>
      </w:r>
      <w:r w:rsidRPr="001A161F">
        <w:rPr>
          <w:rFonts w:ascii="Arial" w:hAnsi="Arial" w:cs="Arial"/>
          <w:i/>
          <w:iCs/>
          <w:sz w:val="22"/>
          <w:szCs w:val="22"/>
        </w:rPr>
        <w:t xml:space="preserve"> J</w:t>
      </w:r>
      <w:r w:rsidRPr="001A161F">
        <w:rPr>
          <w:rFonts w:ascii="Arial" w:hAnsi="Arial" w:cs="Arial"/>
          <w:sz w:val="22"/>
          <w:szCs w:val="22"/>
        </w:rPr>
        <w:t xml:space="preserve"> = 2.6, 0.7 Hz, 1H, H-7), 7.75 (dd</w:t>
      </w:r>
      <w:r w:rsidRPr="001A161F">
        <w:rPr>
          <w:rFonts w:ascii="Arial" w:hAnsi="Arial" w:cs="Arial"/>
          <w:i/>
          <w:iCs/>
          <w:sz w:val="22"/>
          <w:szCs w:val="22"/>
        </w:rPr>
        <w:t>, J</w:t>
      </w:r>
      <w:r w:rsidRPr="001A161F">
        <w:rPr>
          <w:rFonts w:ascii="Arial" w:hAnsi="Arial" w:cs="Arial"/>
          <w:sz w:val="22"/>
          <w:szCs w:val="22"/>
        </w:rPr>
        <w:t xml:space="preserve"> = 8.4, 2.6 Hz, 2H, H8, CH=CH), 7.51 (dd, </w:t>
      </w:r>
      <w:r w:rsidRPr="001A161F">
        <w:rPr>
          <w:rFonts w:ascii="Arial" w:hAnsi="Arial" w:cs="Arial"/>
          <w:i/>
          <w:iCs/>
          <w:sz w:val="22"/>
          <w:szCs w:val="22"/>
        </w:rPr>
        <w:t xml:space="preserve">J </w:t>
      </w:r>
      <w:r w:rsidRPr="001A161F">
        <w:rPr>
          <w:rFonts w:ascii="Arial" w:hAnsi="Arial" w:cs="Arial"/>
          <w:sz w:val="22"/>
          <w:szCs w:val="22"/>
        </w:rPr>
        <w:t xml:space="preserve">= 7.7, 1.7 Hz, 1H, CH=CH), 7.31 (d, </w:t>
      </w:r>
      <w:r w:rsidRPr="001A161F">
        <w:rPr>
          <w:rFonts w:ascii="Arial" w:hAnsi="Arial" w:cs="Arial"/>
          <w:i/>
          <w:iCs/>
          <w:sz w:val="22"/>
          <w:szCs w:val="22"/>
        </w:rPr>
        <w:t>J</w:t>
      </w:r>
      <w:r w:rsidRPr="001A161F">
        <w:rPr>
          <w:rFonts w:ascii="Arial" w:hAnsi="Arial" w:cs="Arial"/>
          <w:sz w:val="22"/>
          <w:szCs w:val="22"/>
        </w:rPr>
        <w:t xml:space="preserve"> = 0.7 Hz, 1H, Ph-6), 7.08 – 6.94 (m, 3H, PH-3,4,5), 2.82 (s, 3H, CH</w:t>
      </w:r>
      <w:r w:rsidRPr="001A161F">
        <w:rPr>
          <w:rFonts w:ascii="Arial" w:hAnsi="Arial" w:cs="Arial"/>
          <w:sz w:val="22"/>
          <w:szCs w:val="22"/>
          <w:vertAlign w:val="subscript"/>
        </w:rPr>
        <w:t>3</w:t>
      </w:r>
      <w:r w:rsidRPr="001A161F">
        <w:rPr>
          <w:rFonts w:ascii="Arial" w:hAnsi="Arial" w:cs="Arial"/>
          <w:sz w:val="22"/>
          <w:szCs w:val="22"/>
        </w:rPr>
        <w:t>).</w:t>
      </w:r>
    </w:p>
    <w:p w14:paraId="34CD9738" w14:textId="22E49D9E" w:rsidR="001A161F" w:rsidRPr="001A161F" w:rsidRDefault="001A161F" w:rsidP="001A161F">
      <w:pPr>
        <w:jc w:val="both"/>
        <w:rPr>
          <w:rFonts w:ascii="Arial" w:hAnsi="Arial" w:cs="Arial"/>
          <w:sz w:val="22"/>
          <w:szCs w:val="22"/>
        </w:rPr>
      </w:pPr>
      <w:r w:rsidRPr="001A161F">
        <w:rPr>
          <w:rFonts w:ascii="Arial" w:hAnsi="Arial" w:cs="Arial"/>
          <w:sz w:val="22"/>
          <w:szCs w:val="22"/>
          <w:vertAlign w:val="superscript"/>
        </w:rPr>
        <w:t>13</w:t>
      </w:r>
      <w:r w:rsidRPr="001A161F">
        <w:rPr>
          <w:rFonts w:ascii="Arial" w:hAnsi="Arial" w:cs="Arial"/>
          <w:sz w:val="22"/>
          <w:szCs w:val="22"/>
        </w:rPr>
        <w:t>C NMR (75 MHz, CDCl</w:t>
      </w:r>
      <w:r w:rsidRPr="001A161F">
        <w:rPr>
          <w:rFonts w:ascii="Arial" w:hAnsi="Arial" w:cs="Arial"/>
          <w:sz w:val="22"/>
          <w:szCs w:val="22"/>
          <w:vertAlign w:val="subscript"/>
        </w:rPr>
        <w:t>3</w:t>
      </w:r>
      <w:r w:rsidRPr="001A161F">
        <w:rPr>
          <w:rFonts w:ascii="Arial" w:hAnsi="Arial" w:cs="Arial"/>
          <w:sz w:val="22"/>
          <w:szCs w:val="22"/>
        </w:rPr>
        <w:t>) δ 165.</w:t>
      </w:r>
      <w:r w:rsidR="004B3210" w:rsidRPr="004B3210">
        <w:rPr>
          <w:rFonts w:ascii="Arial" w:hAnsi="Arial" w:cs="Arial"/>
          <w:color w:val="EE0000"/>
          <w:sz w:val="22"/>
          <w:szCs w:val="22"/>
        </w:rPr>
        <w:t>3</w:t>
      </w:r>
      <w:r w:rsidRPr="001A161F">
        <w:rPr>
          <w:rFonts w:ascii="Arial" w:hAnsi="Arial" w:cs="Arial"/>
          <w:sz w:val="22"/>
          <w:szCs w:val="22"/>
        </w:rPr>
        <w:t xml:space="preserve"> (C=O), 161.</w:t>
      </w:r>
      <w:r w:rsidRPr="004B3210">
        <w:rPr>
          <w:rFonts w:ascii="Arial" w:hAnsi="Arial" w:cs="Arial"/>
          <w:color w:val="EE0000"/>
          <w:sz w:val="22"/>
          <w:szCs w:val="22"/>
        </w:rPr>
        <w:t>9</w:t>
      </w:r>
      <w:r w:rsidRPr="001A161F">
        <w:rPr>
          <w:rFonts w:ascii="Arial" w:hAnsi="Arial" w:cs="Arial"/>
          <w:sz w:val="22"/>
          <w:szCs w:val="22"/>
        </w:rPr>
        <w:t xml:space="preserve"> (C-OH), 155.</w:t>
      </w:r>
      <w:r w:rsidRPr="004B3210">
        <w:rPr>
          <w:rFonts w:ascii="Arial" w:hAnsi="Arial" w:cs="Arial"/>
          <w:color w:val="EE0000"/>
          <w:sz w:val="22"/>
          <w:szCs w:val="22"/>
        </w:rPr>
        <w:t>9</w:t>
      </w:r>
      <w:r w:rsidRPr="001A161F">
        <w:rPr>
          <w:rFonts w:ascii="Arial" w:hAnsi="Arial" w:cs="Arial"/>
          <w:sz w:val="22"/>
          <w:szCs w:val="22"/>
        </w:rPr>
        <w:t>, 147.</w:t>
      </w:r>
      <w:r w:rsidRPr="004B3210">
        <w:rPr>
          <w:rFonts w:ascii="Arial" w:hAnsi="Arial" w:cs="Arial"/>
          <w:color w:val="EE0000"/>
          <w:sz w:val="22"/>
          <w:szCs w:val="22"/>
        </w:rPr>
        <w:t>8</w:t>
      </w:r>
      <w:r w:rsidRPr="001A161F">
        <w:rPr>
          <w:rFonts w:ascii="Arial" w:hAnsi="Arial" w:cs="Arial"/>
          <w:sz w:val="22"/>
          <w:szCs w:val="22"/>
        </w:rPr>
        <w:t>, 138.</w:t>
      </w:r>
      <w:r w:rsidR="004B3210" w:rsidRPr="004B3210">
        <w:rPr>
          <w:rFonts w:ascii="Arial" w:hAnsi="Arial" w:cs="Arial"/>
          <w:color w:val="EE0000"/>
          <w:sz w:val="22"/>
          <w:szCs w:val="22"/>
        </w:rPr>
        <w:t>1</w:t>
      </w:r>
      <w:r w:rsidRPr="001A161F">
        <w:rPr>
          <w:rFonts w:ascii="Arial" w:hAnsi="Arial" w:cs="Arial"/>
          <w:sz w:val="22"/>
          <w:szCs w:val="22"/>
        </w:rPr>
        <w:t>, 134.</w:t>
      </w:r>
      <w:r w:rsidR="004B3210" w:rsidRPr="004B3210">
        <w:rPr>
          <w:rFonts w:ascii="Arial" w:hAnsi="Arial" w:cs="Arial"/>
          <w:color w:val="EE0000"/>
          <w:sz w:val="22"/>
          <w:szCs w:val="22"/>
        </w:rPr>
        <w:t>2</w:t>
      </w:r>
      <w:r w:rsidRPr="001A161F">
        <w:rPr>
          <w:rFonts w:ascii="Arial" w:hAnsi="Arial" w:cs="Arial"/>
          <w:sz w:val="22"/>
          <w:szCs w:val="22"/>
        </w:rPr>
        <w:t>, 133.6 (CH=CH), 130.4, 121.1 (CH=CH), 119.3, 118.9, 117.3.</w:t>
      </w:r>
    </w:p>
    <w:p w14:paraId="4E2F0AB9"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 xml:space="preserve">Mp :  128 - 132 °C ; </w:t>
      </w:r>
    </w:p>
    <w:p w14:paraId="7DBB2AB4" w14:textId="77777777" w:rsidR="001A161F" w:rsidRPr="001039D3" w:rsidRDefault="001A161F" w:rsidP="001A161F">
      <w:pPr>
        <w:jc w:val="both"/>
        <w:rPr>
          <w:rFonts w:ascii="Arial" w:hAnsi="Arial" w:cs="Arial"/>
          <w:bCs/>
          <w:spacing w:val="-4"/>
          <w:sz w:val="16"/>
          <w:szCs w:val="16"/>
          <w:highlight w:val="yellow"/>
        </w:rPr>
      </w:pPr>
    </w:p>
    <w:p w14:paraId="106230E2"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(E)-1-(6-chloro-2-methylimidazo[1,2-</w:t>
      </w:r>
      <w:r w:rsidRPr="001A161F">
        <w:rPr>
          <w:rFonts w:ascii="Arial" w:hAnsi="Arial" w:cs="Arial"/>
          <w:i/>
          <w:iCs/>
          <w:sz w:val="22"/>
          <w:szCs w:val="22"/>
        </w:rPr>
        <w:t>a</w:t>
      </w:r>
      <w:r w:rsidRPr="001A161F">
        <w:rPr>
          <w:rFonts w:ascii="Arial" w:hAnsi="Arial" w:cs="Arial"/>
          <w:sz w:val="22"/>
          <w:szCs w:val="22"/>
        </w:rPr>
        <w:t>]pyridin-3-yl)-3-(2-methoxyphenyl)prop-2-en-1-one (</w:t>
      </w:r>
      <w:r w:rsidRPr="001A161F">
        <w:rPr>
          <w:rFonts w:ascii="Arial" w:hAnsi="Arial" w:cs="Arial"/>
          <w:b/>
          <w:bCs/>
          <w:sz w:val="22"/>
          <w:szCs w:val="22"/>
        </w:rPr>
        <w:t>3d</w:t>
      </w:r>
      <w:r w:rsidRPr="001A161F">
        <w:rPr>
          <w:rFonts w:ascii="Arial" w:hAnsi="Arial" w:cs="Arial"/>
          <w:sz w:val="22"/>
          <w:szCs w:val="22"/>
        </w:rPr>
        <w:t xml:space="preserve">) </w:t>
      </w:r>
    </w:p>
    <w:p w14:paraId="21F9FA63"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Brown solid, Yield : 58%. Recrystallization in water/ethanol (1:1)</w:t>
      </w:r>
    </w:p>
    <w:p w14:paraId="0E0768DB" w14:textId="77777777" w:rsidR="001A161F" w:rsidRPr="001A161F" w:rsidRDefault="001A161F" w:rsidP="001A161F">
      <w:pPr>
        <w:jc w:val="both"/>
        <w:rPr>
          <w:rFonts w:ascii="Arial" w:hAnsi="Arial" w:cs="Arial"/>
          <w:sz w:val="22"/>
          <w:szCs w:val="22"/>
        </w:rPr>
      </w:pPr>
      <w:r w:rsidRPr="001A161F">
        <w:rPr>
          <w:rFonts w:ascii="Arial" w:hAnsi="Arial" w:cs="Arial"/>
          <w:sz w:val="22"/>
          <w:szCs w:val="22"/>
          <w:vertAlign w:val="superscript"/>
        </w:rPr>
        <w:t>1</w:t>
      </w:r>
      <w:r w:rsidRPr="001A161F">
        <w:rPr>
          <w:rFonts w:ascii="Arial" w:hAnsi="Arial" w:cs="Arial"/>
          <w:sz w:val="22"/>
          <w:szCs w:val="22"/>
        </w:rPr>
        <w:t>H NMR (300 MHz, DMSO) δ 9.77 (dd</w:t>
      </w:r>
      <w:r w:rsidRPr="001A161F">
        <w:rPr>
          <w:rFonts w:ascii="Arial" w:hAnsi="Arial" w:cs="Arial"/>
          <w:i/>
          <w:iCs/>
          <w:sz w:val="22"/>
          <w:szCs w:val="22"/>
        </w:rPr>
        <w:t>, J</w:t>
      </w:r>
      <w:r w:rsidRPr="001A161F">
        <w:rPr>
          <w:rFonts w:ascii="Arial" w:hAnsi="Arial" w:cs="Arial"/>
          <w:sz w:val="22"/>
          <w:szCs w:val="22"/>
        </w:rPr>
        <w:t xml:space="preserve"> = 2.0, 0.9 Hz, 1H), 7.94 (d, </w:t>
      </w:r>
      <w:r w:rsidRPr="001A161F">
        <w:rPr>
          <w:rFonts w:ascii="Arial" w:hAnsi="Arial" w:cs="Arial"/>
          <w:i/>
          <w:iCs/>
          <w:sz w:val="22"/>
          <w:szCs w:val="22"/>
        </w:rPr>
        <w:t xml:space="preserve">J </w:t>
      </w:r>
      <w:r w:rsidRPr="001A161F">
        <w:rPr>
          <w:rFonts w:ascii="Arial" w:hAnsi="Arial" w:cs="Arial"/>
          <w:sz w:val="22"/>
          <w:szCs w:val="22"/>
        </w:rPr>
        <w:t>= 15.7 Hz, 1H), 7.81 – 7.63 (m, 5H), 7.49 – 7.40 (m, 1H), 7.14 (d,</w:t>
      </w:r>
      <w:r w:rsidRPr="001A161F">
        <w:rPr>
          <w:rFonts w:ascii="Arial" w:hAnsi="Arial" w:cs="Arial"/>
          <w:i/>
          <w:iCs/>
          <w:sz w:val="22"/>
          <w:szCs w:val="22"/>
        </w:rPr>
        <w:t xml:space="preserve"> J</w:t>
      </w:r>
      <w:r w:rsidRPr="001A161F">
        <w:rPr>
          <w:rFonts w:ascii="Arial" w:hAnsi="Arial" w:cs="Arial"/>
          <w:sz w:val="22"/>
          <w:szCs w:val="22"/>
        </w:rPr>
        <w:t xml:space="preserve"> = 8.3 Hz, 1H), 7.04 (t, </w:t>
      </w:r>
      <w:r w:rsidRPr="001A161F">
        <w:rPr>
          <w:rFonts w:ascii="Arial" w:hAnsi="Arial" w:cs="Arial"/>
          <w:i/>
          <w:iCs/>
          <w:sz w:val="22"/>
          <w:szCs w:val="22"/>
        </w:rPr>
        <w:t>J =</w:t>
      </w:r>
      <w:r w:rsidRPr="001A161F">
        <w:rPr>
          <w:rFonts w:ascii="Arial" w:hAnsi="Arial" w:cs="Arial"/>
          <w:sz w:val="22"/>
          <w:szCs w:val="22"/>
        </w:rPr>
        <w:t xml:space="preserve"> 7.4 Hz, 1H), 3.93 (d, </w:t>
      </w:r>
      <w:r w:rsidRPr="001A161F">
        <w:rPr>
          <w:rFonts w:ascii="Arial" w:hAnsi="Arial" w:cs="Arial"/>
          <w:i/>
          <w:iCs/>
          <w:sz w:val="22"/>
          <w:szCs w:val="22"/>
        </w:rPr>
        <w:t xml:space="preserve">J </w:t>
      </w:r>
      <w:r w:rsidRPr="001A161F">
        <w:rPr>
          <w:rFonts w:ascii="Arial" w:hAnsi="Arial" w:cs="Arial"/>
          <w:sz w:val="22"/>
          <w:szCs w:val="22"/>
        </w:rPr>
        <w:t>= 3.2 Hz, 3H), 2.82 (s, 3H).</w:t>
      </w:r>
    </w:p>
    <w:p w14:paraId="4D4E5893" w14:textId="790CB557" w:rsidR="001A161F" w:rsidRPr="001A161F" w:rsidRDefault="001A161F" w:rsidP="001A161F">
      <w:pPr>
        <w:jc w:val="both"/>
        <w:rPr>
          <w:rFonts w:ascii="Arial" w:hAnsi="Arial" w:cs="Arial"/>
          <w:sz w:val="22"/>
          <w:szCs w:val="22"/>
        </w:rPr>
      </w:pPr>
      <w:r w:rsidRPr="001A161F">
        <w:rPr>
          <w:rFonts w:ascii="Arial" w:hAnsi="Arial" w:cs="Arial"/>
          <w:sz w:val="22"/>
          <w:szCs w:val="22"/>
          <w:vertAlign w:val="superscript"/>
        </w:rPr>
        <w:t>13</w:t>
      </w:r>
      <w:r w:rsidRPr="001A161F">
        <w:rPr>
          <w:rFonts w:ascii="Arial" w:hAnsi="Arial" w:cs="Arial"/>
          <w:sz w:val="22"/>
          <w:szCs w:val="22"/>
        </w:rPr>
        <w:t>C NMR (75 MHz, DMSO) δ 179.86 (OCH</w:t>
      </w:r>
      <w:r w:rsidRPr="001A161F">
        <w:rPr>
          <w:rFonts w:ascii="Arial" w:hAnsi="Arial" w:cs="Arial"/>
          <w:sz w:val="22"/>
          <w:szCs w:val="22"/>
          <w:vertAlign w:val="subscript"/>
        </w:rPr>
        <w:t>3</w:t>
      </w:r>
      <w:r w:rsidRPr="001A161F">
        <w:rPr>
          <w:rFonts w:ascii="Arial" w:hAnsi="Arial" w:cs="Arial"/>
          <w:sz w:val="22"/>
          <w:szCs w:val="22"/>
        </w:rPr>
        <w:t>), 137.44 (C=O), 132.</w:t>
      </w:r>
      <w:r w:rsidRPr="004B3210">
        <w:rPr>
          <w:rFonts w:ascii="Arial" w:hAnsi="Arial" w:cs="Arial"/>
          <w:color w:val="EE0000"/>
          <w:sz w:val="22"/>
          <w:szCs w:val="22"/>
        </w:rPr>
        <w:t>0</w:t>
      </w:r>
      <w:r w:rsidRPr="001A161F">
        <w:rPr>
          <w:rFonts w:ascii="Arial" w:hAnsi="Arial" w:cs="Arial"/>
          <w:sz w:val="22"/>
          <w:szCs w:val="22"/>
        </w:rPr>
        <w:t xml:space="preserve"> (CH=CH), 129.</w:t>
      </w:r>
      <w:r w:rsidRPr="004B3210">
        <w:rPr>
          <w:rFonts w:ascii="Arial" w:hAnsi="Arial" w:cs="Arial"/>
          <w:color w:val="EE0000"/>
          <w:sz w:val="22"/>
          <w:szCs w:val="22"/>
        </w:rPr>
        <w:t>9</w:t>
      </w:r>
      <w:r w:rsidRPr="001A161F">
        <w:rPr>
          <w:rFonts w:ascii="Arial" w:hAnsi="Arial" w:cs="Arial"/>
          <w:sz w:val="22"/>
          <w:szCs w:val="22"/>
        </w:rPr>
        <w:t>, 129.</w:t>
      </w:r>
      <w:r w:rsidRPr="004B3210">
        <w:rPr>
          <w:rFonts w:ascii="Arial" w:hAnsi="Arial" w:cs="Arial"/>
          <w:color w:val="EE0000"/>
          <w:sz w:val="22"/>
          <w:szCs w:val="22"/>
        </w:rPr>
        <w:t>7</w:t>
      </w:r>
      <w:r w:rsidRPr="001A161F">
        <w:rPr>
          <w:rFonts w:ascii="Arial" w:hAnsi="Arial" w:cs="Arial"/>
          <w:sz w:val="22"/>
          <w:szCs w:val="22"/>
        </w:rPr>
        <w:t>, 125.</w:t>
      </w:r>
      <w:r w:rsidRPr="004B3210">
        <w:rPr>
          <w:rFonts w:ascii="Arial" w:hAnsi="Arial" w:cs="Arial"/>
          <w:color w:val="EE0000"/>
          <w:sz w:val="22"/>
          <w:szCs w:val="22"/>
        </w:rPr>
        <w:t>9</w:t>
      </w:r>
      <w:r w:rsidRPr="001A161F">
        <w:rPr>
          <w:rFonts w:ascii="Arial" w:hAnsi="Arial" w:cs="Arial"/>
          <w:sz w:val="22"/>
          <w:szCs w:val="22"/>
        </w:rPr>
        <w:t>, 125.08, 121.</w:t>
      </w:r>
      <w:r w:rsidRPr="004B3210">
        <w:rPr>
          <w:rFonts w:ascii="Arial" w:hAnsi="Arial" w:cs="Arial"/>
          <w:color w:val="EE0000"/>
          <w:sz w:val="22"/>
          <w:szCs w:val="22"/>
        </w:rPr>
        <w:t>4</w:t>
      </w:r>
      <w:r w:rsidR="004B3210">
        <w:rPr>
          <w:rFonts w:ascii="Arial" w:hAnsi="Arial" w:cs="Arial"/>
          <w:sz w:val="22"/>
          <w:szCs w:val="22"/>
        </w:rPr>
        <w:t xml:space="preserve"> </w:t>
      </w:r>
      <w:r w:rsidRPr="001A161F">
        <w:rPr>
          <w:rFonts w:ascii="Arial" w:hAnsi="Arial" w:cs="Arial"/>
          <w:sz w:val="22"/>
          <w:szCs w:val="22"/>
        </w:rPr>
        <w:t>(CH=CH), 120.</w:t>
      </w:r>
      <w:r w:rsidRPr="004B3210">
        <w:rPr>
          <w:rFonts w:ascii="Arial" w:hAnsi="Arial" w:cs="Arial"/>
          <w:color w:val="EE0000"/>
          <w:sz w:val="22"/>
          <w:szCs w:val="22"/>
        </w:rPr>
        <w:t>8</w:t>
      </w:r>
      <w:r w:rsidRPr="001A161F">
        <w:rPr>
          <w:rFonts w:ascii="Arial" w:hAnsi="Arial" w:cs="Arial"/>
          <w:sz w:val="22"/>
          <w:szCs w:val="22"/>
        </w:rPr>
        <w:t>, 117.</w:t>
      </w:r>
      <w:r w:rsidR="004B3210" w:rsidRPr="004B3210">
        <w:rPr>
          <w:rFonts w:ascii="Arial" w:hAnsi="Arial" w:cs="Arial"/>
          <w:color w:val="EE0000"/>
          <w:sz w:val="22"/>
          <w:szCs w:val="22"/>
        </w:rPr>
        <w:t>2</w:t>
      </w:r>
      <w:r w:rsidRPr="001A161F">
        <w:rPr>
          <w:rFonts w:ascii="Arial" w:hAnsi="Arial" w:cs="Arial"/>
          <w:sz w:val="22"/>
          <w:szCs w:val="22"/>
        </w:rPr>
        <w:t>, 111.</w:t>
      </w:r>
      <w:r w:rsidRPr="004B3210">
        <w:rPr>
          <w:rFonts w:ascii="Arial" w:hAnsi="Arial" w:cs="Arial"/>
          <w:color w:val="EE0000"/>
          <w:sz w:val="22"/>
          <w:szCs w:val="22"/>
        </w:rPr>
        <w:t>8</w:t>
      </w:r>
      <w:r w:rsidRPr="001A161F">
        <w:rPr>
          <w:rFonts w:ascii="Arial" w:hAnsi="Arial" w:cs="Arial"/>
          <w:sz w:val="22"/>
          <w:szCs w:val="22"/>
        </w:rPr>
        <w:t>, 55.</w:t>
      </w:r>
      <w:r w:rsidRPr="004B3210">
        <w:rPr>
          <w:rFonts w:ascii="Arial" w:hAnsi="Arial" w:cs="Arial"/>
          <w:color w:val="EE0000"/>
          <w:sz w:val="22"/>
          <w:szCs w:val="22"/>
        </w:rPr>
        <w:t>7</w:t>
      </w:r>
      <w:r w:rsidRPr="001A161F">
        <w:rPr>
          <w:rFonts w:ascii="Arial" w:hAnsi="Arial" w:cs="Arial"/>
          <w:sz w:val="22"/>
          <w:szCs w:val="22"/>
        </w:rPr>
        <w:t>, 18.</w:t>
      </w:r>
      <w:r w:rsidR="004B3210" w:rsidRPr="004B3210">
        <w:rPr>
          <w:rFonts w:ascii="Arial" w:hAnsi="Arial" w:cs="Arial"/>
          <w:color w:val="EE0000"/>
          <w:sz w:val="22"/>
          <w:szCs w:val="22"/>
        </w:rPr>
        <w:t>0</w:t>
      </w:r>
      <w:r w:rsidRPr="001A161F">
        <w:rPr>
          <w:rFonts w:ascii="Arial" w:hAnsi="Arial" w:cs="Arial"/>
          <w:sz w:val="22"/>
          <w:szCs w:val="22"/>
        </w:rPr>
        <w:t xml:space="preserve"> (OCH</w:t>
      </w:r>
      <w:r w:rsidRPr="001A161F">
        <w:rPr>
          <w:rFonts w:ascii="Arial" w:hAnsi="Arial" w:cs="Arial"/>
          <w:sz w:val="22"/>
          <w:szCs w:val="22"/>
          <w:vertAlign w:val="subscript"/>
        </w:rPr>
        <w:t>3</w:t>
      </w:r>
      <w:r w:rsidRPr="001A161F">
        <w:rPr>
          <w:rFonts w:ascii="Arial" w:hAnsi="Arial" w:cs="Arial"/>
          <w:sz w:val="22"/>
          <w:szCs w:val="22"/>
        </w:rPr>
        <w:t>).</w:t>
      </w:r>
    </w:p>
    <w:p w14:paraId="5441611A" w14:textId="7BA3BA5A" w:rsidR="001A161F" w:rsidRDefault="001A161F" w:rsidP="001A161F">
      <w:pPr>
        <w:jc w:val="both"/>
        <w:rPr>
          <w:rFonts w:ascii="Arial" w:hAnsi="Arial" w:cs="Arial"/>
          <w:sz w:val="22"/>
          <w:szCs w:val="22"/>
        </w:rPr>
      </w:pPr>
      <w:r w:rsidRPr="001A161F">
        <w:rPr>
          <w:rFonts w:ascii="Arial" w:hAnsi="Arial" w:cs="Arial"/>
          <w:sz w:val="22"/>
          <w:szCs w:val="22"/>
        </w:rPr>
        <w:t xml:space="preserve">Mp: 164 -168°C. </w:t>
      </w:r>
    </w:p>
    <w:p w14:paraId="5330FD10" w14:textId="77777777" w:rsidR="001039D3" w:rsidRPr="001039D3" w:rsidRDefault="001039D3" w:rsidP="001A161F">
      <w:pPr>
        <w:jc w:val="both"/>
        <w:rPr>
          <w:rFonts w:ascii="Arial" w:hAnsi="Arial" w:cs="Arial"/>
          <w:sz w:val="16"/>
          <w:szCs w:val="16"/>
        </w:rPr>
      </w:pPr>
    </w:p>
    <w:p w14:paraId="6B370400"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(E)-1-(6-chloro-2-methylimidazo[1,2-</w:t>
      </w:r>
      <w:r w:rsidRPr="001A161F">
        <w:rPr>
          <w:rFonts w:ascii="Arial" w:hAnsi="Arial" w:cs="Arial"/>
          <w:i/>
          <w:iCs/>
          <w:sz w:val="22"/>
          <w:szCs w:val="22"/>
        </w:rPr>
        <w:t>a</w:t>
      </w:r>
      <w:r w:rsidRPr="001A161F">
        <w:rPr>
          <w:rFonts w:ascii="Arial" w:hAnsi="Arial" w:cs="Arial"/>
          <w:sz w:val="22"/>
          <w:szCs w:val="22"/>
        </w:rPr>
        <w:t>]pyridin-3-yl)-3-(3-methoxyphenyl)prop-2-en-1-one (</w:t>
      </w:r>
      <w:r w:rsidRPr="001A161F">
        <w:rPr>
          <w:rFonts w:ascii="Arial" w:hAnsi="Arial" w:cs="Arial"/>
          <w:b/>
          <w:bCs/>
          <w:sz w:val="22"/>
          <w:szCs w:val="22"/>
        </w:rPr>
        <w:t>3e</w:t>
      </w:r>
      <w:r w:rsidRPr="001A161F">
        <w:rPr>
          <w:rFonts w:ascii="Arial" w:hAnsi="Arial" w:cs="Arial"/>
          <w:sz w:val="22"/>
          <w:szCs w:val="22"/>
        </w:rPr>
        <w:t xml:space="preserve">) </w:t>
      </w:r>
    </w:p>
    <w:p w14:paraId="38A160DF"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Brown solid, Yield : 64%. Recrystallization from ethanol</w:t>
      </w:r>
    </w:p>
    <w:p w14:paraId="220E2201" w14:textId="77777777" w:rsidR="001A161F" w:rsidRPr="001A161F" w:rsidRDefault="001A161F" w:rsidP="001A161F">
      <w:pPr>
        <w:jc w:val="both"/>
        <w:rPr>
          <w:rFonts w:ascii="Arial" w:hAnsi="Arial" w:cs="Arial"/>
          <w:sz w:val="22"/>
          <w:szCs w:val="22"/>
        </w:rPr>
      </w:pPr>
      <w:r w:rsidRPr="001A161F">
        <w:rPr>
          <w:rFonts w:ascii="Arial" w:hAnsi="Arial" w:cs="Arial"/>
          <w:sz w:val="22"/>
          <w:szCs w:val="22"/>
          <w:vertAlign w:val="superscript"/>
        </w:rPr>
        <w:t>1</w:t>
      </w:r>
      <w:r w:rsidRPr="001A161F">
        <w:rPr>
          <w:rFonts w:ascii="Arial" w:hAnsi="Arial" w:cs="Arial"/>
          <w:sz w:val="22"/>
          <w:szCs w:val="22"/>
        </w:rPr>
        <w:t xml:space="preserve">H NMR (300MHz, DMSO-d6) δ: 9.66 (d, 1H, </w:t>
      </w:r>
      <w:r w:rsidRPr="001A161F">
        <w:rPr>
          <w:rFonts w:ascii="Arial" w:hAnsi="Arial" w:cs="Arial"/>
          <w:i/>
          <w:iCs/>
          <w:sz w:val="22"/>
          <w:szCs w:val="22"/>
        </w:rPr>
        <w:t xml:space="preserve">J </w:t>
      </w:r>
      <w:r w:rsidRPr="001A161F">
        <w:rPr>
          <w:rFonts w:ascii="Arial" w:hAnsi="Arial" w:cs="Arial"/>
          <w:sz w:val="22"/>
          <w:szCs w:val="22"/>
        </w:rPr>
        <w:t xml:space="preserve">= 4.5 Hz, H5); 7.75 (d, 1H, </w:t>
      </w:r>
      <w:r w:rsidRPr="001A161F">
        <w:rPr>
          <w:rFonts w:ascii="Arial" w:hAnsi="Arial" w:cs="Arial"/>
          <w:i/>
          <w:iCs/>
          <w:sz w:val="22"/>
          <w:szCs w:val="22"/>
        </w:rPr>
        <w:t>J</w:t>
      </w:r>
      <w:r w:rsidRPr="001A161F">
        <w:rPr>
          <w:rFonts w:ascii="Arial" w:hAnsi="Arial" w:cs="Arial"/>
          <w:sz w:val="22"/>
          <w:szCs w:val="22"/>
        </w:rPr>
        <w:t xml:space="preserve"> = 16 Hz, CH=CH); 7.55 - 7.68 (m, 3H, CH</w:t>
      </w:r>
      <w:r w:rsidRPr="001A161F">
        <w:rPr>
          <w:rFonts w:ascii="Arial" w:hAnsi="Arial" w:cs="Arial"/>
          <w:sz w:val="22"/>
          <w:szCs w:val="22"/>
          <w:vertAlign w:val="subscript"/>
        </w:rPr>
        <w:t>3</w:t>
      </w:r>
      <w:r w:rsidRPr="001A161F">
        <w:rPr>
          <w:rFonts w:ascii="Arial" w:hAnsi="Arial" w:cs="Arial"/>
          <w:sz w:val="22"/>
          <w:szCs w:val="22"/>
        </w:rPr>
        <w:t xml:space="preserve">-Ph-6, H7 and H8); 7.48 (d, 1H, </w:t>
      </w:r>
      <w:r w:rsidRPr="001A161F">
        <w:rPr>
          <w:rFonts w:ascii="Arial" w:hAnsi="Arial" w:cs="Arial"/>
          <w:i/>
          <w:iCs/>
          <w:sz w:val="22"/>
          <w:szCs w:val="22"/>
        </w:rPr>
        <w:t>J =</w:t>
      </w:r>
      <w:r w:rsidRPr="001A161F">
        <w:rPr>
          <w:rFonts w:ascii="Arial" w:hAnsi="Arial" w:cs="Arial"/>
          <w:sz w:val="22"/>
          <w:szCs w:val="22"/>
        </w:rPr>
        <w:t xml:space="preserve"> 16 Hz, CH=CH); 7.15 - 7.44 (m, 4H, CH</w:t>
      </w:r>
      <w:r w:rsidRPr="001A161F">
        <w:rPr>
          <w:rFonts w:ascii="Arial" w:hAnsi="Arial" w:cs="Arial"/>
          <w:sz w:val="22"/>
          <w:szCs w:val="22"/>
          <w:vertAlign w:val="subscript"/>
        </w:rPr>
        <w:t>3</w:t>
      </w:r>
      <w:r w:rsidRPr="001A161F">
        <w:rPr>
          <w:rFonts w:ascii="Arial" w:hAnsi="Arial" w:cs="Arial"/>
          <w:sz w:val="22"/>
          <w:szCs w:val="22"/>
        </w:rPr>
        <w:t>-Ph-3,4,5 and H6); 2.89 (s, 3H, CH</w:t>
      </w:r>
      <w:r w:rsidRPr="001A161F">
        <w:rPr>
          <w:rFonts w:ascii="Arial" w:hAnsi="Arial" w:cs="Arial"/>
          <w:sz w:val="22"/>
          <w:szCs w:val="22"/>
          <w:vertAlign w:val="subscript"/>
        </w:rPr>
        <w:t>3</w:t>
      </w:r>
      <w:r w:rsidRPr="001A161F">
        <w:rPr>
          <w:rFonts w:ascii="Arial" w:hAnsi="Arial" w:cs="Arial"/>
          <w:sz w:val="22"/>
          <w:szCs w:val="22"/>
        </w:rPr>
        <w:t>), 2.33 (s, 3H, CH</w:t>
      </w:r>
      <w:r w:rsidRPr="001A161F">
        <w:rPr>
          <w:rFonts w:ascii="Arial" w:hAnsi="Arial" w:cs="Arial"/>
          <w:sz w:val="22"/>
          <w:szCs w:val="22"/>
          <w:vertAlign w:val="subscript"/>
        </w:rPr>
        <w:t>3</w:t>
      </w:r>
      <w:r w:rsidRPr="001A161F">
        <w:rPr>
          <w:rFonts w:ascii="Arial" w:hAnsi="Arial" w:cs="Arial"/>
          <w:sz w:val="22"/>
          <w:szCs w:val="22"/>
        </w:rPr>
        <w:t xml:space="preserve">-Ph). </w:t>
      </w:r>
    </w:p>
    <w:p w14:paraId="133B55C9" w14:textId="77777777" w:rsidR="001A161F" w:rsidRPr="001A161F" w:rsidRDefault="001A161F" w:rsidP="001A161F">
      <w:pPr>
        <w:jc w:val="both"/>
        <w:rPr>
          <w:rFonts w:ascii="Arial" w:hAnsi="Arial" w:cs="Arial"/>
          <w:sz w:val="22"/>
          <w:szCs w:val="22"/>
        </w:rPr>
      </w:pPr>
      <w:r w:rsidRPr="001A161F">
        <w:rPr>
          <w:rFonts w:ascii="Arial" w:hAnsi="Arial" w:cs="Arial"/>
          <w:sz w:val="22"/>
          <w:szCs w:val="22"/>
          <w:vertAlign w:val="superscript"/>
        </w:rPr>
        <w:t>13</w:t>
      </w:r>
      <w:r w:rsidRPr="001A161F">
        <w:rPr>
          <w:rFonts w:ascii="Arial" w:hAnsi="Arial" w:cs="Arial"/>
          <w:sz w:val="22"/>
          <w:szCs w:val="22"/>
        </w:rPr>
        <w:t>C NMR (75MHz, DMSO-d6) δ: 179.4 (C=O), 152.0, 146.5, 141.5, 140.9, 132.0, 128.4, 125.4, 124.9, 124.5, 122.5, 121.7 (CH=CH), 120.3, 120.2, 117.1, 114.7, 21.1, 18.1 CH</w:t>
      </w:r>
      <w:r w:rsidRPr="001A161F">
        <w:rPr>
          <w:rFonts w:ascii="Arial" w:hAnsi="Arial" w:cs="Arial"/>
          <w:sz w:val="22"/>
          <w:szCs w:val="22"/>
          <w:vertAlign w:val="subscript"/>
        </w:rPr>
        <w:t>3</w:t>
      </w:r>
      <w:r w:rsidRPr="001A161F">
        <w:rPr>
          <w:rFonts w:ascii="Arial" w:hAnsi="Arial" w:cs="Arial"/>
          <w:sz w:val="22"/>
          <w:szCs w:val="22"/>
        </w:rPr>
        <w:t xml:space="preserve">. </w:t>
      </w:r>
    </w:p>
    <w:p w14:paraId="6656B631"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 xml:space="preserve">Mp: 159-163°C. </w:t>
      </w:r>
    </w:p>
    <w:p w14:paraId="27985C28" w14:textId="77777777" w:rsidR="001A161F" w:rsidRPr="001039D3" w:rsidRDefault="001A161F" w:rsidP="001A161F">
      <w:pPr>
        <w:jc w:val="both"/>
        <w:rPr>
          <w:rFonts w:ascii="Arial" w:hAnsi="Arial" w:cs="Arial"/>
          <w:sz w:val="16"/>
          <w:szCs w:val="16"/>
        </w:rPr>
      </w:pPr>
    </w:p>
    <w:p w14:paraId="1B1422A8"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(E)-1-(6-chloro-2-methylimidazo[1,2-</w:t>
      </w:r>
      <w:r w:rsidRPr="001A161F">
        <w:rPr>
          <w:rFonts w:ascii="Arial" w:hAnsi="Arial" w:cs="Arial"/>
          <w:i/>
          <w:iCs/>
          <w:sz w:val="22"/>
          <w:szCs w:val="22"/>
        </w:rPr>
        <w:t>a</w:t>
      </w:r>
      <w:r w:rsidRPr="001A161F">
        <w:rPr>
          <w:rFonts w:ascii="Arial" w:hAnsi="Arial" w:cs="Arial"/>
          <w:sz w:val="22"/>
          <w:szCs w:val="22"/>
        </w:rPr>
        <w:t>]pyridin-3-yl)-3-(2,4-dimethoxyphenyl)prop-2-en-1-one (</w:t>
      </w:r>
      <w:r w:rsidRPr="001A161F">
        <w:rPr>
          <w:rFonts w:ascii="Arial" w:hAnsi="Arial" w:cs="Arial"/>
          <w:b/>
          <w:bCs/>
          <w:sz w:val="22"/>
          <w:szCs w:val="22"/>
        </w:rPr>
        <w:t>3f</w:t>
      </w:r>
      <w:r w:rsidRPr="001A161F">
        <w:rPr>
          <w:rFonts w:ascii="Arial" w:hAnsi="Arial" w:cs="Arial"/>
          <w:sz w:val="22"/>
          <w:szCs w:val="22"/>
        </w:rPr>
        <w:t>)</w:t>
      </w:r>
    </w:p>
    <w:p w14:paraId="6E823C61"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Green solid, Yield : 58%. recrystallization in Ethyl Acetate /ethanol (1:1)</w:t>
      </w:r>
    </w:p>
    <w:p w14:paraId="15533BAB" w14:textId="77777777" w:rsidR="001A161F" w:rsidRPr="001A161F" w:rsidRDefault="001A161F" w:rsidP="001A161F">
      <w:pPr>
        <w:jc w:val="both"/>
        <w:rPr>
          <w:rFonts w:ascii="Arial" w:hAnsi="Arial" w:cs="Arial"/>
          <w:sz w:val="22"/>
          <w:szCs w:val="22"/>
        </w:rPr>
      </w:pPr>
      <w:r w:rsidRPr="001A161F">
        <w:rPr>
          <w:rFonts w:ascii="Arial" w:hAnsi="Arial" w:cs="Arial"/>
          <w:sz w:val="22"/>
          <w:szCs w:val="22"/>
          <w:vertAlign w:val="superscript"/>
        </w:rPr>
        <w:t>1</w:t>
      </w:r>
      <w:r w:rsidRPr="001A161F">
        <w:rPr>
          <w:rFonts w:ascii="Arial" w:hAnsi="Arial" w:cs="Arial"/>
          <w:sz w:val="22"/>
          <w:szCs w:val="22"/>
        </w:rPr>
        <w:t>H NMR (300 MHz, DMSO) δ 9.77 (dd</w:t>
      </w:r>
      <w:r w:rsidRPr="001A161F">
        <w:rPr>
          <w:rFonts w:ascii="Arial" w:hAnsi="Arial" w:cs="Arial"/>
          <w:i/>
          <w:iCs/>
          <w:sz w:val="22"/>
          <w:szCs w:val="22"/>
        </w:rPr>
        <w:t>, J =</w:t>
      </w:r>
      <w:r w:rsidRPr="001A161F">
        <w:rPr>
          <w:rFonts w:ascii="Arial" w:hAnsi="Arial" w:cs="Arial"/>
          <w:sz w:val="22"/>
          <w:szCs w:val="22"/>
        </w:rPr>
        <w:t xml:space="preserve"> 2.1, 0.9 Hz, 1H, H7), 7.88 (d,</w:t>
      </w:r>
      <w:r w:rsidRPr="001A161F">
        <w:rPr>
          <w:rFonts w:ascii="Arial" w:hAnsi="Arial" w:cs="Arial"/>
          <w:i/>
          <w:iCs/>
          <w:sz w:val="22"/>
          <w:szCs w:val="22"/>
        </w:rPr>
        <w:t xml:space="preserve"> J</w:t>
      </w:r>
      <w:r w:rsidRPr="001A161F">
        <w:rPr>
          <w:rFonts w:ascii="Arial" w:hAnsi="Arial" w:cs="Arial"/>
          <w:sz w:val="22"/>
          <w:szCs w:val="22"/>
        </w:rPr>
        <w:t xml:space="preserve"> = 15.6 Hz, 1H, CH=CH), 7.80 – 7.54 (m, 4H, H-5, H-8, Ph-3), 7.51 (d, 1H, </w:t>
      </w:r>
      <w:r w:rsidRPr="001A161F">
        <w:rPr>
          <w:rFonts w:ascii="Arial" w:hAnsi="Arial" w:cs="Arial"/>
          <w:i/>
          <w:iCs/>
          <w:sz w:val="22"/>
          <w:szCs w:val="22"/>
        </w:rPr>
        <w:t>J</w:t>
      </w:r>
      <w:r w:rsidRPr="001A161F">
        <w:rPr>
          <w:rFonts w:ascii="Arial" w:hAnsi="Arial" w:cs="Arial"/>
          <w:sz w:val="22"/>
          <w:szCs w:val="22"/>
        </w:rPr>
        <w:t xml:space="preserve"> = 15.8 Hz, CH=CH), 6.72 – 6.58 (m, 2H, </w:t>
      </w:r>
      <w:r w:rsidRPr="001A161F">
        <w:rPr>
          <w:rFonts w:ascii="Arial" w:hAnsi="Arial" w:cs="Arial"/>
          <w:sz w:val="22"/>
          <w:szCs w:val="22"/>
        </w:rPr>
        <w:lastRenderedPageBreak/>
        <w:t>Ph-5,6), 3.96 – 3.81 (m, 6H, 2,4-0CH</w:t>
      </w:r>
      <w:r w:rsidRPr="001A161F">
        <w:rPr>
          <w:rFonts w:ascii="Arial" w:hAnsi="Arial" w:cs="Arial"/>
          <w:sz w:val="22"/>
          <w:szCs w:val="22"/>
          <w:vertAlign w:val="subscript"/>
        </w:rPr>
        <w:t>3</w:t>
      </w:r>
      <w:r w:rsidRPr="001A161F">
        <w:rPr>
          <w:rFonts w:ascii="Arial" w:hAnsi="Arial" w:cs="Arial"/>
          <w:sz w:val="22"/>
          <w:szCs w:val="22"/>
        </w:rPr>
        <w:t>), 2.80 (s, 3H, (s, 3H, CH</w:t>
      </w:r>
      <w:r w:rsidRPr="001A161F">
        <w:rPr>
          <w:rFonts w:ascii="Arial" w:hAnsi="Arial" w:cs="Arial"/>
          <w:sz w:val="22"/>
          <w:szCs w:val="22"/>
          <w:vertAlign w:val="subscript"/>
        </w:rPr>
        <w:t>3</w:t>
      </w:r>
      <w:r w:rsidRPr="001A161F">
        <w:rPr>
          <w:rFonts w:ascii="Arial" w:hAnsi="Arial" w:cs="Arial"/>
          <w:sz w:val="22"/>
          <w:szCs w:val="22"/>
        </w:rPr>
        <w:t>).</w:t>
      </w:r>
    </w:p>
    <w:p w14:paraId="3524CE49" w14:textId="77777777" w:rsidR="001A161F" w:rsidRPr="001A161F" w:rsidRDefault="001A161F" w:rsidP="001A161F">
      <w:pPr>
        <w:jc w:val="both"/>
        <w:rPr>
          <w:rFonts w:ascii="Arial" w:hAnsi="Arial" w:cs="Arial"/>
          <w:sz w:val="22"/>
          <w:szCs w:val="22"/>
        </w:rPr>
      </w:pPr>
      <w:r w:rsidRPr="001A161F">
        <w:rPr>
          <w:rFonts w:ascii="Arial" w:hAnsi="Arial" w:cs="Arial"/>
          <w:sz w:val="22"/>
          <w:szCs w:val="22"/>
          <w:vertAlign w:val="superscript"/>
        </w:rPr>
        <w:t>13</w:t>
      </w:r>
      <w:r w:rsidRPr="001A161F">
        <w:rPr>
          <w:rFonts w:ascii="Arial" w:hAnsi="Arial" w:cs="Arial"/>
          <w:sz w:val="22"/>
          <w:szCs w:val="22"/>
        </w:rPr>
        <w:t>C NMR (75 MHz, DMSO) δ 179.9 (C=O), 137.8, 131.5, 129.6 (CH=CH), 125.9, 122.4, 117.1 (CH=CH), 115.92 106.3, 98.5, 55.8, 55.5, 18.0 (CH</w:t>
      </w:r>
      <w:r w:rsidRPr="001A161F">
        <w:rPr>
          <w:rFonts w:ascii="Arial" w:hAnsi="Arial" w:cs="Arial"/>
          <w:sz w:val="22"/>
          <w:szCs w:val="22"/>
          <w:vertAlign w:val="subscript"/>
        </w:rPr>
        <w:t>3</w:t>
      </w:r>
      <w:r w:rsidRPr="001A161F">
        <w:rPr>
          <w:rFonts w:ascii="Arial" w:hAnsi="Arial" w:cs="Arial"/>
          <w:sz w:val="22"/>
          <w:szCs w:val="22"/>
        </w:rPr>
        <w:t>).</w:t>
      </w:r>
    </w:p>
    <w:p w14:paraId="600AA514"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 xml:space="preserve">Mp :  168 - 172 °C ; </w:t>
      </w:r>
    </w:p>
    <w:p w14:paraId="2A887039" w14:textId="77777777" w:rsidR="001A161F" w:rsidRPr="001039D3" w:rsidRDefault="001A161F" w:rsidP="001A161F">
      <w:pPr>
        <w:jc w:val="both"/>
        <w:rPr>
          <w:rFonts w:ascii="Arial" w:hAnsi="Arial" w:cs="Arial"/>
          <w:sz w:val="16"/>
          <w:szCs w:val="16"/>
        </w:rPr>
      </w:pPr>
    </w:p>
    <w:p w14:paraId="4F45FA2C"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(E)-1-(6-chloro-2-methylimidazo[1,2-</w:t>
      </w:r>
      <w:r w:rsidRPr="001A161F">
        <w:rPr>
          <w:rFonts w:ascii="Arial" w:hAnsi="Arial" w:cs="Arial"/>
          <w:i/>
          <w:iCs/>
          <w:sz w:val="22"/>
          <w:szCs w:val="22"/>
        </w:rPr>
        <w:t>a]</w:t>
      </w:r>
      <w:r w:rsidRPr="001A161F">
        <w:rPr>
          <w:rFonts w:ascii="Arial" w:hAnsi="Arial" w:cs="Arial"/>
          <w:sz w:val="22"/>
          <w:szCs w:val="22"/>
        </w:rPr>
        <w:t>pyridin-3-yl)-3-(m-tolyl)prop-2-en-1-one (</w:t>
      </w:r>
      <w:r w:rsidRPr="001A161F">
        <w:rPr>
          <w:rFonts w:ascii="Arial" w:hAnsi="Arial" w:cs="Arial"/>
          <w:b/>
          <w:bCs/>
          <w:sz w:val="22"/>
          <w:szCs w:val="22"/>
        </w:rPr>
        <w:t>3g</w:t>
      </w:r>
      <w:r w:rsidRPr="001A161F">
        <w:rPr>
          <w:rFonts w:ascii="Arial" w:hAnsi="Arial" w:cs="Arial"/>
          <w:sz w:val="22"/>
          <w:szCs w:val="22"/>
        </w:rPr>
        <w:t xml:space="preserve">) </w:t>
      </w:r>
    </w:p>
    <w:p w14:paraId="4A9B3E0E"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 xml:space="preserve">Brown Solid, yield : 45 %. , Recrystallization in water/ethanol (1:1). </w:t>
      </w:r>
    </w:p>
    <w:p w14:paraId="40A87148" w14:textId="77777777" w:rsidR="001A161F" w:rsidRPr="001A161F" w:rsidRDefault="001A161F" w:rsidP="001A161F">
      <w:pPr>
        <w:jc w:val="both"/>
        <w:rPr>
          <w:rFonts w:ascii="Arial" w:hAnsi="Arial" w:cs="Arial"/>
          <w:sz w:val="22"/>
          <w:szCs w:val="22"/>
        </w:rPr>
      </w:pPr>
      <w:r w:rsidRPr="001A161F">
        <w:rPr>
          <w:rFonts w:ascii="Arial" w:hAnsi="Arial" w:cs="Arial"/>
          <w:sz w:val="22"/>
          <w:szCs w:val="22"/>
          <w:vertAlign w:val="superscript"/>
        </w:rPr>
        <w:t>1</w:t>
      </w:r>
      <w:r w:rsidRPr="001A161F">
        <w:rPr>
          <w:rFonts w:ascii="Arial" w:hAnsi="Arial" w:cs="Arial"/>
          <w:sz w:val="22"/>
          <w:szCs w:val="22"/>
        </w:rPr>
        <w:t>H NMR (300 MHz, CDCl</w:t>
      </w:r>
      <w:r w:rsidRPr="001A161F">
        <w:rPr>
          <w:rFonts w:ascii="Arial" w:hAnsi="Arial" w:cs="Arial"/>
          <w:sz w:val="22"/>
          <w:szCs w:val="22"/>
          <w:vertAlign w:val="subscript"/>
        </w:rPr>
        <w:t>3</w:t>
      </w:r>
      <w:r w:rsidRPr="001A161F">
        <w:rPr>
          <w:rFonts w:ascii="Arial" w:hAnsi="Arial" w:cs="Arial"/>
          <w:sz w:val="22"/>
          <w:szCs w:val="22"/>
        </w:rPr>
        <w:t>) δ 9.91 – 9.84 (m, 1H, H8), 7.80 (d,</w:t>
      </w:r>
      <w:r w:rsidRPr="001A161F">
        <w:rPr>
          <w:rFonts w:ascii="Arial" w:hAnsi="Arial" w:cs="Arial"/>
          <w:i/>
          <w:iCs/>
          <w:sz w:val="22"/>
          <w:szCs w:val="22"/>
        </w:rPr>
        <w:t xml:space="preserve"> J</w:t>
      </w:r>
      <w:r w:rsidRPr="001A161F">
        <w:rPr>
          <w:rFonts w:ascii="Arial" w:hAnsi="Arial" w:cs="Arial"/>
          <w:sz w:val="22"/>
          <w:szCs w:val="22"/>
        </w:rPr>
        <w:t xml:space="preserve"> = 15.5 Hz, 1H, CH=CH), 7.63 – 7.54 (m, 3H, H7, PH-2,4), 7.41 (dd</w:t>
      </w:r>
      <w:r w:rsidRPr="001A161F">
        <w:rPr>
          <w:rFonts w:ascii="Arial" w:hAnsi="Arial" w:cs="Arial"/>
          <w:i/>
          <w:iCs/>
          <w:sz w:val="22"/>
          <w:szCs w:val="22"/>
        </w:rPr>
        <w:t>, J</w:t>
      </w:r>
      <w:r w:rsidRPr="001A161F">
        <w:rPr>
          <w:rFonts w:ascii="Arial" w:hAnsi="Arial" w:cs="Arial"/>
          <w:sz w:val="22"/>
          <w:szCs w:val="22"/>
        </w:rPr>
        <w:t xml:space="preserve"> = 9.4, 2.0 Hz, 1H, H7), 7.26 (s, 1H, H-5), 7.00 – 6.89 (m, 2H, PH-5,6), 2.90 (s, 3H, CH</w:t>
      </w:r>
      <w:r w:rsidRPr="001A161F">
        <w:rPr>
          <w:rFonts w:ascii="Cambria Math" w:hAnsi="Cambria Math" w:cs="Cambria Math"/>
          <w:sz w:val="22"/>
          <w:szCs w:val="22"/>
        </w:rPr>
        <w:t>₃</w:t>
      </w:r>
      <w:r w:rsidRPr="001A161F">
        <w:rPr>
          <w:rFonts w:ascii="Arial" w:hAnsi="Arial" w:cs="Arial"/>
          <w:sz w:val="22"/>
          <w:szCs w:val="22"/>
        </w:rPr>
        <w:t>); 2.35 (s, 3H, CH</w:t>
      </w:r>
      <w:r w:rsidRPr="001A161F">
        <w:rPr>
          <w:rFonts w:ascii="Cambria Math" w:hAnsi="Cambria Math" w:cs="Cambria Math"/>
          <w:sz w:val="22"/>
          <w:szCs w:val="22"/>
        </w:rPr>
        <w:t>₃</w:t>
      </w:r>
      <w:r w:rsidRPr="001A161F">
        <w:rPr>
          <w:rFonts w:ascii="Arial" w:hAnsi="Arial" w:cs="Arial"/>
          <w:sz w:val="22"/>
          <w:szCs w:val="22"/>
        </w:rPr>
        <w:t>).</w:t>
      </w:r>
    </w:p>
    <w:p w14:paraId="190EBAF7" w14:textId="774DFFC4" w:rsidR="001A161F" w:rsidRPr="001A161F" w:rsidRDefault="001A161F" w:rsidP="001A161F">
      <w:pPr>
        <w:jc w:val="both"/>
        <w:rPr>
          <w:rFonts w:ascii="Arial" w:hAnsi="Arial" w:cs="Arial"/>
          <w:sz w:val="22"/>
          <w:szCs w:val="22"/>
        </w:rPr>
      </w:pPr>
      <w:r w:rsidRPr="001A161F">
        <w:rPr>
          <w:rFonts w:ascii="Arial" w:hAnsi="Arial" w:cs="Arial"/>
          <w:sz w:val="22"/>
          <w:szCs w:val="22"/>
          <w:vertAlign w:val="superscript"/>
        </w:rPr>
        <w:t>13</w:t>
      </w:r>
      <w:r w:rsidRPr="001A161F">
        <w:rPr>
          <w:rFonts w:ascii="Arial" w:hAnsi="Arial" w:cs="Arial"/>
          <w:sz w:val="22"/>
          <w:szCs w:val="22"/>
        </w:rPr>
        <w:t>C NMR (75 MHz, CDCl</w:t>
      </w:r>
      <w:r w:rsidRPr="001A161F">
        <w:rPr>
          <w:rFonts w:ascii="Arial" w:hAnsi="Arial" w:cs="Arial"/>
          <w:sz w:val="22"/>
          <w:szCs w:val="22"/>
          <w:vertAlign w:val="subscript"/>
        </w:rPr>
        <w:t>3</w:t>
      </w:r>
      <w:r w:rsidRPr="001A161F">
        <w:rPr>
          <w:rFonts w:ascii="Arial" w:hAnsi="Arial" w:cs="Arial"/>
          <w:sz w:val="22"/>
          <w:szCs w:val="22"/>
        </w:rPr>
        <w:t>) δ 180.28 (C=O), 161.</w:t>
      </w:r>
      <w:r w:rsidR="00171778" w:rsidRPr="00171778">
        <w:rPr>
          <w:rFonts w:ascii="Arial" w:hAnsi="Arial" w:cs="Arial"/>
          <w:color w:val="EE0000"/>
          <w:sz w:val="22"/>
          <w:szCs w:val="22"/>
        </w:rPr>
        <w:t>7</w:t>
      </w:r>
      <w:r w:rsidRPr="001A161F">
        <w:rPr>
          <w:rFonts w:ascii="Arial" w:hAnsi="Arial" w:cs="Arial"/>
          <w:sz w:val="22"/>
          <w:szCs w:val="22"/>
        </w:rPr>
        <w:t>, 151.92, 145.</w:t>
      </w:r>
      <w:r w:rsidRPr="00171778">
        <w:rPr>
          <w:rFonts w:ascii="Arial" w:hAnsi="Arial" w:cs="Arial"/>
          <w:color w:val="EE0000"/>
          <w:sz w:val="22"/>
          <w:szCs w:val="22"/>
        </w:rPr>
        <w:t>3</w:t>
      </w:r>
      <w:r w:rsidRPr="001A161F">
        <w:rPr>
          <w:rFonts w:ascii="Arial" w:hAnsi="Arial" w:cs="Arial"/>
          <w:sz w:val="22"/>
          <w:szCs w:val="22"/>
        </w:rPr>
        <w:t>, 142.9, 130.</w:t>
      </w:r>
      <w:r w:rsidR="00171778" w:rsidRPr="00171778">
        <w:rPr>
          <w:rFonts w:ascii="Arial" w:hAnsi="Arial" w:cs="Arial"/>
          <w:color w:val="EE0000"/>
          <w:sz w:val="22"/>
          <w:szCs w:val="22"/>
        </w:rPr>
        <w:t>6</w:t>
      </w:r>
      <w:r w:rsidRPr="001A161F">
        <w:rPr>
          <w:rFonts w:ascii="Arial" w:hAnsi="Arial" w:cs="Arial"/>
          <w:sz w:val="22"/>
          <w:szCs w:val="22"/>
        </w:rPr>
        <w:t>, 130.</w:t>
      </w:r>
      <w:r w:rsidR="00171778" w:rsidRPr="00171778">
        <w:rPr>
          <w:rFonts w:ascii="Arial" w:hAnsi="Arial" w:cs="Arial"/>
          <w:color w:val="EE0000"/>
          <w:sz w:val="22"/>
          <w:szCs w:val="22"/>
        </w:rPr>
        <w:t>1</w:t>
      </w:r>
      <w:r w:rsidRPr="001A161F">
        <w:rPr>
          <w:rFonts w:ascii="Arial" w:hAnsi="Arial" w:cs="Arial"/>
          <w:sz w:val="22"/>
          <w:szCs w:val="22"/>
        </w:rPr>
        <w:t>, 129.</w:t>
      </w:r>
      <w:r w:rsidRPr="00171778">
        <w:rPr>
          <w:rFonts w:ascii="Arial" w:hAnsi="Arial" w:cs="Arial"/>
          <w:color w:val="EE0000"/>
          <w:sz w:val="22"/>
          <w:szCs w:val="22"/>
        </w:rPr>
        <w:t>9</w:t>
      </w:r>
      <w:r w:rsidRPr="001A161F">
        <w:rPr>
          <w:rFonts w:ascii="Arial" w:hAnsi="Arial" w:cs="Arial"/>
          <w:sz w:val="22"/>
          <w:szCs w:val="22"/>
        </w:rPr>
        <w:t>, 128.</w:t>
      </w:r>
      <w:r w:rsidRPr="00171778">
        <w:rPr>
          <w:rFonts w:ascii="Arial" w:hAnsi="Arial" w:cs="Arial"/>
          <w:color w:val="EE0000"/>
          <w:sz w:val="22"/>
          <w:szCs w:val="22"/>
        </w:rPr>
        <w:t>8</w:t>
      </w:r>
      <w:r w:rsidR="00171778">
        <w:rPr>
          <w:rFonts w:ascii="Arial" w:hAnsi="Arial" w:cs="Arial"/>
          <w:sz w:val="22"/>
          <w:szCs w:val="22"/>
        </w:rPr>
        <w:t xml:space="preserve"> </w:t>
      </w:r>
      <w:r w:rsidRPr="001A161F">
        <w:rPr>
          <w:rFonts w:ascii="Arial" w:hAnsi="Arial" w:cs="Arial"/>
          <w:sz w:val="22"/>
          <w:szCs w:val="22"/>
        </w:rPr>
        <w:t>(CH=CH), 127.</w:t>
      </w:r>
      <w:r w:rsidR="00171778" w:rsidRPr="00171778">
        <w:rPr>
          <w:rFonts w:ascii="Arial" w:hAnsi="Arial" w:cs="Arial"/>
          <w:color w:val="EE0000"/>
          <w:sz w:val="22"/>
          <w:szCs w:val="22"/>
        </w:rPr>
        <w:t>6</w:t>
      </w:r>
      <w:r w:rsidRPr="001A161F">
        <w:rPr>
          <w:rFonts w:ascii="Arial" w:hAnsi="Arial" w:cs="Arial"/>
          <w:sz w:val="22"/>
          <w:szCs w:val="22"/>
        </w:rPr>
        <w:t>, 127.</w:t>
      </w:r>
      <w:r w:rsidR="00171778" w:rsidRPr="00171778">
        <w:rPr>
          <w:rFonts w:ascii="Arial" w:hAnsi="Arial" w:cs="Arial"/>
          <w:color w:val="EE0000"/>
          <w:sz w:val="22"/>
          <w:szCs w:val="22"/>
        </w:rPr>
        <w:t>1</w:t>
      </w:r>
      <w:r w:rsidRPr="001A161F">
        <w:rPr>
          <w:rFonts w:ascii="Arial" w:hAnsi="Arial" w:cs="Arial"/>
          <w:sz w:val="22"/>
          <w:szCs w:val="22"/>
        </w:rPr>
        <w:t>, 126.</w:t>
      </w:r>
      <w:r w:rsidRPr="00171778">
        <w:rPr>
          <w:rFonts w:ascii="Arial" w:hAnsi="Arial" w:cs="Arial"/>
          <w:color w:val="EE0000"/>
          <w:sz w:val="22"/>
          <w:szCs w:val="22"/>
        </w:rPr>
        <w:t>6</w:t>
      </w:r>
      <w:r w:rsidRPr="001A161F">
        <w:rPr>
          <w:rFonts w:ascii="Arial" w:hAnsi="Arial" w:cs="Arial"/>
          <w:sz w:val="22"/>
          <w:szCs w:val="22"/>
        </w:rPr>
        <w:t>, 122.</w:t>
      </w:r>
      <w:r w:rsidRPr="00171778">
        <w:rPr>
          <w:rFonts w:ascii="Arial" w:hAnsi="Arial" w:cs="Arial"/>
          <w:color w:val="EE0000"/>
          <w:sz w:val="22"/>
          <w:szCs w:val="22"/>
        </w:rPr>
        <w:t>5</w:t>
      </w:r>
      <w:r w:rsidRPr="001A161F">
        <w:rPr>
          <w:rFonts w:ascii="Arial" w:hAnsi="Arial" w:cs="Arial"/>
          <w:sz w:val="22"/>
          <w:szCs w:val="22"/>
        </w:rPr>
        <w:t>, 121.</w:t>
      </w:r>
      <w:r w:rsidRPr="00171778">
        <w:rPr>
          <w:rFonts w:ascii="Arial" w:hAnsi="Arial" w:cs="Arial"/>
          <w:color w:val="EE0000"/>
          <w:sz w:val="22"/>
          <w:szCs w:val="22"/>
        </w:rPr>
        <w:t>9</w:t>
      </w:r>
      <w:r w:rsidRPr="001A161F">
        <w:rPr>
          <w:rFonts w:ascii="Arial" w:hAnsi="Arial" w:cs="Arial"/>
          <w:sz w:val="22"/>
          <w:szCs w:val="22"/>
        </w:rPr>
        <w:t>, 116.</w:t>
      </w:r>
      <w:r w:rsidRPr="00171778">
        <w:rPr>
          <w:rFonts w:ascii="Arial" w:hAnsi="Arial" w:cs="Arial"/>
          <w:color w:val="EE0000"/>
          <w:sz w:val="22"/>
          <w:szCs w:val="22"/>
        </w:rPr>
        <w:t>7</w:t>
      </w:r>
      <w:r w:rsidR="00171778">
        <w:rPr>
          <w:rFonts w:ascii="Arial" w:hAnsi="Arial" w:cs="Arial"/>
          <w:sz w:val="22"/>
          <w:szCs w:val="22"/>
        </w:rPr>
        <w:t xml:space="preserve"> </w:t>
      </w:r>
      <w:r w:rsidRPr="001A161F">
        <w:rPr>
          <w:rFonts w:ascii="Arial" w:hAnsi="Arial" w:cs="Arial"/>
          <w:sz w:val="22"/>
          <w:szCs w:val="22"/>
        </w:rPr>
        <w:t>(CH=CH), 116.</w:t>
      </w:r>
      <w:r w:rsidRPr="00171778">
        <w:rPr>
          <w:rFonts w:ascii="Arial" w:hAnsi="Arial" w:cs="Arial"/>
          <w:color w:val="EE0000"/>
          <w:sz w:val="22"/>
          <w:szCs w:val="22"/>
        </w:rPr>
        <w:t>5</w:t>
      </w:r>
      <w:r w:rsidRPr="001A161F">
        <w:rPr>
          <w:rFonts w:ascii="Arial" w:hAnsi="Arial" w:cs="Arial"/>
          <w:sz w:val="22"/>
          <w:szCs w:val="22"/>
        </w:rPr>
        <w:t>, 114.</w:t>
      </w:r>
      <w:r w:rsidRPr="00171778">
        <w:rPr>
          <w:rFonts w:ascii="Arial" w:hAnsi="Arial" w:cs="Arial"/>
          <w:color w:val="EE0000"/>
          <w:sz w:val="22"/>
          <w:szCs w:val="22"/>
        </w:rPr>
        <w:t>5</w:t>
      </w:r>
      <w:r w:rsidRPr="001A161F">
        <w:rPr>
          <w:rFonts w:ascii="Arial" w:hAnsi="Arial" w:cs="Arial"/>
          <w:sz w:val="22"/>
          <w:szCs w:val="22"/>
        </w:rPr>
        <w:t>, 113.</w:t>
      </w:r>
      <w:r w:rsidRPr="00171778">
        <w:rPr>
          <w:rFonts w:ascii="Arial" w:hAnsi="Arial" w:cs="Arial"/>
          <w:color w:val="EE0000"/>
          <w:sz w:val="22"/>
          <w:szCs w:val="22"/>
        </w:rPr>
        <w:t>7</w:t>
      </w:r>
      <w:r w:rsidRPr="001A161F">
        <w:rPr>
          <w:rFonts w:ascii="Arial" w:hAnsi="Arial" w:cs="Arial"/>
          <w:sz w:val="22"/>
          <w:szCs w:val="22"/>
        </w:rPr>
        <w:t>, 55.4, 52.</w:t>
      </w:r>
      <w:r w:rsidRPr="00171778">
        <w:rPr>
          <w:rFonts w:ascii="Arial" w:hAnsi="Arial" w:cs="Arial"/>
          <w:color w:val="EE0000"/>
          <w:sz w:val="22"/>
          <w:szCs w:val="22"/>
        </w:rPr>
        <w:t>8</w:t>
      </w:r>
      <w:r w:rsidRPr="001A161F">
        <w:rPr>
          <w:rFonts w:ascii="Arial" w:hAnsi="Arial" w:cs="Arial"/>
          <w:sz w:val="22"/>
          <w:szCs w:val="22"/>
        </w:rPr>
        <w:t>, 40.</w:t>
      </w:r>
      <w:r w:rsidRPr="00171778">
        <w:rPr>
          <w:rFonts w:ascii="Arial" w:hAnsi="Arial" w:cs="Arial"/>
          <w:color w:val="EE0000"/>
          <w:sz w:val="22"/>
          <w:szCs w:val="22"/>
        </w:rPr>
        <w:t>3</w:t>
      </w:r>
      <w:r w:rsidRPr="001A161F">
        <w:rPr>
          <w:rFonts w:ascii="Arial" w:hAnsi="Arial" w:cs="Arial"/>
          <w:sz w:val="22"/>
          <w:szCs w:val="22"/>
        </w:rPr>
        <w:t>, 18.</w:t>
      </w:r>
      <w:r w:rsidR="00171778" w:rsidRPr="00171778">
        <w:rPr>
          <w:rFonts w:ascii="Arial" w:hAnsi="Arial" w:cs="Arial"/>
          <w:color w:val="EE0000"/>
          <w:sz w:val="22"/>
          <w:szCs w:val="22"/>
        </w:rPr>
        <w:t>5</w:t>
      </w:r>
      <w:r w:rsidRPr="001A161F">
        <w:rPr>
          <w:rFonts w:ascii="Arial" w:hAnsi="Arial" w:cs="Arial"/>
          <w:sz w:val="22"/>
          <w:szCs w:val="22"/>
        </w:rPr>
        <w:t xml:space="preserve"> (CH</w:t>
      </w:r>
      <w:r w:rsidRPr="001A161F">
        <w:rPr>
          <w:rFonts w:ascii="Arial" w:hAnsi="Arial" w:cs="Arial"/>
          <w:sz w:val="22"/>
          <w:szCs w:val="22"/>
          <w:vertAlign w:val="subscript"/>
        </w:rPr>
        <w:t>3</w:t>
      </w:r>
      <w:r w:rsidRPr="001A161F">
        <w:rPr>
          <w:rFonts w:ascii="Arial" w:hAnsi="Arial" w:cs="Arial"/>
          <w:sz w:val="22"/>
          <w:szCs w:val="22"/>
        </w:rPr>
        <w:t>).</w:t>
      </w:r>
    </w:p>
    <w:p w14:paraId="6527471B"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 xml:space="preserve">Mp :  160 - 164 °C      ; </w:t>
      </w:r>
    </w:p>
    <w:p w14:paraId="2EDFCB8C" w14:textId="77777777" w:rsidR="001A161F" w:rsidRPr="001039D3" w:rsidRDefault="001A161F" w:rsidP="001A161F">
      <w:pPr>
        <w:jc w:val="both"/>
        <w:rPr>
          <w:rFonts w:ascii="Arial" w:hAnsi="Arial" w:cs="Arial"/>
          <w:sz w:val="16"/>
          <w:szCs w:val="16"/>
        </w:rPr>
      </w:pPr>
    </w:p>
    <w:p w14:paraId="5A90938C"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(E)-1-(6-chloro-2-methylimidazo[1,2-</w:t>
      </w:r>
      <w:r w:rsidRPr="001A161F">
        <w:rPr>
          <w:rFonts w:ascii="Arial" w:hAnsi="Arial" w:cs="Arial"/>
          <w:i/>
          <w:iCs/>
          <w:sz w:val="22"/>
          <w:szCs w:val="22"/>
        </w:rPr>
        <w:t>a</w:t>
      </w:r>
      <w:r w:rsidRPr="001A161F">
        <w:rPr>
          <w:rFonts w:ascii="Arial" w:hAnsi="Arial" w:cs="Arial"/>
          <w:sz w:val="22"/>
          <w:szCs w:val="22"/>
        </w:rPr>
        <w:t>]pyridin-3-yl)-3-(p-tolyl)prop-2-en-1-one (</w:t>
      </w:r>
      <w:r w:rsidRPr="001A161F">
        <w:rPr>
          <w:rFonts w:ascii="Arial" w:hAnsi="Arial" w:cs="Arial"/>
          <w:b/>
          <w:bCs/>
          <w:sz w:val="22"/>
          <w:szCs w:val="22"/>
        </w:rPr>
        <w:t>3h</w:t>
      </w:r>
      <w:r w:rsidRPr="001A161F">
        <w:rPr>
          <w:rFonts w:ascii="Arial" w:hAnsi="Arial" w:cs="Arial"/>
          <w:sz w:val="22"/>
          <w:szCs w:val="22"/>
        </w:rPr>
        <w:t xml:space="preserve">) </w:t>
      </w:r>
    </w:p>
    <w:p w14:paraId="77794BF4"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Pale yellow solid, yield : 80%.. Recrystallization from ethanol</w:t>
      </w:r>
    </w:p>
    <w:p w14:paraId="0363D7A4"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1H NMR (300 MHz, CDCl</w:t>
      </w:r>
      <w:r w:rsidRPr="001A161F">
        <w:rPr>
          <w:rFonts w:ascii="Arial" w:hAnsi="Arial" w:cs="Arial"/>
          <w:sz w:val="22"/>
          <w:szCs w:val="22"/>
          <w:vertAlign w:val="subscript"/>
        </w:rPr>
        <w:t>3</w:t>
      </w:r>
      <w:r w:rsidRPr="001A161F">
        <w:rPr>
          <w:rFonts w:ascii="Arial" w:hAnsi="Arial" w:cs="Arial"/>
          <w:sz w:val="22"/>
          <w:szCs w:val="22"/>
        </w:rPr>
        <w:t xml:space="preserve">) δ 9.90 (dd, </w:t>
      </w:r>
      <w:r w:rsidRPr="001A161F">
        <w:rPr>
          <w:rFonts w:ascii="Arial" w:hAnsi="Arial" w:cs="Arial"/>
          <w:i/>
          <w:iCs/>
          <w:sz w:val="22"/>
          <w:szCs w:val="22"/>
        </w:rPr>
        <w:t xml:space="preserve">J </w:t>
      </w:r>
      <w:r w:rsidRPr="001A161F">
        <w:rPr>
          <w:rFonts w:ascii="Arial" w:hAnsi="Arial" w:cs="Arial"/>
          <w:sz w:val="22"/>
          <w:szCs w:val="22"/>
        </w:rPr>
        <w:t>= 2.1, 0.8 Hz, 1H, H-7), 7.83 (d</w:t>
      </w:r>
      <w:r w:rsidRPr="001A161F">
        <w:rPr>
          <w:rFonts w:ascii="Arial" w:hAnsi="Arial" w:cs="Arial"/>
          <w:i/>
          <w:iCs/>
          <w:sz w:val="22"/>
          <w:szCs w:val="22"/>
        </w:rPr>
        <w:t>, J</w:t>
      </w:r>
      <w:r w:rsidRPr="001A161F">
        <w:rPr>
          <w:rFonts w:ascii="Arial" w:hAnsi="Arial" w:cs="Arial"/>
          <w:sz w:val="22"/>
          <w:szCs w:val="22"/>
        </w:rPr>
        <w:t xml:space="preserve"> = 15.5 Hz, 1H, CH=CH), 7.63 – 7.53 (m, 3H, Ph-2,6, H-8), 7.49 – 7.41 (m, 2H, Ph-3,5), 7.26 (d, </w:t>
      </w:r>
      <w:r w:rsidRPr="001A161F">
        <w:rPr>
          <w:rFonts w:ascii="Arial" w:hAnsi="Arial" w:cs="Arial"/>
          <w:i/>
          <w:iCs/>
          <w:sz w:val="22"/>
          <w:szCs w:val="22"/>
        </w:rPr>
        <w:t>J</w:t>
      </w:r>
      <w:r w:rsidRPr="001A161F">
        <w:rPr>
          <w:rFonts w:ascii="Arial" w:hAnsi="Arial" w:cs="Arial"/>
          <w:sz w:val="22"/>
          <w:szCs w:val="22"/>
        </w:rPr>
        <w:t xml:space="preserve"> = 7.9 Hz, 2H, H-5, CH=CH), 2.90 (s, 3H, CH</w:t>
      </w:r>
      <w:r w:rsidRPr="001A161F">
        <w:rPr>
          <w:rFonts w:ascii="Cambria Math" w:hAnsi="Cambria Math" w:cs="Cambria Math"/>
          <w:sz w:val="22"/>
          <w:szCs w:val="22"/>
        </w:rPr>
        <w:t>₃</w:t>
      </w:r>
      <w:r w:rsidRPr="001A161F">
        <w:rPr>
          <w:rFonts w:ascii="Arial" w:hAnsi="Arial" w:cs="Arial"/>
          <w:sz w:val="22"/>
          <w:szCs w:val="22"/>
        </w:rPr>
        <w:t>), 2.42 (s, 3H, CH</w:t>
      </w:r>
      <w:r w:rsidRPr="001A161F">
        <w:rPr>
          <w:rFonts w:ascii="Cambria Math" w:hAnsi="Cambria Math" w:cs="Cambria Math"/>
          <w:sz w:val="22"/>
          <w:szCs w:val="22"/>
        </w:rPr>
        <w:t>₃</w:t>
      </w:r>
      <w:r w:rsidRPr="001A161F">
        <w:rPr>
          <w:rFonts w:ascii="Arial" w:hAnsi="Arial" w:cs="Arial"/>
          <w:sz w:val="22"/>
          <w:szCs w:val="22"/>
        </w:rPr>
        <w:t>).</w:t>
      </w:r>
    </w:p>
    <w:p w14:paraId="285455C4" w14:textId="60975A5D" w:rsidR="001A161F" w:rsidRPr="001A161F" w:rsidRDefault="001A161F" w:rsidP="001A161F">
      <w:pPr>
        <w:jc w:val="both"/>
        <w:rPr>
          <w:rFonts w:ascii="Arial" w:hAnsi="Arial" w:cs="Arial"/>
          <w:sz w:val="22"/>
          <w:szCs w:val="22"/>
        </w:rPr>
      </w:pPr>
      <w:r w:rsidRPr="005E509A">
        <w:rPr>
          <w:rFonts w:ascii="Arial" w:hAnsi="Arial" w:cs="Arial"/>
          <w:color w:val="EE0000"/>
          <w:sz w:val="22"/>
          <w:szCs w:val="22"/>
          <w:vertAlign w:val="superscript"/>
        </w:rPr>
        <w:t>13</w:t>
      </w:r>
      <w:r w:rsidRPr="001A161F">
        <w:rPr>
          <w:rFonts w:ascii="Arial" w:hAnsi="Arial" w:cs="Arial"/>
          <w:sz w:val="22"/>
          <w:szCs w:val="22"/>
        </w:rPr>
        <w:t>C NMR (75 MHz, CDCl</w:t>
      </w:r>
      <w:r w:rsidRPr="001A161F">
        <w:rPr>
          <w:rFonts w:ascii="Arial" w:hAnsi="Arial" w:cs="Arial"/>
          <w:sz w:val="22"/>
          <w:szCs w:val="22"/>
          <w:vertAlign w:val="subscript"/>
        </w:rPr>
        <w:t>3</w:t>
      </w:r>
      <w:r w:rsidRPr="001A161F">
        <w:rPr>
          <w:rFonts w:ascii="Arial" w:hAnsi="Arial" w:cs="Arial"/>
          <w:sz w:val="22"/>
          <w:szCs w:val="22"/>
        </w:rPr>
        <w:t>) δ 180.</w:t>
      </w:r>
      <w:r w:rsidRPr="005E509A">
        <w:rPr>
          <w:rFonts w:ascii="Arial" w:hAnsi="Arial" w:cs="Arial"/>
          <w:color w:val="EE0000"/>
          <w:sz w:val="22"/>
          <w:szCs w:val="22"/>
        </w:rPr>
        <w:t>3</w:t>
      </w:r>
      <w:r w:rsidR="005E509A">
        <w:rPr>
          <w:rFonts w:ascii="Arial" w:hAnsi="Arial" w:cs="Arial"/>
          <w:sz w:val="22"/>
          <w:szCs w:val="22"/>
        </w:rPr>
        <w:t xml:space="preserve"> </w:t>
      </w:r>
      <w:r w:rsidRPr="001A161F">
        <w:rPr>
          <w:rFonts w:ascii="Arial" w:hAnsi="Arial" w:cs="Arial"/>
          <w:sz w:val="22"/>
          <w:szCs w:val="22"/>
        </w:rPr>
        <w:t>(C=O), 143.</w:t>
      </w:r>
      <w:r w:rsidR="005E509A" w:rsidRPr="005E509A">
        <w:rPr>
          <w:rFonts w:ascii="Arial" w:hAnsi="Arial" w:cs="Arial"/>
          <w:color w:val="EE0000"/>
          <w:sz w:val="22"/>
          <w:szCs w:val="22"/>
        </w:rPr>
        <w:t>2</w:t>
      </w:r>
      <w:r w:rsidRPr="001A161F">
        <w:rPr>
          <w:rFonts w:ascii="Arial" w:hAnsi="Arial" w:cs="Arial"/>
          <w:sz w:val="22"/>
          <w:szCs w:val="22"/>
        </w:rPr>
        <w:t>, 141.</w:t>
      </w:r>
      <w:r w:rsidRPr="005E509A">
        <w:rPr>
          <w:rFonts w:ascii="Arial" w:hAnsi="Arial" w:cs="Arial"/>
          <w:color w:val="EE0000"/>
          <w:sz w:val="22"/>
          <w:szCs w:val="22"/>
        </w:rPr>
        <w:t>1</w:t>
      </w:r>
      <w:r w:rsidRPr="001A161F">
        <w:rPr>
          <w:rFonts w:ascii="Arial" w:hAnsi="Arial" w:cs="Arial"/>
          <w:sz w:val="22"/>
          <w:szCs w:val="22"/>
        </w:rPr>
        <w:t>, 132.1, 130.1, 129.8, 128.4, 127.1, 123.2, 122.6, 116.7, 121.5 (CH</w:t>
      </w:r>
      <w:r w:rsidRPr="001A161F">
        <w:rPr>
          <w:rFonts w:ascii="Cambria Math" w:hAnsi="Cambria Math" w:cs="Cambria Math"/>
          <w:sz w:val="22"/>
          <w:szCs w:val="22"/>
        </w:rPr>
        <w:t>₃</w:t>
      </w:r>
      <w:r w:rsidRPr="001A161F">
        <w:rPr>
          <w:rFonts w:ascii="Arial" w:hAnsi="Arial" w:cs="Arial"/>
          <w:sz w:val="22"/>
          <w:szCs w:val="22"/>
        </w:rPr>
        <w:t>), 18.4 (CH</w:t>
      </w:r>
      <w:r w:rsidRPr="001A161F">
        <w:rPr>
          <w:rFonts w:ascii="Cambria Math" w:hAnsi="Cambria Math" w:cs="Cambria Math"/>
          <w:sz w:val="22"/>
          <w:szCs w:val="22"/>
        </w:rPr>
        <w:t>₃</w:t>
      </w:r>
      <w:r w:rsidRPr="001A161F">
        <w:rPr>
          <w:rFonts w:ascii="Arial" w:hAnsi="Arial" w:cs="Arial"/>
          <w:sz w:val="22"/>
          <w:szCs w:val="22"/>
        </w:rPr>
        <w:t>).</w:t>
      </w:r>
    </w:p>
    <w:p w14:paraId="466B19F8"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 xml:space="preserve">Mp :  160 - 164 °C  ; </w:t>
      </w:r>
    </w:p>
    <w:p w14:paraId="15D009CD" w14:textId="77777777" w:rsidR="001A161F" w:rsidRPr="001039D3" w:rsidRDefault="001A161F" w:rsidP="001A161F">
      <w:pPr>
        <w:jc w:val="both"/>
        <w:rPr>
          <w:rFonts w:ascii="Arial" w:hAnsi="Arial" w:cs="Arial"/>
          <w:sz w:val="16"/>
          <w:szCs w:val="16"/>
        </w:rPr>
      </w:pPr>
    </w:p>
    <w:p w14:paraId="6914B49E"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 xml:space="preserve">(E)-1-(6-chloro-2-methylimidazo[1,2-a]pyridin-3-yl)-3-(2-nitrophenyl)prop-2-en-1-one (3i) </w:t>
      </w:r>
    </w:p>
    <w:p w14:paraId="5A62059C"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Brown solid, yield : 53%, , Recrystallization in water/ethanol (1:1)</w:t>
      </w:r>
    </w:p>
    <w:p w14:paraId="7D7E274E" w14:textId="77777777" w:rsidR="001A161F" w:rsidRPr="001A161F" w:rsidRDefault="001A161F" w:rsidP="001A161F">
      <w:pPr>
        <w:jc w:val="both"/>
        <w:rPr>
          <w:rFonts w:ascii="Arial" w:hAnsi="Arial" w:cs="Arial"/>
          <w:sz w:val="22"/>
          <w:szCs w:val="22"/>
        </w:rPr>
      </w:pPr>
      <w:r w:rsidRPr="001A161F">
        <w:rPr>
          <w:rFonts w:ascii="Arial" w:hAnsi="Arial" w:cs="Arial"/>
          <w:sz w:val="22"/>
          <w:szCs w:val="22"/>
          <w:vertAlign w:val="superscript"/>
        </w:rPr>
        <w:t>1</w:t>
      </w:r>
      <w:r w:rsidRPr="001A161F">
        <w:rPr>
          <w:rFonts w:ascii="Arial" w:hAnsi="Arial" w:cs="Arial"/>
          <w:sz w:val="22"/>
          <w:szCs w:val="22"/>
        </w:rPr>
        <w:t>H NMR (300 MHz, CDCl</w:t>
      </w:r>
      <w:r w:rsidRPr="001A161F">
        <w:rPr>
          <w:rFonts w:ascii="Arial" w:hAnsi="Arial" w:cs="Arial"/>
          <w:sz w:val="22"/>
          <w:szCs w:val="22"/>
          <w:vertAlign w:val="subscript"/>
        </w:rPr>
        <w:t>3</w:t>
      </w:r>
      <w:r w:rsidRPr="001A161F">
        <w:rPr>
          <w:rFonts w:ascii="Arial" w:hAnsi="Arial" w:cs="Arial"/>
          <w:sz w:val="22"/>
          <w:szCs w:val="22"/>
        </w:rPr>
        <w:t xml:space="preserve">) δ 9.84 (dd, </w:t>
      </w:r>
      <w:r w:rsidRPr="001A161F">
        <w:rPr>
          <w:rFonts w:ascii="Arial" w:hAnsi="Arial" w:cs="Arial"/>
          <w:i/>
          <w:iCs/>
          <w:sz w:val="22"/>
          <w:szCs w:val="22"/>
        </w:rPr>
        <w:t xml:space="preserve">J </w:t>
      </w:r>
      <w:r w:rsidRPr="001A161F">
        <w:rPr>
          <w:rFonts w:ascii="Arial" w:hAnsi="Arial" w:cs="Arial"/>
          <w:sz w:val="22"/>
          <w:szCs w:val="22"/>
        </w:rPr>
        <w:t xml:space="preserve">= 2.1, 0.9 Hz, 1H, H-5), 8.22 – 8.13 (m, 2H, H-8, H-7), 7.92 – 7.70 (d, J = 15.5 Hz, 1H, CH=CH), 7.64 (m, 2H, ), 7.69 – 7.62 (m, 2H), 7.58 (s, 1H), 7.51 (dd, </w:t>
      </w:r>
      <w:r w:rsidRPr="001A161F">
        <w:rPr>
          <w:rFonts w:ascii="Arial" w:hAnsi="Arial" w:cs="Arial"/>
          <w:i/>
          <w:iCs/>
          <w:sz w:val="22"/>
          <w:szCs w:val="22"/>
        </w:rPr>
        <w:t>J</w:t>
      </w:r>
      <w:r w:rsidRPr="001A161F">
        <w:rPr>
          <w:rFonts w:ascii="Arial" w:hAnsi="Arial" w:cs="Arial"/>
          <w:sz w:val="22"/>
          <w:szCs w:val="22"/>
        </w:rPr>
        <w:t xml:space="preserve"> = 9.4, 2.1 Hz, 1H), 2.93 (s, 3H), 1.27 (d, </w:t>
      </w:r>
      <w:r w:rsidRPr="001A161F">
        <w:rPr>
          <w:rFonts w:ascii="Arial" w:hAnsi="Arial" w:cs="Arial"/>
          <w:i/>
          <w:iCs/>
          <w:sz w:val="22"/>
          <w:szCs w:val="22"/>
        </w:rPr>
        <w:t>J</w:t>
      </w:r>
      <w:r w:rsidRPr="001A161F">
        <w:rPr>
          <w:rFonts w:ascii="Arial" w:hAnsi="Arial" w:cs="Arial"/>
          <w:sz w:val="22"/>
          <w:szCs w:val="22"/>
        </w:rPr>
        <w:t xml:space="preserve"> = 4.4 Hz, 1H), 0.87 (s, 1H).</w:t>
      </w:r>
    </w:p>
    <w:p w14:paraId="6BB6E248" w14:textId="4C0C1810" w:rsidR="001A161F" w:rsidRPr="001A161F" w:rsidRDefault="001A161F" w:rsidP="001A161F">
      <w:pPr>
        <w:jc w:val="both"/>
        <w:rPr>
          <w:rFonts w:ascii="Arial" w:hAnsi="Arial" w:cs="Arial"/>
          <w:sz w:val="22"/>
          <w:szCs w:val="22"/>
        </w:rPr>
      </w:pPr>
      <w:r w:rsidRPr="001A161F">
        <w:rPr>
          <w:rFonts w:ascii="Arial" w:hAnsi="Arial" w:cs="Arial"/>
          <w:sz w:val="22"/>
          <w:szCs w:val="22"/>
          <w:vertAlign w:val="superscript"/>
        </w:rPr>
        <w:t>13</w:t>
      </w:r>
      <w:r w:rsidRPr="001A161F">
        <w:rPr>
          <w:rFonts w:ascii="Arial" w:hAnsi="Arial" w:cs="Arial"/>
          <w:sz w:val="22"/>
          <w:szCs w:val="22"/>
        </w:rPr>
        <w:t>C NMR (75 MHz, CDCl</w:t>
      </w:r>
      <w:r w:rsidRPr="001A161F">
        <w:rPr>
          <w:rFonts w:ascii="Arial" w:hAnsi="Arial" w:cs="Arial"/>
          <w:sz w:val="22"/>
          <w:szCs w:val="22"/>
          <w:vertAlign w:val="subscript"/>
        </w:rPr>
        <w:t>3</w:t>
      </w:r>
      <w:r w:rsidRPr="001A161F">
        <w:rPr>
          <w:rFonts w:ascii="Arial" w:hAnsi="Arial" w:cs="Arial"/>
          <w:sz w:val="22"/>
          <w:szCs w:val="22"/>
        </w:rPr>
        <w:t>) δ 179.9 (C=O), 130.8, 128.</w:t>
      </w:r>
      <w:r w:rsidRPr="00171778">
        <w:rPr>
          <w:rFonts w:ascii="Arial" w:hAnsi="Arial" w:cs="Arial"/>
          <w:color w:val="EE0000"/>
          <w:sz w:val="22"/>
          <w:szCs w:val="22"/>
        </w:rPr>
        <w:t>8</w:t>
      </w:r>
      <w:r w:rsidR="00171778">
        <w:rPr>
          <w:rFonts w:ascii="Arial" w:hAnsi="Arial" w:cs="Arial"/>
          <w:sz w:val="22"/>
          <w:szCs w:val="22"/>
        </w:rPr>
        <w:t xml:space="preserve"> </w:t>
      </w:r>
      <w:r w:rsidRPr="001A161F">
        <w:rPr>
          <w:rFonts w:ascii="Arial" w:hAnsi="Arial" w:cs="Arial"/>
          <w:sz w:val="22"/>
          <w:szCs w:val="22"/>
        </w:rPr>
        <w:t>(CH=CH), 124.</w:t>
      </w:r>
      <w:r w:rsidR="00171778" w:rsidRPr="00171778">
        <w:rPr>
          <w:rFonts w:ascii="Arial" w:hAnsi="Arial" w:cs="Arial"/>
          <w:color w:val="EE0000"/>
          <w:sz w:val="22"/>
          <w:szCs w:val="22"/>
        </w:rPr>
        <w:t>9</w:t>
      </w:r>
      <w:r w:rsidRPr="001A161F">
        <w:rPr>
          <w:rFonts w:ascii="Arial" w:hAnsi="Arial" w:cs="Arial"/>
          <w:sz w:val="22"/>
          <w:szCs w:val="22"/>
        </w:rPr>
        <w:t>, 124.</w:t>
      </w:r>
      <w:r w:rsidRPr="00171778">
        <w:rPr>
          <w:rFonts w:ascii="Arial" w:hAnsi="Arial" w:cs="Arial"/>
          <w:color w:val="EE0000"/>
          <w:sz w:val="22"/>
          <w:szCs w:val="22"/>
        </w:rPr>
        <w:t>3</w:t>
      </w:r>
      <w:r w:rsidRPr="001A161F">
        <w:rPr>
          <w:rFonts w:ascii="Arial" w:hAnsi="Arial" w:cs="Arial"/>
          <w:sz w:val="22"/>
          <w:szCs w:val="22"/>
        </w:rPr>
        <w:t>, 116.</w:t>
      </w:r>
      <w:r w:rsidRPr="00171778">
        <w:rPr>
          <w:rFonts w:ascii="Arial" w:hAnsi="Arial" w:cs="Arial"/>
          <w:color w:val="EE0000"/>
          <w:sz w:val="22"/>
          <w:szCs w:val="22"/>
        </w:rPr>
        <w:t>9</w:t>
      </w:r>
      <w:r w:rsidR="00171778">
        <w:rPr>
          <w:rFonts w:ascii="Arial" w:hAnsi="Arial" w:cs="Arial"/>
          <w:sz w:val="22"/>
          <w:szCs w:val="22"/>
        </w:rPr>
        <w:t xml:space="preserve"> </w:t>
      </w:r>
      <w:r w:rsidRPr="001A161F">
        <w:rPr>
          <w:rFonts w:ascii="Arial" w:hAnsi="Arial" w:cs="Arial"/>
          <w:sz w:val="22"/>
          <w:szCs w:val="22"/>
        </w:rPr>
        <w:t xml:space="preserve">(CH=CH), </w:t>
      </w:r>
    </w:p>
    <w:p w14:paraId="6213C33D"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MP: &gt;260°C</w:t>
      </w:r>
    </w:p>
    <w:p w14:paraId="2B35E855" w14:textId="77777777" w:rsidR="001A161F" w:rsidRPr="001039D3" w:rsidRDefault="001A161F" w:rsidP="001A161F">
      <w:pPr>
        <w:jc w:val="both"/>
        <w:rPr>
          <w:rFonts w:ascii="Arial" w:hAnsi="Arial" w:cs="Arial"/>
          <w:sz w:val="16"/>
          <w:szCs w:val="16"/>
        </w:rPr>
      </w:pPr>
    </w:p>
    <w:p w14:paraId="4E1ED14E"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(E)-1-(6-chloro-2-methylimidazo[1,2-</w:t>
      </w:r>
      <w:r w:rsidRPr="001A161F">
        <w:rPr>
          <w:rFonts w:ascii="Arial" w:hAnsi="Arial" w:cs="Arial"/>
          <w:i/>
          <w:iCs/>
          <w:sz w:val="22"/>
          <w:szCs w:val="22"/>
        </w:rPr>
        <w:t>a</w:t>
      </w:r>
      <w:r w:rsidRPr="001A161F">
        <w:rPr>
          <w:rFonts w:ascii="Arial" w:hAnsi="Arial" w:cs="Arial"/>
          <w:sz w:val="22"/>
          <w:szCs w:val="22"/>
        </w:rPr>
        <w:t>]pyridin-3-yl)-3-(3-nitrophenyl)prop-2-en-1-one (</w:t>
      </w:r>
      <w:r w:rsidRPr="001A161F">
        <w:rPr>
          <w:rFonts w:ascii="Arial" w:hAnsi="Arial" w:cs="Arial"/>
          <w:b/>
          <w:bCs/>
          <w:sz w:val="22"/>
          <w:szCs w:val="22"/>
        </w:rPr>
        <w:t>3j</w:t>
      </w:r>
      <w:r w:rsidRPr="001A161F">
        <w:rPr>
          <w:rFonts w:ascii="Arial" w:hAnsi="Arial" w:cs="Arial"/>
          <w:sz w:val="22"/>
          <w:szCs w:val="22"/>
        </w:rPr>
        <w:t xml:space="preserve">) </w:t>
      </w:r>
    </w:p>
    <w:p w14:paraId="0F5081AB"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Brown solid, 70%. Solid, Recrystallization in water/ethanol (1:1)</w:t>
      </w:r>
    </w:p>
    <w:p w14:paraId="1E8B38EB" w14:textId="77777777" w:rsidR="001A161F" w:rsidRPr="001A161F" w:rsidRDefault="001A161F" w:rsidP="001A161F">
      <w:pPr>
        <w:jc w:val="both"/>
        <w:rPr>
          <w:rFonts w:ascii="Arial" w:hAnsi="Arial" w:cs="Arial"/>
          <w:sz w:val="22"/>
          <w:szCs w:val="22"/>
        </w:rPr>
      </w:pPr>
      <w:r w:rsidRPr="001A161F">
        <w:rPr>
          <w:rFonts w:ascii="Arial" w:hAnsi="Arial" w:cs="Arial"/>
          <w:sz w:val="22"/>
          <w:szCs w:val="22"/>
          <w:vertAlign w:val="superscript"/>
        </w:rPr>
        <w:t>1</w:t>
      </w:r>
      <w:r w:rsidRPr="001A161F">
        <w:rPr>
          <w:rFonts w:ascii="Arial" w:hAnsi="Arial" w:cs="Arial"/>
          <w:sz w:val="22"/>
          <w:szCs w:val="22"/>
        </w:rPr>
        <w:t>H NMR (300 MHz, CDCl</w:t>
      </w:r>
      <w:r w:rsidRPr="001A161F">
        <w:rPr>
          <w:rFonts w:ascii="Arial" w:hAnsi="Arial" w:cs="Arial"/>
          <w:sz w:val="22"/>
          <w:szCs w:val="22"/>
          <w:vertAlign w:val="subscript"/>
        </w:rPr>
        <w:t>3</w:t>
      </w:r>
      <w:r w:rsidRPr="001A161F">
        <w:rPr>
          <w:rFonts w:ascii="Arial" w:hAnsi="Arial" w:cs="Arial"/>
          <w:sz w:val="22"/>
          <w:szCs w:val="22"/>
        </w:rPr>
        <w:t>) δ 9.92 (dd,</w:t>
      </w:r>
      <w:r w:rsidRPr="001A161F">
        <w:rPr>
          <w:rFonts w:ascii="Arial" w:hAnsi="Arial" w:cs="Arial"/>
          <w:i/>
          <w:iCs/>
          <w:sz w:val="22"/>
          <w:szCs w:val="22"/>
        </w:rPr>
        <w:t xml:space="preserve"> J</w:t>
      </w:r>
      <w:r w:rsidRPr="001A161F">
        <w:rPr>
          <w:rFonts w:ascii="Arial" w:hAnsi="Arial" w:cs="Arial"/>
          <w:sz w:val="22"/>
          <w:szCs w:val="22"/>
        </w:rPr>
        <w:t xml:space="preserve"> = 2.1, 0.9 Hz, 1H, H-7), 8.37 – 8.27 (m, 2H, H-8, Ph-5), 7.92 – 7.74 (m, 3H, Ph-2,4,6), 7.69 – 7.62 (m, 2H, CH=CH), 7.58 (s, 1H), 7.51 (dd, </w:t>
      </w:r>
      <w:r w:rsidRPr="001A161F">
        <w:rPr>
          <w:rFonts w:ascii="Arial" w:hAnsi="Arial" w:cs="Arial"/>
          <w:i/>
          <w:iCs/>
          <w:sz w:val="22"/>
          <w:szCs w:val="22"/>
        </w:rPr>
        <w:t xml:space="preserve">J </w:t>
      </w:r>
      <w:r w:rsidRPr="001A161F">
        <w:rPr>
          <w:rFonts w:ascii="Arial" w:hAnsi="Arial" w:cs="Arial"/>
          <w:sz w:val="22"/>
          <w:szCs w:val="22"/>
        </w:rPr>
        <w:t xml:space="preserve">= 9.4, 2.1 Hz, 1H, CH=CH), 2.93 (s, 3H), 1.27 (d, </w:t>
      </w:r>
      <w:r w:rsidRPr="001A161F">
        <w:rPr>
          <w:rFonts w:ascii="Arial" w:hAnsi="Arial" w:cs="Arial"/>
          <w:i/>
          <w:iCs/>
          <w:sz w:val="22"/>
          <w:szCs w:val="22"/>
        </w:rPr>
        <w:t>J =</w:t>
      </w:r>
      <w:r w:rsidRPr="001A161F">
        <w:rPr>
          <w:rFonts w:ascii="Arial" w:hAnsi="Arial" w:cs="Arial"/>
          <w:sz w:val="22"/>
          <w:szCs w:val="22"/>
        </w:rPr>
        <w:t xml:space="preserve"> 4.4 Hz, 1H), 0.87 (s, 1H).</w:t>
      </w:r>
    </w:p>
    <w:p w14:paraId="5E1340E6" w14:textId="77777777" w:rsidR="001A161F" w:rsidRPr="001A161F" w:rsidRDefault="001A161F" w:rsidP="001A161F">
      <w:pPr>
        <w:jc w:val="both"/>
        <w:rPr>
          <w:rFonts w:ascii="Arial" w:hAnsi="Arial" w:cs="Arial"/>
          <w:sz w:val="22"/>
          <w:szCs w:val="22"/>
        </w:rPr>
      </w:pPr>
      <w:r w:rsidRPr="001A161F">
        <w:rPr>
          <w:rFonts w:ascii="Arial" w:hAnsi="Arial" w:cs="Arial"/>
          <w:sz w:val="22"/>
          <w:szCs w:val="22"/>
          <w:vertAlign w:val="superscript"/>
        </w:rPr>
        <w:t>13</w:t>
      </w:r>
      <w:r w:rsidRPr="001A161F">
        <w:rPr>
          <w:rFonts w:ascii="Arial" w:hAnsi="Arial" w:cs="Arial"/>
          <w:sz w:val="22"/>
          <w:szCs w:val="22"/>
        </w:rPr>
        <w:t>C NMR (75 MHz, CDCl</w:t>
      </w:r>
      <w:r w:rsidRPr="001A161F">
        <w:rPr>
          <w:rFonts w:ascii="Arial" w:hAnsi="Arial" w:cs="Arial"/>
          <w:sz w:val="22"/>
          <w:szCs w:val="22"/>
          <w:vertAlign w:val="subscript"/>
        </w:rPr>
        <w:t>3</w:t>
      </w:r>
      <w:r w:rsidRPr="001A161F">
        <w:rPr>
          <w:rFonts w:ascii="Arial" w:hAnsi="Arial" w:cs="Arial"/>
          <w:sz w:val="22"/>
          <w:szCs w:val="22"/>
        </w:rPr>
        <w:t>) δ : 180.0 (C=O), 139.9, 130.8, 128.8, 127.2 (CH=CH), 124.9, 124.3, 116.9 (CH=CH), 18.0 (CH</w:t>
      </w:r>
      <w:r w:rsidRPr="001A161F">
        <w:rPr>
          <w:rFonts w:ascii="Cambria Math" w:hAnsi="Cambria Math" w:cs="Cambria Math"/>
          <w:sz w:val="22"/>
          <w:szCs w:val="22"/>
        </w:rPr>
        <w:t>₃</w:t>
      </w:r>
      <w:r w:rsidRPr="001A161F">
        <w:rPr>
          <w:rFonts w:ascii="Arial" w:hAnsi="Arial" w:cs="Arial"/>
          <w:sz w:val="22"/>
          <w:szCs w:val="22"/>
        </w:rPr>
        <w:t>).</w:t>
      </w:r>
    </w:p>
    <w:p w14:paraId="23AD93DE"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MP: 168 -172°C</w:t>
      </w:r>
    </w:p>
    <w:p w14:paraId="27E1EC91" w14:textId="77777777" w:rsidR="001A161F" w:rsidRPr="001039D3" w:rsidRDefault="001A161F" w:rsidP="001A161F">
      <w:pPr>
        <w:jc w:val="both"/>
        <w:rPr>
          <w:rFonts w:ascii="Arial" w:hAnsi="Arial" w:cs="Arial"/>
          <w:sz w:val="16"/>
          <w:szCs w:val="16"/>
        </w:rPr>
      </w:pPr>
    </w:p>
    <w:p w14:paraId="213D5144"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H-imidazo proton (δ 9.42–10.05 ppm): This signal, usually observed as a broad singlet or a doublet of doublets, corresponds to the proton at position 5 of the imidazopyridine. The significant deshielding results from the electron-withdrawing effect of the adjacent nitrogen and the partial dehydration of the aromatic system.</w:t>
      </w:r>
    </w:p>
    <w:p w14:paraId="48636855"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β-vinyl proton (δ 7.75–7.94 ppm): This signal consistently appears as a doublet with a coupling constant</w:t>
      </w:r>
      <w:r w:rsidRPr="001A161F">
        <w:rPr>
          <w:rFonts w:ascii="Arial" w:hAnsi="Arial" w:cs="Arial"/>
          <w:i/>
          <w:iCs/>
          <w:sz w:val="22"/>
          <w:szCs w:val="22"/>
        </w:rPr>
        <w:t xml:space="preserve"> J</w:t>
      </w:r>
      <w:r w:rsidRPr="001A161F">
        <w:rPr>
          <w:rFonts w:ascii="Arial" w:hAnsi="Arial" w:cs="Arial"/>
          <w:sz w:val="22"/>
          <w:szCs w:val="22"/>
        </w:rPr>
        <w:t xml:space="preserve"> ≈ 15.5–15.7 Hz, characteristic of the E geometry of the C=C double bond. </w:t>
      </w:r>
      <w:r w:rsidRPr="001A161F">
        <w:rPr>
          <w:rFonts w:ascii="Arial" w:hAnsi="Arial" w:cs="Arial"/>
          <w:sz w:val="22"/>
          <w:szCs w:val="22"/>
        </w:rPr>
        <w:lastRenderedPageBreak/>
        <w:t>This trans stereochemistry is thermodynamically favored and results from the basic conditions of condensation.</w:t>
      </w:r>
    </w:p>
    <w:p w14:paraId="28A65B6C"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Aromatic protons (δ 6.58–8.60 ppm): The complex signals in this region correspond to the protons of the substituted phenyl and imidazopyridine rings. Analysis of coupling patterns allows for structural assignment.</w:t>
      </w:r>
    </w:p>
    <w:p w14:paraId="110E1036"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Methyl and methoxy groups (δ 2.05–3.93 ppm): The signals from the CH</w:t>
      </w:r>
      <w:r w:rsidRPr="001A161F">
        <w:rPr>
          <w:rFonts w:ascii="Cambria Math" w:hAnsi="Cambria Math" w:cs="Cambria Math"/>
          <w:sz w:val="22"/>
          <w:szCs w:val="22"/>
        </w:rPr>
        <w:t>₃</w:t>
      </w:r>
      <w:r w:rsidRPr="001A161F">
        <w:rPr>
          <w:rFonts w:ascii="Arial" w:hAnsi="Arial" w:cs="Arial"/>
          <w:sz w:val="22"/>
          <w:szCs w:val="22"/>
        </w:rPr>
        <w:t xml:space="preserve"> groups of imidazopyridine (δ 2.05–2.93 ppm) and the methoxy groups (δ 3.85–3.93 ppm) appear as singlets integrating for 3H.</w:t>
      </w:r>
    </w:p>
    <w:p w14:paraId="63909027" w14:textId="77777777" w:rsidR="001A161F" w:rsidRPr="00AE4FDF" w:rsidRDefault="001A161F" w:rsidP="001A161F">
      <w:pPr>
        <w:jc w:val="both"/>
        <w:rPr>
          <w:rFonts w:ascii="Arial" w:hAnsi="Arial" w:cs="Arial"/>
          <w:sz w:val="16"/>
          <w:szCs w:val="16"/>
        </w:rPr>
      </w:pPr>
    </w:p>
    <w:p w14:paraId="3BF70C46" w14:textId="7FA889AC" w:rsidR="001A161F" w:rsidRDefault="001A161F" w:rsidP="001A161F">
      <w:pPr>
        <w:jc w:val="both"/>
        <w:rPr>
          <w:rFonts w:ascii="Arial" w:hAnsi="Arial" w:cs="Arial"/>
          <w:b/>
          <w:bCs/>
          <w:sz w:val="22"/>
          <w:szCs w:val="22"/>
        </w:rPr>
      </w:pPr>
      <w:r w:rsidRPr="00AE4FDF">
        <w:rPr>
          <w:rFonts w:ascii="Arial" w:hAnsi="Arial" w:cs="Arial"/>
          <w:b/>
          <w:bCs/>
          <w:sz w:val="22"/>
          <w:szCs w:val="22"/>
        </w:rPr>
        <w:t>3.2.2 ¹³C NMR Spectroscopy Analysis</w:t>
      </w:r>
    </w:p>
    <w:p w14:paraId="7FB69918" w14:textId="77777777" w:rsidR="00AE4FDF" w:rsidRPr="008414AE" w:rsidRDefault="00AE4FDF" w:rsidP="001A161F">
      <w:pPr>
        <w:jc w:val="both"/>
        <w:rPr>
          <w:rFonts w:ascii="Arial" w:hAnsi="Arial" w:cs="Arial"/>
          <w:b/>
          <w:bCs/>
          <w:sz w:val="12"/>
          <w:szCs w:val="12"/>
        </w:rPr>
      </w:pPr>
    </w:p>
    <w:p w14:paraId="0F9EA6AF"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¹³C spectra provide complementary structural information:</w:t>
      </w:r>
    </w:p>
    <w:p w14:paraId="546D4577" w14:textId="77777777" w:rsidR="001A161F" w:rsidRPr="00AE4FDF" w:rsidRDefault="001A161F" w:rsidP="001A161F">
      <w:pPr>
        <w:jc w:val="both"/>
        <w:rPr>
          <w:rFonts w:ascii="Arial" w:hAnsi="Arial" w:cs="Arial"/>
          <w:sz w:val="6"/>
          <w:szCs w:val="6"/>
        </w:rPr>
      </w:pPr>
    </w:p>
    <w:p w14:paraId="7F0EC16A"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Carbonyl (δ 165.24–180.31 ppm): The signal from the carbonyl carbon of the chalcone is a reliable structural marker. Variations in chemical shift reflect the local electronic environment.</w:t>
      </w:r>
    </w:p>
    <w:p w14:paraId="741F01E1"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Aromatic Quaternary Carbons (δ 130–180 ppm): These signals correspond to bonding carbons and carbons bearing substituents. Their reduced multiplicity in proton decoupling facilitates identification.</w:t>
      </w:r>
    </w:p>
    <w:p w14:paraId="64981709"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Aromatic Carbons CH (δ 106–138 ppm): The signals from carbons bearing a hydrogen atom have normal intensity and confirm the degree of aromatic substitution.</w:t>
      </w:r>
    </w:p>
    <w:p w14:paraId="39B8AFAD"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Aliphatic Carbons (δ 17.97-55.84 ppm): Methyl and methoxy groups exhibit characteristic signals in this region.</w:t>
      </w:r>
    </w:p>
    <w:p w14:paraId="7D385FE7" w14:textId="77777777" w:rsidR="001A161F" w:rsidRPr="00AE4FDF" w:rsidRDefault="001A161F" w:rsidP="001A161F">
      <w:pPr>
        <w:jc w:val="both"/>
        <w:rPr>
          <w:rFonts w:ascii="Arial" w:hAnsi="Arial" w:cs="Arial"/>
          <w:sz w:val="16"/>
          <w:szCs w:val="16"/>
        </w:rPr>
      </w:pPr>
    </w:p>
    <w:p w14:paraId="76C41BDF" w14:textId="77777777" w:rsidR="001A161F" w:rsidRPr="00AE4FDF" w:rsidRDefault="001A161F" w:rsidP="001A161F">
      <w:pPr>
        <w:jc w:val="both"/>
        <w:rPr>
          <w:rFonts w:ascii="Arial" w:hAnsi="Arial" w:cs="Arial"/>
          <w:b/>
          <w:bCs/>
          <w:sz w:val="22"/>
          <w:szCs w:val="22"/>
        </w:rPr>
      </w:pPr>
      <w:r w:rsidRPr="00AE4FDF">
        <w:rPr>
          <w:rFonts w:ascii="Arial" w:hAnsi="Arial" w:cs="Arial"/>
          <w:b/>
          <w:bCs/>
          <w:sz w:val="22"/>
          <w:szCs w:val="22"/>
        </w:rPr>
        <w:t>3.3 Evaluation of Antifungal Activity</w:t>
      </w:r>
    </w:p>
    <w:p w14:paraId="5C6E3D0F" w14:textId="77777777" w:rsidR="001A161F" w:rsidRPr="00AE4FDF" w:rsidRDefault="001A161F" w:rsidP="001A161F">
      <w:pPr>
        <w:jc w:val="both"/>
        <w:rPr>
          <w:rFonts w:ascii="Arial" w:hAnsi="Arial" w:cs="Arial"/>
          <w:sz w:val="6"/>
          <w:szCs w:val="6"/>
        </w:rPr>
      </w:pPr>
    </w:p>
    <w:p w14:paraId="0C295CD1"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 xml:space="preserve">The results of the antifungal susceptibility testing revealed that the clinical strain of </w:t>
      </w:r>
      <w:r w:rsidRPr="001A161F">
        <w:rPr>
          <w:rFonts w:ascii="Arial" w:hAnsi="Arial" w:cs="Arial"/>
          <w:i/>
          <w:iCs/>
          <w:sz w:val="22"/>
          <w:szCs w:val="22"/>
        </w:rPr>
        <w:t>A. fumigatus</w:t>
      </w:r>
      <w:r w:rsidRPr="001A161F">
        <w:rPr>
          <w:rFonts w:ascii="Arial" w:hAnsi="Arial" w:cs="Arial"/>
          <w:sz w:val="22"/>
          <w:szCs w:val="22"/>
        </w:rPr>
        <w:t xml:space="preserve"> 487957 is resistant to fluconazole, amphotericin B, and 5-fluorocytosine, but susceptible to nystatin and econazole.</w:t>
      </w:r>
    </w:p>
    <w:p w14:paraId="29DA74C6" w14:textId="77777777" w:rsidR="001A161F" w:rsidRPr="00AE4FDF" w:rsidRDefault="001A161F" w:rsidP="001A161F">
      <w:pPr>
        <w:jc w:val="both"/>
        <w:rPr>
          <w:rFonts w:ascii="Arial" w:hAnsi="Arial" w:cs="Arial"/>
          <w:sz w:val="16"/>
          <w:szCs w:val="16"/>
        </w:rPr>
      </w:pPr>
    </w:p>
    <w:p w14:paraId="3CBEA845" w14:textId="77777777" w:rsidR="001A161F" w:rsidRPr="00AE4FDF" w:rsidRDefault="001A161F" w:rsidP="001A161F">
      <w:pPr>
        <w:jc w:val="both"/>
        <w:rPr>
          <w:rFonts w:ascii="Arial" w:hAnsi="Arial" w:cs="Arial"/>
          <w:b/>
          <w:bCs/>
          <w:sz w:val="22"/>
          <w:szCs w:val="22"/>
        </w:rPr>
      </w:pPr>
      <w:r w:rsidRPr="00AE4FDF">
        <w:rPr>
          <w:rFonts w:ascii="Arial" w:hAnsi="Arial" w:cs="Arial"/>
          <w:b/>
          <w:bCs/>
          <w:sz w:val="22"/>
          <w:szCs w:val="22"/>
        </w:rPr>
        <w:t>3.3.1 Minimum Inhibitory Concentrations</w:t>
      </w:r>
    </w:p>
    <w:p w14:paraId="794A3ED2" w14:textId="77777777" w:rsidR="001A161F" w:rsidRPr="00AE4FDF" w:rsidRDefault="001A161F" w:rsidP="001A161F">
      <w:pPr>
        <w:jc w:val="both"/>
        <w:rPr>
          <w:rFonts w:ascii="Arial" w:hAnsi="Arial" w:cs="Arial"/>
          <w:sz w:val="8"/>
          <w:szCs w:val="8"/>
        </w:rPr>
      </w:pPr>
    </w:p>
    <w:p w14:paraId="305903BD"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 xml:space="preserve">The results of antifungal activity against the clinical strain </w:t>
      </w:r>
      <w:r w:rsidRPr="001A161F">
        <w:rPr>
          <w:rFonts w:ascii="Arial" w:hAnsi="Arial" w:cs="Arial"/>
          <w:i/>
          <w:iCs/>
          <w:sz w:val="22"/>
          <w:szCs w:val="22"/>
        </w:rPr>
        <w:t>A. fumigatus</w:t>
      </w:r>
      <w:r w:rsidRPr="001A161F">
        <w:rPr>
          <w:rFonts w:ascii="Arial" w:hAnsi="Arial" w:cs="Arial"/>
          <w:sz w:val="22"/>
          <w:szCs w:val="22"/>
        </w:rPr>
        <w:t xml:space="preserve"> are presented in Table 2.</w:t>
      </w:r>
    </w:p>
    <w:p w14:paraId="3546E95F" w14:textId="77777777" w:rsidR="00CB0E2E" w:rsidRDefault="00CB0E2E" w:rsidP="001A161F">
      <w:pPr>
        <w:jc w:val="both"/>
        <w:rPr>
          <w:rFonts w:ascii="Arial" w:hAnsi="Arial" w:cs="Arial"/>
          <w:b/>
          <w:bCs/>
          <w:sz w:val="22"/>
          <w:szCs w:val="22"/>
        </w:rPr>
        <w:sectPr w:rsidR="00CB0E2E" w:rsidSect="00CB0E2E">
          <w:type w:val="continuous"/>
          <w:pgSz w:w="12240" w:h="15840"/>
          <w:pgMar w:top="1440" w:right="2016" w:bottom="2016" w:left="2016" w:header="720" w:footer="1123" w:gutter="0"/>
          <w:cols w:num="2" w:space="720"/>
          <w:docGrid w:linePitch="272"/>
        </w:sectPr>
      </w:pPr>
    </w:p>
    <w:p w14:paraId="61F13077" w14:textId="377F848D" w:rsidR="001A161F" w:rsidRPr="001A161F" w:rsidRDefault="001A161F" w:rsidP="001A161F">
      <w:pPr>
        <w:jc w:val="both"/>
        <w:rPr>
          <w:rFonts w:ascii="Arial" w:hAnsi="Arial" w:cs="Arial"/>
          <w:sz w:val="22"/>
          <w:szCs w:val="22"/>
        </w:rPr>
      </w:pPr>
      <w:r w:rsidRPr="00AE4FDF">
        <w:rPr>
          <w:rFonts w:ascii="Arial" w:hAnsi="Arial" w:cs="Arial"/>
          <w:b/>
          <w:bCs/>
          <w:sz w:val="22"/>
          <w:szCs w:val="22"/>
        </w:rPr>
        <w:t>Table 2</w:t>
      </w:r>
      <w:r w:rsidRPr="001A161F">
        <w:rPr>
          <w:rFonts w:ascii="Arial" w:hAnsi="Arial" w:cs="Arial"/>
          <w:sz w:val="22"/>
          <w:szCs w:val="22"/>
        </w:rPr>
        <w:t xml:space="preserve">: Antifungal Activity </w:t>
      </w:r>
      <w:r w:rsidR="00A52184" w:rsidRPr="005E5007">
        <w:rPr>
          <w:rFonts w:ascii="Arial" w:hAnsi="Arial" w:cs="Arial"/>
          <w:sz w:val="22"/>
          <w:szCs w:val="22"/>
        </w:rPr>
        <w:t xml:space="preserve">of </w:t>
      </w:r>
      <w:r w:rsidR="00A52184">
        <w:rPr>
          <w:rFonts w:ascii="Arial" w:hAnsi="Arial" w:cs="Arial"/>
          <w:sz w:val="22"/>
          <w:szCs w:val="22"/>
        </w:rPr>
        <w:t>6-</w:t>
      </w:r>
      <w:r w:rsidR="00A52184" w:rsidRPr="00A52184">
        <w:rPr>
          <w:rFonts w:ascii="Arial" w:hAnsi="Arial" w:cs="Arial"/>
          <w:color w:val="EE0000"/>
          <w:sz w:val="22"/>
          <w:szCs w:val="22"/>
        </w:rPr>
        <w:t xml:space="preserve"> </w:t>
      </w:r>
      <w:r w:rsidR="00A52184" w:rsidRPr="00990BF3">
        <w:rPr>
          <w:rFonts w:ascii="Arial" w:hAnsi="Arial" w:cs="Arial"/>
          <w:color w:val="EE0000"/>
          <w:sz w:val="22"/>
          <w:szCs w:val="22"/>
        </w:rPr>
        <w:t>chlor</w:t>
      </w:r>
      <w:r w:rsidR="00A52184">
        <w:rPr>
          <w:rFonts w:ascii="Arial" w:hAnsi="Arial" w:cs="Arial"/>
          <w:color w:val="EE0000"/>
          <w:sz w:val="22"/>
          <w:szCs w:val="22"/>
        </w:rPr>
        <w:t>o</w:t>
      </w:r>
      <w:r w:rsidR="004B3210">
        <w:rPr>
          <w:rFonts w:ascii="Arial" w:hAnsi="Arial" w:cs="Arial"/>
          <w:color w:val="EE0000"/>
          <w:sz w:val="22"/>
          <w:szCs w:val="22"/>
        </w:rPr>
        <w:t xml:space="preserve"> </w:t>
      </w:r>
      <w:r w:rsidR="00A52184" w:rsidRPr="005E5007">
        <w:rPr>
          <w:rFonts w:ascii="Arial" w:hAnsi="Arial" w:cs="Arial"/>
          <w:sz w:val="22"/>
          <w:szCs w:val="22"/>
        </w:rPr>
        <w:t>imidazo[1,2-</w:t>
      </w:r>
      <w:r w:rsidR="00A52184" w:rsidRPr="005E5007">
        <w:rPr>
          <w:rFonts w:ascii="Arial" w:hAnsi="Arial" w:cs="Arial"/>
          <w:i/>
          <w:iCs/>
          <w:sz w:val="22"/>
          <w:szCs w:val="22"/>
        </w:rPr>
        <w:t>a</w:t>
      </w:r>
      <w:r w:rsidR="00A52184" w:rsidRPr="005E5007">
        <w:rPr>
          <w:rFonts w:ascii="Arial" w:hAnsi="Arial" w:cs="Arial"/>
          <w:sz w:val="22"/>
          <w:szCs w:val="22"/>
        </w:rPr>
        <w:t>]pyridin</w:t>
      </w:r>
      <w:r w:rsidR="00A52184">
        <w:rPr>
          <w:rFonts w:ascii="Arial" w:hAnsi="Arial" w:cs="Arial"/>
          <w:sz w:val="22"/>
          <w:szCs w:val="22"/>
        </w:rPr>
        <w:t>yl-</w:t>
      </w:r>
      <w:r w:rsidR="00A52184">
        <w:rPr>
          <w:rFonts w:ascii="Arial" w:hAnsi="Arial" w:cs="Arial"/>
          <w:color w:val="EE0000"/>
          <w:sz w:val="22"/>
          <w:szCs w:val="22"/>
        </w:rPr>
        <w:t>phenyl</w:t>
      </w:r>
      <w:r w:rsidR="00A52184" w:rsidRPr="00A52184">
        <w:rPr>
          <w:rFonts w:ascii="Arial" w:hAnsi="Arial" w:cs="Arial"/>
          <w:color w:val="EE0000"/>
          <w:sz w:val="22"/>
          <w:szCs w:val="22"/>
        </w:rPr>
        <w:t>propenone</w:t>
      </w:r>
      <w:r w:rsidR="00A52184">
        <w:rPr>
          <w:rFonts w:ascii="Arial" w:hAnsi="Arial" w:cs="Arial"/>
          <w:color w:val="EE0000"/>
          <w:sz w:val="22"/>
          <w:szCs w:val="22"/>
        </w:rPr>
        <w:t xml:space="preserve"> derivatives</w:t>
      </w:r>
      <w:r w:rsidR="00A52184" w:rsidRPr="005E5007">
        <w:rPr>
          <w:rFonts w:ascii="Arial" w:hAnsi="Arial" w:cs="Arial"/>
          <w:sz w:val="22"/>
          <w:szCs w:val="22"/>
        </w:rPr>
        <w:t xml:space="preserve"> </w:t>
      </w:r>
      <w:r w:rsidR="00A52184" w:rsidRPr="00A52184">
        <w:rPr>
          <w:rFonts w:ascii="Arial" w:hAnsi="Arial" w:cs="Arial"/>
          <w:color w:val="EE0000"/>
          <w:sz w:val="22"/>
          <w:szCs w:val="22"/>
        </w:rPr>
        <w:t>a</w:t>
      </w:r>
      <w:r w:rsidRPr="001A161F">
        <w:rPr>
          <w:rFonts w:ascii="Arial" w:hAnsi="Arial" w:cs="Arial"/>
          <w:sz w:val="22"/>
          <w:szCs w:val="22"/>
        </w:rPr>
        <w:t xml:space="preserve">gainst Clinical isolates of </w:t>
      </w:r>
      <w:r w:rsidRPr="001A161F">
        <w:rPr>
          <w:rFonts w:ascii="Arial" w:hAnsi="Arial" w:cs="Arial"/>
          <w:i/>
          <w:iCs/>
          <w:sz w:val="22"/>
          <w:szCs w:val="22"/>
        </w:rPr>
        <w:t xml:space="preserve">Aspergillus fumigatus </w:t>
      </w:r>
      <w:r w:rsidRPr="001A161F">
        <w:rPr>
          <w:rFonts w:ascii="Arial" w:hAnsi="Arial" w:cs="Arial"/>
          <w:sz w:val="22"/>
          <w:szCs w:val="22"/>
        </w:rPr>
        <w:t>487957</w:t>
      </w:r>
    </w:p>
    <w:p w14:paraId="7CDD3804" w14:textId="77777777" w:rsidR="001A161F" w:rsidRPr="001A161F" w:rsidRDefault="001A161F" w:rsidP="001A161F">
      <w:pPr>
        <w:jc w:val="both"/>
        <w:rPr>
          <w:rFonts w:ascii="Arial" w:hAnsi="Arial" w:cs="Arial"/>
          <w:sz w:val="22"/>
          <w:szCs w:val="22"/>
        </w:rPr>
      </w:pPr>
    </w:p>
    <w:tbl>
      <w:tblPr>
        <w:tblStyle w:val="TableGrid"/>
        <w:tblW w:w="6662"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3"/>
        <w:gridCol w:w="1560"/>
        <w:gridCol w:w="1559"/>
      </w:tblGrid>
      <w:tr w:rsidR="001A161F" w:rsidRPr="001A161F" w14:paraId="44E21A58" w14:textId="77777777" w:rsidTr="00115495">
        <w:trPr>
          <w:trHeight w:val="332"/>
          <w:jc w:val="center"/>
        </w:trPr>
        <w:tc>
          <w:tcPr>
            <w:tcW w:w="5103" w:type="dxa"/>
            <w:gridSpan w:val="2"/>
            <w:tcBorders>
              <w:top w:val="single" w:sz="4" w:space="0" w:color="auto"/>
              <w:bottom w:val="nil"/>
            </w:tcBorders>
          </w:tcPr>
          <w:p w14:paraId="4DBAFC25" w14:textId="19199306" w:rsidR="001A161F" w:rsidRPr="001A161F" w:rsidRDefault="001A161F" w:rsidP="008A74AB">
            <w:pPr>
              <w:jc w:val="center"/>
              <w:rPr>
                <w:rFonts w:ascii="Arial" w:hAnsi="Arial" w:cs="Arial"/>
                <w:highlight w:val="green"/>
              </w:rPr>
            </w:pPr>
            <w:r w:rsidRPr="001A161F">
              <w:rPr>
                <w:rFonts w:ascii="Arial" w:hAnsi="Arial" w:cs="Arial"/>
              </w:rPr>
              <w:t>Compound</w:t>
            </w:r>
            <w:r w:rsidR="008A74AB">
              <w:rPr>
                <w:rFonts w:ascii="Arial" w:hAnsi="Arial" w:cs="Arial"/>
              </w:rPr>
              <w:t>s</w:t>
            </w:r>
          </w:p>
        </w:tc>
        <w:tc>
          <w:tcPr>
            <w:tcW w:w="1559" w:type="dxa"/>
            <w:vMerge w:val="restart"/>
            <w:tcBorders>
              <w:top w:val="single" w:sz="4" w:space="0" w:color="auto"/>
              <w:bottom w:val="single" w:sz="4" w:space="0" w:color="auto"/>
            </w:tcBorders>
          </w:tcPr>
          <w:p w14:paraId="1967F9AD" w14:textId="77777777" w:rsidR="001A161F" w:rsidRPr="001A161F" w:rsidRDefault="001A161F" w:rsidP="00115495">
            <w:pPr>
              <w:jc w:val="both"/>
              <w:rPr>
                <w:rFonts w:ascii="Arial" w:hAnsi="Arial" w:cs="Arial"/>
              </w:rPr>
            </w:pPr>
            <w:r w:rsidRPr="001A161F">
              <w:rPr>
                <w:rFonts w:ascii="Arial" w:hAnsi="Arial" w:cs="Arial"/>
              </w:rPr>
              <w:t>MIC (µM)</w:t>
            </w:r>
          </w:p>
        </w:tc>
      </w:tr>
      <w:tr w:rsidR="001A161F" w:rsidRPr="001A161F" w14:paraId="2B747A2F" w14:textId="77777777" w:rsidTr="00115495">
        <w:trPr>
          <w:jc w:val="center"/>
        </w:trPr>
        <w:tc>
          <w:tcPr>
            <w:tcW w:w="3543" w:type="dxa"/>
            <w:tcBorders>
              <w:top w:val="nil"/>
              <w:bottom w:val="single" w:sz="4" w:space="0" w:color="auto"/>
            </w:tcBorders>
          </w:tcPr>
          <w:p w14:paraId="31197A29" w14:textId="77777777" w:rsidR="001A161F" w:rsidRPr="001A161F" w:rsidRDefault="001A161F" w:rsidP="00115495">
            <w:pPr>
              <w:jc w:val="both"/>
              <w:rPr>
                <w:rFonts w:ascii="Arial" w:hAnsi="Arial" w:cs="Arial"/>
              </w:rPr>
            </w:pPr>
            <w:r w:rsidRPr="001A161F">
              <w:rPr>
                <w:rFonts w:ascii="Arial" w:hAnsi="Arial" w:cs="Arial"/>
              </w:rPr>
              <w:t>Structure</w:t>
            </w:r>
          </w:p>
        </w:tc>
        <w:tc>
          <w:tcPr>
            <w:tcW w:w="1560" w:type="dxa"/>
            <w:tcBorders>
              <w:top w:val="nil"/>
              <w:bottom w:val="single" w:sz="4" w:space="0" w:color="auto"/>
            </w:tcBorders>
          </w:tcPr>
          <w:p w14:paraId="397048B8" w14:textId="77777777" w:rsidR="001A161F" w:rsidRPr="001A161F" w:rsidRDefault="001A161F" w:rsidP="00115495">
            <w:pPr>
              <w:jc w:val="both"/>
              <w:rPr>
                <w:rFonts w:ascii="Arial" w:hAnsi="Arial" w:cs="Arial"/>
              </w:rPr>
            </w:pPr>
            <w:r w:rsidRPr="001A161F">
              <w:rPr>
                <w:rFonts w:ascii="Arial" w:hAnsi="Arial" w:cs="Arial"/>
              </w:rPr>
              <w:t>R</w:t>
            </w:r>
          </w:p>
        </w:tc>
        <w:tc>
          <w:tcPr>
            <w:tcW w:w="1559" w:type="dxa"/>
            <w:vMerge/>
            <w:tcBorders>
              <w:top w:val="nil"/>
              <w:bottom w:val="single" w:sz="4" w:space="0" w:color="auto"/>
            </w:tcBorders>
          </w:tcPr>
          <w:p w14:paraId="23A27BCF" w14:textId="77777777" w:rsidR="001A161F" w:rsidRPr="001A161F" w:rsidRDefault="001A161F" w:rsidP="00115495">
            <w:pPr>
              <w:jc w:val="both"/>
              <w:rPr>
                <w:rFonts w:ascii="Arial" w:hAnsi="Arial" w:cs="Arial"/>
              </w:rPr>
            </w:pPr>
          </w:p>
        </w:tc>
      </w:tr>
      <w:tr w:rsidR="001A161F" w:rsidRPr="001A161F" w14:paraId="78541E4A" w14:textId="77777777" w:rsidTr="00115495">
        <w:trPr>
          <w:jc w:val="center"/>
        </w:trPr>
        <w:tc>
          <w:tcPr>
            <w:tcW w:w="3543" w:type="dxa"/>
            <w:vMerge w:val="restart"/>
            <w:tcBorders>
              <w:top w:val="single" w:sz="4" w:space="0" w:color="auto"/>
            </w:tcBorders>
          </w:tcPr>
          <w:p w14:paraId="2E802994" w14:textId="77777777" w:rsidR="001A161F" w:rsidRPr="001A161F" w:rsidRDefault="001A161F" w:rsidP="00115495">
            <w:pPr>
              <w:jc w:val="both"/>
              <w:rPr>
                <w:rFonts w:ascii="Arial" w:hAnsi="Arial" w:cs="Arial"/>
              </w:rPr>
            </w:pPr>
          </w:p>
          <w:p w14:paraId="05C7D7B4" w14:textId="77777777" w:rsidR="001A161F" w:rsidRPr="001A161F" w:rsidRDefault="001A161F" w:rsidP="00115495">
            <w:pPr>
              <w:jc w:val="both"/>
              <w:rPr>
                <w:rFonts w:ascii="Arial" w:hAnsi="Arial" w:cs="Arial"/>
              </w:rPr>
            </w:pPr>
          </w:p>
          <w:p w14:paraId="5EAACC10" w14:textId="77777777" w:rsidR="001A161F" w:rsidRPr="001A161F" w:rsidRDefault="001A161F" w:rsidP="00115495">
            <w:pPr>
              <w:jc w:val="both"/>
              <w:rPr>
                <w:rFonts w:ascii="Arial" w:hAnsi="Arial" w:cs="Arial"/>
                <w:highlight w:val="green"/>
              </w:rPr>
            </w:pPr>
            <w:r w:rsidRPr="001A161F">
              <w:rPr>
                <w:rFonts w:ascii="Arial" w:eastAsia="Times New Roman" w:hAnsi="Arial" w:cs="Arial"/>
                <w:sz w:val="20"/>
                <w:szCs w:val="20"/>
              </w:rPr>
              <w:object w:dxaOrig="2840" w:dyaOrig="1255" w14:anchorId="1F634FD4">
                <v:shape id="_x0000_i1027" type="#_x0000_t75" style="width:105.95pt;height:46.2pt" o:ole="">
                  <v:imagedata r:id="rId20" o:title=""/>
                </v:shape>
                <o:OLEObject Type="Embed" ProgID="ChemDraw.Document.6.0" ShapeID="_x0000_i1027" DrawAspect="Content" ObjectID="_1827996924" r:id="rId22"/>
              </w:object>
            </w:r>
          </w:p>
        </w:tc>
        <w:tc>
          <w:tcPr>
            <w:tcW w:w="1560" w:type="dxa"/>
            <w:tcBorders>
              <w:top w:val="single" w:sz="4" w:space="0" w:color="auto"/>
            </w:tcBorders>
          </w:tcPr>
          <w:p w14:paraId="59635A14" w14:textId="77777777" w:rsidR="001A161F" w:rsidRPr="001A161F" w:rsidRDefault="001A161F" w:rsidP="00115495">
            <w:pPr>
              <w:jc w:val="both"/>
              <w:rPr>
                <w:rFonts w:ascii="Arial" w:hAnsi="Arial" w:cs="Arial"/>
              </w:rPr>
            </w:pPr>
            <w:r w:rsidRPr="001A161F">
              <w:rPr>
                <w:rFonts w:ascii="Arial" w:hAnsi="Arial" w:cs="Arial"/>
              </w:rPr>
              <w:t>H</w:t>
            </w:r>
          </w:p>
        </w:tc>
        <w:tc>
          <w:tcPr>
            <w:tcW w:w="1559" w:type="dxa"/>
            <w:tcBorders>
              <w:top w:val="single" w:sz="4" w:space="0" w:color="auto"/>
            </w:tcBorders>
          </w:tcPr>
          <w:p w14:paraId="53838A0E" w14:textId="6743F028" w:rsidR="001A161F" w:rsidRPr="00B64BA1" w:rsidRDefault="001A161F" w:rsidP="00B64BA1">
            <w:pPr>
              <w:jc w:val="center"/>
              <w:rPr>
                <w:rFonts w:ascii="Arial" w:hAnsi="Arial" w:cs="Arial"/>
                <w:color w:val="EE0000"/>
              </w:rPr>
            </w:pPr>
            <w:r w:rsidRPr="00B64BA1">
              <w:rPr>
                <w:rFonts w:ascii="Arial" w:eastAsia="Times New Roman" w:hAnsi="Arial" w:cs="Arial"/>
                <w:color w:val="EE0000"/>
                <w:lang w:eastAsia="fr-FR"/>
              </w:rPr>
              <w:t>84</w:t>
            </w:r>
            <w:r w:rsidR="00B64BA1" w:rsidRPr="00B64BA1">
              <w:rPr>
                <w:rFonts w:ascii="Arial" w:eastAsia="Times New Roman" w:hAnsi="Arial" w:cs="Arial"/>
                <w:color w:val="EE0000"/>
                <w:lang w:eastAsia="fr-FR"/>
              </w:rPr>
              <w:t>.</w:t>
            </w:r>
            <w:r w:rsidRPr="00B64BA1">
              <w:rPr>
                <w:rFonts w:ascii="Arial" w:eastAsia="Times New Roman" w:hAnsi="Arial" w:cs="Arial"/>
                <w:color w:val="EE0000"/>
                <w:lang w:eastAsia="fr-FR"/>
              </w:rPr>
              <w:t>27</w:t>
            </w:r>
          </w:p>
        </w:tc>
      </w:tr>
      <w:tr w:rsidR="001A161F" w:rsidRPr="001A161F" w14:paraId="2854525A" w14:textId="77777777" w:rsidTr="00115495">
        <w:trPr>
          <w:jc w:val="center"/>
        </w:trPr>
        <w:tc>
          <w:tcPr>
            <w:tcW w:w="3543" w:type="dxa"/>
            <w:vMerge/>
          </w:tcPr>
          <w:p w14:paraId="4E1AE99A" w14:textId="77777777" w:rsidR="001A161F" w:rsidRPr="001A161F" w:rsidRDefault="001A161F" w:rsidP="00115495">
            <w:pPr>
              <w:jc w:val="both"/>
              <w:rPr>
                <w:rFonts w:ascii="Arial" w:hAnsi="Arial" w:cs="Arial"/>
              </w:rPr>
            </w:pPr>
          </w:p>
        </w:tc>
        <w:tc>
          <w:tcPr>
            <w:tcW w:w="1560" w:type="dxa"/>
          </w:tcPr>
          <w:p w14:paraId="7980A85C" w14:textId="77777777" w:rsidR="001A161F" w:rsidRPr="001A161F" w:rsidRDefault="001A161F" w:rsidP="00115495">
            <w:pPr>
              <w:jc w:val="both"/>
              <w:rPr>
                <w:rFonts w:ascii="Arial" w:hAnsi="Arial" w:cs="Arial"/>
              </w:rPr>
            </w:pPr>
            <w:r w:rsidRPr="001A161F">
              <w:rPr>
                <w:rFonts w:ascii="Arial" w:hAnsi="Arial" w:cs="Arial"/>
              </w:rPr>
              <w:t>3-Cl</w:t>
            </w:r>
          </w:p>
        </w:tc>
        <w:tc>
          <w:tcPr>
            <w:tcW w:w="1559" w:type="dxa"/>
            <w:vAlign w:val="center"/>
          </w:tcPr>
          <w:p w14:paraId="57C7D572" w14:textId="48FA4BC9" w:rsidR="001A161F" w:rsidRPr="00B64BA1" w:rsidRDefault="001A161F" w:rsidP="00B64BA1">
            <w:pPr>
              <w:jc w:val="center"/>
              <w:rPr>
                <w:rFonts w:ascii="Arial" w:eastAsia="Times New Roman" w:hAnsi="Arial" w:cs="Arial"/>
                <w:color w:val="EE0000"/>
                <w:lang w:eastAsia="fr-FR"/>
              </w:rPr>
            </w:pPr>
            <w:r w:rsidRPr="00B64BA1">
              <w:rPr>
                <w:rFonts w:ascii="Arial" w:eastAsia="Times New Roman" w:hAnsi="Arial" w:cs="Arial"/>
                <w:color w:val="EE0000"/>
                <w:lang w:eastAsia="fr-FR"/>
              </w:rPr>
              <w:t>75</w:t>
            </w:r>
            <w:r w:rsidR="00B64BA1" w:rsidRPr="00B64BA1">
              <w:rPr>
                <w:rFonts w:ascii="Arial" w:eastAsia="Times New Roman" w:hAnsi="Arial" w:cs="Arial"/>
                <w:color w:val="EE0000"/>
                <w:lang w:eastAsia="fr-FR"/>
              </w:rPr>
              <w:t>.</w:t>
            </w:r>
            <w:r w:rsidRPr="00B64BA1">
              <w:rPr>
                <w:rFonts w:ascii="Arial" w:eastAsia="Times New Roman" w:hAnsi="Arial" w:cs="Arial"/>
                <w:color w:val="EE0000"/>
                <w:lang w:eastAsia="fr-FR"/>
              </w:rPr>
              <w:t>48</w:t>
            </w:r>
          </w:p>
        </w:tc>
      </w:tr>
      <w:tr w:rsidR="001A161F" w:rsidRPr="001A161F" w14:paraId="73AB8918" w14:textId="77777777" w:rsidTr="00115495">
        <w:trPr>
          <w:jc w:val="center"/>
        </w:trPr>
        <w:tc>
          <w:tcPr>
            <w:tcW w:w="3543" w:type="dxa"/>
            <w:vMerge/>
          </w:tcPr>
          <w:p w14:paraId="45E81BAA" w14:textId="77777777" w:rsidR="001A161F" w:rsidRPr="001A161F" w:rsidRDefault="001A161F" w:rsidP="00115495">
            <w:pPr>
              <w:jc w:val="both"/>
              <w:rPr>
                <w:rFonts w:ascii="Arial" w:hAnsi="Arial" w:cs="Arial"/>
                <w:highlight w:val="green"/>
              </w:rPr>
            </w:pPr>
          </w:p>
        </w:tc>
        <w:tc>
          <w:tcPr>
            <w:tcW w:w="1560" w:type="dxa"/>
          </w:tcPr>
          <w:p w14:paraId="747A21D8" w14:textId="77777777" w:rsidR="001A161F" w:rsidRPr="001A161F" w:rsidRDefault="001A161F" w:rsidP="00115495">
            <w:pPr>
              <w:jc w:val="both"/>
              <w:rPr>
                <w:rFonts w:ascii="Arial" w:hAnsi="Arial" w:cs="Arial"/>
              </w:rPr>
            </w:pPr>
            <w:r w:rsidRPr="001A161F">
              <w:rPr>
                <w:rFonts w:ascii="Arial" w:hAnsi="Arial" w:cs="Arial"/>
              </w:rPr>
              <w:t>2-OH</w:t>
            </w:r>
          </w:p>
        </w:tc>
        <w:tc>
          <w:tcPr>
            <w:tcW w:w="1559" w:type="dxa"/>
          </w:tcPr>
          <w:p w14:paraId="0C715A8D" w14:textId="0D37FDB2" w:rsidR="001A161F" w:rsidRPr="00B64BA1" w:rsidRDefault="001A161F" w:rsidP="00B64BA1">
            <w:pPr>
              <w:jc w:val="center"/>
              <w:rPr>
                <w:rFonts w:ascii="Arial" w:eastAsia="Times New Roman" w:hAnsi="Arial" w:cs="Arial"/>
                <w:color w:val="EE0000"/>
                <w:lang w:eastAsia="fr-FR"/>
              </w:rPr>
            </w:pPr>
            <w:r w:rsidRPr="00B64BA1">
              <w:rPr>
                <w:rFonts w:ascii="Arial" w:eastAsia="Times New Roman" w:hAnsi="Arial" w:cs="Arial"/>
                <w:color w:val="EE0000"/>
                <w:lang w:eastAsia="fr-FR"/>
              </w:rPr>
              <w:t>319</w:t>
            </w:r>
            <w:r w:rsidR="00B64BA1" w:rsidRPr="00B64BA1">
              <w:rPr>
                <w:rFonts w:ascii="Arial" w:eastAsia="Times New Roman" w:hAnsi="Arial" w:cs="Arial"/>
                <w:color w:val="EE0000"/>
                <w:lang w:eastAsia="fr-FR"/>
              </w:rPr>
              <w:t>.</w:t>
            </w:r>
            <w:r w:rsidRPr="00B64BA1">
              <w:rPr>
                <w:rFonts w:ascii="Arial" w:eastAsia="Times New Roman" w:hAnsi="Arial" w:cs="Arial"/>
                <w:color w:val="EE0000"/>
                <w:lang w:eastAsia="fr-FR"/>
              </w:rPr>
              <w:t>74</w:t>
            </w:r>
          </w:p>
        </w:tc>
      </w:tr>
      <w:tr w:rsidR="001A161F" w:rsidRPr="001A161F" w14:paraId="3B170B6D" w14:textId="77777777" w:rsidTr="00115495">
        <w:trPr>
          <w:jc w:val="center"/>
        </w:trPr>
        <w:tc>
          <w:tcPr>
            <w:tcW w:w="3543" w:type="dxa"/>
            <w:vMerge/>
          </w:tcPr>
          <w:p w14:paraId="16B74E90" w14:textId="77777777" w:rsidR="001A161F" w:rsidRPr="001A161F" w:rsidRDefault="001A161F" w:rsidP="00115495">
            <w:pPr>
              <w:jc w:val="both"/>
              <w:rPr>
                <w:rFonts w:ascii="Arial" w:hAnsi="Arial" w:cs="Arial"/>
                <w:highlight w:val="green"/>
              </w:rPr>
            </w:pPr>
          </w:p>
        </w:tc>
        <w:tc>
          <w:tcPr>
            <w:tcW w:w="1560" w:type="dxa"/>
          </w:tcPr>
          <w:p w14:paraId="114DB312" w14:textId="77777777" w:rsidR="001A161F" w:rsidRPr="001A161F" w:rsidRDefault="001A161F" w:rsidP="00115495">
            <w:pPr>
              <w:jc w:val="both"/>
              <w:rPr>
                <w:rFonts w:ascii="Arial" w:hAnsi="Arial" w:cs="Arial"/>
              </w:rPr>
            </w:pPr>
            <w:r w:rsidRPr="001A161F">
              <w:rPr>
                <w:rFonts w:ascii="Arial" w:hAnsi="Arial" w:cs="Arial"/>
              </w:rPr>
              <w:t>2-OCH</w:t>
            </w:r>
            <w:r w:rsidRPr="001A161F">
              <w:rPr>
                <w:rFonts w:ascii="Arial" w:hAnsi="Arial" w:cs="Arial"/>
                <w:vertAlign w:val="subscript"/>
              </w:rPr>
              <w:t>3</w:t>
            </w:r>
          </w:p>
        </w:tc>
        <w:tc>
          <w:tcPr>
            <w:tcW w:w="1559" w:type="dxa"/>
          </w:tcPr>
          <w:p w14:paraId="6CDB7B53" w14:textId="7EBBA1B4" w:rsidR="001A161F" w:rsidRPr="00B64BA1" w:rsidRDefault="001A161F" w:rsidP="00B64BA1">
            <w:pPr>
              <w:jc w:val="center"/>
              <w:rPr>
                <w:rFonts w:ascii="Arial" w:eastAsia="Times New Roman" w:hAnsi="Arial" w:cs="Arial"/>
                <w:color w:val="EE0000"/>
                <w:lang w:eastAsia="fr-FR"/>
              </w:rPr>
            </w:pPr>
            <w:r w:rsidRPr="00B64BA1">
              <w:rPr>
                <w:rFonts w:ascii="Arial" w:eastAsia="Times New Roman" w:hAnsi="Arial" w:cs="Arial"/>
                <w:color w:val="EE0000"/>
                <w:lang w:eastAsia="fr-FR"/>
              </w:rPr>
              <w:t>76</w:t>
            </w:r>
            <w:r w:rsidR="00B64BA1" w:rsidRPr="00B64BA1">
              <w:rPr>
                <w:rFonts w:ascii="Arial" w:eastAsia="Times New Roman" w:hAnsi="Arial" w:cs="Arial"/>
                <w:color w:val="EE0000"/>
                <w:lang w:eastAsia="fr-FR"/>
              </w:rPr>
              <w:t>.</w:t>
            </w:r>
            <w:r w:rsidRPr="00B64BA1">
              <w:rPr>
                <w:rFonts w:ascii="Arial" w:eastAsia="Times New Roman" w:hAnsi="Arial" w:cs="Arial"/>
                <w:color w:val="EE0000"/>
                <w:lang w:eastAsia="fr-FR"/>
              </w:rPr>
              <w:t>50</w:t>
            </w:r>
          </w:p>
        </w:tc>
      </w:tr>
      <w:tr w:rsidR="001A161F" w:rsidRPr="001A161F" w14:paraId="6CDF0D0A" w14:textId="77777777" w:rsidTr="00115495">
        <w:trPr>
          <w:jc w:val="center"/>
        </w:trPr>
        <w:tc>
          <w:tcPr>
            <w:tcW w:w="3543" w:type="dxa"/>
            <w:vMerge/>
          </w:tcPr>
          <w:p w14:paraId="7E1E1A34" w14:textId="77777777" w:rsidR="001A161F" w:rsidRPr="001A161F" w:rsidRDefault="001A161F" w:rsidP="00115495">
            <w:pPr>
              <w:jc w:val="both"/>
              <w:rPr>
                <w:rFonts w:ascii="Arial" w:hAnsi="Arial" w:cs="Arial"/>
              </w:rPr>
            </w:pPr>
          </w:p>
        </w:tc>
        <w:tc>
          <w:tcPr>
            <w:tcW w:w="1560" w:type="dxa"/>
          </w:tcPr>
          <w:p w14:paraId="63E03347" w14:textId="77777777" w:rsidR="001A161F" w:rsidRPr="001A161F" w:rsidRDefault="001A161F" w:rsidP="00115495">
            <w:pPr>
              <w:jc w:val="both"/>
              <w:rPr>
                <w:rFonts w:ascii="Arial" w:hAnsi="Arial" w:cs="Arial"/>
              </w:rPr>
            </w:pPr>
            <w:r w:rsidRPr="001A161F">
              <w:rPr>
                <w:rFonts w:ascii="Arial" w:hAnsi="Arial" w:cs="Arial"/>
              </w:rPr>
              <w:t>3-OCH</w:t>
            </w:r>
            <w:r w:rsidRPr="001A161F">
              <w:rPr>
                <w:rFonts w:ascii="Arial" w:hAnsi="Arial" w:cs="Arial"/>
                <w:vertAlign w:val="subscript"/>
              </w:rPr>
              <w:t>3</w:t>
            </w:r>
          </w:p>
        </w:tc>
        <w:tc>
          <w:tcPr>
            <w:tcW w:w="1559" w:type="dxa"/>
            <w:vAlign w:val="center"/>
          </w:tcPr>
          <w:p w14:paraId="2B1C0455" w14:textId="2C560453" w:rsidR="001A161F" w:rsidRPr="00B64BA1" w:rsidRDefault="001A161F" w:rsidP="00B64BA1">
            <w:pPr>
              <w:jc w:val="center"/>
              <w:rPr>
                <w:rFonts w:ascii="Arial" w:eastAsia="Times New Roman" w:hAnsi="Arial" w:cs="Arial"/>
                <w:color w:val="EE0000"/>
                <w:lang w:eastAsia="fr-FR"/>
              </w:rPr>
            </w:pPr>
            <w:r w:rsidRPr="00B64BA1">
              <w:rPr>
                <w:rFonts w:ascii="Arial" w:eastAsia="Times New Roman" w:hAnsi="Arial" w:cs="Arial"/>
                <w:color w:val="EE0000"/>
                <w:lang w:eastAsia="fr-FR"/>
              </w:rPr>
              <w:t>153</w:t>
            </w:r>
            <w:r w:rsidR="00B64BA1" w:rsidRPr="00B64BA1">
              <w:rPr>
                <w:rFonts w:ascii="Arial" w:eastAsia="Times New Roman" w:hAnsi="Arial" w:cs="Arial"/>
                <w:color w:val="EE0000"/>
                <w:lang w:eastAsia="fr-FR"/>
              </w:rPr>
              <w:t>.</w:t>
            </w:r>
            <w:r w:rsidRPr="00B64BA1">
              <w:rPr>
                <w:rFonts w:ascii="Arial" w:eastAsia="Times New Roman" w:hAnsi="Arial" w:cs="Arial"/>
                <w:color w:val="EE0000"/>
                <w:lang w:eastAsia="fr-FR"/>
              </w:rPr>
              <w:t>00</w:t>
            </w:r>
          </w:p>
        </w:tc>
      </w:tr>
      <w:tr w:rsidR="001A161F" w:rsidRPr="001A161F" w14:paraId="6E7C953E" w14:textId="77777777" w:rsidTr="00115495">
        <w:trPr>
          <w:jc w:val="center"/>
        </w:trPr>
        <w:tc>
          <w:tcPr>
            <w:tcW w:w="3543" w:type="dxa"/>
            <w:vMerge/>
          </w:tcPr>
          <w:p w14:paraId="44042282" w14:textId="77777777" w:rsidR="001A161F" w:rsidRPr="001A161F" w:rsidRDefault="001A161F" w:rsidP="00115495">
            <w:pPr>
              <w:jc w:val="both"/>
              <w:rPr>
                <w:rFonts w:ascii="Arial" w:hAnsi="Arial" w:cs="Arial"/>
                <w:highlight w:val="green"/>
              </w:rPr>
            </w:pPr>
          </w:p>
        </w:tc>
        <w:tc>
          <w:tcPr>
            <w:tcW w:w="1560" w:type="dxa"/>
          </w:tcPr>
          <w:p w14:paraId="6DACA207" w14:textId="77777777" w:rsidR="001A161F" w:rsidRPr="001A161F" w:rsidRDefault="001A161F" w:rsidP="00115495">
            <w:pPr>
              <w:jc w:val="both"/>
              <w:rPr>
                <w:rFonts w:ascii="Arial" w:hAnsi="Arial" w:cs="Arial"/>
              </w:rPr>
            </w:pPr>
            <w:r w:rsidRPr="001A161F">
              <w:rPr>
                <w:rFonts w:ascii="Arial" w:hAnsi="Arial" w:cs="Arial"/>
              </w:rPr>
              <w:t>2,4-OCH</w:t>
            </w:r>
            <w:r w:rsidRPr="001A161F">
              <w:rPr>
                <w:rFonts w:ascii="Arial" w:hAnsi="Arial" w:cs="Arial"/>
                <w:vertAlign w:val="subscript"/>
              </w:rPr>
              <w:t>3</w:t>
            </w:r>
          </w:p>
        </w:tc>
        <w:tc>
          <w:tcPr>
            <w:tcW w:w="1559" w:type="dxa"/>
          </w:tcPr>
          <w:p w14:paraId="12D0C75A" w14:textId="43D2DEA8" w:rsidR="001A161F" w:rsidRPr="00B64BA1" w:rsidRDefault="001A161F" w:rsidP="00B64BA1">
            <w:pPr>
              <w:jc w:val="center"/>
              <w:rPr>
                <w:rFonts w:ascii="Arial" w:eastAsia="Times New Roman" w:hAnsi="Arial" w:cs="Arial"/>
                <w:color w:val="EE0000"/>
                <w:lang w:eastAsia="fr-FR"/>
              </w:rPr>
            </w:pPr>
            <w:r w:rsidRPr="00B64BA1">
              <w:rPr>
                <w:rFonts w:ascii="Arial" w:eastAsia="Times New Roman" w:hAnsi="Arial" w:cs="Arial"/>
                <w:color w:val="EE0000"/>
                <w:lang w:eastAsia="fr-FR"/>
              </w:rPr>
              <w:t>140</w:t>
            </w:r>
            <w:r w:rsidR="00B64BA1" w:rsidRPr="00B64BA1">
              <w:rPr>
                <w:rFonts w:ascii="Arial" w:eastAsia="Times New Roman" w:hAnsi="Arial" w:cs="Arial"/>
                <w:color w:val="EE0000"/>
                <w:lang w:eastAsia="fr-FR"/>
              </w:rPr>
              <w:t>.</w:t>
            </w:r>
            <w:r w:rsidRPr="00B64BA1">
              <w:rPr>
                <w:rFonts w:ascii="Arial" w:eastAsia="Times New Roman" w:hAnsi="Arial" w:cs="Arial"/>
                <w:color w:val="EE0000"/>
                <w:lang w:eastAsia="fr-FR"/>
              </w:rPr>
              <w:t>13</w:t>
            </w:r>
          </w:p>
        </w:tc>
      </w:tr>
      <w:tr w:rsidR="001A161F" w:rsidRPr="001A161F" w14:paraId="643529CF" w14:textId="77777777" w:rsidTr="00115495">
        <w:trPr>
          <w:jc w:val="center"/>
        </w:trPr>
        <w:tc>
          <w:tcPr>
            <w:tcW w:w="3543" w:type="dxa"/>
            <w:vMerge/>
          </w:tcPr>
          <w:p w14:paraId="3C766BA7" w14:textId="77777777" w:rsidR="001A161F" w:rsidRPr="001A161F" w:rsidRDefault="001A161F" w:rsidP="00115495">
            <w:pPr>
              <w:jc w:val="both"/>
              <w:rPr>
                <w:rFonts w:ascii="Arial" w:hAnsi="Arial" w:cs="Arial"/>
                <w:highlight w:val="green"/>
              </w:rPr>
            </w:pPr>
          </w:p>
        </w:tc>
        <w:tc>
          <w:tcPr>
            <w:tcW w:w="1560" w:type="dxa"/>
          </w:tcPr>
          <w:p w14:paraId="260CB086" w14:textId="77777777" w:rsidR="001A161F" w:rsidRPr="001A161F" w:rsidRDefault="001A161F" w:rsidP="00115495">
            <w:pPr>
              <w:jc w:val="both"/>
              <w:rPr>
                <w:rFonts w:ascii="Arial" w:hAnsi="Arial" w:cs="Arial"/>
              </w:rPr>
            </w:pPr>
            <w:r w:rsidRPr="001A161F">
              <w:rPr>
                <w:rFonts w:ascii="Arial" w:hAnsi="Arial" w:cs="Arial"/>
              </w:rPr>
              <w:t>4-CH</w:t>
            </w:r>
            <w:r w:rsidRPr="001A161F">
              <w:rPr>
                <w:rFonts w:ascii="Arial" w:hAnsi="Arial" w:cs="Arial"/>
                <w:vertAlign w:val="subscript"/>
              </w:rPr>
              <w:t>3</w:t>
            </w:r>
          </w:p>
        </w:tc>
        <w:tc>
          <w:tcPr>
            <w:tcW w:w="1559" w:type="dxa"/>
          </w:tcPr>
          <w:p w14:paraId="4FDCC9C3" w14:textId="682FF28D" w:rsidR="001A161F" w:rsidRPr="00B64BA1" w:rsidRDefault="001A161F" w:rsidP="00B64BA1">
            <w:pPr>
              <w:jc w:val="center"/>
              <w:rPr>
                <w:rFonts w:ascii="Arial" w:eastAsia="Times New Roman" w:hAnsi="Arial" w:cs="Arial"/>
                <w:color w:val="EE0000"/>
                <w:lang w:eastAsia="fr-FR"/>
              </w:rPr>
            </w:pPr>
            <w:r w:rsidRPr="00B64BA1">
              <w:rPr>
                <w:rFonts w:ascii="Arial" w:eastAsia="Times New Roman" w:hAnsi="Arial" w:cs="Arial"/>
                <w:color w:val="EE0000"/>
                <w:lang w:eastAsia="fr-FR"/>
              </w:rPr>
              <w:t>160</w:t>
            </w:r>
            <w:r w:rsidR="00B64BA1" w:rsidRPr="00B64BA1">
              <w:rPr>
                <w:rFonts w:ascii="Arial" w:eastAsia="Times New Roman" w:hAnsi="Arial" w:cs="Arial"/>
                <w:color w:val="EE0000"/>
                <w:lang w:eastAsia="fr-FR"/>
              </w:rPr>
              <w:t>.</w:t>
            </w:r>
            <w:r w:rsidRPr="00B64BA1">
              <w:rPr>
                <w:rFonts w:ascii="Arial" w:eastAsia="Times New Roman" w:hAnsi="Arial" w:cs="Arial"/>
                <w:color w:val="EE0000"/>
                <w:lang w:eastAsia="fr-FR"/>
              </w:rPr>
              <w:t>89</w:t>
            </w:r>
          </w:p>
        </w:tc>
      </w:tr>
      <w:tr w:rsidR="001A161F" w:rsidRPr="001A161F" w14:paraId="2CFF3D0D" w14:textId="77777777" w:rsidTr="00115495">
        <w:trPr>
          <w:jc w:val="center"/>
        </w:trPr>
        <w:tc>
          <w:tcPr>
            <w:tcW w:w="3543" w:type="dxa"/>
            <w:vMerge/>
          </w:tcPr>
          <w:p w14:paraId="6691E095" w14:textId="77777777" w:rsidR="001A161F" w:rsidRPr="001A161F" w:rsidRDefault="001A161F" w:rsidP="00115495">
            <w:pPr>
              <w:jc w:val="both"/>
              <w:rPr>
                <w:rFonts w:ascii="Arial" w:hAnsi="Arial" w:cs="Arial"/>
                <w:highlight w:val="green"/>
              </w:rPr>
            </w:pPr>
          </w:p>
        </w:tc>
        <w:tc>
          <w:tcPr>
            <w:tcW w:w="1560" w:type="dxa"/>
          </w:tcPr>
          <w:p w14:paraId="0561B409" w14:textId="77777777" w:rsidR="001A161F" w:rsidRPr="001A161F" w:rsidRDefault="001A161F" w:rsidP="00115495">
            <w:pPr>
              <w:jc w:val="both"/>
              <w:rPr>
                <w:rFonts w:ascii="Arial" w:hAnsi="Arial" w:cs="Arial"/>
              </w:rPr>
            </w:pPr>
            <w:r w:rsidRPr="001A161F">
              <w:rPr>
                <w:rFonts w:ascii="Arial" w:hAnsi="Arial" w:cs="Arial"/>
              </w:rPr>
              <w:t>3-CH</w:t>
            </w:r>
            <w:r w:rsidRPr="001A161F">
              <w:rPr>
                <w:rFonts w:ascii="Arial" w:hAnsi="Arial" w:cs="Arial"/>
                <w:vertAlign w:val="subscript"/>
              </w:rPr>
              <w:t>3</w:t>
            </w:r>
          </w:p>
        </w:tc>
        <w:tc>
          <w:tcPr>
            <w:tcW w:w="1559" w:type="dxa"/>
          </w:tcPr>
          <w:p w14:paraId="10447312" w14:textId="1E0D8332" w:rsidR="001A161F" w:rsidRPr="00B64BA1" w:rsidRDefault="001A161F" w:rsidP="00B64BA1">
            <w:pPr>
              <w:jc w:val="center"/>
              <w:rPr>
                <w:rFonts w:ascii="Arial" w:eastAsia="Times New Roman" w:hAnsi="Arial" w:cs="Arial"/>
                <w:color w:val="EE0000"/>
                <w:lang w:eastAsia="fr-FR"/>
              </w:rPr>
            </w:pPr>
            <w:r w:rsidRPr="00B64BA1">
              <w:rPr>
                <w:rFonts w:ascii="Arial" w:eastAsia="Times New Roman" w:hAnsi="Arial" w:cs="Arial"/>
                <w:color w:val="EE0000"/>
                <w:lang w:eastAsia="fr-FR"/>
              </w:rPr>
              <w:t>160</w:t>
            </w:r>
            <w:r w:rsidR="00B64BA1" w:rsidRPr="00B64BA1">
              <w:rPr>
                <w:rFonts w:ascii="Arial" w:eastAsia="Times New Roman" w:hAnsi="Arial" w:cs="Arial"/>
                <w:color w:val="EE0000"/>
                <w:lang w:eastAsia="fr-FR"/>
              </w:rPr>
              <w:t>.</w:t>
            </w:r>
            <w:r w:rsidRPr="00B64BA1">
              <w:rPr>
                <w:rFonts w:ascii="Arial" w:eastAsia="Times New Roman" w:hAnsi="Arial" w:cs="Arial"/>
                <w:color w:val="EE0000"/>
                <w:lang w:eastAsia="fr-FR"/>
              </w:rPr>
              <w:t>89</w:t>
            </w:r>
          </w:p>
        </w:tc>
      </w:tr>
      <w:tr w:rsidR="001A161F" w:rsidRPr="001A161F" w14:paraId="14B8B3EE" w14:textId="77777777" w:rsidTr="00115495">
        <w:trPr>
          <w:jc w:val="center"/>
        </w:trPr>
        <w:tc>
          <w:tcPr>
            <w:tcW w:w="3543" w:type="dxa"/>
            <w:vMerge/>
          </w:tcPr>
          <w:p w14:paraId="56D5E873" w14:textId="77777777" w:rsidR="001A161F" w:rsidRPr="001A161F" w:rsidRDefault="001A161F" w:rsidP="00115495">
            <w:pPr>
              <w:jc w:val="both"/>
              <w:rPr>
                <w:rFonts w:ascii="Arial" w:hAnsi="Arial" w:cs="Arial"/>
              </w:rPr>
            </w:pPr>
          </w:p>
        </w:tc>
        <w:tc>
          <w:tcPr>
            <w:tcW w:w="1560" w:type="dxa"/>
          </w:tcPr>
          <w:p w14:paraId="67435D9D" w14:textId="77777777" w:rsidR="001A161F" w:rsidRPr="001A161F" w:rsidRDefault="001A161F" w:rsidP="00115495">
            <w:pPr>
              <w:jc w:val="both"/>
              <w:rPr>
                <w:rFonts w:ascii="Arial" w:hAnsi="Arial" w:cs="Arial"/>
              </w:rPr>
            </w:pPr>
            <w:r w:rsidRPr="001A161F">
              <w:rPr>
                <w:rFonts w:ascii="Arial" w:hAnsi="Arial" w:cs="Arial"/>
              </w:rPr>
              <w:t>2-NO</w:t>
            </w:r>
            <w:r w:rsidRPr="001A161F">
              <w:rPr>
                <w:rFonts w:ascii="Arial" w:hAnsi="Arial" w:cs="Arial"/>
                <w:vertAlign w:val="subscript"/>
              </w:rPr>
              <w:t>2</w:t>
            </w:r>
          </w:p>
        </w:tc>
        <w:tc>
          <w:tcPr>
            <w:tcW w:w="1559" w:type="dxa"/>
          </w:tcPr>
          <w:p w14:paraId="1E6B4813" w14:textId="401F8CBC" w:rsidR="001A161F" w:rsidRPr="00B64BA1" w:rsidRDefault="001A161F" w:rsidP="00B64BA1">
            <w:pPr>
              <w:jc w:val="center"/>
              <w:rPr>
                <w:rFonts w:ascii="Arial" w:eastAsia="Times New Roman" w:hAnsi="Arial" w:cs="Arial"/>
                <w:color w:val="EE0000"/>
                <w:lang w:eastAsia="fr-FR"/>
              </w:rPr>
            </w:pPr>
            <w:r w:rsidRPr="00B64BA1">
              <w:rPr>
                <w:rFonts w:ascii="Arial" w:eastAsia="Times New Roman" w:hAnsi="Arial" w:cs="Arial"/>
                <w:color w:val="EE0000"/>
                <w:lang w:eastAsia="fr-FR"/>
              </w:rPr>
              <w:t>292</w:t>
            </w:r>
            <w:r w:rsidR="00B64BA1" w:rsidRPr="00B64BA1">
              <w:rPr>
                <w:rFonts w:ascii="Arial" w:eastAsia="Times New Roman" w:hAnsi="Arial" w:cs="Arial"/>
                <w:color w:val="EE0000"/>
                <w:lang w:eastAsia="fr-FR"/>
              </w:rPr>
              <w:t>.</w:t>
            </w:r>
            <w:r w:rsidRPr="00B64BA1">
              <w:rPr>
                <w:rFonts w:ascii="Arial" w:eastAsia="Times New Roman" w:hAnsi="Arial" w:cs="Arial"/>
                <w:color w:val="EE0000"/>
                <w:lang w:eastAsia="fr-FR"/>
              </w:rPr>
              <w:t>63</w:t>
            </w:r>
          </w:p>
        </w:tc>
      </w:tr>
      <w:tr w:rsidR="001A161F" w:rsidRPr="001A161F" w14:paraId="088D8CAE" w14:textId="77777777" w:rsidTr="00115495">
        <w:trPr>
          <w:jc w:val="center"/>
        </w:trPr>
        <w:tc>
          <w:tcPr>
            <w:tcW w:w="3543" w:type="dxa"/>
            <w:vMerge/>
          </w:tcPr>
          <w:p w14:paraId="0CDB7FB1" w14:textId="77777777" w:rsidR="001A161F" w:rsidRPr="001A161F" w:rsidRDefault="001A161F" w:rsidP="00115495">
            <w:pPr>
              <w:jc w:val="both"/>
              <w:rPr>
                <w:rFonts w:ascii="Arial" w:hAnsi="Arial" w:cs="Arial"/>
              </w:rPr>
            </w:pPr>
          </w:p>
        </w:tc>
        <w:tc>
          <w:tcPr>
            <w:tcW w:w="1560" w:type="dxa"/>
          </w:tcPr>
          <w:p w14:paraId="5BBE4EB0" w14:textId="77777777" w:rsidR="001A161F" w:rsidRPr="001A161F" w:rsidRDefault="001A161F" w:rsidP="00115495">
            <w:pPr>
              <w:jc w:val="both"/>
              <w:rPr>
                <w:rFonts w:ascii="Arial" w:hAnsi="Arial" w:cs="Arial"/>
              </w:rPr>
            </w:pPr>
            <w:r w:rsidRPr="001A161F">
              <w:rPr>
                <w:rFonts w:ascii="Arial" w:hAnsi="Arial" w:cs="Arial"/>
              </w:rPr>
              <w:t>3-NO</w:t>
            </w:r>
            <w:r w:rsidRPr="001A161F">
              <w:rPr>
                <w:rFonts w:ascii="Arial" w:hAnsi="Arial" w:cs="Arial"/>
                <w:vertAlign w:val="subscript"/>
              </w:rPr>
              <w:t>2</w:t>
            </w:r>
          </w:p>
        </w:tc>
        <w:tc>
          <w:tcPr>
            <w:tcW w:w="1559" w:type="dxa"/>
          </w:tcPr>
          <w:p w14:paraId="2EDDA848" w14:textId="2474879E" w:rsidR="001A161F" w:rsidRPr="00B64BA1" w:rsidRDefault="001A161F" w:rsidP="00B64BA1">
            <w:pPr>
              <w:jc w:val="center"/>
              <w:rPr>
                <w:rFonts w:ascii="Arial" w:eastAsia="Times New Roman" w:hAnsi="Arial" w:cs="Arial"/>
                <w:color w:val="EE0000"/>
                <w:lang w:eastAsia="fr-FR"/>
              </w:rPr>
            </w:pPr>
            <w:r w:rsidRPr="00B64BA1">
              <w:rPr>
                <w:rFonts w:ascii="Arial" w:eastAsia="Times New Roman" w:hAnsi="Arial" w:cs="Arial"/>
                <w:color w:val="EE0000"/>
                <w:lang w:eastAsia="fr-FR"/>
              </w:rPr>
              <w:t>73</w:t>
            </w:r>
            <w:r w:rsidR="00B64BA1" w:rsidRPr="00B64BA1">
              <w:rPr>
                <w:rFonts w:ascii="Arial" w:eastAsia="Times New Roman" w:hAnsi="Arial" w:cs="Arial"/>
                <w:color w:val="EE0000"/>
                <w:lang w:eastAsia="fr-FR"/>
              </w:rPr>
              <w:t>.</w:t>
            </w:r>
            <w:r w:rsidRPr="00B64BA1">
              <w:rPr>
                <w:rFonts w:ascii="Arial" w:eastAsia="Times New Roman" w:hAnsi="Arial" w:cs="Arial"/>
                <w:color w:val="EE0000"/>
                <w:lang w:eastAsia="fr-FR"/>
              </w:rPr>
              <w:t>16</w:t>
            </w:r>
          </w:p>
        </w:tc>
      </w:tr>
      <w:tr w:rsidR="001A161F" w:rsidRPr="001A161F" w14:paraId="30F1AAA4" w14:textId="77777777" w:rsidTr="00115495">
        <w:trPr>
          <w:jc w:val="center"/>
        </w:trPr>
        <w:tc>
          <w:tcPr>
            <w:tcW w:w="3543" w:type="dxa"/>
          </w:tcPr>
          <w:p w14:paraId="395A9D5E" w14:textId="77777777" w:rsidR="001A161F" w:rsidRPr="001A161F" w:rsidRDefault="001A161F" w:rsidP="00115495">
            <w:pPr>
              <w:jc w:val="both"/>
              <w:rPr>
                <w:rFonts w:ascii="Arial" w:eastAsia="Times New Roman" w:hAnsi="Arial" w:cs="Arial"/>
                <w:b/>
                <w:bCs/>
                <w:color w:val="404040"/>
                <w:lang w:eastAsia="fr-FR"/>
              </w:rPr>
            </w:pPr>
            <w:r w:rsidRPr="001A161F">
              <w:rPr>
                <w:rFonts w:ascii="Arial" w:hAnsi="Arial" w:cs="Arial"/>
              </w:rPr>
              <w:t>Itraconazole</w:t>
            </w:r>
          </w:p>
        </w:tc>
        <w:tc>
          <w:tcPr>
            <w:tcW w:w="1560" w:type="dxa"/>
          </w:tcPr>
          <w:p w14:paraId="6453F4CA" w14:textId="77777777" w:rsidR="001A161F" w:rsidRPr="001A161F" w:rsidRDefault="001A161F" w:rsidP="00115495">
            <w:pPr>
              <w:jc w:val="both"/>
              <w:rPr>
                <w:rFonts w:ascii="Arial" w:eastAsia="Times New Roman" w:hAnsi="Arial" w:cs="Arial"/>
                <w:b/>
                <w:bCs/>
                <w:color w:val="404040"/>
                <w:lang w:eastAsia="fr-FR"/>
              </w:rPr>
            </w:pPr>
          </w:p>
        </w:tc>
        <w:tc>
          <w:tcPr>
            <w:tcW w:w="1559" w:type="dxa"/>
          </w:tcPr>
          <w:p w14:paraId="03E2DAD4" w14:textId="3F553075" w:rsidR="001A161F" w:rsidRPr="00B64BA1" w:rsidRDefault="001A161F" w:rsidP="00B64BA1">
            <w:pPr>
              <w:jc w:val="center"/>
              <w:rPr>
                <w:rFonts w:ascii="Arial" w:eastAsia="Times New Roman" w:hAnsi="Arial" w:cs="Arial"/>
                <w:color w:val="EE0000"/>
                <w:lang w:eastAsia="fr-FR"/>
              </w:rPr>
            </w:pPr>
            <w:r w:rsidRPr="00B64BA1">
              <w:rPr>
                <w:rFonts w:ascii="Arial" w:eastAsia="Times New Roman" w:hAnsi="Arial" w:cs="Arial"/>
                <w:color w:val="EE0000"/>
                <w:lang w:eastAsia="fr-FR"/>
              </w:rPr>
              <w:t>&lt;1</w:t>
            </w:r>
            <w:r w:rsidR="00B64BA1" w:rsidRPr="00B64BA1">
              <w:rPr>
                <w:rFonts w:ascii="Arial" w:eastAsia="Times New Roman" w:hAnsi="Arial" w:cs="Arial"/>
                <w:color w:val="EE0000"/>
                <w:lang w:eastAsia="fr-FR"/>
              </w:rPr>
              <w:t>.</w:t>
            </w:r>
            <w:r w:rsidRPr="00B64BA1">
              <w:rPr>
                <w:rFonts w:ascii="Arial" w:eastAsia="Times New Roman" w:hAnsi="Arial" w:cs="Arial"/>
                <w:color w:val="EE0000"/>
                <w:lang w:eastAsia="fr-FR"/>
              </w:rPr>
              <w:t>11</w:t>
            </w:r>
          </w:p>
        </w:tc>
      </w:tr>
    </w:tbl>
    <w:p w14:paraId="422C3530" w14:textId="77777777" w:rsidR="001A161F" w:rsidRPr="001A161F" w:rsidRDefault="001A161F" w:rsidP="001A161F">
      <w:pPr>
        <w:jc w:val="both"/>
        <w:rPr>
          <w:rFonts w:ascii="Arial" w:hAnsi="Arial" w:cs="Arial"/>
          <w:sz w:val="22"/>
          <w:szCs w:val="22"/>
        </w:rPr>
      </w:pPr>
    </w:p>
    <w:p w14:paraId="05F887BE" w14:textId="77777777" w:rsidR="00CB0E2E" w:rsidRDefault="00CB0E2E" w:rsidP="001A161F">
      <w:pPr>
        <w:jc w:val="both"/>
        <w:rPr>
          <w:rFonts w:ascii="Arial" w:hAnsi="Arial" w:cs="Arial"/>
          <w:b/>
          <w:bCs/>
          <w:sz w:val="22"/>
          <w:szCs w:val="22"/>
        </w:rPr>
        <w:sectPr w:rsidR="00CB0E2E" w:rsidSect="001A161F">
          <w:type w:val="continuous"/>
          <w:pgSz w:w="12240" w:h="15840"/>
          <w:pgMar w:top="1440" w:right="2016" w:bottom="2016" w:left="2016" w:header="720" w:footer="1123" w:gutter="0"/>
          <w:cols w:space="720"/>
          <w:docGrid w:linePitch="272"/>
        </w:sectPr>
      </w:pPr>
    </w:p>
    <w:p w14:paraId="35014396" w14:textId="2D3FD3F3" w:rsidR="001A161F" w:rsidRPr="00AE4FDF" w:rsidRDefault="001A161F" w:rsidP="00CB0E2E">
      <w:pPr>
        <w:rPr>
          <w:rFonts w:ascii="Arial" w:hAnsi="Arial" w:cs="Arial"/>
          <w:b/>
          <w:bCs/>
          <w:sz w:val="22"/>
          <w:szCs w:val="22"/>
        </w:rPr>
      </w:pPr>
      <w:r w:rsidRPr="00AE4FDF">
        <w:rPr>
          <w:rFonts w:ascii="Arial" w:hAnsi="Arial" w:cs="Arial"/>
          <w:b/>
          <w:bCs/>
          <w:sz w:val="22"/>
          <w:szCs w:val="22"/>
        </w:rPr>
        <w:t>3.3.2</w:t>
      </w:r>
      <w:r w:rsidR="00CB0E2E">
        <w:rPr>
          <w:rFonts w:ascii="Arial" w:hAnsi="Arial" w:cs="Arial"/>
          <w:b/>
          <w:bCs/>
          <w:sz w:val="22"/>
          <w:szCs w:val="22"/>
        </w:rPr>
        <w:t xml:space="preserve"> </w:t>
      </w:r>
      <w:r w:rsidRPr="00AE4FDF">
        <w:rPr>
          <w:rFonts w:ascii="Arial" w:hAnsi="Arial" w:cs="Arial"/>
          <w:b/>
          <w:bCs/>
          <w:sz w:val="22"/>
          <w:szCs w:val="22"/>
        </w:rPr>
        <w:t>Structure-Activity Relationship Analysis (SAR)</w:t>
      </w:r>
    </w:p>
    <w:p w14:paraId="0C8AA078" w14:textId="77777777" w:rsidR="001A161F" w:rsidRPr="00AE4FDF" w:rsidRDefault="001A161F" w:rsidP="001A161F">
      <w:pPr>
        <w:jc w:val="both"/>
        <w:rPr>
          <w:rFonts w:ascii="Arial" w:hAnsi="Arial" w:cs="Arial"/>
          <w:sz w:val="6"/>
          <w:szCs w:val="6"/>
        </w:rPr>
      </w:pPr>
    </w:p>
    <w:p w14:paraId="16BBD978" w14:textId="381C17E0" w:rsidR="001A161F" w:rsidRDefault="001A161F" w:rsidP="001A161F">
      <w:pPr>
        <w:jc w:val="both"/>
        <w:rPr>
          <w:rFonts w:ascii="Arial" w:hAnsi="Arial" w:cs="Arial"/>
          <w:sz w:val="22"/>
          <w:szCs w:val="22"/>
        </w:rPr>
      </w:pPr>
      <w:r w:rsidRPr="001A161F">
        <w:rPr>
          <w:rFonts w:ascii="Arial" w:hAnsi="Arial" w:cs="Arial"/>
          <w:sz w:val="22"/>
          <w:szCs w:val="22"/>
        </w:rPr>
        <w:lastRenderedPageBreak/>
        <w:t>Systematic analysis of the results reveals several important trends for optimizing antifungal activity:</w:t>
      </w:r>
    </w:p>
    <w:p w14:paraId="28CCC1F2" w14:textId="77777777" w:rsidR="00AE4FDF" w:rsidRPr="008414AE" w:rsidRDefault="00AE4FDF" w:rsidP="001A161F">
      <w:pPr>
        <w:jc w:val="both"/>
        <w:rPr>
          <w:rFonts w:ascii="Arial" w:hAnsi="Arial" w:cs="Arial"/>
          <w:sz w:val="10"/>
          <w:szCs w:val="10"/>
        </w:rPr>
      </w:pPr>
    </w:p>
    <w:p w14:paraId="3F928EDC" w14:textId="77777777" w:rsidR="001A161F" w:rsidRPr="00AE4FDF" w:rsidRDefault="001A161F" w:rsidP="001A161F">
      <w:pPr>
        <w:jc w:val="both"/>
        <w:rPr>
          <w:rFonts w:ascii="Arial" w:hAnsi="Arial" w:cs="Arial"/>
          <w:b/>
          <w:bCs/>
          <w:sz w:val="22"/>
          <w:szCs w:val="22"/>
        </w:rPr>
      </w:pPr>
      <w:r w:rsidRPr="00AE4FDF">
        <w:rPr>
          <w:rFonts w:ascii="Arial" w:hAnsi="Arial" w:cs="Arial"/>
          <w:b/>
          <w:bCs/>
          <w:sz w:val="22"/>
          <w:szCs w:val="22"/>
        </w:rPr>
        <w:t>1. Influence of lipophilicity:</w:t>
      </w:r>
    </w:p>
    <w:p w14:paraId="4A647ADD" w14:textId="77777777" w:rsidR="004D526F" w:rsidRPr="004D526F" w:rsidRDefault="004D526F" w:rsidP="001A161F">
      <w:pPr>
        <w:jc w:val="both"/>
        <w:rPr>
          <w:rFonts w:ascii="Arial" w:hAnsi="Arial" w:cs="Arial"/>
          <w:sz w:val="6"/>
          <w:szCs w:val="6"/>
        </w:rPr>
      </w:pPr>
    </w:p>
    <w:p w14:paraId="747F6596" w14:textId="1CC84750" w:rsidR="001A161F" w:rsidRPr="001A161F" w:rsidRDefault="001A161F" w:rsidP="001A161F">
      <w:pPr>
        <w:jc w:val="both"/>
        <w:rPr>
          <w:rFonts w:ascii="Arial" w:hAnsi="Arial" w:cs="Arial"/>
          <w:sz w:val="22"/>
          <w:szCs w:val="22"/>
        </w:rPr>
      </w:pPr>
      <w:r w:rsidRPr="001A161F">
        <w:rPr>
          <w:rFonts w:ascii="Arial" w:hAnsi="Arial" w:cs="Arial"/>
          <w:sz w:val="22"/>
          <w:szCs w:val="22"/>
        </w:rPr>
        <w:t>The 2-methoxyphenyl derivative exhibits the best activity (MIC = 76.50 µM), suggesting that the introduction of a methoxy group in the ortho position significantly improves activity. This improvement can be attributed to:</w:t>
      </w:r>
    </w:p>
    <w:p w14:paraId="56691943"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 Increased lipophilicity promoting membrane permeation</w:t>
      </w:r>
    </w:p>
    <w:p w14:paraId="18FAFD3A"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 Optimization of hydrophobic interactions with the fungal target</w:t>
      </w:r>
    </w:p>
    <w:p w14:paraId="6FD16466"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 Modulation of the electron density of the conjugated system</w:t>
      </w:r>
    </w:p>
    <w:p w14:paraId="4F057E16" w14:textId="77777777" w:rsidR="001A161F" w:rsidRPr="008414AE" w:rsidRDefault="001A161F" w:rsidP="001A161F">
      <w:pPr>
        <w:jc w:val="both"/>
        <w:rPr>
          <w:rFonts w:ascii="Arial" w:hAnsi="Arial" w:cs="Arial"/>
          <w:sz w:val="10"/>
          <w:szCs w:val="10"/>
        </w:rPr>
      </w:pPr>
    </w:p>
    <w:p w14:paraId="20C2F486" w14:textId="1EF21646" w:rsidR="001A161F" w:rsidRDefault="001A161F" w:rsidP="001A161F">
      <w:pPr>
        <w:jc w:val="both"/>
        <w:rPr>
          <w:rFonts w:ascii="Arial" w:hAnsi="Arial" w:cs="Arial"/>
          <w:b/>
          <w:bCs/>
          <w:sz w:val="22"/>
          <w:szCs w:val="22"/>
        </w:rPr>
      </w:pPr>
      <w:r w:rsidRPr="004D526F">
        <w:rPr>
          <w:rFonts w:ascii="Arial" w:hAnsi="Arial" w:cs="Arial"/>
          <w:b/>
          <w:bCs/>
          <w:sz w:val="22"/>
          <w:szCs w:val="22"/>
        </w:rPr>
        <w:t>2. Effect of polarity:</w:t>
      </w:r>
    </w:p>
    <w:p w14:paraId="484D3114" w14:textId="77777777" w:rsidR="004D526F" w:rsidRPr="004D526F" w:rsidRDefault="004D526F" w:rsidP="001A161F">
      <w:pPr>
        <w:jc w:val="both"/>
        <w:rPr>
          <w:rFonts w:ascii="Arial" w:hAnsi="Arial" w:cs="Arial"/>
          <w:b/>
          <w:bCs/>
          <w:sz w:val="6"/>
          <w:szCs w:val="6"/>
        </w:rPr>
      </w:pPr>
    </w:p>
    <w:p w14:paraId="722B8D0C"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The 2-hydroxyphenyl derivative shows the lowest activity (MIC = 319.74 µM), confirming the negative impact of polar groups. The hydroxyl group can:</w:t>
      </w:r>
    </w:p>
    <w:p w14:paraId="0BCEF36F"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 Decrease the lipophilicity necessary for cell penetration</w:t>
      </w:r>
    </w:p>
    <w:p w14:paraId="1D5D965C"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 Alter interactions with lipid membrane components</w:t>
      </w:r>
    </w:p>
    <w:p w14:paraId="2A5E0145" w14:textId="77777777" w:rsidR="001A161F" w:rsidRPr="008414AE" w:rsidRDefault="001A161F" w:rsidP="001A161F">
      <w:pPr>
        <w:jc w:val="both"/>
        <w:rPr>
          <w:rFonts w:ascii="Arial" w:hAnsi="Arial" w:cs="Arial"/>
          <w:sz w:val="10"/>
          <w:szCs w:val="10"/>
        </w:rPr>
      </w:pPr>
    </w:p>
    <w:p w14:paraId="7363703B" w14:textId="77777777" w:rsidR="001A161F" w:rsidRPr="004D526F" w:rsidRDefault="001A161F" w:rsidP="001A161F">
      <w:pPr>
        <w:jc w:val="both"/>
        <w:rPr>
          <w:rFonts w:ascii="Arial" w:hAnsi="Arial" w:cs="Arial"/>
          <w:b/>
          <w:bCs/>
          <w:sz w:val="22"/>
          <w:szCs w:val="22"/>
        </w:rPr>
      </w:pPr>
      <w:r w:rsidRPr="004D526F">
        <w:rPr>
          <w:rFonts w:ascii="Arial" w:hAnsi="Arial" w:cs="Arial"/>
          <w:b/>
          <w:bCs/>
          <w:sz w:val="22"/>
          <w:szCs w:val="22"/>
        </w:rPr>
        <w:t>3. Impact of steric hindrance:</w:t>
      </w:r>
    </w:p>
    <w:p w14:paraId="6FABC24A" w14:textId="77777777" w:rsidR="004D526F" w:rsidRPr="004D526F" w:rsidRDefault="004D526F" w:rsidP="001A161F">
      <w:pPr>
        <w:jc w:val="both"/>
        <w:rPr>
          <w:rFonts w:ascii="Arial" w:hAnsi="Arial" w:cs="Arial"/>
          <w:sz w:val="6"/>
          <w:szCs w:val="6"/>
        </w:rPr>
      </w:pPr>
    </w:p>
    <w:p w14:paraId="48D5822A" w14:textId="4D05B98A" w:rsidR="001A161F" w:rsidRPr="001A161F" w:rsidRDefault="001A161F" w:rsidP="001A161F">
      <w:pPr>
        <w:jc w:val="both"/>
        <w:rPr>
          <w:rFonts w:ascii="Arial" w:hAnsi="Arial" w:cs="Arial"/>
          <w:sz w:val="22"/>
          <w:szCs w:val="22"/>
        </w:rPr>
      </w:pPr>
      <w:r w:rsidRPr="001A161F">
        <w:rPr>
          <w:rFonts w:ascii="Arial" w:hAnsi="Arial" w:cs="Arial"/>
          <w:sz w:val="22"/>
          <w:szCs w:val="22"/>
        </w:rPr>
        <w:t>The 2,4-dimethoxyphenyl compound exhibits intermediate activity (MIC = 140.13 µM), lower than the monomethoxy derivative. This suggests that excessive steric hindrance can compromise interaction with the biological target.</w:t>
      </w:r>
    </w:p>
    <w:p w14:paraId="41EF737A" w14:textId="77777777" w:rsidR="001A161F" w:rsidRPr="008414AE" w:rsidRDefault="001A161F" w:rsidP="001A161F">
      <w:pPr>
        <w:jc w:val="both"/>
        <w:rPr>
          <w:rFonts w:ascii="Arial" w:hAnsi="Arial" w:cs="Arial"/>
          <w:sz w:val="12"/>
          <w:szCs w:val="12"/>
        </w:rPr>
      </w:pPr>
    </w:p>
    <w:p w14:paraId="568788B2" w14:textId="77777777" w:rsidR="00CB0E2E" w:rsidRDefault="001A161F" w:rsidP="001A161F">
      <w:pPr>
        <w:jc w:val="both"/>
        <w:rPr>
          <w:rFonts w:ascii="Arial" w:hAnsi="Arial" w:cs="Arial"/>
          <w:sz w:val="22"/>
          <w:szCs w:val="22"/>
        </w:rPr>
      </w:pPr>
      <w:r w:rsidRPr="00CB0E2E">
        <w:rPr>
          <w:rFonts w:ascii="Arial" w:hAnsi="Arial" w:cs="Arial"/>
          <w:b/>
          <w:bCs/>
          <w:sz w:val="22"/>
          <w:szCs w:val="22"/>
        </w:rPr>
        <w:t>4. Influence of substituent position</w:t>
      </w:r>
      <w:r w:rsidRPr="001A161F">
        <w:rPr>
          <w:rFonts w:ascii="Arial" w:hAnsi="Arial" w:cs="Arial"/>
          <w:sz w:val="22"/>
          <w:szCs w:val="22"/>
        </w:rPr>
        <w:t xml:space="preserve">: </w:t>
      </w:r>
    </w:p>
    <w:p w14:paraId="50BA9554" w14:textId="77777777" w:rsidR="00CB0E2E" w:rsidRPr="00CB0E2E" w:rsidRDefault="00CB0E2E" w:rsidP="001A161F">
      <w:pPr>
        <w:jc w:val="both"/>
        <w:rPr>
          <w:rFonts w:ascii="Arial" w:hAnsi="Arial" w:cs="Arial"/>
          <w:sz w:val="6"/>
          <w:szCs w:val="6"/>
        </w:rPr>
      </w:pPr>
    </w:p>
    <w:p w14:paraId="1A2DF094" w14:textId="735FF46E" w:rsidR="001A161F" w:rsidRPr="001A161F" w:rsidRDefault="001A161F" w:rsidP="001A161F">
      <w:pPr>
        <w:jc w:val="both"/>
        <w:rPr>
          <w:rFonts w:ascii="Arial" w:hAnsi="Arial" w:cs="Arial"/>
          <w:sz w:val="22"/>
          <w:szCs w:val="22"/>
        </w:rPr>
      </w:pPr>
      <w:r w:rsidRPr="001A161F">
        <w:rPr>
          <w:rFonts w:ascii="Arial" w:hAnsi="Arial" w:cs="Arial"/>
          <w:sz w:val="22"/>
          <w:szCs w:val="22"/>
        </w:rPr>
        <w:t>The derivatives methylated at the meta (</w:t>
      </w:r>
      <w:r w:rsidRPr="001A161F">
        <w:rPr>
          <w:rFonts w:ascii="Arial" w:hAnsi="Arial" w:cs="Arial"/>
          <w:color w:val="404040"/>
          <w:sz w:val="22"/>
          <w:szCs w:val="22"/>
          <w:lang w:eastAsia="fr-FR"/>
        </w:rPr>
        <w:t>160</w:t>
      </w:r>
      <w:r w:rsidR="00B64BA1">
        <w:rPr>
          <w:rFonts w:ascii="Arial" w:hAnsi="Arial" w:cs="Arial"/>
          <w:color w:val="404040"/>
          <w:sz w:val="22"/>
          <w:szCs w:val="22"/>
          <w:lang w:eastAsia="fr-FR"/>
        </w:rPr>
        <w:t>.</w:t>
      </w:r>
      <w:r w:rsidRPr="001A161F">
        <w:rPr>
          <w:rFonts w:ascii="Arial" w:hAnsi="Arial" w:cs="Arial"/>
          <w:color w:val="404040"/>
          <w:sz w:val="22"/>
          <w:szCs w:val="22"/>
          <w:lang w:eastAsia="fr-FR"/>
        </w:rPr>
        <w:t xml:space="preserve">89 </w:t>
      </w:r>
      <w:r w:rsidRPr="001A161F">
        <w:rPr>
          <w:rFonts w:ascii="Arial" w:hAnsi="Arial" w:cs="Arial"/>
          <w:sz w:val="22"/>
          <w:szCs w:val="22"/>
        </w:rPr>
        <w:t>µM) and para (160.89 µM) positions show comparable but lower activities than the orthomethoxy derivative, indicating the importance of substituent position.</w:t>
      </w:r>
    </w:p>
    <w:p w14:paraId="6F732EC3" w14:textId="77777777" w:rsidR="001A161F" w:rsidRPr="008414AE" w:rsidRDefault="001A161F" w:rsidP="001A161F">
      <w:pPr>
        <w:jc w:val="both"/>
        <w:rPr>
          <w:rFonts w:ascii="Arial" w:hAnsi="Arial" w:cs="Arial"/>
          <w:sz w:val="10"/>
          <w:szCs w:val="10"/>
        </w:rPr>
      </w:pPr>
    </w:p>
    <w:p w14:paraId="30D5D63E" w14:textId="77777777" w:rsidR="001A161F" w:rsidRPr="00CB0E2E" w:rsidRDefault="001A161F" w:rsidP="001A161F">
      <w:pPr>
        <w:jc w:val="both"/>
        <w:rPr>
          <w:rFonts w:ascii="Arial" w:hAnsi="Arial" w:cs="Arial"/>
          <w:b/>
          <w:bCs/>
          <w:sz w:val="22"/>
          <w:szCs w:val="22"/>
        </w:rPr>
      </w:pPr>
      <w:r w:rsidRPr="00CB0E2E">
        <w:rPr>
          <w:rFonts w:ascii="Arial" w:hAnsi="Arial" w:cs="Arial"/>
          <w:b/>
          <w:bCs/>
          <w:sz w:val="22"/>
          <w:szCs w:val="22"/>
        </w:rPr>
        <w:t>5. Role of Chlorinated Derivatives:</w:t>
      </w:r>
    </w:p>
    <w:p w14:paraId="1688D57A"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The compounds in the 6-chloro-2-methylimidazopyridine series show interesting potential:</w:t>
      </w:r>
    </w:p>
    <w:p w14:paraId="1A7271B4"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 (Non substituted, 3-chloro derivative, 3-Nitro derivative, 2-methoxyle derivative): promising activity</w:t>
      </w:r>
    </w:p>
    <w:p w14:paraId="3380CBB3" w14:textId="470DF4B8" w:rsidR="001A161F" w:rsidRPr="001A161F" w:rsidRDefault="001A161F" w:rsidP="001A161F">
      <w:pPr>
        <w:jc w:val="both"/>
        <w:rPr>
          <w:rFonts w:ascii="Arial" w:hAnsi="Arial" w:cs="Arial"/>
          <w:sz w:val="22"/>
          <w:szCs w:val="22"/>
        </w:rPr>
      </w:pPr>
      <w:r w:rsidRPr="001A161F">
        <w:rPr>
          <w:rFonts w:ascii="Arial" w:hAnsi="Arial" w:cs="Arial"/>
          <w:sz w:val="22"/>
          <w:szCs w:val="22"/>
        </w:rPr>
        <w:t xml:space="preserve">- (meta derivative compounds): favorable activity profile (MIC = </w:t>
      </w:r>
      <w:r w:rsidRPr="001A161F">
        <w:rPr>
          <w:rFonts w:ascii="Arial" w:hAnsi="Arial" w:cs="Arial"/>
          <w:color w:val="404040"/>
          <w:sz w:val="22"/>
          <w:szCs w:val="22"/>
          <w:lang w:eastAsia="fr-FR"/>
        </w:rPr>
        <w:t>7</w:t>
      </w:r>
      <w:r w:rsidRPr="00B64BA1">
        <w:rPr>
          <w:rFonts w:ascii="Arial" w:hAnsi="Arial" w:cs="Arial"/>
          <w:color w:val="EE0000"/>
          <w:sz w:val="22"/>
          <w:szCs w:val="22"/>
          <w:lang w:eastAsia="fr-FR"/>
        </w:rPr>
        <w:t>3</w:t>
      </w:r>
      <w:r w:rsidR="00B64BA1" w:rsidRPr="00B64BA1">
        <w:rPr>
          <w:rFonts w:ascii="Arial" w:hAnsi="Arial" w:cs="Arial"/>
          <w:color w:val="EE0000"/>
          <w:sz w:val="22"/>
          <w:szCs w:val="22"/>
          <w:lang w:eastAsia="fr-FR"/>
        </w:rPr>
        <w:t>.</w:t>
      </w:r>
      <w:r w:rsidRPr="00B64BA1">
        <w:rPr>
          <w:rFonts w:ascii="Arial" w:hAnsi="Arial" w:cs="Arial"/>
          <w:color w:val="EE0000"/>
          <w:sz w:val="22"/>
          <w:szCs w:val="22"/>
          <w:lang w:eastAsia="fr-FR"/>
        </w:rPr>
        <w:t xml:space="preserve">16 </w:t>
      </w:r>
      <w:r w:rsidR="00B64BA1">
        <w:rPr>
          <w:rFonts w:ascii="Arial" w:hAnsi="Arial" w:cs="Arial"/>
          <w:color w:val="404040"/>
          <w:sz w:val="22"/>
          <w:szCs w:val="22"/>
          <w:lang w:eastAsia="fr-FR"/>
        </w:rPr>
        <w:t>–</w:t>
      </w:r>
      <w:r w:rsidRPr="001A161F">
        <w:rPr>
          <w:rFonts w:ascii="Arial" w:hAnsi="Arial" w:cs="Arial"/>
          <w:color w:val="404040"/>
          <w:sz w:val="22"/>
          <w:szCs w:val="22"/>
          <w:lang w:eastAsia="fr-FR"/>
        </w:rPr>
        <w:t xml:space="preserve"> 16</w:t>
      </w:r>
      <w:r w:rsidRPr="00B64BA1">
        <w:rPr>
          <w:rFonts w:ascii="Arial" w:hAnsi="Arial" w:cs="Arial"/>
          <w:color w:val="EE0000"/>
          <w:sz w:val="22"/>
          <w:szCs w:val="22"/>
          <w:lang w:eastAsia="fr-FR"/>
        </w:rPr>
        <w:t>0</w:t>
      </w:r>
      <w:r w:rsidR="00B64BA1" w:rsidRPr="00B64BA1">
        <w:rPr>
          <w:rFonts w:ascii="Arial" w:hAnsi="Arial" w:cs="Arial"/>
          <w:color w:val="EE0000"/>
          <w:sz w:val="22"/>
          <w:szCs w:val="22"/>
          <w:lang w:eastAsia="fr-FR"/>
        </w:rPr>
        <w:t>.</w:t>
      </w:r>
      <w:r w:rsidRPr="00B64BA1">
        <w:rPr>
          <w:rFonts w:ascii="Arial" w:hAnsi="Arial" w:cs="Arial"/>
          <w:color w:val="EE0000"/>
          <w:sz w:val="22"/>
          <w:szCs w:val="22"/>
          <w:lang w:eastAsia="fr-FR"/>
        </w:rPr>
        <w:t xml:space="preserve">89 </w:t>
      </w:r>
      <w:r w:rsidRPr="001A161F">
        <w:rPr>
          <w:rFonts w:ascii="Arial" w:hAnsi="Arial" w:cs="Arial"/>
          <w:sz w:val="22"/>
          <w:szCs w:val="22"/>
        </w:rPr>
        <w:t>µM)</w:t>
      </w:r>
    </w:p>
    <w:p w14:paraId="6F136C8A"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 xml:space="preserve">- (2-electro withdraw substituant derivative ): low activity </w:t>
      </w:r>
    </w:p>
    <w:p w14:paraId="5737D428" w14:textId="77777777" w:rsidR="001A161F" w:rsidRPr="00CB0E2E" w:rsidRDefault="001A161F" w:rsidP="001A161F">
      <w:pPr>
        <w:jc w:val="both"/>
        <w:rPr>
          <w:rFonts w:ascii="Arial" w:hAnsi="Arial" w:cs="Arial"/>
          <w:sz w:val="6"/>
          <w:szCs w:val="6"/>
        </w:rPr>
      </w:pPr>
    </w:p>
    <w:p w14:paraId="13D2DD46"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The introduction of chlorine at position 6 of the imidazopyridine appears to favorably modulate the activity, probably by increasing lipophilicity and modifying electronic properties.</w:t>
      </w:r>
    </w:p>
    <w:p w14:paraId="1B7F78A2" w14:textId="77777777" w:rsidR="001A161F" w:rsidRPr="001A161F" w:rsidRDefault="001A161F" w:rsidP="001A161F">
      <w:pPr>
        <w:jc w:val="both"/>
        <w:rPr>
          <w:rFonts w:ascii="Arial" w:hAnsi="Arial" w:cs="Arial"/>
          <w:sz w:val="22"/>
          <w:szCs w:val="22"/>
        </w:rPr>
      </w:pPr>
    </w:p>
    <w:p w14:paraId="02D80472" w14:textId="589E61FB" w:rsidR="001A161F" w:rsidRPr="005E5007" w:rsidRDefault="001A161F" w:rsidP="001A161F">
      <w:pPr>
        <w:jc w:val="both"/>
        <w:rPr>
          <w:rFonts w:ascii="Arial" w:hAnsi="Arial" w:cs="Arial"/>
          <w:b/>
          <w:bCs/>
          <w:sz w:val="22"/>
          <w:szCs w:val="22"/>
        </w:rPr>
      </w:pPr>
      <w:r w:rsidRPr="005E5007">
        <w:rPr>
          <w:rFonts w:ascii="Arial" w:hAnsi="Arial" w:cs="Arial"/>
          <w:b/>
          <w:bCs/>
          <w:sz w:val="22"/>
          <w:szCs w:val="22"/>
        </w:rPr>
        <w:t>3.</w:t>
      </w:r>
      <w:r w:rsidR="00D40D69" w:rsidRPr="00D40D69">
        <w:rPr>
          <w:rFonts w:ascii="Arial" w:hAnsi="Arial" w:cs="Arial"/>
          <w:b/>
          <w:bCs/>
          <w:color w:val="EE0000"/>
          <w:sz w:val="22"/>
          <w:szCs w:val="22"/>
        </w:rPr>
        <w:t>4</w:t>
      </w:r>
      <w:r w:rsidRPr="005E5007">
        <w:rPr>
          <w:rFonts w:ascii="Arial" w:hAnsi="Arial" w:cs="Arial"/>
          <w:b/>
          <w:bCs/>
          <w:sz w:val="22"/>
          <w:szCs w:val="22"/>
        </w:rPr>
        <w:t xml:space="preserve"> Comparison with Reference Antifungals</w:t>
      </w:r>
    </w:p>
    <w:p w14:paraId="0F719AED" w14:textId="77777777" w:rsidR="00CB0E2E" w:rsidRPr="00CB0E2E" w:rsidRDefault="00CB0E2E" w:rsidP="001A161F">
      <w:pPr>
        <w:jc w:val="both"/>
        <w:rPr>
          <w:rFonts w:ascii="Arial" w:hAnsi="Arial" w:cs="Arial"/>
          <w:sz w:val="6"/>
          <w:szCs w:val="6"/>
        </w:rPr>
      </w:pPr>
    </w:p>
    <w:p w14:paraId="342F4669" w14:textId="12BD9E61" w:rsidR="001A161F" w:rsidRPr="001A161F" w:rsidRDefault="001A161F" w:rsidP="001A161F">
      <w:pPr>
        <w:jc w:val="both"/>
        <w:rPr>
          <w:rFonts w:ascii="Arial" w:hAnsi="Arial" w:cs="Arial"/>
          <w:sz w:val="22"/>
          <w:szCs w:val="22"/>
        </w:rPr>
      </w:pPr>
      <w:r w:rsidRPr="001A161F">
        <w:rPr>
          <w:rFonts w:ascii="Arial" w:hAnsi="Arial" w:cs="Arial"/>
          <w:sz w:val="22"/>
          <w:szCs w:val="22"/>
        </w:rPr>
        <w:t>Itraconazole, the reference azole antifungal, has a significantly higher MIC (&lt;1.11 µM) compared to the tested compounds. This difference in activity can be explained by:</w:t>
      </w:r>
    </w:p>
    <w:p w14:paraId="14ACEF14"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 The extensive pharmacological optimization of itraconazole</w:t>
      </w:r>
    </w:p>
    <w:p w14:paraId="495C824B"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 Its high specificity for the fungal target (CYP51A)</w:t>
      </w:r>
    </w:p>
    <w:p w14:paraId="7CFF61A4"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 Its optimized bioavailability and pharmacokinetic properties</w:t>
      </w:r>
    </w:p>
    <w:p w14:paraId="6C51CE15" w14:textId="77777777" w:rsidR="001A161F" w:rsidRPr="001A161F" w:rsidRDefault="001A161F" w:rsidP="001A161F">
      <w:pPr>
        <w:jc w:val="both"/>
        <w:rPr>
          <w:rFonts w:ascii="Arial" w:hAnsi="Arial" w:cs="Arial"/>
          <w:sz w:val="22"/>
          <w:szCs w:val="22"/>
        </w:rPr>
      </w:pPr>
    </w:p>
    <w:p w14:paraId="195BDF10" w14:textId="77777777" w:rsidR="001A161F" w:rsidRPr="001A161F" w:rsidRDefault="001A161F" w:rsidP="005E5007">
      <w:pPr>
        <w:jc w:val="both"/>
        <w:rPr>
          <w:rFonts w:ascii="Arial" w:hAnsi="Arial" w:cs="Arial"/>
          <w:sz w:val="22"/>
          <w:szCs w:val="22"/>
        </w:rPr>
      </w:pPr>
      <w:r w:rsidRPr="001A161F">
        <w:rPr>
          <w:rFonts w:ascii="Arial" w:hAnsi="Arial" w:cs="Arial"/>
          <w:sz w:val="22"/>
          <w:szCs w:val="22"/>
        </w:rPr>
        <w:t>Nevertheless, chalcone-imidazopyridine hybrids offer several potential advantages:</w:t>
      </w:r>
    </w:p>
    <w:p w14:paraId="74891DC9"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 A different mechanism of action that can overcome azole resistance</w:t>
      </w:r>
    </w:p>
    <w:p w14:paraId="4B4891F8"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 A customizable chemical structure for optimization</w:t>
      </w:r>
    </w:p>
    <w:p w14:paraId="3A14AAF0" w14:textId="77777777" w:rsidR="001A161F" w:rsidRPr="001A161F" w:rsidRDefault="001A161F" w:rsidP="001A161F">
      <w:pPr>
        <w:jc w:val="both"/>
        <w:rPr>
          <w:rFonts w:ascii="Arial" w:hAnsi="Arial" w:cs="Arial"/>
          <w:sz w:val="22"/>
          <w:szCs w:val="22"/>
        </w:rPr>
      </w:pPr>
      <w:r w:rsidRPr="001A161F">
        <w:rPr>
          <w:rFonts w:ascii="Arial" w:hAnsi="Arial" w:cs="Arial"/>
          <w:sz w:val="22"/>
          <w:szCs w:val="22"/>
        </w:rPr>
        <w:t>- Potential for the development of new therapeutic classes</w:t>
      </w:r>
    </w:p>
    <w:p w14:paraId="7A757AA7" w14:textId="77777777" w:rsidR="00CB0E2E" w:rsidRDefault="00CB0E2E" w:rsidP="00441B6F">
      <w:pPr>
        <w:pStyle w:val="ReferHead"/>
        <w:spacing w:after="0"/>
        <w:jc w:val="both"/>
        <w:rPr>
          <w:rFonts w:ascii="Arial" w:hAnsi="Arial" w:cs="Arial"/>
        </w:rPr>
        <w:sectPr w:rsidR="00CB0E2E" w:rsidSect="00CB0E2E">
          <w:type w:val="continuous"/>
          <w:pgSz w:w="12240" w:h="15840"/>
          <w:pgMar w:top="1440" w:right="2016" w:bottom="2016" w:left="2016" w:header="720" w:footer="1123" w:gutter="0"/>
          <w:cols w:num="2" w:space="720"/>
          <w:docGrid w:linePitch="272"/>
        </w:sectPr>
      </w:pPr>
    </w:p>
    <w:p w14:paraId="38A6DCA9" w14:textId="5FC43698" w:rsidR="00860000" w:rsidRPr="005E5007" w:rsidRDefault="00860000" w:rsidP="00441B6F">
      <w:pPr>
        <w:pStyle w:val="ReferHead"/>
        <w:spacing w:after="0"/>
        <w:jc w:val="both"/>
        <w:rPr>
          <w:rFonts w:ascii="Arial" w:hAnsi="Arial" w:cs="Arial"/>
          <w:sz w:val="20"/>
          <w:szCs w:val="18"/>
        </w:rPr>
      </w:pPr>
    </w:p>
    <w:p w14:paraId="25AEA8CF" w14:textId="77777777" w:rsidR="005E5007" w:rsidRDefault="005E5007" w:rsidP="005E5007">
      <w:pPr>
        <w:jc w:val="both"/>
        <w:rPr>
          <w:rFonts w:ascii="Arial" w:hAnsi="Arial" w:cs="Arial"/>
          <w:b/>
          <w:bCs/>
          <w:sz w:val="22"/>
          <w:szCs w:val="22"/>
        </w:rPr>
        <w:sectPr w:rsidR="005E5007" w:rsidSect="001A161F">
          <w:type w:val="continuous"/>
          <w:pgSz w:w="12240" w:h="15840"/>
          <w:pgMar w:top="1440" w:right="2016" w:bottom="2016" w:left="2016" w:header="720" w:footer="1123" w:gutter="0"/>
          <w:cols w:space="720"/>
          <w:docGrid w:linePitch="272"/>
        </w:sectPr>
      </w:pPr>
    </w:p>
    <w:p w14:paraId="1BE9450D" w14:textId="4DF8FBC9" w:rsidR="005E5007" w:rsidRDefault="00A905A1" w:rsidP="005E5007">
      <w:pPr>
        <w:jc w:val="both"/>
        <w:rPr>
          <w:rFonts w:ascii="Arial" w:hAnsi="Arial" w:cs="Arial"/>
          <w:b/>
          <w:bCs/>
          <w:sz w:val="22"/>
          <w:szCs w:val="22"/>
        </w:rPr>
      </w:pPr>
      <w:r>
        <w:rPr>
          <w:rFonts w:ascii="Arial" w:hAnsi="Arial" w:cs="Arial"/>
          <w:b/>
          <w:bCs/>
          <w:sz w:val="22"/>
          <w:szCs w:val="22"/>
        </w:rPr>
        <w:t>4</w:t>
      </w:r>
      <w:r w:rsidR="005E5007" w:rsidRPr="005E5007">
        <w:rPr>
          <w:rFonts w:ascii="Arial" w:hAnsi="Arial" w:cs="Arial"/>
          <w:b/>
          <w:bCs/>
          <w:sz w:val="22"/>
          <w:szCs w:val="22"/>
        </w:rPr>
        <w:t>. CONCLUSION</w:t>
      </w:r>
    </w:p>
    <w:p w14:paraId="164252C4" w14:textId="77777777" w:rsidR="005E5007" w:rsidRPr="005E5007" w:rsidRDefault="005E5007" w:rsidP="005E5007">
      <w:pPr>
        <w:jc w:val="both"/>
        <w:rPr>
          <w:rFonts w:ascii="Arial" w:hAnsi="Arial" w:cs="Arial"/>
          <w:b/>
          <w:bCs/>
          <w:sz w:val="6"/>
          <w:szCs w:val="6"/>
        </w:rPr>
      </w:pPr>
    </w:p>
    <w:p w14:paraId="5F0AB2DA" w14:textId="522EFC34" w:rsidR="005E5007" w:rsidRPr="005E5007" w:rsidRDefault="005E5007" w:rsidP="005E5007">
      <w:pPr>
        <w:jc w:val="both"/>
        <w:rPr>
          <w:rFonts w:ascii="Arial" w:hAnsi="Arial" w:cs="Arial"/>
          <w:sz w:val="22"/>
          <w:szCs w:val="22"/>
        </w:rPr>
      </w:pPr>
      <w:r w:rsidRPr="005E5007">
        <w:rPr>
          <w:rFonts w:ascii="Arial" w:hAnsi="Arial" w:cs="Arial"/>
          <w:sz w:val="22"/>
          <w:szCs w:val="22"/>
        </w:rPr>
        <w:t xml:space="preserve">This study demonstrates the antifungal potential of </w:t>
      </w:r>
      <w:r w:rsidR="00A52184">
        <w:rPr>
          <w:rFonts w:ascii="Arial" w:hAnsi="Arial" w:cs="Arial"/>
          <w:sz w:val="22"/>
          <w:szCs w:val="22"/>
        </w:rPr>
        <w:t>6-</w:t>
      </w:r>
      <w:r w:rsidR="00A52184" w:rsidRPr="00A52184">
        <w:rPr>
          <w:rFonts w:ascii="Arial" w:hAnsi="Arial" w:cs="Arial"/>
          <w:color w:val="EE0000"/>
          <w:sz w:val="22"/>
          <w:szCs w:val="22"/>
        </w:rPr>
        <w:t xml:space="preserve"> </w:t>
      </w:r>
      <w:r w:rsidR="00A52184" w:rsidRPr="00990BF3">
        <w:rPr>
          <w:rFonts w:ascii="Arial" w:hAnsi="Arial" w:cs="Arial"/>
          <w:color w:val="EE0000"/>
          <w:sz w:val="22"/>
          <w:szCs w:val="22"/>
        </w:rPr>
        <w:t>chlor</w:t>
      </w:r>
      <w:r w:rsidR="00A52184">
        <w:rPr>
          <w:rFonts w:ascii="Arial" w:hAnsi="Arial" w:cs="Arial"/>
          <w:color w:val="EE0000"/>
          <w:sz w:val="22"/>
          <w:szCs w:val="22"/>
        </w:rPr>
        <w:t>o</w:t>
      </w:r>
      <w:r w:rsidRPr="005E5007">
        <w:rPr>
          <w:rFonts w:ascii="Arial" w:hAnsi="Arial" w:cs="Arial"/>
          <w:sz w:val="22"/>
          <w:szCs w:val="22"/>
        </w:rPr>
        <w:t>imidazo[1,2-</w:t>
      </w:r>
      <w:r w:rsidRPr="005E5007">
        <w:rPr>
          <w:rFonts w:ascii="Arial" w:hAnsi="Arial" w:cs="Arial"/>
          <w:i/>
          <w:iCs/>
          <w:sz w:val="22"/>
          <w:szCs w:val="22"/>
        </w:rPr>
        <w:t>a</w:t>
      </w:r>
      <w:r w:rsidRPr="005E5007">
        <w:rPr>
          <w:rFonts w:ascii="Arial" w:hAnsi="Arial" w:cs="Arial"/>
          <w:sz w:val="22"/>
          <w:szCs w:val="22"/>
        </w:rPr>
        <w:t>]pyridin</w:t>
      </w:r>
      <w:r w:rsidR="00A52184">
        <w:rPr>
          <w:rFonts w:ascii="Arial" w:hAnsi="Arial" w:cs="Arial"/>
          <w:sz w:val="22"/>
          <w:szCs w:val="22"/>
        </w:rPr>
        <w:t>yl-</w:t>
      </w:r>
      <w:r w:rsidR="00A52184">
        <w:rPr>
          <w:rFonts w:ascii="Arial" w:hAnsi="Arial" w:cs="Arial"/>
          <w:color w:val="EE0000"/>
          <w:sz w:val="22"/>
          <w:szCs w:val="22"/>
        </w:rPr>
        <w:t>phenyl</w:t>
      </w:r>
      <w:r w:rsidR="00A52184" w:rsidRPr="00A52184">
        <w:rPr>
          <w:rFonts w:ascii="Arial" w:hAnsi="Arial" w:cs="Arial"/>
          <w:color w:val="EE0000"/>
          <w:sz w:val="22"/>
          <w:szCs w:val="22"/>
        </w:rPr>
        <w:t>propenone</w:t>
      </w:r>
      <w:r w:rsidR="00A52184">
        <w:rPr>
          <w:rFonts w:ascii="Arial" w:hAnsi="Arial" w:cs="Arial"/>
          <w:color w:val="EE0000"/>
          <w:sz w:val="22"/>
          <w:szCs w:val="22"/>
        </w:rPr>
        <w:t xml:space="preserve"> </w:t>
      </w:r>
      <w:r w:rsidR="00A52184">
        <w:rPr>
          <w:rFonts w:ascii="Arial" w:hAnsi="Arial" w:cs="Arial"/>
          <w:color w:val="EE0000"/>
          <w:sz w:val="22"/>
          <w:szCs w:val="22"/>
        </w:rPr>
        <w:t>derivatives</w:t>
      </w:r>
      <w:r w:rsidRPr="005E5007">
        <w:rPr>
          <w:rFonts w:ascii="Arial" w:hAnsi="Arial" w:cs="Arial"/>
          <w:sz w:val="22"/>
          <w:szCs w:val="22"/>
        </w:rPr>
        <w:t xml:space="preserve"> against Clinical isolates of </w:t>
      </w:r>
      <w:r w:rsidRPr="005E5007">
        <w:rPr>
          <w:rFonts w:ascii="Arial" w:hAnsi="Arial" w:cs="Arial"/>
          <w:i/>
          <w:iCs/>
          <w:sz w:val="22"/>
          <w:szCs w:val="22"/>
        </w:rPr>
        <w:t>Aspergillus fumigatus</w:t>
      </w:r>
      <w:r w:rsidRPr="005E5007">
        <w:rPr>
          <w:rFonts w:ascii="Arial" w:hAnsi="Arial" w:cs="Arial"/>
          <w:sz w:val="22"/>
          <w:szCs w:val="22"/>
        </w:rPr>
        <w:t xml:space="preserve">. The </w:t>
      </w:r>
      <w:r w:rsidR="00A52184" w:rsidRPr="00A52184">
        <w:rPr>
          <w:rFonts w:ascii="Arial" w:hAnsi="Arial" w:cs="Arial"/>
          <w:color w:val="EE0000"/>
          <w:sz w:val="22"/>
          <w:szCs w:val="22"/>
        </w:rPr>
        <w:t>ten</w:t>
      </w:r>
      <w:r w:rsidRPr="005E5007">
        <w:rPr>
          <w:rFonts w:ascii="Arial" w:hAnsi="Arial" w:cs="Arial"/>
          <w:sz w:val="22"/>
          <w:szCs w:val="22"/>
        </w:rPr>
        <w:t xml:space="preserve"> synthesized compounds exhibit varying activities (MIC: 73.16–319.74 µM), with optimal efficacy for </w:t>
      </w:r>
      <w:r w:rsidRPr="005E5007">
        <w:rPr>
          <w:rFonts w:ascii="Arial" w:hAnsi="Arial" w:cs="Arial"/>
          <w:sz w:val="22"/>
          <w:szCs w:val="22"/>
        </w:rPr>
        <w:lastRenderedPageBreak/>
        <w:t>derivatives bearing lipophilic substituents in the ortho position, particularly the 2-methoxyphenyl derivative.</w:t>
      </w:r>
    </w:p>
    <w:p w14:paraId="387C38B3" w14:textId="77777777" w:rsidR="005E5007" w:rsidRPr="005E5007" w:rsidRDefault="005E5007" w:rsidP="005E5007">
      <w:pPr>
        <w:jc w:val="both"/>
        <w:rPr>
          <w:rFonts w:ascii="Arial" w:hAnsi="Arial" w:cs="Arial"/>
          <w:sz w:val="22"/>
          <w:szCs w:val="22"/>
        </w:rPr>
      </w:pPr>
      <w:r w:rsidRPr="005E5007">
        <w:rPr>
          <w:rFonts w:ascii="Arial" w:hAnsi="Arial" w:cs="Arial"/>
          <w:sz w:val="22"/>
          <w:szCs w:val="22"/>
        </w:rPr>
        <w:t>Detailed structure-activity relationship analysis reveals the critical importance of lipophilicity and substituent position for antifungal activity. Polar groups such as hydroxyl exert a detrimental effect, while methoxy substituents significantly enhance activity.</w:t>
      </w:r>
    </w:p>
    <w:p w14:paraId="10980D43" w14:textId="77777777" w:rsidR="005E5007" w:rsidRPr="005E5007" w:rsidRDefault="005E5007" w:rsidP="005E5007">
      <w:pPr>
        <w:jc w:val="both"/>
        <w:rPr>
          <w:rFonts w:ascii="Arial" w:hAnsi="Arial" w:cs="Arial"/>
          <w:sz w:val="22"/>
          <w:szCs w:val="22"/>
        </w:rPr>
      </w:pPr>
      <w:r w:rsidRPr="005E5007">
        <w:rPr>
          <w:rFonts w:ascii="Arial" w:hAnsi="Arial" w:cs="Arial"/>
          <w:sz w:val="22"/>
          <w:szCs w:val="22"/>
        </w:rPr>
        <w:t>Chlorinated derivatives of the series also show promising potential, suggesting that the introduction of halogens onto imidazopyridine is a viable optimization strategy.</w:t>
      </w:r>
    </w:p>
    <w:p w14:paraId="34417BD6" w14:textId="77777777" w:rsidR="005E5007" w:rsidRPr="005E5007" w:rsidRDefault="005E5007" w:rsidP="005E5007">
      <w:pPr>
        <w:jc w:val="both"/>
        <w:rPr>
          <w:rFonts w:ascii="Arial" w:hAnsi="Arial" w:cs="Arial"/>
          <w:sz w:val="22"/>
          <w:szCs w:val="22"/>
        </w:rPr>
      </w:pPr>
      <w:r w:rsidRPr="005E5007">
        <w:rPr>
          <w:rFonts w:ascii="Arial" w:hAnsi="Arial" w:cs="Arial"/>
          <w:sz w:val="22"/>
          <w:szCs w:val="22"/>
        </w:rPr>
        <w:t xml:space="preserve">Although the MICs obtained remain higher than those of the reference </w:t>
      </w:r>
      <w:r w:rsidRPr="005E5007">
        <w:rPr>
          <w:rFonts w:ascii="Arial" w:hAnsi="Arial" w:cs="Arial"/>
          <w:sz w:val="22"/>
          <w:szCs w:val="22"/>
        </w:rPr>
        <w:t>itraconazole, these results open up interesting perspectives for the development of new classes of antifungals. The increasing emergence of resistance to azoles makes the exploration of alternative mechanisms of action, which these chalcone-imidazopyridine hybrids could offer, crucial.</w:t>
      </w:r>
    </w:p>
    <w:p w14:paraId="5C0BCA45" w14:textId="6D2C01D9" w:rsidR="005E5007" w:rsidRPr="005E5007" w:rsidRDefault="005E5007" w:rsidP="005E5007">
      <w:pPr>
        <w:jc w:val="both"/>
        <w:rPr>
          <w:rFonts w:ascii="Arial" w:hAnsi="Arial" w:cs="Arial"/>
          <w:sz w:val="22"/>
          <w:szCs w:val="22"/>
        </w:rPr>
        <w:sectPr w:rsidR="005E5007" w:rsidRPr="005E5007" w:rsidSect="005E5007">
          <w:type w:val="continuous"/>
          <w:pgSz w:w="12240" w:h="15840"/>
          <w:pgMar w:top="1440" w:right="2016" w:bottom="2016" w:left="2016" w:header="720" w:footer="1123" w:gutter="0"/>
          <w:cols w:num="2" w:space="720"/>
          <w:docGrid w:linePitch="272"/>
        </w:sectPr>
      </w:pPr>
      <w:r w:rsidRPr="005E5007">
        <w:rPr>
          <w:rFonts w:ascii="Arial" w:hAnsi="Arial" w:cs="Arial"/>
          <w:sz w:val="22"/>
          <w:szCs w:val="22"/>
        </w:rPr>
        <w:t xml:space="preserve">These compounds thus constitute promising starting structures for the rational optimization of antifungal agents active against clinical strain of </w:t>
      </w:r>
      <w:r w:rsidRPr="005E5007">
        <w:rPr>
          <w:rFonts w:ascii="Arial" w:hAnsi="Arial" w:cs="Arial"/>
          <w:i/>
          <w:iCs/>
          <w:sz w:val="22"/>
          <w:szCs w:val="22"/>
        </w:rPr>
        <w:t>A. fumigatus</w:t>
      </w:r>
      <w:r w:rsidRPr="005E5007">
        <w:rPr>
          <w:rFonts w:ascii="Arial" w:hAnsi="Arial" w:cs="Arial"/>
          <w:sz w:val="22"/>
          <w:szCs w:val="22"/>
        </w:rPr>
        <w:t>, potentially contributing to the therapeutic arsenal against resistant invasive fungal infections.</w:t>
      </w:r>
    </w:p>
    <w:p w14:paraId="056F5A56" w14:textId="03397686" w:rsidR="005E5007" w:rsidRDefault="005E5007" w:rsidP="00441B6F">
      <w:pPr>
        <w:pStyle w:val="ReferHead"/>
        <w:spacing w:after="0"/>
        <w:jc w:val="both"/>
        <w:rPr>
          <w:rFonts w:ascii="Arial" w:hAnsi="Arial" w:cs="Arial"/>
        </w:rPr>
      </w:pPr>
    </w:p>
    <w:p w14:paraId="16635668" w14:textId="77777777" w:rsidR="005E5007" w:rsidRDefault="005E5007" w:rsidP="005E5007">
      <w:pPr>
        <w:jc w:val="both"/>
        <w:sectPr w:rsidR="005E5007" w:rsidSect="001A161F">
          <w:type w:val="continuous"/>
          <w:pgSz w:w="12240" w:h="15840"/>
          <w:pgMar w:top="1440" w:right="2016" w:bottom="2016" w:left="2016" w:header="720" w:footer="1123" w:gutter="0"/>
          <w:cols w:space="720"/>
          <w:docGrid w:linePitch="272"/>
        </w:sectPr>
      </w:pPr>
    </w:p>
    <w:p w14:paraId="363C0C41" w14:textId="77777777" w:rsidR="00C3177E" w:rsidRDefault="00C3177E">
      <w:pPr>
        <w:rPr>
          <w:rFonts w:ascii="Arial" w:hAnsi="Arial" w:cs="Arial"/>
          <w:b/>
          <w:bCs/>
          <w:sz w:val="22"/>
          <w:szCs w:val="22"/>
        </w:rPr>
      </w:pPr>
      <w:r>
        <w:rPr>
          <w:rFonts w:ascii="Arial" w:hAnsi="Arial" w:cs="Arial"/>
          <w:b/>
          <w:bCs/>
          <w:sz w:val="22"/>
          <w:szCs w:val="22"/>
        </w:rPr>
        <w:br w:type="page"/>
      </w:r>
    </w:p>
    <w:p w14:paraId="3D547713" w14:textId="77777777" w:rsidR="00C3177E" w:rsidRDefault="00C3177E" w:rsidP="005E5007">
      <w:pPr>
        <w:jc w:val="both"/>
        <w:rPr>
          <w:rFonts w:ascii="Arial" w:hAnsi="Arial" w:cs="Arial"/>
          <w:b/>
          <w:bCs/>
          <w:sz w:val="22"/>
          <w:szCs w:val="22"/>
        </w:rPr>
        <w:sectPr w:rsidR="00C3177E" w:rsidSect="005E5007">
          <w:type w:val="continuous"/>
          <w:pgSz w:w="12240" w:h="15840"/>
          <w:pgMar w:top="1440" w:right="2016" w:bottom="2016" w:left="2016" w:header="720" w:footer="1123" w:gutter="0"/>
          <w:cols w:num="2" w:space="720"/>
          <w:docGrid w:linePitch="272"/>
        </w:sectPr>
      </w:pPr>
    </w:p>
    <w:p w14:paraId="3D228FF7" w14:textId="77777777" w:rsidR="005E5007" w:rsidRPr="00C3177E" w:rsidRDefault="005E5007" w:rsidP="005E5007">
      <w:pPr>
        <w:jc w:val="both"/>
        <w:rPr>
          <w:rFonts w:ascii="Arial" w:hAnsi="Arial" w:cs="Arial"/>
          <w:sz w:val="22"/>
          <w:szCs w:val="22"/>
        </w:rPr>
        <w:sectPr w:rsidR="005E5007" w:rsidRPr="00C3177E" w:rsidSect="00A905A1">
          <w:type w:val="continuous"/>
          <w:pgSz w:w="12240" w:h="15840"/>
          <w:pgMar w:top="1440" w:right="2016" w:bottom="2016" w:left="2016" w:header="720" w:footer="1123" w:gutter="0"/>
          <w:cols w:num="2" w:space="720"/>
          <w:docGrid w:linePitch="272"/>
        </w:sectPr>
      </w:pPr>
    </w:p>
    <w:p w14:paraId="12802676" w14:textId="77777777" w:rsidR="00C3177E" w:rsidRPr="00C3177E" w:rsidRDefault="00C3177E" w:rsidP="005E5007">
      <w:pPr>
        <w:jc w:val="both"/>
        <w:rPr>
          <w:rFonts w:ascii="Arial" w:hAnsi="Arial" w:cs="Arial"/>
        </w:rPr>
      </w:pPr>
    </w:p>
    <w:p w14:paraId="77432EF5" w14:textId="50AC94C5" w:rsidR="005E5007" w:rsidRPr="00C3177E" w:rsidRDefault="00C3177E" w:rsidP="005E5007">
      <w:pPr>
        <w:jc w:val="both"/>
        <w:rPr>
          <w:rFonts w:ascii="Arial" w:hAnsi="Arial" w:cs="Arial"/>
          <w:b/>
          <w:bCs/>
          <w:sz w:val="22"/>
          <w:szCs w:val="22"/>
        </w:rPr>
      </w:pPr>
      <w:r w:rsidRPr="00C3177E">
        <w:rPr>
          <w:rFonts w:ascii="Arial" w:hAnsi="Arial" w:cs="Arial"/>
          <w:b/>
          <w:bCs/>
          <w:sz w:val="22"/>
          <w:szCs w:val="22"/>
        </w:rPr>
        <w:t>DECLARATIONS</w:t>
      </w:r>
    </w:p>
    <w:p w14:paraId="676D7595" w14:textId="77777777" w:rsidR="005E5007" w:rsidRPr="00C3177E" w:rsidRDefault="005E5007" w:rsidP="005E5007">
      <w:pPr>
        <w:jc w:val="both"/>
        <w:rPr>
          <w:rFonts w:ascii="Arial" w:hAnsi="Arial" w:cs="Arial"/>
          <w:sz w:val="18"/>
          <w:szCs w:val="18"/>
        </w:rPr>
      </w:pPr>
    </w:p>
    <w:p w14:paraId="6D44CF09" w14:textId="4A8345BF" w:rsidR="005E5007" w:rsidRDefault="005E5007" w:rsidP="005E5007">
      <w:pPr>
        <w:jc w:val="both"/>
        <w:rPr>
          <w:rFonts w:ascii="Arial" w:hAnsi="Arial" w:cs="Arial"/>
          <w:sz w:val="22"/>
          <w:szCs w:val="22"/>
        </w:rPr>
      </w:pPr>
      <w:r w:rsidRPr="00C3177E">
        <w:rPr>
          <w:rFonts w:ascii="Arial" w:hAnsi="Arial" w:cs="Arial"/>
          <w:b/>
          <w:bCs/>
          <w:sz w:val="22"/>
          <w:szCs w:val="22"/>
        </w:rPr>
        <w:t>Conflict of interest</w:t>
      </w:r>
      <w:r w:rsidRPr="00C3177E">
        <w:rPr>
          <w:rFonts w:ascii="Arial" w:hAnsi="Arial" w:cs="Arial"/>
          <w:sz w:val="22"/>
          <w:szCs w:val="22"/>
        </w:rPr>
        <w:t>: The authors declare that they have no conflict of interest.</w:t>
      </w:r>
    </w:p>
    <w:p w14:paraId="29177A31" w14:textId="04B7806C" w:rsidR="00764717" w:rsidRDefault="00764717" w:rsidP="005E5007">
      <w:pPr>
        <w:jc w:val="both"/>
        <w:rPr>
          <w:rFonts w:ascii="Arial" w:hAnsi="Arial" w:cs="Arial"/>
          <w:sz w:val="22"/>
          <w:szCs w:val="22"/>
        </w:rPr>
      </w:pPr>
    </w:p>
    <w:p w14:paraId="4A8E4442" w14:textId="4EDD7CD4" w:rsidR="00764717" w:rsidRDefault="00764717" w:rsidP="005E5007">
      <w:pPr>
        <w:jc w:val="both"/>
        <w:rPr>
          <w:rFonts w:ascii="Arial" w:hAnsi="Arial" w:cs="Arial"/>
          <w:sz w:val="22"/>
          <w:szCs w:val="22"/>
        </w:rPr>
      </w:pPr>
    </w:p>
    <w:p w14:paraId="111804E7" w14:textId="77777777" w:rsidR="00764717" w:rsidRPr="00D40D69" w:rsidRDefault="00764717" w:rsidP="00D40D69">
      <w:pPr>
        <w:jc w:val="both"/>
        <w:rPr>
          <w:color w:val="EE0000"/>
        </w:rPr>
      </w:pPr>
      <w:bookmarkStart w:id="0" w:name="_Hlk190852809"/>
      <w:r w:rsidRPr="00D40D69">
        <w:rPr>
          <w:color w:val="EE0000"/>
        </w:rPr>
        <w:t>Disclaimer (Artificial intelligence)</w:t>
      </w:r>
    </w:p>
    <w:p w14:paraId="24E4FC92" w14:textId="77777777" w:rsidR="00764717" w:rsidRPr="00D40D69" w:rsidRDefault="00764717" w:rsidP="00D40D69">
      <w:pPr>
        <w:jc w:val="both"/>
        <w:rPr>
          <w:color w:val="EE0000"/>
        </w:rPr>
      </w:pPr>
      <w:r w:rsidRPr="00D40D69">
        <w:rPr>
          <w:color w:val="EE0000"/>
        </w:rPr>
        <w:t xml:space="preserve">Author(s) hereby declare that NO generative AI technologies such as Large Language Models (ChatGPT, COPILOT, etc.) and text-to-image generators have been used during the writing or editing of this manuscript. </w:t>
      </w:r>
    </w:p>
    <w:bookmarkEnd w:id="0"/>
    <w:p w14:paraId="3A5E2B32" w14:textId="77777777" w:rsidR="00764717" w:rsidRPr="00D047BB" w:rsidRDefault="00764717" w:rsidP="00764717"/>
    <w:p w14:paraId="220ABD97" w14:textId="77777777" w:rsidR="00764717" w:rsidRDefault="00764717" w:rsidP="005E5007">
      <w:pPr>
        <w:jc w:val="both"/>
        <w:rPr>
          <w:rFonts w:ascii="Arial" w:hAnsi="Arial" w:cs="Arial"/>
          <w:sz w:val="22"/>
          <w:szCs w:val="22"/>
        </w:rPr>
      </w:pPr>
    </w:p>
    <w:p w14:paraId="2FEAEDFD" w14:textId="62B8D2B5" w:rsidR="00510070" w:rsidRDefault="00510070" w:rsidP="005E5007">
      <w:pPr>
        <w:jc w:val="both"/>
        <w:rPr>
          <w:rFonts w:ascii="Arial" w:hAnsi="Arial" w:cs="Arial"/>
          <w:sz w:val="22"/>
          <w:szCs w:val="22"/>
        </w:rPr>
      </w:pPr>
    </w:p>
    <w:p w14:paraId="641E4553" w14:textId="77777777" w:rsidR="00C3177E" w:rsidRDefault="00C3177E" w:rsidP="00441B6F">
      <w:pPr>
        <w:pStyle w:val="ReferHead"/>
        <w:spacing w:after="0"/>
        <w:jc w:val="both"/>
        <w:rPr>
          <w:rFonts w:ascii="Arial" w:hAnsi="Arial" w:cs="Arial"/>
        </w:rPr>
      </w:pPr>
    </w:p>
    <w:p w14:paraId="5FEF4337" w14:textId="77777777" w:rsidR="00510070" w:rsidRDefault="00510070" w:rsidP="00441B6F">
      <w:pPr>
        <w:pStyle w:val="ReferHead"/>
        <w:spacing w:after="0"/>
        <w:jc w:val="both"/>
        <w:rPr>
          <w:rFonts w:ascii="Arial" w:hAnsi="Arial" w:cs="Arial"/>
        </w:rPr>
      </w:pPr>
    </w:p>
    <w:p w14:paraId="07BD5E06" w14:textId="77777777" w:rsidR="00510070" w:rsidRDefault="00510070" w:rsidP="00441B6F">
      <w:pPr>
        <w:pStyle w:val="ReferHead"/>
        <w:spacing w:after="0"/>
        <w:jc w:val="both"/>
        <w:rPr>
          <w:rFonts w:ascii="Arial" w:hAnsi="Arial" w:cs="Arial"/>
        </w:rPr>
      </w:pPr>
    </w:p>
    <w:p w14:paraId="7A0F089C" w14:textId="77777777" w:rsidR="00510070" w:rsidRDefault="00510070" w:rsidP="00441B6F">
      <w:pPr>
        <w:pStyle w:val="ReferHead"/>
        <w:spacing w:after="0"/>
        <w:jc w:val="both"/>
        <w:rPr>
          <w:rFonts w:ascii="Arial" w:hAnsi="Arial" w:cs="Arial"/>
        </w:rPr>
      </w:pPr>
    </w:p>
    <w:p w14:paraId="4535014B" w14:textId="77777777" w:rsidR="00510070" w:rsidRDefault="00510070" w:rsidP="00441B6F">
      <w:pPr>
        <w:pStyle w:val="ReferHead"/>
        <w:spacing w:after="0"/>
        <w:jc w:val="both"/>
        <w:rPr>
          <w:rFonts w:ascii="Arial" w:hAnsi="Arial" w:cs="Arial"/>
        </w:rPr>
      </w:pPr>
    </w:p>
    <w:p w14:paraId="3D9DE147" w14:textId="77777777" w:rsidR="00510070" w:rsidRDefault="00510070" w:rsidP="00441B6F">
      <w:pPr>
        <w:pStyle w:val="ReferHead"/>
        <w:spacing w:after="0"/>
        <w:jc w:val="both"/>
        <w:rPr>
          <w:rFonts w:ascii="Arial" w:hAnsi="Arial" w:cs="Arial"/>
        </w:rPr>
      </w:pPr>
    </w:p>
    <w:p w14:paraId="3C62A0A4" w14:textId="77777777" w:rsidR="00510070" w:rsidRDefault="00510070" w:rsidP="00441B6F">
      <w:pPr>
        <w:pStyle w:val="ReferHead"/>
        <w:spacing w:after="0"/>
        <w:jc w:val="both"/>
        <w:rPr>
          <w:rFonts w:ascii="Arial" w:hAnsi="Arial" w:cs="Arial"/>
        </w:rPr>
      </w:pPr>
    </w:p>
    <w:p w14:paraId="1BC43DF7" w14:textId="77777777" w:rsidR="00510070" w:rsidRDefault="00510070" w:rsidP="00441B6F">
      <w:pPr>
        <w:pStyle w:val="ReferHead"/>
        <w:spacing w:after="0"/>
        <w:jc w:val="both"/>
        <w:rPr>
          <w:rFonts w:ascii="Arial" w:hAnsi="Arial" w:cs="Arial"/>
        </w:rPr>
      </w:pPr>
    </w:p>
    <w:p w14:paraId="0FB2D430" w14:textId="77777777" w:rsidR="00510070" w:rsidRDefault="00510070" w:rsidP="00441B6F">
      <w:pPr>
        <w:pStyle w:val="ReferHead"/>
        <w:spacing w:after="0"/>
        <w:jc w:val="both"/>
        <w:rPr>
          <w:rFonts w:ascii="Arial" w:hAnsi="Arial" w:cs="Arial"/>
        </w:rPr>
      </w:pPr>
    </w:p>
    <w:p w14:paraId="69B2BBC0" w14:textId="77777777" w:rsidR="00510070" w:rsidRDefault="00510070" w:rsidP="00441B6F">
      <w:pPr>
        <w:pStyle w:val="ReferHead"/>
        <w:spacing w:after="0"/>
        <w:jc w:val="both"/>
        <w:rPr>
          <w:rFonts w:ascii="Arial" w:hAnsi="Arial" w:cs="Arial"/>
        </w:rPr>
      </w:pPr>
    </w:p>
    <w:p w14:paraId="1E373D68" w14:textId="77777777" w:rsidR="00510070" w:rsidRDefault="00510070" w:rsidP="00441B6F">
      <w:pPr>
        <w:pStyle w:val="ReferHead"/>
        <w:spacing w:after="0"/>
        <w:jc w:val="both"/>
        <w:rPr>
          <w:rFonts w:ascii="Arial" w:hAnsi="Arial" w:cs="Arial"/>
        </w:rPr>
      </w:pPr>
    </w:p>
    <w:p w14:paraId="0ECED6B6" w14:textId="08D99509" w:rsidR="00510070" w:rsidRDefault="00510070" w:rsidP="00441B6F">
      <w:pPr>
        <w:pStyle w:val="ReferHead"/>
        <w:spacing w:after="0"/>
        <w:jc w:val="both"/>
        <w:rPr>
          <w:rFonts w:ascii="Arial" w:hAnsi="Arial" w:cs="Arial"/>
        </w:rPr>
        <w:sectPr w:rsidR="00510070" w:rsidSect="00A905A1">
          <w:type w:val="continuous"/>
          <w:pgSz w:w="12240" w:h="15840"/>
          <w:pgMar w:top="1440" w:right="2016" w:bottom="2016" w:left="2016" w:header="720" w:footer="1123" w:gutter="0"/>
          <w:cols w:num="2" w:space="720"/>
          <w:docGrid w:linePitch="272"/>
        </w:sectPr>
      </w:pPr>
    </w:p>
    <w:p w14:paraId="4E849A64" w14:textId="6C68E2B9" w:rsidR="005E5007" w:rsidRDefault="005E5007" w:rsidP="00441B6F">
      <w:pPr>
        <w:pStyle w:val="ReferHead"/>
        <w:spacing w:after="0"/>
        <w:jc w:val="both"/>
        <w:rPr>
          <w:rFonts w:ascii="Arial" w:hAnsi="Arial" w:cs="Arial"/>
        </w:rPr>
      </w:pPr>
    </w:p>
    <w:p w14:paraId="73968675" w14:textId="77777777" w:rsidR="00A905A1" w:rsidRDefault="00A905A1" w:rsidP="00441B6F">
      <w:pPr>
        <w:pStyle w:val="ReferHead"/>
        <w:spacing w:after="0"/>
        <w:jc w:val="both"/>
        <w:rPr>
          <w:rFonts w:ascii="Arial" w:hAnsi="Arial" w:cs="Arial"/>
          <w:szCs w:val="22"/>
        </w:rPr>
        <w:sectPr w:rsidR="00A905A1" w:rsidSect="001A161F">
          <w:type w:val="continuous"/>
          <w:pgSz w:w="12240" w:h="15840"/>
          <w:pgMar w:top="1440" w:right="2016" w:bottom="2016" w:left="2016" w:header="720" w:footer="1123" w:gutter="0"/>
          <w:cols w:space="720"/>
          <w:docGrid w:linePitch="272"/>
        </w:sectPr>
      </w:pPr>
    </w:p>
    <w:p w14:paraId="746C1DE0" w14:textId="64322A88" w:rsidR="00B01FCD" w:rsidRPr="00C3177E" w:rsidRDefault="00B01FCD" w:rsidP="00441B6F">
      <w:pPr>
        <w:pStyle w:val="ReferHead"/>
        <w:spacing w:after="0"/>
        <w:jc w:val="both"/>
        <w:rPr>
          <w:rFonts w:ascii="Arial" w:hAnsi="Arial" w:cs="Arial"/>
          <w:szCs w:val="22"/>
        </w:rPr>
      </w:pPr>
      <w:r w:rsidRPr="00C3177E">
        <w:rPr>
          <w:rFonts w:ascii="Arial" w:hAnsi="Arial" w:cs="Arial"/>
          <w:szCs w:val="22"/>
        </w:rPr>
        <w:t>References</w:t>
      </w:r>
    </w:p>
    <w:p w14:paraId="3D02BE1A" w14:textId="36B6ACD9" w:rsidR="00FA2B69" w:rsidRDefault="00FA2B69" w:rsidP="00FA2B69">
      <w:pPr>
        <w:jc w:val="both"/>
        <w:rPr>
          <w:rFonts w:ascii="Arial" w:hAnsi="Arial" w:cs="Arial"/>
          <w:sz w:val="22"/>
          <w:szCs w:val="22"/>
        </w:rPr>
      </w:pPr>
      <w:r w:rsidRPr="00FA2B69">
        <w:rPr>
          <w:rFonts w:ascii="Arial" w:hAnsi="Arial" w:cs="Arial"/>
          <w:sz w:val="22"/>
          <w:szCs w:val="22"/>
        </w:rPr>
        <w:t xml:space="preserve">[1] Latgé, J. P. (1999). Aspergillus fumigatus and aspergillosis. Clinical Microbiology Reviews, 12(2), 310-350. </w:t>
      </w:r>
      <w:hyperlink r:id="rId23" w:history="1">
        <w:r w:rsidRPr="007E397B">
          <w:rPr>
            <w:rStyle w:val="Hyperlink"/>
            <w:rFonts w:ascii="Arial" w:hAnsi="Arial" w:cs="Arial"/>
            <w:sz w:val="22"/>
            <w:szCs w:val="22"/>
          </w:rPr>
          <w:t>https://doi.org/10.1128/CMR.12.2.310</w:t>
        </w:r>
      </w:hyperlink>
    </w:p>
    <w:p w14:paraId="2D43CE5A" w14:textId="42448264" w:rsidR="00FA2B69" w:rsidRDefault="00FA2B69" w:rsidP="00FA2B69">
      <w:pPr>
        <w:jc w:val="both"/>
        <w:rPr>
          <w:rFonts w:ascii="Arial" w:hAnsi="Arial" w:cs="Arial"/>
          <w:sz w:val="22"/>
          <w:szCs w:val="22"/>
        </w:rPr>
      </w:pPr>
      <w:r w:rsidRPr="00FA2B69">
        <w:rPr>
          <w:rFonts w:ascii="Arial" w:hAnsi="Arial" w:cs="Arial"/>
          <w:sz w:val="22"/>
          <w:szCs w:val="22"/>
        </w:rPr>
        <w:t xml:space="preserve">[2] Patterson, T. F., Thompson, G. R., III, Denning, D. W., Fishman, J. A., Hadley, S., Herbrecht, R., et al. (2016). Practice Guidelines for the Diagnosis and Management of Aspergillosis: 2016 Update by the Infectious Diseases Society of America. Clinical Infectious Diseases, 63(4), e1–e60. </w:t>
      </w:r>
      <w:hyperlink r:id="rId24" w:history="1">
        <w:r w:rsidRPr="007E397B">
          <w:rPr>
            <w:rStyle w:val="Hyperlink"/>
            <w:rFonts w:ascii="Arial" w:hAnsi="Arial" w:cs="Arial"/>
            <w:sz w:val="22"/>
            <w:szCs w:val="22"/>
          </w:rPr>
          <w:t>https://doi.org/10.1093/cid/ciw326</w:t>
        </w:r>
      </w:hyperlink>
    </w:p>
    <w:p w14:paraId="1D50238C" w14:textId="2B551C36" w:rsidR="00FA2B69" w:rsidRDefault="00FA2B69" w:rsidP="00FA2B69">
      <w:pPr>
        <w:jc w:val="both"/>
        <w:rPr>
          <w:rFonts w:ascii="Arial" w:hAnsi="Arial" w:cs="Arial"/>
          <w:sz w:val="22"/>
          <w:szCs w:val="22"/>
        </w:rPr>
      </w:pPr>
      <w:r w:rsidRPr="00FA2B69">
        <w:rPr>
          <w:rFonts w:ascii="Arial" w:hAnsi="Arial" w:cs="Arial"/>
          <w:sz w:val="22"/>
          <w:szCs w:val="22"/>
        </w:rPr>
        <w:t xml:space="preserve">[3] Brown, G. D., Denning, D. W., Gow, N. A. R., Levitz, S. M., Netea, M. G., &amp; White, T. C. (2012). Hidden killers: Human fungal infections. Science Translational Medicine, 4(165), 165rv13. </w:t>
      </w:r>
      <w:hyperlink r:id="rId25" w:history="1">
        <w:r w:rsidRPr="007E397B">
          <w:rPr>
            <w:rStyle w:val="Hyperlink"/>
            <w:rFonts w:ascii="Arial" w:hAnsi="Arial" w:cs="Arial"/>
            <w:sz w:val="22"/>
            <w:szCs w:val="22"/>
          </w:rPr>
          <w:t>https://doi.org/10.1126/scitranslmed.3004404</w:t>
        </w:r>
      </w:hyperlink>
    </w:p>
    <w:p w14:paraId="267064F6" w14:textId="55E9CB85" w:rsidR="00FA2B69" w:rsidRDefault="00FA2B69" w:rsidP="00FA2B69">
      <w:pPr>
        <w:jc w:val="both"/>
        <w:rPr>
          <w:rFonts w:ascii="Arial" w:hAnsi="Arial" w:cs="Arial"/>
          <w:sz w:val="22"/>
          <w:szCs w:val="22"/>
        </w:rPr>
      </w:pPr>
      <w:r w:rsidRPr="009D3FDC">
        <w:rPr>
          <w:rFonts w:ascii="Arial" w:hAnsi="Arial" w:cs="Arial"/>
          <w:sz w:val="22"/>
          <w:szCs w:val="22"/>
          <w:lang w:val="nl-BE"/>
        </w:rPr>
        <w:t xml:space="preserve">[4] Ullmann, A. J., Aguado, J. M., Arikan-Akdagli, S., Denning, D. W., Groll, A. H., Lagrou, K., et al. </w:t>
      </w:r>
      <w:r w:rsidRPr="00FA2B69">
        <w:rPr>
          <w:rFonts w:ascii="Arial" w:hAnsi="Arial" w:cs="Arial"/>
          <w:sz w:val="22"/>
          <w:szCs w:val="22"/>
        </w:rPr>
        <w:t xml:space="preserve">(2018). Diagnosis and management of Aspergillus diseases: executive summary of the 2017 ESCMID-ECMM-ERS guideline. Clinical Microbiology and Infection, 24(Suppl 1), e1-e38. </w:t>
      </w:r>
      <w:hyperlink r:id="rId26" w:history="1">
        <w:r w:rsidRPr="007E397B">
          <w:rPr>
            <w:rStyle w:val="Hyperlink"/>
            <w:rFonts w:ascii="Arial" w:hAnsi="Arial" w:cs="Arial"/>
            <w:sz w:val="22"/>
            <w:szCs w:val="22"/>
          </w:rPr>
          <w:t>https://doi.org/10.1016/j.cmi.2018.01.002</w:t>
        </w:r>
      </w:hyperlink>
    </w:p>
    <w:p w14:paraId="40DE0690" w14:textId="79372A43" w:rsidR="00FA2B69" w:rsidRDefault="00FA2B69" w:rsidP="00FA2B69">
      <w:pPr>
        <w:jc w:val="both"/>
        <w:rPr>
          <w:rFonts w:ascii="Arial" w:hAnsi="Arial" w:cs="Arial"/>
          <w:sz w:val="22"/>
          <w:szCs w:val="22"/>
        </w:rPr>
      </w:pPr>
      <w:r w:rsidRPr="00FA2B69">
        <w:rPr>
          <w:rFonts w:ascii="Arial" w:hAnsi="Arial" w:cs="Arial"/>
          <w:sz w:val="22"/>
          <w:szCs w:val="22"/>
        </w:rPr>
        <w:t xml:space="preserve">[5] Rybak, J. M., Fortwendel, J. R., &amp; Rogers, P. D. (2019). Emerging threat of triazole-resistant Aspergillus fumigatus. Journal of Antimicrobial Chemotherapy, 74(4), 835-842. </w:t>
      </w:r>
      <w:hyperlink r:id="rId27" w:history="1">
        <w:r w:rsidRPr="007E397B">
          <w:rPr>
            <w:rStyle w:val="Hyperlink"/>
            <w:rFonts w:ascii="Arial" w:hAnsi="Arial" w:cs="Arial"/>
            <w:sz w:val="22"/>
            <w:szCs w:val="22"/>
          </w:rPr>
          <w:t>https://doi.org/10.1093/jac/dky517</w:t>
        </w:r>
      </w:hyperlink>
    </w:p>
    <w:p w14:paraId="20AE89F2" w14:textId="647100C7" w:rsidR="00FA2B69" w:rsidRDefault="00FA2B69" w:rsidP="00FA2B69">
      <w:pPr>
        <w:jc w:val="both"/>
        <w:rPr>
          <w:rFonts w:ascii="Arial" w:hAnsi="Arial" w:cs="Arial"/>
          <w:sz w:val="22"/>
          <w:szCs w:val="22"/>
        </w:rPr>
      </w:pPr>
      <w:r w:rsidRPr="00FA2B69">
        <w:rPr>
          <w:rFonts w:ascii="Arial" w:hAnsi="Arial" w:cs="Arial"/>
          <w:sz w:val="22"/>
          <w:szCs w:val="22"/>
        </w:rPr>
        <w:t xml:space="preserve">[6] </w:t>
      </w:r>
      <w:r w:rsidR="000F7750" w:rsidRPr="000F7750">
        <w:rPr>
          <w:rFonts w:ascii="Arial" w:hAnsi="Arial" w:cs="Arial"/>
          <w:sz w:val="22"/>
          <w:szCs w:val="22"/>
        </w:rPr>
        <w:t xml:space="preserve">Burks, C., Darby, A., Gómez Londoño, L., Momany, M., &amp; Brewer, M. T. (2021). Azole-resistant Aspergillus fumigatus in the environment: Identifying key reservoirs and hotspots of antifungal resistance. PLoS Pathogens, 17(7), e1009711. </w:t>
      </w:r>
      <w:hyperlink r:id="rId28" w:history="1">
        <w:r w:rsidR="005B20F6" w:rsidRPr="007E397B">
          <w:rPr>
            <w:rStyle w:val="Hyperlink"/>
            <w:rFonts w:ascii="Arial" w:hAnsi="Arial" w:cs="Arial"/>
            <w:sz w:val="22"/>
            <w:szCs w:val="22"/>
          </w:rPr>
          <w:t>https://doi.org/10.1371/journal.ppat.1009711</w:t>
        </w:r>
      </w:hyperlink>
      <w:r w:rsidR="000F7750" w:rsidRPr="000F7750">
        <w:rPr>
          <w:rFonts w:ascii="Arial" w:hAnsi="Arial" w:cs="Arial"/>
          <w:sz w:val="22"/>
          <w:szCs w:val="22"/>
        </w:rPr>
        <w:t>.</w:t>
      </w:r>
    </w:p>
    <w:p w14:paraId="62EED544" w14:textId="73B890D2" w:rsidR="00FA2B69" w:rsidRDefault="00FA2B69" w:rsidP="00FA2B69">
      <w:pPr>
        <w:jc w:val="both"/>
        <w:rPr>
          <w:rFonts w:ascii="Arial" w:hAnsi="Arial" w:cs="Arial"/>
          <w:sz w:val="22"/>
          <w:szCs w:val="22"/>
        </w:rPr>
      </w:pPr>
      <w:r w:rsidRPr="00FA2B69">
        <w:rPr>
          <w:rFonts w:ascii="Arial" w:hAnsi="Arial" w:cs="Arial"/>
          <w:sz w:val="22"/>
          <w:szCs w:val="22"/>
        </w:rPr>
        <w:t xml:space="preserve">[7] Fisher, M. C., Hawkins, N. J., Sanglard, D., &amp; Gurr, S. J. (2018). Worldwide emergence of resistance to antifungal drugs challenges human health and food security. Science, 360(6390), 739-742. </w:t>
      </w:r>
      <w:hyperlink r:id="rId29" w:history="1">
        <w:r w:rsidRPr="007E397B">
          <w:rPr>
            <w:rStyle w:val="Hyperlink"/>
            <w:rFonts w:ascii="Arial" w:hAnsi="Arial" w:cs="Arial"/>
            <w:sz w:val="22"/>
            <w:szCs w:val="22"/>
          </w:rPr>
          <w:t>https://doi.org/10.1126/science.aap7999</w:t>
        </w:r>
      </w:hyperlink>
    </w:p>
    <w:p w14:paraId="7F786F0F" w14:textId="083EFD27" w:rsidR="00FA2B69" w:rsidRDefault="00FA2B69" w:rsidP="00FA2B69">
      <w:pPr>
        <w:jc w:val="both"/>
        <w:rPr>
          <w:rFonts w:ascii="Arial" w:hAnsi="Arial" w:cs="Arial"/>
          <w:sz w:val="22"/>
          <w:szCs w:val="22"/>
        </w:rPr>
      </w:pPr>
      <w:r w:rsidRPr="00FA2B69">
        <w:rPr>
          <w:rFonts w:ascii="Arial" w:hAnsi="Arial" w:cs="Arial"/>
          <w:sz w:val="22"/>
          <w:szCs w:val="22"/>
        </w:rPr>
        <w:t xml:space="preserve">[8] Zhuang, C., Zhang, W., Sheng, C., Zhang, W., Xing, C., &amp; Miao, Z. (2017). Chalcone: A Privileged Structure in Medicinal Chemistry. Chemical Reviews, 117(12), 7762-7810. </w:t>
      </w:r>
      <w:hyperlink r:id="rId30" w:history="1">
        <w:r w:rsidRPr="007E397B">
          <w:rPr>
            <w:rStyle w:val="Hyperlink"/>
            <w:rFonts w:ascii="Arial" w:hAnsi="Arial" w:cs="Arial"/>
            <w:sz w:val="22"/>
            <w:szCs w:val="22"/>
          </w:rPr>
          <w:t>https://doi.org/10.1021/acs.chemrev.7b00020</w:t>
        </w:r>
      </w:hyperlink>
    </w:p>
    <w:p w14:paraId="4A499F17" w14:textId="5CE99276" w:rsidR="00FA2B69" w:rsidRDefault="00FA2B69" w:rsidP="00FA2B69">
      <w:pPr>
        <w:jc w:val="both"/>
        <w:rPr>
          <w:rFonts w:ascii="Arial" w:hAnsi="Arial" w:cs="Arial"/>
          <w:sz w:val="22"/>
          <w:szCs w:val="22"/>
        </w:rPr>
      </w:pPr>
      <w:r w:rsidRPr="00FA2B69">
        <w:rPr>
          <w:rFonts w:ascii="Arial" w:hAnsi="Arial" w:cs="Arial"/>
          <w:sz w:val="22"/>
          <w:szCs w:val="22"/>
        </w:rPr>
        <w:t xml:space="preserve">[9] Batovska, D. I., &amp; Todorova, I. T. (2010). Trends in utilization of the </w:t>
      </w:r>
      <w:r w:rsidRPr="00FA2B69">
        <w:rPr>
          <w:rFonts w:ascii="Arial" w:hAnsi="Arial" w:cs="Arial"/>
          <w:sz w:val="22"/>
          <w:szCs w:val="22"/>
        </w:rPr>
        <w:lastRenderedPageBreak/>
        <w:t xml:space="preserve">pharmacological potential of chalcones. Current Clinical Pharmacology, 5(1), 1-29. </w:t>
      </w:r>
      <w:hyperlink r:id="rId31" w:history="1">
        <w:r w:rsidRPr="007E397B">
          <w:rPr>
            <w:rStyle w:val="Hyperlink"/>
            <w:rFonts w:ascii="Arial" w:hAnsi="Arial" w:cs="Arial"/>
            <w:sz w:val="22"/>
            <w:szCs w:val="22"/>
          </w:rPr>
          <w:t>https://doi.org/10.2174/157488410790410579</w:t>
        </w:r>
      </w:hyperlink>
    </w:p>
    <w:p w14:paraId="05690CF3" w14:textId="165063E7" w:rsidR="00FA2B69" w:rsidRDefault="00FA2B69" w:rsidP="00FA2B69">
      <w:pPr>
        <w:jc w:val="both"/>
        <w:rPr>
          <w:rFonts w:ascii="Arial" w:hAnsi="Arial" w:cs="Arial"/>
          <w:sz w:val="22"/>
          <w:szCs w:val="22"/>
        </w:rPr>
      </w:pPr>
      <w:r w:rsidRPr="00FA2B69">
        <w:rPr>
          <w:rFonts w:ascii="Arial" w:hAnsi="Arial" w:cs="Arial"/>
          <w:sz w:val="22"/>
          <w:szCs w:val="22"/>
        </w:rPr>
        <w:t xml:space="preserve">[10] López, S. N., Castelli, M. V., Zacchino, S. A., Domínguez, J. N., Lobo, G., Charris-Charris, J., et al. (2001). </w:t>
      </w:r>
      <w:r w:rsidRPr="00FA2B69">
        <w:rPr>
          <w:rFonts w:ascii="Arial" w:hAnsi="Arial" w:cs="Arial"/>
          <w:i/>
          <w:iCs/>
          <w:sz w:val="22"/>
          <w:szCs w:val="22"/>
        </w:rPr>
        <w:t>In vitro</w:t>
      </w:r>
      <w:r w:rsidRPr="00FA2B69">
        <w:rPr>
          <w:rFonts w:ascii="Arial" w:hAnsi="Arial" w:cs="Arial"/>
          <w:sz w:val="22"/>
          <w:szCs w:val="22"/>
        </w:rPr>
        <w:t xml:space="preserve"> antifungal evaluation and structure-activity relationships of a new series of chalcone derivatives and synthetic analogues, with inhibitory properties against polymers of the fungal cell wall. Bioorganic &amp; Medicinal Chemistry, 9(8), 1999-2013. </w:t>
      </w:r>
      <w:hyperlink r:id="rId32" w:history="1">
        <w:r w:rsidRPr="007E397B">
          <w:rPr>
            <w:rStyle w:val="Hyperlink"/>
            <w:rFonts w:ascii="Arial" w:hAnsi="Arial" w:cs="Arial"/>
            <w:sz w:val="22"/>
            <w:szCs w:val="22"/>
          </w:rPr>
          <w:t>https://doi.org/10.1016/s0968-0896(01)00116-x</w:t>
        </w:r>
      </w:hyperlink>
    </w:p>
    <w:p w14:paraId="2A2286B8" w14:textId="2CCB5CBE" w:rsidR="00FA2B69" w:rsidRDefault="00FA2B69" w:rsidP="00FA2B69">
      <w:pPr>
        <w:jc w:val="both"/>
        <w:rPr>
          <w:rFonts w:ascii="Arial" w:hAnsi="Arial" w:cs="Arial"/>
          <w:sz w:val="22"/>
          <w:szCs w:val="22"/>
        </w:rPr>
      </w:pPr>
      <w:r w:rsidRPr="00FA2B69">
        <w:rPr>
          <w:rFonts w:ascii="Arial" w:hAnsi="Arial" w:cs="Arial"/>
          <w:sz w:val="22"/>
          <w:szCs w:val="22"/>
        </w:rPr>
        <w:t xml:space="preserve">[11] Bagdi, A. K., Santra, S., Monir, K., &amp; Hajra, A. (2015). Synthesis of imidazo[1,2-a]pyridines: a decade update. Chemical Communications, 51(9), 1555-1575. </w:t>
      </w:r>
      <w:hyperlink r:id="rId33" w:history="1">
        <w:r w:rsidRPr="007E397B">
          <w:rPr>
            <w:rStyle w:val="Hyperlink"/>
            <w:rFonts w:ascii="Arial" w:hAnsi="Arial" w:cs="Arial"/>
            <w:sz w:val="22"/>
            <w:szCs w:val="22"/>
          </w:rPr>
          <w:t>https://doi.org/10.1039/c4cc08495k</w:t>
        </w:r>
      </w:hyperlink>
    </w:p>
    <w:p w14:paraId="0996FC6A" w14:textId="4E9AAA9C" w:rsidR="00FA2B69" w:rsidRDefault="00FA2B69" w:rsidP="00FA2B69">
      <w:pPr>
        <w:jc w:val="both"/>
        <w:rPr>
          <w:rFonts w:ascii="Arial" w:hAnsi="Arial" w:cs="Arial"/>
          <w:sz w:val="22"/>
          <w:szCs w:val="22"/>
        </w:rPr>
      </w:pPr>
      <w:r w:rsidRPr="00FA2B69">
        <w:rPr>
          <w:rFonts w:ascii="Arial" w:hAnsi="Arial" w:cs="Arial"/>
          <w:sz w:val="22"/>
          <w:szCs w:val="22"/>
        </w:rPr>
        <w:t>[12] Narayan, A., Patel, S., Baile, S. B., Jain, S., &amp; Sharma, S. (2024). Imidazo[1,2-</w:t>
      </w:r>
      <w:r w:rsidRPr="00FA2B69">
        <w:rPr>
          <w:rFonts w:ascii="Arial" w:hAnsi="Arial" w:cs="Arial"/>
          <w:i/>
          <w:iCs/>
          <w:sz w:val="22"/>
          <w:szCs w:val="22"/>
        </w:rPr>
        <w:t xml:space="preserve"> a</w:t>
      </w:r>
      <w:r w:rsidRPr="00FA2B69">
        <w:rPr>
          <w:rFonts w:ascii="Arial" w:hAnsi="Arial" w:cs="Arial"/>
          <w:sz w:val="22"/>
          <w:szCs w:val="22"/>
        </w:rPr>
        <w:t xml:space="preserve">]Pyridine: Potent Biological Activity, SAR and Docking Investigations (2017-2022). *Infectious Disorders - Drug Targets, 24*(8), e200324228067. </w:t>
      </w:r>
      <w:hyperlink r:id="rId34" w:history="1">
        <w:r w:rsidRPr="007E397B">
          <w:rPr>
            <w:rStyle w:val="Hyperlink"/>
            <w:rFonts w:ascii="Arial" w:hAnsi="Arial" w:cs="Arial"/>
            <w:sz w:val="22"/>
            <w:szCs w:val="22"/>
          </w:rPr>
          <w:t>https://doi.org/10.2174/0118715265274067240223040333</w:t>
        </w:r>
      </w:hyperlink>
    </w:p>
    <w:p w14:paraId="005E317F" w14:textId="6DB777BC" w:rsidR="00FA2B69" w:rsidRDefault="00FA2B69" w:rsidP="00FA2B69">
      <w:pPr>
        <w:jc w:val="both"/>
        <w:rPr>
          <w:rFonts w:ascii="Arial" w:hAnsi="Arial" w:cs="Arial"/>
          <w:sz w:val="22"/>
          <w:szCs w:val="22"/>
        </w:rPr>
      </w:pPr>
      <w:r w:rsidRPr="00FA2B69">
        <w:rPr>
          <w:rFonts w:ascii="Arial" w:hAnsi="Arial" w:cs="Arial"/>
          <w:sz w:val="22"/>
          <w:szCs w:val="22"/>
        </w:rPr>
        <w:t xml:space="preserve">[13] </w:t>
      </w:r>
      <w:r w:rsidR="005B20F6" w:rsidRPr="005B20F6">
        <w:rPr>
          <w:rFonts w:ascii="Arial" w:hAnsi="Arial" w:cs="Arial"/>
          <w:sz w:val="22"/>
          <w:szCs w:val="22"/>
        </w:rPr>
        <w:t>Mellado, M., Espinoza, L., Madrid, A., Mella, J., Chávez-Weisser, E., Diaz, K., &amp; Cuellar, M. (2020). Design, synthesis, antifungal activity, and structure–activity relationship studies of chalcones and hybrid dihydrochromane–chalcones. Molecular diversity, 24(3), 603-615</w:t>
      </w:r>
      <w:r w:rsidR="005B20F6">
        <w:rPr>
          <w:rFonts w:ascii="Arial" w:hAnsi="Arial" w:cs="Arial"/>
          <w:sz w:val="22"/>
          <w:szCs w:val="22"/>
        </w:rPr>
        <w:t xml:space="preserve">. </w:t>
      </w:r>
      <w:hyperlink r:id="rId35" w:history="1">
        <w:r w:rsidR="005B20F6" w:rsidRPr="007E397B">
          <w:rPr>
            <w:rStyle w:val="Hyperlink"/>
            <w:rFonts w:ascii="Arial" w:hAnsi="Arial" w:cs="Arial"/>
            <w:sz w:val="22"/>
            <w:szCs w:val="22"/>
          </w:rPr>
          <w:t>https://doi.org/10.1007/s11030-019-09967-y</w:t>
        </w:r>
      </w:hyperlink>
      <w:r w:rsidR="005B20F6" w:rsidRPr="005B20F6">
        <w:rPr>
          <w:rFonts w:ascii="Arial" w:hAnsi="Arial" w:cs="Arial"/>
          <w:sz w:val="22"/>
          <w:szCs w:val="22"/>
        </w:rPr>
        <w:t>.</w:t>
      </w:r>
    </w:p>
    <w:p w14:paraId="389D9773" w14:textId="72180CA5" w:rsidR="00FA2B69" w:rsidRDefault="00FA2B69" w:rsidP="00FA2B69">
      <w:pPr>
        <w:jc w:val="both"/>
        <w:rPr>
          <w:rFonts w:ascii="Arial" w:hAnsi="Arial" w:cs="Arial"/>
          <w:sz w:val="22"/>
          <w:szCs w:val="22"/>
        </w:rPr>
      </w:pPr>
      <w:r w:rsidRPr="00FA2B69">
        <w:rPr>
          <w:rFonts w:ascii="Arial" w:hAnsi="Arial" w:cs="Arial"/>
          <w:sz w:val="22"/>
          <w:szCs w:val="22"/>
        </w:rPr>
        <w:t>[14] N'Guessan, D. U. J.-P., Coulibaly, S., Kassi, F. K., Delaye, P.-O., Pénichon, M., Enguehard-Gueiffier, C., et al. (2021). Synthesis and SAR of Imidazo[1,2-</w:t>
      </w:r>
      <w:r w:rsidRPr="00FA2B69">
        <w:rPr>
          <w:rFonts w:ascii="Arial" w:hAnsi="Arial" w:cs="Arial"/>
          <w:i/>
          <w:iCs/>
          <w:sz w:val="22"/>
          <w:szCs w:val="22"/>
        </w:rPr>
        <w:t>a</w:t>
      </w:r>
      <w:r w:rsidRPr="00FA2B69">
        <w:rPr>
          <w:rFonts w:ascii="Arial" w:hAnsi="Arial" w:cs="Arial"/>
          <w:sz w:val="22"/>
          <w:szCs w:val="22"/>
        </w:rPr>
        <w:t xml:space="preserve">] Pyridinyl-Phenylacrylonitrile Derivatives as </w:t>
      </w:r>
      <w:r w:rsidRPr="00FA2B69">
        <w:rPr>
          <w:rFonts w:ascii="Arial" w:hAnsi="Arial" w:cs="Arial"/>
          <w:sz w:val="22"/>
          <w:szCs w:val="22"/>
        </w:rPr>
        <w:t xml:space="preserve">Potent Anticandidosis Agents. Journal of Medicinal and Chemical Sciences, 4(6), 554-563. </w:t>
      </w:r>
      <w:hyperlink r:id="rId36" w:history="1">
        <w:r w:rsidRPr="007E397B">
          <w:rPr>
            <w:rStyle w:val="Hyperlink"/>
            <w:rFonts w:ascii="Arial" w:hAnsi="Arial" w:cs="Arial"/>
            <w:sz w:val="22"/>
            <w:szCs w:val="22"/>
          </w:rPr>
          <w:t>https://doi.org/10.26655/JMCHEMSCI.2021.6.3</w:t>
        </w:r>
      </w:hyperlink>
    </w:p>
    <w:p w14:paraId="10C7E71B" w14:textId="7F4CA0F5" w:rsidR="00FA2B69" w:rsidRDefault="00FA2B69" w:rsidP="00FA2B69">
      <w:pPr>
        <w:jc w:val="both"/>
        <w:rPr>
          <w:rFonts w:ascii="Arial" w:hAnsi="Arial" w:cs="Arial"/>
          <w:sz w:val="22"/>
          <w:szCs w:val="22"/>
        </w:rPr>
      </w:pPr>
      <w:r w:rsidRPr="00FA2B69">
        <w:rPr>
          <w:rFonts w:ascii="Arial" w:hAnsi="Arial" w:cs="Arial"/>
          <w:sz w:val="22"/>
          <w:szCs w:val="22"/>
        </w:rPr>
        <w:t xml:space="preserve">[15] N'guessan, J.-P. D. U., Coulibaly, S., Kouaho, A. T., Angora, K. E., Drissa, S., &amp; Ouattara, M. (2025). Anti-fungal Activities of imidazo[1,2-a]pyridine-based Chalcone Hybrids Against </w:t>
      </w:r>
      <w:r w:rsidRPr="00FA2B69">
        <w:rPr>
          <w:rFonts w:ascii="Arial" w:hAnsi="Arial" w:cs="Arial"/>
          <w:i/>
          <w:iCs/>
          <w:sz w:val="22"/>
          <w:szCs w:val="22"/>
        </w:rPr>
        <w:t>Aspergillus fumigatus</w:t>
      </w:r>
      <w:r w:rsidRPr="00FA2B69">
        <w:rPr>
          <w:rFonts w:ascii="Arial" w:hAnsi="Arial" w:cs="Arial"/>
          <w:sz w:val="22"/>
          <w:szCs w:val="22"/>
        </w:rPr>
        <w:t xml:space="preserve">. Chemistry Research Journal, 10(4), 210-218. </w:t>
      </w:r>
      <w:hyperlink r:id="rId37" w:history="1">
        <w:r w:rsidRPr="007E397B">
          <w:rPr>
            <w:rStyle w:val="Hyperlink"/>
            <w:rFonts w:ascii="Arial" w:hAnsi="Arial" w:cs="Arial"/>
            <w:sz w:val="22"/>
            <w:szCs w:val="22"/>
          </w:rPr>
          <w:t>https://chemrj.org/</w:t>
        </w:r>
      </w:hyperlink>
    </w:p>
    <w:p w14:paraId="5FF9ADE1" w14:textId="4F4C4B8B" w:rsidR="00FA2B69" w:rsidRDefault="00FA2B69" w:rsidP="00FA2B69">
      <w:pPr>
        <w:jc w:val="both"/>
        <w:rPr>
          <w:rFonts w:ascii="Arial" w:hAnsi="Arial" w:cs="Arial"/>
          <w:sz w:val="22"/>
          <w:szCs w:val="22"/>
        </w:rPr>
      </w:pPr>
      <w:r w:rsidRPr="00FA2B69">
        <w:rPr>
          <w:rFonts w:ascii="Arial" w:hAnsi="Arial" w:cs="Arial"/>
          <w:sz w:val="22"/>
          <w:szCs w:val="22"/>
        </w:rPr>
        <w:t xml:space="preserve">[16] Claisen, L., &amp; Claparède, A. (1881). </w:t>
      </w:r>
      <w:r w:rsidRPr="009D3FDC">
        <w:rPr>
          <w:rFonts w:ascii="Arial" w:hAnsi="Arial" w:cs="Arial"/>
          <w:sz w:val="22"/>
          <w:szCs w:val="22"/>
          <w:lang w:val="nl-BE"/>
        </w:rPr>
        <w:t xml:space="preserve">Condensationen von Ketonen mit Aldehyden. </w:t>
      </w:r>
      <w:r w:rsidRPr="00FA2B69">
        <w:rPr>
          <w:rFonts w:ascii="Arial" w:hAnsi="Arial" w:cs="Arial"/>
          <w:sz w:val="22"/>
          <w:szCs w:val="22"/>
        </w:rPr>
        <w:t xml:space="preserve">Berichte der Deutschen Chemischen Gesellschaft, 14, 2460-2468. </w:t>
      </w:r>
      <w:hyperlink r:id="rId38" w:history="1">
        <w:r w:rsidRPr="007E397B">
          <w:rPr>
            <w:rStyle w:val="Hyperlink"/>
            <w:rFonts w:ascii="Arial" w:hAnsi="Arial" w:cs="Arial"/>
            <w:sz w:val="22"/>
            <w:szCs w:val="22"/>
          </w:rPr>
          <w:t>https://doi.org/10.1002/cber.188101402192</w:t>
        </w:r>
      </w:hyperlink>
    </w:p>
    <w:p w14:paraId="08907DFD" w14:textId="26106DDB" w:rsidR="00FA2B69" w:rsidRPr="009D3FDC" w:rsidRDefault="00FA2B69" w:rsidP="00FA2B69">
      <w:pPr>
        <w:jc w:val="both"/>
        <w:rPr>
          <w:rFonts w:ascii="Arial" w:hAnsi="Arial" w:cs="Arial"/>
          <w:sz w:val="22"/>
          <w:szCs w:val="22"/>
          <w:lang w:val="nl-BE"/>
        </w:rPr>
      </w:pPr>
      <w:r w:rsidRPr="00FA2B69">
        <w:rPr>
          <w:rFonts w:ascii="Arial" w:hAnsi="Arial" w:cs="Arial"/>
          <w:sz w:val="22"/>
          <w:szCs w:val="22"/>
        </w:rPr>
        <w:t xml:space="preserve">[17] Clinical and Laboratory Standards Institute. (2017). Reference Method for Broth Dilution Antifungal Susceptibility Testing of Filamentous Fungi (3rd ed.). </w:t>
      </w:r>
      <w:hyperlink r:id="rId39" w:history="1">
        <w:r w:rsidRPr="009D3FDC">
          <w:rPr>
            <w:rStyle w:val="Hyperlink"/>
            <w:rFonts w:ascii="Arial" w:hAnsi="Arial" w:cs="Arial"/>
            <w:sz w:val="22"/>
            <w:szCs w:val="22"/>
            <w:lang w:val="nl-BE"/>
          </w:rPr>
          <w:t>https://clsi.org/standards/products/microbiology/documents/m38/</w:t>
        </w:r>
      </w:hyperlink>
    </w:p>
    <w:p w14:paraId="2A3DFFF2" w14:textId="7791803C" w:rsidR="00FA2B69" w:rsidRPr="009D3FDC" w:rsidRDefault="00FA2B69" w:rsidP="00FA2B69">
      <w:pPr>
        <w:jc w:val="both"/>
        <w:rPr>
          <w:rFonts w:ascii="Arial" w:hAnsi="Arial" w:cs="Arial"/>
          <w:sz w:val="22"/>
          <w:szCs w:val="22"/>
          <w:lang w:val="nl-BE"/>
        </w:rPr>
      </w:pPr>
      <w:r w:rsidRPr="009D3FDC">
        <w:rPr>
          <w:rFonts w:ascii="Arial" w:hAnsi="Arial" w:cs="Arial"/>
          <w:sz w:val="22"/>
          <w:szCs w:val="22"/>
          <w:lang w:val="nl-BE"/>
        </w:rPr>
        <w:t xml:space="preserve">[18] Song, L., Wang, S., Zou, H., Yi, X., Jia, S., Li, R., et al. </w:t>
      </w:r>
      <w:r w:rsidRPr="00FA2B69">
        <w:rPr>
          <w:rFonts w:ascii="Arial" w:hAnsi="Arial" w:cs="Arial"/>
          <w:sz w:val="22"/>
          <w:szCs w:val="22"/>
        </w:rPr>
        <w:t xml:space="preserve">(2025). Regulation of Ergosterol Biosynthesis in Pathogenic Fungi: Opportunities for Therapeutic Development. </w:t>
      </w:r>
      <w:r w:rsidRPr="009D3FDC">
        <w:rPr>
          <w:rFonts w:ascii="Arial" w:hAnsi="Arial" w:cs="Arial"/>
          <w:sz w:val="22"/>
          <w:szCs w:val="22"/>
          <w:lang w:val="nl-BE"/>
        </w:rPr>
        <w:t xml:space="preserve">Microorganisms, 13(4), 862. </w:t>
      </w:r>
      <w:hyperlink r:id="rId40" w:history="1">
        <w:r w:rsidRPr="009D3FDC">
          <w:rPr>
            <w:rStyle w:val="Hyperlink"/>
            <w:rFonts w:ascii="Arial" w:hAnsi="Arial" w:cs="Arial"/>
            <w:sz w:val="22"/>
            <w:szCs w:val="22"/>
            <w:lang w:val="nl-BE"/>
          </w:rPr>
          <w:t>https://doi.org/10.3390/microorganisms13040862</w:t>
        </w:r>
      </w:hyperlink>
    </w:p>
    <w:p w14:paraId="41D1B95A" w14:textId="1DA8F40E" w:rsidR="00FA2B69" w:rsidRDefault="00FA2B69" w:rsidP="00FA2B69">
      <w:pPr>
        <w:jc w:val="both"/>
        <w:rPr>
          <w:rFonts w:ascii="Arial" w:hAnsi="Arial" w:cs="Arial"/>
          <w:sz w:val="22"/>
          <w:szCs w:val="22"/>
        </w:rPr>
      </w:pPr>
      <w:r w:rsidRPr="009D3FDC">
        <w:rPr>
          <w:rFonts w:ascii="Arial" w:hAnsi="Arial" w:cs="Arial"/>
          <w:sz w:val="22"/>
          <w:szCs w:val="22"/>
          <w:lang w:val="nl-BE"/>
        </w:rPr>
        <w:t xml:space="preserve">[19] Li, Y., Wang, H., Wang, H., Wang, T., Wu, D., &amp; Wei, W. (2025). </w:t>
      </w:r>
      <w:r w:rsidRPr="00FA2B69">
        <w:rPr>
          <w:rFonts w:ascii="Arial" w:hAnsi="Arial" w:cs="Arial"/>
          <w:sz w:val="22"/>
          <w:szCs w:val="22"/>
        </w:rPr>
        <w:t xml:space="preserve">Molecular Mechanisms of Pathogenic Fungal Virulence Regulation by Cell Membrane Phospholipids. Journal of Fungi, 11(4), 256. </w:t>
      </w:r>
      <w:hyperlink r:id="rId41" w:history="1">
        <w:r w:rsidRPr="007E397B">
          <w:rPr>
            <w:rStyle w:val="Hyperlink"/>
            <w:rFonts w:ascii="Arial" w:hAnsi="Arial" w:cs="Arial"/>
            <w:sz w:val="22"/>
            <w:szCs w:val="22"/>
          </w:rPr>
          <w:t>https://doi.org/10.3390/jof11040256</w:t>
        </w:r>
      </w:hyperlink>
    </w:p>
    <w:p w14:paraId="357151D3" w14:textId="1D9E1A85" w:rsidR="006C380F" w:rsidRDefault="006C380F" w:rsidP="006C380F">
      <w:pPr>
        <w:jc w:val="both"/>
        <w:rPr>
          <w:rFonts w:ascii="Arial" w:hAnsi="Arial" w:cs="Arial"/>
          <w:sz w:val="22"/>
          <w:szCs w:val="22"/>
        </w:rPr>
      </w:pPr>
      <w:r w:rsidRPr="006C380F">
        <w:rPr>
          <w:rFonts w:ascii="Arial" w:hAnsi="Arial" w:cs="Arial"/>
          <w:sz w:val="22"/>
          <w:szCs w:val="22"/>
        </w:rPr>
        <w:t xml:space="preserve">20] Gonzalez-Jimenez, I., Perlin, D. S., &amp; Shor, E. (2023). Reactive oxidant species induced by antifungal drugs: identity, origins, functions, and connection to stress-induced cell death. Frontiers in Cellular and Infection Microbiology. </w:t>
      </w:r>
      <w:hyperlink r:id="rId42" w:history="1">
        <w:r w:rsidRPr="007E397B">
          <w:rPr>
            <w:rStyle w:val="Hyperlink"/>
            <w:rFonts w:ascii="Arial" w:hAnsi="Arial" w:cs="Arial"/>
            <w:sz w:val="22"/>
            <w:szCs w:val="22"/>
          </w:rPr>
          <w:t>https://doi.org/10.3389/fcimb.2023.1276406</w:t>
        </w:r>
      </w:hyperlink>
    </w:p>
    <w:p w14:paraId="5A4A46F7" w14:textId="4A5B52E8" w:rsidR="00A905A1" w:rsidRPr="00A905A1" w:rsidRDefault="006C380F" w:rsidP="00FA2B69">
      <w:pPr>
        <w:jc w:val="both"/>
        <w:rPr>
          <w:rFonts w:ascii="Arial" w:hAnsi="Arial" w:cs="Arial"/>
          <w:sz w:val="22"/>
          <w:szCs w:val="22"/>
        </w:rPr>
        <w:sectPr w:rsidR="00A905A1" w:rsidRPr="00A905A1" w:rsidSect="00A905A1">
          <w:type w:val="continuous"/>
          <w:pgSz w:w="12240" w:h="15840"/>
          <w:pgMar w:top="1440" w:right="2016" w:bottom="2016" w:left="2016" w:header="720" w:footer="1123" w:gutter="0"/>
          <w:cols w:num="2" w:space="720"/>
          <w:docGrid w:linePitch="272"/>
        </w:sectPr>
      </w:pPr>
      <w:r w:rsidRPr="006C380F">
        <w:rPr>
          <w:rFonts w:ascii="Arial" w:hAnsi="Arial" w:cs="Arial"/>
          <w:sz w:val="22"/>
          <w:szCs w:val="22"/>
        </w:rPr>
        <w:t xml:space="preserve">[21] Kathiravan, M. K., Salake, A. B., Chothe, A. S., Dudhe, P. B., Watode, R. P., Mukta, M. S., et al. (2012). The biology and chemistry of antifungal </w:t>
      </w:r>
      <w:r w:rsidRPr="006C380F">
        <w:rPr>
          <w:rFonts w:ascii="Arial" w:hAnsi="Arial" w:cs="Arial"/>
          <w:sz w:val="22"/>
          <w:szCs w:val="22"/>
        </w:rPr>
        <w:t xml:space="preserve">agents: a review. Bioorganic &amp; Medicinal Chemistry, 20(19), 5678-5698. </w:t>
      </w:r>
      <w:hyperlink r:id="rId43" w:history="1">
        <w:r w:rsidRPr="007E397B">
          <w:rPr>
            <w:rStyle w:val="Hyperlink"/>
            <w:rFonts w:ascii="Arial" w:hAnsi="Arial" w:cs="Arial"/>
            <w:sz w:val="22"/>
            <w:szCs w:val="22"/>
          </w:rPr>
          <w:t>https://doi.org/10.1016/j.bmc.2012.04.045</w:t>
        </w:r>
      </w:hyperlink>
      <w:r w:rsidR="00AB1111">
        <w:rPr>
          <w:rFonts w:ascii="Arial" w:hAnsi="Arial" w:cs="Arial"/>
          <w:sz w:val="22"/>
          <w:szCs w:val="22"/>
        </w:rPr>
        <w:t xml:space="preserve"> </w:t>
      </w:r>
    </w:p>
    <w:p w14:paraId="72C31C73" w14:textId="70B13BA6" w:rsidR="00790ADA" w:rsidRPr="00FB3A86" w:rsidRDefault="00790ADA" w:rsidP="00441B6F">
      <w:pPr>
        <w:pStyle w:val="ReferHead"/>
        <w:spacing w:after="0"/>
        <w:jc w:val="both"/>
        <w:rPr>
          <w:rFonts w:ascii="Arial" w:hAnsi="Arial" w:cs="Arial"/>
        </w:rPr>
      </w:pPr>
    </w:p>
    <w:p w14:paraId="376EF9B7" w14:textId="77777777" w:rsidR="00B01FCD" w:rsidRPr="00FB3A86" w:rsidRDefault="00B01FCD" w:rsidP="00441B6F">
      <w:pPr>
        <w:pStyle w:val="Appendix"/>
        <w:spacing w:after="0"/>
        <w:jc w:val="both"/>
        <w:rPr>
          <w:rFonts w:ascii="Arial" w:hAnsi="Arial" w:cs="Arial"/>
          <w:b w:val="0"/>
        </w:rPr>
      </w:pPr>
    </w:p>
    <w:sectPr w:rsidR="00B01FCD" w:rsidRPr="00FB3A86" w:rsidSect="00A905A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03BF8" w14:textId="77777777" w:rsidR="00004F20" w:rsidRDefault="00004F20" w:rsidP="00C37E61">
      <w:r>
        <w:separator/>
      </w:r>
    </w:p>
  </w:endnote>
  <w:endnote w:type="continuationSeparator" w:id="0">
    <w:p w14:paraId="7EC67FBF" w14:textId="77777777" w:rsidR="00004F20" w:rsidRDefault="00004F2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79D74" w14:textId="77777777" w:rsidR="00240545" w:rsidRDefault="00240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25E7" w14:textId="77777777" w:rsidR="00240545" w:rsidRDefault="002405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A334" w14:textId="77777777" w:rsidR="009E048A" w:rsidRDefault="009E048A">
    <w:pPr>
      <w:pStyle w:val="Footer"/>
      <w:rPr>
        <w:rFonts w:ascii="Arial" w:hAnsi="Arial" w:cs="Arial"/>
        <w:sz w:val="16"/>
      </w:rPr>
    </w:pPr>
  </w:p>
  <w:p w14:paraId="4D69CB8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EB2828A" w14:textId="77777777" w:rsidR="009E048A" w:rsidRDefault="009E048A">
    <w:pPr>
      <w:pStyle w:val="Footer"/>
      <w:rPr>
        <w:rFonts w:ascii="Arial" w:hAnsi="Arial" w:cs="Arial"/>
        <w:sz w:val="16"/>
      </w:rPr>
    </w:pPr>
  </w:p>
  <w:p w14:paraId="5146C95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6178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4CB3D" w14:textId="77777777" w:rsidR="00004F20" w:rsidRDefault="00004F20" w:rsidP="00C37E61">
      <w:r>
        <w:separator/>
      </w:r>
    </w:p>
  </w:footnote>
  <w:footnote w:type="continuationSeparator" w:id="0">
    <w:p w14:paraId="2954C547" w14:textId="77777777" w:rsidR="00004F20" w:rsidRDefault="00004F2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AA45E" w14:textId="0054A114" w:rsidR="00240545" w:rsidRDefault="00000000">
    <w:pPr>
      <w:pStyle w:val="Header"/>
    </w:pPr>
    <w:r>
      <w:rPr>
        <w:noProof/>
      </w:rPr>
      <w:pict w14:anchorId="75B01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940063"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2C61" w14:textId="123ADF6B" w:rsidR="00240545" w:rsidRDefault="00000000">
    <w:pPr>
      <w:pStyle w:val="Header"/>
    </w:pPr>
    <w:r>
      <w:rPr>
        <w:noProof/>
      </w:rPr>
      <w:pict w14:anchorId="4C4F1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940064"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C8800" w14:textId="47309666" w:rsidR="00296529" w:rsidRPr="00296529" w:rsidRDefault="00000000" w:rsidP="00296529">
    <w:pPr>
      <w:ind w:left="2160"/>
      <w:jc w:val="center"/>
      <w:rPr>
        <w:rFonts w:ascii="Times New Roman" w:eastAsia="Calibri" w:hAnsi="Times New Roman"/>
        <w:i/>
        <w:sz w:val="18"/>
        <w:szCs w:val="22"/>
      </w:rPr>
    </w:pPr>
    <w:r>
      <w:rPr>
        <w:noProof/>
      </w:rPr>
      <w:pict w14:anchorId="1275AB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940062"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CAA619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F6F700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1293B3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5D0BCD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3E8549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303488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5C66" w14:textId="289B526A" w:rsidR="00240545" w:rsidRDefault="00000000">
    <w:pPr>
      <w:pStyle w:val="Header"/>
    </w:pPr>
    <w:r>
      <w:rPr>
        <w:noProof/>
      </w:rPr>
      <w:pict w14:anchorId="674A4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940066"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C979" w14:textId="3903A004" w:rsidR="00240545" w:rsidRDefault="00000000">
    <w:pPr>
      <w:pStyle w:val="Header"/>
    </w:pPr>
    <w:r>
      <w:rPr>
        <w:noProof/>
      </w:rPr>
      <w:pict w14:anchorId="6B586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940067"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6528" w14:textId="3C0EEB69" w:rsidR="00240545" w:rsidRDefault="00000000">
    <w:pPr>
      <w:pStyle w:val="Header"/>
    </w:pPr>
    <w:r>
      <w:rPr>
        <w:noProof/>
      </w:rPr>
      <w:pict w14:anchorId="43C372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940065"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052EA5"/>
    <w:multiLevelType w:val="hybridMultilevel"/>
    <w:tmpl w:val="5840201C"/>
    <w:lvl w:ilvl="0" w:tplc="BF2A32B4">
      <w:start w:val="7"/>
      <w:numFmt w:val="bullet"/>
      <w:lvlText w:val="-"/>
      <w:lvlJc w:val="left"/>
      <w:pPr>
        <w:ind w:left="360" w:hanging="360"/>
      </w:pPr>
      <w:rPr>
        <w:rFonts w:ascii="Arial Narrow" w:eastAsia="Times New Roman" w:hAnsi="Arial Narrow"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3966127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90609793">
    <w:abstractNumId w:val="15"/>
  </w:num>
  <w:num w:numId="3" w16cid:durableId="845753728">
    <w:abstractNumId w:val="24"/>
  </w:num>
  <w:num w:numId="4" w16cid:durableId="55366639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84786921">
    <w:abstractNumId w:val="7"/>
  </w:num>
  <w:num w:numId="6" w16cid:durableId="483931569">
    <w:abstractNumId w:val="6"/>
  </w:num>
  <w:num w:numId="7" w16cid:durableId="1885867666">
    <w:abstractNumId w:val="1"/>
  </w:num>
  <w:num w:numId="8" w16cid:durableId="2130200566">
    <w:abstractNumId w:val="12"/>
  </w:num>
  <w:num w:numId="9" w16cid:durableId="587931839">
    <w:abstractNumId w:val="26"/>
  </w:num>
  <w:num w:numId="10" w16cid:durableId="1100292879">
    <w:abstractNumId w:val="2"/>
  </w:num>
  <w:num w:numId="11" w16cid:durableId="1984844302">
    <w:abstractNumId w:val="19"/>
  </w:num>
  <w:num w:numId="12" w16cid:durableId="752555611">
    <w:abstractNumId w:val="3"/>
  </w:num>
  <w:num w:numId="13" w16cid:durableId="112402236">
    <w:abstractNumId w:val="18"/>
  </w:num>
  <w:num w:numId="14" w16cid:durableId="1145119329">
    <w:abstractNumId w:val="8"/>
  </w:num>
  <w:num w:numId="15" w16cid:durableId="1583949844">
    <w:abstractNumId w:val="22"/>
  </w:num>
  <w:num w:numId="16" w16cid:durableId="1448550452">
    <w:abstractNumId w:val="5"/>
  </w:num>
  <w:num w:numId="17" w16cid:durableId="581448508">
    <w:abstractNumId w:val="23"/>
  </w:num>
  <w:num w:numId="18" w16cid:durableId="1206526673">
    <w:abstractNumId w:val="14"/>
  </w:num>
  <w:num w:numId="19" w16cid:durableId="1444223956">
    <w:abstractNumId w:val="29"/>
  </w:num>
  <w:num w:numId="20" w16cid:durableId="506797117">
    <w:abstractNumId w:val="11"/>
  </w:num>
  <w:num w:numId="21" w16cid:durableId="738282690">
    <w:abstractNumId w:val="9"/>
  </w:num>
  <w:num w:numId="22" w16cid:durableId="862862458">
    <w:abstractNumId w:val="13"/>
  </w:num>
  <w:num w:numId="23" w16cid:durableId="1571964833">
    <w:abstractNumId w:val="20"/>
  </w:num>
  <w:num w:numId="24" w16cid:durableId="1229026602">
    <w:abstractNumId w:val="27"/>
  </w:num>
  <w:num w:numId="25" w16cid:durableId="2027243935">
    <w:abstractNumId w:val="4"/>
  </w:num>
  <w:num w:numId="26" w16cid:durableId="1278831999">
    <w:abstractNumId w:val="16"/>
  </w:num>
  <w:num w:numId="27" w16cid:durableId="2064015163">
    <w:abstractNumId w:val="21"/>
  </w:num>
  <w:num w:numId="28" w16cid:durableId="1505703633">
    <w:abstractNumId w:val="28"/>
  </w:num>
  <w:num w:numId="29" w16cid:durableId="1304965467">
    <w:abstractNumId w:val="25"/>
  </w:num>
  <w:num w:numId="30" w16cid:durableId="1068766911">
    <w:abstractNumId w:val="10"/>
  </w:num>
  <w:num w:numId="31" w16cid:durableId="285760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F20"/>
    <w:rsid w:val="00030174"/>
    <w:rsid w:val="0004579C"/>
    <w:rsid w:val="000A1763"/>
    <w:rsid w:val="000A47FA"/>
    <w:rsid w:val="000A65D3"/>
    <w:rsid w:val="000B1E33"/>
    <w:rsid w:val="000D689F"/>
    <w:rsid w:val="000E01BA"/>
    <w:rsid w:val="000E7B7B"/>
    <w:rsid w:val="000E7D62"/>
    <w:rsid w:val="000F7750"/>
    <w:rsid w:val="00103357"/>
    <w:rsid w:val="001039D3"/>
    <w:rsid w:val="00123C9F"/>
    <w:rsid w:val="00126190"/>
    <w:rsid w:val="00130F17"/>
    <w:rsid w:val="001320BF"/>
    <w:rsid w:val="00163BC4"/>
    <w:rsid w:val="00170932"/>
    <w:rsid w:val="00171778"/>
    <w:rsid w:val="00191062"/>
    <w:rsid w:val="00192B72"/>
    <w:rsid w:val="001A161F"/>
    <w:rsid w:val="001A29D8"/>
    <w:rsid w:val="001A5CAA"/>
    <w:rsid w:val="001B0427"/>
    <w:rsid w:val="001D3A51"/>
    <w:rsid w:val="001E045C"/>
    <w:rsid w:val="001E10D2"/>
    <w:rsid w:val="001E25B4"/>
    <w:rsid w:val="001E44FE"/>
    <w:rsid w:val="00200595"/>
    <w:rsid w:val="00204835"/>
    <w:rsid w:val="00206D2A"/>
    <w:rsid w:val="00231920"/>
    <w:rsid w:val="0023195C"/>
    <w:rsid w:val="00240545"/>
    <w:rsid w:val="0024282C"/>
    <w:rsid w:val="002460DC"/>
    <w:rsid w:val="00250985"/>
    <w:rsid w:val="002556F6"/>
    <w:rsid w:val="002576C5"/>
    <w:rsid w:val="00283105"/>
    <w:rsid w:val="00283320"/>
    <w:rsid w:val="00284C4C"/>
    <w:rsid w:val="00287E68"/>
    <w:rsid w:val="00296529"/>
    <w:rsid w:val="002B27FB"/>
    <w:rsid w:val="002B685A"/>
    <w:rsid w:val="002C57D2"/>
    <w:rsid w:val="002C5F9E"/>
    <w:rsid w:val="002E0D56"/>
    <w:rsid w:val="00315186"/>
    <w:rsid w:val="0033343E"/>
    <w:rsid w:val="0033627C"/>
    <w:rsid w:val="003512C2"/>
    <w:rsid w:val="00363658"/>
    <w:rsid w:val="00371FB6"/>
    <w:rsid w:val="003763C1"/>
    <w:rsid w:val="00376BBE"/>
    <w:rsid w:val="0039224F"/>
    <w:rsid w:val="003A43A4"/>
    <w:rsid w:val="003A7E18"/>
    <w:rsid w:val="003C4C86"/>
    <w:rsid w:val="003C6258"/>
    <w:rsid w:val="003E2904"/>
    <w:rsid w:val="00401927"/>
    <w:rsid w:val="0041027F"/>
    <w:rsid w:val="00412437"/>
    <w:rsid w:val="00412475"/>
    <w:rsid w:val="00423789"/>
    <w:rsid w:val="00440F43"/>
    <w:rsid w:val="00441B6F"/>
    <w:rsid w:val="00446221"/>
    <w:rsid w:val="00450E62"/>
    <w:rsid w:val="004539DB"/>
    <w:rsid w:val="00471A80"/>
    <w:rsid w:val="004B3210"/>
    <w:rsid w:val="004B671E"/>
    <w:rsid w:val="004D305E"/>
    <w:rsid w:val="004D4277"/>
    <w:rsid w:val="004D526F"/>
    <w:rsid w:val="00502516"/>
    <w:rsid w:val="00505F06"/>
    <w:rsid w:val="00506828"/>
    <w:rsid w:val="00510070"/>
    <w:rsid w:val="0053056E"/>
    <w:rsid w:val="00554FDA"/>
    <w:rsid w:val="005830BE"/>
    <w:rsid w:val="005B20F6"/>
    <w:rsid w:val="005C784C"/>
    <w:rsid w:val="005D17F6"/>
    <w:rsid w:val="005E5007"/>
    <w:rsid w:val="005E509A"/>
    <w:rsid w:val="005E5539"/>
    <w:rsid w:val="005F0B02"/>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380F"/>
    <w:rsid w:val="006D30FF"/>
    <w:rsid w:val="006D6940"/>
    <w:rsid w:val="006F11EC"/>
    <w:rsid w:val="0070082C"/>
    <w:rsid w:val="00726931"/>
    <w:rsid w:val="007369E6"/>
    <w:rsid w:val="00746E59"/>
    <w:rsid w:val="00754C9A"/>
    <w:rsid w:val="0075599A"/>
    <w:rsid w:val="00761D52"/>
    <w:rsid w:val="00764717"/>
    <w:rsid w:val="0077467A"/>
    <w:rsid w:val="007762F8"/>
    <w:rsid w:val="0077749E"/>
    <w:rsid w:val="00782D65"/>
    <w:rsid w:val="00790ADA"/>
    <w:rsid w:val="007D2288"/>
    <w:rsid w:val="007E088F"/>
    <w:rsid w:val="007F7B32"/>
    <w:rsid w:val="00804BC2"/>
    <w:rsid w:val="00812A57"/>
    <w:rsid w:val="0081431A"/>
    <w:rsid w:val="0083216F"/>
    <w:rsid w:val="008414AE"/>
    <w:rsid w:val="00854346"/>
    <w:rsid w:val="00860000"/>
    <w:rsid w:val="00863BD3"/>
    <w:rsid w:val="008641ED"/>
    <w:rsid w:val="00866D66"/>
    <w:rsid w:val="008671C6"/>
    <w:rsid w:val="00875803"/>
    <w:rsid w:val="008A74AB"/>
    <w:rsid w:val="008B459E"/>
    <w:rsid w:val="008E13AE"/>
    <w:rsid w:val="008E1506"/>
    <w:rsid w:val="008E710C"/>
    <w:rsid w:val="008F69D6"/>
    <w:rsid w:val="00902823"/>
    <w:rsid w:val="00915CA6"/>
    <w:rsid w:val="00927834"/>
    <w:rsid w:val="009500A6"/>
    <w:rsid w:val="00957C18"/>
    <w:rsid w:val="009659BA"/>
    <w:rsid w:val="00983040"/>
    <w:rsid w:val="00990BF3"/>
    <w:rsid w:val="009B3FB9"/>
    <w:rsid w:val="009C2465"/>
    <w:rsid w:val="009D35A0"/>
    <w:rsid w:val="009D3FDC"/>
    <w:rsid w:val="009D61A1"/>
    <w:rsid w:val="009D7EB7"/>
    <w:rsid w:val="009E048A"/>
    <w:rsid w:val="009E08E9"/>
    <w:rsid w:val="009E3DB9"/>
    <w:rsid w:val="009E6E35"/>
    <w:rsid w:val="009F0EDA"/>
    <w:rsid w:val="00A03B96"/>
    <w:rsid w:val="00A05B19"/>
    <w:rsid w:val="00A1134E"/>
    <w:rsid w:val="00A24E7E"/>
    <w:rsid w:val="00A258C3"/>
    <w:rsid w:val="00A347C0"/>
    <w:rsid w:val="00A51431"/>
    <w:rsid w:val="00A52184"/>
    <w:rsid w:val="00A539AD"/>
    <w:rsid w:val="00A905A1"/>
    <w:rsid w:val="00A94063"/>
    <w:rsid w:val="00AA0D5F"/>
    <w:rsid w:val="00AA6219"/>
    <w:rsid w:val="00AA74E0"/>
    <w:rsid w:val="00AB1111"/>
    <w:rsid w:val="00AB703F"/>
    <w:rsid w:val="00AC6470"/>
    <w:rsid w:val="00AC6BB8"/>
    <w:rsid w:val="00AE008F"/>
    <w:rsid w:val="00AE2BB8"/>
    <w:rsid w:val="00AE4FDF"/>
    <w:rsid w:val="00B01FCD"/>
    <w:rsid w:val="00B04069"/>
    <w:rsid w:val="00B1776C"/>
    <w:rsid w:val="00B52583"/>
    <w:rsid w:val="00B52896"/>
    <w:rsid w:val="00B64BA1"/>
    <w:rsid w:val="00B95236"/>
    <w:rsid w:val="00B96BD9"/>
    <w:rsid w:val="00BA1B01"/>
    <w:rsid w:val="00BA2641"/>
    <w:rsid w:val="00BB37AA"/>
    <w:rsid w:val="00BC53A0"/>
    <w:rsid w:val="00BE62AD"/>
    <w:rsid w:val="00BF121F"/>
    <w:rsid w:val="00BF1F80"/>
    <w:rsid w:val="00C1580B"/>
    <w:rsid w:val="00C166EF"/>
    <w:rsid w:val="00C17EB0"/>
    <w:rsid w:val="00C27F5F"/>
    <w:rsid w:val="00C30A0F"/>
    <w:rsid w:val="00C3177E"/>
    <w:rsid w:val="00C37E61"/>
    <w:rsid w:val="00C70F1B"/>
    <w:rsid w:val="00C71A47"/>
    <w:rsid w:val="00C7464C"/>
    <w:rsid w:val="00C85588"/>
    <w:rsid w:val="00CB0E2E"/>
    <w:rsid w:val="00CD6755"/>
    <w:rsid w:val="00CD6856"/>
    <w:rsid w:val="00CE0089"/>
    <w:rsid w:val="00CE793C"/>
    <w:rsid w:val="00CF193C"/>
    <w:rsid w:val="00D173F1"/>
    <w:rsid w:val="00D32E7D"/>
    <w:rsid w:val="00D40D69"/>
    <w:rsid w:val="00D65599"/>
    <w:rsid w:val="00D66BA7"/>
    <w:rsid w:val="00D74CB0"/>
    <w:rsid w:val="00D8295D"/>
    <w:rsid w:val="00DC2A65"/>
    <w:rsid w:val="00DE15F0"/>
    <w:rsid w:val="00DE5663"/>
    <w:rsid w:val="00DE78AA"/>
    <w:rsid w:val="00E053D0"/>
    <w:rsid w:val="00E15994"/>
    <w:rsid w:val="00E26612"/>
    <w:rsid w:val="00E3114E"/>
    <w:rsid w:val="00E31A70"/>
    <w:rsid w:val="00E35B02"/>
    <w:rsid w:val="00E66496"/>
    <w:rsid w:val="00E66B35"/>
    <w:rsid w:val="00E66E10"/>
    <w:rsid w:val="00E75945"/>
    <w:rsid w:val="00E769F6"/>
    <w:rsid w:val="00E8407C"/>
    <w:rsid w:val="00E84F3C"/>
    <w:rsid w:val="00EA012C"/>
    <w:rsid w:val="00EA0A40"/>
    <w:rsid w:val="00EC6A55"/>
    <w:rsid w:val="00ED0288"/>
    <w:rsid w:val="00EE1DFD"/>
    <w:rsid w:val="00EE52CB"/>
    <w:rsid w:val="00EF581D"/>
    <w:rsid w:val="00EF7FD8"/>
    <w:rsid w:val="00F06F59"/>
    <w:rsid w:val="00F17988"/>
    <w:rsid w:val="00F469F0"/>
    <w:rsid w:val="00F53273"/>
    <w:rsid w:val="00F755E4"/>
    <w:rsid w:val="00F77D02"/>
    <w:rsid w:val="00FA2B6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0DB5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A161F"/>
    <w:pPr>
      <w:spacing w:after="160" w:line="278" w:lineRule="auto"/>
      <w:ind w:left="720"/>
      <w:contextualSpacing/>
    </w:pPr>
    <w:rPr>
      <w:rFonts w:asciiTheme="minorHAnsi" w:eastAsiaTheme="minorHAnsi" w:hAnsiTheme="minorHAnsi" w:cstheme="minorBidi"/>
      <w:kern w:val="2"/>
      <w:sz w:val="24"/>
      <w:szCs w:val="24"/>
      <w:lang w:val="fr-F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934506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emf"/><Relationship Id="rId26" Type="http://schemas.openxmlformats.org/officeDocument/2006/relationships/hyperlink" Target="https://doi.org/10.1016/j.cmi.2018.01.002" TargetMode="External"/><Relationship Id="rId39" Type="http://schemas.openxmlformats.org/officeDocument/2006/relationships/hyperlink" Target="https://clsi.org/standards/products/microbiology/documents/m38/" TargetMode="External"/><Relationship Id="rId21" Type="http://schemas.openxmlformats.org/officeDocument/2006/relationships/oleObject" Target="embeddings/oleObject2.bin"/><Relationship Id="rId34" Type="http://schemas.openxmlformats.org/officeDocument/2006/relationships/hyperlink" Target="https://doi.org/10.2174/0118715265274067240223040333" TargetMode="External"/><Relationship Id="rId42" Type="http://schemas.openxmlformats.org/officeDocument/2006/relationships/hyperlink" Target="https://doi.org/10.3389/fcimb.2023.127640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oi.org/10.1126/science.aap79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93/cid/ciw326" TargetMode="External"/><Relationship Id="rId32" Type="http://schemas.openxmlformats.org/officeDocument/2006/relationships/hyperlink" Target="https://doi.org/10.1016/s0968-0896(01)00116-x" TargetMode="External"/><Relationship Id="rId37" Type="http://schemas.openxmlformats.org/officeDocument/2006/relationships/hyperlink" Target="https://chemrj.org/" TargetMode="External"/><Relationship Id="rId40" Type="http://schemas.openxmlformats.org/officeDocument/2006/relationships/hyperlink" Target="https://doi.org/10.3390/microorganisms13040862"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1128/CMR.12.2.310" TargetMode="External"/><Relationship Id="rId28" Type="http://schemas.openxmlformats.org/officeDocument/2006/relationships/hyperlink" Target="https://doi.org/10.1371/journal.ppat.1009711" TargetMode="External"/><Relationship Id="rId36" Type="http://schemas.openxmlformats.org/officeDocument/2006/relationships/hyperlink" Target="https://doi.org/10.26655/JMCHEMSCI.2021.6.3" TargetMode="External"/><Relationship Id="rId10" Type="http://schemas.openxmlformats.org/officeDocument/2006/relationships/footer" Target="footer1.xml"/><Relationship Id="rId19" Type="http://schemas.openxmlformats.org/officeDocument/2006/relationships/oleObject" Target="embeddings/oleObject1.bin"/><Relationship Id="rId31" Type="http://schemas.openxmlformats.org/officeDocument/2006/relationships/hyperlink" Target="https://doi.org/10.2174/15748841079041057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oleObject" Target="embeddings/oleObject3.bin"/><Relationship Id="rId27" Type="http://schemas.openxmlformats.org/officeDocument/2006/relationships/hyperlink" Target="https://doi.org/10.1093/jac/dky517" TargetMode="External"/><Relationship Id="rId30" Type="http://schemas.openxmlformats.org/officeDocument/2006/relationships/hyperlink" Target="https://doi.org/10.1021/acs.chemrev.7b00020" TargetMode="External"/><Relationship Id="rId35" Type="http://schemas.openxmlformats.org/officeDocument/2006/relationships/hyperlink" Target="https://doi.org/10.1007/s11030-019-09967-y" TargetMode="External"/><Relationship Id="rId43" Type="http://schemas.openxmlformats.org/officeDocument/2006/relationships/hyperlink" Target="https://doi.org/10.1016/j.bmc.2012.04.045"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1126/scitranslmed.3004404" TargetMode="External"/><Relationship Id="rId33" Type="http://schemas.openxmlformats.org/officeDocument/2006/relationships/hyperlink" Target="https://doi.org/10.1039/c4cc08495k" TargetMode="External"/><Relationship Id="rId38" Type="http://schemas.openxmlformats.org/officeDocument/2006/relationships/hyperlink" Target="https://doi.org/10.1002/cber.188101402192" TargetMode="External"/><Relationship Id="rId20" Type="http://schemas.openxmlformats.org/officeDocument/2006/relationships/image" Target="media/image2.emf"/><Relationship Id="rId41" Type="http://schemas.openxmlformats.org/officeDocument/2006/relationships/hyperlink" Target="https://doi.org/10.3390/jof110402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69A10-B5F5-4486-9667-DFFFD5A33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1937</TotalTime>
  <Pages>13</Pages>
  <Words>4725</Words>
  <Characters>26939</Characters>
  <Application>Microsoft Office Word</Application>
  <DocSecurity>0</DocSecurity>
  <Lines>224</Lines>
  <Paragraphs>63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31601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14</cp:revision>
  <cp:lastPrinted>1999-07-06T11:00:00Z</cp:lastPrinted>
  <dcterms:created xsi:type="dcterms:W3CDTF">2025-12-18T09:31:00Z</dcterms:created>
  <dcterms:modified xsi:type="dcterms:W3CDTF">2025-12-23T06:39:00Z</dcterms:modified>
</cp:coreProperties>
</file>