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B07F4" w14:textId="77777777" w:rsidR="00541230" w:rsidRPr="00541230" w:rsidRDefault="00541230" w:rsidP="00541230">
      <w:pPr>
        <w:pStyle w:val="Title"/>
        <w:jc w:val="both"/>
        <w:rPr>
          <w:rFonts w:ascii="Arial" w:hAnsi="Arial" w:cs="Arial"/>
          <w:bCs/>
          <w:i/>
          <w:iCs/>
          <w:u w:val="single"/>
        </w:rPr>
      </w:pPr>
      <w:r w:rsidRPr="00541230">
        <w:rPr>
          <w:rFonts w:ascii="Arial" w:hAnsi="Arial" w:cs="Arial"/>
          <w:bCs/>
          <w:i/>
          <w:iCs/>
          <w:u w:val="single"/>
        </w:rPr>
        <w:t>Original Research Article</w:t>
      </w:r>
    </w:p>
    <w:p w14:paraId="7E55B37F" w14:textId="77777777" w:rsidR="00754C9A" w:rsidRDefault="00754C9A" w:rsidP="00441B6F">
      <w:pPr>
        <w:pStyle w:val="Title"/>
        <w:spacing w:after="0"/>
        <w:jc w:val="both"/>
        <w:rPr>
          <w:rFonts w:ascii="Arial" w:hAnsi="Arial" w:cs="Arial"/>
        </w:rPr>
      </w:pPr>
    </w:p>
    <w:p w14:paraId="1732DCB4" w14:textId="2BA1DDDE" w:rsidR="00E47DB4" w:rsidRPr="00A45131" w:rsidRDefault="00E47DB4" w:rsidP="00E47DB4">
      <w:pPr>
        <w:jc w:val="right"/>
        <w:rPr>
          <w:rFonts w:ascii="Times New Roman" w:hAnsi="Times New Roman"/>
          <w:b/>
          <w:bCs/>
          <w:lang w:val="en-GB"/>
        </w:rPr>
      </w:pPr>
      <w:r w:rsidRPr="00E47DB4">
        <w:rPr>
          <w:rFonts w:ascii="Arial" w:hAnsi="Arial" w:cs="Arial"/>
          <w:b/>
          <w:bCs/>
          <w:iCs/>
          <w:kern w:val="28"/>
          <w:sz w:val="36"/>
        </w:rPr>
        <w:t>Characteri</w:t>
      </w:r>
      <w:r w:rsidR="006436DA">
        <w:rPr>
          <w:rFonts w:ascii="Arial" w:hAnsi="Arial" w:cs="Arial"/>
          <w:b/>
          <w:bCs/>
          <w:iCs/>
          <w:kern w:val="28"/>
          <w:sz w:val="36"/>
        </w:rPr>
        <w:t>z</w:t>
      </w:r>
      <w:r w:rsidRPr="00E47DB4">
        <w:rPr>
          <w:rFonts w:ascii="Arial" w:hAnsi="Arial" w:cs="Arial"/>
          <w:b/>
          <w:bCs/>
          <w:iCs/>
          <w:kern w:val="28"/>
          <w:sz w:val="36"/>
        </w:rPr>
        <w:t xml:space="preserve">ation </w:t>
      </w:r>
      <w:r w:rsidR="009B08A1" w:rsidRPr="0013164B">
        <w:rPr>
          <w:rFonts w:ascii="Arial" w:hAnsi="Arial" w:cs="Arial"/>
          <w:b/>
          <w:bCs/>
          <w:iCs/>
          <w:kern w:val="28"/>
          <w:sz w:val="36"/>
          <w:highlight w:val="yellow"/>
        </w:rPr>
        <w:t>a</w:t>
      </w:r>
      <w:r w:rsidRPr="0013164B">
        <w:rPr>
          <w:rFonts w:ascii="Arial" w:hAnsi="Arial" w:cs="Arial"/>
          <w:b/>
          <w:bCs/>
          <w:iCs/>
          <w:kern w:val="28"/>
          <w:sz w:val="36"/>
          <w:highlight w:val="yellow"/>
        </w:rPr>
        <w:t>nd</w:t>
      </w:r>
      <w:r w:rsidRPr="00E47DB4">
        <w:rPr>
          <w:rFonts w:ascii="Arial" w:hAnsi="Arial" w:cs="Arial"/>
          <w:b/>
          <w:bCs/>
          <w:iCs/>
          <w:kern w:val="28"/>
          <w:sz w:val="36"/>
        </w:rPr>
        <w:t xml:space="preserve"> </w:t>
      </w:r>
      <w:r w:rsidRPr="00E47DB4">
        <w:rPr>
          <w:rFonts w:ascii="Arial" w:hAnsi="Arial" w:cs="Arial"/>
          <w:b/>
          <w:bCs/>
          <w:i/>
          <w:kern w:val="28"/>
          <w:sz w:val="36"/>
        </w:rPr>
        <w:t>In Vitro</w:t>
      </w:r>
      <w:r w:rsidRPr="00E47DB4">
        <w:rPr>
          <w:rFonts w:ascii="Arial" w:hAnsi="Arial" w:cs="Arial"/>
          <w:b/>
          <w:bCs/>
          <w:iCs/>
          <w:kern w:val="28"/>
          <w:sz w:val="36"/>
        </w:rPr>
        <w:t xml:space="preserve"> Biocontrol </w:t>
      </w:r>
      <w:r w:rsidR="009B08A1" w:rsidRPr="0013164B">
        <w:rPr>
          <w:rFonts w:ascii="Arial" w:hAnsi="Arial" w:cs="Arial"/>
          <w:b/>
          <w:bCs/>
          <w:iCs/>
          <w:kern w:val="28"/>
          <w:sz w:val="36"/>
          <w:highlight w:val="yellow"/>
        </w:rPr>
        <w:t>o</w:t>
      </w:r>
      <w:r w:rsidRPr="0013164B">
        <w:rPr>
          <w:rFonts w:ascii="Arial" w:hAnsi="Arial" w:cs="Arial"/>
          <w:b/>
          <w:bCs/>
          <w:iCs/>
          <w:kern w:val="28"/>
          <w:sz w:val="36"/>
          <w:highlight w:val="yellow"/>
        </w:rPr>
        <w:t>f</w:t>
      </w:r>
      <w:r w:rsidRPr="00E47DB4">
        <w:rPr>
          <w:rFonts w:ascii="Arial" w:hAnsi="Arial" w:cs="Arial"/>
          <w:b/>
          <w:bCs/>
          <w:iCs/>
          <w:kern w:val="28"/>
          <w:sz w:val="36"/>
        </w:rPr>
        <w:t xml:space="preserve"> The Agent Responsible </w:t>
      </w:r>
      <w:proofErr w:type="gramStart"/>
      <w:r w:rsidRPr="00E47DB4">
        <w:rPr>
          <w:rFonts w:ascii="Arial" w:hAnsi="Arial" w:cs="Arial"/>
          <w:b/>
          <w:bCs/>
          <w:iCs/>
          <w:kern w:val="28"/>
          <w:sz w:val="36"/>
        </w:rPr>
        <w:t>For</w:t>
      </w:r>
      <w:proofErr w:type="gramEnd"/>
      <w:r w:rsidRPr="00E47DB4">
        <w:rPr>
          <w:rFonts w:ascii="Arial" w:hAnsi="Arial" w:cs="Arial"/>
          <w:b/>
          <w:bCs/>
          <w:iCs/>
          <w:kern w:val="28"/>
          <w:sz w:val="36"/>
        </w:rPr>
        <w:t xml:space="preserve"> Dry Rot </w:t>
      </w:r>
      <w:r w:rsidR="009B08A1" w:rsidRPr="0013164B">
        <w:rPr>
          <w:rFonts w:ascii="Arial" w:hAnsi="Arial" w:cs="Arial"/>
          <w:b/>
          <w:bCs/>
          <w:iCs/>
          <w:kern w:val="28"/>
          <w:sz w:val="36"/>
          <w:highlight w:val="yellow"/>
        </w:rPr>
        <w:t>o</w:t>
      </w:r>
      <w:r w:rsidRPr="0013164B">
        <w:rPr>
          <w:rFonts w:ascii="Arial" w:hAnsi="Arial" w:cs="Arial"/>
          <w:b/>
          <w:bCs/>
          <w:iCs/>
          <w:kern w:val="28"/>
          <w:sz w:val="36"/>
          <w:highlight w:val="yellow"/>
        </w:rPr>
        <w:t>f</w:t>
      </w:r>
      <w:r w:rsidRPr="00E47DB4">
        <w:rPr>
          <w:rFonts w:ascii="Arial" w:hAnsi="Arial" w:cs="Arial"/>
          <w:b/>
          <w:bCs/>
          <w:iCs/>
          <w:kern w:val="28"/>
          <w:sz w:val="36"/>
        </w:rPr>
        <w:t xml:space="preserve"> Tomato Using Biopesticides Based </w:t>
      </w:r>
      <w:r w:rsidR="009B08A1" w:rsidRPr="0013164B">
        <w:rPr>
          <w:rFonts w:ascii="Arial" w:hAnsi="Arial" w:cs="Arial"/>
          <w:b/>
          <w:bCs/>
          <w:iCs/>
          <w:kern w:val="28"/>
          <w:sz w:val="36"/>
          <w:highlight w:val="yellow"/>
        </w:rPr>
        <w:t>o</w:t>
      </w:r>
      <w:r w:rsidRPr="0013164B">
        <w:rPr>
          <w:rFonts w:ascii="Arial" w:hAnsi="Arial" w:cs="Arial"/>
          <w:b/>
          <w:bCs/>
          <w:iCs/>
          <w:kern w:val="28"/>
          <w:sz w:val="36"/>
          <w:highlight w:val="yellow"/>
        </w:rPr>
        <w:t>n</w:t>
      </w:r>
      <w:r w:rsidRPr="00E47DB4">
        <w:rPr>
          <w:rFonts w:ascii="Arial" w:hAnsi="Arial" w:cs="Arial"/>
          <w:b/>
          <w:bCs/>
          <w:iCs/>
          <w:kern w:val="28"/>
          <w:sz w:val="36"/>
        </w:rPr>
        <w:t xml:space="preserve"> </w:t>
      </w:r>
      <w:r w:rsidRPr="00E47DB4">
        <w:rPr>
          <w:rFonts w:ascii="Arial" w:hAnsi="Arial" w:cs="Arial"/>
          <w:b/>
          <w:bCs/>
          <w:i/>
          <w:kern w:val="28"/>
          <w:sz w:val="36"/>
        </w:rPr>
        <w:t>Bacillus Thuringiensis</w:t>
      </w:r>
      <w:r w:rsidRPr="00E47DB4">
        <w:rPr>
          <w:rFonts w:ascii="Arial" w:hAnsi="Arial" w:cs="Arial"/>
          <w:b/>
          <w:bCs/>
          <w:iCs/>
          <w:kern w:val="28"/>
          <w:sz w:val="36"/>
        </w:rPr>
        <w:t xml:space="preserve"> </w:t>
      </w:r>
      <w:r w:rsidR="009B08A1" w:rsidRPr="0013164B">
        <w:rPr>
          <w:rFonts w:ascii="Arial" w:hAnsi="Arial" w:cs="Arial"/>
          <w:b/>
          <w:bCs/>
          <w:iCs/>
          <w:kern w:val="28"/>
          <w:sz w:val="36"/>
          <w:highlight w:val="yellow"/>
        </w:rPr>
        <w:t>a</w:t>
      </w:r>
      <w:r w:rsidRPr="0013164B">
        <w:rPr>
          <w:rFonts w:ascii="Arial" w:hAnsi="Arial" w:cs="Arial"/>
          <w:b/>
          <w:bCs/>
          <w:iCs/>
          <w:kern w:val="28"/>
          <w:sz w:val="36"/>
          <w:highlight w:val="yellow"/>
        </w:rPr>
        <w:t>nd</w:t>
      </w:r>
      <w:r w:rsidRPr="00E47DB4">
        <w:rPr>
          <w:rFonts w:ascii="Arial" w:hAnsi="Arial" w:cs="Arial"/>
          <w:b/>
          <w:bCs/>
          <w:iCs/>
          <w:kern w:val="28"/>
          <w:sz w:val="36"/>
        </w:rPr>
        <w:t xml:space="preserve"> Plant Extracts</w:t>
      </w:r>
    </w:p>
    <w:p w14:paraId="37B9CCAB" w14:textId="77777777" w:rsidR="00A258C3" w:rsidRPr="00E47DB4" w:rsidRDefault="00A258C3" w:rsidP="00441B6F">
      <w:pPr>
        <w:pStyle w:val="Author"/>
        <w:spacing w:line="240" w:lineRule="auto"/>
        <w:jc w:val="both"/>
        <w:rPr>
          <w:rFonts w:ascii="Arial" w:hAnsi="Arial" w:cs="Arial"/>
          <w:sz w:val="36"/>
          <w:lang w:val="en-GB"/>
        </w:rPr>
      </w:pPr>
    </w:p>
    <w:p w14:paraId="6DB07180" w14:textId="77777777" w:rsidR="0084030C" w:rsidRPr="00B11AA5" w:rsidRDefault="0084030C" w:rsidP="00441B6F">
      <w:pPr>
        <w:pStyle w:val="Affiliation"/>
        <w:spacing w:after="0" w:line="240" w:lineRule="auto"/>
        <w:jc w:val="both"/>
        <w:rPr>
          <w:rFonts w:ascii="Arial" w:hAnsi="Arial" w:cs="Arial"/>
          <w:lang w:val="en-GB"/>
        </w:rPr>
      </w:pPr>
    </w:p>
    <w:p w14:paraId="72337459" w14:textId="297052BF" w:rsidR="00B01FCD" w:rsidRPr="00FB3A86" w:rsidRDefault="00722BAB" w:rsidP="00441B6F">
      <w:pPr>
        <w:pStyle w:val="Copyright"/>
        <w:spacing w:after="0" w:line="240" w:lineRule="auto"/>
        <w:jc w:val="both"/>
        <w:rPr>
          <w:rFonts w:ascii="Arial" w:hAnsi="Arial" w:cs="Arial"/>
        </w:rPr>
        <w:sectPr w:rsidR="00B01FCD" w:rsidRPr="00FB3A86" w:rsidSect="00430B0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8ADEDC8" wp14:editId="16B7EF9F">
                <wp:extent cx="5303520" cy="635"/>
                <wp:effectExtent l="13335" t="14605" r="17145" b="13970"/>
                <wp:docPr id="4256134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114A35D" id="_x0000_t32" coordsize="21600,21600" o:spt="32" o:oned="t" path="m,l21600,21600e" filled="f">
                <v:path arrowok="t" fillok="f" o:connecttype="none"/>
                <o:lock v:ext="edit" shapetype="t"/>
              </v:shapetype>
              <v:shape id="AutoShape 8"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B035D2A" w14:textId="5495106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B19DE3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92D9702" w14:textId="77777777" w:rsidTr="001E44FE">
        <w:tc>
          <w:tcPr>
            <w:tcW w:w="9576" w:type="dxa"/>
            <w:shd w:val="clear" w:color="auto" w:fill="F2F2F2"/>
          </w:tcPr>
          <w:p w14:paraId="0A3ADCBB" w14:textId="6C0C8421" w:rsidR="00BE44DF" w:rsidRPr="00FD65E1" w:rsidRDefault="00BE44DF" w:rsidP="00BE44DF">
            <w:pPr>
              <w:jc w:val="both"/>
              <w:rPr>
                <w:rStyle w:val="rynqvb"/>
                <w:rFonts w:ascii="Arial" w:hAnsi="Arial" w:cs="Arial"/>
                <w:lang w:val="en"/>
              </w:rPr>
            </w:pPr>
            <w:r w:rsidRPr="00FD65E1">
              <w:rPr>
                <w:rStyle w:val="rynqvb"/>
                <w:rFonts w:ascii="Arial" w:hAnsi="Arial" w:cs="Arial"/>
                <w:b/>
                <w:lang w:val="en"/>
              </w:rPr>
              <w:t>Aims:</w:t>
            </w:r>
            <w:r w:rsidRPr="00FD65E1">
              <w:rPr>
                <w:rStyle w:val="rynqvb"/>
                <w:rFonts w:ascii="Arial" w:hAnsi="Arial" w:cs="Arial"/>
                <w:lang w:val="en"/>
              </w:rPr>
              <w:t xml:space="preserve"> This study was </w:t>
            </w:r>
            <w:r w:rsidR="00602630" w:rsidRPr="00602630">
              <w:rPr>
                <w:rStyle w:val="rynqvb"/>
                <w:rFonts w:ascii="Arial" w:hAnsi="Arial" w:cs="Arial"/>
                <w:highlight w:val="yellow"/>
                <w:lang w:val="en"/>
              </w:rPr>
              <w:t>aimed</w:t>
            </w:r>
            <w:r w:rsidRPr="00FD65E1">
              <w:rPr>
                <w:rStyle w:val="rynqvb"/>
                <w:rFonts w:ascii="Arial" w:hAnsi="Arial" w:cs="Arial"/>
                <w:lang w:val="en"/>
              </w:rPr>
              <w:t xml:space="preserve"> to characterize the fungal agent associated with dry rot and to evaluate </w:t>
            </w:r>
            <w:r w:rsidRPr="00F82799">
              <w:rPr>
                <w:rStyle w:val="rynqvb"/>
                <w:rFonts w:ascii="Arial" w:hAnsi="Arial" w:cs="Arial"/>
                <w:i/>
                <w:iCs/>
                <w:highlight w:val="yellow"/>
                <w:lang w:val="en"/>
              </w:rPr>
              <w:t>in vitro</w:t>
            </w:r>
            <w:r w:rsidRPr="00FD65E1">
              <w:rPr>
                <w:rStyle w:val="rynqvb"/>
                <w:rFonts w:ascii="Arial" w:hAnsi="Arial" w:cs="Arial"/>
                <w:lang w:val="en"/>
              </w:rPr>
              <w:t xml:space="preserve"> the antifungal activity of biopesticides based on </w:t>
            </w:r>
            <w:r w:rsidRPr="00F82799">
              <w:rPr>
                <w:rStyle w:val="rynqvb"/>
                <w:rFonts w:ascii="Arial" w:hAnsi="Arial" w:cs="Arial"/>
                <w:i/>
                <w:iCs/>
                <w:highlight w:val="yellow"/>
                <w:lang w:val="en"/>
              </w:rPr>
              <w:t>Bacillus thuringiensis</w:t>
            </w:r>
            <w:r w:rsidRPr="00FD65E1">
              <w:rPr>
                <w:rStyle w:val="rynqvb"/>
                <w:rFonts w:ascii="Arial" w:hAnsi="Arial" w:cs="Arial"/>
                <w:lang w:val="en"/>
              </w:rPr>
              <w:t xml:space="preserve"> var.</w:t>
            </w:r>
            <w:r w:rsidRPr="00FD65E1">
              <w:rPr>
                <w:rStyle w:val="hwtze"/>
                <w:rFonts w:ascii="Arial" w:hAnsi="Arial" w:cs="Arial"/>
                <w:lang w:val="en"/>
              </w:rPr>
              <w:t xml:space="preserve"> </w:t>
            </w:r>
            <w:proofErr w:type="spellStart"/>
            <w:r w:rsidRPr="00FD65E1">
              <w:rPr>
                <w:rStyle w:val="rynqvb"/>
                <w:rFonts w:ascii="Arial" w:hAnsi="Arial" w:cs="Arial"/>
                <w:i/>
                <w:iCs/>
                <w:lang w:val="en"/>
              </w:rPr>
              <w:t>kurstaki</w:t>
            </w:r>
            <w:proofErr w:type="spellEnd"/>
            <w:r w:rsidRPr="00FD65E1">
              <w:rPr>
                <w:rStyle w:val="rynqvb"/>
                <w:rFonts w:ascii="Arial" w:hAnsi="Arial" w:cs="Arial"/>
                <w:lang w:val="en"/>
              </w:rPr>
              <w:t xml:space="preserve"> HD-1 (</w:t>
            </w:r>
            <w:proofErr w:type="spellStart"/>
            <w:r w:rsidRPr="00FD65E1">
              <w:rPr>
                <w:rStyle w:val="rynqvb"/>
                <w:rFonts w:ascii="Arial" w:hAnsi="Arial" w:cs="Arial"/>
                <w:i/>
                <w:iCs/>
                <w:lang w:val="en"/>
              </w:rPr>
              <w:t>Btk</w:t>
            </w:r>
            <w:proofErr w:type="spellEnd"/>
            <w:r w:rsidRPr="00FD65E1">
              <w:rPr>
                <w:rStyle w:val="rynqvb"/>
                <w:rFonts w:ascii="Arial" w:hAnsi="Arial" w:cs="Arial"/>
                <w:lang w:val="en"/>
              </w:rPr>
              <w:t xml:space="preserve"> HD-1) and plant extracts against this pathogen. </w:t>
            </w:r>
          </w:p>
          <w:p w14:paraId="0F329BE6" w14:textId="77777777" w:rsidR="00BE44DF" w:rsidRPr="00FD65E1" w:rsidRDefault="00BE44DF" w:rsidP="00BE44DF">
            <w:pPr>
              <w:jc w:val="both"/>
              <w:rPr>
                <w:rStyle w:val="rynqvb"/>
                <w:rFonts w:ascii="Arial" w:hAnsi="Arial" w:cs="Arial"/>
                <w:lang w:val="en"/>
              </w:rPr>
            </w:pPr>
            <w:r w:rsidRPr="00FD65E1">
              <w:rPr>
                <w:rStyle w:val="rynqvb"/>
                <w:rFonts w:ascii="Arial" w:hAnsi="Arial" w:cs="Arial"/>
                <w:b/>
                <w:bCs/>
                <w:lang w:val="en"/>
              </w:rPr>
              <w:t>Study design</w:t>
            </w:r>
            <w:r w:rsidRPr="00FD65E1">
              <w:rPr>
                <w:rStyle w:val="rynqvb"/>
                <w:rFonts w:ascii="Arial" w:hAnsi="Arial" w:cs="Arial"/>
                <w:lang w:val="en"/>
              </w:rPr>
              <w:t xml:space="preserve">: During the </w:t>
            </w:r>
            <w:r w:rsidRPr="00F82799">
              <w:rPr>
                <w:rStyle w:val="rynqvb"/>
                <w:rFonts w:ascii="Arial" w:hAnsi="Arial" w:cs="Arial"/>
                <w:i/>
                <w:iCs/>
                <w:highlight w:val="yellow"/>
                <w:lang w:val="en"/>
              </w:rPr>
              <w:t>in vitro</w:t>
            </w:r>
            <w:r w:rsidRPr="00FD65E1">
              <w:rPr>
                <w:rStyle w:val="rynqvb"/>
                <w:rFonts w:ascii="Arial" w:hAnsi="Arial" w:cs="Arial"/>
                <w:lang w:val="en"/>
              </w:rPr>
              <w:t xml:space="preserve"> efficacy testing, the Petri dishes were arranged in completely randomized blocks.</w:t>
            </w:r>
            <w:r w:rsidRPr="00FD65E1">
              <w:rPr>
                <w:rStyle w:val="rynqvb"/>
                <w:rFonts w:ascii="Arial" w:eastAsia="Calibri" w:hAnsi="Arial" w:cs="Arial"/>
                <w:lang w:val="en"/>
              </w:rPr>
              <w:t xml:space="preserve"> </w:t>
            </w:r>
          </w:p>
          <w:p w14:paraId="23936F3E" w14:textId="6DF54D3B" w:rsidR="00BE44DF" w:rsidRPr="00FD65E1" w:rsidRDefault="00BE44DF" w:rsidP="00BE44DF">
            <w:pPr>
              <w:jc w:val="both"/>
              <w:rPr>
                <w:rStyle w:val="rynqvb"/>
                <w:rFonts w:ascii="Arial" w:hAnsi="Arial" w:cs="Arial"/>
                <w:lang w:val="en-GB"/>
              </w:rPr>
            </w:pPr>
            <w:r w:rsidRPr="00FD65E1">
              <w:rPr>
                <w:rFonts w:ascii="Arial" w:eastAsia="Calibri" w:hAnsi="Arial" w:cs="Arial"/>
                <w:b/>
                <w:lang w:val="en-GB"/>
              </w:rPr>
              <w:t>Place and Duration of Study</w:t>
            </w:r>
            <w:r w:rsidRPr="00FD65E1">
              <w:rPr>
                <w:rStyle w:val="rynqvb"/>
                <w:rFonts w:ascii="Arial" w:hAnsi="Arial" w:cs="Arial"/>
                <w:lang w:val="en"/>
              </w:rPr>
              <w:t xml:space="preserve">: Food Crop Research Station in </w:t>
            </w:r>
            <w:proofErr w:type="spellStart"/>
            <w:r w:rsidRPr="00FD65E1">
              <w:rPr>
                <w:rStyle w:val="rynqvb"/>
                <w:rFonts w:ascii="Arial" w:hAnsi="Arial" w:cs="Arial"/>
                <w:lang w:val="en"/>
              </w:rPr>
              <w:t>Bouaké</w:t>
            </w:r>
            <w:proofErr w:type="spellEnd"/>
            <w:r w:rsidR="00F82799">
              <w:rPr>
                <w:rStyle w:val="rynqvb"/>
                <w:rFonts w:ascii="Arial" w:hAnsi="Arial" w:cs="Arial"/>
                <w:lang w:val="en"/>
              </w:rPr>
              <w:t>,</w:t>
            </w:r>
            <w:r w:rsidR="00BA7537">
              <w:rPr>
                <w:rStyle w:val="rynqvb"/>
                <w:rFonts w:ascii="Arial" w:hAnsi="Arial" w:cs="Arial"/>
                <w:lang w:val="en"/>
              </w:rPr>
              <w:t xml:space="preserve"> </w:t>
            </w:r>
            <w:r w:rsidRPr="00FD65E1">
              <w:rPr>
                <w:rStyle w:val="rynqvb"/>
                <w:rFonts w:ascii="Arial" w:hAnsi="Arial" w:cs="Arial"/>
                <w:lang w:val="en"/>
              </w:rPr>
              <w:t>Biotechnology Laboratory in Abidjan (CNRA),</w:t>
            </w:r>
            <w:r w:rsidRPr="00143CC7">
              <w:rPr>
                <w:rStyle w:val="rynqvb"/>
                <w:rFonts w:ascii="Arial Narrow" w:hAnsi="Arial Narrow"/>
                <w:lang w:val="en"/>
              </w:rPr>
              <w:t xml:space="preserve"> </w:t>
            </w:r>
            <w:r w:rsidR="00143CC7" w:rsidRPr="00143CC7">
              <w:rPr>
                <w:rFonts w:ascii="Arial" w:hAnsi="Arial" w:cs="Arial"/>
                <w:highlight w:val="yellow"/>
                <w:lang w:val="en-GB"/>
              </w:rPr>
              <w:t xml:space="preserve">and in the </w:t>
            </w:r>
            <w:proofErr w:type="spellStart"/>
            <w:r w:rsidR="00143CC7" w:rsidRPr="00143CC7">
              <w:rPr>
                <w:rFonts w:ascii="Arial" w:hAnsi="Arial" w:cs="Arial"/>
                <w:highlight w:val="yellow"/>
                <w:lang w:val="en-GB"/>
              </w:rPr>
              <w:t>Didiévi</w:t>
            </w:r>
            <w:proofErr w:type="spellEnd"/>
            <w:r w:rsidR="00143CC7" w:rsidRPr="00143CC7">
              <w:rPr>
                <w:rFonts w:ascii="Arial" w:hAnsi="Arial" w:cs="Arial"/>
                <w:highlight w:val="yellow"/>
                <w:lang w:val="en-GB"/>
              </w:rPr>
              <w:t xml:space="preserve">, </w:t>
            </w:r>
            <w:proofErr w:type="spellStart"/>
            <w:r w:rsidR="00143CC7" w:rsidRPr="00143CC7">
              <w:rPr>
                <w:rFonts w:ascii="Arial" w:hAnsi="Arial" w:cs="Arial"/>
                <w:highlight w:val="yellow"/>
                <w:lang w:val="en-GB"/>
              </w:rPr>
              <w:t>Kongoue-Kouadiokro</w:t>
            </w:r>
            <w:proofErr w:type="spellEnd"/>
            <w:r w:rsidR="00143CC7" w:rsidRPr="00143CC7">
              <w:rPr>
                <w:rFonts w:ascii="Arial" w:hAnsi="Arial" w:cs="Arial"/>
                <w:highlight w:val="yellow"/>
                <w:lang w:val="en-GB"/>
              </w:rPr>
              <w:t xml:space="preserve"> and </w:t>
            </w:r>
            <w:proofErr w:type="spellStart"/>
            <w:r w:rsidR="00143CC7" w:rsidRPr="00143CC7">
              <w:rPr>
                <w:rFonts w:ascii="Arial" w:hAnsi="Arial" w:cs="Arial"/>
                <w:highlight w:val="yellow"/>
                <w:lang w:val="en-GB"/>
              </w:rPr>
              <w:t>Subiakro</w:t>
            </w:r>
            <w:proofErr w:type="spellEnd"/>
            <w:r w:rsidR="00143CC7" w:rsidRPr="00143CC7">
              <w:rPr>
                <w:rFonts w:ascii="Arial" w:hAnsi="Arial" w:cs="Arial"/>
                <w:highlight w:val="yellow"/>
                <w:lang w:val="en-GB"/>
              </w:rPr>
              <w:t xml:space="preserve"> localities in central Côte d'Ivoire</w:t>
            </w:r>
            <w:r w:rsidR="0013164B" w:rsidRPr="00143CC7">
              <w:rPr>
                <w:rFonts w:ascii="Arial Narrow" w:hAnsi="Arial Narrow"/>
                <w:highlight w:val="yellow"/>
                <w:lang w:val="en-GB"/>
              </w:rPr>
              <w:t>,</w:t>
            </w:r>
            <w:r w:rsidR="0013164B" w:rsidRPr="00FD65E1">
              <w:rPr>
                <w:rFonts w:ascii="Arial" w:eastAsia="Calibri" w:hAnsi="Arial" w:cs="Arial"/>
                <w:lang w:val="en-GB"/>
              </w:rPr>
              <w:t xml:space="preserve"> </w:t>
            </w:r>
            <w:r w:rsidRPr="00FD65E1">
              <w:rPr>
                <w:rFonts w:ascii="Arial" w:eastAsia="Calibri" w:hAnsi="Arial" w:cs="Arial"/>
                <w:lang w:val="en-GB"/>
              </w:rPr>
              <w:t>between August 2022 and June 2023.</w:t>
            </w:r>
          </w:p>
          <w:p w14:paraId="6A1F6933" w14:textId="77777777" w:rsidR="00BE44DF" w:rsidRPr="00FD65E1" w:rsidRDefault="00BE44DF" w:rsidP="00BE44DF">
            <w:pPr>
              <w:jc w:val="both"/>
              <w:rPr>
                <w:rStyle w:val="hwtze"/>
                <w:rFonts w:ascii="Arial" w:hAnsi="Arial" w:cs="Arial"/>
                <w:lang w:val="en"/>
              </w:rPr>
            </w:pPr>
            <w:r w:rsidRPr="00FD65E1">
              <w:rPr>
                <w:rStyle w:val="rynqvb"/>
                <w:rFonts w:ascii="Arial" w:hAnsi="Arial" w:cs="Arial"/>
                <w:b/>
                <w:lang w:val="en"/>
              </w:rPr>
              <w:t>Methodology</w:t>
            </w:r>
            <w:r w:rsidRPr="00FD65E1">
              <w:rPr>
                <w:rStyle w:val="rynqvb"/>
                <w:rFonts w:ascii="Arial" w:hAnsi="Arial" w:cs="Arial"/>
                <w:lang w:val="en"/>
              </w:rPr>
              <w:t xml:space="preserve">: Organs (stems, leaves, and fruits) of </w:t>
            </w:r>
            <w:proofErr w:type="spellStart"/>
            <w:r w:rsidRPr="00FD65E1">
              <w:rPr>
                <w:rStyle w:val="rynqvb"/>
                <w:rFonts w:ascii="Arial" w:hAnsi="Arial" w:cs="Arial"/>
                <w:lang w:val="en"/>
              </w:rPr>
              <w:t>symptomatics</w:t>
            </w:r>
            <w:proofErr w:type="spellEnd"/>
            <w:r w:rsidRPr="00FD65E1">
              <w:rPr>
                <w:rStyle w:val="rynqvb"/>
                <w:rFonts w:ascii="Arial" w:hAnsi="Arial" w:cs="Arial"/>
                <w:lang w:val="en"/>
              </w:rPr>
              <w:t xml:space="preserve"> tomato plants were sampled for the isolation and identification of the pathogen.</w:t>
            </w:r>
            <w:r w:rsidRPr="00FD65E1">
              <w:rPr>
                <w:rStyle w:val="hwtze"/>
                <w:rFonts w:ascii="Arial" w:hAnsi="Arial" w:cs="Arial"/>
                <w:lang w:val="en"/>
              </w:rPr>
              <w:t xml:space="preserve"> </w:t>
            </w:r>
            <w:r w:rsidRPr="00FD65E1">
              <w:rPr>
                <w:rStyle w:val="rynqvb"/>
                <w:rFonts w:ascii="Arial" w:hAnsi="Arial" w:cs="Arial"/>
                <w:lang w:val="en"/>
              </w:rPr>
              <w:t xml:space="preserve">Efficacy tests were performed on PDA culture medium supplemented with biopesticides based on </w:t>
            </w:r>
            <w:proofErr w:type="spellStart"/>
            <w:r w:rsidRPr="00FD65E1">
              <w:rPr>
                <w:rStyle w:val="rynqvb"/>
                <w:rFonts w:ascii="Arial" w:hAnsi="Arial" w:cs="Arial"/>
                <w:lang w:val="en"/>
              </w:rPr>
              <w:t>Btk</w:t>
            </w:r>
            <w:proofErr w:type="spellEnd"/>
            <w:r w:rsidRPr="00FD65E1">
              <w:rPr>
                <w:rStyle w:val="rynqvb"/>
                <w:rFonts w:ascii="Arial" w:hAnsi="Arial" w:cs="Arial"/>
                <w:lang w:val="en"/>
              </w:rPr>
              <w:t xml:space="preserve"> HD-1, aqueous extracts of garlic, neem and </w:t>
            </w:r>
            <w:proofErr w:type="spellStart"/>
            <w:r w:rsidRPr="00FD65E1">
              <w:rPr>
                <w:rStyle w:val="rynqvb"/>
                <w:rFonts w:ascii="Arial" w:hAnsi="Arial" w:cs="Arial"/>
                <w:lang w:val="en"/>
              </w:rPr>
              <w:t>carapa</w:t>
            </w:r>
            <w:proofErr w:type="spellEnd"/>
            <w:r w:rsidRPr="00FD65E1">
              <w:rPr>
                <w:rStyle w:val="rynqvb"/>
                <w:rFonts w:ascii="Arial" w:hAnsi="Arial" w:cs="Arial"/>
                <w:lang w:val="en"/>
              </w:rPr>
              <w:t xml:space="preserve"> oils, and the chemical fungicide mancozeb 80 WP at varying concentrations.</w:t>
            </w:r>
            <w:r w:rsidRPr="00FD65E1">
              <w:rPr>
                <w:rStyle w:val="hwtze"/>
                <w:rFonts w:ascii="Arial" w:hAnsi="Arial" w:cs="Arial"/>
                <w:lang w:val="en"/>
              </w:rPr>
              <w:t xml:space="preserve"> </w:t>
            </w:r>
          </w:p>
          <w:p w14:paraId="5213B4E6" w14:textId="2F88D453" w:rsidR="00BE44DF" w:rsidRPr="00FD65E1" w:rsidRDefault="00BE44DF" w:rsidP="00BE44DF">
            <w:pPr>
              <w:jc w:val="both"/>
              <w:rPr>
                <w:rStyle w:val="rynqvb"/>
                <w:rFonts w:ascii="Arial" w:hAnsi="Arial" w:cs="Arial"/>
                <w:lang w:val="en"/>
              </w:rPr>
            </w:pPr>
            <w:r w:rsidRPr="00FD65E1">
              <w:rPr>
                <w:rStyle w:val="rynqvb"/>
                <w:rFonts w:ascii="Arial" w:hAnsi="Arial" w:cs="Arial"/>
                <w:b/>
                <w:lang w:val="en"/>
              </w:rPr>
              <w:t>Results</w:t>
            </w:r>
            <w:r w:rsidRPr="00FD65E1">
              <w:rPr>
                <w:rStyle w:val="rynqvb"/>
                <w:rFonts w:ascii="Arial" w:hAnsi="Arial" w:cs="Arial"/>
                <w:lang w:val="en"/>
              </w:rPr>
              <w:t xml:space="preserve">: The results obtained implicated </w:t>
            </w:r>
            <w:proofErr w:type="spellStart"/>
            <w:r w:rsidRPr="00F82799">
              <w:rPr>
                <w:rStyle w:val="rynqvb"/>
                <w:rFonts w:ascii="Arial" w:hAnsi="Arial" w:cs="Arial"/>
                <w:i/>
                <w:iCs/>
                <w:highlight w:val="yellow"/>
                <w:lang w:val="en"/>
              </w:rPr>
              <w:t>Lasi</w:t>
            </w:r>
            <w:r w:rsidR="00F82799" w:rsidRPr="00F82799">
              <w:rPr>
                <w:rStyle w:val="rynqvb"/>
                <w:rFonts w:ascii="Arial" w:hAnsi="Arial" w:cs="Arial"/>
                <w:i/>
                <w:iCs/>
                <w:highlight w:val="yellow"/>
                <w:lang w:val="en"/>
              </w:rPr>
              <w:t>o</w:t>
            </w:r>
            <w:r w:rsidRPr="00F82799">
              <w:rPr>
                <w:rStyle w:val="rynqvb"/>
                <w:rFonts w:ascii="Arial" w:hAnsi="Arial" w:cs="Arial"/>
                <w:i/>
                <w:iCs/>
                <w:highlight w:val="yellow"/>
                <w:lang w:val="en"/>
              </w:rPr>
              <w:t>diplodia</w:t>
            </w:r>
            <w:proofErr w:type="spellEnd"/>
            <w:r w:rsidRPr="00F82799">
              <w:rPr>
                <w:rStyle w:val="rynqvb"/>
                <w:rFonts w:ascii="Arial" w:hAnsi="Arial" w:cs="Arial"/>
                <w:i/>
                <w:iCs/>
                <w:highlight w:val="yellow"/>
                <w:lang w:val="en"/>
              </w:rPr>
              <w:t xml:space="preserve"> </w:t>
            </w:r>
            <w:proofErr w:type="spellStart"/>
            <w:r w:rsidRPr="00F82799">
              <w:rPr>
                <w:rStyle w:val="rynqvb"/>
                <w:rFonts w:ascii="Arial" w:hAnsi="Arial" w:cs="Arial"/>
                <w:i/>
                <w:iCs/>
                <w:highlight w:val="yellow"/>
                <w:lang w:val="en"/>
              </w:rPr>
              <w:t>theobromae</w:t>
            </w:r>
            <w:proofErr w:type="spellEnd"/>
            <w:r w:rsidRPr="00FD65E1">
              <w:rPr>
                <w:rStyle w:val="rynqvb"/>
                <w:rFonts w:ascii="Arial" w:hAnsi="Arial" w:cs="Arial"/>
                <w:lang w:val="en"/>
              </w:rPr>
              <w:t xml:space="preserve"> as a potential agent of damage observed in tomato crops in the localities of </w:t>
            </w:r>
            <w:proofErr w:type="spellStart"/>
            <w:r w:rsidRPr="00FD65E1">
              <w:rPr>
                <w:rStyle w:val="rynqvb"/>
                <w:rFonts w:ascii="Arial" w:hAnsi="Arial" w:cs="Arial"/>
                <w:lang w:val="en"/>
              </w:rPr>
              <w:t>Didiévi</w:t>
            </w:r>
            <w:proofErr w:type="spellEnd"/>
            <w:r w:rsidRPr="00FD65E1">
              <w:rPr>
                <w:rStyle w:val="rynqvb"/>
                <w:rFonts w:ascii="Arial" w:hAnsi="Arial" w:cs="Arial"/>
                <w:lang w:val="en"/>
              </w:rPr>
              <w:t xml:space="preserve">, </w:t>
            </w:r>
            <w:proofErr w:type="spellStart"/>
            <w:r w:rsidRPr="00FD65E1">
              <w:rPr>
                <w:rStyle w:val="rynqvb"/>
                <w:rFonts w:ascii="Arial" w:hAnsi="Arial" w:cs="Arial"/>
                <w:lang w:val="en"/>
              </w:rPr>
              <w:t>Kongoue-Kouadiokro</w:t>
            </w:r>
            <w:proofErr w:type="spellEnd"/>
            <w:r w:rsidRPr="00FD65E1">
              <w:rPr>
                <w:rStyle w:val="rynqvb"/>
                <w:rFonts w:ascii="Arial" w:hAnsi="Arial" w:cs="Arial"/>
                <w:lang w:val="en"/>
              </w:rPr>
              <w:t xml:space="preserve">, and </w:t>
            </w:r>
            <w:proofErr w:type="spellStart"/>
            <w:r w:rsidRPr="00FD65E1">
              <w:rPr>
                <w:rStyle w:val="rynqvb"/>
                <w:rFonts w:ascii="Arial" w:hAnsi="Arial" w:cs="Arial"/>
                <w:lang w:val="en"/>
              </w:rPr>
              <w:t>Subiakro</w:t>
            </w:r>
            <w:proofErr w:type="spellEnd"/>
            <w:r w:rsidRPr="00FD65E1">
              <w:rPr>
                <w:rStyle w:val="rynqvb"/>
                <w:rFonts w:ascii="Arial" w:hAnsi="Arial" w:cs="Arial"/>
                <w:lang w:val="en"/>
              </w:rPr>
              <w:t>, in central Côte d'Ivoire.</w:t>
            </w:r>
            <w:r w:rsidRPr="00FD65E1">
              <w:rPr>
                <w:rStyle w:val="hwtze"/>
                <w:rFonts w:ascii="Arial" w:hAnsi="Arial" w:cs="Arial"/>
                <w:lang w:val="en"/>
              </w:rPr>
              <w:t xml:space="preserve"> </w:t>
            </w:r>
            <w:r w:rsidRPr="00FD65E1">
              <w:rPr>
                <w:rStyle w:val="rynqvb"/>
                <w:rFonts w:ascii="Arial" w:hAnsi="Arial" w:cs="Arial"/>
                <w:lang w:val="en"/>
              </w:rPr>
              <w:t>The average rate of inhibition of mycelial growth of the fungus was not significantly different (</w:t>
            </w:r>
            <w:r w:rsidR="00426F3A" w:rsidRPr="00426F3A">
              <w:rPr>
                <w:rStyle w:val="rynqvb"/>
                <w:rFonts w:ascii="Arial" w:hAnsi="Arial" w:cs="Arial"/>
                <w:i/>
                <w:iCs/>
                <w:highlight w:val="yellow"/>
                <w:lang w:val="en"/>
              </w:rPr>
              <w:t>P</w:t>
            </w:r>
            <w:r w:rsidRPr="00426F3A">
              <w:rPr>
                <w:rStyle w:val="rynqvb"/>
                <w:rFonts w:ascii="Arial" w:hAnsi="Arial" w:cs="Arial"/>
                <w:highlight w:val="yellow"/>
                <w:lang w:val="en"/>
              </w:rPr>
              <w:t xml:space="preserve"> = </w:t>
            </w:r>
            <w:r w:rsidR="00426F3A" w:rsidRPr="00426F3A">
              <w:rPr>
                <w:rStyle w:val="rynqvb"/>
                <w:rFonts w:ascii="Arial" w:hAnsi="Arial" w:cs="Arial"/>
                <w:highlight w:val="yellow"/>
                <w:lang w:val="en"/>
              </w:rPr>
              <w:t>1.</w:t>
            </w:r>
            <w:r w:rsidRPr="00426F3A">
              <w:rPr>
                <w:rStyle w:val="rynqvb"/>
                <w:rFonts w:ascii="Arial" w:hAnsi="Arial" w:cs="Arial"/>
                <w:highlight w:val="yellow"/>
                <w:lang w:val="en"/>
              </w:rPr>
              <w:t>0</w:t>
            </w:r>
            <w:r w:rsidR="00426F3A" w:rsidRPr="00426F3A">
              <w:rPr>
                <w:rStyle w:val="rynqvb"/>
                <w:rFonts w:ascii="Arial" w:hAnsi="Arial" w:cs="Arial"/>
                <w:highlight w:val="yellow"/>
                <w:lang w:val="en"/>
              </w:rPr>
              <w:t>0</w:t>
            </w:r>
            <w:r w:rsidRPr="00FD65E1">
              <w:rPr>
                <w:rStyle w:val="rynqvb"/>
                <w:rFonts w:ascii="Arial" w:hAnsi="Arial" w:cs="Arial"/>
                <w:lang w:val="en"/>
              </w:rPr>
              <w:t xml:space="preserve">) between the concentrated aqueous garlic extract at 0.2 </w:t>
            </w:r>
            <w:r w:rsidRPr="00363057">
              <w:rPr>
                <w:rStyle w:val="rynqvb"/>
                <w:rFonts w:ascii="Arial" w:hAnsi="Arial" w:cs="Arial"/>
                <w:highlight w:val="yellow"/>
                <w:lang w:val="en"/>
              </w:rPr>
              <w:t>g/</w:t>
            </w:r>
            <w:r w:rsidR="00363057" w:rsidRPr="00363057">
              <w:rPr>
                <w:rStyle w:val="rynqvb"/>
                <w:rFonts w:ascii="Arial" w:hAnsi="Arial" w:cs="Arial"/>
                <w:highlight w:val="yellow"/>
                <w:lang w:val="en"/>
              </w:rPr>
              <w:t>l</w:t>
            </w:r>
            <w:r w:rsidRPr="00FD65E1">
              <w:rPr>
                <w:rStyle w:val="rynqvb"/>
                <w:rFonts w:ascii="Arial" w:hAnsi="Arial" w:cs="Arial"/>
                <w:lang w:val="en"/>
              </w:rPr>
              <w:t xml:space="preserve"> and mancozeb (5 </w:t>
            </w:r>
            <w:r w:rsidRPr="00363057">
              <w:rPr>
                <w:rStyle w:val="rynqvb"/>
                <w:rFonts w:ascii="Arial" w:hAnsi="Arial" w:cs="Arial"/>
                <w:highlight w:val="yellow"/>
                <w:lang w:val="en"/>
              </w:rPr>
              <w:t>g/</w:t>
            </w:r>
            <w:r w:rsidR="00363057" w:rsidRPr="00363057">
              <w:rPr>
                <w:rStyle w:val="rynqvb"/>
                <w:rFonts w:ascii="Arial" w:hAnsi="Arial" w:cs="Arial"/>
                <w:highlight w:val="yellow"/>
                <w:lang w:val="en"/>
              </w:rPr>
              <w:t>l</w:t>
            </w:r>
            <w:r w:rsidRPr="00FD65E1">
              <w:rPr>
                <w:rStyle w:val="rynqvb"/>
                <w:rFonts w:ascii="Arial" w:hAnsi="Arial" w:cs="Arial"/>
                <w:lang w:val="en"/>
              </w:rPr>
              <w:t>).</w:t>
            </w:r>
            <w:r w:rsidRPr="00FD65E1">
              <w:rPr>
                <w:rStyle w:val="hwtze"/>
                <w:rFonts w:ascii="Arial" w:hAnsi="Arial" w:cs="Arial"/>
                <w:lang w:val="en"/>
              </w:rPr>
              <w:t xml:space="preserve"> </w:t>
            </w:r>
            <w:r w:rsidRPr="00FD65E1">
              <w:rPr>
                <w:rStyle w:val="rynqvb"/>
                <w:rFonts w:ascii="Arial" w:hAnsi="Arial" w:cs="Arial"/>
                <w:lang w:val="en"/>
              </w:rPr>
              <w:t>However, this rate varied according to the treatments and concentrations applied.</w:t>
            </w:r>
            <w:r w:rsidRPr="00FD65E1">
              <w:rPr>
                <w:rStyle w:val="hwtze"/>
                <w:rFonts w:ascii="Arial" w:hAnsi="Arial" w:cs="Arial"/>
                <w:lang w:val="en"/>
              </w:rPr>
              <w:t xml:space="preserve"> </w:t>
            </w:r>
            <w:r w:rsidRPr="00FD65E1">
              <w:rPr>
                <w:rStyle w:val="rynqvb"/>
                <w:rFonts w:ascii="Arial" w:hAnsi="Arial" w:cs="Arial"/>
                <w:lang w:val="en"/>
              </w:rPr>
              <w:t xml:space="preserve">Thus, neem and </w:t>
            </w:r>
            <w:proofErr w:type="spellStart"/>
            <w:r w:rsidRPr="00FD65E1">
              <w:rPr>
                <w:rStyle w:val="rynqvb"/>
                <w:rFonts w:ascii="Arial" w:hAnsi="Arial" w:cs="Arial"/>
                <w:lang w:val="en"/>
              </w:rPr>
              <w:t>carapa</w:t>
            </w:r>
            <w:proofErr w:type="spellEnd"/>
            <w:r w:rsidRPr="00FD65E1">
              <w:rPr>
                <w:rStyle w:val="rynqvb"/>
                <w:rFonts w:ascii="Arial" w:hAnsi="Arial" w:cs="Arial"/>
                <w:lang w:val="en"/>
              </w:rPr>
              <w:t xml:space="preserve"> oils, and </w:t>
            </w:r>
            <w:proofErr w:type="spellStart"/>
            <w:r w:rsidRPr="00FD65E1">
              <w:rPr>
                <w:rStyle w:val="rynqvb"/>
                <w:rFonts w:ascii="Arial" w:hAnsi="Arial" w:cs="Arial"/>
                <w:lang w:val="en"/>
              </w:rPr>
              <w:t>Btk</w:t>
            </w:r>
            <w:proofErr w:type="spellEnd"/>
            <w:r w:rsidRPr="00FD65E1">
              <w:rPr>
                <w:rStyle w:val="rynqvb"/>
                <w:rFonts w:ascii="Arial" w:hAnsi="Arial" w:cs="Arial"/>
                <w:lang w:val="en"/>
              </w:rPr>
              <w:t xml:space="preserve"> HD-1 induced average inhibition rates of 42.01%, 72.57%, and 49.17%, respectively.</w:t>
            </w:r>
            <w:r w:rsidRPr="00FD65E1">
              <w:rPr>
                <w:rStyle w:val="hwtze"/>
                <w:rFonts w:ascii="Arial" w:hAnsi="Arial" w:cs="Arial"/>
                <w:lang w:val="en"/>
              </w:rPr>
              <w:t xml:space="preserve"> </w:t>
            </w:r>
            <w:r w:rsidRPr="00FD65E1">
              <w:rPr>
                <w:rStyle w:val="rynqvb"/>
                <w:rFonts w:ascii="Arial" w:hAnsi="Arial" w:cs="Arial"/>
                <w:lang w:val="en"/>
              </w:rPr>
              <w:t>Significant differences (</w:t>
            </w:r>
            <w:r w:rsidR="00D722A0" w:rsidRPr="00426F3A">
              <w:rPr>
                <w:rStyle w:val="rynqvb"/>
                <w:rFonts w:ascii="Arial" w:hAnsi="Arial" w:cs="Arial"/>
                <w:i/>
                <w:iCs/>
                <w:highlight w:val="yellow"/>
                <w:lang w:val="en"/>
              </w:rPr>
              <w:t>P</w:t>
            </w:r>
            <w:r w:rsidRPr="00426F3A">
              <w:rPr>
                <w:rStyle w:val="rynqvb"/>
                <w:rFonts w:ascii="Arial" w:hAnsi="Arial" w:cs="Arial"/>
                <w:highlight w:val="yellow"/>
                <w:lang w:val="en"/>
              </w:rPr>
              <w:t xml:space="preserve"> </w:t>
            </w:r>
            <w:r w:rsidR="00426F3A" w:rsidRPr="00426F3A">
              <w:rPr>
                <w:rStyle w:val="rynqvb"/>
                <w:rFonts w:ascii="Arial" w:hAnsi="Arial" w:cs="Arial"/>
                <w:highlight w:val="yellow"/>
                <w:lang w:val="en"/>
              </w:rPr>
              <w:t>˂</w:t>
            </w:r>
            <w:r w:rsidRPr="00426F3A">
              <w:rPr>
                <w:rStyle w:val="rynqvb"/>
                <w:rFonts w:ascii="Arial" w:hAnsi="Arial" w:cs="Arial"/>
                <w:highlight w:val="yellow"/>
                <w:lang w:val="en"/>
              </w:rPr>
              <w:t xml:space="preserve"> 0.0</w:t>
            </w:r>
            <w:r w:rsidR="00426F3A" w:rsidRPr="00426F3A">
              <w:rPr>
                <w:rStyle w:val="rynqvb"/>
                <w:rFonts w:ascii="Arial" w:hAnsi="Arial" w:cs="Arial"/>
                <w:highlight w:val="yellow"/>
                <w:lang w:val="en"/>
              </w:rPr>
              <w:t>5</w:t>
            </w:r>
            <w:r w:rsidRPr="00FD65E1">
              <w:rPr>
                <w:rStyle w:val="rynqvb"/>
                <w:rFonts w:ascii="Arial" w:hAnsi="Arial" w:cs="Arial"/>
                <w:lang w:val="en"/>
              </w:rPr>
              <w:t>) were observed between these different treatments</w:t>
            </w:r>
            <w:r w:rsidR="00426F3A">
              <w:rPr>
                <w:rStyle w:val="rynqvb"/>
                <w:rFonts w:ascii="Arial" w:hAnsi="Arial" w:cs="Arial"/>
                <w:lang w:val="en"/>
              </w:rPr>
              <w:t xml:space="preserve"> </w:t>
            </w:r>
            <w:r w:rsidR="00426F3A" w:rsidRPr="00426F3A">
              <w:rPr>
                <w:rStyle w:val="rynqvb"/>
                <w:rFonts w:ascii="Arial" w:hAnsi="Arial" w:cs="Arial"/>
                <w:highlight w:val="yellow"/>
                <w:lang w:val="en"/>
              </w:rPr>
              <w:t>and mancozeb</w:t>
            </w:r>
            <w:r w:rsidR="00D17E7B">
              <w:rPr>
                <w:rStyle w:val="rynqvb"/>
                <w:rFonts w:ascii="Arial" w:hAnsi="Arial" w:cs="Arial"/>
                <w:lang w:val="en"/>
              </w:rPr>
              <w:t xml:space="preserve"> </w:t>
            </w:r>
            <w:r w:rsidR="00D17E7B" w:rsidRPr="00D17E7B">
              <w:rPr>
                <w:rStyle w:val="rynqvb"/>
                <w:rFonts w:ascii="Arial" w:hAnsi="Arial" w:cs="Arial"/>
                <w:highlight w:val="yellow"/>
                <w:lang w:val="en"/>
              </w:rPr>
              <w:t>(chemical fungicide)</w:t>
            </w:r>
            <w:r w:rsidRPr="00FD65E1">
              <w:rPr>
                <w:rStyle w:val="rynqvb"/>
                <w:rFonts w:ascii="Arial" w:hAnsi="Arial" w:cs="Arial"/>
                <w:lang w:val="en"/>
              </w:rPr>
              <w:t xml:space="preserve">. </w:t>
            </w:r>
          </w:p>
          <w:p w14:paraId="15A51544" w14:textId="64165D8D" w:rsidR="00505F06" w:rsidRPr="00BE44DF" w:rsidRDefault="00BE44DF" w:rsidP="00BE44DF">
            <w:pPr>
              <w:jc w:val="both"/>
              <w:rPr>
                <w:rFonts w:ascii="Arial" w:hAnsi="Arial" w:cs="Arial"/>
                <w:lang w:val="en-GB"/>
              </w:rPr>
            </w:pPr>
            <w:r w:rsidRPr="00FD65E1">
              <w:rPr>
                <w:rStyle w:val="rynqvb"/>
                <w:rFonts w:ascii="Arial" w:hAnsi="Arial" w:cs="Arial"/>
                <w:b/>
                <w:lang w:val="en"/>
              </w:rPr>
              <w:t>Conclusion</w:t>
            </w:r>
            <w:r w:rsidRPr="00FD65E1">
              <w:rPr>
                <w:rStyle w:val="rynqvb"/>
                <w:rFonts w:ascii="Arial" w:hAnsi="Arial" w:cs="Arial"/>
                <w:lang w:val="en"/>
              </w:rPr>
              <w:t>: Aqueous garlic extract could be used in integrated pest management programs against this fungus in tomato cultivation to limit production losses and ensure the sustainability of this crop.</w:t>
            </w:r>
          </w:p>
        </w:tc>
      </w:tr>
    </w:tbl>
    <w:p w14:paraId="6507289A" w14:textId="77777777" w:rsidR="00636EB2" w:rsidRDefault="00636EB2" w:rsidP="00441B6F">
      <w:pPr>
        <w:pStyle w:val="Body"/>
        <w:spacing w:after="0"/>
        <w:rPr>
          <w:rFonts w:ascii="Arial" w:hAnsi="Arial" w:cs="Arial"/>
          <w:i/>
        </w:rPr>
      </w:pPr>
    </w:p>
    <w:p w14:paraId="593F49D7" w14:textId="220EDE80" w:rsidR="00BE44DF" w:rsidRPr="00FD65E1" w:rsidRDefault="00A24E7E" w:rsidP="00BE44DF">
      <w:pPr>
        <w:jc w:val="both"/>
        <w:rPr>
          <w:rFonts w:ascii="Arial" w:hAnsi="Arial" w:cs="Arial"/>
          <w:lang w:val="en-GB"/>
        </w:rPr>
      </w:pPr>
      <w:r>
        <w:rPr>
          <w:rFonts w:ascii="Arial" w:hAnsi="Arial" w:cs="Arial"/>
          <w:i/>
        </w:rPr>
        <w:t xml:space="preserve">Keywords: </w:t>
      </w:r>
      <w:r w:rsidR="00BE44DF" w:rsidRPr="00BE44DF">
        <w:rPr>
          <w:rStyle w:val="rynqvb"/>
          <w:rFonts w:ascii="Arial" w:hAnsi="Arial" w:cs="Arial"/>
          <w:i/>
          <w:iCs/>
          <w:lang w:val="en"/>
        </w:rPr>
        <w:t xml:space="preserve">Biopesticides, </w:t>
      </w:r>
      <w:proofErr w:type="spellStart"/>
      <w:r w:rsidR="00BE44DF" w:rsidRPr="00BE44DF">
        <w:rPr>
          <w:rStyle w:val="rynqvb"/>
          <w:rFonts w:ascii="Arial" w:hAnsi="Arial" w:cs="Arial"/>
          <w:lang w:val="en"/>
        </w:rPr>
        <w:t>Lasiodiplodia</w:t>
      </w:r>
      <w:proofErr w:type="spellEnd"/>
      <w:r w:rsidR="00BE44DF" w:rsidRPr="00BE44DF">
        <w:rPr>
          <w:rStyle w:val="rynqvb"/>
          <w:rFonts w:ascii="Arial" w:hAnsi="Arial" w:cs="Arial"/>
          <w:lang w:val="en"/>
        </w:rPr>
        <w:t xml:space="preserve"> </w:t>
      </w:r>
      <w:proofErr w:type="spellStart"/>
      <w:r w:rsidR="00BE44DF" w:rsidRPr="00BE44DF">
        <w:rPr>
          <w:rStyle w:val="rynqvb"/>
          <w:rFonts w:ascii="Arial" w:hAnsi="Arial" w:cs="Arial"/>
          <w:lang w:val="en"/>
        </w:rPr>
        <w:t>theobromae</w:t>
      </w:r>
      <w:proofErr w:type="spellEnd"/>
      <w:r w:rsidR="00BE44DF" w:rsidRPr="00BE44DF">
        <w:rPr>
          <w:rStyle w:val="rynqvb"/>
          <w:rFonts w:ascii="Arial" w:hAnsi="Arial" w:cs="Arial"/>
          <w:i/>
          <w:iCs/>
          <w:lang w:val="en"/>
        </w:rPr>
        <w:t>, mancozeb 80 WP, tomato cultivation, efficacy test, Côte d’Ivoire</w:t>
      </w:r>
    </w:p>
    <w:p w14:paraId="14580FF5" w14:textId="77777777" w:rsidR="0024282C" w:rsidRDefault="0024282C" w:rsidP="00441B6F">
      <w:pPr>
        <w:pStyle w:val="Body"/>
        <w:spacing w:after="0"/>
        <w:rPr>
          <w:rFonts w:ascii="Arial" w:hAnsi="Arial" w:cs="Arial"/>
          <w:i/>
          <w:sz w:val="18"/>
        </w:rPr>
      </w:pPr>
    </w:p>
    <w:p w14:paraId="1168DA1C" w14:textId="77777777" w:rsidR="00505F06" w:rsidRPr="00A24E7E" w:rsidRDefault="00505F06" w:rsidP="00441B6F">
      <w:pPr>
        <w:pStyle w:val="Body"/>
        <w:spacing w:after="0"/>
        <w:rPr>
          <w:rFonts w:ascii="Arial" w:hAnsi="Arial" w:cs="Arial"/>
          <w:i/>
        </w:rPr>
      </w:pPr>
    </w:p>
    <w:p w14:paraId="7E842F2C" w14:textId="4116F7A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012A45F" w14:textId="77777777" w:rsidR="00790ADA" w:rsidRPr="00FB3A86" w:rsidRDefault="00790ADA" w:rsidP="00441B6F">
      <w:pPr>
        <w:pStyle w:val="AbstHead"/>
        <w:spacing w:after="0"/>
        <w:jc w:val="both"/>
        <w:rPr>
          <w:rFonts w:ascii="Arial" w:hAnsi="Arial" w:cs="Arial"/>
        </w:rPr>
      </w:pPr>
    </w:p>
    <w:p w14:paraId="037580C5" w14:textId="77777777" w:rsidR="00BE44DF" w:rsidRDefault="00BE44DF" w:rsidP="00BE44DF">
      <w:pPr>
        <w:jc w:val="both"/>
        <w:rPr>
          <w:rFonts w:ascii="Arial" w:hAnsi="Arial" w:cs="Arial"/>
          <w:lang w:val="en-GB"/>
        </w:rPr>
      </w:pPr>
      <w:r w:rsidRPr="00BE44DF">
        <w:rPr>
          <w:rFonts w:ascii="Arial" w:hAnsi="Arial" w:cs="Arial"/>
          <w:lang w:val="en-GB"/>
        </w:rPr>
        <w:t xml:space="preserve">Tomato is a vegetable rich in minerals, lycopene, carotenoids, vitamins A, C, and E (Daniel </w:t>
      </w:r>
      <w:r w:rsidRPr="00BE44DF">
        <w:rPr>
          <w:rFonts w:ascii="Arial" w:hAnsi="Arial" w:cs="Arial"/>
          <w:i/>
          <w:iCs/>
          <w:lang w:val="en-GB"/>
        </w:rPr>
        <w:t>et al</w:t>
      </w:r>
      <w:r w:rsidRPr="00BE44DF">
        <w:rPr>
          <w:rFonts w:ascii="Arial" w:hAnsi="Arial" w:cs="Arial"/>
          <w:lang w:val="en-GB"/>
        </w:rPr>
        <w:t xml:space="preserve">. 2012; Sawadogo </w:t>
      </w:r>
      <w:r w:rsidRPr="00BE44DF">
        <w:rPr>
          <w:rFonts w:ascii="Arial" w:hAnsi="Arial" w:cs="Arial"/>
          <w:i/>
          <w:iCs/>
          <w:lang w:val="en-GB"/>
        </w:rPr>
        <w:t>et al</w:t>
      </w:r>
      <w:r w:rsidRPr="00BE44DF">
        <w:rPr>
          <w:rFonts w:ascii="Arial" w:hAnsi="Arial" w:cs="Arial"/>
          <w:lang w:val="en-GB"/>
        </w:rPr>
        <w:t xml:space="preserve">. 2015), and phenolic antioxidants (Martine </w:t>
      </w:r>
      <w:r w:rsidRPr="00BE44DF">
        <w:rPr>
          <w:rFonts w:ascii="Arial" w:hAnsi="Arial" w:cs="Arial"/>
          <w:i/>
          <w:iCs/>
          <w:lang w:val="en-GB"/>
        </w:rPr>
        <w:t>et al</w:t>
      </w:r>
      <w:r w:rsidRPr="00BE44DF">
        <w:rPr>
          <w:rFonts w:ascii="Arial" w:hAnsi="Arial" w:cs="Arial"/>
          <w:lang w:val="en-GB"/>
        </w:rPr>
        <w:t xml:space="preserve">. 2008). This makes </w:t>
      </w:r>
      <w:r w:rsidRPr="00BE44DF">
        <w:rPr>
          <w:rFonts w:ascii="Arial" w:hAnsi="Arial" w:cs="Arial"/>
          <w:lang w:val="en-GB"/>
        </w:rPr>
        <w:lastRenderedPageBreak/>
        <w:t>it one of the most consumed and cultivated vegetables in over 170 countries worldwide (FAO 2021).</w:t>
      </w:r>
    </w:p>
    <w:p w14:paraId="5217B566" w14:textId="77777777" w:rsidR="00FF2EB0" w:rsidRPr="00BE44DF" w:rsidRDefault="00FF2EB0" w:rsidP="00BE44DF">
      <w:pPr>
        <w:jc w:val="both"/>
        <w:rPr>
          <w:rFonts w:ascii="Arial" w:hAnsi="Arial" w:cs="Arial"/>
          <w:lang w:val="en-GB"/>
        </w:rPr>
      </w:pPr>
    </w:p>
    <w:p w14:paraId="4DD9B1A0" w14:textId="77777777" w:rsidR="00BE44DF" w:rsidRDefault="00BE44DF" w:rsidP="00BE44DF">
      <w:pPr>
        <w:jc w:val="both"/>
        <w:rPr>
          <w:rFonts w:ascii="Arial" w:hAnsi="Arial" w:cs="Arial"/>
          <w:lang w:val="en-GB"/>
        </w:rPr>
      </w:pPr>
      <w:r w:rsidRPr="00BE44DF">
        <w:rPr>
          <w:rFonts w:ascii="Arial" w:hAnsi="Arial" w:cs="Arial"/>
          <w:lang w:val="en-GB"/>
        </w:rPr>
        <w:t>In Côte d'Ivoire, tomato production involves a significant portion of the population, with nearly 60% of those working in rural and peri-urban areas being women and young people (FIRCA 2020). It is currently one of the most profitable vegetable crops, providing producers with a substantial income that allows them to meet their basic needs (Regnault-</w:t>
      </w:r>
      <w:r w:rsidRPr="00BE44DF">
        <w:rPr>
          <w:rFonts w:ascii="Arial" w:hAnsi="Arial" w:cs="Arial"/>
          <w:bCs/>
          <w:lang w:val="en-GB"/>
        </w:rPr>
        <w:t>Roger</w:t>
      </w:r>
      <w:r w:rsidRPr="00BE44DF">
        <w:rPr>
          <w:rFonts w:ascii="Arial" w:hAnsi="Arial" w:cs="Arial"/>
          <w:lang w:val="en-GB"/>
        </w:rPr>
        <w:t xml:space="preserve"> </w:t>
      </w:r>
      <w:r w:rsidRPr="00BE44DF">
        <w:rPr>
          <w:rFonts w:ascii="Arial" w:hAnsi="Arial" w:cs="Arial"/>
          <w:i/>
          <w:iCs/>
          <w:lang w:val="en-GB"/>
        </w:rPr>
        <w:t>et al</w:t>
      </w:r>
      <w:r w:rsidRPr="00BE44DF">
        <w:rPr>
          <w:rFonts w:ascii="Arial" w:hAnsi="Arial" w:cs="Arial"/>
          <w:lang w:val="en-GB"/>
        </w:rPr>
        <w:t xml:space="preserve">. 2008; Neha and Praveen 2014; </w:t>
      </w:r>
      <w:proofErr w:type="spellStart"/>
      <w:r w:rsidRPr="00BE44DF">
        <w:rPr>
          <w:rFonts w:ascii="Arial" w:hAnsi="Arial" w:cs="Arial"/>
          <w:lang w:val="en-GB"/>
        </w:rPr>
        <w:t>Zekeya</w:t>
      </w:r>
      <w:proofErr w:type="spellEnd"/>
      <w:r w:rsidRPr="00BE44DF">
        <w:rPr>
          <w:rFonts w:ascii="Arial" w:hAnsi="Arial" w:cs="Arial"/>
          <w:lang w:val="en-GB"/>
        </w:rPr>
        <w:t xml:space="preserve"> </w:t>
      </w:r>
      <w:r w:rsidRPr="00BE44DF">
        <w:rPr>
          <w:rFonts w:ascii="Arial" w:hAnsi="Arial" w:cs="Arial"/>
          <w:i/>
          <w:iCs/>
          <w:lang w:val="en-GB"/>
        </w:rPr>
        <w:t>et al</w:t>
      </w:r>
      <w:r w:rsidRPr="00BE44DF">
        <w:rPr>
          <w:rFonts w:ascii="Arial" w:hAnsi="Arial" w:cs="Arial"/>
          <w:lang w:val="en-GB"/>
        </w:rPr>
        <w:t>. 2017). Despite its nutritional, therapeutic, and socio-economic importance, the estimated annual tomato production of 40,306 tons (FAO 2021) remains far from sufficient to meet the per capita demand of 205 g of fresh vegetables per day, according to FAO and WHO recommendations. Consequently, the country's overall needs for quality food are estimated at 1,800,000 tons per year. These figures demonstrate significant potential for market gardeners to increase market access within the country and, upstream, the quantities produced (FIRCA 2019).</w:t>
      </w:r>
    </w:p>
    <w:p w14:paraId="30D90756" w14:textId="77777777" w:rsidR="00FF2EB0" w:rsidRPr="00BE44DF" w:rsidRDefault="00FF2EB0" w:rsidP="00BE44DF">
      <w:pPr>
        <w:jc w:val="both"/>
        <w:rPr>
          <w:rFonts w:ascii="Arial" w:hAnsi="Arial" w:cs="Arial"/>
          <w:lang w:val="en-GB"/>
        </w:rPr>
      </w:pPr>
    </w:p>
    <w:p w14:paraId="33801979" w14:textId="7010E0F5" w:rsidR="00BE44DF" w:rsidRDefault="00BE44DF" w:rsidP="00BE44DF">
      <w:pPr>
        <w:jc w:val="both"/>
        <w:rPr>
          <w:rFonts w:ascii="Arial" w:hAnsi="Arial" w:cs="Arial"/>
          <w:lang w:val="en-GB"/>
        </w:rPr>
      </w:pPr>
      <w:r w:rsidRPr="00BE44DF">
        <w:rPr>
          <w:rFonts w:ascii="Arial" w:hAnsi="Arial" w:cs="Arial"/>
          <w:lang w:val="en-GB"/>
        </w:rPr>
        <w:t xml:space="preserve">Unfortunately, tomatoes are subject to numerous biotic constraints, including diseases and pests, which considerably reduce production and lead to a deterioration in fruit quality (Fondio </w:t>
      </w:r>
      <w:r w:rsidRPr="00BE44DF">
        <w:rPr>
          <w:rFonts w:ascii="Arial" w:hAnsi="Arial" w:cs="Arial"/>
          <w:i/>
          <w:iCs/>
          <w:lang w:val="en-GB"/>
        </w:rPr>
        <w:t>et al</w:t>
      </w:r>
      <w:r w:rsidRPr="00BE44DF">
        <w:rPr>
          <w:rFonts w:ascii="Arial" w:hAnsi="Arial" w:cs="Arial"/>
          <w:lang w:val="en-GB"/>
        </w:rPr>
        <w:t xml:space="preserve">. 2013; Koffi </w:t>
      </w:r>
      <w:r w:rsidRPr="00BE44DF">
        <w:rPr>
          <w:rFonts w:ascii="Arial" w:hAnsi="Arial" w:cs="Arial"/>
          <w:i/>
          <w:iCs/>
          <w:lang w:val="en-GB"/>
        </w:rPr>
        <w:t>et al</w:t>
      </w:r>
      <w:r w:rsidRPr="00BE44DF">
        <w:rPr>
          <w:rFonts w:ascii="Arial" w:hAnsi="Arial" w:cs="Arial"/>
          <w:lang w:val="en-GB"/>
        </w:rPr>
        <w:t xml:space="preserve">. 2021; </w:t>
      </w:r>
      <w:proofErr w:type="spellStart"/>
      <w:r w:rsidRPr="00BE44DF">
        <w:rPr>
          <w:rFonts w:ascii="Arial" w:hAnsi="Arial" w:cs="Arial"/>
          <w:lang w:val="en-GB"/>
        </w:rPr>
        <w:t>Gadji</w:t>
      </w:r>
      <w:proofErr w:type="spellEnd"/>
      <w:r w:rsidRPr="00BE44DF">
        <w:rPr>
          <w:rFonts w:ascii="Arial" w:hAnsi="Arial" w:cs="Arial"/>
          <w:lang w:val="en-GB"/>
        </w:rPr>
        <w:t xml:space="preserve"> </w:t>
      </w:r>
      <w:r w:rsidRPr="00BE44DF">
        <w:rPr>
          <w:rFonts w:ascii="Arial" w:hAnsi="Arial" w:cs="Arial"/>
          <w:i/>
          <w:iCs/>
          <w:lang w:val="en-GB"/>
        </w:rPr>
        <w:t>et al</w:t>
      </w:r>
      <w:r w:rsidRPr="00BE44DF">
        <w:rPr>
          <w:rFonts w:ascii="Arial" w:hAnsi="Arial" w:cs="Arial"/>
          <w:lang w:val="en-GB"/>
        </w:rPr>
        <w:t xml:space="preserve">. 2024). </w:t>
      </w:r>
      <w:r w:rsidR="00A33490" w:rsidRPr="0013164B">
        <w:rPr>
          <w:rFonts w:ascii="Arial" w:hAnsi="Arial" w:cs="Arial"/>
          <w:color w:val="000000" w:themeColor="text1"/>
          <w:lang w:val="en-GB"/>
        </w:rPr>
        <w:t xml:space="preserve">The last two years have been particularly marked by the resurgence of dry rot caused by </w:t>
      </w:r>
      <w:proofErr w:type="spellStart"/>
      <w:r w:rsidR="00A33490" w:rsidRPr="0013164B">
        <w:rPr>
          <w:rFonts w:ascii="Arial" w:hAnsi="Arial" w:cs="Arial"/>
          <w:i/>
          <w:color w:val="000000" w:themeColor="text1"/>
          <w:lang w:val="en-GB"/>
        </w:rPr>
        <w:t>Lasiodiplodia</w:t>
      </w:r>
      <w:proofErr w:type="spellEnd"/>
      <w:r w:rsidR="00A33490" w:rsidRPr="0013164B">
        <w:rPr>
          <w:rFonts w:ascii="Arial" w:hAnsi="Arial" w:cs="Arial"/>
          <w:i/>
          <w:color w:val="000000" w:themeColor="text1"/>
          <w:lang w:val="en-GB"/>
        </w:rPr>
        <w:t xml:space="preserve"> sp</w:t>
      </w:r>
      <w:r w:rsidR="00A33490" w:rsidRPr="0013164B">
        <w:rPr>
          <w:rFonts w:ascii="Arial" w:hAnsi="Arial" w:cs="Arial"/>
          <w:color w:val="000000" w:themeColor="text1"/>
          <w:lang w:val="en-GB"/>
        </w:rPr>
        <w:t>. in certain production areas in central Côte d'Ivoire</w:t>
      </w:r>
      <w:r w:rsidR="00A33490" w:rsidRPr="007C246F">
        <w:rPr>
          <w:rFonts w:ascii="Arial" w:hAnsi="Arial" w:cs="Arial"/>
          <w:highlight w:val="yellow"/>
          <w:lang w:val="en-GB"/>
        </w:rPr>
        <w:t xml:space="preserve">. This fungus is virulent, cosmopolitan, polyphagous and opportunistic pathogen. </w:t>
      </w:r>
      <w:r w:rsidR="00A33490" w:rsidRPr="007C246F">
        <w:rPr>
          <w:rFonts w:ascii="Arial" w:hAnsi="Arial" w:cs="Arial"/>
          <w:color w:val="000000" w:themeColor="text1"/>
          <w:highlight w:val="yellow"/>
          <w:lang w:val="en-GB"/>
        </w:rPr>
        <w:t xml:space="preserve">It attacks crops and trees, causing various types of diseases that lead to dieback and rot (French 2006; Opoku </w:t>
      </w:r>
      <w:r w:rsidR="00A33490" w:rsidRPr="007C246F">
        <w:rPr>
          <w:rFonts w:ascii="Arial" w:hAnsi="Arial" w:cs="Arial"/>
          <w:i/>
          <w:iCs/>
          <w:color w:val="000000" w:themeColor="text1"/>
          <w:highlight w:val="yellow"/>
          <w:lang w:val="en-GB"/>
        </w:rPr>
        <w:t>et al</w:t>
      </w:r>
      <w:r w:rsidR="00A33490" w:rsidRPr="007C246F">
        <w:rPr>
          <w:rFonts w:ascii="Arial" w:hAnsi="Arial" w:cs="Arial"/>
          <w:color w:val="000000" w:themeColor="text1"/>
          <w:highlight w:val="yellow"/>
          <w:lang w:val="en-GB"/>
        </w:rPr>
        <w:t>. 2007)</w:t>
      </w:r>
      <w:r w:rsidR="00A33490" w:rsidRPr="005503D7">
        <w:rPr>
          <w:rFonts w:ascii="Arial" w:hAnsi="Arial" w:cs="Arial"/>
          <w:color w:val="000000" w:themeColor="text1"/>
          <w:lang w:val="en-GB"/>
        </w:rPr>
        <w:t>.</w:t>
      </w:r>
      <w:r w:rsidRPr="00BE44DF">
        <w:rPr>
          <w:rFonts w:ascii="Arial" w:hAnsi="Arial" w:cs="Arial"/>
          <w:lang w:val="en-GB"/>
        </w:rPr>
        <w:t xml:space="preserve"> It has been widely observed in tropical and subtropical regions worldwide (Faber </w:t>
      </w:r>
      <w:r w:rsidRPr="00BE44DF">
        <w:rPr>
          <w:rFonts w:ascii="Arial" w:hAnsi="Arial" w:cs="Arial"/>
          <w:i/>
          <w:iCs/>
          <w:lang w:val="en-GB"/>
        </w:rPr>
        <w:t>et al</w:t>
      </w:r>
      <w:r w:rsidRPr="00BE44DF">
        <w:rPr>
          <w:rFonts w:ascii="Arial" w:hAnsi="Arial" w:cs="Arial"/>
          <w:lang w:val="en-GB"/>
        </w:rPr>
        <w:t xml:space="preserve">. 2007) and has been identified on a very wide range of hosts, estimated at over 500 species (Sutton 1980; Khanzada </w:t>
      </w:r>
      <w:r w:rsidRPr="00BE44DF">
        <w:rPr>
          <w:rFonts w:ascii="Arial" w:hAnsi="Arial" w:cs="Arial"/>
          <w:i/>
          <w:iCs/>
          <w:lang w:val="en-GB"/>
        </w:rPr>
        <w:t>et al</w:t>
      </w:r>
      <w:r w:rsidRPr="00BE44DF">
        <w:rPr>
          <w:rFonts w:ascii="Arial" w:hAnsi="Arial" w:cs="Arial"/>
          <w:lang w:val="en-GB"/>
        </w:rPr>
        <w:t>. 2006). Losses observed during health assessment missions carried out in these areas can reach more than 60% of production, especially during hot periods (25-35°C) and periods of high relative humidity (60-90%).</w:t>
      </w:r>
    </w:p>
    <w:p w14:paraId="6337BA38" w14:textId="77777777" w:rsidR="00FF2EB0" w:rsidRPr="00BE44DF" w:rsidRDefault="00FF2EB0" w:rsidP="00BE44DF">
      <w:pPr>
        <w:jc w:val="both"/>
        <w:rPr>
          <w:rFonts w:ascii="Arial" w:hAnsi="Arial" w:cs="Arial"/>
          <w:lang w:val="en-GB"/>
        </w:rPr>
      </w:pPr>
    </w:p>
    <w:p w14:paraId="545E0255" w14:textId="77777777" w:rsidR="00BE44DF" w:rsidRPr="00BE44DF" w:rsidRDefault="00BE44DF" w:rsidP="00BE44DF">
      <w:pPr>
        <w:jc w:val="both"/>
        <w:rPr>
          <w:rFonts w:ascii="Arial" w:hAnsi="Arial" w:cs="Arial"/>
          <w:lang w:val="en-GB"/>
        </w:rPr>
      </w:pPr>
      <w:r w:rsidRPr="00BE44DF">
        <w:rPr>
          <w:rFonts w:ascii="Arial" w:hAnsi="Arial" w:cs="Arial"/>
          <w:lang w:val="en-GB"/>
        </w:rPr>
        <w:t>To cope with this pest pressure and meet ever-increasing market demand, vegetable growers use chemical pesticides indiscriminately despite their harmful effects on the environment and human health. Indeed, their systematic use in agriculture for the past fifty years has led to the emergence of pests resistant to certain chemical pesticides, which significantly reduces the effectiveness and sustainability of this control method (</w:t>
      </w:r>
      <w:proofErr w:type="spellStart"/>
      <w:r w:rsidRPr="00BE44DF">
        <w:rPr>
          <w:rFonts w:ascii="Arial" w:hAnsi="Arial" w:cs="Arial"/>
          <w:lang w:val="en-GB"/>
        </w:rPr>
        <w:t>Leibee</w:t>
      </w:r>
      <w:proofErr w:type="spellEnd"/>
      <w:r w:rsidRPr="00BE44DF">
        <w:rPr>
          <w:rFonts w:ascii="Arial" w:hAnsi="Arial" w:cs="Arial"/>
          <w:lang w:val="en-GB"/>
        </w:rPr>
        <w:t xml:space="preserve"> and </w:t>
      </w:r>
      <w:proofErr w:type="spellStart"/>
      <w:r w:rsidRPr="00BE44DF">
        <w:rPr>
          <w:rFonts w:ascii="Arial" w:hAnsi="Arial" w:cs="Arial"/>
          <w:lang w:val="en-GB"/>
        </w:rPr>
        <w:t>Capinera</w:t>
      </w:r>
      <w:proofErr w:type="spellEnd"/>
      <w:r w:rsidRPr="00BE44DF">
        <w:rPr>
          <w:rFonts w:ascii="Arial" w:hAnsi="Arial" w:cs="Arial"/>
          <w:lang w:val="en-GB"/>
        </w:rPr>
        <w:t xml:space="preserve"> 1995; Martin </w:t>
      </w:r>
      <w:r w:rsidRPr="00BE44DF">
        <w:rPr>
          <w:rFonts w:ascii="Arial" w:hAnsi="Arial" w:cs="Arial"/>
          <w:i/>
          <w:iCs/>
          <w:lang w:val="en-GB"/>
        </w:rPr>
        <w:t>et al.</w:t>
      </w:r>
      <w:r w:rsidRPr="00BE44DF">
        <w:rPr>
          <w:rFonts w:ascii="Arial" w:hAnsi="Arial" w:cs="Arial"/>
          <w:lang w:val="en-GB"/>
        </w:rPr>
        <w:t xml:space="preserve"> 2002). It is in this context that this study was initiated to characterize the pathogen using molecular markers and to evaluate in vitro the sensitivity of this pest to biopesticides based on </w:t>
      </w:r>
      <w:r w:rsidRPr="00BE44DF">
        <w:rPr>
          <w:rFonts w:ascii="Arial" w:hAnsi="Arial" w:cs="Arial"/>
          <w:i/>
          <w:lang w:val="en-GB"/>
        </w:rPr>
        <w:t>Bacillus thuringiensis</w:t>
      </w:r>
      <w:r w:rsidRPr="00BE44DF">
        <w:rPr>
          <w:rFonts w:ascii="Arial" w:hAnsi="Arial" w:cs="Arial"/>
          <w:lang w:val="en-GB"/>
        </w:rPr>
        <w:t xml:space="preserve"> var. </w:t>
      </w:r>
      <w:proofErr w:type="spellStart"/>
      <w:r w:rsidRPr="00BE44DF">
        <w:rPr>
          <w:rFonts w:ascii="Arial" w:hAnsi="Arial" w:cs="Arial"/>
          <w:i/>
          <w:iCs/>
          <w:lang w:val="en-GB"/>
        </w:rPr>
        <w:t>kurstaki</w:t>
      </w:r>
      <w:proofErr w:type="spellEnd"/>
      <w:r w:rsidRPr="00BE44DF">
        <w:rPr>
          <w:rFonts w:ascii="Arial" w:hAnsi="Arial" w:cs="Arial"/>
          <w:lang w:val="en-GB"/>
        </w:rPr>
        <w:t xml:space="preserve"> HD-1 (</w:t>
      </w:r>
      <w:proofErr w:type="spellStart"/>
      <w:r w:rsidRPr="00BE44DF">
        <w:rPr>
          <w:rFonts w:ascii="Arial" w:hAnsi="Arial" w:cs="Arial"/>
          <w:i/>
          <w:iCs/>
          <w:lang w:val="en-GB"/>
        </w:rPr>
        <w:t>Btk</w:t>
      </w:r>
      <w:proofErr w:type="spellEnd"/>
      <w:r w:rsidRPr="00BE44DF">
        <w:rPr>
          <w:rFonts w:ascii="Arial" w:hAnsi="Arial" w:cs="Arial"/>
          <w:lang w:val="en-GB"/>
        </w:rPr>
        <w:t xml:space="preserve"> HD-1) and plant extracts. </w:t>
      </w:r>
    </w:p>
    <w:p w14:paraId="0545D250" w14:textId="77777777" w:rsidR="00790ADA" w:rsidRPr="00BE44DF" w:rsidRDefault="00790ADA" w:rsidP="00441B6F">
      <w:pPr>
        <w:pStyle w:val="Body"/>
        <w:spacing w:after="0"/>
        <w:rPr>
          <w:rFonts w:ascii="Arial" w:hAnsi="Arial" w:cs="Arial"/>
          <w:lang w:val="en-GB"/>
        </w:rPr>
      </w:pPr>
    </w:p>
    <w:p w14:paraId="62A1E7F4" w14:textId="5790AC33"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4696BCC" w14:textId="77777777" w:rsidR="00790ADA" w:rsidRPr="00FB3A86" w:rsidRDefault="00790ADA" w:rsidP="00441B6F">
      <w:pPr>
        <w:pStyle w:val="Body"/>
        <w:spacing w:after="0"/>
        <w:rPr>
          <w:rFonts w:ascii="Arial" w:hAnsi="Arial" w:cs="Arial"/>
        </w:rPr>
      </w:pPr>
    </w:p>
    <w:p w14:paraId="19B095B0" w14:textId="77777777" w:rsidR="00BE44DF" w:rsidRPr="00C41D06" w:rsidRDefault="00AA74E0" w:rsidP="00BE44DF">
      <w:pPr>
        <w:jc w:val="both"/>
        <w:rPr>
          <w:rStyle w:val="rynqvb"/>
          <w:rFonts w:ascii="Times New Roman" w:hAnsi="Times New Roman"/>
          <w:b/>
          <w:lang w:val="en"/>
        </w:rPr>
      </w:pPr>
      <w:r w:rsidRPr="00C30A0F">
        <w:rPr>
          <w:rFonts w:ascii="Arial" w:hAnsi="Arial" w:cs="Arial"/>
          <w:b/>
          <w:caps/>
          <w:sz w:val="22"/>
        </w:rPr>
        <w:t xml:space="preserve">2.1 </w:t>
      </w:r>
      <w:r w:rsidR="00BE44DF" w:rsidRPr="00BE44DF">
        <w:rPr>
          <w:rStyle w:val="rynqvb"/>
          <w:rFonts w:ascii="Arial" w:hAnsi="Arial" w:cs="Arial"/>
          <w:b/>
          <w:sz w:val="22"/>
          <w:szCs w:val="22"/>
          <w:lang w:val="en"/>
        </w:rPr>
        <w:t>Health Diagnostic Study in Market Gardening</w:t>
      </w:r>
    </w:p>
    <w:p w14:paraId="376A19D2" w14:textId="7758B41B" w:rsidR="00505F06" w:rsidRDefault="00AA74E0" w:rsidP="00441B6F">
      <w:pPr>
        <w:pStyle w:val="Body"/>
        <w:spacing w:after="0"/>
        <w:rPr>
          <w:rFonts w:ascii="Arial" w:hAnsi="Arial" w:cs="Arial"/>
        </w:rPr>
      </w:pPr>
      <w:r w:rsidRPr="00FB3A86">
        <w:rPr>
          <w:rFonts w:ascii="Arial" w:hAnsi="Arial" w:cs="Arial"/>
        </w:rPr>
        <w:t xml:space="preserve">  </w:t>
      </w:r>
    </w:p>
    <w:p w14:paraId="3A40F794" w14:textId="77777777" w:rsidR="00BE44DF" w:rsidRDefault="00BE44DF" w:rsidP="00BE44DF">
      <w:pPr>
        <w:jc w:val="both"/>
        <w:rPr>
          <w:rStyle w:val="rynqvb"/>
          <w:rFonts w:ascii="Arial" w:hAnsi="Arial" w:cs="Arial"/>
          <w:lang w:val="en"/>
        </w:rPr>
      </w:pPr>
      <w:r w:rsidRPr="00FF2EB0">
        <w:rPr>
          <w:rStyle w:val="rynqvb"/>
          <w:rFonts w:ascii="Arial" w:hAnsi="Arial" w:cs="Arial"/>
          <w:lang w:val="en"/>
        </w:rPr>
        <w:t xml:space="preserve">A study was conducted on market garden production sites in the Bélier region, specifically in </w:t>
      </w:r>
      <w:proofErr w:type="spellStart"/>
      <w:r w:rsidRPr="00FF2EB0">
        <w:rPr>
          <w:rStyle w:val="rynqvb"/>
          <w:rFonts w:ascii="Arial" w:hAnsi="Arial" w:cs="Arial"/>
          <w:lang w:val="en"/>
        </w:rPr>
        <w:t>Tiébissou</w:t>
      </w:r>
      <w:proofErr w:type="spellEnd"/>
      <w:r w:rsidRPr="00FF2EB0">
        <w:rPr>
          <w:rStyle w:val="rynqvb"/>
          <w:rFonts w:ascii="Arial" w:hAnsi="Arial" w:cs="Arial"/>
          <w:lang w:val="en"/>
        </w:rPr>
        <w:t xml:space="preserve">, </w:t>
      </w:r>
      <w:proofErr w:type="spellStart"/>
      <w:r w:rsidRPr="00FF2EB0">
        <w:rPr>
          <w:rStyle w:val="rynqvb"/>
          <w:rFonts w:ascii="Arial" w:hAnsi="Arial" w:cs="Arial"/>
          <w:lang w:val="en"/>
        </w:rPr>
        <w:t>Didiévi</w:t>
      </w:r>
      <w:proofErr w:type="spellEnd"/>
      <w:r w:rsidRPr="00FF2EB0">
        <w:rPr>
          <w:rStyle w:val="rynqvb"/>
          <w:rFonts w:ascii="Arial" w:hAnsi="Arial" w:cs="Arial"/>
          <w:lang w:val="en"/>
        </w:rPr>
        <w:t xml:space="preserve">, </w:t>
      </w:r>
      <w:proofErr w:type="spellStart"/>
      <w:r w:rsidRPr="00FF2EB0">
        <w:rPr>
          <w:rStyle w:val="rynqvb"/>
          <w:rFonts w:ascii="Arial" w:hAnsi="Arial" w:cs="Arial"/>
          <w:lang w:val="en"/>
        </w:rPr>
        <w:t>Kongoué-kouadiokro</w:t>
      </w:r>
      <w:proofErr w:type="spellEnd"/>
      <w:r w:rsidRPr="00FF2EB0">
        <w:rPr>
          <w:rStyle w:val="rynqvb"/>
          <w:rFonts w:ascii="Arial" w:hAnsi="Arial" w:cs="Arial"/>
          <w:lang w:val="en"/>
        </w:rPr>
        <w:t xml:space="preserve">, Yamoussoukro, </w:t>
      </w:r>
      <w:proofErr w:type="spellStart"/>
      <w:r w:rsidRPr="00FF2EB0">
        <w:rPr>
          <w:rStyle w:val="rynqvb"/>
          <w:rFonts w:ascii="Arial" w:hAnsi="Arial" w:cs="Arial"/>
          <w:lang w:val="en"/>
        </w:rPr>
        <w:t>Subiakro</w:t>
      </w:r>
      <w:proofErr w:type="spellEnd"/>
      <w:r w:rsidRPr="00FF2EB0">
        <w:rPr>
          <w:rStyle w:val="rynqvb"/>
          <w:rFonts w:ascii="Arial" w:hAnsi="Arial" w:cs="Arial"/>
          <w:lang w:val="en"/>
        </w:rPr>
        <w:t xml:space="preserve">, </w:t>
      </w:r>
      <w:proofErr w:type="spellStart"/>
      <w:r w:rsidRPr="00FF2EB0">
        <w:rPr>
          <w:rStyle w:val="rynqvb"/>
          <w:rFonts w:ascii="Arial" w:hAnsi="Arial" w:cs="Arial"/>
          <w:lang w:val="en"/>
        </w:rPr>
        <w:t>Toumodi</w:t>
      </w:r>
      <w:proofErr w:type="spellEnd"/>
      <w:r w:rsidRPr="00FF2EB0">
        <w:rPr>
          <w:rStyle w:val="rynqvb"/>
          <w:rFonts w:ascii="Arial" w:hAnsi="Arial" w:cs="Arial"/>
          <w:lang w:val="en"/>
        </w:rPr>
        <w:t xml:space="preserve">, </w:t>
      </w:r>
      <w:proofErr w:type="spellStart"/>
      <w:r w:rsidRPr="00FF2EB0">
        <w:rPr>
          <w:rStyle w:val="rynqvb"/>
          <w:rFonts w:ascii="Arial" w:hAnsi="Arial" w:cs="Arial"/>
          <w:lang w:val="en"/>
        </w:rPr>
        <w:t>N’Guessankro</w:t>
      </w:r>
      <w:proofErr w:type="spellEnd"/>
      <w:r w:rsidRPr="00FF2EB0">
        <w:rPr>
          <w:rStyle w:val="rynqvb"/>
          <w:rFonts w:ascii="Arial" w:hAnsi="Arial" w:cs="Arial"/>
          <w:lang w:val="en"/>
        </w:rPr>
        <w:t xml:space="preserve">, and </w:t>
      </w:r>
      <w:proofErr w:type="spellStart"/>
      <w:r w:rsidRPr="00FF2EB0">
        <w:rPr>
          <w:rStyle w:val="rynqvb"/>
          <w:rFonts w:ascii="Arial" w:hAnsi="Arial" w:cs="Arial"/>
          <w:lang w:val="en"/>
        </w:rPr>
        <w:t>Yobouekro</w:t>
      </w:r>
      <w:proofErr w:type="spellEnd"/>
      <w:r w:rsidRPr="00FF2EB0">
        <w:rPr>
          <w:rStyle w:val="rynqvb"/>
          <w:rFonts w:ascii="Arial" w:hAnsi="Arial" w:cs="Arial"/>
          <w:lang w:val="en"/>
        </w:rPr>
        <w:t>.</w:t>
      </w:r>
      <w:r w:rsidRPr="00FF2EB0">
        <w:rPr>
          <w:rStyle w:val="hwtze"/>
          <w:rFonts w:ascii="Arial" w:hAnsi="Arial" w:cs="Arial"/>
          <w:lang w:val="en"/>
        </w:rPr>
        <w:t xml:space="preserve"> </w:t>
      </w:r>
      <w:r w:rsidRPr="00FF2EB0">
        <w:rPr>
          <w:rStyle w:val="rynqvb"/>
          <w:rFonts w:ascii="Arial" w:hAnsi="Arial" w:cs="Arial"/>
          <w:lang w:val="en"/>
        </w:rPr>
        <w:t>The aim was to identify and analyze the main biotic factors affecting market garden production in order to propose appropriate technical solutions to improve crop productivity and health.</w:t>
      </w:r>
      <w:r w:rsidRPr="00FF2EB0">
        <w:rPr>
          <w:rStyle w:val="hwtze"/>
          <w:rFonts w:ascii="Arial" w:hAnsi="Arial" w:cs="Arial"/>
          <w:lang w:val="en"/>
        </w:rPr>
        <w:t xml:space="preserve"> </w:t>
      </w:r>
      <w:r w:rsidRPr="00FF2EB0">
        <w:rPr>
          <w:rStyle w:val="rynqvb"/>
          <w:rFonts w:ascii="Arial" w:hAnsi="Arial" w:cs="Arial"/>
          <w:lang w:val="en"/>
        </w:rPr>
        <w:t>During this study, symptomatic or rotten plant parts were collected and sent to the laboratory for isolation and identification of pathogens.</w:t>
      </w:r>
    </w:p>
    <w:p w14:paraId="00B769DE" w14:textId="77777777" w:rsidR="00FF2EB0" w:rsidRDefault="00FF2EB0" w:rsidP="00BE44DF">
      <w:pPr>
        <w:jc w:val="both"/>
        <w:rPr>
          <w:rStyle w:val="rynqvb"/>
          <w:rFonts w:ascii="Arial" w:hAnsi="Arial" w:cs="Arial"/>
          <w:lang w:val="en"/>
        </w:rPr>
      </w:pPr>
    </w:p>
    <w:p w14:paraId="3FC9A5EA" w14:textId="66A13202" w:rsidR="00FF2EB0" w:rsidRPr="00FF2EB0" w:rsidRDefault="00FF2EB0" w:rsidP="00FF2EB0">
      <w:pPr>
        <w:jc w:val="both"/>
        <w:rPr>
          <w:rFonts w:ascii="Arial" w:hAnsi="Arial" w:cs="Arial"/>
          <w:b/>
          <w:bCs/>
          <w:caps/>
          <w:sz w:val="22"/>
        </w:rPr>
      </w:pPr>
      <w:r w:rsidRPr="00FF2EB0">
        <w:rPr>
          <w:rFonts w:ascii="Arial" w:hAnsi="Arial" w:cs="Arial"/>
          <w:b/>
          <w:bCs/>
          <w:sz w:val="22"/>
        </w:rPr>
        <w:t xml:space="preserve">2.2 Pathogen Isolation </w:t>
      </w:r>
      <w:proofErr w:type="gramStart"/>
      <w:r w:rsidRPr="00FF2EB0">
        <w:rPr>
          <w:rFonts w:ascii="Arial" w:hAnsi="Arial" w:cs="Arial"/>
          <w:b/>
          <w:bCs/>
          <w:sz w:val="22"/>
        </w:rPr>
        <w:t>In</w:t>
      </w:r>
      <w:proofErr w:type="gramEnd"/>
      <w:r w:rsidRPr="00FF2EB0">
        <w:rPr>
          <w:rFonts w:ascii="Arial" w:hAnsi="Arial" w:cs="Arial"/>
          <w:b/>
          <w:bCs/>
          <w:sz w:val="22"/>
        </w:rPr>
        <w:t xml:space="preserve"> The Laboratory</w:t>
      </w:r>
    </w:p>
    <w:p w14:paraId="22F8F9C2" w14:textId="77777777" w:rsidR="00FF2EB0" w:rsidRDefault="00FF2EB0" w:rsidP="00FF2EB0">
      <w:pPr>
        <w:jc w:val="both"/>
        <w:rPr>
          <w:rStyle w:val="rynqvb"/>
          <w:rFonts w:ascii="Times New Roman" w:hAnsi="Times New Roman"/>
          <w:lang w:val="en"/>
        </w:rPr>
      </w:pPr>
    </w:p>
    <w:p w14:paraId="35EEDA46" w14:textId="651CF53C" w:rsidR="00FF2EB0" w:rsidRPr="00FF2EB0" w:rsidRDefault="00FF2EB0" w:rsidP="00FF2EB0">
      <w:pPr>
        <w:jc w:val="both"/>
        <w:rPr>
          <w:rFonts w:ascii="Arial" w:hAnsi="Arial" w:cs="Arial"/>
          <w:lang w:val="en-GB"/>
        </w:rPr>
      </w:pPr>
      <w:r w:rsidRPr="00FF2EB0">
        <w:rPr>
          <w:rStyle w:val="rynqvb"/>
          <w:rFonts w:ascii="Arial" w:hAnsi="Arial" w:cs="Arial"/>
          <w:lang w:val="en"/>
        </w:rPr>
        <w:t xml:space="preserve">Pathogens were isolated using the method described by Slippers </w:t>
      </w:r>
      <w:r w:rsidRPr="00FF2EB0">
        <w:rPr>
          <w:rStyle w:val="rynqvb"/>
          <w:rFonts w:ascii="Arial" w:hAnsi="Arial" w:cs="Arial"/>
          <w:i/>
          <w:iCs/>
          <w:lang w:val="en"/>
        </w:rPr>
        <w:t>et al</w:t>
      </w:r>
      <w:r w:rsidRPr="00FF2EB0">
        <w:rPr>
          <w:rStyle w:val="rynqvb"/>
          <w:rFonts w:ascii="Arial" w:hAnsi="Arial" w:cs="Arial"/>
          <w:lang w:val="en"/>
        </w:rPr>
        <w:t xml:space="preserve">. (2007) and </w:t>
      </w:r>
      <w:proofErr w:type="spellStart"/>
      <w:r w:rsidRPr="00FF2EB0">
        <w:rPr>
          <w:rStyle w:val="rynqvb"/>
          <w:rFonts w:ascii="Arial" w:hAnsi="Arial" w:cs="Arial"/>
          <w:lang w:val="en"/>
        </w:rPr>
        <w:t>Tedihou</w:t>
      </w:r>
      <w:proofErr w:type="spellEnd"/>
      <w:r w:rsidRPr="00FF2EB0">
        <w:rPr>
          <w:rStyle w:val="rynqvb"/>
          <w:rFonts w:ascii="Arial" w:hAnsi="Arial" w:cs="Arial"/>
          <w:lang w:val="en"/>
        </w:rPr>
        <w:t xml:space="preserve"> </w:t>
      </w:r>
      <w:r w:rsidRPr="00FF2EB0">
        <w:rPr>
          <w:rStyle w:val="rynqvb"/>
          <w:rFonts w:ascii="Arial" w:hAnsi="Arial" w:cs="Arial"/>
          <w:i/>
          <w:iCs/>
          <w:lang w:val="en"/>
        </w:rPr>
        <w:t>et al</w:t>
      </w:r>
      <w:r w:rsidRPr="00FF2EB0">
        <w:rPr>
          <w:rStyle w:val="rynqvb"/>
          <w:rFonts w:ascii="Arial" w:hAnsi="Arial" w:cs="Arial"/>
          <w:lang w:val="en"/>
        </w:rPr>
        <w:t>.</w:t>
      </w:r>
      <w:r w:rsidRPr="00FF2EB0">
        <w:rPr>
          <w:rStyle w:val="hwtze"/>
          <w:rFonts w:ascii="Arial" w:hAnsi="Arial" w:cs="Arial"/>
          <w:lang w:val="en"/>
        </w:rPr>
        <w:t xml:space="preserve"> </w:t>
      </w:r>
      <w:r w:rsidRPr="00FF2EB0">
        <w:rPr>
          <w:rStyle w:val="rynqvb"/>
          <w:rFonts w:ascii="Arial" w:hAnsi="Arial" w:cs="Arial"/>
          <w:lang w:val="en"/>
        </w:rPr>
        <w:t>(2017).</w:t>
      </w:r>
      <w:r w:rsidRPr="00FF2EB0">
        <w:rPr>
          <w:rStyle w:val="hwtze"/>
          <w:rFonts w:ascii="Arial" w:hAnsi="Arial" w:cs="Arial"/>
          <w:lang w:val="en"/>
        </w:rPr>
        <w:t xml:space="preserve"> </w:t>
      </w:r>
      <w:r w:rsidRPr="00FF2EB0">
        <w:rPr>
          <w:rStyle w:val="rynqvb"/>
          <w:rFonts w:ascii="Arial" w:hAnsi="Arial" w:cs="Arial"/>
          <w:lang w:val="en"/>
        </w:rPr>
        <w:t>Small fragments of tomato stems were superficially disinfected for one minute with a 50% solution of 7°C bleach (</w:t>
      </w:r>
      <w:proofErr w:type="spellStart"/>
      <w:r w:rsidRPr="00FF2EB0">
        <w:rPr>
          <w:rStyle w:val="rynqvb"/>
          <w:rFonts w:ascii="Arial" w:hAnsi="Arial" w:cs="Arial"/>
          <w:lang w:val="en"/>
        </w:rPr>
        <w:t>NaClO</w:t>
      </w:r>
      <w:proofErr w:type="spellEnd"/>
      <w:r w:rsidRPr="00FF2EB0">
        <w:rPr>
          <w:rStyle w:val="rynqvb"/>
          <w:rFonts w:ascii="Arial" w:hAnsi="Arial" w:cs="Arial"/>
          <w:lang w:val="en"/>
        </w:rPr>
        <w:t>) in sterile distilled water.</w:t>
      </w:r>
      <w:r w:rsidRPr="00FF2EB0">
        <w:rPr>
          <w:rStyle w:val="hwtze"/>
          <w:rFonts w:ascii="Arial" w:hAnsi="Arial" w:cs="Arial"/>
          <w:lang w:val="en"/>
        </w:rPr>
        <w:t xml:space="preserve"> </w:t>
      </w:r>
      <w:r w:rsidRPr="00FF2EB0">
        <w:rPr>
          <w:rStyle w:val="rynqvb"/>
          <w:rFonts w:ascii="Arial" w:hAnsi="Arial" w:cs="Arial"/>
          <w:lang w:val="en"/>
        </w:rPr>
        <w:t xml:space="preserve">These fragments were then </w:t>
      </w:r>
      <w:r w:rsidRPr="00FF2EB0">
        <w:rPr>
          <w:rStyle w:val="rynqvb"/>
          <w:rFonts w:ascii="Arial" w:hAnsi="Arial" w:cs="Arial"/>
          <w:lang w:val="en"/>
        </w:rPr>
        <w:lastRenderedPageBreak/>
        <w:t>rinsed three times for the same duration with sterile distilled water.</w:t>
      </w:r>
      <w:r w:rsidRPr="00FF2EB0">
        <w:rPr>
          <w:rStyle w:val="hwtze"/>
          <w:rFonts w:ascii="Arial" w:hAnsi="Arial" w:cs="Arial"/>
          <w:lang w:val="en"/>
        </w:rPr>
        <w:t xml:space="preserve"> </w:t>
      </w:r>
      <w:r w:rsidRPr="00FF2EB0">
        <w:rPr>
          <w:rStyle w:val="rynqvb"/>
          <w:rFonts w:ascii="Arial" w:hAnsi="Arial" w:cs="Arial"/>
          <w:lang w:val="en"/>
        </w:rPr>
        <w:t>They were then placed on potato-based culture medium (PDA).</w:t>
      </w:r>
      <w:r w:rsidRPr="00FF2EB0">
        <w:rPr>
          <w:rStyle w:val="hwtze"/>
          <w:rFonts w:ascii="Arial" w:hAnsi="Arial" w:cs="Arial"/>
          <w:lang w:val="en"/>
        </w:rPr>
        <w:t xml:space="preserve"> </w:t>
      </w:r>
      <w:r w:rsidRPr="00FF2EB0">
        <w:rPr>
          <w:rStyle w:val="rynqvb"/>
          <w:rFonts w:ascii="Arial" w:hAnsi="Arial" w:cs="Arial"/>
          <w:lang w:val="en"/>
        </w:rPr>
        <w:t>Once the culture medium was inoculated, the Petri dishes were incubated at 30°C.</w:t>
      </w:r>
      <w:r w:rsidRPr="00FF2EB0">
        <w:rPr>
          <w:rStyle w:val="hwtze"/>
          <w:rFonts w:ascii="Arial" w:hAnsi="Arial" w:cs="Arial"/>
          <w:lang w:val="en"/>
        </w:rPr>
        <w:t xml:space="preserve"> </w:t>
      </w:r>
      <w:r w:rsidRPr="00FF2EB0">
        <w:rPr>
          <w:rStyle w:val="rynqvb"/>
          <w:rFonts w:ascii="Arial" w:hAnsi="Arial" w:cs="Arial"/>
          <w:lang w:val="en"/>
        </w:rPr>
        <w:t xml:space="preserve">After three days of incubation, the dishes were removed, and mycelial fragments from the edges of the Petri dishes were collected and </w:t>
      </w:r>
      <w:proofErr w:type="spellStart"/>
      <w:r w:rsidRPr="00FF2EB0">
        <w:rPr>
          <w:rStyle w:val="rynqvb"/>
          <w:rFonts w:ascii="Arial" w:hAnsi="Arial" w:cs="Arial"/>
          <w:lang w:val="en"/>
        </w:rPr>
        <w:t>subcultured</w:t>
      </w:r>
      <w:proofErr w:type="spellEnd"/>
      <w:r w:rsidRPr="00FF2EB0">
        <w:rPr>
          <w:rStyle w:val="rynqvb"/>
          <w:rFonts w:ascii="Arial" w:hAnsi="Arial" w:cs="Arial"/>
          <w:lang w:val="en"/>
        </w:rPr>
        <w:t xml:space="preserve"> onto PDA.</w:t>
      </w:r>
      <w:r w:rsidRPr="00FF2EB0">
        <w:rPr>
          <w:rStyle w:val="hwtze"/>
          <w:rFonts w:ascii="Arial" w:hAnsi="Arial" w:cs="Arial"/>
          <w:lang w:val="en"/>
        </w:rPr>
        <w:t xml:space="preserve"> </w:t>
      </w:r>
      <w:r w:rsidRPr="00FF2EB0">
        <w:rPr>
          <w:rStyle w:val="rynqvb"/>
          <w:rFonts w:ascii="Arial" w:hAnsi="Arial" w:cs="Arial"/>
          <w:lang w:val="en"/>
        </w:rPr>
        <w:t>The inoculated media were also incubated under the same conditions as before for an additional 5 to 7 days.</w:t>
      </w:r>
    </w:p>
    <w:p w14:paraId="27388839" w14:textId="77777777" w:rsidR="00FF2EB0" w:rsidRPr="00FF2EB0" w:rsidRDefault="00FF2EB0" w:rsidP="00FF2EB0">
      <w:pPr>
        <w:jc w:val="both"/>
        <w:rPr>
          <w:rFonts w:ascii="Arial" w:hAnsi="Arial" w:cs="Arial"/>
          <w:b/>
          <w:lang w:val="en" w:eastAsia="fr-FR"/>
        </w:rPr>
      </w:pPr>
    </w:p>
    <w:p w14:paraId="3ECEAF8D" w14:textId="2575A3BF" w:rsidR="00FF2EB0" w:rsidRPr="00FF2EB0" w:rsidRDefault="00FF2EB0" w:rsidP="00FF2EB0">
      <w:pPr>
        <w:jc w:val="both"/>
        <w:rPr>
          <w:rFonts w:ascii="Arial" w:hAnsi="Arial" w:cs="Arial"/>
          <w:b/>
          <w:sz w:val="22"/>
          <w:szCs w:val="22"/>
          <w:lang w:val="en" w:eastAsia="fr-FR"/>
        </w:rPr>
      </w:pPr>
      <w:r w:rsidRPr="00FF2EB0">
        <w:rPr>
          <w:rFonts w:ascii="Arial" w:hAnsi="Arial" w:cs="Arial"/>
          <w:b/>
          <w:sz w:val="22"/>
          <w:szCs w:val="22"/>
          <w:lang w:val="en" w:eastAsia="fr-FR"/>
        </w:rPr>
        <w:t>2.3 Isolate Identification</w:t>
      </w:r>
    </w:p>
    <w:p w14:paraId="357CC303" w14:textId="77777777" w:rsidR="00FF2EB0" w:rsidRPr="00FF2EB0" w:rsidRDefault="00FF2EB0" w:rsidP="00FF2EB0">
      <w:pPr>
        <w:jc w:val="both"/>
        <w:rPr>
          <w:rFonts w:ascii="Arial" w:hAnsi="Arial" w:cs="Arial"/>
          <w:lang w:val="en" w:eastAsia="fr-FR"/>
        </w:rPr>
      </w:pPr>
    </w:p>
    <w:p w14:paraId="1A317A95" w14:textId="77777777" w:rsidR="00FF2EB0" w:rsidRDefault="00FF2EB0" w:rsidP="00FF2EB0">
      <w:pPr>
        <w:jc w:val="both"/>
        <w:rPr>
          <w:rFonts w:ascii="Arial" w:hAnsi="Arial" w:cs="Arial"/>
          <w:lang w:val="en" w:eastAsia="fr-FR"/>
        </w:rPr>
      </w:pPr>
      <w:r w:rsidRPr="00FF2EB0">
        <w:rPr>
          <w:rFonts w:ascii="Arial" w:hAnsi="Arial" w:cs="Arial"/>
          <w:lang w:val="en" w:eastAsia="fr-FR"/>
        </w:rPr>
        <w:t xml:space="preserve">Macroscopic observation (color and appearance) of the colonies and microscopic observation (morphology and characteristics) of the conidia were performed. Identification was carried out using the identification keys of </w:t>
      </w:r>
      <w:proofErr w:type="spellStart"/>
      <w:r w:rsidRPr="00FF2EB0">
        <w:rPr>
          <w:rFonts w:ascii="Arial" w:hAnsi="Arial" w:cs="Arial"/>
          <w:lang w:val="en" w:eastAsia="fr-FR"/>
        </w:rPr>
        <w:t>Punithalingam</w:t>
      </w:r>
      <w:proofErr w:type="spellEnd"/>
      <w:r w:rsidRPr="00FF2EB0">
        <w:rPr>
          <w:rFonts w:ascii="Arial" w:hAnsi="Arial" w:cs="Arial"/>
          <w:lang w:val="en" w:eastAsia="fr-FR"/>
        </w:rPr>
        <w:t xml:space="preserve"> (1976) and </w:t>
      </w:r>
      <w:proofErr w:type="spellStart"/>
      <w:r w:rsidRPr="00FF2EB0">
        <w:rPr>
          <w:rFonts w:ascii="Arial" w:hAnsi="Arial" w:cs="Arial"/>
          <w:lang w:val="en" w:eastAsia="fr-FR"/>
        </w:rPr>
        <w:t>Kausar</w:t>
      </w:r>
      <w:proofErr w:type="spellEnd"/>
      <w:r w:rsidRPr="00FF2EB0">
        <w:rPr>
          <w:rFonts w:ascii="Arial" w:hAnsi="Arial" w:cs="Arial"/>
          <w:lang w:val="en" w:eastAsia="fr-FR"/>
        </w:rPr>
        <w:t xml:space="preserve"> </w:t>
      </w:r>
      <w:r w:rsidRPr="00FF2EB0">
        <w:rPr>
          <w:rFonts w:ascii="Arial" w:hAnsi="Arial" w:cs="Arial"/>
          <w:i/>
          <w:iCs/>
          <w:lang w:val="en" w:eastAsia="fr-FR"/>
        </w:rPr>
        <w:t>et al</w:t>
      </w:r>
      <w:r w:rsidRPr="00FF2EB0">
        <w:rPr>
          <w:rFonts w:ascii="Arial" w:hAnsi="Arial" w:cs="Arial"/>
          <w:lang w:val="en" w:eastAsia="fr-FR"/>
        </w:rPr>
        <w:t xml:space="preserve">. (2009). For molecular identification, DNA was extracted from the mycelium of each isolate using the CTAB method as described by Doyle (1990). The isolated DNA was then quantified and stored at -20°C. The ITS region was amplified using the primers ITS1 (5'-TCCGTAGGTGAACCTGCGG-3') and ITS-4 (5'-TCCTCCGCTTA TTGATATGC-3') (White et al. 1990). PCR was performed on an Applied Biosystems </w:t>
      </w:r>
      <w:proofErr w:type="spellStart"/>
      <w:r w:rsidRPr="00FF2EB0">
        <w:rPr>
          <w:rFonts w:ascii="Arial" w:hAnsi="Arial" w:cs="Arial"/>
          <w:lang w:val="en" w:eastAsia="fr-FR"/>
        </w:rPr>
        <w:t>MiniAmp</w:t>
      </w:r>
      <w:proofErr w:type="spellEnd"/>
      <w:r w:rsidRPr="00FF2EB0">
        <w:rPr>
          <w:rFonts w:ascii="Arial" w:hAnsi="Arial" w:cs="Arial"/>
          <w:lang w:val="en" w:eastAsia="fr-FR"/>
        </w:rPr>
        <w:t xml:space="preserve"> thermocycler using </w:t>
      </w:r>
      <w:proofErr w:type="spellStart"/>
      <w:r w:rsidRPr="00FF2EB0">
        <w:rPr>
          <w:rFonts w:ascii="Arial" w:hAnsi="Arial" w:cs="Arial"/>
          <w:lang w:val="en" w:eastAsia="fr-FR"/>
        </w:rPr>
        <w:t>OneTaq</w:t>
      </w:r>
      <w:proofErr w:type="spellEnd"/>
      <w:r w:rsidRPr="00FF2EB0">
        <w:rPr>
          <w:rFonts w:ascii="Arial" w:hAnsi="Arial" w:cs="Arial"/>
          <w:lang w:val="en" w:eastAsia="fr-FR"/>
        </w:rPr>
        <w:t xml:space="preserve"> 2X Master Mix (NEB) according to the manufacturer's instructions. PCR products were subjected to electrophoresis on a 1% agarose gel stained with </w:t>
      </w:r>
      <w:proofErr w:type="spellStart"/>
      <w:r w:rsidRPr="00FF2EB0">
        <w:rPr>
          <w:rFonts w:ascii="Arial" w:hAnsi="Arial" w:cs="Arial"/>
          <w:lang w:val="en" w:eastAsia="fr-FR"/>
        </w:rPr>
        <w:t>SyberSafe</w:t>
      </w:r>
      <w:proofErr w:type="spellEnd"/>
      <w:r w:rsidRPr="00FF2EB0">
        <w:rPr>
          <w:rFonts w:ascii="Arial" w:hAnsi="Arial" w:cs="Arial"/>
          <w:lang w:val="en" w:eastAsia="fr-FR"/>
        </w:rPr>
        <w:t xml:space="preserve"> staining solution. DNA sequencing was performed at BGI Genomics (Hong Kong). The sequences obtained after amplification were reviewed using chromatograms in </w:t>
      </w:r>
      <w:proofErr w:type="spellStart"/>
      <w:r w:rsidRPr="00FF2EB0">
        <w:rPr>
          <w:rFonts w:ascii="Arial" w:hAnsi="Arial" w:cs="Arial"/>
          <w:lang w:val="en" w:eastAsia="fr-FR"/>
        </w:rPr>
        <w:t>BioEdit</w:t>
      </w:r>
      <w:proofErr w:type="spellEnd"/>
      <w:r w:rsidRPr="00FF2EB0">
        <w:rPr>
          <w:rFonts w:ascii="Arial" w:hAnsi="Arial" w:cs="Arial"/>
          <w:lang w:val="en" w:eastAsia="fr-FR"/>
        </w:rPr>
        <w:t xml:space="preserve"> (Sequence Alignment Editor). The resulting sequences were phylogenetically compared with NCBI BLAST (https://blast.ncbi.nlm.nih.gov) by comparing their homologated ITS sequences in the GenBank database. MEGA version 7.0 software was used to modify the DNA sequence, align it with </w:t>
      </w:r>
      <w:proofErr w:type="spellStart"/>
      <w:r w:rsidRPr="00FF2EB0">
        <w:rPr>
          <w:rFonts w:ascii="Arial" w:hAnsi="Arial" w:cs="Arial"/>
          <w:lang w:val="en" w:eastAsia="fr-FR"/>
        </w:rPr>
        <w:t>ClustalW</w:t>
      </w:r>
      <w:proofErr w:type="spellEnd"/>
      <w:r w:rsidRPr="00FF2EB0">
        <w:rPr>
          <w:rFonts w:ascii="Arial" w:hAnsi="Arial" w:cs="Arial"/>
          <w:lang w:val="en" w:eastAsia="fr-FR"/>
        </w:rPr>
        <w:t xml:space="preserve">, and concatenate it. To demonstrate the relationships between homologous species, the </w:t>
      </w:r>
      <w:proofErr w:type="spellStart"/>
      <w:r w:rsidRPr="00FF2EB0">
        <w:rPr>
          <w:rFonts w:ascii="Arial" w:hAnsi="Arial" w:cs="Arial"/>
          <w:lang w:val="en" w:eastAsia="fr-FR"/>
        </w:rPr>
        <w:t>Neighbour</w:t>
      </w:r>
      <w:proofErr w:type="spellEnd"/>
      <w:r w:rsidRPr="00FF2EB0">
        <w:rPr>
          <w:rFonts w:ascii="Arial" w:hAnsi="Arial" w:cs="Arial"/>
          <w:lang w:val="en" w:eastAsia="fr-FR"/>
        </w:rPr>
        <w:t>-Joining method using molecular evolutionary genetic analysis (MEGA 7.0) was used to create the phylogenetic tree.</w:t>
      </w:r>
    </w:p>
    <w:p w14:paraId="66E7E517" w14:textId="77777777" w:rsidR="00FF2EB0" w:rsidRDefault="00FF2EB0" w:rsidP="00FF2EB0">
      <w:pPr>
        <w:jc w:val="both"/>
        <w:rPr>
          <w:rFonts w:ascii="Arial" w:hAnsi="Arial" w:cs="Arial"/>
          <w:lang w:val="en" w:eastAsia="fr-FR"/>
        </w:rPr>
      </w:pPr>
    </w:p>
    <w:p w14:paraId="4CB388E5" w14:textId="05E2AACC" w:rsidR="00FF2EB0" w:rsidRPr="00FF2EB0" w:rsidRDefault="00FF2EB0" w:rsidP="00FF2EB0">
      <w:pPr>
        <w:jc w:val="both"/>
        <w:rPr>
          <w:rStyle w:val="rynqvb"/>
          <w:rFonts w:ascii="Arial" w:hAnsi="Arial" w:cs="Arial"/>
          <w:sz w:val="22"/>
          <w:szCs w:val="22"/>
          <w:lang w:val="en"/>
        </w:rPr>
      </w:pPr>
      <w:r w:rsidRPr="00FF2EB0">
        <w:rPr>
          <w:rStyle w:val="rynqvb"/>
          <w:rFonts w:ascii="Arial" w:hAnsi="Arial" w:cs="Arial"/>
          <w:b/>
          <w:sz w:val="22"/>
          <w:szCs w:val="22"/>
          <w:lang w:val="en"/>
        </w:rPr>
        <w:t>2.4 Effect of biopesticides on the pathogen mycelial growth</w:t>
      </w:r>
    </w:p>
    <w:p w14:paraId="20E0BB9B" w14:textId="77777777" w:rsidR="00FF2EB0" w:rsidRPr="00FF2EB0" w:rsidRDefault="00FF2EB0" w:rsidP="00FF2EB0">
      <w:pPr>
        <w:jc w:val="both"/>
        <w:rPr>
          <w:rStyle w:val="rynqvb"/>
          <w:rFonts w:ascii="Arial" w:hAnsi="Arial" w:cs="Arial"/>
          <w:b/>
          <w:lang w:val="en"/>
        </w:rPr>
      </w:pPr>
    </w:p>
    <w:p w14:paraId="1E9788D8" w14:textId="3CD1D693" w:rsidR="00FF2EB0" w:rsidRDefault="00D722A0" w:rsidP="00FF2EB0">
      <w:pPr>
        <w:jc w:val="both"/>
        <w:rPr>
          <w:rStyle w:val="rynqvb"/>
          <w:rFonts w:ascii="Arial" w:hAnsi="Arial" w:cs="Arial"/>
          <w:b/>
          <w:lang w:val="en"/>
        </w:rPr>
      </w:pPr>
      <w:r>
        <w:rPr>
          <w:rStyle w:val="rynqvb"/>
          <w:rFonts w:ascii="Arial" w:hAnsi="Arial" w:cs="Arial"/>
          <w:b/>
          <w:lang w:val="en"/>
        </w:rPr>
        <w:t xml:space="preserve">2.4.1 </w:t>
      </w:r>
      <w:r w:rsidR="00FF2EB0" w:rsidRPr="00FF2EB0">
        <w:rPr>
          <w:rStyle w:val="rynqvb"/>
          <w:rFonts w:ascii="Arial" w:hAnsi="Arial" w:cs="Arial"/>
          <w:b/>
          <w:lang w:val="en"/>
        </w:rPr>
        <w:t>Preparation of concentrations used in the test</w:t>
      </w:r>
    </w:p>
    <w:p w14:paraId="0454FC42" w14:textId="77777777" w:rsidR="00FF2EB0" w:rsidRPr="00FF2EB0" w:rsidRDefault="00FF2EB0" w:rsidP="00FF2EB0">
      <w:pPr>
        <w:jc w:val="both"/>
        <w:rPr>
          <w:rStyle w:val="rynqvb"/>
          <w:rFonts w:ascii="Arial" w:hAnsi="Arial" w:cs="Arial"/>
          <w:b/>
          <w:lang w:val="en"/>
        </w:rPr>
      </w:pPr>
    </w:p>
    <w:p w14:paraId="36697D2B" w14:textId="77777777" w:rsidR="00FF2EB0" w:rsidRPr="00FF2EB0" w:rsidRDefault="00FF2EB0" w:rsidP="00FF2EB0">
      <w:pPr>
        <w:jc w:val="both"/>
        <w:rPr>
          <w:rFonts w:ascii="Arial" w:hAnsi="Arial" w:cs="Arial"/>
          <w:noProof/>
          <w:lang w:val="en-GB" w:eastAsia="fr-FR"/>
        </w:rPr>
      </w:pPr>
      <w:r w:rsidRPr="00FF2EB0">
        <w:rPr>
          <w:rStyle w:val="rynqvb"/>
          <w:rFonts w:ascii="Arial" w:hAnsi="Arial" w:cs="Arial"/>
          <w:lang w:val="en"/>
        </w:rPr>
        <w:t xml:space="preserve">The stock solutions were diluted to 80% and 90%, either with sterile distilled water for the </w:t>
      </w:r>
      <w:r w:rsidRPr="00363057">
        <w:rPr>
          <w:rStyle w:val="rynqvb"/>
          <w:rFonts w:ascii="Arial" w:hAnsi="Arial" w:cs="Arial"/>
          <w:i/>
          <w:iCs/>
          <w:highlight w:val="yellow"/>
          <w:lang w:val="en"/>
        </w:rPr>
        <w:t>Bacillus thuringiensis</w:t>
      </w:r>
      <w:r w:rsidRPr="00FF2EB0">
        <w:rPr>
          <w:rStyle w:val="rynqvb"/>
          <w:rFonts w:ascii="Arial" w:hAnsi="Arial" w:cs="Arial"/>
          <w:lang w:val="en"/>
        </w:rPr>
        <w:t xml:space="preserve"> var.</w:t>
      </w:r>
      <w:r w:rsidRPr="00FF2EB0">
        <w:rPr>
          <w:rStyle w:val="hwtze"/>
          <w:rFonts w:ascii="Arial" w:hAnsi="Arial" w:cs="Arial"/>
          <w:lang w:val="en"/>
        </w:rPr>
        <w:t xml:space="preserve"> </w:t>
      </w:r>
      <w:proofErr w:type="spellStart"/>
      <w:r w:rsidRPr="00363057">
        <w:rPr>
          <w:rStyle w:val="rynqvb"/>
          <w:rFonts w:ascii="Arial" w:hAnsi="Arial" w:cs="Arial"/>
          <w:i/>
          <w:iCs/>
          <w:highlight w:val="yellow"/>
          <w:lang w:val="en"/>
        </w:rPr>
        <w:t>kurstaki</w:t>
      </w:r>
      <w:proofErr w:type="spellEnd"/>
      <w:r w:rsidRPr="00FF2EB0">
        <w:rPr>
          <w:rStyle w:val="rynqvb"/>
          <w:rFonts w:ascii="Arial" w:hAnsi="Arial" w:cs="Arial"/>
          <w:lang w:val="en"/>
        </w:rPr>
        <w:t xml:space="preserve"> HD-1 (</w:t>
      </w:r>
      <w:proofErr w:type="spellStart"/>
      <w:r w:rsidRPr="00363057">
        <w:rPr>
          <w:rStyle w:val="rynqvb"/>
          <w:rFonts w:ascii="Arial" w:hAnsi="Arial" w:cs="Arial"/>
          <w:i/>
          <w:iCs/>
          <w:highlight w:val="yellow"/>
          <w:lang w:val="en"/>
        </w:rPr>
        <w:t>Btk</w:t>
      </w:r>
      <w:proofErr w:type="spellEnd"/>
      <w:r w:rsidRPr="00FF2EB0">
        <w:rPr>
          <w:rStyle w:val="rynqvb"/>
          <w:rFonts w:ascii="Arial" w:hAnsi="Arial" w:cs="Arial"/>
          <w:lang w:val="en"/>
        </w:rPr>
        <w:t xml:space="preserve"> HD-1) biopesticide, or with Tween 20 for the neem and </w:t>
      </w:r>
      <w:proofErr w:type="spellStart"/>
      <w:r w:rsidRPr="00FF2EB0">
        <w:rPr>
          <w:rStyle w:val="rynqvb"/>
          <w:rFonts w:ascii="Arial" w:hAnsi="Arial" w:cs="Arial"/>
          <w:lang w:val="en"/>
        </w:rPr>
        <w:t>carapa</w:t>
      </w:r>
      <w:proofErr w:type="spellEnd"/>
      <w:r w:rsidRPr="00FF2EB0">
        <w:rPr>
          <w:rStyle w:val="rynqvb"/>
          <w:rFonts w:ascii="Arial" w:hAnsi="Arial" w:cs="Arial"/>
          <w:lang w:val="en"/>
        </w:rPr>
        <w:t xml:space="preserve"> oils.</w:t>
      </w:r>
      <w:r w:rsidRPr="00FF2EB0">
        <w:rPr>
          <w:rStyle w:val="hwtze"/>
          <w:rFonts w:ascii="Arial" w:hAnsi="Arial" w:cs="Arial"/>
          <w:lang w:val="en"/>
        </w:rPr>
        <w:t xml:space="preserve"> </w:t>
      </w:r>
      <w:r w:rsidRPr="00FF2EB0">
        <w:rPr>
          <w:rStyle w:val="rynqvb"/>
          <w:rFonts w:ascii="Arial" w:hAnsi="Arial" w:cs="Arial"/>
          <w:lang w:val="en"/>
        </w:rPr>
        <w:t>This resulted in the 10% and 20% (v/v) concentrations shown in Table 1.</w:t>
      </w:r>
      <w:r w:rsidRPr="00FF2EB0">
        <w:rPr>
          <w:rStyle w:val="hwtze"/>
          <w:rFonts w:ascii="Arial" w:hAnsi="Arial" w:cs="Arial"/>
          <w:lang w:val="en"/>
        </w:rPr>
        <w:t xml:space="preserve"> </w:t>
      </w:r>
      <w:r w:rsidRPr="00FF2EB0">
        <w:rPr>
          <w:rStyle w:val="rynqvb"/>
          <w:rFonts w:ascii="Arial" w:hAnsi="Arial" w:cs="Arial"/>
          <w:lang w:val="en"/>
        </w:rPr>
        <w:t>For the garlic extract, 200 g of garlic cloves were ground in a blender.</w:t>
      </w:r>
      <w:r w:rsidRPr="00FF2EB0">
        <w:rPr>
          <w:rStyle w:val="hwtze"/>
          <w:rFonts w:ascii="Arial" w:hAnsi="Arial" w:cs="Arial"/>
          <w:lang w:val="en"/>
        </w:rPr>
        <w:t xml:space="preserve"> </w:t>
      </w:r>
      <w:r w:rsidRPr="00FF2EB0">
        <w:rPr>
          <w:rStyle w:val="rynqvb"/>
          <w:rFonts w:ascii="Arial" w:hAnsi="Arial" w:cs="Arial"/>
          <w:lang w:val="en"/>
        </w:rPr>
        <w:t>One liter of distilled water was added, and the resulting solution was filtered through a white poplin cloth.</w:t>
      </w:r>
      <w:r w:rsidRPr="00FF2EB0">
        <w:rPr>
          <w:rStyle w:val="hwtze"/>
          <w:rFonts w:ascii="Arial" w:hAnsi="Arial" w:cs="Arial"/>
          <w:lang w:val="en"/>
        </w:rPr>
        <w:t xml:space="preserve"> </w:t>
      </w:r>
      <w:r w:rsidRPr="00FF2EB0">
        <w:rPr>
          <w:rStyle w:val="rynqvb"/>
          <w:rFonts w:ascii="Arial" w:hAnsi="Arial" w:cs="Arial"/>
          <w:lang w:val="en"/>
        </w:rPr>
        <w:t>For the reference chemical fungicide, the approved concentration of 5 g/l was used.</w:t>
      </w:r>
    </w:p>
    <w:p w14:paraId="1FC0DB18" w14:textId="77777777" w:rsidR="00FF2EB0" w:rsidRPr="00D722A0" w:rsidRDefault="00FF2EB0" w:rsidP="00FF2EB0">
      <w:pPr>
        <w:jc w:val="both"/>
        <w:rPr>
          <w:rFonts w:ascii="Arial" w:hAnsi="Arial" w:cs="Arial"/>
          <w:lang w:val="en-GB" w:eastAsia="fr-FR"/>
        </w:rPr>
      </w:pPr>
    </w:p>
    <w:p w14:paraId="15F8FE1E" w14:textId="3653820F" w:rsidR="00D722A0" w:rsidRPr="00D722A0" w:rsidRDefault="00D722A0" w:rsidP="00D722A0">
      <w:pPr>
        <w:contextualSpacing/>
        <w:jc w:val="both"/>
        <w:rPr>
          <w:rStyle w:val="rynqvb"/>
          <w:rFonts w:ascii="Arial" w:hAnsi="Arial" w:cs="Arial"/>
          <w:lang w:val="en"/>
        </w:rPr>
      </w:pPr>
      <w:r w:rsidRPr="00D722A0">
        <w:rPr>
          <w:rStyle w:val="rynqvb"/>
          <w:rFonts w:ascii="Arial" w:hAnsi="Arial" w:cs="Arial"/>
          <w:b/>
          <w:lang w:val="en"/>
        </w:rPr>
        <w:t xml:space="preserve">Table </w:t>
      </w:r>
      <w:r w:rsidR="00543C71">
        <w:rPr>
          <w:rStyle w:val="rynqvb"/>
          <w:rFonts w:ascii="Arial" w:hAnsi="Arial" w:cs="Arial"/>
          <w:b/>
          <w:lang w:val="en"/>
        </w:rPr>
        <w:t>1</w:t>
      </w:r>
      <w:r w:rsidR="00543C71" w:rsidRPr="00543C71">
        <w:rPr>
          <w:rStyle w:val="rynqvb"/>
          <w:rFonts w:ascii="Arial" w:hAnsi="Arial" w:cs="Arial"/>
          <w:bCs/>
          <w:lang w:val="en"/>
        </w:rPr>
        <w:t>.</w:t>
      </w:r>
      <w:r w:rsidRPr="00D722A0">
        <w:rPr>
          <w:rStyle w:val="rynqvb"/>
          <w:rFonts w:ascii="Arial" w:hAnsi="Arial" w:cs="Arial"/>
          <w:lang w:val="en"/>
        </w:rPr>
        <w:t xml:space="preserve"> Concentrations of biopesticides and chemical fungicides evaluated</w:t>
      </w:r>
    </w:p>
    <w:p w14:paraId="0C397EF9" w14:textId="77777777" w:rsidR="00D722A0" w:rsidRPr="00D722A0" w:rsidRDefault="00D722A0" w:rsidP="00D722A0">
      <w:pPr>
        <w:contextualSpacing/>
        <w:jc w:val="both"/>
        <w:rPr>
          <w:rFonts w:ascii="Arial" w:hAnsi="Arial" w:cs="Arial"/>
          <w:b/>
          <w:bCs/>
          <w:noProof/>
          <w:sz w:val="8"/>
          <w:szCs w:val="8"/>
          <w:lang w:val="en-GB" w:eastAsia="fr-FR"/>
        </w:rPr>
      </w:pPr>
    </w:p>
    <w:tbl>
      <w:tblPr>
        <w:tblStyle w:val="TableGrid"/>
        <w:tblpPr w:leftFromText="141" w:rightFromText="141" w:vertAnchor="text" w:horzAnchor="margin" w:tblpXSpec="center" w:tblpY="11"/>
        <w:tblOverlap w:val="never"/>
        <w:tblW w:w="7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2872"/>
        <w:gridCol w:w="1882"/>
      </w:tblGrid>
      <w:tr w:rsidR="00D722A0" w:rsidRPr="00D722A0" w14:paraId="3DF83D8B" w14:textId="77777777" w:rsidTr="002B2255">
        <w:trPr>
          <w:trHeight w:val="386"/>
        </w:trPr>
        <w:tc>
          <w:tcPr>
            <w:tcW w:w="2872" w:type="dxa"/>
            <w:tcBorders>
              <w:top w:val="single" w:sz="18" w:space="0" w:color="auto"/>
              <w:bottom w:val="single" w:sz="18" w:space="0" w:color="auto"/>
            </w:tcBorders>
            <w:vAlign w:val="center"/>
          </w:tcPr>
          <w:p w14:paraId="14C8C12B" w14:textId="77777777" w:rsidR="00D722A0" w:rsidRPr="00D722A0" w:rsidRDefault="00D722A0" w:rsidP="002B2255">
            <w:pPr>
              <w:contextualSpacing/>
              <w:jc w:val="center"/>
              <w:rPr>
                <w:rFonts w:ascii="Arial" w:hAnsi="Arial" w:cs="Arial"/>
                <w:b/>
                <w:bCs/>
                <w:sz w:val="20"/>
                <w:szCs w:val="20"/>
                <w:lang w:val="en-GB"/>
              </w:rPr>
            </w:pPr>
            <w:r w:rsidRPr="00D722A0">
              <w:rPr>
                <w:rStyle w:val="rynqvb"/>
                <w:rFonts w:ascii="Arial" w:hAnsi="Arial" w:cs="Arial"/>
                <w:b/>
                <w:sz w:val="20"/>
                <w:szCs w:val="20"/>
                <w:lang w:val="en"/>
              </w:rPr>
              <w:t>Trade name or common name</w:t>
            </w:r>
          </w:p>
        </w:tc>
        <w:tc>
          <w:tcPr>
            <w:tcW w:w="2872" w:type="dxa"/>
            <w:tcBorders>
              <w:top w:val="single" w:sz="18" w:space="0" w:color="auto"/>
              <w:bottom w:val="single" w:sz="18" w:space="0" w:color="auto"/>
            </w:tcBorders>
            <w:vAlign w:val="center"/>
          </w:tcPr>
          <w:p w14:paraId="74A756A0" w14:textId="77777777" w:rsidR="00D722A0" w:rsidRPr="00D722A0" w:rsidRDefault="00D722A0" w:rsidP="002B2255">
            <w:pPr>
              <w:contextualSpacing/>
              <w:jc w:val="center"/>
              <w:rPr>
                <w:rFonts w:ascii="Arial" w:hAnsi="Arial" w:cs="Arial"/>
                <w:b/>
                <w:bCs/>
                <w:sz w:val="20"/>
                <w:szCs w:val="20"/>
              </w:rPr>
            </w:pPr>
            <w:r w:rsidRPr="00D722A0">
              <w:rPr>
                <w:rStyle w:val="rynqvb"/>
                <w:rFonts w:ascii="Arial" w:hAnsi="Arial" w:cs="Arial"/>
                <w:b/>
                <w:sz w:val="20"/>
                <w:szCs w:val="20"/>
                <w:lang w:val="en"/>
              </w:rPr>
              <w:t>Treatments</w:t>
            </w:r>
          </w:p>
        </w:tc>
        <w:tc>
          <w:tcPr>
            <w:tcW w:w="1882" w:type="dxa"/>
            <w:tcBorders>
              <w:top w:val="single" w:sz="18" w:space="0" w:color="auto"/>
              <w:bottom w:val="single" w:sz="18" w:space="0" w:color="auto"/>
            </w:tcBorders>
            <w:vAlign w:val="center"/>
          </w:tcPr>
          <w:p w14:paraId="52B32751" w14:textId="77777777" w:rsidR="00D722A0" w:rsidRPr="00D722A0" w:rsidRDefault="00D722A0" w:rsidP="002B2255">
            <w:pPr>
              <w:contextualSpacing/>
              <w:jc w:val="center"/>
              <w:rPr>
                <w:rFonts w:ascii="Arial" w:hAnsi="Arial" w:cs="Arial"/>
                <w:b/>
                <w:bCs/>
                <w:sz w:val="20"/>
                <w:szCs w:val="20"/>
                <w:lang w:val="fr-CI"/>
              </w:rPr>
            </w:pPr>
            <w:r w:rsidRPr="00D722A0">
              <w:rPr>
                <w:rStyle w:val="rynqvb"/>
                <w:rFonts w:ascii="Arial" w:hAnsi="Arial" w:cs="Arial"/>
                <w:b/>
                <w:sz w:val="20"/>
                <w:szCs w:val="20"/>
                <w:lang w:val="en"/>
              </w:rPr>
              <w:t>Concentrations</w:t>
            </w:r>
          </w:p>
        </w:tc>
      </w:tr>
      <w:tr w:rsidR="00D722A0" w:rsidRPr="00D722A0" w14:paraId="751256E0" w14:textId="77777777" w:rsidTr="002B2255">
        <w:trPr>
          <w:trHeight w:val="285"/>
        </w:trPr>
        <w:tc>
          <w:tcPr>
            <w:tcW w:w="2872" w:type="dxa"/>
            <w:tcBorders>
              <w:top w:val="single" w:sz="18" w:space="0" w:color="auto"/>
            </w:tcBorders>
          </w:tcPr>
          <w:p w14:paraId="775DE5A5" w14:textId="77777777" w:rsidR="00D722A0" w:rsidRPr="00D722A0" w:rsidRDefault="00D722A0" w:rsidP="002B2255">
            <w:pPr>
              <w:contextualSpacing/>
              <w:jc w:val="center"/>
              <w:rPr>
                <w:rFonts w:ascii="Arial" w:hAnsi="Arial" w:cs="Arial"/>
                <w:sz w:val="20"/>
                <w:szCs w:val="20"/>
              </w:rPr>
            </w:pPr>
          </w:p>
        </w:tc>
        <w:tc>
          <w:tcPr>
            <w:tcW w:w="2872" w:type="dxa"/>
            <w:tcBorders>
              <w:top w:val="single" w:sz="18" w:space="0" w:color="auto"/>
            </w:tcBorders>
          </w:tcPr>
          <w:p w14:paraId="683FD736" w14:textId="77777777" w:rsidR="00D722A0" w:rsidRPr="00D722A0" w:rsidRDefault="00D722A0" w:rsidP="002B2255">
            <w:pPr>
              <w:contextualSpacing/>
              <w:rPr>
                <w:rFonts w:ascii="Arial" w:hAnsi="Arial" w:cs="Arial"/>
                <w:sz w:val="20"/>
                <w:szCs w:val="20"/>
              </w:rPr>
            </w:pPr>
            <w:r w:rsidRPr="00D722A0">
              <w:rPr>
                <w:rStyle w:val="rynqvb"/>
                <w:rFonts w:ascii="Arial" w:hAnsi="Arial" w:cs="Arial"/>
                <w:sz w:val="20"/>
                <w:szCs w:val="20"/>
                <w:lang w:val="en"/>
              </w:rPr>
              <w:t>Untreated witness</w:t>
            </w:r>
            <w:r w:rsidRPr="00D722A0">
              <w:rPr>
                <w:rFonts w:ascii="Arial" w:hAnsi="Arial" w:cs="Arial"/>
                <w:sz w:val="20"/>
                <w:szCs w:val="20"/>
              </w:rPr>
              <w:t xml:space="preserve"> (T0)</w:t>
            </w:r>
          </w:p>
        </w:tc>
        <w:tc>
          <w:tcPr>
            <w:tcW w:w="1882" w:type="dxa"/>
            <w:tcBorders>
              <w:top w:val="single" w:sz="18" w:space="0" w:color="auto"/>
            </w:tcBorders>
          </w:tcPr>
          <w:p w14:paraId="74301E96"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w:t>
            </w:r>
          </w:p>
        </w:tc>
      </w:tr>
      <w:tr w:rsidR="00D722A0" w:rsidRPr="00D722A0" w14:paraId="42751292" w14:textId="77777777" w:rsidTr="002B2255">
        <w:trPr>
          <w:trHeight w:val="171"/>
        </w:trPr>
        <w:tc>
          <w:tcPr>
            <w:tcW w:w="2872" w:type="dxa"/>
            <w:vMerge w:val="restart"/>
            <w:vAlign w:val="center"/>
          </w:tcPr>
          <w:p w14:paraId="5B9BCF47" w14:textId="77777777" w:rsidR="00D722A0" w:rsidRPr="00D722A0" w:rsidRDefault="00D722A0" w:rsidP="002B2255">
            <w:pPr>
              <w:contextualSpacing/>
              <w:jc w:val="center"/>
              <w:rPr>
                <w:rFonts w:ascii="Arial" w:hAnsi="Arial" w:cs="Arial"/>
                <w:sz w:val="20"/>
                <w:szCs w:val="20"/>
              </w:rPr>
            </w:pPr>
            <w:proofErr w:type="spellStart"/>
            <w:r w:rsidRPr="00D722A0">
              <w:rPr>
                <w:rFonts w:ascii="Arial" w:hAnsi="Arial" w:cs="Arial"/>
                <w:sz w:val="20"/>
                <w:szCs w:val="20"/>
              </w:rPr>
              <w:t>Bioval</w:t>
            </w:r>
            <w:proofErr w:type="spellEnd"/>
          </w:p>
        </w:tc>
        <w:tc>
          <w:tcPr>
            <w:tcW w:w="2872" w:type="dxa"/>
          </w:tcPr>
          <w:p w14:paraId="036BB309" w14:textId="77777777" w:rsidR="00D722A0" w:rsidRPr="00D722A0" w:rsidRDefault="00D722A0" w:rsidP="002B2255">
            <w:pPr>
              <w:contextualSpacing/>
              <w:rPr>
                <w:rFonts w:ascii="Arial" w:hAnsi="Arial" w:cs="Arial"/>
                <w:sz w:val="20"/>
                <w:szCs w:val="20"/>
              </w:rPr>
            </w:pPr>
            <w:proofErr w:type="spellStart"/>
            <w:r w:rsidRPr="00363057">
              <w:rPr>
                <w:rFonts w:ascii="Arial" w:hAnsi="Arial" w:cs="Arial"/>
                <w:i/>
                <w:iCs/>
                <w:sz w:val="20"/>
                <w:szCs w:val="20"/>
                <w:highlight w:val="yellow"/>
              </w:rPr>
              <w:t>Btk</w:t>
            </w:r>
            <w:proofErr w:type="spellEnd"/>
            <w:r w:rsidRPr="00D722A0">
              <w:rPr>
                <w:rFonts w:ascii="Arial" w:hAnsi="Arial" w:cs="Arial"/>
                <w:sz w:val="20"/>
                <w:szCs w:val="20"/>
              </w:rPr>
              <w:t xml:space="preserve"> HD-1 (TB1)</w:t>
            </w:r>
          </w:p>
        </w:tc>
        <w:tc>
          <w:tcPr>
            <w:tcW w:w="1882" w:type="dxa"/>
          </w:tcPr>
          <w:p w14:paraId="55C00462"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 xml:space="preserve">10 </w:t>
            </w:r>
            <w:r w:rsidRPr="00D722A0">
              <w:rPr>
                <w:rFonts w:ascii="Arial" w:hAnsi="Arial" w:cs="Arial"/>
                <w:sz w:val="20"/>
                <w:szCs w:val="20"/>
                <w:lang w:val="fr-CI"/>
              </w:rPr>
              <w:t>% (v/v)</w:t>
            </w:r>
          </w:p>
        </w:tc>
      </w:tr>
      <w:tr w:rsidR="00D722A0" w:rsidRPr="00D722A0" w14:paraId="3F9CED02" w14:textId="77777777" w:rsidTr="002B2255">
        <w:trPr>
          <w:trHeight w:val="292"/>
        </w:trPr>
        <w:tc>
          <w:tcPr>
            <w:tcW w:w="2872" w:type="dxa"/>
            <w:vMerge/>
            <w:vAlign w:val="center"/>
          </w:tcPr>
          <w:p w14:paraId="20564541" w14:textId="77777777" w:rsidR="00D722A0" w:rsidRPr="00D722A0" w:rsidRDefault="00D722A0" w:rsidP="002B2255">
            <w:pPr>
              <w:contextualSpacing/>
              <w:jc w:val="center"/>
              <w:rPr>
                <w:rFonts w:ascii="Arial" w:hAnsi="Arial" w:cs="Arial"/>
                <w:sz w:val="20"/>
                <w:szCs w:val="20"/>
              </w:rPr>
            </w:pPr>
          </w:p>
        </w:tc>
        <w:tc>
          <w:tcPr>
            <w:tcW w:w="2872" w:type="dxa"/>
          </w:tcPr>
          <w:p w14:paraId="28AB9CC4" w14:textId="77777777" w:rsidR="00D722A0" w:rsidRPr="00D722A0" w:rsidRDefault="00D722A0" w:rsidP="002B2255">
            <w:pPr>
              <w:contextualSpacing/>
              <w:rPr>
                <w:rFonts w:ascii="Arial" w:hAnsi="Arial" w:cs="Arial"/>
                <w:sz w:val="20"/>
                <w:szCs w:val="20"/>
              </w:rPr>
            </w:pPr>
            <w:proofErr w:type="spellStart"/>
            <w:r w:rsidRPr="00363057">
              <w:rPr>
                <w:rFonts w:ascii="Arial" w:hAnsi="Arial" w:cs="Arial"/>
                <w:i/>
                <w:iCs/>
                <w:sz w:val="20"/>
                <w:szCs w:val="20"/>
                <w:highlight w:val="yellow"/>
              </w:rPr>
              <w:t>Btk</w:t>
            </w:r>
            <w:proofErr w:type="spellEnd"/>
            <w:r w:rsidRPr="00D722A0">
              <w:rPr>
                <w:rFonts w:ascii="Arial" w:hAnsi="Arial" w:cs="Arial"/>
                <w:sz w:val="20"/>
                <w:szCs w:val="20"/>
              </w:rPr>
              <w:t xml:space="preserve"> HD-1 (TB2)</w:t>
            </w:r>
          </w:p>
        </w:tc>
        <w:tc>
          <w:tcPr>
            <w:tcW w:w="1882" w:type="dxa"/>
          </w:tcPr>
          <w:p w14:paraId="5AA9CFFC"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 xml:space="preserve">20 </w:t>
            </w:r>
            <w:r w:rsidRPr="00D722A0">
              <w:rPr>
                <w:rFonts w:ascii="Arial" w:hAnsi="Arial" w:cs="Arial"/>
                <w:sz w:val="20"/>
                <w:szCs w:val="20"/>
                <w:lang w:val="fr-CI"/>
              </w:rPr>
              <w:t>% (v/v)</w:t>
            </w:r>
          </w:p>
        </w:tc>
      </w:tr>
      <w:tr w:rsidR="00D722A0" w:rsidRPr="00D722A0" w14:paraId="1113BA7A" w14:textId="77777777" w:rsidTr="002B2255">
        <w:trPr>
          <w:trHeight w:val="292"/>
        </w:trPr>
        <w:tc>
          <w:tcPr>
            <w:tcW w:w="2872" w:type="dxa"/>
            <w:vMerge w:val="restart"/>
            <w:vAlign w:val="center"/>
          </w:tcPr>
          <w:p w14:paraId="023D463D" w14:textId="77777777" w:rsidR="00D722A0" w:rsidRPr="00D722A0" w:rsidRDefault="00D722A0" w:rsidP="002B2255">
            <w:pPr>
              <w:contextualSpacing/>
              <w:jc w:val="center"/>
              <w:rPr>
                <w:rFonts w:ascii="Arial" w:hAnsi="Arial" w:cs="Arial"/>
                <w:sz w:val="20"/>
                <w:szCs w:val="20"/>
              </w:rPr>
            </w:pPr>
            <w:r w:rsidRPr="00D722A0">
              <w:rPr>
                <w:rStyle w:val="rynqvb"/>
                <w:rFonts w:ascii="Arial" w:hAnsi="Arial" w:cs="Arial"/>
                <w:sz w:val="20"/>
                <w:szCs w:val="20"/>
                <w:lang w:val="en"/>
              </w:rPr>
              <w:t>Neem oil</w:t>
            </w:r>
          </w:p>
        </w:tc>
        <w:tc>
          <w:tcPr>
            <w:tcW w:w="2872" w:type="dxa"/>
          </w:tcPr>
          <w:p w14:paraId="03BC43D7" w14:textId="77777777" w:rsidR="00D722A0" w:rsidRPr="00D722A0" w:rsidRDefault="00D722A0" w:rsidP="002B2255">
            <w:pPr>
              <w:contextualSpacing/>
              <w:rPr>
                <w:rFonts w:ascii="Arial" w:hAnsi="Arial" w:cs="Arial"/>
                <w:sz w:val="20"/>
                <w:szCs w:val="20"/>
              </w:rPr>
            </w:pPr>
            <w:r w:rsidRPr="00D722A0">
              <w:rPr>
                <w:rStyle w:val="rynqvb"/>
                <w:rFonts w:ascii="Arial" w:hAnsi="Arial" w:cs="Arial"/>
                <w:sz w:val="20"/>
                <w:szCs w:val="20"/>
                <w:lang w:val="en"/>
              </w:rPr>
              <w:t>Neem oil</w:t>
            </w:r>
            <w:r w:rsidRPr="00D722A0">
              <w:rPr>
                <w:rFonts w:ascii="Arial" w:hAnsi="Arial" w:cs="Arial"/>
                <w:sz w:val="20"/>
                <w:szCs w:val="20"/>
              </w:rPr>
              <w:t xml:space="preserve"> (TN1)</w:t>
            </w:r>
          </w:p>
        </w:tc>
        <w:tc>
          <w:tcPr>
            <w:tcW w:w="1882" w:type="dxa"/>
          </w:tcPr>
          <w:p w14:paraId="688352FE"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 xml:space="preserve">10 </w:t>
            </w:r>
            <w:r w:rsidRPr="00D722A0">
              <w:rPr>
                <w:rFonts w:ascii="Arial" w:hAnsi="Arial" w:cs="Arial"/>
                <w:sz w:val="20"/>
                <w:szCs w:val="20"/>
                <w:lang w:val="fr-CI"/>
              </w:rPr>
              <w:t>% (v/v)</w:t>
            </w:r>
          </w:p>
        </w:tc>
      </w:tr>
      <w:tr w:rsidR="00D722A0" w:rsidRPr="00D722A0" w14:paraId="2A58CEBE" w14:textId="77777777" w:rsidTr="002B2255">
        <w:trPr>
          <w:trHeight w:val="282"/>
        </w:trPr>
        <w:tc>
          <w:tcPr>
            <w:tcW w:w="2872" w:type="dxa"/>
            <w:vMerge/>
            <w:vAlign w:val="center"/>
          </w:tcPr>
          <w:p w14:paraId="3CE58734" w14:textId="77777777" w:rsidR="00D722A0" w:rsidRPr="00D722A0" w:rsidRDefault="00D722A0" w:rsidP="002B2255">
            <w:pPr>
              <w:contextualSpacing/>
              <w:jc w:val="center"/>
              <w:rPr>
                <w:rFonts w:ascii="Arial" w:hAnsi="Arial" w:cs="Arial"/>
                <w:sz w:val="20"/>
                <w:szCs w:val="20"/>
              </w:rPr>
            </w:pPr>
          </w:p>
        </w:tc>
        <w:tc>
          <w:tcPr>
            <w:tcW w:w="2872" w:type="dxa"/>
          </w:tcPr>
          <w:p w14:paraId="4C80A829" w14:textId="77777777" w:rsidR="00D722A0" w:rsidRPr="00D722A0" w:rsidRDefault="00D722A0" w:rsidP="002B2255">
            <w:pPr>
              <w:contextualSpacing/>
              <w:rPr>
                <w:rFonts w:ascii="Arial" w:hAnsi="Arial" w:cs="Arial"/>
                <w:sz w:val="20"/>
                <w:szCs w:val="20"/>
              </w:rPr>
            </w:pPr>
            <w:r w:rsidRPr="00D722A0">
              <w:rPr>
                <w:rStyle w:val="rynqvb"/>
                <w:rFonts w:ascii="Arial" w:hAnsi="Arial" w:cs="Arial"/>
                <w:sz w:val="20"/>
                <w:szCs w:val="20"/>
                <w:lang w:val="en"/>
              </w:rPr>
              <w:t>Neem oil</w:t>
            </w:r>
            <w:r w:rsidRPr="00D722A0">
              <w:rPr>
                <w:rFonts w:ascii="Arial" w:hAnsi="Arial" w:cs="Arial"/>
                <w:sz w:val="20"/>
                <w:szCs w:val="20"/>
              </w:rPr>
              <w:t xml:space="preserve"> (TN2)</w:t>
            </w:r>
          </w:p>
        </w:tc>
        <w:tc>
          <w:tcPr>
            <w:tcW w:w="1882" w:type="dxa"/>
          </w:tcPr>
          <w:p w14:paraId="7EC017AA"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 xml:space="preserve">20 </w:t>
            </w:r>
            <w:r w:rsidRPr="00D722A0">
              <w:rPr>
                <w:rFonts w:ascii="Arial" w:hAnsi="Arial" w:cs="Arial"/>
                <w:sz w:val="20"/>
                <w:szCs w:val="20"/>
                <w:lang w:val="fr-CI"/>
              </w:rPr>
              <w:t>% (v/v)</w:t>
            </w:r>
          </w:p>
        </w:tc>
      </w:tr>
      <w:tr w:rsidR="00D722A0" w:rsidRPr="00D722A0" w14:paraId="742351E7" w14:textId="77777777" w:rsidTr="002B2255">
        <w:trPr>
          <w:trHeight w:val="272"/>
        </w:trPr>
        <w:tc>
          <w:tcPr>
            <w:tcW w:w="2872" w:type="dxa"/>
            <w:vMerge w:val="restart"/>
            <w:vAlign w:val="center"/>
          </w:tcPr>
          <w:p w14:paraId="2C001DC6" w14:textId="77777777" w:rsidR="00D722A0" w:rsidRPr="00D722A0" w:rsidRDefault="00D722A0" w:rsidP="002B2255">
            <w:pPr>
              <w:contextualSpacing/>
              <w:jc w:val="center"/>
              <w:rPr>
                <w:rFonts w:ascii="Arial" w:hAnsi="Arial" w:cs="Arial"/>
                <w:sz w:val="20"/>
                <w:szCs w:val="20"/>
              </w:rPr>
            </w:pPr>
            <w:r w:rsidRPr="00D722A0">
              <w:rPr>
                <w:rStyle w:val="rynqvb"/>
                <w:rFonts w:ascii="Arial" w:hAnsi="Arial" w:cs="Arial"/>
                <w:sz w:val="20"/>
                <w:szCs w:val="20"/>
                <w:lang w:val="en"/>
              </w:rPr>
              <w:t>Carapa oil</w:t>
            </w:r>
          </w:p>
        </w:tc>
        <w:tc>
          <w:tcPr>
            <w:tcW w:w="2872" w:type="dxa"/>
          </w:tcPr>
          <w:p w14:paraId="1B830B1A" w14:textId="77777777" w:rsidR="00D722A0" w:rsidRPr="00D722A0" w:rsidRDefault="00D722A0" w:rsidP="002B2255">
            <w:pPr>
              <w:contextualSpacing/>
              <w:rPr>
                <w:rFonts w:ascii="Arial" w:hAnsi="Arial" w:cs="Arial"/>
                <w:sz w:val="20"/>
                <w:szCs w:val="20"/>
              </w:rPr>
            </w:pPr>
            <w:r w:rsidRPr="00D722A0">
              <w:rPr>
                <w:rStyle w:val="rynqvb"/>
                <w:rFonts w:ascii="Arial" w:hAnsi="Arial" w:cs="Arial"/>
                <w:sz w:val="20"/>
                <w:szCs w:val="20"/>
                <w:lang w:val="en"/>
              </w:rPr>
              <w:t>Carapa oil</w:t>
            </w:r>
            <w:r w:rsidRPr="00D722A0">
              <w:rPr>
                <w:rFonts w:ascii="Arial" w:hAnsi="Arial" w:cs="Arial"/>
                <w:sz w:val="20"/>
                <w:szCs w:val="20"/>
              </w:rPr>
              <w:t xml:space="preserve"> (TCa1)</w:t>
            </w:r>
          </w:p>
        </w:tc>
        <w:tc>
          <w:tcPr>
            <w:tcW w:w="1882" w:type="dxa"/>
          </w:tcPr>
          <w:p w14:paraId="0D4D9394"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 xml:space="preserve">6 </w:t>
            </w:r>
            <w:r w:rsidRPr="00D722A0">
              <w:rPr>
                <w:rFonts w:ascii="Arial" w:hAnsi="Arial" w:cs="Arial"/>
                <w:sz w:val="20"/>
                <w:szCs w:val="20"/>
                <w:lang w:val="fr-CI"/>
              </w:rPr>
              <w:t>% (v/v)</w:t>
            </w:r>
          </w:p>
        </w:tc>
      </w:tr>
      <w:tr w:rsidR="00D722A0" w:rsidRPr="00D722A0" w14:paraId="5F462BCE" w14:textId="77777777" w:rsidTr="002B2255">
        <w:trPr>
          <w:trHeight w:val="290"/>
        </w:trPr>
        <w:tc>
          <w:tcPr>
            <w:tcW w:w="2872" w:type="dxa"/>
            <w:vMerge/>
            <w:vAlign w:val="center"/>
          </w:tcPr>
          <w:p w14:paraId="0A0A1384" w14:textId="77777777" w:rsidR="00D722A0" w:rsidRPr="00D722A0" w:rsidRDefault="00D722A0" w:rsidP="002B2255">
            <w:pPr>
              <w:contextualSpacing/>
              <w:jc w:val="center"/>
              <w:rPr>
                <w:rFonts w:ascii="Arial" w:hAnsi="Arial" w:cs="Arial"/>
                <w:sz w:val="20"/>
                <w:szCs w:val="20"/>
              </w:rPr>
            </w:pPr>
          </w:p>
        </w:tc>
        <w:tc>
          <w:tcPr>
            <w:tcW w:w="2872" w:type="dxa"/>
          </w:tcPr>
          <w:p w14:paraId="3F9B6786" w14:textId="77777777" w:rsidR="00D722A0" w:rsidRPr="00D722A0" w:rsidRDefault="00D722A0" w:rsidP="002B2255">
            <w:pPr>
              <w:contextualSpacing/>
              <w:rPr>
                <w:rFonts w:ascii="Arial" w:hAnsi="Arial" w:cs="Arial"/>
                <w:sz w:val="20"/>
                <w:szCs w:val="20"/>
              </w:rPr>
            </w:pPr>
            <w:r w:rsidRPr="00D722A0">
              <w:rPr>
                <w:rStyle w:val="rynqvb"/>
                <w:rFonts w:ascii="Arial" w:hAnsi="Arial" w:cs="Arial"/>
                <w:sz w:val="20"/>
                <w:szCs w:val="20"/>
                <w:lang w:val="en"/>
              </w:rPr>
              <w:t>Carapa oil</w:t>
            </w:r>
            <w:r w:rsidRPr="00D722A0">
              <w:rPr>
                <w:rFonts w:ascii="Arial" w:hAnsi="Arial" w:cs="Arial"/>
                <w:sz w:val="20"/>
                <w:szCs w:val="20"/>
              </w:rPr>
              <w:t xml:space="preserve"> (TCa2)</w:t>
            </w:r>
          </w:p>
        </w:tc>
        <w:tc>
          <w:tcPr>
            <w:tcW w:w="1882" w:type="dxa"/>
          </w:tcPr>
          <w:p w14:paraId="47DF5ED7"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 xml:space="preserve">12 </w:t>
            </w:r>
            <w:r w:rsidRPr="00D722A0">
              <w:rPr>
                <w:rFonts w:ascii="Arial" w:hAnsi="Arial" w:cs="Arial"/>
                <w:sz w:val="20"/>
                <w:szCs w:val="20"/>
                <w:lang w:val="fr-CI"/>
              </w:rPr>
              <w:t>% (v/v)</w:t>
            </w:r>
          </w:p>
        </w:tc>
      </w:tr>
      <w:tr w:rsidR="00D722A0" w:rsidRPr="00D722A0" w14:paraId="1EA20F7E" w14:textId="77777777" w:rsidTr="002B2255">
        <w:trPr>
          <w:trHeight w:val="280"/>
        </w:trPr>
        <w:tc>
          <w:tcPr>
            <w:tcW w:w="2872" w:type="dxa"/>
            <w:vMerge w:val="restart"/>
            <w:vAlign w:val="center"/>
          </w:tcPr>
          <w:p w14:paraId="220B658A" w14:textId="77777777" w:rsidR="00D722A0" w:rsidRPr="00D722A0" w:rsidRDefault="00D722A0" w:rsidP="002B2255">
            <w:pPr>
              <w:contextualSpacing/>
              <w:jc w:val="center"/>
              <w:rPr>
                <w:rFonts w:ascii="Arial" w:hAnsi="Arial" w:cs="Arial"/>
                <w:sz w:val="20"/>
                <w:szCs w:val="20"/>
              </w:rPr>
            </w:pPr>
            <w:r w:rsidRPr="00D722A0">
              <w:rPr>
                <w:rStyle w:val="rynqvb"/>
                <w:rFonts w:ascii="Arial" w:hAnsi="Arial" w:cs="Arial"/>
                <w:sz w:val="20"/>
                <w:szCs w:val="20"/>
                <w:lang w:val="en"/>
              </w:rPr>
              <w:t>Garlic</w:t>
            </w:r>
          </w:p>
        </w:tc>
        <w:tc>
          <w:tcPr>
            <w:tcW w:w="2872" w:type="dxa"/>
          </w:tcPr>
          <w:p w14:paraId="2A432199" w14:textId="77777777" w:rsidR="00D722A0" w:rsidRPr="00D722A0" w:rsidRDefault="00D722A0" w:rsidP="002B2255">
            <w:pPr>
              <w:contextualSpacing/>
              <w:rPr>
                <w:rFonts w:ascii="Arial" w:hAnsi="Arial" w:cs="Arial"/>
                <w:sz w:val="20"/>
                <w:szCs w:val="20"/>
                <w:lang w:val="en-GB"/>
              </w:rPr>
            </w:pPr>
            <w:r w:rsidRPr="00D722A0">
              <w:rPr>
                <w:rStyle w:val="rynqvb"/>
                <w:rFonts w:ascii="Arial" w:hAnsi="Arial" w:cs="Arial"/>
                <w:sz w:val="20"/>
                <w:szCs w:val="20"/>
                <w:lang w:val="en"/>
              </w:rPr>
              <w:t>Aqueous extract of garlic</w:t>
            </w:r>
            <w:r w:rsidRPr="00D722A0">
              <w:rPr>
                <w:rFonts w:ascii="Arial" w:hAnsi="Arial" w:cs="Arial"/>
                <w:sz w:val="20"/>
                <w:szCs w:val="20"/>
                <w:lang w:val="en-GB"/>
              </w:rPr>
              <w:t xml:space="preserve"> (TGa1)</w:t>
            </w:r>
          </w:p>
        </w:tc>
        <w:tc>
          <w:tcPr>
            <w:tcW w:w="1882" w:type="dxa"/>
          </w:tcPr>
          <w:p w14:paraId="6C6CA27A"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0,1</w:t>
            </w:r>
            <w:r w:rsidRPr="00D722A0">
              <w:rPr>
                <w:rFonts w:ascii="Arial" w:hAnsi="Arial" w:cs="Arial"/>
                <w:sz w:val="20"/>
                <w:szCs w:val="20"/>
                <w:lang w:val="fr-CI"/>
              </w:rPr>
              <w:t xml:space="preserve"> g/l</w:t>
            </w:r>
          </w:p>
        </w:tc>
      </w:tr>
      <w:tr w:rsidR="00D722A0" w:rsidRPr="00D722A0" w14:paraId="720D0892" w14:textId="77777777" w:rsidTr="002B2255">
        <w:trPr>
          <w:trHeight w:val="284"/>
        </w:trPr>
        <w:tc>
          <w:tcPr>
            <w:tcW w:w="2872" w:type="dxa"/>
            <w:vMerge/>
            <w:vAlign w:val="center"/>
          </w:tcPr>
          <w:p w14:paraId="4A392146" w14:textId="77777777" w:rsidR="00D722A0" w:rsidRPr="00D722A0" w:rsidRDefault="00D722A0" w:rsidP="002B2255">
            <w:pPr>
              <w:contextualSpacing/>
              <w:jc w:val="center"/>
              <w:rPr>
                <w:rFonts w:ascii="Arial" w:hAnsi="Arial" w:cs="Arial"/>
                <w:sz w:val="20"/>
                <w:szCs w:val="20"/>
              </w:rPr>
            </w:pPr>
          </w:p>
        </w:tc>
        <w:tc>
          <w:tcPr>
            <w:tcW w:w="2872" w:type="dxa"/>
          </w:tcPr>
          <w:p w14:paraId="0CBE65BB" w14:textId="77777777" w:rsidR="00D722A0" w:rsidRPr="00D722A0" w:rsidRDefault="00D722A0" w:rsidP="002B2255">
            <w:pPr>
              <w:contextualSpacing/>
              <w:rPr>
                <w:rFonts w:ascii="Arial" w:hAnsi="Arial" w:cs="Arial"/>
                <w:sz w:val="20"/>
                <w:szCs w:val="20"/>
                <w:lang w:val="en-GB"/>
              </w:rPr>
            </w:pPr>
            <w:r w:rsidRPr="00D722A0">
              <w:rPr>
                <w:rStyle w:val="rynqvb"/>
                <w:rFonts w:ascii="Arial" w:hAnsi="Arial" w:cs="Arial"/>
                <w:sz w:val="20"/>
                <w:szCs w:val="20"/>
                <w:lang w:val="en"/>
              </w:rPr>
              <w:t>Aqueous extract of garlic</w:t>
            </w:r>
            <w:r w:rsidRPr="00D722A0">
              <w:rPr>
                <w:rFonts w:ascii="Arial" w:hAnsi="Arial" w:cs="Arial"/>
                <w:sz w:val="20"/>
                <w:szCs w:val="20"/>
                <w:lang w:val="en-GB"/>
              </w:rPr>
              <w:t xml:space="preserve"> (TGa2)</w:t>
            </w:r>
          </w:p>
        </w:tc>
        <w:tc>
          <w:tcPr>
            <w:tcW w:w="1882" w:type="dxa"/>
          </w:tcPr>
          <w:p w14:paraId="7F516E9A"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0,2 g/l</w:t>
            </w:r>
            <w:r w:rsidRPr="00D722A0">
              <w:rPr>
                <w:rFonts w:ascii="Arial" w:hAnsi="Arial" w:cs="Arial"/>
                <w:sz w:val="20"/>
                <w:szCs w:val="20"/>
                <w:lang w:val="fr-CI"/>
              </w:rPr>
              <w:t xml:space="preserve"> </w:t>
            </w:r>
          </w:p>
        </w:tc>
      </w:tr>
      <w:tr w:rsidR="00D722A0" w:rsidRPr="00D722A0" w14:paraId="4D7F2124" w14:textId="77777777" w:rsidTr="002B2255">
        <w:trPr>
          <w:trHeight w:val="67"/>
        </w:trPr>
        <w:tc>
          <w:tcPr>
            <w:tcW w:w="2872" w:type="dxa"/>
            <w:tcBorders>
              <w:bottom w:val="single" w:sz="18" w:space="0" w:color="auto"/>
            </w:tcBorders>
            <w:vAlign w:val="center"/>
          </w:tcPr>
          <w:p w14:paraId="790EC857"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Ivory</w:t>
            </w:r>
          </w:p>
        </w:tc>
        <w:tc>
          <w:tcPr>
            <w:tcW w:w="2872" w:type="dxa"/>
            <w:tcBorders>
              <w:bottom w:val="single" w:sz="18" w:space="0" w:color="auto"/>
            </w:tcBorders>
          </w:tcPr>
          <w:p w14:paraId="4728A2D2" w14:textId="77777777" w:rsidR="00D722A0" w:rsidRPr="00D722A0" w:rsidRDefault="00D722A0" w:rsidP="002B2255">
            <w:pPr>
              <w:contextualSpacing/>
              <w:rPr>
                <w:rFonts w:ascii="Arial" w:hAnsi="Arial" w:cs="Arial"/>
                <w:sz w:val="20"/>
                <w:szCs w:val="20"/>
              </w:rPr>
            </w:pPr>
            <w:r w:rsidRPr="00D722A0">
              <w:rPr>
                <w:rStyle w:val="rynqvb"/>
                <w:rFonts w:ascii="Arial" w:hAnsi="Arial" w:cs="Arial"/>
                <w:sz w:val="20"/>
                <w:szCs w:val="20"/>
                <w:lang w:val="en"/>
              </w:rPr>
              <w:t>Chemical fungicide</w:t>
            </w:r>
          </w:p>
        </w:tc>
        <w:tc>
          <w:tcPr>
            <w:tcW w:w="1882" w:type="dxa"/>
            <w:tcBorders>
              <w:bottom w:val="single" w:sz="18" w:space="0" w:color="auto"/>
            </w:tcBorders>
          </w:tcPr>
          <w:p w14:paraId="7CFB3DCF"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5 g/l</w:t>
            </w:r>
          </w:p>
        </w:tc>
      </w:tr>
    </w:tbl>
    <w:p w14:paraId="358CF501" w14:textId="2FE4BECA" w:rsidR="00D722A0" w:rsidRDefault="00D722A0" w:rsidP="00D722A0">
      <w:pPr>
        <w:jc w:val="both"/>
        <w:rPr>
          <w:rStyle w:val="rynqvb"/>
          <w:rFonts w:ascii="Arial" w:hAnsi="Arial" w:cs="Arial"/>
          <w:b/>
          <w:lang w:val="en"/>
        </w:rPr>
      </w:pPr>
      <w:r w:rsidRPr="00D722A0">
        <w:rPr>
          <w:rFonts w:ascii="Arial" w:hAnsi="Arial" w:cs="Arial"/>
          <w:noProof/>
          <w:sz w:val="24"/>
          <w:szCs w:val="24"/>
          <w:lang w:eastAsia="fr-FR"/>
        </w:rPr>
        <w:br w:type="textWrapping" w:clear="all"/>
      </w:r>
      <w:r w:rsidRPr="00D722A0">
        <w:rPr>
          <w:rStyle w:val="rynqvb"/>
          <w:rFonts w:ascii="Arial" w:hAnsi="Arial" w:cs="Arial"/>
          <w:b/>
          <w:lang w:val="en"/>
        </w:rPr>
        <w:t xml:space="preserve">2.4.2 Amended </w:t>
      </w:r>
      <w:r>
        <w:rPr>
          <w:rStyle w:val="rynqvb"/>
          <w:rFonts w:ascii="Arial" w:hAnsi="Arial" w:cs="Arial"/>
          <w:b/>
          <w:lang w:val="en"/>
        </w:rPr>
        <w:t>c</w:t>
      </w:r>
      <w:r w:rsidRPr="00D722A0">
        <w:rPr>
          <w:rStyle w:val="rynqvb"/>
          <w:rFonts w:ascii="Arial" w:hAnsi="Arial" w:cs="Arial"/>
          <w:b/>
          <w:lang w:val="en"/>
        </w:rPr>
        <w:t xml:space="preserve">ulture </w:t>
      </w:r>
      <w:r>
        <w:rPr>
          <w:rStyle w:val="rynqvb"/>
          <w:rFonts w:ascii="Arial" w:hAnsi="Arial" w:cs="Arial"/>
          <w:b/>
          <w:lang w:val="en"/>
        </w:rPr>
        <w:t>m</w:t>
      </w:r>
      <w:r w:rsidRPr="00D722A0">
        <w:rPr>
          <w:rStyle w:val="rynqvb"/>
          <w:rFonts w:ascii="Arial" w:hAnsi="Arial" w:cs="Arial"/>
          <w:b/>
          <w:lang w:val="en"/>
        </w:rPr>
        <w:t xml:space="preserve">edium and </w:t>
      </w:r>
      <w:r>
        <w:rPr>
          <w:rStyle w:val="rynqvb"/>
          <w:rFonts w:ascii="Arial" w:hAnsi="Arial" w:cs="Arial"/>
          <w:b/>
          <w:lang w:val="en"/>
        </w:rPr>
        <w:t>i</w:t>
      </w:r>
      <w:r w:rsidRPr="00D722A0">
        <w:rPr>
          <w:rStyle w:val="rynqvb"/>
          <w:rFonts w:ascii="Arial" w:hAnsi="Arial" w:cs="Arial"/>
          <w:b/>
          <w:lang w:val="en"/>
        </w:rPr>
        <w:t xml:space="preserve">noculation </w:t>
      </w:r>
      <w:r>
        <w:rPr>
          <w:rStyle w:val="rynqvb"/>
          <w:rFonts w:ascii="Arial" w:hAnsi="Arial" w:cs="Arial"/>
          <w:b/>
          <w:lang w:val="en"/>
        </w:rPr>
        <w:t>t</w:t>
      </w:r>
      <w:r w:rsidRPr="00D722A0">
        <w:rPr>
          <w:rStyle w:val="rynqvb"/>
          <w:rFonts w:ascii="Arial" w:hAnsi="Arial" w:cs="Arial"/>
          <w:b/>
          <w:lang w:val="en"/>
        </w:rPr>
        <w:t>echnique</w:t>
      </w:r>
    </w:p>
    <w:p w14:paraId="6F5D572A" w14:textId="77777777" w:rsidR="00D722A0" w:rsidRPr="00D722A0" w:rsidRDefault="00D722A0" w:rsidP="00D722A0">
      <w:pPr>
        <w:jc w:val="both"/>
        <w:rPr>
          <w:rStyle w:val="rynqvb"/>
          <w:rFonts w:ascii="Arial" w:hAnsi="Arial" w:cs="Arial"/>
          <w:lang w:val="en"/>
        </w:rPr>
      </w:pPr>
    </w:p>
    <w:p w14:paraId="7B9FFAC1" w14:textId="77777777" w:rsidR="00D722A0" w:rsidRPr="00D722A0" w:rsidRDefault="00D722A0" w:rsidP="00D722A0">
      <w:pPr>
        <w:jc w:val="both"/>
        <w:rPr>
          <w:rFonts w:ascii="Arial" w:hAnsi="Arial" w:cs="Arial"/>
          <w:lang w:val="en-GB"/>
        </w:rPr>
      </w:pPr>
      <w:r w:rsidRPr="00D722A0">
        <w:rPr>
          <w:rStyle w:val="rynqvb"/>
          <w:rFonts w:ascii="Arial" w:hAnsi="Arial" w:cs="Arial"/>
          <w:lang w:val="en"/>
        </w:rPr>
        <w:t>Seven beaker bottles, each containing 54 ml of agar medium based on supercooled peas, were made up to 60 ml with each concentration of the biopesticide or synthetic chemical fungicide to be tested.</w:t>
      </w:r>
      <w:r w:rsidRPr="00D722A0">
        <w:rPr>
          <w:rStyle w:val="hwtze"/>
          <w:rFonts w:ascii="Arial" w:hAnsi="Arial" w:cs="Arial"/>
          <w:lang w:val="en"/>
        </w:rPr>
        <w:t xml:space="preserve"> </w:t>
      </w:r>
      <w:r w:rsidRPr="00D722A0">
        <w:rPr>
          <w:rStyle w:val="rynqvb"/>
          <w:rFonts w:ascii="Arial" w:hAnsi="Arial" w:cs="Arial"/>
          <w:lang w:val="en"/>
        </w:rPr>
        <w:t>After homogenizing the amended culture medium on a magnetic stirrer for 2 minutes, the contents of each bottle were distributed equally into four 90 mm diameter Petri dishes.</w:t>
      </w:r>
      <w:r w:rsidRPr="00D722A0">
        <w:rPr>
          <w:rStyle w:val="hwtze"/>
          <w:rFonts w:ascii="Arial" w:hAnsi="Arial" w:cs="Arial"/>
          <w:lang w:val="en"/>
        </w:rPr>
        <w:t xml:space="preserve"> </w:t>
      </w:r>
      <w:r w:rsidRPr="00D722A0">
        <w:rPr>
          <w:rStyle w:val="rynqvb"/>
          <w:rFonts w:ascii="Arial" w:hAnsi="Arial" w:cs="Arial"/>
          <w:lang w:val="en"/>
        </w:rPr>
        <w:t>Each Petri dish served as a replicate.</w:t>
      </w:r>
      <w:r w:rsidRPr="00D722A0">
        <w:rPr>
          <w:rStyle w:val="hwtze"/>
          <w:rFonts w:ascii="Arial" w:hAnsi="Arial" w:cs="Arial"/>
          <w:lang w:val="en"/>
        </w:rPr>
        <w:t xml:space="preserve"> </w:t>
      </w:r>
      <w:r w:rsidRPr="00D722A0">
        <w:rPr>
          <w:rStyle w:val="rynqvb"/>
          <w:rFonts w:ascii="Arial" w:hAnsi="Arial" w:cs="Arial"/>
          <w:lang w:val="en"/>
        </w:rPr>
        <w:t>The control culture medium was not supplemented with either biopesticide or synthetic chemical fungicide suspensions.</w:t>
      </w:r>
      <w:r w:rsidRPr="00D722A0">
        <w:rPr>
          <w:rStyle w:val="hwtze"/>
          <w:rFonts w:ascii="Arial" w:hAnsi="Arial" w:cs="Arial"/>
          <w:lang w:val="en"/>
        </w:rPr>
        <w:t xml:space="preserve"> </w:t>
      </w:r>
      <w:r w:rsidRPr="00D722A0">
        <w:rPr>
          <w:rStyle w:val="rynqvb"/>
          <w:rFonts w:ascii="Arial" w:hAnsi="Arial" w:cs="Arial"/>
          <w:lang w:val="en"/>
        </w:rPr>
        <w:t>After the amended culture medium solidified in the Petri dishes, a calibrated 6 mm diameter mycelial disc was removed with a sterile punch from the growth front of a four-day-old pure culture of the pathogen on PDA culture medium.</w:t>
      </w:r>
      <w:r w:rsidRPr="00D722A0">
        <w:rPr>
          <w:rStyle w:val="hwtze"/>
          <w:rFonts w:ascii="Arial" w:hAnsi="Arial" w:cs="Arial"/>
          <w:lang w:val="en"/>
        </w:rPr>
        <w:t xml:space="preserve"> </w:t>
      </w:r>
      <w:r w:rsidRPr="00D722A0">
        <w:rPr>
          <w:rStyle w:val="rynqvb"/>
          <w:rFonts w:ascii="Arial" w:hAnsi="Arial" w:cs="Arial"/>
          <w:lang w:val="en"/>
        </w:rPr>
        <w:t>The control culture medium (T0) was also inoculated with the same pure culture of the pathogen.</w:t>
      </w:r>
      <w:r w:rsidRPr="00D722A0">
        <w:rPr>
          <w:rStyle w:val="hwtze"/>
          <w:rFonts w:ascii="Arial" w:hAnsi="Arial" w:cs="Arial"/>
          <w:lang w:val="en"/>
        </w:rPr>
        <w:t xml:space="preserve"> </w:t>
      </w:r>
      <w:r w:rsidRPr="00D722A0">
        <w:rPr>
          <w:rStyle w:val="rynqvb"/>
          <w:rFonts w:ascii="Arial" w:hAnsi="Arial" w:cs="Arial"/>
          <w:lang w:val="en"/>
        </w:rPr>
        <w:t>The inoculated plates were incubated at 26°C for three to four days.</w:t>
      </w:r>
      <w:r w:rsidRPr="00D722A0">
        <w:rPr>
          <w:rStyle w:val="hwtze"/>
          <w:rFonts w:ascii="Arial" w:hAnsi="Arial" w:cs="Arial"/>
          <w:lang w:val="en"/>
        </w:rPr>
        <w:t xml:space="preserve"> </w:t>
      </w:r>
      <w:r w:rsidRPr="00D722A0">
        <w:rPr>
          <w:rStyle w:val="rynqvb"/>
          <w:rFonts w:ascii="Arial" w:hAnsi="Arial" w:cs="Arial"/>
          <w:lang w:val="en"/>
        </w:rPr>
        <w:t>The test was performed in two batches of 32 Petri dishes each.</w:t>
      </w:r>
    </w:p>
    <w:p w14:paraId="4363C4AF" w14:textId="77777777" w:rsidR="00D722A0" w:rsidRPr="004D19C5" w:rsidRDefault="00D722A0" w:rsidP="00D722A0">
      <w:pPr>
        <w:jc w:val="both"/>
        <w:rPr>
          <w:rFonts w:ascii="Times New Roman" w:hAnsi="Times New Roman"/>
          <w:lang w:val="en-GB"/>
        </w:rPr>
      </w:pPr>
    </w:p>
    <w:p w14:paraId="657D501A" w14:textId="30D8C78E" w:rsidR="00D722A0" w:rsidRDefault="00D722A0" w:rsidP="00D722A0">
      <w:pPr>
        <w:jc w:val="both"/>
        <w:rPr>
          <w:rStyle w:val="rynqvb"/>
          <w:rFonts w:ascii="Arial" w:hAnsi="Arial" w:cs="Arial"/>
          <w:lang w:val="en"/>
        </w:rPr>
      </w:pPr>
      <w:r w:rsidRPr="00D722A0">
        <w:rPr>
          <w:rStyle w:val="rynqvb"/>
          <w:rFonts w:ascii="Arial" w:hAnsi="Arial" w:cs="Arial"/>
          <w:b/>
          <w:lang w:val="en"/>
        </w:rPr>
        <w:t>2.4.3 Measurements and calculation of the inhibition rate</w:t>
      </w:r>
      <w:r w:rsidRPr="00D722A0">
        <w:rPr>
          <w:rStyle w:val="rynqvb"/>
          <w:rFonts w:ascii="Arial" w:hAnsi="Arial" w:cs="Arial"/>
          <w:lang w:val="en"/>
        </w:rPr>
        <w:t xml:space="preserve"> </w:t>
      </w:r>
    </w:p>
    <w:p w14:paraId="611CDC10" w14:textId="77777777" w:rsidR="00D722A0" w:rsidRPr="00D722A0" w:rsidRDefault="00D722A0" w:rsidP="00D722A0">
      <w:pPr>
        <w:jc w:val="both"/>
        <w:rPr>
          <w:rStyle w:val="rynqvb"/>
          <w:rFonts w:ascii="Arial" w:hAnsi="Arial" w:cs="Arial"/>
          <w:lang w:val="en"/>
        </w:rPr>
      </w:pPr>
    </w:p>
    <w:p w14:paraId="1376F02E" w14:textId="77777777" w:rsidR="00D722A0" w:rsidRPr="00D722A0" w:rsidRDefault="00D722A0" w:rsidP="00D722A0">
      <w:pPr>
        <w:jc w:val="both"/>
        <w:rPr>
          <w:rFonts w:ascii="Arial" w:hAnsi="Arial" w:cs="Arial"/>
          <w:lang w:val="en-GB"/>
        </w:rPr>
      </w:pPr>
      <w:r w:rsidRPr="00D722A0">
        <w:rPr>
          <w:rStyle w:val="rynqvb"/>
          <w:rFonts w:ascii="Arial" w:hAnsi="Arial" w:cs="Arial"/>
          <w:lang w:val="en"/>
        </w:rPr>
        <w:t>The growth of the mycelial explant was measured on the amended medium, up to the filling of the control Petri dish (T0), using a ruler graduated every 24 hours along two perpendicular axes drawn at the base of each Petri dish and intersecting at the middle of the explant (Camara 2011).</w:t>
      </w:r>
      <w:r w:rsidRPr="00D722A0">
        <w:rPr>
          <w:rStyle w:val="hwtze"/>
          <w:rFonts w:ascii="Arial" w:hAnsi="Arial" w:cs="Arial"/>
          <w:lang w:val="en"/>
        </w:rPr>
        <w:t xml:space="preserve"> </w:t>
      </w:r>
      <w:r w:rsidRPr="00D722A0">
        <w:rPr>
          <w:rStyle w:val="rynqvb"/>
          <w:rFonts w:ascii="Arial" w:hAnsi="Arial" w:cs="Arial"/>
          <w:lang w:val="en"/>
        </w:rPr>
        <w:t>The mean diameter (Dm) was calculated using the equation below:</w:t>
      </w:r>
    </w:p>
    <w:p w14:paraId="54E8DC6B" w14:textId="654CB7C6" w:rsidR="00D722A0" w:rsidRPr="00D722A0" w:rsidRDefault="00722BAB" w:rsidP="00D722A0">
      <w:pPr>
        <w:jc w:val="both"/>
        <w:rPr>
          <w:rFonts w:ascii="Arial" w:hAnsi="Arial" w:cs="Arial"/>
          <w:lang w:val="en-GB"/>
        </w:rPr>
      </w:pPr>
      <w:r>
        <w:rPr>
          <w:rFonts w:ascii="Arial" w:hAnsi="Arial" w:cs="Arial"/>
          <w:noProof/>
        </w:rPr>
        <mc:AlternateContent>
          <mc:Choice Requires="wps">
            <w:drawing>
              <wp:anchor distT="0" distB="0" distL="114300" distR="114300" simplePos="0" relativeHeight="251659264" behindDoc="0" locked="0" layoutInCell="1" allowOverlap="1" wp14:anchorId="086E6F9E" wp14:editId="5497F988">
                <wp:simplePos x="0" y="0"/>
                <wp:positionH relativeFrom="margin">
                  <wp:posOffset>1811020</wp:posOffset>
                </wp:positionH>
                <wp:positionV relativeFrom="paragraph">
                  <wp:posOffset>10160</wp:posOffset>
                </wp:positionV>
                <wp:extent cx="1733550" cy="520700"/>
                <wp:effectExtent l="0" t="0" r="0" b="0"/>
                <wp:wrapNone/>
                <wp:docPr id="89038366"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20700"/>
                        </a:xfrm>
                        <a:prstGeom prst="rect">
                          <a:avLst/>
                        </a:prstGeom>
                        <a:solidFill>
                          <a:sysClr val="window" lastClr="FFFFFF"/>
                        </a:solidFill>
                        <a:ln w="19050">
                          <a:noFill/>
                        </a:ln>
                        <a:effectLst/>
                      </wps:spPr>
                      <wps:txbx>
                        <w:txbxContent>
                          <w:p w14:paraId="6D701291" w14:textId="77777777" w:rsidR="00D722A0" w:rsidRPr="00C41D06" w:rsidRDefault="00D722A0" w:rsidP="00D722A0">
                            <w:pPr>
                              <w:spacing w:before="120" w:after="120"/>
                              <w:rPr>
                                <w:bCs/>
                              </w:rPr>
                            </w:pPr>
                            <m:oMathPara>
                              <m:oMath>
                                <m:r>
                                  <m:rPr>
                                    <m:sty m:val="p"/>
                                  </m:rPr>
                                  <w:rPr>
                                    <w:rFonts w:ascii="Cambria Math" w:eastAsia="Calibri" w:hAnsi="Cambria Math"/>
                                    <w:szCs w:val="24"/>
                                  </w:rPr>
                                  <m:t>Dm (cm)</m:t>
                                </m:r>
                                <m:r>
                                  <w:rPr>
                                    <w:rFonts w:ascii="Cambria Math" w:eastAsia="Calibri" w:hAnsi="Cambria Math"/>
                                    <w:szCs w:val="24"/>
                                    <w:lang w:eastAsia="fr-FR"/>
                                  </w:rPr>
                                  <m:t>=</m:t>
                                </m:r>
                                <m:f>
                                  <m:fPr>
                                    <m:ctrlPr>
                                      <w:rPr>
                                        <w:rFonts w:ascii="Cambria Math" w:eastAsia="Calibri" w:hAnsi="Cambria Math"/>
                                        <w:bCs/>
                                        <w:szCs w:val="24"/>
                                        <w:lang w:eastAsia="fr-FR"/>
                                      </w:rPr>
                                    </m:ctrlPr>
                                  </m:fPr>
                                  <m:num>
                                    <m:r>
                                      <m:rPr>
                                        <m:sty m:val="p"/>
                                      </m:rPr>
                                      <w:rPr>
                                        <w:rFonts w:ascii="Cambria Math" w:eastAsia="Calibri" w:hAnsi="Cambria Math"/>
                                        <w:szCs w:val="24"/>
                                        <w:lang w:eastAsia="fr-FR"/>
                                      </w:rPr>
                                      <m:t>L1 + L2</m:t>
                                    </m:r>
                                  </m:num>
                                  <m:den>
                                    <m:r>
                                      <m:rPr>
                                        <m:sty m:val="p"/>
                                      </m:rPr>
                                      <w:rPr>
                                        <w:rFonts w:ascii="Cambria Math" w:eastAsia="Calibri" w:hAnsi="Cambria Math"/>
                                        <w:szCs w:val="24"/>
                                        <w:lang w:eastAsia="fr-FR"/>
                                      </w:rPr>
                                      <m:t>2</m:t>
                                    </m:r>
                                  </m:den>
                                </m:f>
                              </m:oMath>
                            </m:oMathPara>
                          </w:p>
                          <w:p w14:paraId="7F852CBF" w14:textId="77777777" w:rsidR="00D722A0" w:rsidRPr="00C41D06" w:rsidRDefault="00D722A0" w:rsidP="00D722A0">
                            <w:pPr>
                              <w:rPr>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E6F9E" id="_x0000_t202" coordsize="21600,21600" o:spt="202" path="m,l,21600r21600,l21600,xe">
                <v:stroke joinstyle="miter"/>
                <v:path gradientshapeok="t" o:connecttype="rect"/>
              </v:shapetype>
              <v:shape id="Zone de texte 5" o:spid="_x0000_s1026" type="#_x0000_t202" style="position:absolute;left:0;text-align:left;margin-left:142.6pt;margin-top:.8pt;width:136.5pt;height:4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" fillcolor="window" stroked="f" strokeweight="1.5pt">
                <v:textbox>
                  <w:txbxContent>
                    <w:p w14:paraId="6D701291" w14:textId="77777777" w:rsidR="00D722A0" w:rsidRPr="00C41D06" w:rsidRDefault="00D722A0" w:rsidP="00D722A0">
                      <w:pPr>
                        <w:spacing w:before="120" w:after="120"/>
                        <w:rPr>
                          <w:bCs/>
                        </w:rPr>
                      </w:pPr>
                      <m:oMathPara>
                        <m:oMath>
                          <m:r>
                            <m:rPr>
                              <m:sty m:val="p"/>
                            </m:rPr>
                            <w:rPr>
                              <w:rFonts w:ascii="Cambria Math" w:eastAsia="Calibri" w:hAnsi="Cambria Math"/>
                              <w:szCs w:val="24"/>
                            </w:rPr>
                            <m:t>Dm (cm)</m:t>
                          </m:r>
                          <m:r>
                            <w:rPr>
                              <w:rFonts w:ascii="Cambria Math" w:eastAsia="Calibri" w:hAnsi="Cambria Math"/>
                              <w:szCs w:val="24"/>
                              <w:lang w:eastAsia="fr-FR"/>
                            </w:rPr>
                            <m:t>=</m:t>
                          </m:r>
                          <m:f>
                            <m:fPr>
                              <m:ctrlPr>
                                <w:rPr>
                                  <w:rFonts w:ascii="Cambria Math" w:eastAsia="Calibri" w:hAnsi="Cambria Math"/>
                                  <w:bCs/>
                                  <w:szCs w:val="24"/>
                                  <w:lang w:eastAsia="fr-FR"/>
                                </w:rPr>
                              </m:ctrlPr>
                            </m:fPr>
                            <m:num>
                              <m:r>
                                <m:rPr>
                                  <m:sty m:val="p"/>
                                </m:rPr>
                                <w:rPr>
                                  <w:rFonts w:ascii="Cambria Math" w:eastAsia="Calibri" w:hAnsi="Cambria Math"/>
                                  <w:szCs w:val="24"/>
                                  <w:lang w:eastAsia="fr-FR"/>
                                </w:rPr>
                                <m:t>L1 + L2</m:t>
                              </m:r>
                            </m:num>
                            <m:den>
                              <m:r>
                                <m:rPr>
                                  <m:sty m:val="p"/>
                                </m:rPr>
                                <w:rPr>
                                  <w:rFonts w:ascii="Cambria Math" w:eastAsia="Calibri" w:hAnsi="Cambria Math"/>
                                  <w:szCs w:val="24"/>
                                  <w:lang w:eastAsia="fr-FR"/>
                                </w:rPr>
                                <m:t>2</m:t>
                              </m:r>
                            </m:den>
                          </m:f>
                        </m:oMath>
                      </m:oMathPara>
                    </w:p>
                    <w:p w14:paraId="7F852CBF" w14:textId="77777777" w:rsidR="00D722A0" w:rsidRPr="00C41D06" w:rsidRDefault="00D722A0" w:rsidP="00D722A0">
                      <w:pPr>
                        <w:rPr>
                          <w:bCs/>
                          <w:sz w:val="36"/>
                          <w:szCs w:val="36"/>
                        </w:rPr>
                      </w:pPr>
                    </w:p>
                  </w:txbxContent>
                </v:textbox>
                <w10:wrap anchorx="margin"/>
              </v:shape>
            </w:pict>
          </mc:Fallback>
        </mc:AlternateContent>
      </w:r>
    </w:p>
    <w:p w14:paraId="045CC832" w14:textId="77777777" w:rsidR="00D722A0" w:rsidRPr="00D722A0" w:rsidRDefault="00D722A0" w:rsidP="00D722A0">
      <w:pPr>
        <w:jc w:val="both"/>
        <w:rPr>
          <w:rFonts w:ascii="Arial" w:hAnsi="Arial" w:cs="Arial"/>
          <w:lang w:val="en-GB"/>
        </w:rPr>
      </w:pPr>
    </w:p>
    <w:p w14:paraId="7678D90A" w14:textId="77777777" w:rsidR="00D722A0" w:rsidRPr="00D722A0" w:rsidRDefault="00D722A0" w:rsidP="00D722A0">
      <w:pPr>
        <w:jc w:val="both"/>
        <w:rPr>
          <w:rFonts w:ascii="Arial" w:hAnsi="Arial" w:cs="Arial"/>
          <w:lang w:val="en-GB"/>
        </w:rPr>
      </w:pPr>
    </w:p>
    <w:p w14:paraId="152B3B4A" w14:textId="77777777" w:rsidR="00D722A0" w:rsidRPr="00D722A0" w:rsidRDefault="00D722A0" w:rsidP="00D722A0">
      <w:pPr>
        <w:jc w:val="both"/>
        <w:rPr>
          <w:rFonts w:ascii="Arial" w:hAnsi="Arial" w:cs="Arial"/>
          <w:lang w:val="en-GB"/>
        </w:rPr>
      </w:pPr>
    </w:p>
    <w:p w14:paraId="368E33AA" w14:textId="77777777" w:rsidR="00D722A0" w:rsidRPr="00D722A0" w:rsidRDefault="00D722A0" w:rsidP="00D722A0">
      <w:pPr>
        <w:jc w:val="both"/>
        <w:rPr>
          <w:rFonts w:ascii="Arial" w:hAnsi="Arial" w:cs="Arial"/>
          <w:bCs/>
          <w:i/>
          <w:iCs/>
          <w:sz w:val="18"/>
          <w:szCs w:val="18"/>
          <w:lang w:val="en-GB"/>
        </w:rPr>
      </w:pPr>
      <w:r w:rsidRPr="00D722A0">
        <w:rPr>
          <w:rFonts w:ascii="Arial" w:hAnsi="Arial" w:cs="Arial"/>
          <w:i/>
          <w:iCs/>
          <w:sz w:val="18"/>
          <w:szCs w:val="18"/>
          <w:lang w:val="en-GB"/>
        </w:rPr>
        <w:t>Where L1 designates the diameter of the explant along axis 1 at time t1; L2</w:t>
      </w:r>
      <w:r w:rsidRPr="00D722A0">
        <w:rPr>
          <w:rFonts w:ascii="Arial" w:hAnsi="Arial" w:cs="Arial"/>
          <w:b/>
          <w:bCs/>
          <w:i/>
          <w:iCs/>
          <w:sz w:val="18"/>
          <w:szCs w:val="18"/>
          <w:lang w:val="en-GB"/>
        </w:rPr>
        <w:t xml:space="preserve"> </w:t>
      </w:r>
      <w:r w:rsidRPr="00D722A0">
        <w:rPr>
          <w:rFonts w:ascii="Arial" w:hAnsi="Arial" w:cs="Arial"/>
          <w:bCs/>
          <w:i/>
          <w:iCs/>
          <w:sz w:val="18"/>
          <w:szCs w:val="18"/>
          <w:lang w:val="en-GB"/>
        </w:rPr>
        <w:t>designates the diameter of the explant along axis 2 at time t1</w:t>
      </w:r>
    </w:p>
    <w:p w14:paraId="0860D9ED" w14:textId="77777777" w:rsidR="00D722A0" w:rsidRPr="00D722A0" w:rsidRDefault="00D722A0" w:rsidP="00D722A0">
      <w:pPr>
        <w:jc w:val="both"/>
        <w:rPr>
          <w:rFonts w:ascii="Arial" w:hAnsi="Arial" w:cs="Arial"/>
          <w:bCs/>
          <w:lang w:val="en-GB"/>
        </w:rPr>
      </w:pPr>
    </w:p>
    <w:p w14:paraId="0695126C" w14:textId="3E87F98B" w:rsidR="00D722A0" w:rsidRPr="00D722A0" w:rsidRDefault="00722BAB" w:rsidP="00D722A0">
      <w:pPr>
        <w:contextualSpacing/>
        <w:jc w:val="both"/>
        <w:rPr>
          <w:rFonts w:ascii="Arial" w:hAnsi="Arial" w:cs="Arial"/>
          <w:b/>
          <w:lang w:val="en-GB"/>
        </w:rPr>
      </w:pPr>
      <w:r>
        <w:rPr>
          <w:noProof/>
        </w:rPr>
        <mc:AlternateContent>
          <mc:Choice Requires="wps">
            <w:drawing>
              <wp:anchor distT="0" distB="0" distL="114300" distR="114300" simplePos="0" relativeHeight="251660288" behindDoc="0" locked="0" layoutInCell="1" allowOverlap="1" wp14:anchorId="7A0A077C" wp14:editId="45F7626E">
                <wp:simplePos x="0" y="0"/>
                <wp:positionH relativeFrom="margin">
                  <wp:posOffset>1842135</wp:posOffset>
                </wp:positionH>
                <wp:positionV relativeFrom="paragraph">
                  <wp:posOffset>476250</wp:posOffset>
                </wp:positionV>
                <wp:extent cx="2070100" cy="568960"/>
                <wp:effectExtent l="0" t="0" r="0" b="0"/>
                <wp:wrapTopAndBottom/>
                <wp:docPr id="1538273380"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568960"/>
                        </a:xfrm>
                        <a:prstGeom prst="rect">
                          <a:avLst/>
                        </a:prstGeom>
                        <a:solidFill>
                          <a:sysClr val="window" lastClr="FFFFFF"/>
                        </a:solidFill>
                        <a:ln w="19050">
                          <a:noFill/>
                        </a:ln>
                        <a:effectLst/>
                      </wps:spPr>
                      <wps:txbx>
                        <w:txbxContent>
                          <w:p w14:paraId="6DA26DAF" w14:textId="77777777" w:rsidR="00D722A0" w:rsidRPr="00C41D06" w:rsidRDefault="00D722A0" w:rsidP="00D722A0">
                            <w:pPr>
                              <w:spacing w:before="120" w:after="120"/>
                              <w:rPr>
                                <w:bCs/>
                              </w:rPr>
                            </w:pPr>
                            <m:oMathPara>
                              <m:oMath>
                                <m:r>
                                  <m:rPr>
                                    <m:sty m:val="p"/>
                                  </m:rPr>
                                  <w:rPr>
                                    <w:rFonts w:ascii="Cambria Math" w:eastAsia="Calibri" w:hAnsi="Cambria Math"/>
                                    <w:szCs w:val="24"/>
                                    <w:lang w:val="fr-CA" w:eastAsia="fr-FR"/>
                                  </w:rPr>
                                  <m:t xml:space="preserve">I </m:t>
                                </m:r>
                                <m:d>
                                  <m:dPr>
                                    <m:ctrlPr>
                                      <w:rPr>
                                        <w:rFonts w:ascii="Cambria Math" w:eastAsia="Calibri" w:hAnsi="Cambria Math"/>
                                        <w:bCs/>
                                        <w:szCs w:val="24"/>
                                        <w:lang w:val="fr-CA" w:eastAsia="fr-FR"/>
                                      </w:rPr>
                                    </m:ctrlPr>
                                  </m:dPr>
                                  <m:e>
                                    <m:r>
                                      <m:rPr>
                                        <m:sty m:val="p"/>
                                      </m:rPr>
                                      <w:rPr>
                                        <w:rFonts w:ascii="Cambria Math" w:eastAsia="Calibri" w:hAnsi="Cambria Math"/>
                                        <w:szCs w:val="24"/>
                                        <w:lang w:val="fr-CA" w:eastAsia="fr-FR"/>
                                      </w:rPr>
                                      <m:t>%</m:t>
                                    </m:r>
                                  </m:e>
                                </m:d>
                                <m:r>
                                  <w:rPr>
                                    <w:rFonts w:ascii="Cambria Math" w:eastAsia="Calibri" w:hAnsi="Cambria Math"/>
                                    <w:szCs w:val="24"/>
                                    <w:lang w:val="fr-CA" w:eastAsia="fr-FR"/>
                                  </w:rPr>
                                  <m:t>=</m:t>
                                </m:r>
                                <m:d>
                                  <m:dPr>
                                    <m:ctrlPr>
                                      <w:rPr>
                                        <w:rFonts w:ascii="Cambria Math" w:eastAsia="Calibri" w:hAnsi="Cambria Math"/>
                                        <w:bCs/>
                                        <w:i/>
                                        <w:szCs w:val="24"/>
                                        <w:lang w:val="fr-CA" w:eastAsia="fr-FR"/>
                                      </w:rPr>
                                    </m:ctrlPr>
                                  </m:dPr>
                                  <m:e>
                                    <m:f>
                                      <m:fPr>
                                        <m:ctrlPr>
                                          <w:rPr>
                                            <w:rFonts w:ascii="Cambria Math" w:eastAsia="Calibri" w:hAnsi="Cambria Math"/>
                                            <w:bCs/>
                                            <w:szCs w:val="24"/>
                                            <w:lang w:val="fr-CA"/>
                                          </w:rPr>
                                        </m:ctrlPr>
                                      </m:fPr>
                                      <m:num>
                                        <m:r>
                                          <m:rPr>
                                            <m:sty m:val="p"/>
                                          </m:rPr>
                                          <w:rPr>
                                            <w:rFonts w:ascii="Cambria Math" w:eastAsia="Calibri" w:hAnsi="Cambria Math"/>
                                            <w:szCs w:val="24"/>
                                            <w:lang w:val="fr-CA"/>
                                          </w:rPr>
                                          <m:t>Dc-De</m:t>
                                        </m:r>
                                        <m:ctrlPr>
                                          <w:rPr>
                                            <w:rFonts w:ascii="Cambria Math" w:eastAsia="Calibri" w:hAnsi="Cambria Math"/>
                                            <w:bCs/>
                                            <w:i/>
                                            <w:szCs w:val="24"/>
                                            <w:lang w:val="fr-CA" w:eastAsia="fr-FR"/>
                                          </w:rPr>
                                        </m:ctrlPr>
                                      </m:num>
                                      <m:den>
                                        <m:r>
                                          <m:rPr>
                                            <m:sty m:val="p"/>
                                          </m:rPr>
                                          <w:rPr>
                                            <w:rFonts w:ascii="Cambria Math" w:eastAsia="Calibri" w:hAnsi="Cambria Math"/>
                                            <w:szCs w:val="24"/>
                                            <w:lang w:val="fr-CA"/>
                                          </w:rPr>
                                          <m:t>Dc</m:t>
                                        </m:r>
                                      </m:den>
                                    </m:f>
                                    <m:ctrlPr>
                                      <w:rPr>
                                        <w:rFonts w:ascii="Cambria Math" w:eastAsia="Calibri" w:hAnsi="Cambria Math"/>
                                        <w:bCs/>
                                        <w:szCs w:val="24"/>
                                        <w:lang w:val="fr-CA"/>
                                      </w:rPr>
                                    </m:ctrlPr>
                                  </m:e>
                                </m:d>
                                <m:r>
                                  <m:rPr>
                                    <m:sty m:val="p"/>
                                  </m:rPr>
                                  <w:rPr>
                                    <w:rFonts w:ascii="Cambria Math" w:eastAsia="Calibri" w:hAnsi="Cambria Math"/>
                                    <w:szCs w:val="24"/>
                                    <w:lang w:val="fr-CA"/>
                                  </w:rPr>
                                  <m:t>x 100</m:t>
                                </m:r>
                              </m:oMath>
                            </m:oMathPara>
                          </w:p>
                          <w:p w14:paraId="0B56C478" w14:textId="77777777" w:rsidR="00D722A0" w:rsidRPr="00C41D06" w:rsidRDefault="00D722A0" w:rsidP="00D722A0">
                            <w:pPr>
                              <w:rPr>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A077C" id="Zone de texte 3" o:spid="_x0000_s1027" type="#_x0000_t202" style="position:absolute;left:0;text-align:left;margin-left:145.05pt;margin-top:37.5pt;width:163pt;height:4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" fillcolor="window" stroked="f" strokeweight="1.5pt">
                <v:textbox>
                  <w:txbxContent>
                    <w:p w14:paraId="6DA26DAF" w14:textId="77777777" w:rsidR="00D722A0" w:rsidRPr="00C41D06" w:rsidRDefault="00D722A0" w:rsidP="00D722A0">
                      <w:pPr>
                        <w:spacing w:before="120" w:after="120"/>
                        <w:rPr>
                          <w:bCs/>
                        </w:rPr>
                      </w:pPr>
                      <m:oMathPara>
                        <m:oMath>
                          <m:r>
                            <m:rPr>
                              <m:sty m:val="p"/>
                            </m:rPr>
                            <w:rPr>
                              <w:rFonts w:ascii="Cambria Math" w:eastAsia="Calibri" w:hAnsi="Cambria Math"/>
                              <w:szCs w:val="24"/>
                              <w:lang w:val="fr-CA" w:eastAsia="fr-FR"/>
                            </w:rPr>
                            <m:t xml:space="preserve">I </m:t>
                          </m:r>
                          <m:d>
                            <m:dPr>
                              <m:ctrlPr>
                                <w:rPr>
                                  <w:rFonts w:ascii="Cambria Math" w:eastAsia="Calibri" w:hAnsi="Cambria Math"/>
                                  <w:bCs/>
                                  <w:szCs w:val="24"/>
                                  <w:lang w:val="fr-CA" w:eastAsia="fr-FR"/>
                                </w:rPr>
                              </m:ctrlPr>
                            </m:dPr>
                            <m:e>
                              <m:r>
                                <m:rPr>
                                  <m:sty m:val="p"/>
                                </m:rPr>
                                <w:rPr>
                                  <w:rFonts w:ascii="Cambria Math" w:eastAsia="Calibri" w:hAnsi="Cambria Math"/>
                                  <w:szCs w:val="24"/>
                                  <w:lang w:val="fr-CA" w:eastAsia="fr-FR"/>
                                </w:rPr>
                                <m:t>%</m:t>
                              </m:r>
                            </m:e>
                          </m:d>
                          <m:r>
                            <w:rPr>
                              <w:rFonts w:ascii="Cambria Math" w:eastAsia="Calibri" w:hAnsi="Cambria Math"/>
                              <w:szCs w:val="24"/>
                              <w:lang w:val="fr-CA" w:eastAsia="fr-FR"/>
                            </w:rPr>
                            <m:t>=</m:t>
                          </m:r>
                          <m:d>
                            <m:dPr>
                              <m:ctrlPr>
                                <w:rPr>
                                  <w:rFonts w:ascii="Cambria Math" w:eastAsia="Calibri" w:hAnsi="Cambria Math"/>
                                  <w:bCs/>
                                  <w:i/>
                                  <w:szCs w:val="24"/>
                                  <w:lang w:val="fr-CA" w:eastAsia="fr-FR"/>
                                </w:rPr>
                              </m:ctrlPr>
                            </m:dPr>
                            <m:e>
                              <m:f>
                                <m:fPr>
                                  <m:ctrlPr>
                                    <w:rPr>
                                      <w:rFonts w:ascii="Cambria Math" w:eastAsia="Calibri" w:hAnsi="Cambria Math"/>
                                      <w:bCs/>
                                      <w:szCs w:val="24"/>
                                      <w:lang w:val="fr-CA"/>
                                    </w:rPr>
                                  </m:ctrlPr>
                                </m:fPr>
                                <m:num>
                                  <m:r>
                                    <m:rPr>
                                      <m:sty m:val="p"/>
                                    </m:rPr>
                                    <w:rPr>
                                      <w:rFonts w:ascii="Cambria Math" w:eastAsia="Calibri" w:hAnsi="Cambria Math"/>
                                      <w:szCs w:val="24"/>
                                      <w:lang w:val="fr-CA"/>
                                    </w:rPr>
                                    <m:t>Dc-De</m:t>
                                  </m:r>
                                  <m:ctrlPr>
                                    <w:rPr>
                                      <w:rFonts w:ascii="Cambria Math" w:eastAsia="Calibri" w:hAnsi="Cambria Math"/>
                                      <w:bCs/>
                                      <w:i/>
                                      <w:szCs w:val="24"/>
                                      <w:lang w:val="fr-CA" w:eastAsia="fr-FR"/>
                                    </w:rPr>
                                  </m:ctrlPr>
                                </m:num>
                                <m:den>
                                  <m:r>
                                    <m:rPr>
                                      <m:sty m:val="p"/>
                                    </m:rPr>
                                    <w:rPr>
                                      <w:rFonts w:ascii="Cambria Math" w:eastAsia="Calibri" w:hAnsi="Cambria Math"/>
                                      <w:szCs w:val="24"/>
                                      <w:lang w:val="fr-CA"/>
                                    </w:rPr>
                                    <m:t>Dc</m:t>
                                  </m:r>
                                </m:den>
                              </m:f>
                              <m:ctrlPr>
                                <w:rPr>
                                  <w:rFonts w:ascii="Cambria Math" w:eastAsia="Calibri" w:hAnsi="Cambria Math"/>
                                  <w:bCs/>
                                  <w:szCs w:val="24"/>
                                  <w:lang w:val="fr-CA"/>
                                </w:rPr>
                              </m:ctrlPr>
                            </m:e>
                          </m:d>
                          <m:r>
                            <m:rPr>
                              <m:sty m:val="p"/>
                            </m:rPr>
                            <w:rPr>
                              <w:rFonts w:ascii="Cambria Math" w:eastAsia="Calibri" w:hAnsi="Cambria Math"/>
                              <w:szCs w:val="24"/>
                              <w:lang w:val="fr-CA"/>
                            </w:rPr>
                            <m:t>x 100</m:t>
                          </m:r>
                        </m:oMath>
                      </m:oMathPara>
                    </w:p>
                    <w:p w14:paraId="0B56C478" w14:textId="77777777" w:rsidR="00D722A0" w:rsidRPr="00C41D06" w:rsidRDefault="00D722A0" w:rsidP="00D722A0">
                      <w:pPr>
                        <w:rPr>
                          <w:bCs/>
                          <w:sz w:val="36"/>
                          <w:szCs w:val="36"/>
                        </w:rPr>
                      </w:pPr>
                    </w:p>
                  </w:txbxContent>
                </v:textbox>
                <w10:wrap type="topAndBottom" anchorx="margin"/>
              </v:shape>
            </w:pict>
          </mc:Fallback>
        </mc:AlternateContent>
      </w:r>
      <w:r w:rsidR="00D722A0" w:rsidRPr="00D722A0">
        <w:rPr>
          <w:rStyle w:val="rynqvb"/>
          <w:rFonts w:ascii="Arial" w:hAnsi="Arial" w:cs="Arial"/>
          <w:lang w:val="en"/>
        </w:rPr>
        <w:t>The effect of plant protection products on the growth of the fungal agent was determined by the rate of inhibition of mycelial growth (I) calculated using the following formula (</w:t>
      </w:r>
      <w:proofErr w:type="spellStart"/>
      <w:r w:rsidR="00D722A0" w:rsidRPr="00D722A0">
        <w:rPr>
          <w:rStyle w:val="rynqvb"/>
          <w:rFonts w:ascii="Arial" w:hAnsi="Arial" w:cs="Arial"/>
          <w:lang w:val="en"/>
        </w:rPr>
        <w:t>Kwazou</w:t>
      </w:r>
      <w:proofErr w:type="spellEnd"/>
      <w:r w:rsidR="00D722A0" w:rsidRPr="00D722A0">
        <w:rPr>
          <w:rStyle w:val="rynqvb"/>
          <w:rFonts w:ascii="Arial" w:hAnsi="Arial" w:cs="Arial"/>
          <w:lang w:val="en"/>
        </w:rPr>
        <w:t xml:space="preserve"> </w:t>
      </w:r>
      <w:r w:rsidR="00D722A0" w:rsidRPr="00D722A0">
        <w:rPr>
          <w:rStyle w:val="rynqvb"/>
          <w:rFonts w:ascii="Arial" w:hAnsi="Arial" w:cs="Arial"/>
          <w:i/>
          <w:iCs/>
          <w:lang w:val="en"/>
        </w:rPr>
        <w:t>et al</w:t>
      </w:r>
      <w:r w:rsidR="00D722A0" w:rsidRPr="00D722A0">
        <w:rPr>
          <w:rStyle w:val="rynqvb"/>
          <w:rFonts w:ascii="Arial" w:hAnsi="Arial" w:cs="Arial"/>
          <w:lang w:val="en"/>
        </w:rPr>
        <w:t>. 2009):</w:t>
      </w:r>
    </w:p>
    <w:p w14:paraId="1FF06AFD" w14:textId="76764F08" w:rsidR="00D722A0" w:rsidRPr="004D19C5" w:rsidRDefault="00D722A0" w:rsidP="00D722A0">
      <w:pPr>
        <w:contextualSpacing/>
        <w:jc w:val="both"/>
        <w:rPr>
          <w:rFonts w:ascii="Times New Roman" w:hAnsi="Times New Roman"/>
          <w:b/>
          <w:lang w:val="en-GB"/>
        </w:rPr>
      </w:pPr>
    </w:p>
    <w:p w14:paraId="654536C3" w14:textId="77777777" w:rsidR="00D722A0" w:rsidRPr="00D722A0" w:rsidRDefault="00D722A0" w:rsidP="00D722A0">
      <w:pPr>
        <w:autoSpaceDE w:val="0"/>
        <w:autoSpaceDN w:val="0"/>
        <w:adjustRightInd w:val="0"/>
        <w:contextualSpacing/>
        <w:jc w:val="both"/>
        <w:rPr>
          <w:rFonts w:ascii="Arial" w:hAnsi="Arial" w:cs="Arial"/>
          <w:i/>
          <w:iCs/>
          <w:sz w:val="18"/>
          <w:szCs w:val="18"/>
          <w:lang w:val="en-GB"/>
        </w:rPr>
      </w:pPr>
      <w:r w:rsidRPr="00D722A0">
        <w:rPr>
          <w:rFonts w:ascii="Arial" w:hAnsi="Arial" w:cs="Arial"/>
          <w:i/>
          <w:iCs/>
          <w:sz w:val="18"/>
          <w:szCs w:val="18"/>
          <w:lang w:val="en-GB"/>
        </w:rPr>
        <w:t>Where I (%) is the rate of mycelial growth inhibition, Dc (cm) is the diameter of mycelial growth of the pathogen on the control culture medium (untreated), and De (cm) is the diameter of mycelial growth on the culture medium incorporating the biopesticides or reference fungicide.</w:t>
      </w:r>
    </w:p>
    <w:p w14:paraId="2B52C24A" w14:textId="77777777" w:rsidR="00D722A0" w:rsidRPr="00D722A0" w:rsidRDefault="00D722A0" w:rsidP="00D722A0">
      <w:pPr>
        <w:autoSpaceDE w:val="0"/>
        <w:autoSpaceDN w:val="0"/>
        <w:adjustRightInd w:val="0"/>
        <w:contextualSpacing/>
        <w:jc w:val="both"/>
        <w:rPr>
          <w:rFonts w:ascii="Arial" w:hAnsi="Arial" w:cs="Arial"/>
          <w:lang w:val="en-GB"/>
        </w:rPr>
      </w:pPr>
    </w:p>
    <w:p w14:paraId="20F4567E" w14:textId="7161F4EA" w:rsidR="00D722A0" w:rsidRDefault="00D722A0" w:rsidP="00D722A0">
      <w:pPr>
        <w:jc w:val="both"/>
        <w:rPr>
          <w:rStyle w:val="rynqvb"/>
          <w:rFonts w:ascii="Arial" w:hAnsi="Arial" w:cs="Arial"/>
          <w:b/>
          <w:sz w:val="22"/>
          <w:szCs w:val="22"/>
          <w:lang w:val="en"/>
        </w:rPr>
      </w:pPr>
      <w:r w:rsidRPr="00D722A0">
        <w:rPr>
          <w:rStyle w:val="rynqvb"/>
          <w:rFonts w:ascii="Arial" w:hAnsi="Arial" w:cs="Arial"/>
          <w:b/>
          <w:sz w:val="22"/>
          <w:szCs w:val="22"/>
          <w:lang w:val="en"/>
        </w:rPr>
        <w:t>2.5 Statistical analysis</w:t>
      </w:r>
    </w:p>
    <w:p w14:paraId="637E6632" w14:textId="77777777" w:rsidR="00D722A0" w:rsidRPr="00D722A0" w:rsidRDefault="00D722A0" w:rsidP="00D722A0">
      <w:pPr>
        <w:jc w:val="both"/>
        <w:rPr>
          <w:rStyle w:val="rynqvb"/>
          <w:rFonts w:ascii="Arial" w:hAnsi="Arial" w:cs="Arial"/>
          <w:b/>
          <w:lang w:val="en"/>
        </w:rPr>
      </w:pPr>
    </w:p>
    <w:p w14:paraId="58A6EFCC" w14:textId="77777777" w:rsidR="00D722A0" w:rsidRPr="00D722A0" w:rsidRDefault="00D722A0" w:rsidP="00D722A0">
      <w:pPr>
        <w:jc w:val="both"/>
        <w:rPr>
          <w:rFonts w:ascii="Arial" w:hAnsi="Arial" w:cs="Arial"/>
          <w:lang w:val="en-GB"/>
        </w:rPr>
      </w:pPr>
      <w:r w:rsidRPr="00D722A0">
        <w:rPr>
          <w:rFonts w:ascii="Arial" w:hAnsi="Arial" w:cs="Arial"/>
          <w:lang w:val="en-GB"/>
        </w:rPr>
        <w:t>The collected data were subjected to one-way analysis of variance (ANOVA 1) using SPSS version 22.0 software. When a significant difference was observed between concentrations, Tukey’s HSD test at a 5% threshold was performed to classify the means into homogeneous groups.</w:t>
      </w:r>
    </w:p>
    <w:p w14:paraId="48A2E7DF" w14:textId="77777777" w:rsidR="00790ADA" w:rsidRPr="00FB3A86" w:rsidRDefault="00790ADA" w:rsidP="00441B6F">
      <w:pPr>
        <w:pStyle w:val="Body"/>
        <w:spacing w:after="0"/>
        <w:rPr>
          <w:rFonts w:ascii="Arial" w:hAnsi="Arial" w:cs="Arial"/>
        </w:rPr>
      </w:pPr>
    </w:p>
    <w:p w14:paraId="2CA62C8E" w14:textId="3BC58B42"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7E08158E" w14:textId="77777777" w:rsidR="00790ADA" w:rsidRPr="0076786A" w:rsidRDefault="00790ADA" w:rsidP="00441B6F">
      <w:pPr>
        <w:pStyle w:val="Head1"/>
        <w:spacing w:after="0"/>
        <w:jc w:val="both"/>
        <w:rPr>
          <w:rFonts w:ascii="Arial" w:hAnsi="Arial" w:cs="Arial"/>
          <w:sz w:val="20"/>
        </w:rPr>
      </w:pPr>
    </w:p>
    <w:p w14:paraId="37768270" w14:textId="577FCABC" w:rsidR="0076786A" w:rsidRDefault="0076786A" w:rsidP="0076786A">
      <w:pPr>
        <w:jc w:val="both"/>
        <w:rPr>
          <w:rStyle w:val="rynqvb"/>
          <w:rFonts w:ascii="Arial" w:hAnsi="Arial" w:cs="Arial"/>
          <w:b/>
          <w:sz w:val="22"/>
          <w:szCs w:val="22"/>
          <w:lang w:val="en-GB"/>
        </w:rPr>
      </w:pPr>
      <w:r w:rsidRPr="0076786A">
        <w:rPr>
          <w:rStyle w:val="rynqvb"/>
          <w:rFonts w:ascii="Arial" w:hAnsi="Arial" w:cs="Arial"/>
          <w:b/>
          <w:sz w:val="22"/>
          <w:szCs w:val="22"/>
          <w:lang w:val="en-GB"/>
        </w:rPr>
        <w:t>3.1 Macroscopic and Microscopic Identification of Isolates</w:t>
      </w:r>
    </w:p>
    <w:p w14:paraId="0A9B996B" w14:textId="77777777" w:rsidR="0076786A" w:rsidRPr="0076786A" w:rsidRDefault="0076786A" w:rsidP="0076786A">
      <w:pPr>
        <w:jc w:val="both"/>
        <w:rPr>
          <w:rStyle w:val="rynqvb"/>
          <w:rFonts w:ascii="Arial" w:hAnsi="Arial" w:cs="Arial"/>
          <w:b/>
          <w:lang w:val="en-GB"/>
        </w:rPr>
      </w:pPr>
    </w:p>
    <w:p w14:paraId="5876C1ED" w14:textId="77777777" w:rsidR="0076786A" w:rsidRPr="0076786A" w:rsidRDefault="0076786A" w:rsidP="0076786A">
      <w:pPr>
        <w:jc w:val="both"/>
        <w:rPr>
          <w:rFonts w:ascii="Arial" w:hAnsi="Arial" w:cs="Arial"/>
          <w:lang w:val="en-GB"/>
        </w:rPr>
      </w:pPr>
      <w:r w:rsidRPr="0076786A">
        <w:rPr>
          <w:rStyle w:val="rynqvb"/>
          <w:rFonts w:ascii="Arial" w:hAnsi="Arial" w:cs="Arial"/>
          <w:lang w:val="en-GB"/>
        </w:rPr>
        <w:t xml:space="preserve">Of the ten (10) fungal isolates </w:t>
      </w:r>
      <w:proofErr w:type="spellStart"/>
      <w:r w:rsidRPr="0076786A">
        <w:rPr>
          <w:rStyle w:val="rynqvb"/>
          <w:rFonts w:ascii="Arial" w:hAnsi="Arial" w:cs="Arial"/>
          <w:lang w:val="en-GB"/>
        </w:rPr>
        <w:t>analyzed</w:t>
      </w:r>
      <w:proofErr w:type="spellEnd"/>
      <w:r w:rsidRPr="0076786A">
        <w:rPr>
          <w:rStyle w:val="rynqvb"/>
          <w:rFonts w:ascii="Arial" w:hAnsi="Arial" w:cs="Arial"/>
          <w:lang w:val="en-GB"/>
        </w:rPr>
        <w:t xml:space="preserve"> in this study, two (2) exhibited typical characteristics of the genus </w:t>
      </w:r>
      <w:proofErr w:type="spellStart"/>
      <w:r w:rsidRPr="0076786A">
        <w:rPr>
          <w:rStyle w:val="rynqvb"/>
          <w:rFonts w:ascii="Arial" w:hAnsi="Arial" w:cs="Arial"/>
          <w:i/>
          <w:iCs/>
          <w:lang w:val="en-GB"/>
        </w:rPr>
        <w:t>Lasiodiplodia</w:t>
      </w:r>
      <w:proofErr w:type="spellEnd"/>
      <w:r w:rsidRPr="0076786A">
        <w:rPr>
          <w:rStyle w:val="rynqvb"/>
          <w:rFonts w:ascii="Arial" w:hAnsi="Arial" w:cs="Arial"/>
          <w:lang w:val="en-GB"/>
        </w:rPr>
        <w:t xml:space="preserve"> associated with dry rot tomato. On the third day of macroscopic observation, the isolates were characterized by a whitish, cottony, and airy mycelium. This mycelial appearance gradually evolved until it filled the Petri dish. From the seventh day onward, the initial coloration of the mycelium gradually changed from white (A) to </w:t>
      </w:r>
      <w:proofErr w:type="spellStart"/>
      <w:r w:rsidRPr="0076786A">
        <w:rPr>
          <w:rStyle w:val="rynqvb"/>
          <w:rFonts w:ascii="Arial" w:hAnsi="Arial" w:cs="Arial"/>
          <w:lang w:val="en-GB"/>
        </w:rPr>
        <w:t>gray</w:t>
      </w:r>
      <w:proofErr w:type="spellEnd"/>
      <w:r w:rsidRPr="0076786A">
        <w:rPr>
          <w:rStyle w:val="rynqvb"/>
          <w:rFonts w:ascii="Arial" w:hAnsi="Arial" w:cs="Arial"/>
          <w:lang w:val="en-GB"/>
        </w:rPr>
        <w:t xml:space="preserve"> (B) and then black (C), with a cottony appearance and a downy structure. When the culture matures (more than one month), the surface of the colony becomes denser, felt-like, and flatter than at the beginning (Figure 1). The underside of the dish appears brown (A), dark brown (B), and then black (C), as shown in Figure 2.</w:t>
      </w:r>
    </w:p>
    <w:p w14:paraId="43457F0B" w14:textId="562C03F5" w:rsidR="00790ADA" w:rsidRPr="0076786A" w:rsidRDefault="0076786A" w:rsidP="00441B6F">
      <w:pPr>
        <w:pStyle w:val="Body"/>
        <w:spacing w:after="0"/>
        <w:rPr>
          <w:rFonts w:ascii="Arial" w:hAnsi="Arial" w:cs="Arial"/>
          <w:lang w:val="en-GB"/>
        </w:rPr>
      </w:pPr>
      <w:r>
        <w:rPr>
          <w:noProof/>
          <w:lang w:eastAsia="fr-FR"/>
        </w:rPr>
        <w:drawing>
          <wp:anchor distT="0" distB="0" distL="114300" distR="114300" simplePos="0" relativeHeight="251654144" behindDoc="0" locked="0" layoutInCell="1" allowOverlap="1" wp14:anchorId="15703407" wp14:editId="767DB02C">
            <wp:simplePos x="0" y="0"/>
            <wp:positionH relativeFrom="column">
              <wp:posOffset>-5080</wp:posOffset>
            </wp:positionH>
            <wp:positionV relativeFrom="paragraph">
              <wp:posOffset>186055</wp:posOffset>
            </wp:positionV>
            <wp:extent cx="5173980" cy="1779905"/>
            <wp:effectExtent l="0" t="0" r="7620" b="0"/>
            <wp:wrapTopAndBottom/>
            <wp:docPr id="20631668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66815" name=""/>
                    <pic:cNvPicPr/>
                  </pic:nvPicPr>
                  <pic:blipFill rotWithShape="1">
                    <a:blip r:embed="rId14">
                      <a:extLst>
                        <a:ext uri="{28A0092B-C50C-407E-A947-70E740481C1C}">
                          <a14:useLocalDpi xmlns:a14="http://schemas.microsoft.com/office/drawing/2010/main" val="0"/>
                        </a:ext>
                      </a:extLst>
                    </a:blip>
                    <a:srcRect l="20298" t="39656" r="31944" b="31139"/>
                    <a:stretch>
                      <a:fillRect/>
                    </a:stretch>
                  </pic:blipFill>
                  <pic:spPr bwMode="auto">
                    <a:xfrm>
                      <a:off x="0" y="0"/>
                      <a:ext cx="5173980" cy="177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1EF8DE" w14:textId="77777777" w:rsidR="0076786A" w:rsidRPr="004D19C5" w:rsidRDefault="0076786A" w:rsidP="0076786A">
      <w:pPr>
        <w:jc w:val="both"/>
        <w:rPr>
          <w:rStyle w:val="hwtze"/>
          <w:rFonts w:ascii="Times New Roman" w:hAnsi="Times New Roman"/>
          <w:sz w:val="10"/>
          <w:szCs w:val="10"/>
          <w:lang w:val="en-GB"/>
        </w:rPr>
      </w:pPr>
    </w:p>
    <w:p w14:paraId="473E3091" w14:textId="0889D61C" w:rsidR="0076786A" w:rsidRPr="0076786A" w:rsidRDefault="0076786A" w:rsidP="0076786A">
      <w:pPr>
        <w:jc w:val="both"/>
        <w:rPr>
          <w:rFonts w:ascii="Arial" w:hAnsi="Arial" w:cs="Arial"/>
          <w:lang w:val="en-GB" w:eastAsia="fr-FR"/>
        </w:rPr>
      </w:pPr>
      <w:r w:rsidRPr="0076786A">
        <w:rPr>
          <w:rFonts w:ascii="Arial" w:hAnsi="Arial" w:cs="Arial"/>
          <w:b/>
          <w:lang w:val="en" w:eastAsia="fr-FR"/>
        </w:rPr>
        <w:t>Fig. 1</w:t>
      </w:r>
      <w:r w:rsidR="00543C71">
        <w:rPr>
          <w:rFonts w:ascii="Arial" w:hAnsi="Arial" w:cs="Arial"/>
          <w:lang w:val="en" w:eastAsia="fr-FR"/>
        </w:rPr>
        <w:t>.</w:t>
      </w:r>
      <w:r w:rsidRPr="0076786A">
        <w:rPr>
          <w:rFonts w:ascii="Arial" w:hAnsi="Arial" w:cs="Arial"/>
          <w:lang w:val="en" w:eastAsia="fr-FR"/>
        </w:rPr>
        <w:t xml:space="preserve"> Macroscopic aspects of </w:t>
      </w:r>
      <w:proofErr w:type="spellStart"/>
      <w:r w:rsidRPr="0076786A">
        <w:rPr>
          <w:rFonts w:ascii="Arial" w:hAnsi="Arial" w:cs="Arial"/>
          <w:i/>
          <w:lang w:val="en" w:eastAsia="fr-FR"/>
        </w:rPr>
        <w:t>Lasiodiplodia</w:t>
      </w:r>
      <w:proofErr w:type="spellEnd"/>
      <w:r w:rsidRPr="0076786A">
        <w:rPr>
          <w:rFonts w:ascii="Arial" w:hAnsi="Arial" w:cs="Arial"/>
          <w:i/>
          <w:lang w:val="en" w:eastAsia="fr-FR"/>
        </w:rPr>
        <w:t xml:space="preserve"> </w:t>
      </w:r>
      <w:r w:rsidRPr="00BE32CD">
        <w:rPr>
          <w:rFonts w:ascii="Arial" w:hAnsi="Arial" w:cs="Arial"/>
          <w:iCs/>
          <w:lang w:val="en" w:eastAsia="fr-FR"/>
        </w:rPr>
        <w:t>sp</w:t>
      </w:r>
      <w:r w:rsidR="00BE32CD">
        <w:rPr>
          <w:rFonts w:ascii="Arial" w:hAnsi="Arial" w:cs="Arial"/>
          <w:lang w:val="en" w:eastAsia="fr-FR"/>
        </w:rPr>
        <w:t>.</w:t>
      </w:r>
      <w:r w:rsidRPr="0076786A">
        <w:rPr>
          <w:rFonts w:ascii="Arial" w:hAnsi="Arial" w:cs="Arial"/>
          <w:lang w:val="en" w:eastAsia="fr-FR"/>
        </w:rPr>
        <w:t xml:space="preserve"> culture aged 3 days (A), 7 days (B) and more than one month</w:t>
      </w:r>
    </w:p>
    <w:p w14:paraId="37DA154D" w14:textId="72230878" w:rsidR="0076786A" w:rsidRPr="004D19C5" w:rsidRDefault="0076786A" w:rsidP="0076786A">
      <w:pPr>
        <w:spacing w:line="276" w:lineRule="auto"/>
        <w:jc w:val="both"/>
        <w:rPr>
          <w:rFonts w:ascii="Times New Roman" w:hAnsi="Times New Roman"/>
          <w:sz w:val="8"/>
          <w:szCs w:val="8"/>
          <w:lang w:val="en-GB"/>
        </w:rPr>
      </w:pPr>
      <w:r>
        <w:rPr>
          <w:noProof/>
          <w:lang w:eastAsia="fr-FR"/>
        </w:rPr>
        <w:drawing>
          <wp:anchor distT="0" distB="0" distL="114300" distR="114300" simplePos="0" relativeHeight="251653120" behindDoc="0" locked="0" layoutInCell="1" allowOverlap="1" wp14:anchorId="705F8D1E" wp14:editId="43217B22">
            <wp:simplePos x="0" y="0"/>
            <wp:positionH relativeFrom="column">
              <wp:posOffset>38735</wp:posOffset>
            </wp:positionH>
            <wp:positionV relativeFrom="paragraph">
              <wp:posOffset>149860</wp:posOffset>
            </wp:positionV>
            <wp:extent cx="5130800" cy="1697990"/>
            <wp:effectExtent l="0" t="0" r="0" b="0"/>
            <wp:wrapTopAndBottom/>
            <wp:docPr id="16614907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90708" name=""/>
                    <pic:cNvPicPr/>
                  </pic:nvPicPr>
                  <pic:blipFill rotWithShape="1">
                    <a:blip r:embed="rId15"/>
                    <a:srcRect l="26504" t="37242" r="24537" b="33951"/>
                    <a:stretch>
                      <a:fillRect/>
                    </a:stretch>
                  </pic:blipFill>
                  <pic:spPr bwMode="auto">
                    <a:xfrm>
                      <a:off x="0" y="0"/>
                      <a:ext cx="5130800" cy="169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6FF0A8" w14:textId="235A352A" w:rsidR="0076786A" w:rsidRPr="0076786A" w:rsidRDefault="0076786A" w:rsidP="0076786A">
      <w:pPr>
        <w:contextualSpacing/>
        <w:jc w:val="both"/>
        <w:rPr>
          <w:rFonts w:ascii="Arial" w:hAnsi="Arial" w:cs="Arial"/>
          <w:i/>
          <w:iCs/>
          <w:lang w:val="en-GB"/>
        </w:rPr>
      </w:pPr>
      <w:r w:rsidRPr="0076786A">
        <w:rPr>
          <w:rStyle w:val="rynqvb"/>
          <w:rFonts w:ascii="Arial" w:hAnsi="Arial" w:cs="Arial"/>
          <w:b/>
          <w:lang w:val="en"/>
        </w:rPr>
        <w:t>Fig. 2</w:t>
      </w:r>
      <w:r w:rsidR="00543C71">
        <w:rPr>
          <w:rStyle w:val="rynqvb"/>
          <w:rFonts w:ascii="Arial" w:hAnsi="Arial" w:cs="Arial"/>
          <w:lang w:val="en"/>
        </w:rPr>
        <w:t>.</w:t>
      </w:r>
      <w:r w:rsidRPr="0076786A">
        <w:rPr>
          <w:rStyle w:val="rynqvb"/>
          <w:rFonts w:ascii="Arial" w:hAnsi="Arial" w:cs="Arial"/>
          <w:lang w:val="en"/>
        </w:rPr>
        <w:t xml:space="preserve"> Reverse side of Petri dishes of </w:t>
      </w:r>
      <w:proofErr w:type="spellStart"/>
      <w:r w:rsidRPr="0076786A">
        <w:rPr>
          <w:rStyle w:val="rynqvb"/>
          <w:rFonts w:ascii="Arial" w:hAnsi="Arial" w:cs="Arial"/>
          <w:i/>
          <w:iCs/>
          <w:lang w:val="en"/>
        </w:rPr>
        <w:t>Lasiodiplodia</w:t>
      </w:r>
      <w:proofErr w:type="spellEnd"/>
      <w:r w:rsidRPr="0076786A">
        <w:rPr>
          <w:rStyle w:val="rynqvb"/>
          <w:rFonts w:ascii="Arial" w:hAnsi="Arial" w:cs="Arial"/>
          <w:lang w:val="en"/>
        </w:rPr>
        <w:t xml:space="preserve"> sp</w:t>
      </w:r>
      <w:r w:rsidR="00BE32CD">
        <w:rPr>
          <w:rStyle w:val="rynqvb"/>
          <w:rFonts w:ascii="Arial" w:hAnsi="Arial" w:cs="Arial"/>
          <w:lang w:val="en"/>
        </w:rPr>
        <w:t>.</w:t>
      </w:r>
      <w:r w:rsidRPr="0076786A">
        <w:rPr>
          <w:rStyle w:val="rynqvb"/>
          <w:rFonts w:ascii="Arial" w:hAnsi="Arial" w:cs="Arial"/>
          <w:lang w:val="en"/>
        </w:rPr>
        <w:t xml:space="preserve"> culture aged 3 days (A), 7 days (B) and more than one month</w:t>
      </w:r>
    </w:p>
    <w:p w14:paraId="3B013F3F" w14:textId="77777777" w:rsidR="00790ADA" w:rsidRPr="0076786A" w:rsidRDefault="00790ADA" w:rsidP="00441B6F">
      <w:pPr>
        <w:pStyle w:val="Body"/>
        <w:spacing w:after="0"/>
        <w:rPr>
          <w:rFonts w:ascii="Arial" w:hAnsi="Arial" w:cs="Arial"/>
          <w:lang w:val="en-GB"/>
        </w:rPr>
      </w:pPr>
    </w:p>
    <w:p w14:paraId="10520D8C" w14:textId="506479E6" w:rsidR="00600DC7" w:rsidRPr="00600DC7" w:rsidRDefault="00600DC7" w:rsidP="0076786A">
      <w:pPr>
        <w:jc w:val="both"/>
        <w:rPr>
          <w:rStyle w:val="hwtze"/>
          <w:rFonts w:ascii="Arial" w:hAnsi="Arial" w:cs="Arial"/>
          <w:lang w:val="en"/>
        </w:rPr>
      </w:pPr>
      <w:r>
        <w:rPr>
          <w:noProof/>
        </w:rPr>
        <w:lastRenderedPageBreak/>
        <w:drawing>
          <wp:anchor distT="0" distB="0" distL="114300" distR="114300" simplePos="0" relativeHeight="251658240" behindDoc="0" locked="0" layoutInCell="1" allowOverlap="1" wp14:anchorId="3DD88801" wp14:editId="0A09E31B">
            <wp:simplePos x="0" y="0"/>
            <wp:positionH relativeFrom="column">
              <wp:posOffset>774700</wp:posOffset>
            </wp:positionH>
            <wp:positionV relativeFrom="paragraph">
              <wp:posOffset>949960</wp:posOffset>
            </wp:positionV>
            <wp:extent cx="3060700" cy="2287270"/>
            <wp:effectExtent l="0" t="0" r="6350" b="0"/>
            <wp:wrapTopAndBottom/>
            <wp:docPr id="3481404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40412" name=""/>
                    <pic:cNvPicPr/>
                  </pic:nvPicPr>
                  <pic:blipFill rotWithShape="1">
                    <a:blip r:embed="rId16" cstate="print">
                      <a:extLst>
                        <a:ext uri="{28A0092B-C50C-407E-A947-70E740481C1C}">
                          <a14:useLocalDpi xmlns:a14="http://schemas.microsoft.com/office/drawing/2010/main" val="0"/>
                        </a:ext>
                      </a:extLst>
                    </a:blip>
                    <a:srcRect l="22156" t="32905" r="35489" b="10816"/>
                    <a:stretch>
                      <a:fillRect/>
                    </a:stretch>
                  </pic:blipFill>
                  <pic:spPr bwMode="auto">
                    <a:xfrm>
                      <a:off x="0" y="0"/>
                      <a:ext cx="3060700" cy="2287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786A" w:rsidRPr="0076786A">
        <w:rPr>
          <w:rStyle w:val="rynqvb"/>
          <w:rFonts w:ascii="Arial" w:hAnsi="Arial" w:cs="Arial"/>
          <w:lang w:val="en"/>
        </w:rPr>
        <w:t>Regarding microscopic observations, young cultures (3 to 7 days old) exhibit a septate mycelium with branching, unpigmented cells, and thin, transparent (non-melanized) cell walls.</w:t>
      </w:r>
      <w:r w:rsidR="0076786A" w:rsidRPr="0076786A">
        <w:rPr>
          <w:rStyle w:val="hwtze"/>
          <w:rFonts w:ascii="Arial" w:hAnsi="Arial" w:cs="Arial"/>
          <w:lang w:val="en"/>
        </w:rPr>
        <w:t xml:space="preserve"> </w:t>
      </w:r>
      <w:r w:rsidR="0076786A" w:rsidRPr="0076786A">
        <w:rPr>
          <w:rStyle w:val="rynqvb"/>
          <w:rFonts w:ascii="Arial" w:hAnsi="Arial" w:cs="Arial"/>
          <w:lang w:val="en"/>
        </w:rPr>
        <w:t>In contrast, older cultures display a septate, dark brown, fairly broad mycelium with thick cell walls.</w:t>
      </w:r>
      <w:r w:rsidR="0076786A" w:rsidRPr="0076786A">
        <w:rPr>
          <w:rStyle w:val="hwtze"/>
          <w:rFonts w:ascii="Arial" w:hAnsi="Arial" w:cs="Arial"/>
          <w:lang w:val="en"/>
        </w:rPr>
        <w:t xml:space="preserve"> </w:t>
      </w:r>
      <w:r w:rsidR="0076786A" w:rsidRPr="0076786A">
        <w:rPr>
          <w:rStyle w:val="rynqvb"/>
          <w:rFonts w:ascii="Arial" w:hAnsi="Arial" w:cs="Arial"/>
          <w:lang w:val="en"/>
        </w:rPr>
        <w:t>Pycnidia are abundant, spherical in shape, and contain conidia.</w:t>
      </w:r>
      <w:r w:rsidR="0076786A" w:rsidRPr="0076786A">
        <w:rPr>
          <w:rStyle w:val="hwtze"/>
          <w:rFonts w:ascii="Arial" w:hAnsi="Arial" w:cs="Arial"/>
          <w:lang w:val="en"/>
        </w:rPr>
        <w:t xml:space="preserve"> </w:t>
      </w:r>
      <w:r w:rsidR="0076786A" w:rsidRPr="0076786A">
        <w:rPr>
          <w:rStyle w:val="rynqvb"/>
          <w:rFonts w:ascii="Arial" w:hAnsi="Arial" w:cs="Arial"/>
          <w:lang w:val="en"/>
        </w:rPr>
        <w:t>Conidiophores are short and slightly brown, and mature conidia are oval-shaped with longitudinal, septate striations (Figure 3).</w:t>
      </w:r>
    </w:p>
    <w:p w14:paraId="6650A000" w14:textId="34906AB3" w:rsidR="0076786A" w:rsidRPr="0076786A" w:rsidRDefault="0076786A" w:rsidP="0076786A">
      <w:pPr>
        <w:jc w:val="both"/>
        <w:rPr>
          <w:rStyle w:val="rynqvb"/>
          <w:rFonts w:ascii="Arial" w:hAnsi="Arial" w:cs="Arial"/>
          <w:i/>
          <w:lang w:val="en"/>
        </w:rPr>
      </w:pPr>
      <w:r w:rsidRPr="0076786A">
        <w:rPr>
          <w:rStyle w:val="rynqvb"/>
          <w:rFonts w:ascii="Arial" w:hAnsi="Arial" w:cs="Arial"/>
          <w:b/>
          <w:lang w:val="en"/>
        </w:rPr>
        <w:t>Fig. 3</w:t>
      </w:r>
      <w:r w:rsidR="00543C71">
        <w:rPr>
          <w:rStyle w:val="rynqvb"/>
          <w:rFonts w:ascii="Arial" w:hAnsi="Arial" w:cs="Arial"/>
          <w:lang w:val="en"/>
        </w:rPr>
        <w:t>.</w:t>
      </w:r>
      <w:r w:rsidRPr="0076786A">
        <w:rPr>
          <w:rStyle w:val="rynqvb"/>
          <w:rFonts w:ascii="Arial" w:hAnsi="Arial" w:cs="Arial"/>
          <w:lang w:val="en"/>
        </w:rPr>
        <w:t xml:space="preserve"> Microscopic structures of a 3-day (A), 7-day (B) and more than one-month culture of </w:t>
      </w:r>
      <w:proofErr w:type="spellStart"/>
      <w:r w:rsidRPr="00543C71">
        <w:rPr>
          <w:rStyle w:val="rynqvb"/>
          <w:rFonts w:ascii="Arial" w:hAnsi="Arial" w:cs="Arial"/>
          <w:i/>
          <w:iCs/>
          <w:lang w:val="en"/>
        </w:rPr>
        <w:t>Lasiodiplodia</w:t>
      </w:r>
      <w:proofErr w:type="spellEnd"/>
      <w:r w:rsidRPr="0076786A">
        <w:rPr>
          <w:rStyle w:val="rynqvb"/>
          <w:rFonts w:ascii="Arial" w:hAnsi="Arial" w:cs="Arial"/>
          <w:lang w:val="en"/>
        </w:rPr>
        <w:t xml:space="preserve"> sp</w:t>
      </w:r>
      <w:r w:rsidR="00BE32CD">
        <w:rPr>
          <w:rStyle w:val="rynqvb"/>
          <w:rFonts w:ascii="Arial" w:hAnsi="Arial" w:cs="Arial"/>
          <w:lang w:val="en"/>
        </w:rPr>
        <w:t>.</w:t>
      </w:r>
    </w:p>
    <w:p w14:paraId="3E1719FC" w14:textId="77777777" w:rsidR="0076786A" w:rsidRPr="004D19C5" w:rsidRDefault="0076786A" w:rsidP="0076786A">
      <w:pPr>
        <w:spacing w:line="360" w:lineRule="auto"/>
        <w:jc w:val="both"/>
        <w:rPr>
          <w:rStyle w:val="rynqvb"/>
          <w:rFonts w:ascii="Times New Roman" w:hAnsi="Times New Roman"/>
          <w:lang w:val="en"/>
        </w:rPr>
      </w:pPr>
    </w:p>
    <w:p w14:paraId="174CA74D" w14:textId="5D7E1984" w:rsidR="0076786A" w:rsidRDefault="0076786A" w:rsidP="0076786A">
      <w:pPr>
        <w:jc w:val="both"/>
        <w:rPr>
          <w:rFonts w:ascii="Arial" w:hAnsi="Arial" w:cs="Arial"/>
          <w:b/>
          <w:sz w:val="22"/>
          <w:szCs w:val="22"/>
          <w:lang w:val="en" w:eastAsia="fr-FR"/>
        </w:rPr>
      </w:pPr>
      <w:r w:rsidRPr="0076786A">
        <w:rPr>
          <w:rFonts w:ascii="Arial" w:hAnsi="Arial" w:cs="Arial"/>
          <w:b/>
          <w:sz w:val="22"/>
          <w:szCs w:val="22"/>
          <w:lang w:val="en" w:eastAsia="fr-FR"/>
        </w:rPr>
        <w:t>3.2 Molecular Identification</w:t>
      </w:r>
    </w:p>
    <w:p w14:paraId="0C771633" w14:textId="77777777" w:rsidR="0076786A" w:rsidRPr="0076786A" w:rsidRDefault="0076786A" w:rsidP="0076786A">
      <w:pPr>
        <w:jc w:val="both"/>
        <w:rPr>
          <w:rFonts w:ascii="Arial" w:hAnsi="Arial" w:cs="Arial"/>
          <w:lang w:val="en" w:eastAsia="fr-FR"/>
        </w:rPr>
      </w:pPr>
    </w:p>
    <w:p w14:paraId="72BAE4C6" w14:textId="779B0DAC" w:rsidR="0076786A" w:rsidRPr="0076786A" w:rsidRDefault="0076786A" w:rsidP="0076786A">
      <w:pPr>
        <w:jc w:val="both"/>
        <w:rPr>
          <w:rFonts w:ascii="Arial" w:hAnsi="Arial" w:cs="Arial"/>
          <w:lang w:val="en-GB" w:eastAsia="fr-FR"/>
        </w:rPr>
      </w:pPr>
      <w:r w:rsidRPr="0076786A">
        <w:rPr>
          <w:rFonts w:ascii="Arial" w:hAnsi="Arial" w:cs="Arial"/>
          <w:lang w:val="en" w:eastAsia="fr-FR"/>
        </w:rPr>
        <w:t xml:space="preserve">A 700 bp fragment was obtained after amplification of the 10 isolates. Isolates S3 and BOD had at least 98% sequence similarity to </w:t>
      </w:r>
      <w:proofErr w:type="spellStart"/>
      <w:r w:rsidRPr="00206F17">
        <w:rPr>
          <w:rFonts w:ascii="Arial" w:hAnsi="Arial" w:cs="Arial"/>
          <w:i/>
          <w:highlight w:val="yellow"/>
          <w:lang w:val="en" w:eastAsia="fr-FR"/>
        </w:rPr>
        <w:t>Lasi</w:t>
      </w:r>
      <w:r w:rsidR="00206F17" w:rsidRPr="00206F17">
        <w:rPr>
          <w:rFonts w:ascii="Arial" w:hAnsi="Arial" w:cs="Arial"/>
          <w:i/>
          <w:highlight w:val="yellow"/>
          <w:lang w:val="en" w:eastAsia="fr-FR"/>
        </w:rPr>
        <w:t>odi</w:t>
      </w:r>
      <w:r w:rsidRPr="00206F17">
        <w:rPr>
          <w:rFonts w:ascii="Arial" w:hAnsi="Arial" w:cs="Arial"/>
          <w:i/>
          <w:highlight w:val="yellow"/>
          <w:lang w:val="en" w:eastAsia="fr-FR"/>
        </w:rPr>
        <w:t>plodia</w:t>
      </w:r>
      <w:proofErr w:type="spellEnd"/>
      <w:r w:rsidRPr="00206F17">
        <w:rPr>
          <w:rFonts w:ascii="Arial" w:hAnsi="Arial" w:cs="Arial"/>
          <w:i/>
          <w:highlight w:val="yellow"/>
          <w:lang w:val="en" w:eastAsia="fr-FR"/>
        </w:rPr>
        <w:t xml:space="preserve"> </w:t>
      </w:r>
      <w:proofErr w:type="spellStart"/>
      <w:r w:rsidRPr="00206F17">
        <w:rPr>
          <w:rFonts w:ascii="Arial" w:hAnsi="Arial" w:cs="Arial"/>
          <w:i/>
          <w:highlight w:val="yellow"/>
          <w:lang w:val="en" w:eastAsia="fr-FR"/>
        </w:rPr>
        <w:t>theobromae</w:t>
      </w:r>
      <w:proofErr w:type="spellEnd"/>
      <w:r w:rsidRPr="0076786A">
        <w:rPr>
          <w:rFonts w:ascii="Arial" w:hAnsi="Arial" w:cs="Arial"/>
          <w:lang w:val="en" w:eastAsia="fr-FR"/>
        </w:rPr>
        <w:t xml:space="preserve"> (Table 2). The phylogenetic tree for the consolidated identification of the isolates is shown in Figure 4. This tree shows the relationship between the closest strains of the genus </w:t>
      </w:r>
      <w:proofErr w:type="spellStart"/>
      <w:r w:rsidRPr="00206F17">
        <w:rPr>
          <w:rFonts w:ascii="Arial" w:hAnsi="Arial" w:cs="Arial"/>
          <w:i/>
          <w:iCs/>
          <w:highlight w:val="yellow"/>
          <w:lang w:val="en" w:eastAsia="fr-FR"/>
        </w:rPr>
        <w:t>Lasi</w:t>
      </w:r>
      <w:r w:rsidR="00206F17" w:rsidRPr="00206F17">
        <w:rPr>
          <w:rFonts w:ascii="Arial" w:hAnsi="Arial" w:cs="Arial"/>
          <w:i/>
          <w:iCs/>
          <w:highlight w:val="yellow"/>
          <w:lang w:val="en" w:eastAsia="fr-FR"/>
        </w:rPr>
        <w:t>o</w:t>
      </w:r>
      <w:r w:rsidRPr="00206F17">
        <w:rPr>
          <w:rFonts w:ascii="Arial" w:hAnsi="Arial" w:cs="Arial"/>
          <w:i/>
          <w:iCs/>
          <w:highlight w:val="yellow"/>
          <w:lang w:val="en" w:eastAsia="fr-FR"/>
        </w:rPr>
        <w:t>dioplodia</w:t>
      </w:r>
      <w:proofErr w:type="spellEnd"/>
      <w:r w:rsidRPr="0076786A">
        <w:rPr>
          <w:rFonts w:ascii="Arial" w:hAnsi="Arial" w:cs="Arial"/>
          <w:lang w:val="en" w:eastAsia="fr-FR"/>
        </w:rPr>
        <w:t xml:space="preserve">, extracted from the NCBI database. The tree is rooted with the strain </w:t>
      </w:r>
      <w:proofErr w:type="spellStart"/>
      <w:r w:rsidRPr="0076786A">
        <w:rPr>
          <w:rFonts w:ascii="Arial" w:hAnsi="Arial" w:cs="Arial"/>
          <w:i/>
          <w:lang w:val="en" w:eastAsia="fr-FR"/>
        </w:rPr>
        <w:t>Athelia</w:t>
      </w:r>
      <w:proofErr w:type="spellEnd"/>
      <w:r w:rsidRPr="0076786A">
        <w:rPr>
          <w:rFonts w:ascii="Arial" w:hAnsi="Arial" w:cs="Arial"/>
          <w:i/>
          <w:lang w:val="en" w:eastAsia="fr-FR"/>
        </w:rPr>
        <w:t xml:space="preserve"> </w:t>
      </w:r>
      <w:proofErr w:type="spellStart"/>
      <w:r w:rsidRPr="0076786A">
        <w:rPr>
          <w:rFonts w:ascii="Arial" w:hAnsi="Arial" w:cs="Arial"/>
          <w:i/>
          <w:lang w:val="en" w:eastAsia="fr-FR"/>
        </w:rPr>
        <w:t>rolsfii</w:t>
      </w:r>
      <w:proofErr w:type="spellEnd"/>
      <w:r w:rsidRPr="0076786A">
        <w:rPr>
          <w:rFonts w:ascii="Arial" w:hAnsi="Arial" w:cs="Arial"/>
          <w:lang w:val="en" w:eastAsia="fr-FR"/>
        </w:rPr>
        <w:t xml:space="preserve">. This phylogenetic analysis confirmed that the identified </w:t>
      </w:r>
      <w:r w:rsidRPr="0076786A">
        <w:rPr>
          <w:rFonts w:ascii="Arial" w:hAnsi="Arial" w:cs="Arial"/>
          <w:i/>
          <w:lang w:val="en" w:eastAsia="fr-FR"/>
        </w:rPr>
        <w:t xml:space="preserve">L. </w:t>
      </w:r>
      <w:proofErr w:type="spellStart"/>
      <w:r w:rsidRPr="0076786A">
        <w:rPr>
          <w:rFonts w:ascii="Arial" w:hAnsi="Arial" w:cs="Arial"/>
          <w:i/>
          <w:lang w:val="en" w:eastAsia="fr-FR"/>
        </w:rPr>
        <w:t>theobromae</w:t>
      </w:r>
      <w:proofErr w:type="spellEnd"/>
      <w:r w:rsidRPr="0076786A">
        <w:rPr>
          <w:rFonts w:ascii="Arial" w:hAnsi="Arial" w:cs="Arial"/>
          <w:lang w:val="en" w:eastAsia="fr-FR"/>
        </w:rPr>
        <w:t xml:space="preserve"> species are associated with dry rot of tomato crops</w:t>
      </w:r>
      <w:r w:rsidR="00543C71">
        <w:rPr>
          <w:rFonts w:ascii="Arial" w:hAnsi="Arial" w:cs="Arial"/>
          <w:lang w:val="en" w:eastAsia="fr-FR"/>
        </w:rPr>
        <w:t>.</w:t>
      </w:r>
    </w:p>
    <w:p w14:paraId="31DF2914" w14:textId="77777777" w:rsidR="0076786A" w:rsidRPr="0076786A" w:rsidRDefault="0076786A" w:rsidP="00441B6F">
      <w:pPr>
        <w:pStyle w:val="Body"/>
        <w:spacing w:after="0"/>
        <w:rPr>
          <w:rFonts w:ascii="Arial" w:hAnsi="Arial" w:cs="Arial"/>
          <w:lang w:val="en-GB"/>
        </w:rPr>
      </w:pPr>
    </w:p>
    <w:p w14:paraId="76046B7B" w14:textId="49F16D43" w:rsidR="00543C71" w:rsidRPr="00543C71" w:rsidRDefault="00543C71" w:rsidP="00543C71">
      <w:pPr>
        <w:ind w:firstLine="720"/>
        <w:contextualSpacing/>
        <w:rPr>
          <w:rFonts w:ascii="Arial" w:hAnsi="Arial" w:cs="Arial"/>
          <w:lang w:val="en-GB"/>
        </w:rPr>
      </w:pPr>
      <w:r w:rsidRPr="00543C71">
        <w:rPr>
          <w:rFonts w:ascii="Arial" w:hAnsi="Arial" w:cs="Arial"/>
          <w:b/>
          <w:bCs/>
          <w:lang w:val="en-GB"/>
        </w:rPr>
        <w:t>Table 2</w:t>
      </w:r>
      <w:r>
        <w:rPr>
          <w:rFonts w:ascii="Arial" w:hAnsi="Arial" w:cs="Arial"/>
          <w:b/>
          <w:bCs/>
          <w:lang w:val="en-GB"/>
        </w:rPr>
        <w:t>.</w:t>
      </w:r>
      <w:r w:rsidRPr="00543C71">
        <w:rPr>
          <w:rFonts w:ascii="Arial" w:hAnsi="Arial" w:cs="Arial"/>
          <w:b/>
          <w:bCs/>
          <w:lang w:val="en-GB"/>
        </w:rPr>
        <w:t xml:space="preserve"> </w:t>
      </w:r>
      <w:r w:rsidRPr="00543C71">
        <w:rPr>
          <w:rFonts w:ascii="Arial" w:hAnsi="Arial" w:cs="Arial"/>
          <w:lang w:val="en-GB"/>
        </w:rPr>
        <w:t>Identification of fungus isolates from the ITS region of the rRNA</w:t>
      </w:r>
    </w:p>
    <w:p w14:paraId="229C51B6" w14:textId="77777777" w:rsidR="00543C71" w:rsidRPr="00543C71" w:rsidRDefault="00543C71" w:rsidP="00543C71">
      <w:pPr>
        <w:contextualSpacing/>
        <w:rPr>
          <w:rFonts w:ascii="Arial" w:hAnsi="Arial" w:cs="Arial"/>
          <w:b/>
          <w:bCs/>
          <w:sz w:val="10"/>
          <w:szCs w:val="10"/>
          <w:lang w:val="en-GB"/>
        </w:rPr>
      </w:pPr>
    </w:p>
    <w:tbl>
      <w:tblPr>
        <w:tblStyle w:val="PlainTable4"/>
        <w:tblW w:w="6530" w:type="dxa"/>
        <w:tblInd w:w="675" w:type="dxa"/>
        <w:tblLook w:val="04A0" w:firstRow="1" w:lastRow="0" w:firstColumn="1" w:lastColumn="0" w:noHBand="0" w:noVBand="1"/>
      </w:tblPr>
      <w:tblGrid>
        <w:gridCol w:w="716"/>
        <w:gridCol w:w="872"/>
        <w:gridCol w:w="1497"/>
        <w:gridCol w:w="2100"/>
        <w:gridCol w:w="728"/>
        <w:gridCol w:w="617"/>
      </w:tblGrid>
      <w:tr w:rsidR="00543C71" w:rsidRPr="00543C71" w14:paraId="15274B83" w14:textId="77777777" w:rsidTr="00543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top w:val="single" w:sz="8" w:space="0" w:color="auto"/>
              <w:bottom w:val="single" w:sz="8" w:space="0" w:color="auto"/>
            </w:tcBorders>
          </w:tcPr>
          <w:p w14:paraId="61F768B0" w14:textId="77777777" w:rsidR="00543C71" w:rsidRPr="00543C71" w:rsidRDefault="00543C71" w:rsidP="002B2255">
            <w:pPr>
              <w:contextualSpacing/>
              <w:rPr>
                <w:rFonts w:ascii="Arial" w:hAnsi="Arial" w:cs="Arial"/>
                <w:sz w:val="20"/>
                <w:szCs w:val="20"/>
              </w:rPr>
            </w:pPr>
            <w:r w:rsidRPr="00543C71">
              <w:rPr>
                <w:rFonts w:ascii="Arial" w:hAnsi="Arial" w:cs="Arial"/>
                <w:sz w:val="20"/>
                <w:szCs w:val="20"/>
              </w:rPr>
              <w:t xml:space="preserve">Code </w:t>
            </w:r>
          </w:p>
        </w:tc>
        <w:tc>
          <w:tcPr>
            <w:tcW w:w="872" w:type="dxa"/>
            <w:tcBorders>
              <w:top w:val="single" w:sz="8" w:space="0" w:color="auto"/>
              <w:bottom w:val="single" w:sz="8" w:space="0" w:color="auto"/>
            </w:tcBorders>
          </w:tcPr>
          <w:p w14:paraId="6B782344" w14:textId="77777777" w:rsidR="00543C71" w:rsidRPr="00543C71" w:rsidRDefault="00543C71" w:rsidP="002B2255">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543C71">
              <w:rPr>
                <w:rFonts w:ascii="Arial" w:hAnsi="Arial" w:cs="Arial"/>
                <w:sz w:val="20"/>
                <w:szCs w:val="20"/>
              </w:rPr>
              <w:t>Crop</w:t>
            </w:r>
            <w:proofErr w:type="spellEnd"/>
            <w:r w:rsidRPr="00543C71">
              <w:rPr>
                <w:rFonts w:ascii="Arial" w:hAnsi="Arial" w:cs="Arial"/>
                <w:sz w:val="20"/>
                <w:szCs w:val="20"/>
              </w:rPr>
              <w:t xml:space="preserve"> </w:t>
            </w:r>
          </w:p>
        </w:tc>
        <w:tc>
          <w:tcPr>
            <w:tcW w:w="1497" w:type="dxa"/>
            <w:tcBorders>
              <w:top w:val="single" w:sz="8" w:space="0" w:color="auto"/>
              <w:bottom w:val="single" w:sz="8" w:space="0" w:color="auto"/>
            </w:tcBorders>
          </w:tcPr>
          <w:p w14:paraId="7AEDE727" w14:textId="77777777" w:rsidR="00543C71" w:rsidRPr="00543C71" w:rsidRDefault="00543C71" w:rsidP="002B2255">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 xml:space="preserve">N° accession </w:t>
            </w:r>
          </w:p>
        </w:tc>
        <w:tc>
          <w:tcPr>
            <w:tcW w:w="2100" w:type="dxa"/>
            <w:tcBorders>
              <w:top w:val="single" w:sz="8" w:space="0" w:color="auto"/>
              <w:bottom w:val="single" w:sz="8" w:space="0" w:color="auto"/>
            </w:tcBorders>
          </w:tcPr>
          <w:p w14:paraId="13C9C253" w14:textId="77777777" w:rsidR="00543C71" w:rsidRPr="00543C71" w:rsidRDefault="00543C71" w:rsidP="002B2255">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543C71">
              <w:rPr>
                <w:rFonts w:ascii="Arial" w:hAnsi="Arial" w:cs="Arial"/>
                <w:sz w:val="20"/>
                <w:szCs w:val="20"/>
              </w:rPr>
              <w:t>Species</w:t>
            </w:r>
            <w:proofErr w:type="spellEnd"/>
            <w:r w:rsidRPr="00543C71">
              <w:rPr>
                <w:rFonts w:ascii="Arial" w:hAnsi="Arial" w:cs="Arial"/>
                <w:sz w:val="20"/>
                <w:szCs w:val="20"/>
              </w:rPr>
              <w:t xml:space="preserve"> </w:t>
            </w:r>
          </w:p>
        </w:tc>
        <w:tc>
          <w:tcPr>
            <w:tcW w:w="728" w:type="dxa"/>
            <w:tcBorders>
              <w:top w:val="single" w:sz="8" w:space="0" w:color="auto"/>
              <w:bottom w:val="single" w:sz="8" w:space="0" w:color="auto"/>
            </w:tcBorders>
          </w:tcPr>
          <w:p w14:paraId="3E30A712" w14:textId="77777777" w:rsidR="00543C71" w:rsidRPr="00543C71" w:rsidRDefault="00543C71" w:rsidP="002B2255">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S. C.</w:t>
            </w:r>
          </w:p>
        </w:tc>
        <w:tc>
          <w:tcPr>
            <w:tcW w:w="617" w:type="dxa"/>
            <w:tcBorders>
              <w:top w:val="single" w:sz="8" w:space="0" w:color="auto"/>
              <w:bottom w:val="single" w:sz="8" w:space="0" w:color="auto"/>
            </w:tcBorders>
          </w:tcPr>
          <w:p w14:paraId="6B862ADD" w14:textId="77777777" w:rsidR="00543C71" w:rsidRPr="00543C71" w:rsidRDefault="00543C71" w:rsidP="002B2255">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SI</w:t>
            </w:r>
          </w:p>
        </w:tc>
      </w:tr>
      <w:tr w:rsidR="00543C71" w:rsidRPr="00543C71" w14:paraId="62614858" w14:textId="77777777" w:rsidTr="00543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top w:val="single" w:sz="8" w:space="0" w:color="auto"/>
            </w:tcBorders>
            <w:shd w:val="clear" w:color="auto" w:fill="auto"/>
            <w:vAlign w:val="center"/>
          </w:tcPr>
          <w:p w14:paraId="1F88915F" w14:textId="77777777" w:rsidR="00543C71" w:rsidRPr="00543C71" w:rsidRDefault="00543C71" w:rsidP="002B2255">
            <w:pPr>
              <w:contextualSpacing/>
              <w:jc w:val="center"/>
              <w:rPr>
                <w:rFonts w:ascii="Arial" w:hAnsi="Arial" w:cs="Arial"/>
                <w:sz w:val="20"/>
                <w:szCs w:val="20"/>
              </w:rPr>
            </w:pPr>
            <w:r w:rsidRPr="00543C71">
              <w:rPr>
                <w:rFonts w:ascii="Arial" w:hAnsi="Arial" w:cs="Arial"/>
                <w:sz w:val="20"/>
                <w:szCs w:val="20"/>
              </w:rPr>
              <w:t>S3</w:t>
            </w:r>
          </w:p>
        </w:tc>
        <w:tc>
          <w:tcPr>
            <w:tcW w:w="872" w:type="dxa"/>
            <w:tcBorders>
              <w:top w:val="single" w:sz="8" w:space="0" w:color="auto"/>
            </w:tcBorders>
            <w:shd w:val="clear" w:color="auto" w:fill="auto"/>
            <w:vAlign w:val="center"/>
          </w:tcPr>
          <w:p w14:paraId="553DA681" w14:textId="77777777" w:rsidR="00543C71" w:rsidRPr="00543C71" w:rsidRDefault="00543C71" w:rsidP="002B2255">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C71">
              <w:rPr>
                <w:rFonts w:ascii="Arial" w:hAnsi="Arial" w:cs="Arial"/>
                <w:sz w:val="20"/>
                <w:szCs w:val="20"/>
              </w:rPr>
              <w:t>Tomate</w:t>
            </w:r>
          </w:p>
        </w:tc>
        <w:tc>
          <w:tcPr>
            <w:tcW w:w="1497" w:type="dxa"/>
            <w:tcBorders>
              <w:top w:val="single" w:sz="8" w:space="0" w:color="auto"/>
            </w:tcBorders>
            <w:shd w:val="clear" w:color="auto" w:fill="auto"/>
            <w:vAlign w:val="center"/>
          </w:tcPr>
          <w:p w14:paraId="39297729" w14:textId="77777777" w:rsidR="00543C71" w:rsidRPr="00543C71" w:rsidRDefault="00543C71" w:rsidP="002B2255">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C71">
              <w:rPr>
                <w:rFonts w:ascii="Arial" w:hAnsi="Arial" w:cs="Arial"/>
                <w:sz w:val="20"/>
                <w:szCs w:val="20"/>
              </w:rPr>
              <w:t>MZ502166.1</w:t>
            </w:r>
          </w:p>
        </w:tc>
        <w:tc>
          <w:tcPr>
            <w:tcW w:w="2100" w:type="dxa"/>
            <w:tcBorders>
              <w:top w:val="single" w:sz="8" w:space="0" w:color="auto"/>
            </w:tcBorders>
            <w:shd w:val="clear" w:color="auto" w:fill="auto"/>
            <w:vAlign w:val="center"/>
          </w:tcPr>
          <w:p w14:paraId="06CD20A3" w14:textId="77777777" w:rsidR="00543C71" w:rsidRPr="00543C71" w:rsidRDefault="00543C71" w:rsidP="002B2255">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543C71">
              <w:rPr>
                <w:rFonts w:ascii="Arial" w:hAnsi="Arial" w:cs="Arial"/>
                <w:i/>
                <w:iCs/>
                <w:sz w:val="20"/>
                <w:szCs w:val="20"/>
              </w:rPr>
              <w:t>Lasiodiplodia</w:t>
            </w:r>
            <w:proofErr w:type="spellEnd"/>
            <w:r w:rsidRPr="00543C71">
              <w:rPr>
                <w:rFonts w:ascii="Arial" w:hAnsi="Arial" w:cs="Arial"/>
                <w:i/>
                <w:iCs/>
                <w:sz w:val="20"/>
                <w:szCs w:val="20"/>
              </w:rPr>
              <w:t xml:space="preserve"> </w:t>
            </w:r>
            <w:proofErr w:type="spellStart"/>
            <w:r w:rsidRPr="00543C71">
              <w:rPr>
                <w:rFonts w:ascii="Arial" w:hAnsi="Arial" w:cs="Arial"/>
                <w:i/>
                <w:iCs/>
                <w:sz w:val="20"/>
                <w:szCs w:val="20"/>
              </w:rPr>
              <w:t>theobromae</w:t>
            </w:r>
            <w:proofErr w:type="spellEnd"/>
            <w:r w:rsidRPr="00543C71">
              <w:rPr>
                <w:rFonts w:ascii="Arial" w:hAnsi="Arial" w:cs="Arial"/>
                <w:sz w:val="20"/>
                <w:szCs w:val="20"/>
              </w:rPr>
              <w:t xml:space="preserve"> </w:t>
            </w:r>
            <w:proofErr w:type="spellStart"/>
            <w:r w:rsidRPr="00543C71">
              <w:rPr>
                <w:rFonts w:ascii="Arial" w:hAnsi="Arial" w:cs="Arial"/>
                <w:sz w:val="20"/>
                <w:szCs w:val="20"/>
              </w:rPr>
              <w:t>isolate</w:t>
            </w:r>
            <w:proofErr w:type="spellEnd"/>
            <w:r w:rsidRPr="00543C71">
              <w:rPr>
                <w:rFonts w:ascii="Arial" w:hAnsi="Arial" w:cs="Arial"/>
                <w:sz w:val="20"/>
                <w:szCs w:val="20"/>
              </w:rPr>
              <w:t xml:space="preserve"> MKMS 2.1.2</w:t>
            </w:r>
          </w:p>
        </w:tc>
        <w:tc>
          <w:tcPr>
            <w:tcW w:w="728" w:type="dxa"/>
            <w:tcBorders>
              <w:top w:val="single" w:sz="8" w:space="0" w:color="auto"/>
            </w:tcBorders>
            <w:shd w:val="clear" w:color="auto" w:fill="auto"/>
            <w:vAlign w:val="center"/>
          </w:tcPr>
          <w:p w14:paraId="0669BE4C" w14:textId="77777777" w:rsidR="00543C71" w:rsidRPr="00543C71" w:rsidRDefault="00543C71" w:rsidP="002B2255">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C71">
              <w:rPr>
                <w:rFonts w:ascii="Arial" w:hAnsi="Arial" w:cs="Arial"/>
                <w:sz w:val="20"/>
                <w:szCs w:val="20"/>
              </w:rPr>
              <w:t>100%</w:t>
            </w:r>
          </w:p>
        </w:tc>
        <w:tc>
          <w:tcPr>
            <w:tcW w:w="617" w:type="dxa"/>
            <w:tcBorders>
              <w:top w:val="single" w:sz="8" w:space="0" w:color="auto"/>
            </w:tcBorders>
            <w:shd w:val="clear" w:color="auto" w:fill="auto"/>
            <w:vAlign w:val="center"/>
          </w:tcPr>
          <w:p w14:paraId="21B61C1D" w14:textId="77777777" w:rsidR="00543C71" w:rsidRPr="00543C71" w:rsidRDefault="00543C71" w:rsidP="002B2255">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C71">
              <w:rPr>
                <w:rFonts w:ascii="Arial" w:hAnsi="Arial" w:cs="Arial"/>
                <w:sz w:val="20"/>
                <w:szCs w:val="20"/>
              </w:rPr>
              <w:t>98%</w:t>
            </w:r>
          </w:p>
        </w:tc>
      </w:tr>
      <w:tr w:rsidR="00543C71" w:rsidRPr="00543C71" w14:paraId="6DE6D712" w14:textId="77777777" w:rsidTr="00543C71">
        <w:tc>
          <w:tcPr>
            <w:cnfStyle w:val="001000000000" w:firstRow="0" w:lastRow="0" w:firstColumn="1" w:lastColumn="0" w:oddVBand="0" w:evenVBand="0" w:oddHBand="0" w:evenHBand="0" w:firstRowFirstColumn="0" w:firstRowLastColumn="0" w:lastRowFirstColumn="0" w:lastRowLastColumn="0"/>
            <w:tcW w:w="716" w:type="dxa"/>
            <w:tcBorders>
              <w:bottom w:val="single" w:sz="8" w:space="0" w:color="auto"/>
            </w:tcBorders>
            <w:vAlign w:val="center"/>
          </w:tcPr>
          <w:p w14:paraId="49214092" w14:textId="77777777" w:rsidR="00543C71" w:rsidRPr="00543C71" w:rsidRDefault="00543C71" w:rsidP="002B2255">
            <w:pPr>
              <w:contextualSpacing/>
              <w:jc w:val="center"/>
              <w:rPr>
                <w:rFonts w:ascii="Arial" w:hAnsi="Arial" w:cs="Arial"/>
                <w:sz w:val="20"/>
                <w:szCs w:val="20"/>
              </w:rPr>
            </w:pPr>
          </w:p>
          <w:p w14:paraId="1BB6EA65" w14:textId="77777777" w:rsidR="00543C71" w:rsidRPr="00543C71" w:rsidRDefault="00543C71" w:rsidP="002B2255">
            <w:pPr>
              <w:contextualSpacing/>
              <w:jc w:val="center"/>
              <w:rPr>
                <w:rFonts w:ascii="Arial" w:hAnsi="Arial" w:cs="Arial"/>
                <w:sz w:val="20"/>
                <w:szCs w:val="20"/>
              </w:rPr>
            </w:pPr>
            <w:r w:rsidRPr="00543C71">
              <w:rPr>
                <w:rFonts w:ascii="Arial" w:hAnsi="Arial" w:cs="Arial"/>
                <w:sz w:val="20"/>
                <w:szCs w:val="20"/>
              </w:rPr>
              <w:t>BOD</w:t>
            </w:r>
          </w:p>
        </w:tc>
        <w:tc>
          <w:tcPr>
            <w:tcW w:w="872" w:type="dxa"/>
            <w:tcBorders>
              <w:bottom w:val="single" w:sz="8" w:space="0" w:color="auto"/>
            </w:tcBorders>
            <w:vAlign w:val="center"/>
          </w:tcPr>
          <w:p w14:paraId="534AF7DC" w14:textId="77777777" w:rsidR="00543C71" w:rsidRPr="00543C71" w:rsidRDefault="00543C71" w:rsidP="002B2255">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E13A496"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Tomate</w:t>
            </w:r>
          </w:p>
        </w:tc>
        <w:tc>
          <w:tcPr>
            <w:tcW w:w="1497" w:type="dxa"/>
            <w:tcBorders>
              <w:bottom w:val="single" w:sz="8" w:space="0" w:color="auto"/>
            </w:tcBorders>
            <w:vAlign w:val="center"/>
          </w:tcPr>
          <w:p w14:paraId="529DFD63"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20E9237"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MK530023.1</w:t>
            </w:r>
          </w:p>
        </w:tc>
        <w:tc>
          <w:tcPr>
            <w:tcW w:w="2100" w:type="dxa"/>
            <w:tcBorders>
              <w:bottom w:val="single" w:sz="8" w:space="0" w:color="auto"/>
            </w:tcBorders>
            <w:vAlign w:val="center"/>
          </w:tcPr>
          <w:p w14:paraId="540BF3E3" w14:textId="77777777" w:rsidR="00543C71" w:rsidRPr="00600DC7" w:rsidRDefault="00543C71" w:rsidP="00600DC7">
            <w:pPr>
              <w:contextualSpacing/>
              <w:cnfStyle w:val="000000000000" w:firstRow="0" w:lastRow="0" w:firstColumn="0" w:lastColumn="0" w:oddVBand="0" w:evenVBand="0" w:oddHBand="0" w:evenHBand="0" w:firstRowFirstColumn="0" w:firstRowLastColumn="0" w:lastRowFirstColumn="0" w:lastRowLastColumn="0"/>
              <w:rPr>
                <w:rFonts w:ascii="Arial" w:hAnsi="Arial" w:cs="Arial"/>
                <w:i/>
                <w:iCs/>
                <w:sz w:val="10"/>
                <w:szCs w:val="10"/>
              </w:rPr>
            </w:pPr>
          </w:p>
          <w:p w14:paraId="6998363C"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543C71">
              <w:rPr>
                <w:rFonts w:ascii="Arial" w:hAnsi="Arial" w:cs="Arial"/>
                <w:i/>
                <w:iCs/>
                <w:sz w:val="20"/>
                <w:szCs w:val="20"/>
              </w:rPr>
              <w:t>Lasiodiplodia</w:t>
            </w:r>
            <w:proofErr w:type="spellEnd"/>
            <w:r w:rsidRPr="00543C71">
              <w:rPr>
                <w:rFonts w:ascii="Arial" w:hAnsi="Arial" w:cs="Arial"/>
                <w:i/>
                <w:iCs/>
                <w:sz w:val="20"/>
                <w:szCs w:val="20"/>
              </w:rPr>
              <w:t xml:space="preserve"> </w:t>
            </w:r>
            <w:proofErr w:type="spellStart"/>
            <w:r w:rsidRPr="00543C71">
              <w:rPr>
                <w:rFonts w:ascii="Arial" w:hAnsi="Arial" w:cs="Arial"/>
                <w:i/>
                <w:iCs/>
                <w:sz w:val="20"/>
                <w:szCs w:val="20"/>
              </w:rPr>
              <w:t>theobromae</w:t>
            </w:r>
            <w:proofErr w:type="spellEnd"/>
            <w:r w:rsidRPr="00543C71">
              <w:rPr>
                <w:rFonts w:ascii="Arial" w:hAnsi="Arial" w:cs="Arial"/>
                <w:sz w:val="20"/>
                <w:szCs w:val="20"/>
              </w:rPr>
              <w:t xml:space="preserve"> </w:t>
            </w:r>
            <w:proofErr w:type="spellStart"/>
            <w:r w:rsidRPr="00543C71">
              <w:rPr>
                <w:rFonts w:ascii="Arial" w:hAnsi="Arial" w:cs="Arial"/>
                <w:sz w:val="20"/>
                <w:szCs w:val="20"/>
              </w:rPr>
              <w:t>isolate</w:t>
            </w:r>
            <w:proofErr w:type="spellEnd"/>
            <w:r w:rsidRPr="00543C71">
              <w:rPr>
                <w:rFonts w:ascii="Arial" w:hAnsi="Arial" w:cs="Arial"/>
                <w:sz w:val="20"/>
                <w:szCs w:val="20"/>
              </w:rPr>
              <w:t xml:space="preserve"> BPPCA134</w:t>
            </w:r>
          </w:p>
        </w:tc>
        <w:tc>
          <w:tcPr>
            <w:tcW w:w="728" w:type="dxa"/>
            <w:tcBorders>
              <w:bottom w:val="single" w:sz="8" w:space="0" w:color="auto"/>
            </w:tcBorders>
            <w:vAlign w:val="center"/>
          </w:tcPr>
          <w:p w14:paraId="0F6595C9"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72FE868"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100%</w:t>
            </w:r>
          </w:p>
        </w:tc>
        <w:tc>
          <w:tcPr>
            <w:tcW w:w="617" w:type="dxa"/>
            <w:tcBorders>
              <w:bottom w:val="single" w:sz="8" w:space="0" w:color="auto"/>
            </w:tcBorders>
            <w:vAlign w:val="center"/>
          </w:tcPr>
          <w:p w14:paraId="13F3B3F4"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74B46C6"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99%</w:t>
            </w:r>
          </w:p>
        </w:tc>
      </w:tr>
    </w:tbl>
    <w:p w14:paraId="4BD5AFC5" w14:textId="77777777" w:rsidR="00543C71" w:rsidRPr="00543C71" w:rsidRDefault="00543C71" w:rsidP="00543C71">
      <w:pPr>
        <w:contextualSpacing/>
        <w:rPr>
          <w:rFonts w:ascii="Arial" w:hAnsi="Arial" w:cs="Arial"/>
          <w:sz w:val="10"/>
          <w:szCs w:val="10"/>
        </w:rPr>
      </w:pPr>
    </w:p>
    <w:p w14:paraId="5FC4F780" w14:textId="77777777" w:rsidR="00543C71" w:rsidRPr="006D16EB" w:rsidRDefault="00543C71" w:rsidP="00543C71">
      <w:pPr>
        <w:ind w:firstLine="720"/>
        <w:contextualSpacing/>
        <w:rPr>
          <w:rFonts w:ascii="Arial" w:hAnsi="Arial" w:cs="Arial"/>
          <w:i/>
          <w:iCs/>
          <w:sz w:val="16"/>
          <w:szCs w:val="16"/>
        </w:rPr>
      </w:pPr>
      <w:r w:rsidRPr="006D16EB">
        <w:rPr>
          <w:rFonts w:ascii="Arial" w:hAnsi="Arial" w:cs="Arial"/>
          <w:i/>
          <w:iCs/>
          <w:sz w:val="16"/>
          <w:szCs w:val="16"/>
          <w:highlight w:val="yellow"/>
        </w:rPr>
        <w:t xml:space="preserve">S.C (%): Sequence coverage rate; SI </w:t>
      </w:r>
      <w:r w:rsidRPr="006D16EB">
        <w:rPr>
          <w:rFonts w:ascii="Arial" w:hAnsi="Arial" w:cs="Arial"/>
          <w:i/>
          <w:iCs/>
          <w:sz w:val="16"/>
          <w:szCs w:val="16"/>
          <w:highlight w:val="yellow"/>
          <w:lang w:val="en-GB"/>
        </w:rPr>
        <w:t>(%): Similarity rate</w:t>
      </w:r>
    </w:p>
    <w:p w14:paraId="238467DD" w14:textId="77777777" w:rsidR="0076786A" w:rsidRDefault="0076786A" w:rsidP="00441B6F">
      <w:pPr>
        <w:pStyle w:val="Body"/>
        <w:spacing w:after="0"/>
        <w:rPr>
          <w:rFonts w:ascii="Arial" w:hAnsi="Arial" w:cs="Arial"/>
        </w:rPr>
      </w:pPr>
    </w:p>
    <w:p w14:paraId="3EC0CAF9" w14:textId="77777777" w:rsidR="0076786A" w:rsidRDefault="0076786A" w:rsidP="00441B6F">
      <w:pPr>
        <w:pStyle w:val="Body"/>
        <w:spacing w:after="0"/>
        <w:rPr>
          <w:rFonts w:ascii="Arial" w:hAnsi="Arial" w:cs="Arial"/>
        </w:rPr>
      </w:pPr>
    </w:p>
    <w:p w14:paraId="2FD3E3D8" w14:textId="77777777" w:rsidR="0076786A" w:rsidRDefault="0076786A" w:rsidP="00441B6F">
      <w:pPr>
        <w:pStyle w:val="Body"/>
        <w:spacing w:after="0"/>
        <w:rPr>
          <w:rFonts w:ascii="Arial" w:hAnsi="Arial" w:cs="Arial"/>
        </w:rPr>
      </w:pPr>
    </w:p>
    <w:p w14:paraId="74591AA2" w14:textId="77777777" w:rsidR="0076786A" w:rsidRDefault="0076786A" w:rsidP="00441B6F">
      <w:pPr>
        <w:pStyle w:val="Body"/>
        <w:spacing w:after="0"/>
        <w:rPr>
          <w:rFonts w:ascii="Arial" w:hAnsi="Arial" w:cs="Arial"/>
        </w:rPr>
      </w:pPr>
    </w:p>
    <w:p w14:paraId="51C218DB" w14:textId="711597CE" w:rsidR="0076786A" w:rsidRPr="00543C71" w:rsidRDefault="00556DF3" w:rsidP="00543C71">
      <w:pPr>
        <w:contextualSpacing/>
      </w:pPr>
      <w:r w:rsidRPr="00556DF3">
        <w:rPr>
          <w:noProof/>
          <w:highlight w:val="yellow"/>
        </w:rPr>
        <w:lastRenderedPageBreak/>
        <w:drawing>
          <wp:inline distT="0" distB="0" distL="0" distR="0" wp14:anchorId="646D9BFD" wp14:editId="5C063750">
            <wp:extent cx="5187950" cy="2836165"/>
            <wp:effectExtent l="0" t="0" r="0" b="0"/>
            <wp:docPr id="5860612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61298" name=""/>
                    <pic:cNvPicPr/>
                  </pic:nvPicPr>
                  <pic:blipFill>
                    <a:blip r:embed="rId17"/>
                    <a:stretch>
                      <a:fillRect/>
                    </a:stretch>
                  </pic:blipFill>
                  <pic:spPr>
                    <a:xfrm>
                      <a:off x="0" y="0"/>
                      <a:ext cx="5215338" cy="2851137"/>
                    </a:xfrm>
                    <a:prstGeom prst="rect">
                      <a:avLst/>
                    </a:prstGeom>
                  </pic:spPr>
                </pic:pic>
              </a:graphicData>
            </a:graphic>
          </wp:inline>
        </w:drawing>
      </w:r>
    </w:p>
    <w:p w14:paraId="6061207D" w14:textId="435F4A0E" w:rsidR="00543C71" w:rsidRPr="00543C71" w:rsidRDefault="00543C71" w:rsidP="00543C71">
      <w:pPr>
        <w:contextualSpacing/>
        <w:rPr>
          <w:rStyle w:val="rynqvb"/>
          <w:rFonts w:ascii="Arial" w:hAnsi="Arial" w:cs="Arial"/>
          <w:lang w:val="en"/>
        </w:rPr>
      </w:pPr>
      <w:r w:rsidRPr="00543C71">
        <w:rPr>
          <w:rStyle w:val="rynqvb"/>
          <w:rFonts w:ascii="Arial" w:hAnsi="Arial" w:cs="Arial"/>
          <w:b/>
          <w:lang w:val="en"/>
        </w:rPr>
        <w:t>Fig</w:t>
      </w:r>
      <w:r>
        <w:rPr>
          <w:rStyle w:val="rynqvb"/>
          <w:rFonts w:ascii="Arial" w:hAnsi="Arial" w:cs="Arial"/>
          <w:b/>
          <w:lang w:val="en"/>
        </w:rPr>
        <w:t xml:space="preserve">. </w:t>
      </w:r>
      <w:r w:rsidRPr="00543C71">
        <w:rPr>
          <w:rStyle w:val="rynqvb"/>
          <w:rFonts w:ascii="Arial" w:hAnsi="Arial" w:cs="Arial"/>
          <w:b/>
          <w:lang w:val="en"/>
        </w:rPr>
        <w:t>4</w:t>
      </w:r>
      <w:r>
        <w:rPr>
          <w:rStyle w:val="rynqvb"/>
          <w:rFonts w:ascii="Arial" w:hAnsi="Arial" w:cs="Arial"/>
          <w:b/>
          <w:lang w:val="en"/>
        </w:rPr>
        <w:t>.</w:t>
      </w:r>
      <w:r w:rsidRPr="00543C71">
        <w:rPr>
          <w:rStyle w:val="rynqvb"/>
          <w:rFonts w:ascii="Arial" w:hAnsi="Arial" w:cs="Arial"/>
          <w:lang w:val="en"/>
        </w:rPr>
        <w:t xml:space="preserve"> Phylogenetic tree showing the position of </w:t>
      </w:r>
      <w:r w:rsidRPr="00600DC7">
        <w:rPr>
          <w:rStyle w:val="rynqvb"/>
          <w:rFonts w:ascii="Arial" w:hAnsi="Arial" w:cs="Arial"/>
          <w:i/>
          <w:iCs/>
          <w:lang w:val="en"/>
        </w:rPr>
        <w:t xml:space="preserve">L. </w:t>
      </w:r>
      <w:proofErr w:type="spellStart"/>
      <w:r w:rsidRPr="00600DC7">
        <w:rPr>
          <w:rStyle w:val="rynqvb"/>
          <w:rFonts w:ascii="Arial" w:hAnsi="Arial" w:cs="Arial"/>
          <w:i/>
          <w:iCs/>
          <w:lang w:val="en"/>
        </w:rPr>
        <w:t>theobroma</w:t>
      </w:r>
      <w:proofErr w:type="spellEnd"/>
      <w:r w:rsidRPr="00543C71">
        <w:rPr>
          <w:rStyle w:val="rynqvb"/>
          <w:rFonts w:ascii="Arial" w:hAnsi="Arial" w:cs="Arial"/>
          <w:lang w:val="en"/>
        </w:rPr>
        <w:t xml:space="preserve"> S3 and BOD isolated from tomato crops in Côte d'Ivoire, compared to ITS sequence data available on GenBank</w:t>
      </w:r>
    </w:p>
    <w:p w14:paraId="368EDACD" w14:textId="77777777" w:rsidR="00543C71" w:rsidRPr="00543C71" w:rsidRDefault="00543C71" w:rsidP="00543C71">
      <w:pPr>
        <w:rPr>
          <w:rStyle w:val="rynqvb"/>
          <w:rFonts w:ascii="Arial" w:hAnsi="Arial" w:cs="Arial"/>
          <w:lang w:val="en"/>
        </w:rPr>
      </w:pPr>
    </w:p>
    <w:p w14:paraId="09285865" w14:textId="48FD2737" w:rsidR="00543C71" w:rsidRPr="00543C71" w:rsidRDefault="00543C71" w:rsidP="00543C71">
      <w:pPr>
        <w:contextualSpacing/>
        <w:jc w:val="both"/>
        <w:rPr>
          <w:rStyle w:val="rynqvb"/>
          <w:rFonts w:ascii="Arial" w:hAnsi="Arial" w:cs="Arial"/>
          <w:b/>
          <w:sz w:val="22"/>
          <w:szCs w:val="22"/>
          <w:lang w:val="en"/>
        </w:rPr>
      </w:pPr>
      <w:r w:rsidRPr="00543C71">
        <w:rPr>
          <w:rStyle w:val="rynqvb"/>
          <w:rFonts w:ascii="Arial" w:hAnsi="Arial" w:cs="Arial"/>
          <w:b/>
          <w:sz w:val="22"/>
          <w:szCs w:val="22"/>
          <w:lang w:val="en"/>
        </w:rPr>
        <w:t>3.3</w:t>
      </w:r>
      <w:r>
        <w:rPr>
          <w:rStyle w:val="rynqvb"/>
          <w:rFonts w:ascii="Arial" w:hAnsi="Arial" w:cs="Arial"/>
          <w:b/>
          <w:i/>
          <w:iCs/>
          <w:sz w:val="22"/>
          <w:szCs w:val="22"/>
          <w:lang w:val="en"/>
        </w:rPr>
        <w:t xml:space="preserve"> </w:t>
      </w:r>
      <w:r w:rsidRPr="00543C71">
        <w:rPr>
          <w:rStyle w:val="rynqvb"/>
          <w:rFonts w:ascii="Arial" w:hAnsi="Arial" w:cs="Arial"/>
          <w:b/>
          <w:i/>
          <w:iCs/>
          <w:sz w:val="22"/>
          <w:szCs w:val="22"/>
          <w:lang w:val="en"/>
        </w:rPr>
        <w:t>In Vitro</w:t>
      </w:r>
      <w:r w:rsidRPr="00543C71">
        <w:rPr>
          <w:rStyle w:val="rynqvb"/>
          <w:rFonts w:ascii="Arial" w:hAnsi="Arial" w:cs="Arial"/>
          <w:b/>
          <w:sz w:val="22"/>
          <w:szCs w:val="22"/>
          <w:lang w:val="en"/>
        </w:rPr>
        <w:t xml:space="preserve"> Effect </w:t>
      </w:r>
      <w:proofErr w:type="gramStart"/>
      <w:r w:rsidRPr="00543C71">
        <w:rPr>
          <w:rStyle w:val="rynqvb"/>
          <w:rFonts w:ascii="Arial" w:hAnsi="Arial" w:cs="Arial"/>
          <w:b/>
          <w:sz w:val="22"/>
          <w:szCs w:val="22"/>
          <w:lang w:val="en"/>
        </w:rPr>
        <w:t>Of</w:t>
      </w:r>
      <w:proofErr w:type="gramEnd"/>
      <w:r w:rsidRPr="00543C71">
        <w:rPr>
          <w:rStyle w:val="rynqvb"/>
          <w:rFonts w:ascii="Arial" w:hAnsi="Arial" w:cs="Arial"/>
          <w:b/>
          <w:sz w:val="22"/>
          <w:szCs w:val="22"/>
          <w:lang w:val="en"/>
        </w:rPr>
        <w:t xml:space="preserve"> Biopesticides On Mycelial Growth Of </w:t>
      </w:r>
      <w:r w:rsidRPr="00543C71">
        <w:rPr>
          <w:rStyle w:val="rynqvb"/>
          <w:rFonts w:ascii="Arial" w:hAnsi="Arial" w:cs="Arial"/>
          <w:b/>
          <w:i/>
          <w:iCs/>
          <w:sz w:val="22"/>
          <w:szCs w:val="22"/>
          <w:lang w:val="en"/>
        </w:rPr>
        <w:t xml:space="preserve">L. </w:t>
      </w:r>
      <w:proofErr w:type="spellStart"/>
      <w:r w:rsidRPr="00543C71">
        <w:rPr>
          <w:rStyle w:val="rynqvb"/>
          <w:rFonts w:ascii="Arial" w:hAnsi="Arial" w:cs="Arial"/>
          <w:b/>
          <w:i/>
          <w:iCs/>
          <w:sz w:val="22"/>
          <w:szCs w:val="22"/>
          <w:lang w:val="en"/>
        </w:rPr>
        <w:t>theobromae</w:t>
      </w:r>
      <w:proofErr w:type="spellEnd"/>
    </w:p>
    <w:p w14:paraId="6AC37AFF" w14:textId="77777777" w:rsidR="00543C71" w:rsidRPr="00C21A35" w:rsidRDefault="00543C71" w:rsidP="00543C71">
      <w:pPr>
        <w:contextualSpacing/>
        <w:jc w:val="both"/>
        <w:rPr>
          <w:rStyle w:val="rynqvb"/>
          <w:rFonts w:ascii="Times New Roman" w:hAnsi="Times New Roman"/>
          <w:b/>
          <w:lang w:val="en"/>
        </w:rPr>
      </w:pPr>
    </w:p>
    <w:p w14:paraId="7294C3EE" w14:textId="68EC84BC" w:rsidR="00543C71" w:rsidRDefault="00543C71" w:rsidP="00543C71">
      <w:pPr>
        <w:contextualSpacing/>
        <w:jc w:val="both"/>
        <w:rPr>
          <w:rStyle w:val="rynqvb"/>
          <w:rFonts w:ascii="Arial" w:hAnsi="Arial" w:cs="Arial"/>
          <w:b/>
          <w:lang w:val="en"/>
        </w:rPr>
      </w:pPr>
      <w:r>
        <w:rPr>
          <w:rStyle w:val="rynqvb"/>
          <w:rFonts w:ascii="Arial" w:hAnsi="Arial" w:cs="Arial"/>
          <w:b/>
          <w:lang w:val="en"/>
        </w:rPr>
        <w:t xml:space="preserve">3.3.1 </w:t>
      </w:r>
      <w:r w:rsidRPr="00543C71">
        <w:rPr>
          <w:rStyle w:val="rynqvb"/>
          <w:rFonts w:ascii="Arial" w:hAnsi="Arial" w:cs="Arial"/>
          <w:b/>
          <w:lang w:val="en"/>
        </w:rPr>
        <w:t>Mean diameter growth</w:t>
      </w:r>
    </w:p>
    <w:p w14:paraId="6BD3CD44" w14:textId="78C32CA6" w:rsidR="00543C71" w:rsidRPr="00543C71" w:rsidRDefault="00543C71" w:rsidP="00543C71">
      <w:pPr>
        <w:contextualSpacing/>
        <w:jc w:val="both"/>
        <w:rPr>
          <w:rStyle w:val="rynqvb"/>
          <w:rFonts w:ascii="Arial" w:hAnsi="Arial" w:cs="Arial"/>
          <w:b/>
          <w:lang w:val="en"/>
        </w:rPr>
      </w:pPr>
      <w:r w:rsidRPr="00543C71">
        <w:rPr>
          <w:rStyle w:val="rynqvb"/>
          <w:rFonts w:ascii="Arial" w:hAnsi="Arial" w:cs="Arial"/>
          <w:b/>
          <w:lang w:val="en"/>
        </w:rPr>
        <w:t xml:space="preserve"> </w:t>
      </w:r>
    </w:p>
    <w:p w14:paraId="37769AD9" w14:textId="468B14E3" w:rsidR="00543C71" w:rsidRPr="00543C71" w:rsidRDefault="00543C71" w:rsidP="00543C71">
      <w:pPr>
        <w:contextualSpacing/>
        <w:jc w:val="both"/>
        <w:rPr>
          <w:rFonts w:ascii="Arial" w:hAnsi="Arial" w:cs="Arial"/>
          <w:lang w:val="en-GB"/>
        </w:rPr>
      </w:pPr>
      <w:r w:rsidRPr="00543C71">
        <w:rPr>
          <w:rStyle w:val="rynqvb"/>
          <w:rFonts w:ascii="Arial" w:hAnsi="Arial" w:cs="Arial"/>
          <w:lang w:val="en"/>
        </w:rPr>
        <w:t xml:space="preserve">All evaluated concentrations had an effect on the growth of </w:t>
      </w:r>
      <w:r w:rsidRPr="00543C71">
        <w:rPr>
          <w:rStyle w:val="rynqvb"/>
          <w:rFonts w:ascii="Arial" w:hAnsi="Arial" w:cs="Arial"/>
          <w:i/>
          <w:iCs/>
          <w:lang w:val="en"/>
        </w:rPr>
        <w:t xml:space="preserve">L. </w:t>
      </w:r>
      <w:proofErr w:type="spellStart"/>
      <w:r w:rsidRPr="00543C71">
        <w:rPr>
          <w:rStyle w:val="rynqvb"/>
          <w:rFonts w:ascii="Arial" w:hAnsi="Arial" w:cs="Arial"/>
          <w:i/>
          <w:iCs/>
          <w:lang w:val="en"/>
        </w:rPr>
        <w:t>theobromae</w:t>
      </w:r>
      <w:proofErr w:type="spellEnd"/>
      <w:r w:rsidRPr="00543C71">
        <w:rPr>
          <w:rStyle w:val="rynqvb"/>
          <w:rFonts w:ascii="Arial" w:hAnsi="Arial" w:cs="Arial"/>
          <w:lang w:val="en"/>
        </w:rPr>
        <w:t xml:space="preserve"> mycelium (Figure 5).</w:t>
      </w:r>
      <w:r w:rsidRPr="00543C71">
        <w:rPr>
          <w:rStyle w:val="hwtze"/>
          <w:rFonts w:ascii="Arial" w:hAnsi="Arial" w:cs="Arial"/>
          <w:lang w:val="en"/>
        </w:rPr>
        <w:t xml:space="preserve"> </w:t>
      </w:r>
      <w:r w:rsidRPr="00543C71">
        <w:rPr>
          <w:rStyle w:val="rynqvb"/>
          <w:rFonts w:ascii="Arial" w:hAnsi="Arial" w:cs="Arial"/>
          <w:lang w:val="en"/>
        </w:rPr>
        <w:t>Statistical analysis of variance showed significant differences (</w:t>
      </w:r>
      <w:r w:rsidR="003962A7" w:rsidRPr="003962A7">
        <w:rPr>
          <w:rStyle w:val="rynqvb"/>
          <w:rFonts w:ascii="Arial" w:hAnsi="Arial" w:cs="Arial"/>
          <w:i/>
          <w:iCs/>
          <w:lang w:val="en"/>
        </w:rPr>
        <w:t>P</w:t>
      </w:r>
      <w:r w:rsidRPr="00543C71">
        <w:rPr>
          <w:rStyle w:val="rynqvb"/>
          <w:rFonts w:ascii="Arial" w:hAnsi="Arial" w:cs="Arial"/>
          <w:lang w:val="en"/>
        </w:rPr>
        <w:t xml:space="preserve"> ≤ 0.002) between the evaluated concentrations.</w:t>
      </w:r>
      <w:r w:rsidRPr="00543C71">
        <w:rPr>
          <w:rStyle w:val="hwtze"/>
          <w:rFonts w:ascii="Arial" w:hAnsi="Arial" w:cs="Arial"/>
          <w:lang w:val="en"/>
        </w:rPr>
        <w:t xml:space="preserve"> </w:t>
      </w:r>
      <w:r w:rsidRPr="00543C71">
        <w:rPr>
          <w:rStyle w:val="rynqvb"/>
          <w:rFonts w:ascii="Arial" w:hAnsi="Arial" w:cs="Arial"/>
          <w:lang w:val="en"/>
        </w:rPr>
        <w:t>On the culture medium with concentrated aqueous garlic extract at 0.1 and 0.2 g/l (TGa1 and TGa2), respectively, no mycelial growth of the fungus was observed except on the culture medium amended with the lowest concentration (0.1 g/l), where slight growth of 0.45 cm in diameter was observed on the last day of incubation, i.e., day 3.</w:t>
      </w:r>
      <w:r w:rsidRPr="00543C71">
        <w:rPr>
          <w:rStyle w:val="hwtze"/>
          <w:rFonts w:ascii="Arial" w:hAnsi="Arial" w:cs="Arial"/>
          <w:lang w:val="en"/>
        </w:rPr>
        <w:t xml:space="preserve"> </w:t>
      </w:r>
      <w:r w:rsidRPr="00543C71">
        <w:rPr>
          <w:rStyle w:val="rynqvb"/>
          <w:rFonts w:ascii="Arial" w:hAnsi="Arial" w:cs="Arial"/>
          <w:lang w:val="en"/>
        </w:rPr>
        <w:t>In contrast, on the untreated control medium (T0), rapid growth was observed, and the 9 cm diameter Petri dish was colonized by the third day of incubation.</w:t>
      </w:r>
      <w:r w:rsidRPr="00543C71">
        <w:rPr>
          <w:rStyle w:val="hwtze"/>
          <w:rFonts w:ascii="Arial" w:hAnsi="Arial" w:cs="Arial"/>
          <w:lang w:val="en"/>
        </w:rPr>
        <w:t xml:space="preserve"> </w:t>
      </w:r>
      <w:r w:rsidRPr="00543C71">
        <w:rPr>
          <w:rStyle w:val="rynqvb"/>
          <w:rFonts w:ascii="Arial" w:hAnsi="Arial" w:cs="Arial"/>
          <w:lang w:val="en"/>
        </w:rPr>
        <w:t xml:space="preserve">Furthermore, with the reference chemical fungicide (TC), mancozeb, at the approved concentration (5 </w:t>
      </w:r>
      <w:r w:rsidRPr="00776112">
        <w:rPr>
          <w:rStyle w:val="rynqvb"/>
          <w:rFonts w:ascii="Arial" w:hAnsi="Arial" w:cs="Arial"/>
          <w:highlight w:val="yellow"/>
          <w:lang w:val="en"/>
        </w:rPr>
        <w:t>g/</w:t>
      </w:r>
      <w:r w:rsidR="00776112" w:rsidRPr="00776112">
        <w:rPr>
          <w:rStyle w:val="rynqvb"/>
          <w:rFonts w:ascii="Arial" w:hAnsi="Arial" w:cs="Arial"/>
          <w:highlight w:val="yellow"/>
          <w:lang w:val="en"/>
        </w:rPr>
        <w:t>l</w:t>
      </w:r>
      <w:r w:rsidRPr="00543C71">
        <w:rPr>
          <w:rStyle w:val="rynqvb"/>
          <w:rFonts w:ascii="Arial" w:hAnsi="Arial" w:cs="Arial"/>
          <w:lang w:val="en"/>
        </w:rPr>
        <w:t>), no mycelial growth was observed.</w:t>
      </w:r>
      <w:r w:rsidRPr="00543C71">
        <w:rPr>
          <w:rStyle w:val="hwtze"/>
          <w:rFonts w:ascii="Arial" w:hAnsi="Arial" w:cs="Arial"/>
          <w:lang w:val="en"/>
        </w:rPr>
        <w:t xml:space="preserve"> </w:t>
      </w:r>
      <w:r w:rsidRPr="00543C71">
        <w:rPr>
          <w:rStyle w:val="rynqvb"/>
          <w:rFonts w:ascii="Arial" w:hAnsi="Arial" w:cs="Arial"/>
          <w:lang w:val="en"/>
        </w:rPr>
        <w:t>The effect induced by TGa2 was not statistically different (</w:t>
      </w:r>
      <w:r w:rsidR="003962A7" w:rsidRPr="003962A7">
        <w:rPr>
          <w:rStyle w:val="rynqvb"/>
          <w:rFonts w:ascii="Arial" w:hAnsi="Arial" w:cs="Arial"/>
          <w:i/>
          <w:iCs/>
          <w:lang w:val="en"/>
        </w:rPr>
        <w:t>P</w:t>
      </w:r>
      <w:r w:rsidRPr="00543C71">
        <w:rPr>
          <w:rStyle w:val="rynqvb"/>
          <w:rFonts w:ascii="Arial" w:hAnsi="Arial" w:cs="Arial"/>
          <w:lang w:val="en"/>
        </w:rPr>
        <w:t xml:space="preserve"> = 0.139) from that induced by TC.</w:t>
      </w:r>
      <w:r w:rsidRPr="00543C71">
        <w:rPr>
          <w:rStyle w:val="hwtze"/>
          <w:rFonts w:ascii="Arial" w:hAnsi="Arial" w:cs="Arial"/>
          <w:lang w:val="en"/>
        </w:rPr>
        <w:t xml:space="preserve"> </w:t>
      </w:r>
      <w:r w:rsidRPr="00543C71">
        <w:rPr>
          <w:rStyle w:val="rynqvb"/>
          <w:rFonts w:ascii="Arial" w:hAnsi="Arial" w:cs="Arial"/>
          <w:lang w:val="en"/>
        </w:rPr>
        <w:t>Regarding the other treatments applied, the mycelial diameter varied from 2 to 5.6 cm from the first to the third day of incubation.</w:t>
      </w:r>
    </w:p>
    <w:p w14:paraId="5C1F3519" w14:textId="77777777" w:rsidR="00543C71" w:rsidRPr="00543C71" w:rsidRDefault="00543C71" w:rsidP="00543C71">
      <w:pPr>
        <w:contextualSpacing/>
        <w:jc w:val="both"/>
        <w:rPr>
          <w:rFonts w:ascii="Arial" w:hAnsi="Arial" w:cs="Arial"/>
          <w:lang w:val="en-GB"/>
        </w:rPr>
      </w:pPr>
    </w:p>
    <w:p w14:paraId="3444D7C0" w14:textId="601545EA" w:rsidR="00543C71" w:rsidRDefault="00543C71" w:rsidP="00543C71">
      <w:pPr>
        <w:contextualSpacing/>
        <w:jc w:val="both"/>
        <w:rPr>
          <w:rStyle w:val="rynqvb"/>
          <w:rFonts w:ascii="Arial" w:hAnsi="Arial" w:cs="Arial"/>
          <w:lang w:val="en"/>
        </w:rPr>
      </w:pPr>
      <w:r w:rsidRPr="00543C71">
        <w:rPr>
          <w:rStyle w:val="rynqvb"/>
          <w:rFonts w:ascii="Arial" w:hAnsi="Arial" w:cs="Arial"/>
          <w:b/>
          <w:lang w:val="en"/>
        </w:rPr>
        <w:t>3.3.2 Mean Rate of Mycelial Growth Inhibition</w:t>
      </w:r>
      <w:r w:rsidRPr="00543C71">
        <w:rPr>
          <w:rStyle w:val="rynqvb"/>
          <w:rFonts w:ascii="Arial" w:hAnsi="Arial" w:cs="Arial"/>
          <w:lang w:val="en"/>
        </w:rPr>
        <w:t xml:space="preserve"> </w:t>
      </w:r>
    </w:p>
    <w:p w14:paraId="573DE159" w14:textId="77777777" w:rsidR="00543C71" w:rsidRPr="00543C71" w:rsidRDefault="00543C71" w:rsidP="00543C71">
      <w:pPr>
        <w:contextualSpacing/>
        <w:jc w:val="both"/>
        <w:rPr>
          <w:rStyle w:val="rynqvb"/>
          <w:rFonts w:ascii="Arial" w:hAnsi="Arial" w:cs="Arial"/>
          <w:lang w:val="en"/>
        </w:rPr>
      </w:pPr>
    </w:p>
    <w:p w14:paraId="07010E26" w14:textId="77777777" w:rsidR="001A57BB" w:rsidRPr="00543C71" w:rsidRDefault="00543C71" w:rsidP="001A57BB">
      <w:pPr>
        <w:contextualSpacing/>
        <w:jc w:val="both"/>
        <w:rPr>
          <w:rStyle w:val="rynqvb"/>
          <w:rFonts w:ascii="Arial" w:hAnsi="Arial" w:cs="Arial"/>
          <w:lang w:val="en"/>
        </w:rPr>
      </w:pPr>
      <w:r w:rsidRPr="00543C71">
        <w:rPr>
          <w:rStyle w:val="rynqvb"/>
          <w:rFonts w:ascii="Arial" w:hAnsi="Arial" w:cs="Arial"/>
          <w:lang w:val="en"/>
        </w:rPr>
        <w:t xml:space="preserve">The mean rate of inhibition of </w:t>
      </w:r>
      <w:r w:rsidRPr="00543C71">
        <w:rPr>
          <w:rStyle w:val="rynqvb"/>
          <w:rFonts w:ascii="Arial" w:hAnsi="Arial" w:cs="Arial"/>
          <w:i/>
          <w:iCs/>
          <w:lang w:val="en"/>
        </w:rPr>
        <w:t xml:space="preserve">L. </w:t>
      </w:r>
      <w:proofErr w:type="spellStart"/>
      <w:r w:rsidRPr="00543C71">
        <w:rPr>
          <w:rStyle w:val="rynqvb"/>
          <w:rFonts w:ascii="Arial" w:hAnsi="Arial" w:cs="Arial"/>
          <w:i/>
          <w:iCs/>
          <w:lang w:val="en"/>
        </w:rPr>
        <w:t>theobromae</w:t>
      </w:r>
      <w:proofErr w:type="spellEnd"/>
      <w:r w:rsidRPr="00543C71">
        <w:rPr>
          <w:rStyle w:val="rynqvb"/>
          <w:rFonts w:ascii="Arial" w:hAnsi="Arial" w:cs="Arial"/>
          <w:lang w:val="en"/>
        </w:rPr>
        <w:t xml:space="preserve"> mycelial growth by the different treatments varied from the first to the last day of incubation, depending on the treatments and concentrations applied (Figure 6).</w:t>
      </w:r>
      <w:r w:rsidRPr="00543C71">
        <w:rPr>
          <w:rStyle w:val="hwtze"/>
          <w:rFonts w:ascii="Arial" w:hAnsi="Arial" w:cs="Arial"/>
          <w:lang w:val="en"/>
        </w:rPr>
        <w:t xml:space="preserve"> </w:t>
      </w:r>
      <w:r w:rsidRPr="00543C71">
        <w:rPr>
          <w:rStyle w:val="rynqvb"/>
          <w:rFonts w:ascii="Arial" w:hAnsi="Arial" w:cs="Arial"/>
          <w:lang w:val="en"/>
        </w:rPr>
        <w:t>Statistical analysis of variance showed significant differences (</w:t>
      </w:r>
      <w:r w:rsidR="0026330C" w:rsidRPr="00503055">
        <w:rPr>
          <w:rStyle w:val="rynqvb"/>
          <w:rFonts w:ascii="Arial" w:hAnsi="Arial" w:cs="Arial"/>
          <w:i/>
          <w:iCs/>
          <w:highlight w:val="yellow"/>
          <w:lang w:val="en"/>
        </w:rPr>
        <w:t>P</w:t>
      </w:r>
      <w:r w:rsidRPr="00503055">
        <w:rPr>
          <w:rStyle w:val="rynqvb"/>
          <w:rFonts w:ascii="Arial" w:hAnsi="Arial" w:cs="Arial"/>
          <w:highlight w:val="yellow"/>
          <w:lang w:val="en"/>
        </w:rPr>
        <w:t xml:space="preserve"> = 0.00</w:t>
      </w:r>
      <w:r w:rsidR="00503055" w:rsidRPr="00503055">
        <w:rPr>
          <w:rStyle w:val="rynqvb"/>
          <w:rFonts w:ascii="Arial" w:hAnsi="Arial" w:cs="Arial"/>
          <w:highlight w:val="yellow"/>
          <w:lang w:val="en"/>
        </w:rPr>
        <w:t>5</w:t>
      </w:r>
      <w:r w:rsidRPr="00543C71">
        <w:rPr>
          <w:rStyle w:val="rynqvb"/>
          <w:rFonts w:ascii="Arial" w:hAnsi="Arial" w:cs="Arial"/>
          <w:lang w:val="en"/>
        </w:rPr>
        <w:t>) between the concentrations of the treatments applied for the mean rates of inhibition.</w:t>
      </w:r>
      <w:r w:rsidRPr="00543C71">
        <w:rPr>
          <w:rStyle w:val="hwtze"/>
          <w:rFonts w:ascii="Arial" w:hAnsi="Arial" w:cs="Arial"/>
          <w:lang w:val="en"/>
        </w:rPr>
        <w:t xml:space="preserve"> </w:t>
      </w:r>
      <w:r w:rsidRPr="00543C71">
        <w:rPr>
          <w:rStyle w:val="rynqvb"/>
          <w:rFonts w:ascii="Arial" w:hAnsi="Arial" w:cs="Arial"/>
          <w:lang w:val="en"/>
        </w:rPr>
        <w:t xml:space="preserve">Treatments based on aqueous garlic extracts (TGa1 and TGa2) and TC inhibited the mycelial growth of </w:t>
      </w:r>
      <w:r w:rsidRPr="003962A7">
        <w:rPr>
          <w:rStyle w:val="rynqvb"/>
          <w:rFonts w:ascii="Arial" w:hAnsi="Arial" w:cs="Arial"/>
          <w:i/>
          <w:iCs/>
          <w:lang w:val="en"/>
        </w:rPr>
        <w:t xml:space="preserve">L. </w:t>
      </w:r>
      <w:proofErr w:type="spellStart"/>
      <w:r w:rsidRPr="003962A7">
        <w:rPr>
          <w:rStyle w:val="rynqvb"/>
          <w:rFonts w:ascii="Arial" w:hAnsi="Arial" w:cs="Arial"/>
          <w:i/>
          <w:iCs/>
          <w:lang w:val="en"/>
        </w:rPr>
        <w:t>theobromae</w:t>
      </w:r>
      <w:proofErr w:type="spellEnd"/>
      <w:r w:rsidRPr="00543C71">
        <w:rPr>
          <w:rStyle w:val="rynqvb"/>
          <w:rFonts w:ascii="Arial" w:hAnsi="Arial" w:cs="Arial"/>
          <w:lang w:val="en"/>
        </w:rPr>
        <w:t xml:space="preserve"> by 81.25%, 100%, and 100%, respectively.</w:t>
      </w:r>
      <w:r w:rsidRPr="00543C71">
        <w:rPr>
          <w:rStyle w:val="hwtze"/>
          <w:rFonts w:ascii="Arial" w:hAnsi="Arial" w:cs="Arial"/>
          <w:lang w:val="en"/>
        </w:rPr>
        <w:t xml:space="preserve"> </w:t>
      </w:r>
      <w:r w:rsidRPr="00543C71">
        <w:rPr>
          <w:rStyle w:val="rynqvb"/>
          <w:rFonts w:ascii="Arial" w:hAnsi="Arial" w:cs="Arial"/>
          <w:lang w:val="en"/>
        </w:rPr>
        <w:t>The effect induced by TGa2 and TC was not significantly different (</w:t>
      </w:r>
      <w:r w:rsidR="003962A7" w:rsidRPr="003962A7">
        <w:rPr>
          <w:rStyle w:val="rynqvb"/>
          <w:rFonts w:ascii="Arial" w:hAnsi="Arial" w:cs="Arial"/>
          <w:i/>
          <w:iCs/>
          <w:lang w:val="en"/>
        </w:rPr>
        <w:t>P</w:t>
      </w:r>
      <w:r w:rsidRPr="00543C71">
        <w:rPr>
          <w:rStyle w:val="rynqvb"/>
          <w:rFonts w:ascii="Arial" w:hAnsi="Arial" w:cs="Arial"/>
          <w:lang w:val="en"/>
        </w:rPr>
        <w:t xml:space="preserve"> = 1</w:t>
      </w:r>
      <w:r w:rsidR="00D06300">
        <w:rPr>
          <w:rStyle w:val="rynqvb"/>
          <w:rFonts w:ascii="Arial" w:hAnsi="Arial" w:cs="Arial"/>
          <w:lang w:val="en"/>
        </w:rPr>
        <w:t>.00</w:t>
      </w:r>
      <w:r w:rsidRPr="00543C71">
        <w:rPr>
          <w:rStyle w:val="rynqvb"/>
          <w:rFonts w:ascii="Arial" w:hAnsi="Arial" w:cs="Arial"/>
          <w:lang w:val="en"/>
        </w:rPr>
        <w:t>) on the inhibition of pathogen growth.</w:t>
      </w:r>
      <w:r w:rsidRPr="00543C71">
        <w:rPr>
          <w:rStyle w:val="hwtze"/>
          <w:rFonts w:ascii="Arial" w:hAnsi="Arial" w:cs="Arial"/>
          <w:lang w:val="en"/>
        </w:rPr>
        <w:t xml:space="preserve"> </w:t>
      </w:r>
      <w:r w:rsidR="001A57BB" w:rsidRPr="001A57BB">
        <w:rPr>
          <w:rStyle w:val="rynqvb"/>
          <w:rFonts w:ascii="Arial" w:hAnsi="Arial" w:cs="Arial"/>
          <w:highlight w:val="yellow"/>
          <w:lang w:val="en"/>
        </w:rPr>
        <w:t>However, significant differences (</w:t>
      </w:r>
      <w:r w:rsidR="001A57BB" w:rsidRPr="001A57BB">
        <w:rPr>
          <w:rStyle w:val="rynqvb"/>
          <w:rFonts w:ascii="Arial" w:hAnsi="Arial" w:cs="Arial"/>
          <w:i/>
          <w:iCs/>
          <w:highlight w:val="yellow"/>
          <w:lang w:val="en"/>
        </w:rPr>
        <w:t>P</w:t>
      </w:r>
      <w:r w:rsidR="001A57BB" w:rsidRPr="001A57BB">
        <w:rPr>
          <w:rStyle w:val="rynqvb"/>
          <w:rFonts w:ascii="Arial" w:hAnsi="Arial" w:cs="Arial"/>
          <w:highlight w:val="yellow"/>
          <w:lang w:val="en"/>
        </w:rPr>
        <w:t xml:space="preserve"> &lt; 0.05) were observed between the concentrations of the other biopesticides applied and the TC (chemical fungicide).</w:t>
      </w:r>
    </w:p>
    <w:p w14:paraId="5015A828" w14:textId="2D47E8EF" w:rsidR="00543C71" w:rsidRPr="00543C71" w:rsidRDefault="00543C71" w:rsidP="00543C71">
      <w:pPr>
        <w:contextualSpacing/>
        <w:jc w:val="both"/>
        <w:rPr>
          <w:rStyle w:val="rynqvb"/>
          <w:rFonts w:ascii="Arial" w:hAnsi="Arial" w:cs="Arial"/>
          <w:lang w:val="en"/>
        </w:rPr>
      </w:pPr>
    </w:p>
    <w:p w14:paraId="29FF90F8" w14:textId="42D67F56" w:rsidR="00543C71" w:rsidRPr="00543C71" w:rsidRDefault="00543C71" w:rsidP="00543C71">
      <w:pPr>
        <w:contextualSpacing/>
        <w:jc w:val="both"/>
        <w:rPr>
          <w:rStyle w:val="rynqvb"/>
          <w:rFonts w:ascii="Arial" w:hAnsi="Arial" w:cs="Arial"/>
          <w:lang w:val="en"/>
        </w:rPr>
      </w:pPr>
    </w:p>
    <w:p w14:paraId="30549076" w14:textId="4C2EDCBE" w:rsidR="003962A7" w:rsidRPr="00DF1360" w:rsidRDefault="003962A7" w:rsidP="00DF1360">
      <w:pPr>
        <w:tabs>
          <w:tab w:val="center" w:pos="4104"/>
        </w:tabs>
        <w:jc w:val="both"/>
        <w:rPr>
          <w:noProof/>
          <w:sz w:val="10"/>
          <w:szCs w:val="10"/>
        </w:rPr>
      </w:pPr>
      <w:r w:rsidRPr="00600DC7">
        <w:rPr>
          <w:rFonts w:ascii="Arial" w:hAnsi="Arial" w:cs="Arial"/>
          <w:noProof/>
        </w:rPr>
        <w:lastRenderedPageBreak/>
        <w:drawing>
          <wp:anchor distT="0" distB="0" distL="114300" distR="114300" simplePos="0" relativeHeight="251656192" behindDoc="0" locked="0" layoutInCell="1" allowOverlap="1" wp14:anchorId="69E0E457" wp14:editId="39A20993">
            <wp:simplePos x="0" y="0"/>
            <wp:positionH relativeFrom="column">
              <wp:posOffset>372321</wp:posOffset>
            </wp:positionH>
            <wp:positionV relativeFrom="paragraph">
              <wp:posOffset>-198331</wp:posOffset>
            </wp:positionV>
            <wp:extent cx="4572000" cy="2743200"/>
            <wp:effectExtent l="0" t="0" r="0" b="0"/>
            <wp:wrapTopAndBottom/>
            <wp:docPr id="2136320003" name="Graphique 1">
              <a:extLst xmlns:a="http://schemas.openxmlformats.org/drawingml/2006/main">
                <a:ext uri="{FF2B5EF4-FFF2-40B4-BE49-F238E27FC236}">
                  <a16:creationId xmlns:a16="http://schemas.microsoft.com/office/drawing/2014/main" id="{03213E44-BB32-409D-AB5D-5F1AEE4D2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DF1360">
        <w:rPr>
          <w:noProof/>
        </w:rPr>
        <w:tab/>
      </w:r>
    </w:p>
    <w:p w14:paraId="3AD62ED4" w14:textId="6CA875A3" w:rsidR="003962A7" w:rsidRPr="00600DC7" w:rsidRDefault="00600DC7" w:rsidP="00DF1360">
      <w:pPr>
        <w:contextualSpacing/>
        <w:jc w:val="both"/>
        <w:rPr>
          <w:rFonts w:ascii="Arial" w:hAnsi="Arial" w:cs="Arial"/>
          <w:lang w:val="en-GB"/>
        </w:rPr>
      </w:pPr>
      <w:r w:rsidRPr="00600DC7">
        <w:rPr>
          <w:rFonts w:ascii="Arial" w:hAnsi="Arial" w:cs="Arial"/>
          <w:noProof/>
        </w:rPr>
        <w:drawing>
          <wp:anchor distT="0" distB="0" distL="114300" distR="114300" simplePos="0" relativeHeight="251657216" behindDoc="0" locked="0" layoutInCell="1" allowOverlap="1" wp14:anchorId="480840F0" wp14:editId="49923BB8">
            <wp:simplePos x="0" y="0"/>
            <wp:positionH relativeFrom="column">
              <wp:posOffset>304800</wp:posOffset>
            </wp:positionH>
            <wp:positionV relativeFrom="paragraph">
              <wp:posOffset>407670</wp:posOffset>
            </wp:positionV>
            <wp:extent cx="4572000" cy="2743200"/>
            <wp:effectExtent l="0" t="0" r="0" b="0"/>
            <wp:wrapTopAndBottom/>
            <wp:docPr id="225838248" name="Graphique 1">
              <a:extLst xmlns:a="http://schemas.openxmlformats.org/drawingml/2006/main">
                <a:ext uri="{FF2B5EF4-FFF2-40B4-BE49-F238E27FC236}">
                  <a16:creationId xmlns:a16="http://schemas.microsoft.com/office/drawing/2014/main" id="{CA79BB49-B6F3-94D5-E564-47177DFB30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3962A7" w:rsidRPr="00600DC7">
        <w:rPr>
          <w:rStyle w:val="rynqvb"/>
          <w:rFonts w:ascii="Arial" w:hAnsi="Arial" w:cs="Arial"/>
          <w:b/>
          <w:lang w:val="en"/>
        </w:rPr>
        <w:t>Fig. 5</w:t>
      </w:r>
      <w:r w:rsidR="003962A7" w:rsidRPr="00600DC7">
        <w:rPr>
          <w:rStyle w:val="rynqvb"/>
          <w:rFonts w:ascii="Arial" w:hAnsi="Arial" w:cs="Arial"/>
          <w:lang w:val="en"/>
        </w:rPr>
        <w:t>. Evolution of the average diameter of daily mycelial growth as a function of applied concentrations</w:t>
      </w:r>
    </w:p>
    <w:p w14:paraId="304C2A63" w14:textId="70439B44" w:rsidR="003962A7" w:rsidRPr="00DF1360" w:rsidRDefault="003962A7" w:rsidP="00DF1360">
      <w:pPr>
        <w:jc w:val="both"/>
        <w:rPr>
          <w:rStyle w:val="rynqvb"/>
          <w:rFonts w:ascii="Arial" w:hAnsi="Arial" w:cs="Arial"/>
          <w:sz w:val="10"/>
          <w:szCs w:val="10"/>
          <w:lang w:val="en"/>
        </w:rPr>
      </w:pPr>
    </w:p>
    <w:p w14:paraId="33AB7B4A" w14:textId="11F50834" w:rsidR="003962A7" w:rsidRPr="00DF1360" w:rsidRDefault="003962A7" w:rsidP="00DF1360">
      <w:pPr>
        <w:jc w:val="both"/>
        <w:rPr>
          <w:rStyle w:val="rynqvb"/>
          <w:rFonts w:ascii="Arial" w:hAnsi="Arial" w:cs="Arial"/>
          <w:lang w:val="en"/>
        </w:rPr>
      </w:pPr>
      <w:r w:rsidRPr="00DF1360">
        <w:rPr>
          <w:rFonts w:ascii="Arial" w:hAnsi="Arial" w:cs="Arial"/>
          <w:b/>
          <w:bCs/>
          <w:lang w:val="en-GB"/>
        </w:rPr>
        <w:t>F</w:t>
      </w:r>
      <w:proofErr w:type="spellStart"/>
      <w:r w:rsidRPr="00DF1360">
        <w:rPr>
          <w:rStyle w:val="rynqvb"/>
          <w:rFonts w:ascii="Arial" w:hAnsi="Arial" w:cs="Arial"/>
          <w:b/>
          <w:lang w:val="en"/>
        </w:rPr>
        <w:t>ig</w:t>
      </w:r>
      <w:proofErr w:type="spellEnd"/>
      <w:r w:rsidRPr="00DF1360">
        <w:rPr>
          <w:rStyle w:val="rynqvb"/>
          <w:rFonts w:ascii="Arial" w:hAnsi="Arial" w:cs="Arial"/>
          <w:b/>
          <w:lang w:val="en"/>
        </w:rPr>
        <w:t>. 6</w:t>
      </w:r>
      <w:r w:rsidRPr="00DF1360">
        <w:rPr>
          <w:rStyle w:val="rynqvb"/>
          <w:rFonts w:ascii="Arial" w:hAnsi="Arial" w:cs="Arial"/>
          <w:lang w:val="en"/>
        </w:rPr>
        <w:t>. Evolution of the average rate of mycelial growth inhibition according to the treatments applied</w:t>
      </w:r>
    </w:p>
    <w:p w14:paraId="236B1DF9" w14:textId="017ED5A9" w:rsidR="003962A7" w:rsidRDefault="00722BAB" w:rsidP="003962A7">
      <w:pPr>
        <w:spacing w:line="276" w:lineRule="auto"/>
        <w:jc w:val="both"/>
        <w:rPr>
          <w:rStyle w:val="rynqvb"/>
          <w:rFonts w:ascii="Times New Roman" w:hAnsi="Times New Roman"/>
          <w:lang w:val="en"/>
        </w:rPr>
      </w:pPr>
      <w:r>
        <w:rPr>
          <w:rFonts w:ascii="Times New Roman" w:hAnsi="Times New Roman"/>
          <w:noProof/>
          <w:lang w:val="en"/>
        </w:rPr>
        <mc:AlternateContent>
          <mc:Choice Requires="wps">
            <w:drawing>
              <wp:anchor distT="0" distB="0" distL="114300" distR="114300" simplePos="0" relativeHeight="251661312" behindDoc="0" locked="0" layoutInCell="1" allowOverlap="1" wp14:anchorId="2F11F57B" wp14:editId="2079F37D">
                <wp:simplePos x="0" y="0"/>
                <wp:positionH relativeFrom="margin">
                  <wp:posOffset>-93980</wp:posOffset>
                </wp:positionH>
                <wp:positionV relativeFrom="paragraph">
                  <wp:posOffset>19685</wp:posOffset>
                </wp:positionV>
                <wp:extent cx="5417820" cy="548640"/>
                <wp:effectExtent l="0" t="0" r="0" b="0"/>
                <wp:wrapNone/>
                <wp:docPr id="211930229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7820" cy="548640"/>
                        </a:xfrm>
                        <a:prstGeom prst="rect">
                          <a:avLst/>
                        </a:prstGeom>
                        <a:solidFill>
                          <a:schemeClr val="lt1"/>
                        </a:solidFill>
                        <a:ln w="6350">
                          <a:noFill/>
                        </a:ln>
                      </wps:spPr>
                      <wps:txbx>
                        <w:txbxContent>
                          <w:p w14:paraId="6857CBD8" w14:textId="77777777" w:rsidR="003962A7" w:rsidRPr="00D06300" w:rsidRDefault="003962A7" w:rsidP="003962A7">
                            <w:pPr>
                              <w:jc w:val="both"/>
                              <w:rPr>
                                <w:rFonts w:ascii="Arial" w:hAnsi="Arial" w:cs="Arial"/>
                                <w:i/>
                                <w:iCs/>
                                <w:sz w:val="16"/>
                                <w:szCs w:val="16"/>
                                <w:lang w:val="en-GB"/>
                              </w:rPr>
                            </w:pPr>
                            <w:r w:rsidRPr="00D06300">
                              <w:rPr>
                                <w:rFonts w:ascii="Arial" w:hAnsi="Arial" w:cs="Arial"/>
                                <w:i/>
                                <w:iCs/>
                                <w:sz w:val="16"/>
                                <w:szCs w:val="16"/>
                                <w:lang w:val="en-GB"/>
                              </w:rPr>
                              <w:t xml:space="preserve">T0 : untread control (0 %) ; TC : chemical fungicide (5 g/l); TGa1: aqueous garlic extract (0,1 g/l; TGa2: aqueous garlic extract (0,2 g/l); TCa1: </w:t>
                            </w:r>
                            <w:proofErr w:type="spellStart"/>
                            <w:r w:rsidRPr="00D06300">
                              <w:rPr>
                                <w:rFonts w:ascii="Arial" w:hAnsi="Arial" w:cs="Arial"/>
                                <w:i/>
                                <w:iCs/>
                                <w:sz w:val="16"/>
                                <w:szCs w:val="16"/>
                                <w:lang w:val="en-GB"/>
                              </w:rPr>
                              <w:t>Carapa</w:t>
                            </w:r>
                            <w:proofErr w:type="spellEnd"/>
                            <w:r w:rsidRPr="00D06300">
                              <w:rPr>
                                <w:rFonts w:ascii="Arial" w:hAnsi="Arial" w:cs="Arial"/>
                                <w:i/>
                                <w:iCs/>
                                <w:sz w:val="16"/>
                                <w:szCs w:val="16"/>
                                <w:lang w:val="en-GB"/>
                              </w:rPr>
                              <w:t xml:space="preserve"> </w:t>
                            </w:r>
                            <w:proofErr w:type="spellStart"/>
                            <w:r w:rsidRPr="00D06300">
                              <w:rPr>
                                <w:rFonts w:ascii="Arial" w:hAnsi="Arial" w:cs="Arial"/>
                                <w:i/>
                                <w:iCs/>
                                <w:sz w:val="16"/>
                                <w:szCs w:val="16"/>
                                <w:lang w:val="en-GB"/>
                              </w:rPr>
                              <w:t>procera</w:t>
                            </w:r>
                            <w:proofErr w:type="spellEnd"/>
                            <w:r w:rsidRPr="00D06300">
                              <w:rPr>
                                <w:rFonts w:ascii="Arial" w:hAnsi="Arial" w:cs="Arial"/>
                                <w:i/>
                                <w:iCs/>
                                <w:sz w:val="16"/>
                                <w:szCs w:val="16"/>
                                <w:lang w:val="en-GB"/>
                              </w:rPr>
                              <w:t xml:space="preserve"> oil [6% (v/v)]; TCa2: </w:t>
                            </w:r>
                            <w:proofErr w:type="spellStart"/>
                            <w:r w:rsidRPr="00D06300">
                              <w:rPr>
                                <w:rFonts w:ascii="Arial" w:hAnsi="Arial" w:cs="Arial"/>
                                <w:i/>
                                <w:iCs/>
                                <w:sz w:val="16"/>
                                <w:szCs w:val="16"/>
                                <w:lang w:val="en-GB"/>
                              </w:rPr>
                              <w:t>Carapa</w:t>
                            </w:r>
                            <w:proofErr w:type="spellEnd"/>
                            <w:r w:rsidRPr="00D06300">
                              <w:rPr>
                                <w:rFonts w:ascii="Arial" w:hAnsi="Arial" w:cs="Arial"/>
                                <w:i/>
                                <w:iCs/>
                                <w:sz w:val="16"/>
                                <w:szCs w:val="16"/>
                                <w:lang w:val="en-GB"/>
                              </w:rPr>
                              <w:t xml:space="preserve"> </w:t>
                            </w:r>
                            <w:proofErr w:type="spellStart"/>
                            <w:r w:rsidRPr="00D06300">
                              <w:rPr>
                                <w:rFonts w:ascii="Arial" w:hAnsi="Arial" w:cs="Arial"/>
                                <w:i/>
                                <w:iCs/>
                                <w:sz w:val="16"/>
                                <w:szCs w:val="16"/>
                                <w:lang w:val="en-GB"/>
                              </w:rPr>
                              <w:t>procera</w:t>
                            </w:r>
                            <w:proofErr w:type="spellEnd"/>
                            <w:r w:rsidRPr="00D06300">
                              <w:rPr>
                                <w:rFonts w:ascii="Arial" w:hAnsi="Arial" w:cs="Arial"/>
                                <w:i/>
                                <w:iCs/>
                                <w:sz w:val="16"/>
                                <w:szCs w:val="16"/>
                                <w:lang w:val="en-GB"/>
                              </w:rPr>
                              <w:t xml:space="preserve"> oil [12% (v/v)]; TNe1: Neem oil [10% (v/v)]; TNe2: Neem oil [20% (v/v)]; TBt1: </w:t>
                            </w:r>
                            <w:proofErr w:type="spellStart"/>
                            <w:r w:rsidRPr="00D06300">
                              <w:rPr>
                                <w:rFonts w:ascii="Arial" w:hAnsi="Arial" w:cs="Arial"/>
                                <w:i/>
                                <w:iCs/>
                                <w:sz w:val="16"/>
                                <w:szCs w:val="16"/>
                                <w:lang w:val="en-GB"/>
                              </w:rPr>
                              <w:t>Btk</w:t>
                            </w:r>
                            <w:proofErr w:type="spellEnd"/>
                            <w:r w:rsidRPr="00D06300">
                              <w:rPr>
                                <w:rFonts w:ascii="Arial" w:hAnsi="Arial" w:cs="Arial"/>
                                <w:i/>
                                <w:iCs/>
                                <w:sz w:val="16"/>
                                <w:szCs w:val="16"/>
                                <w:lang w:val="en-GB"/>
                              </w:rPr>
                              <w:t xml:space="preserve"> HD-1-based biopesticide [10% (v/v)]; TBt2: </w:t>
                            </w:r>
                            <w:proofErr w:type="spellStart"/>
                            <w:r w:rsidRPr="00D06300">
                              <w:rPr>
                                <w:rFonts w:ascii="Arial" w:hAnsi="Arial" w:cs="Arial"/>
                                <w:i/>
                                <w:iCs/>
                                <w:sz w:val="16"/>
                                <w:szCs w:val="16"/>
                                <w:lang w:val="en-GB"/>
                              </w:rPr>
                              <w:t>Btk</w:t>
                            </w:r>
                            <w:proofErr w:type="spellEnd"/>
                            <w:r w:rsidRPr="00D06300">
                              <w:rPr>
                                <w:rFonts w:ascii="Arial" w:hAnsi="Arial" w:cs="Arial"/>
                                <w:i/>
                                <w:iCs/>
                                <w:sz w:val="16"/>
                                <w:szCs w:val="16"/>
                                <w:lang w:val="en-GB"/>
                              </w:rPr>
                              <w:t xml:space="preserve"> HD-1-based biopesticide [20% (v/v)]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1F57B" id="Zone de texte 1" o:spid="_x0000_s1028" type="#_x0000_t202" style="position:absolute;left:0;text-align:left;margin-left:-7.4pt;margin-top:1.55pt;width:426.6pt;height:43.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" fillcolor="white [3201]" stroked="f" strokeweight=".5pt">
                <v:textbox>
                  <w:txbxContent>
                    <w:p w14:paraId="6857CBD8" w14:textId="77777777" w:rsidR="003962A7" w:rsidRPr="00D06300" w:rsidRDefault="003962A7" w:rsidP="003962A7">
                      <w:pPr>
                        <w:jc w:val="both"/>
                        <w:rPr>
                          <w:rFonts w:ascii="Arial" w:hAnsi="Arial" w:cs="Arial"/>
                          <w:i/>
                          <w:iCs/>
                          <w:sz w:val="16"/>
                          <w:szCs w:val="16"/>
                          <w:lang w:val="en-GB"/>
                        </w:rPr>
                      </w:pPr>
                      <w:r w:rsidRPr="00D06300">
                        <w:rPr>
                          <w:rFonts w:ascii="Arial" w:hAnsi="Arial" w:cs="Arial"/>
                          <w:i/>
                          <w:iCs/>
                          <w:sz w:val="16"/>
                          <w:szCs w:val="16"/>
                          <w:lang w:val="en-GB"/>
                        </w:rPr>
                        <w:t xml:space="preserve">T0 : untread control (0 %) ; TC : chemical fungicide (5 g/l); TGa1: aqueous garlic extract (0,1 g/l; TGa2: aqueous garlic extract (0,2 g/l); TCa1: </w:t>
                      </w:r>
                      <w:proofErr w:type="spellStart"/>
                      <w:r w:rsidRPr="00D06300">
                        <w:rPr>
                          <w:rFonts w:ascii="Arial" w:hAnsi="Arial" w:cs="Arial"/>
                          <w:i/>
                          <w:iCs/>
                          <w:sz w:val="16"/>
                          <w:szCs w:val="16"/>
                          <w:lang w:val="en-GB"/>
                        </w:rPr>
                        <w:t>Carapa</w:t>
                      </w:r>
                      <w:proofErr w:type="spellEnd"/>
                      <w:r w:rsidRPr="00D06300">
                        <w:rPr>
                          <w:rFonts w:ascii="Arial" w:hAnsi="Arial" w:cs="Arial"/>
                          <w:i/>
                          <w:iCs/>
                          <w:sz w:val="16"/>
                          <w:szCs w:val="16"/>
                          <w:lang w:val="en-GB"/>
                        </w:rPr>
                        <w:t xml:space="preserve"> </w:t>
                      </w:r>
                      <w:proofErr w:type="spellStart"/>
                      <w:r w:rsidRPr="00D06300">
                        <w:rPr>
                          <w:rFonts w:ascii="Arial" w:hAnsi="Arial" w:cs="Arial"/>
                          <w:i/>
                          <w:iCs/>
                          <w:sz w:val="16"/>
                          <w:szCs w:val="16"/>
                          <w:lang w:val="en-GB"/>
                        </w:rPr>
                        <w:t>procera</w:t>
                      </w:r>
                      <w:proofErr w:type="spellEnd"/>
                      <w:r w:rsidRPr="00D06300">
                        <w:rPr>
                          <w:rFonts w:ascii="Arial" w:hAnsi="Arial" w:cs="Arial"/>
                          <w:i/>
                          <w:iCs/>
                          <w:sz w:val="16"/>
                          <w:szCs w:val="16"/>
                          <w:lang w:val="en-GB"/>
                        </w:rPr>
                        <w:t xml:space="preserve"> oil [6% (v/v)]; TCa2: </w:t>
                      </w:r>
                      <w:proofErr w:type="spellStart"/>
                      <w:r w:rsidRPr="00D06300">
                        <w:rPr>
                          <w:rFonts w:ascii="Arial" w:hAnsi="Arial" w:cs="Arial"/>
                          <w:i/>
                          <w:iCs/>
                          <w:sz w:val="16"/>
                          <w:szCs w:val="16"/>
                          <w:lang w:val="en-GB"/>
                        </w:rPr>
                        <w:t>Carapa</w:t>
                      </w:r>
                      <w:proofErr w:type="spellEnd"/>
                      <w:r w:rsidRPr="00D06300">
                        <w:rPr>
                          <w:rFonts w:ascii="Arial" w:hAnsi="Arial" w:cs="Arial"/>
                          <w:i/>
                          <w:iCs/>
                          <w:sz w:val="16"/>
                          <w:szCs w:val="16"/>
                          <w:lang w:val="en-GB"/>
                        </w:rPr>
                        <w:t xml:space="preserve"> </w:t>
                      </w:r>
                      <w:proofErr w:type="spellStart"/>
                      <w:r w:rsidRPr="00D06300">
                        <w:rPr>
                          <w:rFonts w:ascii="Arial" w:hAnsi="Arial" w:cs="Arial"/>
                          <w:i/>
                          <w:iCs/>
                          <w:sz w:val="16"/>
                          <w:szCs w:val="16"/>
                          <w:lang w:val="en-GB"/>
                        </w:rPr>
                        <w:t>procera</w:t>
                      </w:r>
                      <w:proofErr w:type="spellEnd"/>
                      <w:r w:rsidRPr="00D06300">
                        <w:rPr>
                          <w:rFonts w:ascii="Arial" w:hAnsi="Arial" w:cs="Arial"/>
                          <w:i/>
                          <w:iCs/>
                          <w:sz w:val="16"/>
                          <w:szCs w:val="16"/>
                          <w:lang w:val="en-GB"/>
                        </w:rPr>
                        <w:t xml:space="preserve"> oil [12% (v/v)]; TNe1: Neem oil [10% (v/v)]; TNe2: Neem oil [20% (v/v)]; TBt1: </w:t>
                      </w:r>
                      <w:proofErr w:type="spellStart"/>
                      <w:r w:rsidRPr="00D06300">
                        <w:rPr>
                          <w:rFonts w:ascii="Arial" w:hAnsi="Arial" w:cs="Arial"/>
                          <w:i/>
                          <w:iCs/>
                          <w:sz w:val="16"/>
                          <w:szCs w:val="16"/>
                          <w:lang w:val="en-GB"/>
                        </w:rPr>
                        <w:t>Btk</w:t>
                      </w:r>
                      <w:proofErr w:type="spellEnd"/>
                      <w:r w:rsidRPr="00D06300">
                        <w:rPr>
                          <w:rFonts w:ascii="Arial" w:hAnsi="Arial" w:cs="Arial"/>
                          <w:i/>
                          <w:iCs/>
                          <w:sz w:val="16"/>
                          <w:szCs w:val="16"/>
                          <w:lang w:val="en-GB"/>
                        </w:rPr>
                        <w:t xml:space="preserve"> HD-1-based biopesticide [10% (v/v)]; TBt2: </w:t>
                      </w:r>
                      <w:proofErr w:type="spellStart"/>
                      <w:r w:rsidRPr="00D06300">
                        <w:rPr>
                          <w:rFonts w:ascii="Arial" w:hAnsi="Arial" w:cs="Arial"/>
                          <w:i/>
                          <w:iCs/>
                          <w:sz w:val="16"/>
                          <w:szCs w:val="16"/>
                          <w:lang w:val="en-GB"/>
                        </w:rPr>
                        <w:t>Btk</w:t>
                      </w:r>
                      <w:proofErr w:type="spellEnd"/>
                      <w:r w:rsidRPr="00D06300">
                        <w:rPr>
                          <w:rFonts w:ascii="Arial" w:hAnsi="Arial" w:cs="Arial"/>
                          <w:i/>
                          <w:iCs/>
                          <w:sz w:val="16"/>
                          <w:szCs w:val="16"/>
                          <w:lang w:val="en-GB"/>
                        </w:rPr>
                        <w:t xml:space="preserve"> HD-1-based biopesticide [20% (v/v)]</w:t>
                      </w:r>
                    </w:p>
                  </w:txbxContent>
                </v:textbox>
                <w10:wrap anchorx="margin"/>
              </v:shape>
            </w:pict>
          </mc:Fallback>
        </mc:AlternateContent>
      </w:r>
    </w:p>
    <w:p w14:paraId="3C09BBEC" w14:textId="54B82B7F" w:rsidR="00543C71" w:rsidRPr="003962A7" w:rsidRDefault="00543C71" w:rsidP="00441B6F">
      <w:pPr>
        <w:pStyle w:val="Body"/>
        <w:spacing w:after="0"/>
        <w:rPr>
          <w:rFonts w:ascii="Arial" w:hAnsi="Arial" w:cs="Arial"/>
          <w:lang w:val="en-GB"/>
        </w:rPr>
      </w:pPr>
    </w:p>
    <w:p w14:paraId="0D1DEB71" w14:textId="7D8380A2" w:rsidR="00543C71" w:rsidRDefault="00543C71" w:rsidP="00441B6F">
      <w:pPr>
        <w:pStyle w:val="Body"/>
        <w:spacing w:after="0"/>
        <w:rPr>
          <w:rFonts w:ascii="Arial" w:hAnsi="Arial" w:cs="Arial"/>
        </w:rPr>
      </w:pPr>
    </w:p>
    <w:p w14:paraId="5F4978BA" w14:textId="76382DD6" w:rsidR="00543C71" w:rsidRDefault="00543C71" w:rsidP="00441B6F">
      <w:pPr>
        <w:pStyle w:val="Body"/>
        <w:spacing w:after="0"/>
        <w:rPr>
          <w:rFonts w:ascii="Arial" w:hAnsi="Arial" w:cs="Arial"/>
        </w:rPr>
      </w:pPr>
    </w:p>
    <w:p w14:paraId="24637288" w14:textId="1C1F89F7" w:rsidR="0076786A" w:rsidRPr="00D06300" w:rsidRDefault="00F429BE" w:rsidP="00F429BE">
      <w:pPr>
        <w:pStyle w:val="Body"/>
        <w:spacing w:after="0"/>
        <w:jc w:val="left"/>
        <w:rPr>
          <w:rFonts w:ascii="Arial" w:hAnsi="Arial" w:cs="Arial"/>
          <w:i/>
          <w:iCs/>
          <w:sz w:val="16"/>
          <w:szCs w:val="16"/>
          <w:lang w:val="en-GB"/>
        </w:rPr>
      </w:pPr>
      <w:r w:rsidRPr="00D06300">
        <w:rPr>
          <w:rFonts w:ascii="Arial" w:hAnsi="Arial" w:cs="Arial"/>
          <w:i/>
          <w:iCs/>
          <w:sz w:val="16"/>
          <w:szCs w:val="16"/>
          <w:lang w:val="en-GB"/>
        </w:rPr>
        <w:t xml:space="preserve">Mean ± standard deviation. </w:t>
      </w:r>
      <w:r w:rsidRPr="00D06300">
        <w:rPr>
          <w:rStyle w:val="rynqvb"/>
          <w:rFonts w:ascii="Arial" w:hAnsi="Arial" w:cs="Arial"/>
          <w:i/>
          <w:iCs/>
          <w:sz w:val="16"/>
          <w:szCs w:val="16"/>
          <w:lang w:val="en"/>
        </w:rPr>
        <w:t xml:space="preserve">Bars topped with the same letter are not significantly different (P </w:t>
      </w:r>
      <w:r w:rsidR="00D06300" w:rsidRPr="00D06300">
        <w:rPr>
          <w:rStyle w:val="rynqvb"/>
          <w:rFonts w:ascii="Arial" w:hAnsi="Arial" w:cs="Arial"/>
          <w:i/>
          <w:iCs/>
          <w:sz w:val="16"/>
          <w:szCs w:val="16"/>
          <w:lang w:val="en"/>
        </w:rPr>
        <w:t>&gt; 0.05)</w:t>
      </w:r>
      <w:r w:rsidRPr="00D06300">
        <w:rPr>
          <w:rFonts w:ascii="Arial" w:hAnsi="Arial" w:cs="Arial"/>
          <w:i/>
          <w:iCs/>
          <w:sz w:val="16"/>
          <w:szCs w:val="16"/>
          <w:lang w:val="en-GB"/>
        </w:rPr>
        <w:t xml:space="preserve"> </w:t>
      </w:r>
    </w:p>
    <w:p w14:paraId="3A66C0FA" w14:textId="77777777" w:rsidR="00831792" w:rsidRDefault="00831792" w:rsidP="00441B6F">
      <w:pPr>
        <w:pStyle w:val="Body"/>
        <w:spacing w:after="0"/>
        <w:rPr>
          <w:rFonts w:ascii="Arial" w:hAnsi="Arial" w:cs="Arial"/>
        </w:rPr>
      </w:pPr>
    </w:p>
    <w:p w14:paraId="17C00595" w14:textId="43A79B7C" w:rsidR="00E053D0" w:rsidRPr="00831792" w:rsidRDefault="00831792" w:rsidP="00441B6F">
      <w:pPr>
        <w:pStyle w:val="Body"/>
        <w:spacing w:after="0"/>
        <w:rPr>
          <w:rFonts w:ascii="Arial" w:hAnsi="Arial" w:cs="Arial"/>
          <w:b/>
          <w:bCs/>
          <w:sz w:val="22"/>
          <w:szCs w:val="22"/>
        </w:rPr>
      </w:pPr>
      <w:r w:rsidRPr="00831792">
        <w:rPr>
          <w:rFonts w:ascii="Arial" w:hAnsi="Arial" w:cs="Arial"/>
          <w:b/>
          <w:bCs/>
          <w:sz w:val="22"/>
          <w:szCs w:val="22"/>
        </w:rPr>
        <w:t xml:space="preserve">4. DISCUSSION </w:t>
      </w:r>
    </w:p>
    <w:p w14:paraId="3CA2DFF3" w14:textId="77777777" w:rsidR="00790ADA" w:rsidRDefault="00790ADA" w:rsidP="00441B6F">
      <w:pPr>
        <w:pStyle w:val="Body"/>
        <w:spacing w:after="0"/>
        <w:rPr>
          <w:rFonts w:ascii="Arial" w:hAnsi="Arial" w:cs="Arial"/>
        </w:rPr>
      </w:pPr>
    </w:p>
    <w:p w14:paraId="4734CE95" w14:textId="26F232B7" w:rsidR="00831792" w:rsidRDefault="00831792" w:rsidP="00831792">
      <w:pPr>
        <w:jc w:val="both"/>
        <w:rPr>
          <w:rStyle w:val="rynqvb"/>
          <w:rFonts w:ascii="Arial" w:hAnsi="Arial" w:cs="Arial"/>
          <w:lang w:val="en"/>
        </w:rPr>
      </w:pPr>
      <w:bookmarkStart w:id="0" w:name="_Hlk216179072"/>
      <w:r w:rsidRPr="00831792">
        <w:rPr>
          <w:rStyle w:val="rynqvb"/>
          <w:rFonts w:ascii="Arial" w:hAnsi="Arial" w:cs="Arial"/>
          <w:lang w:val="en"/>
        </w:rPr>
        <w:t xml:space="preserve">This study enabled, firstly, the identification of the fungal agent associated with dry rot in tomato crops in central Côte d'Ivoire and, secondly, the comparative effect of biopesticides </w:t>
      </w:r>
      <w:r w:rsidRPr="00831792">
        <w:rPr>
          <w:rStyle w:val="rynqvb"/>
          <w:rFonts w:ascii="Arial" w:hAnsi="Arial" w:cs="Arial"/>
          <w:lang w:val="en"/>
        </w:rPr>
        <w:lastRenderedPageBreak/>
        <w:t xml:space="preserve">and a reference chemical fungicide on </w:t>
      </w:r>
      <w:r w:rsidRPr="0080001D">
        <w:rPr>
          <w:rStyle w:val="rynqvb"/>
          <w:rFonts w:ascii="Arial" w:hAnsi="Arial" w:cs="Arial"/>
          <w:i/>
          <w:iCs/>
          <w:highlight w:val="yellow"/>
          <w:lang w:val="en"/>
        </w:rPr>
        <w:t>in vitro</w:t>
      </w:r>
      <w:r w:rsidRPr="00831792">
        <w:rPr>
          <w:rStyle w:val="rynqvb"/>
          <w:rFonts w:ascii="Arial" w:hAnsi="Arial" w:cs="Arial"/>
          <w:lang w:val="en"/>
        </w:rPr>
        <w:t xml:space="preserve"> mycelial growth.</w:t>
      </w:r>
      <w:r w:rsidRPr="00831792">
        <w:rPr>
          <w:rStyle w:val="hwtze"/>
          <w:rFonts w:ascii="Arial" w:hAnsi="Arial" w:cs="Arial"/>
          <w:lang w:val="en"/>
        </w:rPr>
        <w:t xml:space="preserve"> </w:t>
      </w:r>
      <w:r w:rsidRPr="00831792">
        <w:rPr>
          <w:rStyle w:val="rynqvb"/>
          <w:rFonts w:ascii="Arial" w:hAnsi="Arial" w:cs="Arial"/>
          <w:lang w:val="en"/>
        </w:rPr>
        <w:t xml:space="preserve">Indeed, observation of dry rot on different organs of the tomato plant allowed for the identification, through microbiological and molecular techniques, of </w:t>
      </w:r>
      <w:proofErr w:type="spellStart"/>
      <w:r w:rsidRPr="005A574B">
        <w:rPr>
          <w:rStyle w:val="rynqvb"/>
          <w:rFonts w:ascii="Arial" w:hAnsi="Arial" w:cs="Arial"/>
          <w:i/>
          <w:iCs/>
          <w:lang w:val="en"/>
        </w:rPr>
        <w:t>Lasiodiplodia</w:t>
      </w:r>
      <w:proofErr w:type="spellEnd"/>
      <w:r w:rsidRPr="005A574B">
        <w:rPr>
          <w:rStyle w:val="rynqvb"/>
          <w:rFonts w:ascii="Arial" w:hAnsi="Arial" w:cs="Arial"/>
          <w:i/>
          <w:iCs/>
          <w:lang w:val="en"/>
        </w:rPr>
        <w:t xml:space="preserve"> </w:t>
      </w:r>
      <w:proofErr w:type="spellStart"/>
      <w:r w:rsidRPr="005A574B">
        <w:rPr>
          <w:rStyle w:val="rynqvb"/>
          <w:rFonts w:ascii="Arial" w:hAnsi="Arial" w:cs="Arial"/>
          <w:i/>
          <w:iCs/>
          <w:lang w:val="en"/>
        </w:rPr>
        <w:t>theobromae</w:t>
      </w:r>
      <w:proofErr w:type="spellEnd"/>
      <w:r w:rsidRPr="00831792">
        <w:rPr>
          <w:rStyle w:val="rynqvb"/>
          <w:rFonts w:ascii="Arial" w:hAnsi="Arial" w:cs="Arial"/>
          <w:lang w:val="en"/>
        </w:rPr>
        <w:t>.</w:t>
      </w:r>
      <w:r w:rsidRPr="00831792">
        <w:rPr>
          <w:rStyle w:val="hwtze"/>
          <w:rFonts w:ascii="Arial" w:hAnsi="Arial" w:cs="Arial"/>
          <w:lang w:val="en"/>
        </w:rPr>
        <w:t xml:space="preserve"> </w:t>
      </w:r>
      <w:r w:rsidRPr="00831792">
        <w:rPr>
          <w:rStyle w:val="rynqvb"/>
          <w:rFonts w:ascii="Arial" w:hAnsi="Arial" w:cs="Arial"/>
          <w:lang w:val="en"/>
        </w:rPr>
        <w:t>This fungus warrants particular attention and sanitary monitoring due to its virulence.</w:t>
      </w:r>
      <w:r w:rsidRPr="00831792">
        <w:rPr>
          <w:rStyle w:val="hwtze"/>
          <w:rFonts w:ascii="Arial" w:hAnsi="Arial" w:cs="Arial"/>
          <w:lang w:val="en"/>
        </w:rPr>
        <w:t xml:space="preserve"> </w:t>
      </w:r>
      <w:proofErr w:type="spellStart"/>
      <w:r w:rsidRPr="00831792">
        <w:rPr>
          <w:rStyle w:val="rynqvb"/>
          <w:rFonts w:ascii="Arial" w:hAnsi="Arial" w:cs="Arial"/>
          <w:lang w:val="en"/>
        </w:rPr>
        <w:t>Punithalingam</w:t>
      </w:r>
      <w:proofErr w:type="spellEnd"/>
      <w:r w:rsidRPr="00831792">
        <w:rPr>
          <w:rStyle w:val="rynqvb"/>
          <w:rFonts w:ascii="Arial" w:hAnsi="Arial" w:cs="Arial"/>
          <w:lang w:val="en"/>
        </w:rPr>
        <w:t xml:space="preserve"> </w:t>
      </w:r>
      <w:r w:rsidRPr="00831792">
        <w:rPr>
          <w:rStyle w:val="rynqvb"/>
          <w:rFonts w:ascii="Arial" w:hAnsi="Arial" w:cs="Arial"/>
          <w:i/>
          <w:iCs/>
          <w:lang w:val="en"/>
        </w:rPr>
        <w:t>et al</w:t>
      </w:r>
      <w:r w:rsidRPr="00831792">
        <w:rPr>
          <w:rStyle w:val="rynqvb"/>
          <w:rFonts w:ascii="Arial" w:hAnsi="Arial" w:cs="Arial"/>
          <w:lang w:val="en"/>
        </w:rPr>
        <w:t>.</w:t>
      </w:r>
      <w:r w:rsidRPr="00831792">
        <w:rPr>
          <w:rStyle w:val="hwtze"/>
          <w:rFonts w:ascii="Arial" w:hAnsi="Arial" w:cs="Arial"/>
          <w:lang w:val="en"/>
        </w:rPr>
        <w:t xml:space="preserve"> </w:t>
      </w:r>
      <w:r w:rsidRPr="00831792">
        <w:rPr>
          <w:rStyle w:val="rynqvb"/>
          <w:rFonts w:ascii="Arial" w:hAnsi="Arial" w:cs="Arial"/>
          <w:lang w:val="en"/>
        </w:rPr>
        <w:t>(1976) stated that this fungal agent can attack more than 500 plant species.</w:t>
      </w:r>
      <w:r w:rsidRPr="00831792">
        <w:rPr>
          <w:rStyle w:val="hwtze"/>
          <w:rFonts w:ascii="Arial" w:hAnsi="Arial" w:cs="Arial"/>
          <w:lang w:val="en"/>
        </w:rPr>
        <w:t xml:space="preserve"> </w:t>
      </w:r>
      <w:r w:rsidRPr="00831792">
        <w:rPr>
          <w:rStyle w:val="rynqvb"/>
          <w:rFonts w:ascii="Arial" w:hAnsi="Arial" w:cs="Arial"/>
          <w:lang w:val="en"/>
        </w:rPr>
        <w:t xml:space="preserve">Recent studies in Côte d’Ivoire and elsewhere have proven the harmful effects of this fungus on several edible plants (Chen </w:t>
      </w:r>
      <w:r w:rsidRPr="00831792">
        <w:rPr>
          <w:rStyle w:val="rynqvb"/>
          <w:rFonts w:ascii="Arial" w:hAnsi="Arial" w:cs="Arial"/>
          <w:i/>
          <w:iCs/>
          <w:lang w:val="en"/>
        </w:rPr>
        <w:t>et al</w:t>
      </w:r>
      <w:r w:rsidRPr="00831792">
        <w:rPr>
          <w:rStyle w:val="rynqvb"/>
          <w:rFonts w:ascii="Arial" w:hAnsi="Arial" w:cs="Arial"/>
          <w:lang w:val="en"/>
        </w:rPr>
        <w:t xml:space="preserve">. 2021; Koné </w:t>
      </w:r>
      <w:r w:rsidRPr="00831792">
        <w:rPr>
          <w:rStyle w:val="rynqvb"/>
          <w:rFonts w:ascii="Arial" w:hAnsi="Arial" w:cs="Arial"/>
          <w:i/>
          <w:iCs/>
          <w:lang w:val="en"/>
        </w:rPr>
        <w:t>et al</w:t>
      </w:r>
      <w:r w:rsidRPr="00831792">
        <w:rPr>
          <w:rStyle w:val="rynqvb"/>
          <w:rFonts w:ascii="Arial" w:hAnsi="Arial" w:cs="Arial"/>
          <w:lang w:val="en"/>
        </w:rPr>
        <w:t xml:space="preserve">. 2025; He </w:t>
      </w:r>
      <w:r w:rsidRPr="00831792">
        <w:rPr>
          <w:rStyle w:val="rynqvb"/>
          <w:rFonts w:ascii="Arial" w:hAnsi="Arial" w:cs="Arial"/>
          <w:i/>
          <w:iCs/>
          <w:lang w:val="en"/>
        </w:rPr>
        <w:t>et al</w:t>
      </w:r>
      <w:r w:rsidRPr="00831792">
        <w:rPr>
          <w:rStyle w:val="rynqvb"/>
          <w:rFonts w:ascii="Arial" w:hAnsi="Arial" w:cs="Arial"/>
          <w:lang w:val="en"/>
        </w:rPr>
        <w:t xml:space="preserve">. 2025; </w:t>
      </w:r>
      <w:proofErr w:type="spellStart"/>
      <w:r w:rsidRPr="00831792">
        <w:rPr>
          <w:rStyle w:val="rynqvb"/>
          <w:rFonts w:ascii="Arial" w:hAnsi="Arial" w:cs="Arial"/>
          <w:lang w:val="en"/>
        </w:rPr>
        <w:t>Lizhu</w:t>
      </w:r>
      <w:proofErr w:type="spellEnd"/>
      <w:r w:rsidRPr="00831792">
        <w:rPr>
          <w:rStyle w:val="rynqvb"/>
          <w:rFonts w:ascii="Arial" w:hAnsi="Arial" w:cs="Arial"/>
          <w:lang w:val="en"/>
        </w:rPr>
        <w:t xml:space="preserve"> Tang </w:t>
      </w:r>
      <w:r w:rsidRPr="00831792">
        <w:rPr>
          <w:rStyle w:val="rynqvb"/>
          <w:rFonts w:ascii="Arial" w:hAnsi="Arial" w:cs="Arial"/>
          <w:i/>
          <w:iCs/>
          <w:lang w:val="en"/>
        </w:rPr>
        <w:t>et al</w:t>
      </w:r>
      <w:r w:rsidRPr="00831792">
        <w:rPr>
          <w:rStyle w:val="rynqvb"/>
          <w:rFonts w:ascii="Arial" w:hAnsi="Arial" w:cs="Arial"/>
          <w:lang w:val="en"/>
        </w:rPr>
        <w:t>. 2025).</w:t>
      </w:r>
      <w:r w:rsidRPr="00831792">
        <w:rPr>
          <w:rStyle w:val="hwtze"/>
          <w:rFonts w:ascii="Arial" w:hAnsi="Arial" w:cs="Arial"/>
          <w:lang w:val="en"/>
        </w:rPr>
        <w:t xml:space="preserve"> </w:t>
      </w:r>
      <w:r w:rsidRPr="00831792">
        <w:rPr>
          <w:rStyle w:val="rynqvb"/>
          <w:rFonts w:ascii="Arial" w:hAnsi="Arial" w:cs="Arial"/>
          <w:lang w:val="en"/>
        </w:rPr>
        <w:t xml:space="preserve">The work of Koné </w:t>
      </w:r>
      <w:r w:rsidRPr="00831792">
        <w:rPr>
          <w:rStyle w:val="rynqvb"/>
          <w:rFonts w:ascii="Arial" w:hAnsi="Arial" w:cs="Arial"/>
          <w:i/>
          <w:iCs/>
          <w:lang w:val="en"/>
        </w:rPr>
        <w:t>et al</w:t>
      </w:r>
      <w:r w:rsidRPr="00831792">
        <w:rPr>
          <w:rStyle w:val="rynqvb"/>
          <w:rFonts w:ascii="Arial" w:hAnsi="Arial" w:cs="Arial"/>
          <w:lang w:val="en"/>
        </w:rPr>
        <w:t xml:space="preserve">. (2025) showed that </w:t>
      </w:r>
      <w:proofErr w:type="spellStart"/>
      <w:r w:rsidRPr="005A574B">
        <w:rPr>
          <w:rStyle w:val="rynqvb"/>
          <w:rFonts w:ascii="Arial" w:hAnsi="Arial" w:cs="Arial"/>
          <w:i/>
          <w:iCs/>
          <w:lang w:val="en"/>
        </w:rPr>
        <w:t>Lasiodiplodia</w:t>
      </w:r>
      <w:proofErr w:type="spellEnd"/>
      <w:r w:rsidRPr="00831792">
        <w:rPr>
          <w:rStyle w:val="rynqvb"/>
          <w:rFonts w:ascii="Arial" w:hAnsi="Arial" w:cs="Arial"/>
          <w:lang w:val="en"/>
        </w:rPr>
        <w:t xml:space="preserve"> s</w:t>
      </w:r>
      <w:r w:rsidR="0080001D">
        <w:rPr>
          <w:rStyle w:val="rynqvb"/>
          <w:rFonts w:ascii="Arial" w:hAnsi="Arial" w:cs="Arial"/>
          <w:lang w:val="en"/>
        </w:rPr>
        <w:t>p</w:t>
      </w:r>
      <w:r w:rsidR="00BE32CD">
        <w:rPr>
          <w:rStyle w:val="rynqvb"/>
          <w:rFonts w:ascii="Arial" w:hAnsi="Arial" w:cs="Arial"/>
          <w:lang w:val="en"/>
        </w:rPr>
        <w:t>.</w:t>
      </w:r>
      <w:r w:rsidRPr="00831792">
        <w:rPr>
          <w:rStyle w:val="rynqvb"/>
          <w:rFonts w:ascii="Arial" w:hAnsi="Arial" w:cs="Arial"/>
          <w:lang w:val="en"/>
        </w:rPr>
        <w:t xml:space="preserve"> affected all cashew and mango orchards in Côte d’Ivoire with a cumulative incidence of 80% and a mean severity index of 3.59.</w:t>
      </w:r>
    </w:p>
    <w:p w14:paraId="28BD7893" w14:textId="77777777" w:rsidR="0076786A" w:rsidRPr="00831792" w:rsidRDefault="0076786A" w:rsidP="00831792">
      <w:pPr>
        <w:jc w:val="both"/>
        <w:rPr>
          <w:rStyle w:val="rynqvb"/>
          <w:rFonts w:ascii="Arial" w:hAnsi="Arial" w:cs="Arial"/>
          <w:lang w:val="en"/>
        </w:rPr>
      </w:pPr>
    </w:p>
    <w:p w14:paraId="4FE607A4" w14:textId="77777777" w:rsidR="00831792" w:rsidRDefault="00831792" w:rsidP="00831792">
      <w:pPr>
        <w:jc w:val="both"/>
        <w:rPr>
          <w:rStyle w:val="rynqvb"/>
          <w:rFonts w:ascii="Arial" w:hAnsi="Arial" w:cs="Arial"/>
          <w:lang w:val="en"/>
        </w:rPr>
      </w:pPr>
      <w:r w:rsidRPr="00831792">
        <w:rPr>
          <w:rStyle w:val="rynqvb"/>
          <w:rFonts w:ascii="Arial" w:hAnsi="Arial" w:cs="Arial"/>
          <w:lang w:val="en"/>
        </w:rPr>
        <w:t xml:space="preserve">The results obtained in this study implicated </w:t>
      </w:r>
      <w:r w:rsidRPr="0080001D">
        <w:rPr>
          <w:rStyle w:val="rynqvb"/>
          <w:rFonts w:ascii="Arial" w:hAnsi="Arial" w:cs="Arial"/>
          <w:i/>
          <w:iCs/>
          <w:highlight w:val="yellow"/>
          <w:lang w:val="en"/>
        </w:rPr>
        <w:t xml:space="preserve">L. </w:t>
      </w:r>
      <w:proofErr w:type="spellStart"/>
      <w:r w:rsidRPr="0080001D">
        <w:rPr>
          <w:rStyle w:val="rynqvb"/>
          <w:rFonts w:ascii="Arial" w:hAnsi="Arial" w:cs="Arial"/>
          <w:i/>
          <w:iCs/>
          <w:highlight w:val="yellow"/>
          <w:lang w:val="en"/>
        </w:rPr>
        <w:t>theobromae</w:t>
      </w:r>
      <w:proofErr w:type="spellEnd"/>
      <w:r w:rsidRPr="00831792">
        <w:rPr>
          <w:rStyle w:val="rynqvb"/>
          <w:rFonts w:ascii="Arial" w:hAnsi="Arial" w:cs="Arial"/>
          <w:lang w:val="en"/>
        </w:rPr>
        <w:t xml:space="preserve"> in the damage observed in tomato crops in the localities of </w:t>
      </w:r>
      <w:proofErr w:type="spellStart"/>
      <w:r w:rsidRPr="00831792">
        <w:rPr>
          <w:rStyle w:val="rynqvb"/>
          <w:rFonts w:ascii="Arial" w:hAnsi="Arial" w:cs="Arial"/>
          <w:lang w:val="en"/>
        </w:rPr>
        <w:t>Didiévi</w:t>
      </w:r>
      <w:proofErr w:type="spellEnd"/>
      <w:r w:rsidRPr="00831792">
        <w:rPr>
          <w:rStyle w:val="rynqvb"/>
          <w:rFonts w:ascii="Arial" w:hAnsi="Arial" w:cs="Arial"/>
          <w:lang w:val="en"/>
        </w:rPr>
        <w:t xml:space="preserve">, </w:t>
      </w:r>
      <w:proofErr w:type="spellStart"/>
      <w:r w:rsidRPr="00831792">
        <w:rPr>
          <w:rStyle w:val="rynqvb"/>
          <w:rFonts w:ascii="Arial" w:hAnsi="Arial" w:cs="Arial"/>
          <w:lang w:val="en"/>
        </w:rPr>
        <w:t>Kongoue-Kouadiokro</w:t>
      </w:r>
      <w:proofErr w:type="spellEnd"/>
      <w:r w:rsidRPr="00831792">
        <w:rPr>
          <w:rStyle w:val="rynqvb"/>
          <w:rFonts w:ascii="Arial" w:hAnsi="Arial" w:cs="Arial"/>
          <w:lang w:val="en"/>
        </w:rPr>
        <w:t xml:space="preserve">, and </w:t>
      </w:r>
      <w:proofErr w:type="spellStart"/>
      <w:r w:rsidRPr="00831792">
        <w:rPr>
          <w:rStyle w:val="rynqvb"/>
          <w:rFonts w:ascii="Arial" w:hAnsi="Arial" w:cs="Arial"/>
          <w:lang w:val="en"/>
        </w:rPr>
        <w:t>Subiakro</w:t>
      </w:r>
      <w:proofErr w:type="spellEnd"/>
      <w:r w:rsidRPr="00831792">
        <w:rPr>
          <w:rStyle w:val="rynqvb"/>
          <w:rFonts w:ascii="Arial" w:hAnsi="Arial" w:cs="Arial"/>
          <w:lang w:val="en"/>
        </w:rPr>
        <w:t xml:space="preserve">. However, to effectively manage this pathogen in our orchards, it would be important to have precise information on the genetic and pathogenic diversity of the fungus, as several isolates of </w:t>
      </w:r>
      <w:r w:rsidRPr="00831792">
        <w:rPr>
          <w:rStyle w:val="rynqvb"/>
          <w:rFonts w:ascii="Arial" w:hAnsi="Arial" w:cs="Arial"/>
          <w:i/>
          <w:iCs/>
          <w:lang w:val="en"/>
        </w:rPr>
        <w:t xml:space="preserve">L. </w:t>
      </w:r>
      <w:proofErr w:type="spellStart"/>
      <w:r w:rsidRPr="00831792">
        <w:rPr>
          <w:rStyle w:val="rynqvb"/>
          <w:rFonts w:ascii="Arial" w:hAnsi="Arial" w:cs="Arial"/>
          <w:i/>
          <w:iCs/>
          <w:lang w:val="en"/>
        </w:rPr>
        <w:t>theobromae</w:t>
      </w:r>
      <w:proofErr w:type="spellEnd"/>
      <w:r w:rsidRPr="00831792">
        <w:rPr>
          <w:rStyle w:val="rynqvb"/>
          <w:rFonts w:ascii="Arial" w:hAnsi="Arial" w:cs="Arial"/>
          <w:lang w:val="en"/>
        </w:rPr>
        <w:t xml:space="preserve"> may be involved in the spread of this disease (Nur-Shakirah </w:t>
      </w:r>
      <w:r w:rsidRPr="00831792">
        <w:rPr>
          <w:rStyle w:val="rynqvb"/>
          <w:rFonts w:ascii="Arial" w:hAnsi="Arial" w:cs="Arial"/>
          <w:i/>
          <w:iCs/>
          <w:lang w:val="en"/>
        </w:rPr>
        <w:t>et al</w:t>
      </w:r>
      <w:r w:rsidRPr="00831792">
        <w:rPr>
          <w:rStyle w:val="rynqvb"/>
          <w:rFonts w:ascii="Arial" w:hAnsi="Arial" w:cs="Arial"/>
          <w:lang w:val="en"/>
        </w:rPr>
        <w:t>. 2022).</w:t>
      </w:r>
    </w:p>
    <w:p w14:paraId="14D2A8C8" w14:textId="77777777" w:rsidR="0076786A" w:rsidRPr="00831792" w:rsidRDefault="0076786A" w:rsidP="00831792">
      <w:pPr>
        <w:jc w:val="both"/>
        <w:rPr>
          <w:rFonts w:ascii="Arial" w:hAnsi="Arial" w:cs="Arial"/>
          <w:lang w:val="en-GB"/>
        </w:rPr>
      </w:pPr>
    </w:p>
    <w:p w14:paraId="2E817D10" w14:textId="13FE6379" w:rsidR="001204B3" w:rsidRPr="001204B3" w:rsidRDefault="00831792" w:rsidP="001204B3">
      <w:pPr>
        <w:jc w:val="both"/>
        <w:rPr>
          <w:rFonts w:ascii="Arial" w:hAnsi="Arial" w:cs="Arial"/>
          <w:lang w:val="en-GB"/>
        </w:rPr>
      </w:pPr>
      <w:bookmarkStart w:id="1" w:name="_Hlk133593320"/>
      <w:bookmarkEnd w:id="0"/>
      <w:r w:rsidRPr="00831792">
        <w:rPr>
          <w:rFonts w:ascii="Arial" w:hAnsi="Arial" w:cs="Arial"/>
          <w:bCs/>
          <w:lang w:val="en-GB"/>
        </w:rPr>
        <w:t xml:space="preserve">Regarding </w:t>
      </w:r>
      <w:r w:rsidRPr="0080001D">
        <w:rPr>
          <w:rFonts w:ascii="Arial" w:hAnsi="Arial" w:cs="Arial"/>
          <w:bCs/>
          <w:i/>
          <w:iCs/>
          <w:highlight w:val="yellow"/>
          <w:lang w:val="en-GB"/>
        </w:rPr>
        <w:t>in vitro</w:t>
      </w:r>
      <w:r w:rsidRPr="00831792">
        <w:rPr>
          <w:rFonts w:ascii="Arial" w:hAnsi="Arial" w:cs="Arial"/>
          <w:bCs/>
          <w:lang w:val="en-GB"/>
        </w:rPr>
        <w:t xml:space="preserve"> efficacy tests, the results show that the evaluated concentrations of biopesticides and the chemical fungicide (mancozeb) were effective in reducing the mycelial growth of </w:t>
      </w:r>
      <w:r w:rsidRPr="00831792">
        <w:rPr>
          <w:rFonts w:ascii="Arial" w:hAnsi="Arial" w:cs="Arial"/>
          <w:bCs/>
          <w:i/>
          <w:iCs/>
          <w:lang w:val="en-GB"/>
        </w:rPr>
        <w:t xml:space="preserve">L. </w:t>
      </w:r>
      <w:proofErr w:type="spellStart"/>
      <w:r w:rsidRPr="00831792">
        <w:rPr>
          <w:rFonts w:ascii="Arial" w:hAnsi="Arial" w:cs="Arial"/>
          <w:bCs/>
          <w:i/>
          <w:iCs/>
          <w:lang w:val="en-GB"/>
        </w:rPr>
        <w:t>theobromae</w:t>
      </w:r>
      <w:proofErr w:type="spellEnd"/>
      <w:r w:rsidRPr="00831792">
        <w:rPr>
          <w:rFonts w:ascii="Arial" w:hAnsi="Arial" w:cs="Arial"/>
          <w:bCs/>
          <w:lang w:val="en-GB"/>
        </w:rPr>
        <w:t xml:space="preserve">. The inhibition rate ranged from 42.01% to 100% on the third day of incubation, when the Petri dishes (90 mm diameter) of untreated culture medium (T0) were completely invaded by the fungal mycelium. The biopesticides based on </w:t>
      </w:r>
      <w:proofErr w:type="spellStart"/>
      <w:r w:rsidRPr="00831792">
        <w:rPr>
          <w:rFonts w:ascii="Arial" w:hAnsi="Arial" w:cs="Arial"/>
          <w:bCs/>
          <w:lang w:val="en-GB"/>
        </w:rPr>
        <w:t>carapa</w:t>
      </w:r>
      <w:proofErr w:type="spellEnd"/>
      <w:r w:rsidRPr="00831792">
        <w:rPr>
          <w:rFonts w:ascii="Arial" w:hAnsi="Arial" w:cs="Arial"/>
          <w:bCs/>
          <w:lang w:val="en-GB"/>
        </w:rPr>
        <w:t xml:space="preserve"> oil (</w:t>
      </w:r>
      <w:proofErr w:type="spellStart"/>
      <w:r w:rsidRPr="00831792">
        <w:rPr>
          <w:rFonts w:ascii="Arial" w:hAnsi="Arial" w:cs="Arial"/>
          <w:bCs/>
          <w:i/>
          <w:iCs/>
          <w:lang w:val="en-GB"/>
        </w:rPr>
        <w:t>Carapa</w:t>
      </w:r>
      <w:proofErr w:type="spellEnd"/>
      <w:r w:rsidRPr="00831792">
        <w:rPr>
          <w:rFonts w:ascii="Arial" w:hAnsi="Arial" w:cs="Arial"/>
          <w:bCs/>
          <w:i/>
          <w:iCs/>
          <w:lang w:val="en-GB"/>
        </w:rPr>
        <w:t xml:space="preserve"> </w:t>
      </w:r>
      <w:proofErr w:type="spellStart"/>
      <w:r w:rsidRPr="00831792">
        <w:rPr>
          <w:rFonts w:ascii="Arial" w:hAnsi="Arial" w:cs="Arial"/>
          <w:bCs/>
          <w:i/>
          <w:iCs/>
          <w:lang w:val="en-GB"/>
        </w:rPr>
        <w:t>procera</w:t>
      </w:r>
      <w:proofErr w:type="spellEnd"/>
      <w:r w:rsidRPr="00831792">
        <w:rPr>
          <w:rFonts w:ascii="Arial" w:hAnsi="Arial" w:cs="Arial"/>
          <w:bCs/>
          <w:lang w:val="en-GB"/>
        </w:rPr>
        <w:t>), aqueous extracts of garlic (</w:t>
      </w:r>
      <w:r w:rsidRPr="00831792">
        <w:rPr>
          <w:rFonts w:ascii="Arial" w:hAnsi="Arial" w:cs="Arial"/>
          <w:bCs/>
          <w:i/>
          <w:iCs/>
          <w:lang w:val="en-GB"/>
        </w:rPr>
        <w:t>Allium sativum</w:t>
      </w:r>
      <w:r w:rsidRPr="00831792">
        <w:rPr>
          <w:rFonts w:ascii="Arial" w:hAnsi="Arial" w:cs="Arial"/>
          <w:bCs/>
          <w:lang w:val="en-GB"/>
        </w:rPr>
        <w:t xml:space="preserve">), and mancozeb were the most effective against the </w:t>
      </w:r>
      <w:r w:rsidRPr="0080001D">
        <w:rPr>
          <w:rFonts w:ascii="Arial" w:hAnsi="Arial" w:cs="Arial"/>
          <w:bCs/>
          <w:i/>
          <w:iCs/>
          <w:highlight w:val="yellow"/>
          <w:lang w:val="en-GB"/>
        </w:rPr>
        <w:t>in vitro</w:t>
      </w:r>
      <w:r w:rsidRPr="00831792">
        <w:rPr>
          <w:rFonts w:ascii="Arial" w:hAnsi="Arial" w:cs="Arial"/>
          <w:bCs/>
          <w:lang w:val="en-GB"/>
        </w:rPr>
        <w:t xml:space="preserve"> growth of the parasite, with inhibition rates of 72.6%, </w:t>
      </w:r>
      <w:r w:rsidR="0080001D">
        <w:rPr>
          <w:rFonts w:ascii="Arial" w:hAnsi="Arial" w:cs="Arial"/>
          <w:bCs/>
          <w:highlight w:val="yellow"/>
          <w:lang w:val="en-GB"/>
        </w:rPr>
        <w:t>100</w:t>
      </w:r>
      <w:r w:rsidRPr="0080001D">
        <w:rPr>
          <w:rFonts w:ascii="Arial" w:hAnsi="Arial" w:cs="Arial"/>
          <w:bCs/>
          <w:highlight w:val="yellow"/>
          <w:lang w:val="en-GB"/>
        </w:rPr>
        <w:t>%</w:t>
      </w:r>
      <w:r w:rsidRPr="00831792">
        <w:rPr>
          <w:rFonts w:ascii="Arial" w:hAnsi="Arial" w:cs="Arial"/>
          <w:bCs/>
          <w:lang w:val="en-GB"/>
        </w:rPr>
        <w:t xml:space="preserve">, and 100%, respectively. These results reveal a hypersensitivity of this fungus to aqueous extracts of garlic and mancozeb and a sensitivity to </w:t>
      </w:r>
      <w:proofErr w:type="spellStart"/>
      <w:r w:rsidRPr="00831792">
        <w:rPr>
          <w:rFonts w:ascii="Arial" w:hAnsi="Arial" w:cs="Arial"/>
          <w:bCs/>
          <w:lang w:val="en-GB"/>
        </w:rPr>
        <w:t>carapa</w:t>
      </w:r>
      <w:proofErr w:type="spellEnd"/>
      <w:r w:rsidRPr="00831792">
        <w:rPr>
          <w:rFonts w:ascii="Arial" w:hAnsi="Arial" w:cs="Arial"/>
          <w:bCs/>
          <w:lang w:val="en-GB"/>
        </w:rPr>
        <w:t xml:space="preserve"> oil in accordance with the scale of </w:t>
      </w:r>
      <w:proofErr w:type="spellStart"/>
      <w:r w:rsidRPr="00831792">
        <w:rPr>
          <w:rFonts w:ascii="Arial" w:hAnsi="Arial" w:cs="Arial"/>
          <w:bCs/>
          <w:lang w:val="en-GB"/>
        </w:rPr>
        <w:t>Kurmar</w:t>
      </w:r>
      <w:proofErr w:type="spellEnd"/>
      <w:r w:rsidRPr="00831792">
        <w:rPr>
          <w:rFonts w:ascii="Arial" w:hAnsi="Arial" w:cs="Arial"/>
          <w:bCs/>
          <w:lang w:val="en-GB"/>
        </w:rPr>
        <w:t xml:space="preserve"> </w:t>
      </w:r>
      <w:r w:rsidRPr="00831792">
        <w:rPr>
          <w:rFonts w:ascii="Arial" w:hAnsi="Arial" w:cs="Arial"/>
          <w:bCs/>
          <w:i/>
          <w:iCs/>
          <w:lang w:val="en-GB"/>
        </w:rPr>
        <w:t>et al</w:t>
      </w:r>
      <w:r w:rsidRPr="00831792">
        <w:rPr>
          <w:rFonts w:ascii="Arial" w:hAnsi="Arial" w:cs="Arial"/>
          <w:bCs/>
          <w:lang w:val="en-GB"/>
        </w:rPr>
        <w:t xml:space="preserve">. (2007). </w:t>
      </w:r>
      <w:r w:rsidRPr="00831792">
        <w:rPr>
          <w:rFonts w:ascii="Arial" w:hAnsi="Arial" w:cs="Arial"/>
          <w:lang w:val="en-GB"/>
        </w:rPr>
        <w:t xml:space="preserve">Indeed, studies have demonstrated the antifungal activity of garlic extracts against fungi, including </w:t>
      </w:r>
      <w:r w:rsidRPr="00831792">
        <w:rPr>
          <w:rFonts w:ascii="Arial" w:hAnsi="Arial" w:cs="Arial"/>
          <w:i/>
          <w:iCs/>
          <w:lang w:val="en-GB"/>
        </w:rPr>
        <w:t xml:space="preserve">Aspergillus </w:t>
      </w:r>
      <w:proofErr w:type="spellStart"/>
      <w:r w:rsidRPr="00831792">
        <w:rPr>
          <w:rFonts w:ascii="Arial" w:hAnsi="Arial" w:cs="Arial"/>
          <w:i/>
          <w:iCs/>
          <w:lang w:val="en-GB"/>
        </w:rPr>
        <w:t>niger</w:t>
      </w:r>
      <w:proofErr w:type="spellEnd"/>
      <w:r w:rsidRPr="00831792">
        <w:rPr>
          <w:rFonts w:ascii="Arial" w:hAnsi="Arial" w:cs="Arial"/>
          <w:lang w:val="en-GB"/>
        </w:rPr>
        <w:t xml:space="preserve"> and </w:t>
      </w:r>
      <w:r w:rsidRPr="00831792">
        <w:rPr>
          <w:rFonts w:ascii="Arial" w:hAnsi="Arial" w:cs="Arial"/>
          <w:i/>
          <w:iCs/>
          <w:lang w:val="en-GB"/>
        </w:rPr>
        <w:t>Fusarium</w:t>
      </w:r>
      <w:r w:rsidRPr="00831792">
        <w:rPr>
          <w:rFonts w:ascii="Arial" w:hAnsi="Arial" w:cs="Arial"/>
          <w:lang w:val="en-GB"/>
        </w:rPr>
        <w:t xml:space="preserve"> species (</w:t>
      </w:r>
      <w:proofErr w:type="spellStart"/>
      <w:r w:rsidRPr="00831792">
        <w:rPr>
          <w:rFonts w:ascii="Arial" w:hAnsi="Arial" w:cs="Arial"/>
          <w:lang w:val="en-GB"/>
        </w:rPr>
        <w:t>Benmeddour</w:t>
      </w:r>
      <w:proofErr w:type="spellEnd"/>
      <w:r w:rsidRPr="00831792">
        <w:rPr>
          <w:rFonts w:ascii="Arial" w:hAnsi="Arial" w:cs="Arial"/>
          <w:lang w:val="en-GB"/>
        </w:rPr>
        <w:t xml:space="preserve"> </w:t>
      </w:r>
      <w:r w:rsidRPr="00831792">
        <w:rPr>
          <w:rFonts w:ascii="Arial" w:hAnsi="Arial" w:cs="Arial"/>
          <w:i/>
          <w:iCs/>
          <w:lang w:val="en-GB"/>
        </w:rPr>
        <w:t>et al</w:t>
      </w:r>
      <w:r w:rsidRPr="00831792">
        <w:rPr>
          <w:rFonts w:ascii="Arial" w:hAnsi="Arial" w:cs="Arial"/>
          <w:lang w:val="en-GB"/>
        </w:rPr>
        <w:t xml:space="preserve">. 2015; Mylona </w:t>
      </w:r>
      <w:r w:rsidRPr="00831792">
        <w:rPr>
          <w:rFonts w:ascii="Arial" w:hAnsi="Arial" w:cs="Arial"/>
          <w:i/>
          <w:iCs/>
          <w:lang w:val="en-GB"/>
        </w:rPr>
        <w:t>et al</w:t>
      </w:r>
      <w:r w:rsidRPr="00831792">
        <w:rPr>
          <w:rFonts w:ascii="Arial" w:hAnsi="Arial" w:cs="Arial"/>
          <w:lang w:val="en-GB"/>
        </w:rPr>
        <w:t xml:space="preserve">. 2019). The latter authors showed that garlic extracts inhibit the growth of </w:t>
      </w:r>
      <w:r w:rsidRPr="00831792">
        <w:rPr>
          <w:rFonts w:ascii="Arial" w:hAnsi="Arial" w:cs="Arial"/>
          <w:i/>
          <w:iCs/>
          <w:lang w:val="en-GB"/>
        </w:rPr>
        <w:t>Fusarium</w:t>
      </w:r>
      <w:r w:rsidRPr="00831792">
        <w:rPr>
          <w:rFonts w:ascii="Arial" w:hAnsi="Arial" w:cs="Arial"/>
          <w:lang w:val="en-GB"/>
        </w:rPr>
        <w:t xml:space="preserve"> mycelium (</w:t>
      </w:r>
      <w:r w:rsidRPr="00831792">
        <w:rPr>
          <w:rFonts w:ascii="Arial" w:hAnsi="Arial" w:cs="Arial"/>
          <w:i/>
          <w:iCs/>
          <w:lang w:val="en-GB"/>
        </w:rPr>
        <w:t xml:space="preserve">F. </w:t>
      </w:r>
      <w:proofErr w:type="spellStart"/>
      <w:r w:rsidRPr="00831792">
        <w:rPr>
          <w:rFonts w:ascii="Arial" w:hAnsi="Arial" w:cs="Arial"/>
          <w:i/>
          <w:iCs/>
          <w:lang w:val="en-GB"/>
        </w:rPr>
        <w:t>graminearum</w:t>
      </w:r>
      <w:proofErr w:type="spellEnd"/>
      <w:r w:rsidRPr="00831792">
        <w:rPr>
          <w:rFonts w:ascii="Arial" w:hAnsi="Arial" w:cs="Arial"/>
          <w:i/>
          <w:iCs/>
          <w:lang w:val="en-GB"/>
        </w:rPr>
        <w:t xml:space="preserve">, F. </w:t>
      </w:r>
      <w:proofErr w:type="spellStart"/>
      <w:r w:rsidRPr="00831792">
        <w:rPr>
          <w:rFonts w:ascii="Arial" w:hAnsi="Arial" w:cs="Arial"/>
          <w:i/>
          <w:iCs/>
          <w:lang w:val="en-GB"/>
        </w:rPr>
        <w:t>langsethiae</w:t>
      </w:r>
      <w:proofErr w:type="spellEnd"/>
      <w:r w:rsidRPr="00831792">
        <w:rPr>
          <w:rFonts w:ascii="Arial" w:hAnsi="Arial" w:cs="Arial"/>
          <w:i/>
          <w:iCs/>
          <w:lang w:val="en-GB"/>
        </w:rPr>
        <w:t>, F. verticillioides</w:t>
      </w:r>
      <w:r w:rsidRPr="00831792">
        <w:rPr>
          <w:rFonts w:ascii="Arial" w:hAnsi="Arial" w:cs="Arial"/>
          <w:lang w:val="en-GB"/>
        </w:rPr>
        <w:t xml:space="preserve">) by 50 to 100%. This inhibitory activity depends on the </w:t>
      </w:r>
      <w:r w:rsidRPr="0080001D">
        <w:rPr>
          <w:rFonts w:ascii="Arial" w:hAnsi="Arial" w:cs="Arial"/>
          <w:i/>
          <w:iCs/>
          <w:highlight w:val="yellow"/>
          <w:lang w:val="en-GB"/>
        </w:rPr>
        <w:t>Fusarium</w:t>
      </w:r>
      <w:r w:rsidRPr="00831792">
        <w:rPr>
          <w:rFonts w:ascii="Arial" w:hAnsi="Arial" w:cs="Arial"/>
          <w:lang w:val="en-GB"/>
        </w:rPr>
        <w:t xml:space="preserve"> species studied and the concentration. These results are essentially identical to those obtained in this study with aqueous garlic extract at different concentrations. According to the first authors, the antifungal activity of garlic extracts from the genus </w:t>
      </w:r>
      <w:r w:rsidRPr="00831792">
        <w:rPr>
          <w:rFonts w:ascii="Arial" w:hAnsi="Arial" w:cs="Arial"/>
          <w:i/>
          <w:iCs/>
          <w:lang w:val="en-GB"/>
        </w:rPr>
        <w:t>Allium</w:t>
      </w:r>
      <w:r w:rsidRPr="00831792">
        <w:rPr>
          <w:rFonts w:ascii="Arial" w:hAnsi="Arial" w:cs="Arial"/>
          <w:lang w:val="en-GB"/>
        </w:rPr>
        <w:t xml:space="preserve"> is due to the presence of chemical substances at varying concentrations. These substances may be monoterpenes that act on the mycelial hyphae. This leads to a loss of rigidity and integrity of the cell wall, resulting in its collapse and the death of the mycelium. The effect induced by aqueous garlic extracts was not statistically different (</w:t>
      </w:r>
      <w:r w:rsidR="006651C5" w:rsidRPr="006651C5">
        <w:rPr>
          <w:rFonts w:ascii="Arial" w:hAnsi="Arial" w:cs="Arial"/>
          <w:i/>
          <w:iCs/>
          <w:highlight w:val="yellow"/>
          <w:lang w:val="en-GB"/>
        </w:rPr>
        <w:t>P</w:t>
      </w:r>
      <w:r w:rsidRPr="006651C5">
        <w:rPr>
          <w:rFonts w:ascii="Arial" w:hAnsi="Arial" w:cs="Arial"/>
          <w:highlight w:val="yellow"/>
          <w:lang w:val="en-GB"/>
        </w:rPr>
        <w:t xml:space="preserve"> = </w:t>
      </w:r>
      <w:r w:rsidR="006651C5" w:rsidRPr="006651C5">
        <w:rPr>
          <w:rFonts w:ascii="Arial" w:hAnsi="Arial" w:cs="Arial"/>
          <w:highlight w:val="yellow"/>
          <w:lang w:val="en-GB"/>
        </w:rPr>
        <w:t>1.</w:t>
      </w:r>
      <w:r w:rsidRPr="006651C5">
        <w:rPr>
          <w:rFonts w:ascii="Arial" w:hAnsi="Arial" w:cs="Arial"/>
          <w:highlight w:val="yellow"/>
          <w:lang w:val="en-GB"/>
        </w:rPr>
        <w:t>0</w:t>
      </w:r>
      <w:r w:rsidR="006651C5" w:rsidRPr="006651C5">
        <w:rPr>
          <w:rFonts w:ascii="Arial" w:hAnsi="Arial" w:cs="Arial"/>
          <w:highlight w:val="yellow"/>
          <w:lang w:val="en-GB"/>
        </w:rPr>
        <w:t>0</w:t>
      </w:r>
      <w:r w:rsidRPr="00831792">
        <w:rPr>
          <w:rFonts w:ascii="Arial" w:hAnsi="Arial" w:cs="Arial"/>
          <w:lang w:val="en-GB"/>
        </w:rPr>
        <w:t xml:space="preserve">) from that of the reference fungicide based on mancozeb, whose efficacy against tomato late blight had already been demonstrated </w:t>
      </w:r>
      <w:r w:rsidRPr="006651C5">
        <w:rPr>
          <w:rFonts w:ascii="Arial" w:hAnsi="Arial" w:cs="Arial"/>
          <w:i/>
          <w:iCs/>
          <w:highlight w:val="yellow"/>
          <w:lang w:val="en-GB"/>
        </w:rPr>
        <w:t>in vivo</w:t>
      </w:r>
      <w:r w:rsidRPr="00831792">
        <w:rPr>
          <w:rFonts w:ascii="Arial" w:hAnsi="Arial" w:cs="Arial"/>
          <w:lang w:val="en-GB"/>
        </w:rPr>
        <w:t xml:space="preserve"> in a previous study (</w:t>
      </w:r>
      <w:proofErr w:type="spellStart"/>
      <w:r w:rsidRPr="00831792">
        <w:rPr>
          <w:rFonts w:ascii="Arial" w:hAnsi="Arial" w:cs="Arial"/>
          <w:lang w:val="en-GB"/>
        </w:rPr>
        <w:t>Djeugap</w:t>
      </w:r>
      <w:proofErr w:type="spellEnd"/>
      <w:r w:rsidRPr="00831792">
        <w:rPr>
          <w:rFonts w:ascii="Arial" w:hAnsi="Arial" w:cs="Arial"/>
          <w:lang w:val="en-GB"/>
        </w:rPr>
        <w:t xml:space="preserve"> </w:t>
      </w:r>
      <w:r w:rsidRPr="00831792">
        <w:rPr>
          <w:rFonts w:ascii="Arial" w:hAnsi="Arial" w:cs="Arial"/>
          <w:i/>
          <w:iCs/>
          <w:lang w:val="en-GB"/>
        </w:rPr>
        <w:t>et al</w:t>
      </w:r>
      <w:r w:rsidRPr="00831792">
        <w:rPr>
          <w:rFonts w:ascii="Arial" w:hAnsi="Arial" w:cs="Arial"/>
          <w:lang w:val="en-GB"/>
        </w:rPr>
        <w:t>. 2011).</w:t>
      </w:r>
      <w:r w:rsidR="001204B3">
        <w:rPr>
          <w:rFonts w:ascii="Arial" w:hAnsi="Arial" w:cs="Arial"/>
          <w:lang w:val="en-GB"/>
        </w:rPr>
        <w:t xml:space="preserve"> </w:t>
      </w:r>
      <w:r w:rsidR="001204B3" w:rsidRPr="001204B3">
        <w:rPr>
          <w:rFonts w:ascii="Arial" w:hAnsi="Arial" w:cs="Arial"/>
          <w:highlight w:val="yellow"/>
          <w:lang w:val="en-GB"/>
        </w:rPr>
        <w:t xml:space="preserve">Furthermore, a study by </w:t>
      </w:r>
      <w:proofErr w:type="spellStart"/>
      <w:r w:rsidR="001204B3" w:rsidRPr="001204B3">
        <w:rPr>
          <w:rFonts w:ascii="Arial" w:hAnsi="Arial" w:cs="Arial"/>
          <w:highlight w:val="yellow"/>
          <w:lang w:val="en-GB"/>
        </w:rPr>
        <w:t>Gadji</w:t>
      </w:r>
      <w:proofErr w:type="spellEnd"/>
      <w:r w:rsidR="001204B3" w:rsidRPr="001204B3">
        <w:rPr>
          <w:rFonts w:ascii="Arial" w:hAnsi="Arial" w:cs="Arial"/>
          <w:highlight w:val="yellow"/>
          <w:lang w:val="en-GB"/>
        </w:rPr>
        <w:t xml:space="preserve"> </w:t>
      </w:r>
      <w:r w:rsidR="001204B3" w:rsidRPr="001204B3">
        <w:rPr>
          <w:rFonts w:ascii="Arial" w:hAnsi="Arial" w:cs="Arial"/>
          <w:i/>
          <w:iCs/>
          <w:highlight w:val="yellow"/>
          <w:lang w:val="en-GB"/>
        </w:rPr>
        <w:t>et al</w:t>
      </w:r>
      <w:r w:rsidR="001204B3" w:rsidRPr="001204B3">
        <w:rPr>
          <w:rFonts w:ascii="Arial" w:hAnsi="Arial" w:cs="Arial"/>
          <w:highlight w:val="yellow"/>
          <w:lang w:val="en-GB"/>
        </w:rPr>
        <w:t xml:space="preserve">. (2024) conducted under high tunnels fitted with insect netting demonstrated the antifungal properties of an aqueous garlic extract against </w:t>
      </w:r>
      <w:r w:rsidR="001204B3" w:rsidRPr="00C24097">
        <w:rPr>
          <w:rFonts w:ascii="Arial" w:hAnsi="Arial" w:cs="Arial"/>
          <w:i/>
          <w:iCs/>
          <w:highlight w:val="yellow"/>
          <w:lang w:val="en-GB"/>
        </w:rPr>
        <w:t>Phytophthora infestans</w:t>
      </w:r>
      <w:r w:rsidR="001204B3" w:rsidRPr="001204B3">
        <w:rPr>
          <w:rFonts w:ascii="Arial" w:hAnsi="Arial" w:cs="Arial"/>
          <w:highlight w:val="yellow"/>
          <w:lang w:val="en-GB"/>
        </w:rPr>
        <w:t>, the parasite responsible for late blight in tomato crops.</w:t>
      </w:r>
    </w:p>
    <w:p w14:paraId="51B1478F" w14:textId="77777777" w:rsidR="0076786A" w:rsidRPr="00831792" w:rsidRDefault="0076786A" w:rsidP="00831792">
      <w:pPr>
        <w:jc w:val="both"/>
        <w:rPr>
          <w:rFonts w:ascii="Arial" w:hAnsi="Arial" w:cs="Arial"/>
          <w:lang w:val="en-GB"/>
        </w:rPr>
      </w:pPr>
    </w:p>
    <w:p w14:paraId="05142821" w14:textId="77777777" w:rsidR="00CD22E2" w:rsidRPr="00CD22E2" w:rsidRDefault="00831792" w:rsidP="00CD22E2">
      <w:pPr>
        <w:jc w:val="both"/>
        <w:rPr>
          <w:rFonts w:ascii="Arial" w:hAnsi="Arial" w:cs="Arial"/>
          <w:lang w:val="en-GB"/>
        </w:rPr>
      </w:pPr>
      <w:r w:rsidRPr="00831792">
        <w:rPr>
          <w:rFonts w:ascii="Arial" w:hAnsi="Arial" w:cs="Arial"/>
          <w:lang w:val="en-GB"/>
        </w:rPr>
        <w:t xml:space="preserve">This study also shows that the levels of resistance or susceptibility of </w:t>
      </w:r>
      <w:r w:rsidRPr="00831792">
        <w:rPr>
          <w:rFonts w:ascii="Arial" w:hAnsi="Arial" w:cs="Arial"/>
          <w:i/>
          <w:iCs/>
          <w:lang w:val="en-GB"/>
        </w:rPr>
        <w:t xml:space="preserve">L. </w:t>
      </w:r>
      <w:proofErr w:type="spellStart"/>
      <w:r w:rsidRPr="00831792">
        <w:rPr>
          <w:rFonts w:ascii="Arial" w:hAnsi="Arial" w:cs="Arial"/>
          <w:i/>
          <w:iCs/>
          <w:lang w:val="en-GB"/>
        </w:rPr>
        <w:t>theobromae</w:t>
      </w:r>
      <w:proofErr w:type="spellEnd"/>
      <w:r w:rsidRPr="00831792">
        <w:rPr>
          <w:rFonts w:ascii="Arial" w:hAnsi="Arial" w:cs="Arial"/>
          <w:lang w:val="en-GB"/>
        </w:rPr>
        <w:t xml:space="preserve"> vary according to the concentrations of each biopesticide. High concentrations of biopesticides induced high rates of inhibition of the pathogen's mycelium growth. A study by </w:t>
      </w:r>
      <w:proofErr w:type="spellStart"/>
      <w:r w:rsidRPr="00831792">
        <w:rPr>
          <w:rFonts w:ascii="Arial" w:hAnsi="Arial" w:cs="Arial"/>
          <w:lang w:val="en-GB"/>
        </w:rPr>
        <w:t>Gadji</w:t>
      </w:r>
      <w:proofErr w:type="spellEnd"/>
      <w:r w:rsidRPr="00831792">
        <w:rPr>
          <w:rFonts w:ascii="Arial" w:hAnsi="Arial" w:cs="Arial"/>
          <w:lang w:val="en-GB"/>
        </w:rPr>
        <w:t xml:space="preserve"> </w:t>
      </w:r>
      <w:r w:rsidRPr="00831792">
        <w:rPr>
          <w:rFonts w:ascii="Arial" w:hAnsi="Arial" w:cs="Arial"/>
          <w:i/>
          <w:iCs/>
          <w:lang w:val="en-GB"/>
        </w:rPr>
        <w:t>et al</w:t>
      </w:r>
      <w:r w:rsidRPr="00831792">
        <w:rPr>
          <w:rFonts w:ascii="Arial" w:hAnsi="Arial" w:cs="Arial"/>
          <w:lang w:val="en-GB"/>
        </w:rPr>
        <w:t xml:space="preserve">. (2015) highlighted the fungistatic effect of the biopesticide based on </w:t>
      </w:r>
      <w:r w:rsidRPr="00831792">
        <w:rPr>
          <w:rFonts w:ascii="Arial" w:hAnsi="Arial" w:cs="Arial"/>
          <w:i/>
          <w:iCs/>
          <w:lang w:val="en-GB"/>
        </w:rPr>
        <w:t>Bacillus thuringiensis</w:t>
      </w:r>
      <w:r w:rsidRPr="00831792">
        <w:rPr>
          <w:rFonts w:ascii="Arial" w:hAnsi="Arial" w:cs="Arial"/>
          <w:lang w:val="en-GB"/>
        </w:rPr>
        <w:t xml:space="preserve"> var. </w:t>
      </w:r>
      <w:proofErr w:type="spellStart"/>
      <w:r w:rsidRPr="00831792">
        <w:rPr>
          <w:rFonts w:ascii="Arial" w:hAnsi="Arial" w:cs="Arial"/>
          <w:i/>
          <w:iCs/>
          <w:lang w:val="en-GB"/>
        </w:rPr>
        <w:t>Kurstak</w:t>
      </w:r>
      <w:r w:rsidRPr="00831792">
        <w:rPr>
          <w:rFonts w:ascii="Arial" w:hAnsi="Arial" w:cs="Arial"/>
          <w:lang w:val="en-GB"/>
        </w:rPr>
        <w:t>i</w:t>
      </w:r>
      <w:proofErr w:type="spellEnd"/>
      <w:r w:rsidRPr="00831792">
        <w:rPr>
          <w:rFonts w:ascii="Arial" w:hAnsi="Arial" w:cs="Arial"/>
          <w:lang w:val="en-GB"/>
        </w:rPr>
        <w:t xml:space="preserve"> HD-1 (</w:t>
      </w:r>
      <w:proofErr w:type="spellStart"/>
      <w:r w:rsidRPr="00831792">
        <w:rPr>
          <w:rFonts w:ascii="Arial" w:hAnsi="Arial" w:cs="Arial"/>
          <w:i/>
          <w:iCs/>
          <w:lang w:val="en-GB"/>
        </w:rPr>
        <w:t>Btk</w:t>
      </w:r>
      <w:proofErr w:type="spellEnd"/>
      <w:r w:rsidRPr="00831792">
        <w:rPr>
          <w:rFonts w:ascii="Arial" w:hAnsi="Arial" w:cs="Arial"/>
          <w:lang w:val="en-GB"/>
        </w:rPr>
        <w:t xml:space="preserve"> HD-1) versus </w:t>
      </w:r>
      <w:r w:rsidRPr="00831792">
        <w:rPr>
          <w:rFonts w:ascii="Arial" w:hAnsi="Arial" w:cs="Arial"/>
          <w:i/>
          <w:iCs/>
          <w:lang w:val="en-GB"/>
        </w:rPr>
        <w:t xml:space="preserve">P. </w:t>
      </w:r>
      <w:proofErr w:type="spellStart"/>
      <w:r w:rsidRPr="00831792">
        <w:rPr>
          <w:rFonts w:ascii="Arial" w:hAnsi="Arial" w:cs="Arial"/>
          <w:i/>
          <w:iCs/>
          <w:lang w:val="en-GB"/>
        </w:rPr>
        <w:t>palmivora</w:t>
      </w:r>
      <w:proofErr w:type="spellEnd"/>
      <w:r w:rsidRPr="00831792">
        <w:rPr>
          <w:rFonts w:ascii="Arial" w:hAnsi="Arial" w:cs="Arial"/>
          <w:lang w:val="en-GB"/>
        </w:rPr>
        <w:t xml:space="preserve">. The mycelium growth inhibition rate obtained with a 25% concentration of </w:t>
      </w:r>
      <w:proofErr w:type="spellStart"/>
      <w:r w:rsidRPr="003D178F">
        <w:rPr>
          <w:rFonts w:ascii="Arial" w:hAnsi="Arial" w:cs="Arial"/>
          <w:i/>
          <w:iCs/>
          <w:lang w:val="en-GB"/>
        </w:rPr>
        <w:t>Btk</w:t>
      </w:r>
      <w:proofErr w:type="spellEnd"/>
      <w:r w:rsidRPr="003D178F">
        <w:rPr>
          <w:rFonts w:ascii="Arial" w:hAnsi="Arial" w:cs="Arial"/>
          <w:i/>
          <w:iCs/>
          <w:lang w:val="en-GB"/>
        </w:rPr>
        <w:t xml:space="preserve"> </w:t>
      </w:r>
      <w:r w:rsidRPr="00831792">
        <w:rPr>
          <w:rFonts w:ascii="Arial" w:hAnsi="Arial" w:cs="Arial"/>
          <w:lang w:val="en-GB"/>
        </w:rPr>
        <w:t xml:space="preserve">HD-1 was </w:t>
      </w:r>
      <w:r w:rsidR="003D178F" w:rsidRPr="003D178F">
        <w:rPr>
          <w:rFonts w:ascii="Arial" w:hAnsi="Arial" w:cs="Arial"/>
          <w:highlight w:val="yellow"/>
          <w:lang w:val="en-GB"/>
        </w:rPr>
        <w:t>74</w:t>
      </w:r>
      <w:r w:rsidRPr="003D178F">
        <w:rPr>
          <w:rFonts w:ascii="Arial" w:hAnsi="Arial" w:cs="Arial"/>
          <w:highlight w:val="yellow"/>
          <w:lang w:val="en-GB"/>
        </w:rPr>
        <w:t>.</w:t>
      </w:r>
      <w:r w:rsidR="003D178F" w:rsidRPr="003D178F">
        <w:rPr>
          <w:rFonts w:ascii="Arial" w:hAnsi="Arial" w:cs="Arial"/>
          <w:highlight w:val="yellow"/>
          <w:lang w:val="en-GB"/>
        </w:rPr>
        <w:t>82</w:t>
      </w:r>
      <w:r w:rsidRPr="003D178F">
        <w:rPr>
          <w:rFonts w:ascii="Arial" w:hAnsi="Arial" w:cs="Arial"/>
          <w:highlight w:val="yellow"/>
          <w:lang w:val="en-GB"/>
        </w:rPr>
        <w:t>%</w:t>
      </w:r>
      <w:r w:rsidRPr="00831792">
        <w:rPr>
          <w:rFonts w:ascii="Arial" w:hAnsi="Arial" w:cs="Arial"/>
          <w:lang w:val="en-GB"/>
        </w:rPr>
        <w:t xml:space="preserve">, while it was 49.2% with a 20% concentration in this study. </w:t>
      </w:r>
      <w:r w:rsidR="00CD22E2" w:rsidRPr="00CD22E2">
        <w:rPr>
          <w:rFonts w:ascii="Arial" w:hAnsi="Arial" w:cs="Arial"/>
          <w:highlight w:val="yellow"/>
          <w:lang w:val="en-GB"/>
        </w:rPr>
        <w:t xml:space="preserve">The results obtained in this study using the </w:t>
      </w:r>
      <w:proofErr w:type="spellStart"/>
      <w:r w:rsidR="00CD22E2" w:rsidRPr="00CD22E2">
        <w:rPr>
          <w:rFonts w:ascii="Arial" w:hAnsi="Arial" w:cs="Arial"/>
          <w:i/>
          <w:iCs/>
          <w:highlight w:val="yellow"/>
          <w:lang w:val="en-GB"/>
        </w:rPr>
        <w:t>Btk</w:t>
      </w:r>
      <w:proofErr w:type="spellEnd"/>
      <w:r w:rsidR="00CD22E2" w:rsidRPr="00CD22E2">
        <w:rPr>
          <w:rFonts w:ascii="Arial" w:hAnsi="Arial" w:cs="Arial"/>
          <w:highlight w:val="yellow"/>
          <w:lang w:val="en-GB"/>
        </w:rPr>
        <w:t xml:space="preserve"> HD-1-based biopesticide are comparable to those reported by </w:t>
      </w:r>
      <w:proofErr w:type="spellStart"/>
      <w:r w:rsidR="00CD22E2" w:rsidRPr="00CD22E2">
        <w:rPr>
          <w:rFonts w:ascii="Arial" w:hAnsi="Arial" w:cs="Arial"/>
          <w:highlight w:val="yellow"/>
          <w:lang w:val="en-GB"/>
        </w:rPr>
        <w:t>Kefi</w:t>
      </w:r>
      <w:proofErr w:type="spellEnd"/>
      <w:r w:rsidR="00CD22E2" w:rsidRPr="00CD22E2">
        <w:rPr>
          <w:rFonts w:ascii="Arial" w:hAnsi="Arial" w:cs="Arial"/>
          <w:highlight w:val="yellow"/>
          <w:lang w:val="en-GB"/>
        </w:rPr>
        <w:t xml:space="preserve"> </w:t>
      </w:r>
      <w:r w:rsidR="00CD22E2" w:rsidRPr="00CD22E2">
        <w:rPr>
          <w:rFonts w:ascii="Arial" w:hAnsi="Arial" w:cs="Arial"/>
          <w:i/>
          <w:iCs/>
          <w:highlight w:val="yellow"/>
          <w:lang w:val="en-GB"/>
        </w:rPr>
        <w:t>et al</w:t>
      </w:r>
      <w:r w:rsidR="00CD22E2" w:rsidRPr="00CD22E2">
        <w:rPr>
          <w:rFonts w:ascii="Arial" w:hAnsi="Arial" w:cs="Arial"/>
          <w:highlight w:val="yellow"/>
          <w:lang w:val="en-GB"/>
        </w:rPr>
        <w:t xml:space="preserve">. (2015). These authors demonstrated that </w:t>
      </w:r>
      <w:r w:rsidR="00CD22E2" w:rsidRPr="00CD22E2">
        <w:rPr>
          <w:rFonts w:ascii="Arial" w:hAnsi="Arial" w:cs="Arial"/>
          <w:i/>
          <w:iCs/>
          <w:highlight w:val="yellow"/>
          <w:lang w:val="en-GB"/>
        </w:rPr>
        <w:t>Bacillus</w:t>
      </w:r>
      <w:r w:rsidR="00CD22E2" w:rsidRPr="00CD22E2">
        <w:rPr>
          <w:rFonts w:ascii="Arial" w:hAnsi="Arial" w:cs="Arial"/>
          <w:highlight w:val="yellow"/>
          <w:lang w:val="en-GB"/>
        </w:rPr>
        <w:t xml:space="preserve"> strains isolated from tomato plants can inhibit the growth of </w:t>
      </w:r>
      <w:r w:rsidR="00CD22E2" w:rsidRPr="00CD22E2">
        <w:rPr>
          <w:rFonts w:ascii="Arial" w:hAnsi="Arial" w:cs="Arial"/>
          <w:i/>
          <w:iCs/>
          <w:highlight w:val="yellow"/>
          <w:lang w:val="en-GB"/>
        </w:rPr>
        <w:t>Botrytis cinerea</w:t>
      </w:r>
      <w:r w:rsidR="00CD22E2" w:rsidRPr="00CD22E2">
        <w:rPr>
          <w:rFonts w:ascii="Arial" w:hAnsi="Arial" w:cs="Arial"/>
          <w:highlight w:val="yellow"/>
          <w:lang w:val="en-GB"/>
        </w:rPr>
        <w:t xml:space="preserve">, with inhibition rates ranging from 27% to 50%. They indicated that this antifungal activity is due to lipopeptides and a heterogeneous mixture of antibiotics (e.g. </w:t>
      </w:r>
      <w:proofErr w:type="spellStart"/>
      <w:r w:rsidR="00CD22E2" w:rsidRPr="00CD22E2">
        <w:rPr>
          <w:rFonts w:ascii="Arial" w:hAnsi="Arial" w:cs="Arial"/>
          <w:highlight w:val="yellow"/>
          <w:lang w:val="en-GB"/>
        </w:rPr>
        <w:t>fengycin</w:t>
      </w:r>
      <w:proofErr w:type="spellEnd"/>
      <w:r w:rsidR="00CD22E2" w:rsidRPr="00CD22E2">
        <w:rPr>
          <w:rFonts w:ascii="Arial" w:hAnsi="Arial" w:cs="Arial"/>
          <w:highlight w:val="yellow"/>
          <w:lang w:val="en-GB"/>
        </w:rPr>
        <w:t xml:space="preserve">, </w:t>
      </w:r>
      <w:proofErr w:type="spellStart"/>
      <w:r w:rsidR="00CD22E2" w:rsidRPr="00CD22E2">
        <w:rPr>
          <w:rFonts w:ascii="Arial" w:hAnsi="Arial" w:cs="Arial"/>
          <w:highlight w:val="yellow"/>
          <w:lang w:val="en-GB"/>
        </w:rPr>
        <w:lastRenderedPageBreak/>
        <w:t>surfactin</w:t>
      </w:r>
      <w:proofErr w:type="spellEnd"/>
      <w:r w:rsidR="00CD22E2" w:rsidRPr="00CD22E2">
        <w:rPr>
          <w:rFonts w:ascii="Arial" w:hAnsi="Arial" w:cs="Arial"/>
          <w:highlight w:val="yellow"/>
          <w:lang w:val="en-GB"/>
        </w:rPr>
        <w:t xml:space="preserve">, </w:t>
      </w:r>
      <w:proofErr w:type="spellStart"/>
      <w:r w:rsidR="00CD22E2" w:rsidRPr="00CD22E2">
        <w:rPr>
          <w:rFonts w:ascii="Arial" w:hAnsi="Arial" w:cs="Arial"/>
          <w:highlight w:val="yellow"/>
          <w:lang w:val="en-GB"/>
        </w:rPr>
        <w:t>iturin</w:t>
      </w:r>
      <w:proofErr w:type="spellEnd"/>
      <w:r w:rsidR="00CD22E2" w:rsidRPr="00CD22E2">
        <w:rPr>
          <w:rFonts w:ascii="Arial" w:hAnsi="Arial" w:cs="Arial"/>
          <w:highlight w:val="yellow"/>
          <w:lang w:val="en-GB"/>
        </w:rPr>
        <w:t xml:space="preserve"> and </w:t>
      </w:r>
      <w:proofErr w:type="spellStart"/>
      <w:r w:rsidR="00CD22E2" w:rsidRPr="00CD22E2">
        <w:rPr>
          <w:rFonts w:ascii="Arial" w:hAnsi="Arial" w:cs="Arial"/>
          <w:highlight w:val="yellow"/>
          <w:lang w:val="en-GB"/>
        </w:rPr>
        <w:t>bacillomycin</w:t>
      </w:r>
      <w:proofErr w:type="spellEnd"/>
      <w:r w:rsidR="00CD22E2" w:rsidRPr="00CD22E2">
        <w:rPr>
          <w:rFonts w:ascii="Arial" w:hAnsi="Arial" w:cs="Arial"/>
          <w:highlight w:val="yellow"/>
          <w:lang w:val="en-GB"/>
        </w:rPr>
        <w:t xml:space="preserve">) produced by </w:t>
      </w:r>
      <w:r w:rsidR="00CD22E2" w:rsidRPr="00CD22E2">
        <w:rPr>
          <w:rFonts w:ascii="Arial" w:hAnsi="Arial" w:cs="Arial"/>
          <w:i/>
          <w:iCs/>
          <w:highlight w:val="yellow"/>
          <w:lang w:val="en-GB"/>
        </w:rPr>
        <w:t>Bacillus</w:t>
      </w:r>
      <w:r w:rsidR="00CD22E2" w:rsidRPr="00CD22E2">
        <w:rPr>
          <w:rFonts w:ascii="Arial" w:hAnsi="Arial" w:cs="Arial"/>
          <w:highlight w:val="yellow"/>
          <w:lang w:val="en-GB"/>
        </w:rPr>
        <w:t xml:space="preserve"> sp. This makes this bacterium a potential biocontrol agent capable of reducing the disease severity.</w:t>
      </w:r>
    </w:p>
    <w:p w14:paraId="4BDE073C" w14:textId="37DD5692" w:rsidR="00831792" w:rsidRPr="00831792" w:rsidRDefault="00831792" w:rsidP="00831792">
      <w:pPr>
        <w:jc w:val="both"/>
        <w:rPr>
          <w:rFonts w:ascii="Arial" w:hAnsi="Arial" w:cs="Arial"/>
          <w:lang w:val="en-GB"/>
        </w:rPr>
      </w:pPr>
      <w:r w:rsidRPr="00831792">
        <w:rPr>
          <w:rFonts w:ascii="Arial" w:hAnsi="Arial" w:cs="Arial"/>
          <w:lang w:val="en-GB"/>
        </w:rPr>
        <w:t>Regarding neem (</w:t>
      </w:r>
      <w:proofErr w:type="spellStart"/>
      <w:r w:rsidRPr="00831792">
        <w:rPr>
          <w:rFonts w:ascii="Arial" w:hAnsi="Arial" w:cs="Arial"/>
          <w:i/>
          <w:iCs/>
          <w:lang w:val="en-GB"/>
        </w:rPr>
        <w:t>Azadirachta</w:t>
      </w:r>
      <w:proofErr w:type="spellEnd"/>
      <w:r w:rsidRPr="00831792">
        <w:rPr>
          <w:rFonts w:ascii="Arial" w:hAnsi="Arial" w:cs="Arial"/>
          <w:i/>
          <w:iCs/>
          <w:lang w:val="en-GB"/>
        </w:rPr>
        <w:t xml:space="preserve"> </w:t>
      </w:r>
      <w:proofErr w:type="spellStart"/>
      <w:r w:rsidRPr="00831792">
        <w:rPr>
          <w:rFonts w:ascii="Arial" w:hAnsi="Arial" w:cs="Arial"/>
          <w:i/>
          <w:iCs/>
          <w:lang w:val="en-GB"/>
        </w:rPr>
        <w:t>indica</w:t>
      </w:r>
      <w:proofErr w:type="spellEnd"/>
      <w:r w:rsidRPr="00831792">
        <w:rPr>
          <w:rFonts w:ascii="Arial" w:hAnsi="Arial" w:cs="Arial"/>
          <w:lang w:val="en-GB"/>
        </w:rPr>
        <w:t xml:space="preserve">) and </w:t>
      </w:r>
      <w:proofErr w:type="spellStart"/>
      <w:r w:rsidRPr="00831792">
        <w:rPr>
          <w:rFonts w:ascii="Arial" w:hAnsi="Arial" w:cs="Arial"/>
          <w:lang w:val="en-GB"/>
        </w:rPr>
        <w:t>carapa</w:t>
      </w:r>
      <w:proofErr w:type="spellEnd"/>
      <w:r w:rsidRPr="00831792">
        <w:rPr>
          <w:rFonts w:ascii="Arial" w:hAnsi="Arial" w:cs="Arial"/>
          <w:lang w:val="en-GB"/>
        </w:rPr>
        <w:t xml:space="preserve"> (</w:t>
      </w:r>
      <w:proofErr w:type="spellStart"/>
      <w:r w:rsidRPr="00831792">
        <w:rPr>
          <w:rFonts w:ascii="Arial" w:hAnsi="Arial" w:cs="Arial"/>
          <w:i/>
          <w:iCs/>
          <w:lang w:val="en-GB"/>
        </w:rPr>
        <w:t>Carapa</w:t>
      </w:r>
      <w:proofErr w:type="spellEnd"/>
      <w:r w:rsidRPr="00831792">
        <w:rPr>
          <w:rFonts w:ascii="Arial" w:hAnsi="Arial" w:cs="Arial"/>
          <w:i/>
          <w:iCs/>
          <w:lang w:val="en-GB"/>
        </w:rPr>
        <w:t xml:space="preserve"> </w:t>
      </w:r>
      <w:proofErr w:type="spellStart"/>
      <w:r w:rsidRPr="00831792">
        <w:rPr>
          <w:rFonts w:ascii="Arial" w:hAnsi="Arial" w:cs="Arial"/>
          <w:i/>
          <w:iCs/>
          <w:lang w:val="en-GB"/>
        </w:rPr>
        <w:t>procera</w:t>
      </w:r>
      <w:proofErr w:type="spellEnd"/>
      <w:r w:rsidRPr="00831792">
        <w:rPr>
          <w:rFonts w:ascii="Arial" w:hAnsi="Arial" w:cs="Arial"/>
          <w:lang w:val="en-GB"/>
        </w:rPr>
        <w:t xml:space="preserve">) oils, studies have shown that these oils contain substances with antifungal activity against certain fungi (Torres </w:t>
      </w:r>
      <w:r w:rsidRPr="00831792">
        <w:rPr>
          <w:rFonts w:ascii="Arial" w:hAnsi="Arial" w:cs="Arial"/>
          <w:i/>
          <w:iCs/>
          <w:lang w:val="en-GB"/>
        </w:rPr>
        <w:t>et al</w:t>
      </w:r>
      <w:r w:rsidRPr="00831792">
        <w:rPr>
          <w:rFonts w:ascii="Arial" w:hAnsi="Arial" w:cs="Arial"/>
          <w:lang w:val="en-GB"/>
        </w:rPr>
        <w:t>. 2020). The very high antifungal effect of mancozeb, the active ingredient in the reference chemical fungicide, compared to that of the biopesticides used, could be explained by the fact that synthetic chemical fungicides have isolated pure molecules whose concentrations and active principle are well known. This is no</w:t>
      </w:r>
      <w:bookmarkStart w:id="2" w:name="_GoBack"/>
      <w:bookmarkEnd w:id="2"/>
      <w:r w:rsidRPr="00831792">
        <w:rPr>
          <w:rFonts w:ascii="Arial" w:hAnsi="Arial" w:cs="Arial"/>
          <w:lang w:val="en-GB"/>
        </w:rPr>
        <w:t xml:space="preserve">t the case for biological pesticides. This hypothesis is supported by </w:t>
      </w:r>
      <w:proofErr w:type="spellStart"/>
      <w:r w:rsidRPr="00831792">
        <w:rPr>
          <w:rFonts w:ascii="Arial" w:hAnsi="Arial" w:cs="Arial"/>
          <w:lang w:val="en-GB"/>
        </w:rPr>
        <w:t>Tsopmbeng</w:t>
      </w:r>
      <w:proofErr w:type="spellEnd"/>
      <w:r w:rsidRPr="00831792">
        <w:rPr>
          <w:rFonts w:ascii="Arial" w:hAnsi="Arial" w:cs="Arial"/>
          <w:lang w:val="en-GB"/>
        </w:rPr>
        <w:t xml:space="preserve"> </w:t>
      </w:r>
      <w:r w:rsidRPr="00831792">
        <w:rPr>
          <w:rFonts w:ascii="Arial" w:hAnsi="Arial" w:cs="Arial"/>
          <w:i/>
          <w:iCs/>
          <w:lang w:val="en-GB"/>
        </w:rPr>
        <w:t>et al.</w:t>
      </w:r>
      <w:r w:rsidRPr="00831792">
        <w:rPr>
          <w:rFonts w:ascii="Arial" w:hAnsi="Arial" w:cs="Arial"/>
          <w:lang w:val="en-GB"/>
        </w:rPr>
        <w:t xml:space="preserve"> (2014) who state that crude extracts contain a large number of different compounds that do not necessarily have antifungal functions. In contrast, synthetic fungicides contain optimal quantities of antifungal compounds that can effectively combat phytopathogenic agents. These results reveal a significant fungicidal and/or fungistatic effect of the concentrations used in reducing mycelial growth. Indeed, according to </w:t>
      </w:r>
      <w:proofErr w:type="spellStart"/>
      <w:r w:rsidRPr="00831792">
        <w:rPr>
          <w:rFonts w:ascii="Arial" w:hAnsi="Arial" w:cs="Arial"/>
          <w:lang w:val="en-GB"/>
        </w:rPr>
        <w:t>Djeugap</w:t>
      </w:r>
      <w:proofErr w:type="spellEnd"/>
      <w:r w:rsidRPr="00831792">
        <w:rPr>
          <w:rFonts w:ascii="Arial" w:hAnsi="Arial" w:cs="Arial"/>
          <w:lang w:val="en-GB"/>
        </w:rPr>
        <w:t xml:space="preserve"> </w:t>
      </w:r>
      <w:r w:rsidRPr="00831792">
        <w:rPr>
          <w:rFonts w:ascii="Arial" w:hAnsi="Arial" w:cs="Arial"/>
          <w:i/>
          <w:iCs/>
          <w:lang w:val="en-GB"/>
        </w:rPr>
        <w:t>et al</w:t>
      </w:r>
      <w:r w:rsidRPr="00831792">
        <w:rPr>
          <w:rFonts w:ascii="Arial" w:hAnsi="Arial" w:cs="Arial"/>
          <w:lang w:val="en-GB"/>
        </w:rPr>
        <w:t>. (2011), essential oils exhibit fungistatic and fungicidal activity against fungi.</w:t>
      </w:r>
    </w:p>
    <w:bookmarkEnd w:id="1"/>
    <w:p w14:paraId="11006EC9" w14:textId="77777777" w:rsidR="00831792" w:rsidRPr="00FB3A86" w:rsidRDefault="00831792" w:rsidP="00441B6F">
      <w:pPr>
        <w:pStyle w:val="Body"/>
        <w:spacing w:after="0"/>
        <w:rPr>
          <w:rFonts w:ascii="Arial" w:hAnsi="Arial" w:cs="Arial"/>
        </w:rPr>
      </w:pPr>
    </w:p>
    <w:p w14:paraId="4F76374E" w14:textId="22B7FF4E" w:rsidR="00B01FCD" w:rsidRDefault="00831792"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053496DD" w14:textId="77777777" w:rsidR="00790ADA" w:rsidRPr="00831792" w:rsidRDefault="00790ADA" w:rsidP="00441B6F">
      <w:pPr>
        <w:pStyle w:val="ConcHead"/>
        <w:spacing w:after="0"/>
        <w:jc w:val="both"/>
        <w:rPr>
          <w:rFonts w:ascii="Arial" w:hAnsi="Arial" w:cs="Arial"/>
          <w:sz w:val="20"/>
        </w:rPr>
      </w:pPr>
    </w:p>
    <w:p w14:paraId="1DE0D995" w14:textId="77777777" w:rsidR="00831792" w:rsidRPr="00831792" w:rsidRDefault="00831792" w:rsidP="00831792">
      <w:pPr>
        <w:jc w:val="both"/>
        <w:rPr>
          <w:rFonts w:ascii="Arial" w:hAnsi="Arial" w:cs="Arial"/>
          <w:bCs/>
          <w:lang w:val="en-GB"/>
        </w:rPr>
      </w:pPr>
      <w:r w:rsidRPr="00831792">
        <w:rPr>
          <w:rFonts w:ascii="Arial" w:hAnsi="Arial" w:cs="Arial"/>
          <w:bCs/>
          <w:lang w:val="en-GB"/>
        </w:rPr>
        <w:t xml:space="preserve">This study identified the pathogen associated with dry rot in tomato crops and screened in vitro biopesticides with antifungal activity against the mycelial growth of this pathogenic fungus, </w:t>
      </w:r>
      <w:r w:rsidRPr="00831792">
        <w:rPr>
          <w:rFonts w:ascii="Arial" w:hAnsi="Arial" w:cs="Arial"/>
          <w:bCs/>
          <w:i/>
          <w:lang w:val="en-GB"/>
        </w:rPr>
        <w:t xml:space="preserve">L. </w:t>
      </w:r>
      <w:proofErr w:type="spellStart"/>
      <w:r w:rsidRPr="00831792">
        <w:rPr>
          <w:rFonts w:ascii="Arial" w:hAnsi="Arial" w:cs="Arial"/>
          <w:bCs/>
          <w:i/>
          <w:lang w:val="en-GB"/>
        </w:rPr>
        <w:t>theobromae</w:t>
      </w:r>
      <w:proofErr w:type="spellEnd"/>
      <w:r w:rsidRPr="00831792">
        <w:rPr>
          <w:rFonts w:ascii="Arial" w:hAnsi="Arial" w:cs="Arial"/>
          <w:bCs/>
          <w:lang w:val="en-GB"/>
        </w:rPr>
        <w:t xml:space="preserve">. The biopesticide based on an aqueous garlic extract at a concentration of 0.2 g/L and the reference fungicide based on mancozeb (TC) at a concentration of 5 g/L were able to control </w:t>
      </w:r>
      <w:r w:rsidRPr="00831792">
        <w:rPr>
          <w:rFonts w:ascii="Arial" w:hAnsi="Arial" w:cs="Arial"/>
          <w:bCs/>
          <w:i/>
          <w:lang w:val="en-GB"/>
        </w:rPr>
        <w:t xml:space="preserve">L. </w:t>
      </w:r>
      <w:proofErr w:type="spellStart"/>
      <w:r w:rsidRPr="00831792">
        <w:rPr>
          <w:rFonts w:ascii="Arial" w:hAnsi="Arial" w:cs="Arial"/>
          <w:bCs/>
          <w:i/>
          <w:lang w:val="en-GB"/>
        </w:rPr>
        <w:t>theobromae</w:t>
      </w:r>
      <w:proofErr w:type="spellEnd"/>
      <w:r w:rsidRPr="00831792">
        <w:rPr>
          <w:rFonts w:ascii="Arial" w:hAnsi="Arial" w:cs="Arial"/>
          <w:bCs/>
          <w:lang w:val="en-GB"/>
        </w:rPr>
        <w:t xml:space="preserve"> in vitro. This suggests a promising future for managing this pathogen in vegetable crops. Field trials will confirm the efficacy of the aqueous garlic extract against this pathogen.</w:t>
      </w:r>
    </w:p>
    <w:p w14:paraId="248D43DE" w14:textId="77777777" w:rsidR="003D4378" w:rsidRDefault="003D4378" w:rsidP="003D4378">
      <w:pPr>
        <w:rPr>
          <w:rFonts w:ascii="Calibri" w:eastAsia="Calibri" w:hAnsi="Calibri"/>
          <w:kern w:val="2"/>
        </w:rPr>
      </w:pPr>
      <w:bookmarkStart w:id="3" w:name="_Hlk192511329"/>
      <w:bookmarkStart w:id="4" w:name="_Hlk187485061"/>
      <w:bookmarkStart w:id="5" w:name="_Hlk194655630"/>
      <w:bookmarkStart w:id="6" w:name="_Hlk209008097"/>
      <w:bookmarkStart w:id="7" w:name="_Hlk213163655"/>
    </w:p>
    <w:p w14:paraId="5A715963" w14:textId="078C3F19" w:rsidR="003D4378" w:rsidRPr="007C1BA7" w:rsidRDefault="004264A7" w:rsidP="004264A7">
      <w:pPr>
        <w:jc w:val="both"/>
        <w:rPr>
          <w:rFonts w:ascii="Arial" w:eastAsia="Calibri" w:hAnsi="Arial" w:cs="Arial"/>
          <w:b/>
          <w:bCs/>
          <w:kern w:val="2"/>
        </w:rPr>
      </w:pPr>
      <w:bookmarkStart w:id="8" w:name="_Hlk204003461"/>
      <w:bookmarkStart w:id="9" w:name="_Hlk213070710"/>
      <w:bookmarkEnd w:id="3"/>
      <w:bookmarkEnd w:id="4"/>
      <w:bookmarkEnd w:id="5"/>
      <w:bookmarkEnd w:id="6"/>
      <w:r w:rsidRPr="004264A7">
        <w:rPr>
          <w:rFonts w:ascii="Arial" w:eastAsia="Calibri" w:hAnsi="Arial" w:cs="Arial"/>
          <w:b/>
          <w:bCs/>
          <w:kern w:val="2"/>
        </w:rPr>
        <w:t>DISCLAIMER</w:t>
      </w:r>
      <w:r w:rsidR="003D4378" w:rsidRPr="004264A7">
        <w:rPr>
          <w:rFonts w:ascii="Arial" w:eastAsia="Calibri" w:hAnsi="Arial" w:cs="Arial"/>
          <w:kern w:val="2"/>
        </w:rPr>
        <w:t xml:space="preserve"> </w:t>
      </w:r>
      <w:r w:rsidR="007C1BA7" w:rsidRPr="007C1BA7">
        <w:rPr>
          <w:rFonts w:ascii="Arial" w:eastAsia="Calibri" w:hAnsi="Arial" w:cs="Arial"/>
          <w:b/>
          <w:bCs/>
          <w:kern w:val="2"/>
        </w:rPr>
        <w:t>(ARTIFICIAL INTELLIGENCE)</w:t>
      </w:r>
    </w:p>
    <w:p w14:paraId="7548CCCC" w14:textId="77777777" w:rsidR="004264A7" w:rsidRPr="004264A7" w:rsidRDefault="004264A7" w:rsidP="004264A7">
      <w:pPr>
        <w:jc w:val="both"/>
        <w:rPr>
          <w:rFonts w:ascii="Times New Roman" w:eastAsia="Calibri" w:hAnsi="Times New Roman"/>
          <w:kern w:val="2"/>
        </w:rPr>
      </w:pPr>
    </w:p>
    <w:p w14:paraId="2CC4F805" w14:textId="77777777" w:rsidR="003D4378" w:rsidRPr="004264A7" w:rsidRDefault="003D4378" w:rsidP="004264A7">
      <w:pPr>
        <w:jc w:val="both"/>
        <w:rPr>
          <w:rFonts w:ascii="Arial" w:eastAsia="Calibri" w:hAnsi="Arial" w:cs="Arial"/>
          <w:kern w:val="2"/>
        </w:rPr>
      </w:pPr>
      <w:r w:rsidRPr="004264A7">
        <w:rPr>
          <w:rFonts w:ascii="Arial" w:eastAsia="Calibri" w:hAnsi="Arial" w:cs="Arial"/>
          <w:kern w:val="2"/>
        </w:rPr>
        <w:t xml:space="preserve">Author(s) hereby declare that NO generative AI technologies such as Large Language Models (ChatGPT, COPILOT, etc.) and text-to-image generators have been used during the writing or editing of this manuscript. </w:t>
      </w:r>
    </w:p>
    <w:bookmarkEnd w:id="7"/>
    <w:bookmarkEnd w:id="8"/>
    <w:bookmarkEnd w:id="9"/>
    <w:p w14:paraId="18DFF468" w14:textId="77777777" w:rsidR="00790ADA" w:rsidRPr="00831792" w:rsidRDefault="00790ADA" w:rsidP="00441B6F">
      <w:pPr>
        <w:pStyle w:val="Body"/>
        <w:spacing w:after="0"/>
        <w:rPr>
          <w:rFonts w:ascii="Arial" w:hAnsi="Arial" w:cs="Arial"/>
          <w:lang w:val="en-GB"/>
        </w:rPr>
      </w:pPr>
    </w:p>
    <w:p w14:paraId="1CD037B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AF716C9" w14:textId="77777777" w:rsidR="00790ADA" w:rsidRPr="00FB3A86" w:rsidRDefault="00790ADA" w:rsidP="00441B6F">
      <w:pPr>
        <w:pStyle w:val="ReferHead"/>
        <w:spacing w:after="0"/>
        <w:jc w:val="both"/>
        <w:rPr>
          <w:rFonts w:ascii="Arial" w:hAnsi="Arial" w:cs="Arial"/>
        </w:rPr>
      </w:pPr>
    </w:p>
    <w:p w14:paraId="31FBE8BB" w14:textId="1212C6D8" w:rsidR="00430B0F" w:rsidRPr="001653A8" w:rsidRDefault="00430B0F" w:rsidP="001653A8">
      <w:pPr>
        <w:pStyle w:val="ListParagraph"/>
        <w:numPr>
          <w:ilvl w:val="0"/>
          <w:numId w:val="31"/>
        </w:numPr>
        <w:jc w:val="both"/>
        <w:rPr>
          <w:rFonts w:ascii="Arial" w:hAnsi="Arial" w:cs="Arial"/>
          <w:lang w:val="fr-CI"/>
        </w:rPr>
      </w:pPr>
      <w:proofErr w:type="spellStart"/>
      <w:r w:rsidRPr="001653A8">
        <w:rPr>
          <w:rFonts w:ascii="Arial" w:hAnsi="Arial" w:cs="Arial"/>
          <w:lang w:val="en-GB"/>
        </w:rPr>
        <w:t>Benmeddour</w:t>
      </w:r>
      <w:proofErr w:type="spellEnd"/>
      <w:r w:rsidRPr="001653A8">
        <w:rPr>
          <w:rFonts w:ascii="Arial" w:hAnsi="Arial" w:cs="Arial"/>
          <w:lang w:val="en-GB"/>
        </w:rPr>
        <w:t xml:space="preserve">, T., </w:t>
      </w:r>
      <w:proofErr w:type="spellStart"/>
      <w:r w:rsidRPr="001653A8">
        <w:rPr>
          <w:rFonts w:ascii="Arial" w:hAnsi="Arial" w:cs="Arial"/>
          <w:lang w:val="en-GB"/>
        </w:rPr>
        <w:t>Laouer</w:t>
      </w:r>
      <w:proofErr w:type="spellEnd"/>
      <w:r w:rsidRPr="001653A8">
        <w:rPr>
          <w:rFonts w:ascii="Arial" w:hAnsi="Arial" w:cs="Arial"/>
          <w:lang w:val="en-GB"/>
        </w:rPr>
        <w:t xml:space="preserve">, H., </w:t>
      </w:r>
      <w:proofErr w:type="spellStart"/>
      <w:r w:rsidRPr="001653A8">
        <w:rPr>
          <w:rFonts w:ascii="Arial" w:hAnsi="Arial" w:cs="Arial"/>
          <w:lang w:val="en-GB"/>
        </w:rPr>
        <w:t>Benabdi</w:t>
      </w:r>
      <w:proofErr w:type="spellEnd"/>
      <w:r w:rsidRPr="001653A8">
        <w:rPr>
          <w:rFonts w:ascii="Arial" w:hAnsi="Arial" w:cs="Arial"/>
          <w:lang w:val="en-GB"/>
        </w:rPr>
        <w:t xml:space="preserve">, A.A., &amp; Brahimi, S. (2015). Evaluation of antibacterial and antifungal activity of extracts from three species of the genus Allium: A. </w:t>
      </w:r>
      <w:proofErr w:type="spellStart"/>
      <w:r w:rsidRPr="001653A8">
        <w:rPr>
          <w:rFonts w:ascii="Arial" w:hAnsi="Arial" w:cs="Arial"/>
          <w:lang w:val="en-GB"/>
        </w:rPr>
        <w:t>cepa</w:t>
      </w:r>
      <w:proofErr w:type="spellEnd"/>
      <w:r w:rsidRPr="001653A8">
        <w:rPr>
          <w:rFonts w:ascii="Arial" w:hAnsi="Arial" w:cs="Arial"/>
          <w:lang w:val="en-GB"/>
        </w:rPr>
        <w:t xml:space="preserve">, </w:t>
      </w:r>
      <w:proofErr w:type="spellStart"/>
      <w:r w:rsidRPr="001653A8">
        <w:rPr>
          <w:rFonts w:ascii="Arial" w:hAnsi="Arial" w:cs="Arial"/>
          <w:lang w:val="en-GB"/>
        </w:rPr>
        <w:t>fistulosum</w:t>
      </w:r>
      <w:proofErr w:type="spellEnd"/>
      <w:r w:rsidRPr="001653A8">
        <w:rPr>
          <w:rFonts w:ascii="Arial" w:hAnsi="Arial" w:cs="Arial"/>
          <w:lang w:val="en-GB"/>
        </w:rPr>
        <w:t xml:space="preserve">, and sativum grown in the agricultural area of </w:t>
      </w:r>
      <w:proofErr w:type="spellStart"/>
      <w:r w:rsidRPr="001653A8">
        <w:rPr>
          <w:rFonts w:ascii="Arial" w:hAnsi="Arial" w:cs="Arial"/>
          <w:lang w:val="en-GB"/>
        </w:rPr>
        <w:t>Doussen</w:t>
      </w:r>
      <w:proofErr w:type="spellEnd"/>
      <w:r w:rsidRPr="001653A8">
        <w:rPr>
          <w:rFonts w:ascii="Arial" w:hAnsi="Arial" w:cs="Arial"/>
          <w:lang w:val="en-GB"/>
        </w:rPr>
        <w:t xml:space="preserve"> (</w:t>
      </w:r>
      <w:proofErr w:type="spellStart"/>
      <w:r w:rsidRPr="001653A8">
        <w:rPr>
          <w:rFonts w:ascii="Arial" w:hAnsi="Arial" w:cs="Arial"/>
          <w:lang w:val="en-GB"/>
        </w:rPr>
        <w:t>Wilaya</w:t>
      </w:r>
      <w:proofErr w:type="spellEnd"/>
      <w:r w:rsidRPr="001653A8">
        <w:rPr>
          <w:rFonts w:ascii="Arial" w:hAnsi="Arial" w:cs="Arial"/>
          <w:lang w:val="en-GB"/>
        </w:rPr>
        <w:t xml:space="preserve"> of </w:t>
      </w:r>
      <w:proofErr w:type="spellStart"/>
      <w:r w:rsidRPr="001653A8">
        <w:rPr>
          <w:rFonts w:ascii="Arial" w:hAnsi="Arial" w:cs="Arial"/>
          <w:lang w:val="en-GB"/>
        </w:rPr>
        <w:t>Biskra</w:t>
      </w:r>
      <w:proofErr w:type="spellEnd"/>
      <w:r w:rsidRPr="001653A8">
        <w:rPr>
          <w:rFonts w:ascii="Arial" w:hAnsi="Arial" w:cs="Arial"/>
          <w:lang w:val="en-GB"/>
        </w:rPr>
        <w:t xml:space="preserve">). </w:t>
      </w:r>
      <w:r w:rsidRPr="001653A8">
        <w:rPr>
          <w:rFonts w:ascii="Arial" w:hAnsi="Arial" w:cs="Arial"/>
          <w:i/>
          <w:iCs/>
          <w:lang w:val="fr-CI"/>
        </w:rPr>
        <w:t>Courrier du Savoir</w:t>
      </w:r>
      <w:r w:rsidRPr="001653A8">
        <w:rPr>
          <w:rFonts w:ascii="Arial" w:hAnsi="Arial" w:cs="Arial"/>
          <w:lang w:val="fr-CI"/>
        </w:rPr>
        <w:t xml:space="preserve">, </w:t>
      </w:r>
      <w:proofErr w:type="gramStart"/>
      <w:r w:rsidRPr="001653A8">
        <w:rPr>
          <w:rFonts w:ascii="Arial" w:hAnsi="Arial" w:cs="Arial"/>
          <w:lang w:val="fr-CI"/>
        </w:rPr>
        <w:t>19:</w:t>
      </w:r>
      <w:proofErr w:type="gramEnd"/>
      <w:r w:rsidRPr="001653A8">
        <w:rPr>
          <w:rFonts w:ascii="Arial" w:hAnsi="Arial" w:cs="Arial"/>
          <w:lang w:val="fr-CI"/>
        </w:rPr>
        <w:t xml:space="preserve"> 9-14.</w:t>
      </w:r>
      <w:r w:rsidR="003160AC" w:rsidRPr="001653A8">
        <w:rPr>
          <w:rFonts w:ascii="Arial" w:hAnsi="Arial" w:cs="Arial"/>
          <w:sz w:val="18"/>
          <w:szCs w:val="18"/>
          <w:lang w:val="fr-CI"/>
        </w:rPr>
        <w:t xml:space="preserve"> https://www.asjp.cerist.dz/en/journal/10</w:t>
      </w:r>
    </w:p>
    <w:p w14:paraId="281C2574" w14:textId="77777777"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en-GB"/>
        </w:rPr>
        <w:t>Camara, B. (2011). Contribution to the characterization of foliar and soil-borne fungal parasites in Côte d'Ivoire on banana (</w:t>
      </w:r>
      <w:r w:rsidRPr="001653A8">
        <w:rPr>
          <w:rFonts w:ascii="Arial" w:hAnsi="Arial" w:cs="Arial"/>
          <w:i/>
          <w:iCs/>
          <w:lang w:val="en-GB"/>
        </w:rPr>
        <w:t>Musa</w:t>
      </w:r>
      <w:r w:rsidRPr="001653A8">
        <w:rPr>
          <w:rFonts w:ascii="Arial" w:hAnsi="Arial" w:cs="Arial"/>
          <w:lang w:val="en-GB"/>
        </w:rPr>
        <w:t xml:space="preserve"> </w:t>
      </w:r>
      <w:proofErr w:type="spellStart"/>
      <w:r w:rsidRPr="001653A8">
        <w:rPr>
          <w:rFonts w:ascii="Arial" w:hAnsi="Arial" w:cs="Arial"/>
          <w:lang w:val="en-GB"/>
        </w:rPr>
        <w:t>spp</w:t>
      </w:r>
      <w:proofErr w:type="spellEnd"/>
      <w:r w:rsidRPr="001653A8">
        <w:rPr>
          <w:rFonts w:ascii="Arial" w:hAnsi="Arial" w:cs="Arial"/>
          <w:lang w:val="en-GB"/>
        </w:rPr>
        <w:t xml:space="preserve">) and research into control methods. PhD thesis, University of </w:t>
      </w:r>
      <w:proofErr w:type="spellStart"/>
      <w:r w:rsidRPr="001653A8">
        <w:rPr>
          <w:rFonts w:ascii="Arial" w:hAnsi="Arial" w:cs="Arial"/>
          <w:lang w:val="en-GB"/>
        </w:rPr>
        <w:t>Cocody</w:t>
      </w:r>
      <w:proofErr w:type="spellEnd"/>
      <w:r w:rsidRPr="001653A8">
        <w:rPr>
          <w:rFonts w:ascii="Arial" w:hAnsi="Arial" w:cs="Arial"/>
          <w:lang w:val="en-GB"/>
        </w:rPr>
        <w:t>, Abidjan, Côte d'Ivoire, 231 p.</w:t>
      </w:r>
    </w:p>
    <w:p w14:paraId="5AD58C9C" w14:textId="352C82E7" w:rsidR="00430B0F" w:rsidRPr="001653A8" w:rsidRDefault="00430B0F" w:rsidP="001653A8">
      <w:pPr>
        <w:pStyle w:val="ListParagraph"/>
        <w:numPr>
          <w:ilvl w:val="0"/>
          <w:numId w:val="31"/>
        </w:numPr>
        <w:jc w:val="both"/>
        <w:rPr>
          <w:rFonts w:ascii="Arial" w:hAnsi="Arial" w:cs="Arial"/>
          <w:lang w:val="fr-CI"/>
        </w:rPr>
      </w:pPr>
      <w:r w:rsidRPr="001653A8">
        <w:rPr>
          <w:rFonts w:ascii="Arial" w:hAnsi="Arial" w:cs="Arial"/>
          <w:lang w:val="en-GB"/>
        </w:rPr>
        <w:t xml:space="preserve">Chen, J., Zhu, Z., Fu, Y., Cheng, J., Xie, J., &amp; Lin, Y. (2021). Identification of </w:t>
      </w:r>
      <w:proofErr w:type="spellStart"/>
      <w:r w:rsidRPr="001653A8">
        <w:rPr>
          <w:rFonts w:ascii="Arial" w:hAnsi="Arial" w:cs="Arial"/>
          <w:lang w:val="en-GB"/>
        </w:rPr>
        <w:t>Lasiodiplodia</w:t>
      </w:r>
      <w:proofErr w:type="spellEnd"/>
      <w:r w:rsidRPr="001653A8">
        <w:rPr>
          <w:rFonts w:ascii="Arial" w:hAnsi="Arial" w:cs="Arial"/>
          <w:lang w:val="en-GB"/>
        </w:rPr>
        <w:t xml:space="preserve"> </w:t>
      </w:r>
      <w:proofErr w:type="spellStart"/>
      <w:r w:rsidRPr="001653A8">
        <w:rPr>
          <w:rFonts w:ascii="Arial" w:hAnsi="Arial" w:cs="Arial"/>
          <w:lang w:val="en-GB"/>
        </w:rPr>
        <w:t>pseudotheobromae</w:t>
      </w:r>
      <w:proofErr w:type="spellEnd"/>
      <w:r w:rsidRPr="001653A8">
        <w:rPr>
          <w:rFonts w:ascii="Arial" w:hAnsi="Arial" w:cs="Arial"/>
          <w:lang w:val="en-GB"/>
        </w:rPr>
        <w:t xml:space="preserve"> causing fruit rot of citrus in China. </w:t>
      </w:r>
      <w:r w:rsidRPr="001653A8">
        <w:rPr>
          <w:rFonts w:ascii="Arial" w:hAnsi="Arial" w:cs="Arial"/>
          <w:i/>
          <w:iCs/>
          <w:lang w:val="fr-CI"/>
        </w:rPr>
        <w:t>Plants</w:t>
      </w:r>
      <w:r w:rsidRPr="001653A8">
        <w:rPr>
          <w:rFonts w:ascii="Arial" w:hAnsi="Arial" w:cs="Arial"/>
          <w:lang w:val="fr-CI"/>
        </w:rPr>
        <w:t xml:space="preserve">, 10(2), 202. </w:t>
      </w:r>
      <w:r w:rsidR="003160AC" w:rsidRPr="001653A8">
        <w:rPr>
          <w:rFonts w:ascii="Arial" w:hAnsi="Arial" w:cs="Arial"/>
          <w:sz w:val="18"/>
          <w:szCs w:val="18"/>
          <w:lang w:val="fr-CI"/>
        </w:rPr>
        <w:t>https://doi.org/10.3390/plants10020202</w:t>
      </w:r>
    </w:p>
    <w:p w14:paraId="4D8022B9" w14:textId="69F7BA01"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fr-CI"/>
        </w:rPr>
        <w:t xml:space="preserve">Daniel, C.C., Alphonse, A., Jacques, B.A., Romaric, E.K., Ulrich, G.K., &amp; Elvis, J.N.A. (2012). </w:t>
      </w:r>
      <w:r w:rsidRPr="001653A8">
        <w:rPr>
          <w:rFonts w:ascii="Arial" w:hAnsi="Arial" w:cs="Arial"/>
          <w:lang w:val="en-GB"/>
        </w:rPr>
        <w:t>Preliminary inventory of the entomofauna of tomato fields (</w:t>
      </w:r>
      <w:r w:rsidRPr="001653A8">
        <w:rPr>
          <w:rFonts w:ascii="Arial" w:hAnsi="Arial" w:cs="Arial"/>
          <w:i/>
          <w:iCs/>
          <w:lang w:val="en-GB"/>
        </w:rPr>
        <w:t>Lycopersicon esculentum</w:t>
      </w:r>
      <w:r w:rsidRPr="001653A8">
        <w:rPr>
          <w:rFonts w:ascii="Arial" w:hAnsi="Arial" w:cs="Arial"/>
          <w:lang w:val="en-GB"/>
        </w:rPr>
        <w:t xml:space="preserve"> Mill) in the commune of </w:t>
      </w:r>
      <w:proofErr w:type="spellStart"/>
      <w:r w:rsidRPr="001653A8">
        <w:rPr>
          <w:rFonts w:ascii="Arial" w:hAnsi="Arial" w:cs="Arial"/>
          <w:lang w:val="en-GB"/>
        </w:rPr>
        <w:t>Djakotomey</w:t>
      </w:r>
      <w:proofErr w:type="spellEnd"/>
      <w:r w:rsidRPr="001653A8">
        <w:rPr>
          <w:rFonts w:ascii="Arial" w:hAnsi="Arial" w:cs="Arial"/>
          <w:lang w:val="en-GB"/>
        </w:rPr>
        <w:t xml:space="preserve"> in Benin. </w:t>
      </w:r>
      <w:r w:rsidRPr="001653A8">
        <w:rPr>
          <w:rFonts w:ascii="Arial" w:hAnsi="Arial" w:cs="Arial"/>
          <w:i/>
          <w:iCs/>
          <w:lang w:val="en-GB"/>
        </w:rPr>
        <w:t>International Journal of Biological and Chemical Science</w:t>
      </w:r>
      <w:r w:rsidRPr="001653A8">
        <w:rPr>
          <w:rFonts w:ascii="Arial" w:hAnsi="Arial" w:cs="Arial"/>
          <w:lang w:val="en-GB"/>
        </w:rPr>
        <w:t xml:space="preserve">, 6(4): 1798-1804. DOI: </w:t>
      </w:r>
      <w:r w:rsidR="003160AC" w:rsidRPr="001653A8">
        <w:rPr>
          <w:rFonts w:ascii="Arial" w:hAnsi="Arial" w:cs="Arial"/>
          <w:sz w:val="18"/>
          <w:szCs w:val="18"/>
        </w:rPr>
        <w:t>https://doi.org/10.4314/ijbcs.v6i4.34</w:t>
      </w:r>
    </w:p>
    <w:p w14:paraId="47C0FC2E" w14:textId="378F95C9" w:rsidR="00430B0F" w:rsidRPr="001653A8" w:rsidRDefault="00430B0F" w:rsidP="001653A8">
      <w:pPr>
        <w:pStyle w:val="ListParagraph"/>
        <w:numPr>
          <w:ilvl w:val="0"/>
          <w:numId w:val="31"/>
        </w:numPr>
        <w:jc w:val="both"/>
        <w:rPr>
          <w:rFonts w:ascii="Arial" w:hAnsi="Arial" w:cs="Arial"/>
          <w:lang w:val="en-GB"/>
        </w:rPr>
      </w:pPr>
      <w:proofErr w:type="spellStart"/>
      <w:r w:rsidRPr="001653A8">
        <w:rPr>
          <w:rFonts w:ascii="Arial" w:hAnsi="Arial" w:cs="Arial"/>
          <w:lang w:val="fr-CI"/>
        </w:rPr>
        <w:t>Djeugap</w:t>
      </w:r>
      <w:proofErr w:type="spellEnd"/>
      <w:r w:rsidRPr="001653A8">
        <w:rPr>
          <w:rFonts w:ascii="Arial" w:hAnsi="Arial" w:cs="Arial"/>
          <w:lang w:val="fr-CI"/>
        </w:rPr>
        <w:t xml:space="preserve">, F.J., </w:t>
      </w:r>
      <w:proofErr w:type="spellStart"/>
      <w:r w:rsidRPr="001653A8">
        <w:rPr>
          <w:rFonts w:ascii="Arial" w:hAnsi="Arial" w:cs="Arial"/>
          <w:lang w:val="fr-CI"/>
        </w:rPr>
        <w:t>Fontem</w:t>
      </w:r>
      <w:proofErr w:type="spellEnd"/>
      <w:r w:rsidRPr="001653A8">
        <w:rPr>
          <w:rFonts w:ascii="Arial" w:hAnsi="Arial" w:cs="Arial"/>
          <w:lang w:val="fr-CI"/>
        </w:rPr>
        <w:t xml:space="preserve">, D.A., &amp; </w:t>
      </w:r>
      <w:proofErr w:type="spellStart"/>
      <w:r w:rsidRPr="001653A8">
        <w:rPr>
          <w:rFonts w:ascii="Arial" w:hAnsi="Arial" w:cs="Arial"/>
          <w:lang w:val="fr-CI"/>
        </w:rPr>
        <w:t>Tapondjou</w:t>
      </w:r>
      <w:proofErr w:type="spellEnd"/>
      <w:r w:rsidRPr="001653A8">
        <w:rPr>
          <w:rFonts w:ascii="Arial" w:hAnsi="Arial" w:cs="Arial"/>
          <w:lang w:val="fr-CI"/>
        </w:rPr>
        <w:t xml:space="preserve">, A.L. (2011). </w:t>
      </w:r>
      <w:r w:rsidRPr="001653A8">
        <w:rPr>
          <w:rFonts w:ascii="Arial" w:hAnsi="Arial" w:cs="Arial"/>
          <w:lang w:val="en-GB"/>
        </w:rPr>
        <w:t>In vitro and in vivo efficacy of plant extracts against late blight (</w:t>
      </w:r>
      <w:r w:rsidRPr="001653A8">
        <w:rPr>
          <w:rFonts w:ascii="Arial" w:hAnsi="Arial" w:cs="Arial"/>
          <w:i/>
          <w:iCs/>
          <w:lang w:val="en-GB"/>
        </w:rPr>
        <w:t>Phytophthora infestans</w:t>
      </w:r>
      <w:r w:rsidRPr="001653A8">
        <w:rPr>
          <w:rFonts w:ascii="Arial" w:hAnsi="Arial" w:cs="Arial"/>
          <w:lang w:val="en-GB"/>
        </w:rPr>
        <w:t xml:space="preserve">) of black nightshade. </w:t>
      </w:r>
      <w:r w:rsidRPr="001653A8">
        <w:rPr>
          <w:rFonts w:ascii="Arial" w:hAnsi="Arial" w:cs="Arial"/>
          <w:i/>
          <w:iCs/>
          <w:lang w:val="en-GB"/>
        </w:rPr>
        <w:t>International Journal of Biological and Chemical Science</w:t>
      </w:r>
      <w:r w:rsidRPr="001653A8">
        <w:rPr>
          <w:rFonts w:ascii="Arial" w:hAnsi="Arial" w:cs="Arial"/>
          <w:lang w:val="en-GB"/>
        </w:rPr>
        <w:t xml:space="preserve">, 5(6): 2205-2213. DOI: </w:t>
      </w:r>
      <w:r w:rsidR="003160AC" w:rsidRPr="001653A8">
        <w:rPr>
          <w:rFonts w:ascii="Arial" w:hAnsi="Arial" w:cs="Arial"/>
          <w:sz w:val="18"/>
          <w:szCs w:val="18"/>
        </w:rPr>
        <w:t>https://doi.org/10.4314/ijbcs.v5i6.3</w:t>
      </w:r>
    </w:p>
    <w:p w14:paraId="51975CE8" w14:textId="2B576F03"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en-GB"/>
        </w:rPr>
        <w:lastRenderedPageBreak/>
        <w:t>Faber, G.A., Bender, G.S., &amp; Ohr, H. D. (2007). Diseases. UC IPM Pest management Guidelines. UC ANR publication</w:t>
      </w:r>
      <w:r w:rsidR="0069005D" w:rsidRPr="001653A8">
        <w:rPr>
          <w:rFonts w:ascii="Arial" w:hAnsi="Arial" w:cs="Arial"/>
          <w:lang w:val="en-GB"/>
        </w:rPr>
        <w:t xml:space="preserve"> 3436. </w:t>
      </w:r>
      <w:hyperlink r:id="rId20" w:history="1">
        <w:r w:rsidR="0069005D" w:rsidRPr="001653A8">
          <w:rPr>
            <w:rStyle w:val="Hyperlink"/>
            <w:rFonts w:ascii="Arial" w:hAnsi="Arial" w:cs="Arial"/>
            <w:color w:val="auto"/>
            <w:sz w:val="18"/>
            <w:szCs w:val="18"/>
            <w:u w:val="none"/>
            <w:lang w:val="en-GB"/>
          </w:rPr>
          <w:t>https://doi.org/10.5897/AJAR2013.7528</w:t>
        </w:r>
      </w:hyperlink>
    </w:p>
    <w:p w14:paraId="0DB49E6D" w14:textId="1D8AFB5E" w:rsidR="0069005D"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en-GB"/>
        </w:rPr>
        <w:t xml:space="preserve">FAO. (2021). Fruits and vegetables - essential elements of your diet. International </w:t>
      </w:r>
      <w:r w:rsidR="00A25ED7" w:rsidRPr="001653A8">
        <w:rPr>
          <w:rFonts w:ascii="Arial" w:hAnsi="Arial" w:cs="Arial"/>
          <w:lang w:val="en-GB"/>
        </w:rPr>
        <w:t>y</w:t>
      </w:r>
      <w:r w:rsidRPr="001653A8">
        <w:rPr>
          <w:rFonts w:ascii="Arial" w:hAnsi="Arial" w:cs="Arial"/>
          <w:lang w:val="en-GB"/>
        </w:rPr>
        <w:t xml:space="preserve">ear of </w:t>
      </w:r>
      <w:r w:rsidR="00A25ED7" w:rsidRPr="001653A8">
        <w:rPr>
          <w:rFonts w:ascii="Arial" w:hAnsi="Arial" w:cs="Arial"/>
          <w:lang w:val="en-GB"/>
        </w:rPr>
        <w:t>f</w:t>
      </w:r>
      <w:r w:rsidRPr="001653A8">
        <w:rPr>
          <w:rFonts w:ascii="Arial" w:hAnsi="Arial" w:cs="Arial"/>
          <w:lang w:val="en-GB"/>
        </w:rPr>
        <w:t xml:space="preserve">ruits and </w:t>
      </w:r>
      <w:r w:rsidR="00A25ED7" w:rsidRPr="001653A8">
        <w:rPr>
          <w:rFonts w:ascii="Arial" w:hAnsi="Arial" w:cs="Arial"/>
          <w:lang w:val="en-GB"/>
        </w:rPr>
        <w:t>v</w:t>
      </w:r>
      <w:r w:rsidRPr="001653A8">
        <w:rPr>
          <w:rFonts w:ascii="Arial" w:hAnsi="Arial" w:cs="Arial"/>
          <w:lang w:val="en-GB"/>
        </w:rPr>
        <w:t xml:space="preserve">egetables, Information Note, Rome. </w:t>
      </w:r>
      <w:hyperlink r:id="rId21" w:history="1">
        <w:r w:rsidR="0069005D" w:rsidRPr="001653A8">
          <w:rPr>
            <w:rStyle w:val="Hyperlink"/>
            <w:rFonts w:ascii="Arial" w:hAnsi="Arial" w:cs="Arial"/>
            <w:color w:val="auto"/>
            <w:sz w:val="18"/>
            <w:szCs w:val="18"/>
            <w:u w:val="none"/>
          </w:rPr>
          <w:t>https://doi.org/10.4060/cb2395fr</w:t>
        </w:r>
      </w:hyperlink>
      <w:r w:rsidR="003160AC" w:rsidRPr="001653A8">
        <w:rPr>
          <w:rFonts w:ascii="Arial" w:hAnsi="Arial" w:cs="Arial"/>
          <w:lang w:val="en-GB"/>
        </w:rPr>
        <w:t xml:space="preserve"> </w:t>
      </w:r>
    </w:p>
    <w:p w14:paraId="28AFB3E6" w14:textId="16A24B0D" w:rsidR="003160AC" w:rsidRPr="001653A8" w:rsidRDefault="00430B0F" w:rsidP="001653A8">
      <w:pPr>
        <w:pStyle w:val="ListParagraph"/>
        <w:numPr>
          <w:ilvl w:val="0"/>
          <w:numId w:val="31"/>
        </w:numPr>
        <w:jc w:val="both"/>
        <w:rPr>
          <w:rFonts w:ascii="Arial" w:hAnsi="Arial" w:cs="Arial"/>
          <w:lang w:val="fr-CI"/>
        </w:rPr>
      </w:pPr>
      <w:r w:rsidRPr="001653A8">
        <w:rPr>
          <w:rFonts w:ascii="Arial" w:hAnsi="Arial" w:cs="Arial"/>
          <w:lang w:val="en-GB"/>
        </w:rPr>
        <w:t xml:space="preserve">FIRCA. </w:t>
      </w:r>
      <w:r w:rsidRPr="001653A8">
        <w:rPr>
          <w:rFonts w:ascii="Arial" w:hAnsi="Arial" w:cs="Arial"/>
          <w:highlight w:val="yellow"/>
          <w:lang w:val="en-GB"/>
        </w:rPr>
        <w:t>(2019).</w:t>
      </w:r>
      <w:r w:rsidRPr="001653A8">
        <w:rPr>
          <w:rFonts w:ascii="Arial" w:hAnsi="Arial" w:cs="Arial"/>
          <w:lang w:val="en-GB"/>
        </w:rPr>
        <w:t xml:space="preserve"> Study of methods for reducing post-harvest losses in vegetable crops in Côte d'Ivoire. </w:t>
      </w:r>
      <w:r w:rsidRPr="001653A8">
        <w:rPr>
          <w:rFonts w:ascii="Arial" w:hAnsi="Arial" w:cs="Arial"/>
          <w:lang w:val="fr-CI"/>
        </w:rPr>
        <w:t xml:space="preserve">Expert Report, Côte d'Ivoire. p. 91. </w:t>
      </w:r>
    </w:p>
    <w:p w14:paraId="569F9A08" w14:textId="2D55563B" w:rsidR="00430B0F" w:rsidRPr="001653A8" w:rsidRDefault="00430B0F" w:rsidP="001653A8">
      <w:pPr>
        <w:pStyle w:val="ListParagraph"/>
        <w:numPr>
          <w:ilvl w:val="0"/>
          <w:numId w:val="31"/>
        </w:numPr>
        <w:jc w:val="both"/>
        <w:rPr>
          <w:rFonts w:ascii="Arial" w:hAnsi="Arial" w:cs="Arial"/>
          <w:lang w:val="en-GB"/>
        </w:rPr>
      </w:pPr>
      <w:proofErr w:type="spellStart"/>
      <w:r w:rsidRPr="001653A8">
        <w:rPr>
          <w:rFonts w:ascii="Arial" w:hAnsi="Arial" w:cs="Arial"/>
          <w:lang w:val="fr-CI"/>
        </w:rPr>
        <w:t>Fondio</w:t>
      </w:r>
      <w:proofErr w:type="spellEnd"/>
      <w:r w:rsidRPr="001653A8">
        <w:rPr>
          <w:rFonts w:ascii="Arial" w:hAnsi="Arial" w:cs="Arial"/>
          <w:lang w:val="fr-CI"/>
        </w:rPr>
        <w:t xml:space="preserve">, L., </w:t>
      </w:r>
      <w:proofErr w:type="spellStart"/>
      <w:r w:rsidRPr="001653A8">
        <w:rPr>
          <w:rFonts w:ascii="Arial" w:hAnsi="Arial" w:cs="Arial"/>
          <w:lang w:val="fr-CI"/>
        </w:rPr>
        <w:t>Djidji</w:t>
      </w:r>
      <w:proofErr w:type="spellEnd"/>
      <w:r w:rsidRPr="001653A8">
        <w:rPr>
          <w:rFonts w:ascii="Arial" w:hAnsi="Arial" w:cs="Arial"/>
          <w:lang w:val="fr-CI"/>
        </w:rPr>
        <w:t>, H.A., N’</w:t>
      </w:r>
      <w:proofErr w:type="spellStart"/>
      <w:r w:rsidRPr="001653A8">
        <w:rPr>
          <w:rFonts w:ascii="Arial" w:hAnsi="Arial" w:cs="Arial"/>
          <w:lang w:val="fr-CI"/>
        </w:rPr>
        <w:t>Gbesso</w:t>
      </w:r>
      <w:proofErr w:type="spellEnd"/>
      <w:r w:rsidRPr="001653A8">
        <w:rPr>
          <w:rFonts w:ascii="Arial" w:hAnsi="Arial" w:cs="Arial"/>
          <w:lang w:val="fr-CI"/>
        </w:rPr>
        <w:t xml:space="preserve">, M.F.D.P., &amp; Koné D. (2013). </w:t>
      </w:r>
      <w:r w:rsidRPr="001653A8">
        <w:rPr>
          <w:rFonts w:ascii="Arial" w:hAnsi="Arial" w:cs="Arial"/>
          <w:lang w:val="en-GB"/>
        </w:rPr>
        <w:t>Assessment of nine tomato varieties (</w:t>
      </w:r>
      <w:r w:rsidRPr="001653A8">
        <w:rPr>
          <w:rFonts w:ascii="Arial" w:hAnsi="Arial" w:cs="Arial"/>
          <w:i/>
          <w:iCs/>
          <w:lang w:val="en-GB"/>
        </w:rPr>
        <w:t xml:space="preserve">Solanum </w:t>
      </w:r>
      <w:proofErr w:type="spellStart"/>
      <w:r w:rsidRPr="001653A8">
        <w:rPr>
          <w:rFonts w:ascii="Arial" w:hAnsi="Arial" w:cs="Arial"/>
          <w:i/>
          <w:iCs/>
          <w:lang w:val="en-GB"/>
        </w:rPr>
        <w:t>lycopersicum</w:t>
      </w:r>
      <w:proofErr w:type="spellEnd"/>
      <w:r w:rsidRPr="001653A8">
        <w:rPr>
          <w:rFonts w:ascii="Arial" w:hAnsi="Arial" w:cs="Arial"/>
          <w:lang w:val="en-GB"/>
        </w:rPr>
        <w:t xml:space="preserve"> L.) in relation to bacterial wilt and productivity in southern Côte d'Ivoire. </w:t>
      </w:r>
      <w:r w:rsidRPr="001653A8">
        <w:rPr>
          <w:rFonts w:ascii="Arial" w:hAnsi="Arial" w:cs="Arial"/>
          <w:i/>
          <w:iCs/>
          <w:lang w:val="en-GB"/>
        </w:rPr>
        <w:t>International Journal of Biological and Chemical Science</w:t>
      </w:r>
      <w:r w:rsidRPr="001653A8">
        <w:rPr>
          <w:rFonts w:ascii="Arial" w:hAnsi="Arial" w:cs="Arial"/>
          <w:lang w:val="en-GB"/>
        </w:rPr>
        <w:t xml:space="preserve">, 7 (3): 1078-1086. </w:t>
      </w:r>
      <w:r w:rsidR="003160AC" w:rsidRPr="001653A8">
        <w:rPr>
          <w:rFonts w:ascii="Arial" w:hAnsi="Arial" w:cs="Arial"/>
          <w:sz w:val="18"/>
          <w:szCs w:val="18"/>
        </w:rPr>
        <w:t>https://doi.org/10.4314/ijbcs.v7i3.15</w:t>
      </w:r>
    </w:p>
    <w:p w14:paraId="43E50437" w14:textId="463ACD63"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en-GB"/>
        </w:rPr>
        <w:t xml:space="preserve">French, B.R. (2006). Diseases of </w:t>
      </w:r>
      <w:r w:rsidR="00A25ED7" w:rsidRPr="001653A8">
        <w:rPr>
          <w:rFonts w:ascii="Arial" w:hAnsi="Arial" w:cs="Arial"/>
          <w:lang w:val="en-GB"/>
        </w:rPr>
        <w:t>f</w:t>
      </w:r>
      <w:r w:rsidRPr="001653A8">
        <w:rPr>
          <w:rFonts w:ascii="Arial" w:hAnsi="Arial" w:cs="Arial"/>
          <w:lang w:val="en-GB"/>
        </w:rPr>
        <w:t xml:space="preserve">ood plants in Papua New Guinea- A compendium, pdf book. 38 West St. Burnie Tasmania 7320, Australia. pp 4, 41, 235-265. </w:t>
      </w:r>
    </w:p>
    <w:p w14:paraId="43DF9915" w14:textId="0DE998D8" w:rsidR="00430B0F" w:rsidRPr="001653A8" w:rsidRDefault="00430B0F" w:rsidP="001653A8">
      <w:pPr>
        <w:pStyle w:val="ListParagraph"/>
        <w:numPr>
          <w:ilvl w:val="0"/>
          <w:numId w:val="31"/>
        </w:numPr>
        <w:jc w:val="both"/>
        <w:rPr>
          <w:rFonts w:ascii="Arial" w:hAnsi="Arial" w:cs="Arial"/>
          <w:lang w:val="fr-CI"/>
        </w:rPr>
      </w:pPr>
      <w:proofErr w:type="spellStart"/>
      <w:r w:rsidRPr="001653A8">
        <w:rPr>
          <w:rFonts w:ascii="Arial" w:hAnsi="Arial" w:cs="Arial"/>
          <w:lang w:val="en-GB"/>
        </w:rPr>
        <w:t>Gadji</w:t>
      </w:r>
      <w:proofErr w:type="spellEnd"/>
      <w:r w:rsidRPr="001653A8">
        <w:rPr>
          <w:rFonts w:ascii="Arial" w:hAnsi="Arial" w:cs="Arial"/>
          <w:lang w:val="en-GB"/>
        </w:rPr>
        <w:t xml:space="preserve">, A.A.G, </w:t>
      </w:r>
      <w:proofErr w:type="spellStart"/>
      <w:r w:rsidRPr="001653A8">
        <w:rPr>
          <w:rFonts w:ascii="Arial" w:hAnsi="Arial" w:cs="Arial"/>
          <w:lang w:val="en-GB"/>
        </w:rPr>
        <w:t>Yapo</w:t>
      </w:r>
      <w:proofErr w:type="spellEnd"/>
      <w:r w:rsidRPr="001653A8">
        <w:rPr>
          <w:rFonts w:ascii="Arial" w:hAnsi="Arial" w:cs="Arial"/>
          <w:lang w:val="en-GB"/>
        </w:rPr>
        <w:t xml:space="preserve">, O.B, Abo, K., Coulibaly, K., </w:t>
      </w:r>
      <w:proofErr w:type="spellStart"/>
      <w:r w:rsidRPr="001653A8">
        <w:rPr>
          <w:rFonts w:ascii="Arial" w:hAnsi="Arial" w:cs="Arial"/>
          <w:lang w:val="en-GB"/>
        </w:rPr>
        <w:t>Kébé</w:t>
      </w:r>
      <w:proofErr w:type="spellEnd"/>
      <w:r w:rsidRPr="001653A8">
        <w:rPr>
          <w:rFonts w:ascii="Arial" w:hAnsi="Arial" w:cs="Arial"/>
          <w:lang w:val="en-GB"/>
        </w:rPr>
        <w:t xml:space="preserve">, I.B., </w:t>
      </w:r>
      <w:proofErr w:type="spellStart"/>
      <w:r w:rsidRPr="001653A8">
        <w:rPr>
          <w:rFonts w:ascii="Arial" w:hAnsi="Arial" w:cs="Arial"/>
          <w:lang w:val="en-GB"/>
        </w:rPr>
        <w:t>Gnépé</w:t>
      </w:r>
      <w:proofErr w:type="spellEnd"/>
      <w:r w:rsidRPr="001653A8">
        <w:rPr>
          <w:rFonts w:ascii="Arial" w:hAnsi="Arial" w:cs="Arial"/>
          <w:lang w:val="en-GB"/>
        </w:rPr>
        <w:t xml:space="preserve">, J.R., &amp; Tyagi, R.D., (2015). </w:t>
      </w:r>
      <w:r w:rsidRPr="001653A8">
        <w:rPr>
          <w:rFonts w:ascii="Arial" w:hAnsi="Arial" w:cs="Arial"/>
          <w:i/>
          <w:iCs/>
          <w:lang w:val="en-GB"/>
        </w:rPr>
        <w:t>In vitro</w:t>
      </w:r>
      <w:r w:rsidRPr="001653A8">
        <w:rPr>
          <w:rFonts w:ascii="Arial" w:hAnsi="Arial" w:cs="Arial"/>
          <w:lang w:val="en-GB"/>
        </w:rPr>
        <w:t xml:space="preserve"> assessment of biopesticide </w:t>
      </w:r>
      <w:r w:rsidRPr="001653A8">
        <w:rPr>
          <w:rFonts w:ascii="Arial" w:hAnsi="Arial" w:cs="Arial"/>
          <w:i/>
          <w:iCs/>
          <w:lang w:val="en-GB"/>
        </w:rPr>
        <w:t>Bacillus Thuringiensis</w:t>
      </w:r>
      <w:r w:rsidRPr="001653A8">
        <w:rPr>
          <w:rFonts w:ascii="Arial" w:hAnsi="Arial" w:cs="Arial"/>
          <w:lang w:val="en-GB"/>
        </w:rPr>
        <w:t xml:space="preserve"> var. </w:t>
      </w:r>
      <w:proofErr w:type="spellStart"/>
      <w:r w:rsidRPr="001653A8">
        <w:rPr>
          <w:rFonts w:ascii="Arial" w:hAnsi="Arial" w:cs="Arial"/>
          <w:i/>
          <w:iCs/>
          <w:lang w:val="en-GB"/>
        </w:rPr>
        <w:t>Kurstaki</w:t>
      </w:r>
      <w:proofErr w:type="spellEnd"/>
      <w:r w:rsidRPr="001653A8">
        <w:rPr>
          <w:rFonts w:ascii="Arial" w:hAnsi="Arial" w:cs="Arial"/>
          <w:lang w:val="en-GB"/>
        </w:rPr>
        <w:t xml:space="preserve"> HD- 1 effectiveness on </w:t>
      </w:r>
      <w:r w:rsidRPr="001653A8">
        <w:rPr>
          <w:rFonts w:ascii="Arial" w:hAnsi="Arial" w:cs="Arial"/>
          <w:i/>
          <w:iCs/>
          <w:lang w:val="en-GB"/>
        </w:rPr>
        <w:t xml:space="preserve">Phytophthora </w:t>
      </w:r>
      <w:proofErr w:type="spellStart"/>
      <w:r w:rsidRPr="001653A8">
        <w:rPr>
          <w:rFonts w:ascii="Arial" w:hAnsi="Arial" w:cs="Arial"/>
          <w:i/>
          <w:iCs/>
          <w:lang w:val="en-GB"/>
        </w:rPr>
        <w:t>Palmivora</w:t>
      </w:r>
      <w:proofErr w:type="spellEnd"/>
      <w:r w:rsidRPr="001653A8">
        <w:rPr>
          <w:rFonts w:ascii="Arial" w:hAnsi="Arial" w:cs="Arial"/>
          <w:lang w:val="en-GB"/>
        </w:rPr>
        <w:t xml:space="preserve">, agent of cocoa black pod rot in Ivory Coast. </w:t>
      </w:r>
      <w:proofErr w:type="spellStart"/>
      <w:r w:rsidRPr="001653A8">
        <w:rPr>
          <w:rFonts w:ascii="Arial" w:hAnsi="Arial" w:cs="Arial"/>
          <w:lang w:val="fr-CI"/>
        </w:rPr>
        <w:t>European</w:t>
      </w:r>
      <w:proofErr w:type="spellEnd"/>
      <w:r w:rsidRPr="001653A8">
        <w:rPr>
          <w:rFonts w:ascii="Arial" w:hAnsi="Arial" w:cs="Arial"/>
          <w:lang w:val="fr-CI"/>
        </w:rPr>
        <w:t xml:space="preserve"> Scientific Journal, 11(21</w:t>
      </w:r>
      <w:proofErr w:type="gramStart"/>
      <w:r w:rsidRPr="001653A8">
        <w:rPr>
          <w:rFonts w:ascii="Arial" w:hAnsi="Arial" w:cs="Arial"/>
          <w:lang w:val="fr-CI"/>
        </w:rPr>
        <w:t>):</w:t>
      </w:r>
      <w:proofErr w:type="gramEnd"/>
      <w:r w:rsidR="00A25ED7" w:rsidRPr="001653A8">
        <w:rPr>
          <w:rFonts w:ascii="Arial" w:hAnsi="Arial" w:cs="Arial"/>
          <w:lang w:val="fr-CI"/>
        </w:rPr>
        <w:t xml:space="preserve"> </w:t>
      </w:r>
      <w:r w:rsidRPr="001653A8">
        <w:rPr>
          <w:rFonts w:ascii="Arial" w:hAnsi="Arial" w:cs="Arial"/>
          <w:lang w:val="fr-CI"/>
        </w:rPr>
        <w:t xml:space="preserve">276-292. </w:t>
      </w:r>
      <w:r w:rsidR="003160AC" w:rsidRPr="001653A8">
        <w:rPr>
          <w:rFonts w:ascii="Arial" w:hAnsi="Arial" w:cs="Arial"/>
          <w:sz w:val="18"/>
          <w:szCs w:val="18"/>
          <w:lang w:val="fr-CI"/>
        </w:rPr>
        <w:t>https://eujournal.org/index.php/esj/article/view/6001</w:t>
      </w:r>
    </w:p>
    <w:p w14:paraId="74009211" w14:textId="1C88F9D4"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highlight w:val="yellow"/>
          <w:lang w:val="fr-CI"/>
        </w:rPr>
        <w:t xml:space="preserve">Gadji, A.A.G, Coulibaly, N.D., </w:t>
      </w:r>
      <w:proofErr w:type="spellStart"/>
      <w:r w:rsidRPr="001653A8">
        <w:rPr>
          <w:rFonts w:ascii="Arial" w:hAnsi="Arial" w:cs="Arial"/>
          <w:highlight w:val="yellow"/>
          <w:lang w:val="fr-CI"/>
        </w:rPr>
        <w:t>Tienebo</w:t>
      </w:r>
      <w:proofErr w:type="spellEnd"/>
      <w:r w:rsidRPr="001653A8">
        <w:rPr>
          <w:rFonts w:ascii="Arial" w:hAnsi="Arial" w:cs="Arial"/>
          <w:highlight w:val="yellow"/>
          <w:lang w:val="fr-CI"/>
        </w:rPr>
        <w:t xml:space="preserve">, E.O., </w:t>
      </w:r>
      <w:proofErr w:type="spellStart"/>
      <w:r w:rsidRPr="001653A8">
        <w:rPr>
          <w:rFonts w:ascii="Arial" w:hAnsi="Arial" w:cs="Arial"/>
          <w:highlight w:val="yellow"/>
          <w:lang w:val="fr-CI"/>
        </w:rPr>
        <w:t>Ossey</w:t>
      </w:r>
      <w:proofErr w:type="spellEnd"/>
      <w:r w:rsidRPr="001653A8">
        <w:rPr>
          <w:rFonts w:ascii="Arial" w:hAnsi="Arial" w:cs="Arial"/>
          <w:highlight w:val="yellow"/>
          <w:lang w:val="fr-CI"/>
        </w:rPr>
        <w:t>, C.L., N’Gaza, A.F., N’</w:t>
      </w:r>
      <w:proofErr w:type="spellStart"/>
      <w:r w:rsidRPr="001653A8">
        <w:rPr>
          <w:rFonts w:ascii="Arial" w:hAnsi="Arial" w:cs="Arial"/>
          <w:highlight w:val="yellow"/>
          <w:lang w:val="fr-CI"/>
        </w:rPr>
        <w:t>Gbesso</w:t>
      </w:r>
      <w:proofErr w:type="spellEnd"/>
      <w:r w:rsidRPr="001653A8">
        <w:rPr>
          <w:rFonts w:ascii="Arial" w:hAnsi="Arial" w:cs="Arial"/>
          <w:highlight w:val="yellow"/>
          <w:lang w:val="fr-CI"/>
        </w:rPr>
        <w:t xml:space="preserve">, M., </w:t>
      </w:r>
      <w:proofErr w:type="spellStart"/>
      <w:r w:rsidRPr="001653A8">
        <w:rPr>
          <w:rFonts w:ascii="Arial" w:hAnsi="Arial" w:cs="Arial"/>
          <w:highlight w:val="yellow"/>
          <w:lang w:val="fr-CI"/>
        </w:rPr>
        <w:t>Fondio</w:t>
      </w:r>
      <w:proofErr w:type="spellEnd"/>
      <w:r w:rsidRPr="001653A8">
        <w:rPr>
          <w:rFonts w:ascii="Arial" w:hAnsi="Arial" w:cs="Arial"/>
          <w:highlight w:val="yellow"/>
          <w:lang w:val="fr-CI"/>
        </w:rPr>
        <w:t xml:space="preserve">, L., &amp; Abo, K. (2024). </w:t>
      </w:r>
      <w:r w:rsidRPr="001653A8">
        <w:rPr>
          <w:rFonts w:ascii="Arial" w:hAnsi="Arial" w:cs="Arial"/>
          <w:highlight w:val="yellow"/>
          <w:lang w:val="en-GB"/>
        </w:rPr>
        <w:t xml:space="preserve">Antifungal activity of aqueous extract of garlic and oils of </w:t>
      </w:r>
      <w:proofErr w:type="spellStart"/>
      <w:r w:rsidRPr="001653A8">
        <w:rPr>
          <w:rFonts w:ascii="Arial" w:hAnsi="Arial" w:cs="Arial"/>
          <w:highlight w:val="yellow"/>
          <w:lang w:val="en-GB"/>
        </w:rPr>
        <w:t>carapa</w:t>
      </w:r>
      <w:proofErr w:type="spellEnd"/>
      <w:r w:rsidRPr="001653A8">
        <w:rPr>
          <w:rFonts w:ascii="Arial" w:hAnsi="Arial" w:cs="Arial"/>
          <w:highlight w:val="yellow"/>
          <w:lang w:val="en-GB"/>
        </w:rPr>
        <w:t xml:space="preserve"> and neem on the causal agent of tomato late blight disease. </w:t>
      </w:r>
      <w:r w:rsidRPr="001653A8">
        <w:rPr>
          <w:rFonts w:ascii="Arial" w:hAnsi="Arial" w:cs="Arial"/>
          <w:i/>
          <w:iCs/>
          <w:highlight w:val="yellow"/>
          <w:lang w:val="en-GB"/>
        </w:rPr>
        <w:t>International Journal of Biological and Chemical Science</w:t>
      </w:r>
      <w:r w:rsidRPr="001653A8">
        <w:rPr>
          <w:rFonts w:ascii="Arial" w:hAnsi="Arial" w:cs="Arial"/>
          <w:highlight w:val="yellow"/>
          <w:lang w:val="en-GB"/>
        </w:rPr>
        <w:t xml:space="preserve">, 18(6): 2388-2398. </w:t>
      </w:r>
      <w:r w:rsidR="003160AC" w:rsidRPr="001653A8">
        <w:rPr>
          <w:rFonts w:ascii="Arial" w:hAnsi="Arial" w:cs="Arial"/>
          <w:sz w:val="18"/>
          <w:szCs w:val="18"/>
          <w:highlight w:val="yellow"/>
        </w:rPr>
        <w:t>https://doi.org/10.4314/ijbcs.v18i6.24</w:t>
      </w:r>
    </w:p>
    <w:p w14:paraId="54F09567" w14:textId="1CA7D9F9"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en-GB"/>
        </w:rPr>
        <w:t xml:space="preserve">He, C., Lin, J., Wu, H., Zheng, J., Zhang, Y., Zhang, Y., Li, Z., Liang, Y., Lu, Y., &amp; Yi, K. (2025). Morphological and molecular characterization of </w:t>
      </w:r>
      <w:proofErr w:type="spellStart"/>
      <w:r w:rsidRPr="001653A8">
        <w:rPr>
          <w:rFonts w:ascii="Arial" w:hAnsi="Arial" w:cs="Arial"/>
          <w:i/>
          <w:iCs/>
          <w:lang w:val="en-GB"/>
        </w:rPr>
        <w:t>Lasiodiplodia</w:t>
      </w:r>
      <w:proofErr w:type="spellEnd"/>
      <w:r w:rsidRPr="001653A8">
        <w:rPr>
          <w:rFonts w:ascii="Arial" w:hAnsi="Arial" w:cs="Arial"/>
          <w:i/>
          <w:iCs/>
          <w:lang w:val="en-GB"/>
        </w:rPr>
        <w:t xml:space="preserve"> </w:t>
      </w:r>
      <w:proofErr w:type="spellStart"/>
      <w:r w:rsidRPr="001653A8">
        <w:rPr>
          <w:rFonts w:ascii="Arial" w:hAnsi="Arial" w:cs="Arial"/>
          <w:i/>
          <w:iCs/>
          <w:lang w:val="en-GB"/>
        </w:rPr>
        <w:t>theobromae</w:t>
      </w:r>
      <w:proofErr w:type="spellEnd"/>
      <w:r w:rsidRPr="001653A8">
        <w:rPr>
          <w:rFonts w:ascii="Arial" w:hAnsi="Arial" w:cs="Arial"/>
          <w:lang w:val="en-GB"/>
        </w:rPr>
        <w:t xml:space="preserve"> causing stem gummosis disease in rubber trees and its chemical control strategies. </w:t>
      </w:r>
      <w:r w:rsidRPr="001653A8">
        <w:rPr>
          <w:rFonts w:ascii="Arial" w:hAnsi="Arial" w:cs="Arial"/>
          <w:i/>
          <w:iCs/>
          <w:lang w:val="en-GB"/>
        </w:rPr>
        <w:t>Microorganisms</w:t>
      </w:r>
      <w:r w:rsidRPr="001653A8">
        <w:rPr>
          <w:rFonts w:ascii="Arial" w:hAnsi="Arial" w:cs="Arial"/>
          <w:lang w:val="en-GB"/>
        </w:rPr>
        <w:t xml:space="preserve">, 13 (7), 1586. </w:t>
      </w:r>
      <w:r w:rsidR="003160AC" w:rsidRPr="001653A8">
        <w:rPr>
          <w:rFonts w:ascii="Arial" w:hAnsi="Arial" w:cs="Arial"/>
          <w:sz w:val="18"/>
          <w:szCs w:val="18"/>
        </w:rPr>
        <w:t>https://doi.org/10.3390/microorganisms13071586</w:t>
      </w:r>
    </w:p>
    <w:p w14:paraId="2CA07ABE" w14:textId="3926960B" w:rsidR="00430B0F" w:rsidRPr="001653A8" w:rsidRDefault="00430B0F" w:rsidP="001653A8">
      <w:pPr>
        <w:pStyle w:val="ListParagraph"/>
        <w:numPr>
          <w:ilvl w:val="0"/>
          <w:numId w:val="31"/>
        </w:numPr>
        <w:jc w:val="both"/>
        <w:rPr>
          <w:rFonts w:ascii="Arial" w:hAnsi="Arial" w:cs="Arial"/>
          <w:sz w:val="18"/>
          <w:szCs w:val="18"/>
        </w:rPr>
      </w:pPr>
      <w:r w:rsidRPr="001653A8">
        <w:rPr>
          <w:rFonts w:ascii="Arial" w:hAnsi="Arial" w:cs="Arial"/>
          <w:lang w:val="en-GB"/>
        </w:rPr>
        <w:t xml:space="preserve">Kausar, P., Chohan, S. &amp; Parveen, R. (2009). Physiological studies on </w:t>
      </w:r>
      <w:proofErr w:type="spellStart"/>
      <w:r w:rsidRPr="001653A8">
        <w:rPr>
          <w:rFonts w:ascii="Arial" w:hAnsi="Arial" w:cs="Arial"/>
          <w:lang w:val="en-GB"/>
        </w:rPr>
        <w:t>Lasiodiplodia</w:t>
      </w:r>
      <w:proofErr w:type="spellEnd"/>
      <w:r w:rsidRPr="001653A8">
        <w:rPr>
          <w:rFonts w:ascii="Arial" w:hAnsi="Arial" w:cs="Arial"/>
          <w:lang w:val="en-GB"/>
        </w:rPr>
        <w:t xml:space="preserve"> </w:t>
      </w:r>
      <w:proofErr w:type="spellStart"/>
      <w:r w:rsidRPr="001653A8">
        <w:rPr>
          <w:rFonts w:ascii="Arial" w:hAnsi="Arial" w:cs="Arial"/>
          <w:lang w:val="en-GB"/>
        </w:rPr>
        <w:t>theobromae</w:t>
      </w:r>
      <w:proofErr w:type="spellEnd"/>
      <w:r w:rsidRPr="001653A8">
        <w:rPr>
          <w:rFonts w:ascii="Arial" w:hAnsi="Arial" w:cs="Arial"/>
          <w:lang w:val="en-GB"/>
        </w:rPr>
        <w:t xml:space="preserve"> and Fusarium </w:t>
      </w:r>
      <w:proofErr w:type="spellStart"/>
      <w:r w:rsidRPr="001653A8">
        <w:rPr>
          <w:rFonts w:ascii="Arial" w:hAnsi="Arial" w:cs="Arial"/>
          <w:lang w:val="en-GB"/>
        </w:rPr>
        <w:t>sp</w:t>
      </w:r>
      <w:proofErr w:type="spellEnd"/>
      <w:r w:rsidRPr="001653A8">
        <w:rPr>
          <w:rFonts w:ascii="Arial" w:hAnsi="Arial" w:cs="Arial"/>
          <w:lang w:val="en-GB"/>
        </w:rPr>
        <w:t xml:space="preserve">, the cause of </w:t>
      </w:r>
      <w:proofErr w:type="spellStart"/>
      <w:r w:rsidRPr="001653A8">
        <w:rPr>
          <w:rFonts w:ascii="Arial" w:hAnsi="Arial" w:cs="Arial"/>
          <w:lang w:val="en-GB"/>
        </w:rPr>
        <w:t>shesham</w:t>
      </w:r>
      <w:proofErr w:type="spellEnd"/>
      <w:r w:rsidRPr="001653A8">
        <w:rPr>
          <w:rFonts w:ascii="Arial" w:hAnsi="Arial" w:cs="Arial"/>
          <w:lang w:val="en-GB"/>
        </w:rPr>
        <w:t xml:space="preserve"> decline. </w:t>
      </w:r>
      <w:proofErr w:type="spellStart"/>
      <w:r w:rsidRPr="001653A8">
        <w:rPr>
          <w:rFonts w:ascii="Arial" w:hAnsi="Arial" w:cs="Arial"/>
          <w:i/>
          <w:iCs/>
          <w:lang w:val="en-GB"/>
        </w:rPr>
        <w:t>Mycopath</w:t>
      </w:r>
      <w:proofErr w:type="spellEnd"/>
      <w:r w:rsidR="00001BA7" w:rsidRPr="001653A8">
        <w:rPr>
          <w:rFonts w:ascii="Arial" w:hAnsi="Arial" w:cs="Arial"/>
          <w:lang w:val="en-GB"/>
        </w:rPr>
        <w:t>,</w:t>
      </w:r>
      <w:r w:rsidRPr="001653A8">
        <w:rPr>
          <w:rFonts w:ascii="Arial" w:hAnsi="Arial" w:cs="Arial"/>
          <w:lang w:val="en-GB"/>
        </w:rPr>
        <w:t xml:space="preserve"> 7:35-38. </w:t>
      </w:r>
      <w:hyperlink r:id="rId22" w:history="1">
        <w:r w:rsidR="00A15AD0" w:rsidRPr="001653A8">
          <w:rPr>
            <w:rStyle w:val="Hyperlink"/>
            <w:rFonts w:ascii="Arial" w:hAnsi="Arial" w:cs="Arial"/>
            <w:color w:val="auto"/>
            <w:sz w:val="18"/>
            <w:szCs w:val="18"/>
            <w:u w:val="none"/>
          </w:rPr>
          <w:t>https://pu.edu.pk/images/journal/mycopath/pdf-files/Vol%207(1)%202009/35-38.pdf</w:t>
        </w:r>
      </w:hyperlink>
    </w:p>
    <w:p w14:paraId="27CAD485" w14:textId="77777777" w:rsidR="00A15AD0" w:rsidRPr="001653A8" w:rsidRDefault="00A15AD0" w:rsidP="001653A8">
      <w:pPr>
        <w:pStyle w:val="ListParagraph"/>
        <w:numPr>
          <w:ilvl w:val="0"/>
          <w:numId w:val="31"/>
        </w:numPr>
        <w:jc w:val="both"/>
        <w:rPr>
          <w:rFonts w:ascii="Arial" w:hAnsi="Arial" w:cs="Arial"/>
          <w:sz w:val="18"/>
          <w:szCs w:val="18"/>
          <w:lang w:val="en-GB"/>
        </w:rPr>
      </w:pPr>
      <w:proofErr w:type="spellStart"/>
      <w:r w:rsidRPr="001653A8">
        <w:rPr>
          <w:rFonts w:ascii="Arial" w:hAnsi="Arial" w:cs="Arial"/>
          <w:highlight w:val="yellow"/>
          <w:lang w:val="en-GB"/>
        </w:rPr>
        <w:t>Kefi</w:t>
      </w:r>
      <w:proofErr w:type="spellEnd"/>
      <w:r w:rsidRPr="001653A8">
        <w:rPr>
          <w:rFonts w:ascii="Arial" w:hAnsi="Arial" w:cs="Arial"/>
          <w:highlight w:val="yellow"/>
          <w:lang w:val="en-GB"/>
        </w:rPr>
        <w:t xml:space="preserve">, A., </w:t>
      </w:r>
      <w:proofErr w:type="spellStart"/>
      <w:r w:rsidRPr="001653A8">
        <w:rPr>
          <w:rFonts w:ascii="Arial" w:hAnsi="Arial" w:cs="Arial"/>
          <w:highlight w:val="yellow"/>
          <w:lang w:val="en-GB"/>
        </w:rPr>
        <w:t>Slimene</w:t>
      </w:r>
      <w:proofErr w:type="spellEnd"/>
      <w:r w:rsidRPr="001653A8">
        <w:rPr>
          <w:rFonts w:ascii="Arial" w:hAnsi="Arial" w:cs="Arial"/>
          <w:highlight w:val="yellow"/>
          <w:lang w:val="en-GB"/>
        </w:rPr>
        <w:t xml:space="preserve">, I. B., </w:t>
      </w:r>
      <w:proofErr w:type="spellStart"/>
      <w:r w:rsidRPr="001653A8">
        <w:rPr>
          <w:rFonts w:ascii="Arial" w:hAnsi="Arial" w:cs="Arial"/>
          <w:highlight w:val="yellow"/>
          <w:lang w:val="en-GB"/>
        </w:rPr>
        <w:t>Karkouch</w:t>
      </w:r>
      <w:proofErr w:type="spellEnd"/>
      <w:r w:rsidRPr="001653A8">
        <w:rPr>
          <w:rFonts w:ascii="Arial" w:hAnsi="Arial" w:cs="Arial"/>
          <w:highlight w:val="yellow"/>
          <w:lang w:val="en-GB"/>
        </w:rPr>
        <w:t xml:space="preserve">, I., </w:t>
      </w:r>
      <w:proofErr w:type="spellStart"/>
      <w:r w:rsidRPr="001653A8">
        <w:rPr>
          <w:rFonts w:ascii="Arial" w:hAnsi="Arial" w:cs="Arial"/>
          <w:highlight w:val="yellow"/>
          <w:lang w:val="en-GB"/>
        </w:rPr>
        <w:t>Rihouey</w:t>
      </w:r>
      <w:proofErr w:type="spellEnd"/>
      <w:r w:rsidRPr="001653A8">
        <w:rPr>
          <w:rFonts w:ascii="Arial" w:hAnsi="Arial" w:cs="Arial"/>
          <w:highlight w:val="yellow"/>
          <w:lang w:val="en-GB"/>
        </w:rPr>
        <w:t xml:space="preserve">, C., </w:t>
      </w:r>
      <w:proofErr w:type="spellStart"/>
      <w:r w:rsidRPr="001653A8">
        <w:rPr>
          <w:rFonts w:ascii="Arial" w:hAnsi="Arial" w:cs="Arial"/>
          <w:highlight w:val="yellow"/>
          <w:lang w:val="en-GB"/>
        </w:rPr>
        <w:t>Azaeiz</w:t>
      </w:r>
      <w:proofErr w:type="spellEnd"/>
      <w:r w:rsidRPr="001653A8">
        <w:rPr>
          <w:rFonts w:ascii="Arial" w:hAnsi="Arial" w:cs="Arial"/>
          <w:highlight w:val="yellow"/>
          <w:lang w:val="en-GB"/>
        </w:rPr>
        <w:t xml:space="preserve">, S., Bejaoui, M., ... &amp; </w:t>
      </w:r>
      <w:proofErr w:type="spellStart"/>
      <w:r w:rsidRPr="001653A8">
        <w:rPr>
          <w:rFonts w:ascii="Arial" w:hAnsi="Arial" w:cs="Arial"/>
          <w:highlight w:val="yellow"/>
          <w:lang w:val="en-GB"/>
        </w:rPr>
        <w:t>Limam</w:t>
      </w:r>
      <w:proofErr w:type="spellEnd"/>
      <w:r w:rsidRPr="001653A8">
        <w:rPr>
          <w:rFonts w:ascii="Arial" w:hAnsi="Arial" w:cs="Arial"/>
          <w:highlight w:val="yellow"/>
          <w:lang w:val="en-GB"/>
        </w:rPr>
        <w:t xml:space="preserve">, F. (2015). Characterization of endophytic </w:t>
      </w:r>
      <w:r w:rsidRPr="001653A8">
        <w:rPr>
          <w:rFonts w:ascii="Arial" w:hAnsi="Arial" w:cs="Arial"/>
          <w:i/>
          <w:iCs/>
          <w:highlight w:val="yellow"/>
          <w:lang w:val="en-GB"/>
        </w:rPr>
        <w:t>Bacillus</w:t>
      </w:r>
      <w:r w:rsidRPr="001653A8">
        <w:rPr>
          <w:rFonts w:ascii="Arial" w:hAnsi="Arial" w:cs="Arial"/>
          <w:highlight w:val="yellow"/>
          <w:lang w:val="en-GB"/>
        </w:rPr>
        <w:t xml:space="preserve"> strains from tomato plants (</w:t>
      </w:r>
      <w:r w:rsidRPr="001653A8">
        <w:rPr>
          <w:rFonts w:ascii="Arial" w:hAnsi="Arial" w:cs="Arial"/>
          <w:i/>
          <w:iCs/>
          <w:highlight w:val="yellow"/>
          <w:lang w:val="en-GB"/>
        </w:rPr>
        <w:t>Lycopersicon esculentum</w:t>
      </w:r>
      <w:r w:rsidRPr="001653A8">
        <w:rPr>
          <w:rFonts w:ascii="Arial" w:hAnsi="Arial" w:cs="Arial"/>
          <w:highlight w:val="yellow"/>
          <w:lang w:val="en-GB"/>
        </w:rPr>
        <w:t xml:space="preserve">) displaying antifungal activity against Botrytis cinerea Pers. </w:t>
      </w:r>
      <w:r w:rsidRPr="001653A8">
        <w:rPr>
          <w:rFonts w:ascii="Arial" w:hAnsi="Arial" w:cs="Arial"/>
          <w:i/>
          <w:iCs/>
          <w:highlight w:val="yellow"/>
          <w:lang w:val="en-GB"/>
        </w:rPr>
        <w:t>World Journal of Microbiology and Biotechnology</w:t>
      </w:r>
      <w:r w:rsidRPr="001653A8">
        <w:rPr>
          <w:rFonts w:ascii="Arial" w:hAnsi="Arial" w:cs="Arial"/>
          <w:highlight w:val="yellow"/>
          <w:lang w:val="en-GB"/>
        </w:rPr>
        <w:t xml:space="preserve">, 31(12), 1967-1976. </w:t>
      </w:r>
      <w:hyperlink r:id="rId23" w:history="1">
        <w:r w:rsidRPr="001653A8">
          <w:rPr>
            <w:rStyle w:val="Hyperlink"/>
            <w:rFonts w:ascii="Arial" w:hAnsi="Arial" w:cs="Arial"/>
            <w:color w:val="auto"/>
            <w:sz w:val="18"/>
            <w:szCs w:val="18"/>
            <w:highlight w:val="yellow"/>
            <w:u w:val="none"/>
            <w:lang w:val="en-GB"/>
          </w:rPr>
          <w:t>https://link.springer.com/article/10.1007/s11274-015-1943-x</w:t>
        </w:r>
      </w:hyperlink>
      <w:r w:rsidRPr="001653A8">
        <w:rPr>
          <w:rFonts w:ascii="Arial" w:hAnsi="Arial" w:cs="Arial"/>
          <w:sz w:val="18"/>
          <w:szCs w:val="18"/>
          <w:lang w:val="en-GB"/>
        </w:rPr>
        <w:t xml:space="preserve"> </w:t>
      </w:r>
    </w:p>
    <w:p w14:paraId="23919B33" w14:textId="2E36B998"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en-GB"/>
        </w:rPr>
        <w:t xml:space="preserve">Khanzada, M.A., Rajput, A.Q. &amp; Shahzad, S. (2006). Effect of medium, temperature, light and inorganic fertilizers on </w:t>
      </w:r>
      <w:r w:rsidRPr="001653A8">
        <w:rPr>
          <w:rFonts w:ascii="Arial" w:hAnsi="Arial" w:cs="Arial"/>
          <w:i/>
          <w:iCs/>
          <w:lang w:val="en-GB"/>
        </w:rPr>
        <w:t>in vitro</w:t>
      </w:r>
      <w:r w:rsidRPr="001653A8">
        <w:rPr>
          <w:rFonts w:ascii="Arial" w:hAnsi="Arial" w:cs="Arial"/>
          <w:lang w:val="en-GB"/>
        </w:rPr>
        <w:t xml:space="preserve"> growth and sporulation of </w:t>
      </w:r>
      <w:proofErr w:type="spellStart"/>
      <w:r w:rsidRPr="001653A8">
        <w:rPr>
          <w:rFonts w:ascii="Arial" w:hAnsi="Arial" w:cs="Arial"/>
          <w:i/>
          <w:iCs/>
          <w:lang w:val="en-GB"/>
        </w:rPr>
        <w:t>Lasiodiplodia</w:t>
      </w:r>
      <w:proofErr w:type="spellEnd"/>
      <w:r w:rsidRPr="001653A8">
        <w:rPr>
          <w:rFonts w:ascii="Arial" w:hAnsi="Arial" w:cs="Arial"/>
          <w:i/>
          <w:iCs/>
          <w:lang w:val="en-GB"/>
        </w:rPr>
        <w:t xml:space="preserve"> </w:t>
      </w:r>
      <w:proofErr w:type="spellStart"/>
      <w:r w:rsidRPr="001653A8">
        <w:rPr>
          <w:rFonts w:ascii="Arial" w:hAnsi="Arial" w:cs="Arial"/>
          <w:i/>
          <w:iCs/>
          <w:lang w:val="en-GB"/>
        </w:rPr>
        <w:t>theobromae</w:t>
      </w:r>
      <w:proofErr w:type="spellEnd"/>
      <w:r w:rsidRPr="001653A8">
        <w:rPr>
          <w:rFonts w:ascii="Arial" w:hAnsi="Arial" w:cs="Arial"/>
          <w:lang w:val="en-GB"/>
        </w:rPr>
        <w:t xml:space="preserve"> isolated from mango. </w:t>
      </w:r>
      <w:r w:rsidRPr="001653A8">
        <w:rPr>
          <w:rFonts w:ascii="Arial" w:hAnsi="Arial" w:cs="Arial"/>
          <w:i/>
          <w:iCs/>
          <w:lang w:val="en-GB"/>
        </w:rPr>
        <w:t>Pakistan Journal of Botany</w:t>
      </w:r>
      <w:r w:rsidRPr="001653A8">
        <w:rPr>
          <w:rFonts w:ascii="Arial" w:hAnsi="Arial" w:cs="Arial"/>
          <w:lang w:val="en-GB"/>
        </w:rPr>
        <w:t xml:space="preserve">, 38 (3): 885-889. </w:t>
      </w:r>
      <w:r w:rsidR="003160AC" w:rsidRPr="001653A8">
        <w:rPr>
          <w:rFonts w:ascii="Arial" w:hAnsi="Arial" w:cs="Arial"/>
          <w:sz w:val="18"/>
          <w:szCs w:val="18"/>
        </w:rPr>
        <w:t>https://www.pakbs.org/pjbot/pdfs/38(3)/PJB38(3)885.pdf</w:t>
      </w:r>
    </w:p>
    <w:p w14:paraId="23FBB4A4" w14:textId="66C79AC8"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en-GB"/>
        </w:rPr>
        <w:t>Koffi AMH, Yah NGM, Koffi NBC, Amon MW, Atta THD. 2021. Effect of four substrate treatments on the appearance of tomato diseases [</w:t>
      </w:r>
      <w:r w:rsidRPr="001653A8">
        <w:rPr>
          <w:rFonts w:ascii="Arial" w:hAnsi="Arial" w:cs="Arial"/>
          <w:i/>
          <w:iCs/>
          <w:lang w:val="en-GB"/>
        </w:rPr>
        <w:t xml:space="preserve">Solanum </w:t>
      </w:r>
      <w:proofErr w:type="spellStart"/>
      <w:r w:rsidRPr="001653A8">
        <w:rPr>
          <w:rFonts w:ascii="Arial" w:hAnsi="Arial" w:cs="Arial"/>
          <w:i/>
          <w:iCs/>
          <w:lang w:val="en-GB"/>
        </w:rPr>
        <w:t>lycopersicum</w:t>
      </w:r>
      <w:proofErr w:type="spellEnd"/>
      <w:r w:rsidRPr="001653A8">
        <w:rPr>
          <w:rFonts w:ascii="Arial" w:hAnsi="Arial" w:cs="Arial"/>
          <w:lang w:val="en-GB"/>
        </w:rPr>
        <w:t xml:space="preserve"> L. (Solanaceae)] in soilless cultivation, Ivory Coast</w:t>
      </w:r>
      <w:r w:rsidRPr="001653A8">
        <w:rPr>
          <w:rFonts w:ascii="Arial" w:hAnsi="Arial" w:cs="Arial"/>
          <w:i/>
          <w:iCs/>
          <w:lang w:val="en-GB"/>
        </w:rPr>
        <w:t>. European Scientific Journal</w:t>
      </w:r>
      <w:r w:rsidRPr="001653A8">
        <w:rPr>
          <w:rFonts w:ascii="Arial" w:hAnsi="Arial" w:cs="Arial"/>
          <w:lang w:val="en-GB"/>
        </w:rPr>
        <w:t xml:space="preserve">, 17(3): 63-78. </w:t>
      </w:r>
      <w:r w:rsidR="003160AC" w:rsidRPr="001653A8">
        <w:rPr>
          <w:rFonts w:ascii="Arial" w:hAnsi="Arial" w:cs="Arial"/>
          <w:sz w:val="18"/>
          <w:szCs w:val="18"/>
        </w:rPr>
        <w:t>https://doi.org/10.19044/esj.2021.v17n3p63</w:t>
      </w:r>
    </w:p>
    <w:p w14:paraId="0A4DCB80" w14:textId="1289E0D2"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en-GB"/>
        </w:rPr>
        <w:t xml:space="preserve">Koné, Y., </w:t>
      </w:r>
      <w:proofErr w:type="spellStart"/>
      <w:r w:rsidRPr="001653A8">
        <w:rPr>
          <w:rFonts w:ascii="Arial" w:hAnsi="Arial" w:cs="Arial"/>
          <w:lang w:val="en-GB"/>
        </w:rPr>
        <w:t>Kouadia</w:t>
      </w:r>
      <w:proofErr w:type="spellEnd"/>
      <w:r w:rsidRPr="001653A8">
        <w:rPr>
          <w:rFonts w:ascii="Arial" w:hAnsi="Arial" w:cs="Arial"/>
          <w:lang w:val="en-GB"/>
        </w:rPr>
        <w:t xml:space="preserve">, A.M.J., Yao, A.S., Konan, K.U.U., </w:t>
      </w:r>
      <w:proofErr w:type="spellStart"/>
      <w:r w:rsidRPr="001653A8">
        <w:rPr>
          <w:rFonts w:ascii="Arial" w:hAnsi="Arial" w:cs="Arial"/>
          <w:lang w:val="en-GB"/>
        </w:rPr>
        <w:t>Tienebo</w:t>
      </w:r>
      <w:proofErr w:type="spellEnd"/>
      <w:r w:rsidRPr="001653A8">
        <w:rPr>
          <w:rFonts w:ascii="Arial" w:hAnsi="Arial" w:cs="Arial"/>
          <w:lang w:val="en-GB"/>
        </w:rPr>
        <w:t xml:space="preserve">, E.O., </w:t>
      </w:r>
      <w:proofErr w:type="spellStart"/>
      <w:r w:rsidRPr="001653A8">
        <w:rPr>
          <w:rFonts w:ascii="Arial" w:hAnsi="Arial" w:cs="Arial"/>
          <w:lang w:val="en-GB"/>
        </w:rPr>
        <w:t>Kouadio</w:t>
      </w:r>
      <w:proofErr w:type="spellEnd"/>
      <w:r w:rsidRPr="001653A8">
        <w:rPr>
          <w:rFonts w:ascii="Arial" w:hAnsi="Arial" w:cs="Arial"/>
          <w:lang w:val="en-GB"/>
        </w:rPr>
        <w:t xml:space="preserve">, K.T., &amp; Abo K. (2025). Distribution of fungal diseases caused by </w:t>
      </w:r>
      <w:proofErr w:type="spellStart"/>
      <w:r w:rsidRPr="001653A8">
        <w:rPr>
          <w:rFonts w:ascii="Arial" w:hAnsi="Arial" w:cs="Arial"/>
          <w:i/>
          <w:iCs/>
          <w:lang w:val="en-GB"/>
        </w:rPr>
        <w:t>Lasiodiplodia</w:t>
      </w:r>
      <w:proofErr w:type="spellEnd"/>
      <w:r w:rsidRPr="001653A8">
        <w:rPr>
          <w:rFonts w:ascii="Arial" w:hAnsi="Arial" w:cs="Arial"/>
          <w:lang w:val="en-GB"/>
        </w:rPr>
        <w:t xml:space="preserve"> sp. in cashew and mango orchards in Ivory Coast. </w:t>
      </w:r>
      <w:r w:rsidRPr="001653A8">
        <w:rPr>
          <w:rFonts w:ascii="Arial" w:hAnsi="Arial" w:cs="Arial"/>
          <w:i/>
          <w:iCs/>
          <w:lang w:val="en-GB"/>
        </w:rPr>
        <w:t>World Journal of Advanced Research and Reviews</w:t>
      </w:r>
      <w:r w:rsidRPr="001653A8">
        <w:rPr>
          <w:rFonts w:ascii="Arial" w:hAnsi="Arial" w:cs="Arial"/>
          <w:lang w:val="en-GB"/>
        </w:rPr>
        <w:t xml:space="preserve">, 27(01), 1108-1118. </w:t>
      </w:r>
      <w:r w:rsidR="003160AC" w:rsidRPr="001653A8">
        <w:rPr>
          <w:rFonts w:ascii="Arial" w:hAnsi="Arial" w:cs="Arial"/>
          <w:sz w:val="18"/>
          <w:szCs w:val="18"/>
        </w:rPr>
        <w:t>https://doi.org/10.30574/wjarr.2025.27.1.2617</w:t>
      </w:r>
    </w:p>
    <w:p w14:paraId="225EE808" w14:textId="4E829CEC" w:rsidR="003160AC" w:rsidRDefault="00430B0F" w:rsidP="001653A8">
      <w:pPr>
        <w:pStyle w:val="ListParagraph"/>
        <w:numPr>
          <w:ilvl w:val="0"/>
          <w:numId w:val="31"/>
        </w:numPr>
        <w:jc w:val="both"/>
      </w:pPr>
      <w:r w:rsidRPr="001653A8">
        <w:rPr>
          <w:rFonts w:ascii="Arial" w:hAnsi="Arial" w:cs="Arial"/>
          <w:lang w:val="en-GB"/>
        </w:rPr>
        <w:t xml:space="preserve">Kumar, A. S., Reddy, N. P. E., Reddy, K. H., &amp; Devi, M. C. (2007). Evaluation of fungicidal resistance among </w:t>
      </w:r>
      <w:r w:rsidRPr="001653A8">
        <w:rPr>
          <w:rFonts w:ascii="Arial" w:hAnsi="Arial" w:cs="Arial"/>
          <w:i/>
          <w:iCs/>
          <w:lang w:val="en-GB"/>
        </w:rPr>
        <w:t xml:space="preserve">Colletotrichum </w:t>
      </w:r>
      <w:proofErr w:type="spellStart"/>
      <w:r w:rsidRPr="001653A8">
        <w:rPr>
          <w:rFonts w:ascii="Arial" w:hAnsi="Arial" w:cs="Arial"/>
          <w:i/>
          <w:iCs/>
          <w:lang w:val="en-GB"/>
        </w:rPr>
        <w:t>gloeosporioides</w:t>
      </w:r>
      <w:proofErr w:type="spellEnd"/>
      <w:r w:rsidRPr="001653A8">
        <w:rPr>
          <w:rFonts w:ascii="Arial" w:hAnsi="Arial" w:cs="Arial"/>
          <w:lang w:val="en-GB"/>
        </w:rPr>
        <w:t xml:space="preserve"> isolates causing mango anthracnose in Agri Export Zone of Andhra Pradesh, India. </w:t>
      </w:r>
      <w:r w:rsidRPr="001653A8">
        <w:rPr>
          <w:rFonts w:ascii="Arial" w:hAnsi="Arial" w:cs="Arial"/>
          <w:i/>
          <w:iCs/>
          <w:lang w:val="en-GB"/>
        </w:rPr>
        <w:t>Plant Pathology Bulletin</w:t>
      </w:r>
      <w:r w:rsidRPr="001653A8">
        <w:rPr>
          <w:rFonts w:ascii="Arial" w:hAnsi="Arial" w:cs="Arial"/>
          <w:lang w:val="en-GB"/>
        </w:rPr>
        <w:t>, 16:157-160</w:t>
      </w:r>
      <w:r w:rsidR="00001BA7" w:rsidRPr="001653A8">
        <w:rPr>
          <w:rFonts w:ascii="Arial" w:hAnsi="Arial" w:cs="Arial"/>
          <w:lang w:val="en-GB"/>
        </w:rPr>
        <w:t>.</w:t>
      </w:r>
      <w:r w:rsidRPr="00430B0F">
        <w:t xml:space="preserve"> </w:t>
      </w:r>
      <w:r w:rsidR="003160AC" w:rsidRPr="001653A8">
        <w:rPr>
          <w:rFonts w:ascii="Arial" w:hAnsi="Arial" w:cs="Arial"/>
          <w:sz w:val="18"/>
          <w:szCs w:val="18"/>
        </w:rPr>
        <w:t>https://api.semanticscholar.org/CorpusID:82777593</w:t>
      </w:r>
    </w:p>
    <w:p w14:paraId="731E05E6" w14:textId="78E91F33" w:rsidR="00430B0F" w:rsidRPr="001653A8" w:rsidRDefault="00430B0F" w:rsidP="001653A8">
      <w:pPr>
        <w:pStyle w:val="ListParagraph"/>
        <w:numPr>
          <w:ilvl w:val="0"/>
          <w:numId w:val="31"/>
        </w:numPr>
        <w:jc w:val="both"/>
        <w:rPr>
          <w:rFonts w:ascii="Arial" w:hAnsi="Arial" w:cs="Arial"/>
          <w:lang w:val="en-GB"/>
        </w:rPr>
      </w:pPr>
      <w:proofErr w:type="spellStart"/>
      <w:r w:rsidRPr="001653A8">
        <w:rPr>
          <w:rFonts w:ascii="Arial" w:hAnsi="Arial" w:cs="Arial"/>
          <w:lang w:val="en-GB"/>
        </w:rPr>
        <w:t>Kwazou</w:t>
      </w:r>
      <w:proofErr w:type="spellEnd"/>
      <w:r w:rsidRPr="001653A8">
        <w:rPr>
          <w:rFonts w:ascii="Arial" w:hAnsi="Arial" w:cs="Arial"/>
          <w:lang w:val="en-GB"/>
        </w:rPr>
        <w:t xml:space="preserve">, N.L., </w:t>
      </w:r>
      <w:proofErr w:type="spellStart"/>
      <w:r w:rsidRPr="001653A8">
        <w:rPr>
          <w:rFonts w:ascii="Arial" w:hAnsi="Arial" w:cs="Arial"/>
          <w:lang w:val="en-GB"/>
        </w:rPr>
        <w:t>Jagzed</w:t>
      </w:r>
      <w:proofErr w:type="spellEnd"/>
      <w:r w:rsidRPr="001653A8">
        <w:rPr>
          <w:rFonts w:ascii="Arial" w:hAnsi="Arial" w:cs="Arial"/>
          <w:lang w:val="en-GB"/>
        </w:rPr>
        <w:t xml:space="preserve">, D.P.M., </w:t>
      </w:r>
      <w:proofErr w:type="spellStart"/>
      <w:r w:rsidRPr="001653A8">
        <w:rPr>
          <w:rFonts w:ascii="Arial" w:hAnsi="Arial" w:cs="Arial"/>
          <w:lang w:val="en-GB"/>
        </w:rPr>
        <w:t>Tatsadjieu</w:t>
      </w:r>
      <w:proofErr w:type="spellEnd"/>
      <w:r w:rsidRPr="001653A8">
        <w:rPr>
          <w:rFonts w:ascii="Arial" w:hAnsi="Arial" w:cs="Arial"/>
          <w:lang w:val="en-GB"/>
        </w:rPr>
        <w:t xml:space="preserve">, N.L., </w:t>
      </w:r>
      <w:proofErr w:type="spellStart"/>
      <w:r w:rsidRPr="001653A8">
        <w:rPr>
          <w:rFonts w:ascii="Arial" w:hAnsi="Arial" w:cs="Arial"/>
          <w:lang w:val="en-GB"/>
        </w:rPr>
        <w:t>Sameza</w:t>
      </w:r>
      <w:proofErr w:type="spellEnd"/>
      <w:r w:rsidRPr="001653A8">
        <w:rPr>
          <w:rFonts w:ascii="Arial" w:hAnsi="Arial" w:cs="Arial"/>
          <w:lang w:val="en-GB"/>
        </w:rPr>
        <w:t xml:space="preserve">, M.L., </w:t>
      </w:r>
      <w:proofErr w:type="spellStart"/>
      <w:r w:rsidRPr="001653A8">
        <w:rPr>
          <w:rFonts w:ascii="Arial" w:hAnsi="Arial" w:cs="Arial"/>
          <w:lang w:val="en-GB"/>
        </w:rPr>
        <w:t>Ndongson</w:t>
      </w:r>
      <w:proofErr w:type="spellEnd"/>
      <w:r w:rsidRPr="001653A8">
        <w:rPr>
          <w:rFonts w:ascii="Arial" w:hAnsi="Arial" w:cs="Arial"/>
          <w:lang w:val="en-GB"/>
        </w:rPr>
        <w:t xml:space="preserve">, D.B., </w:t>
      </w:r>
      <w:proofErr w:type="spellStart"/>
      <w:r w:rsidRPr="001653A8">
        <w:rPr>
          <w:rFonts w:ascii="Arial" w:hAnsi="Arial" w:cs="Arial"/>
          <w:lang w:val="en-GB"/>
        </w:rPr>
        <w:t>Amvam</w:t>
      </w:r>
      <w:proofErr w:type="spellEnd"/>
      <w:r w:rsidRPr="001653A8">
        <w:rPr>
          <w:rFonts w:ascii="Arial" w:hAnsi="Arial" w:cs="Arial"/>
          <w:lang w:val="en-GB"/>
        </w:rPr>
        <w:t xml:space="preserve">, Z.P.H., &amp; </w:t>
      </w:r>
      <w:proofErr w:type="spellStart"/>
      <w:r w:rsidRPr="001653A8">
        <w:rPr>
          <w:rFonts w:ascii="Arial" w:hAnsi="Arial" w:cs="Arial"/>
          <w:lang w:val="en-GB"/>
        </w:rPr>
        <w:t>Menut</w:t>
      </w:r>
      <w:proofErr w:type="spellEnd"/>
      <w:r w:rsidRPr="001653A8">
        <w:rPr>
          <w:rFonts w:ascii="Arial" w:hAnsi="Arial" w:cs="Arial"/>
          <w:lang w:val="en-GB"/>
        </w:rPr>
        <w:t xml:space="preserve"> C., (2009). Antifungal properties of essential oils of the genus </w:t>
      </w:r>
      <w:proofErr w:type="spellStart"/>
      <w:r w:rsidRPr="001653A8">
        <w:rPr>
          <w:rFonts w:ascii="Arial" w:hAnsi="Arial" w:cs="Arial"/>
          <w:i/>
          <w:iCs/>
          <w:lang w:val="en-GB"/>
        </w:rPr>
        <w:t>Aframomum</w:t>
      </w:r>
      <w:proofErr w:type="spellEnd"/>
      <w:r w:rsidRPr="001653A8">
        <w:rPr>
          <w:rFonts w:ascii="Arial" w:hAnsi="Arial" w:cs="Arial"/>
          <w:lang w:val="en-GB"/>
        </w:rPr>
        <w:t xml:space="preserve"> from Cameroon against </w:t>
      </w:r>
      <w:r w:rsidRPr="001653A8">
        <w:rPr>
          <w:rFonts w:ascii="Arial" w:hAnsi="Arial" w:cs="Arial"/>
          <w:i/>
          <w:iCs/>
          <w:lang w:val="en-GB"/>
        </w:rPr>
        <w:t>Aspergillus flavus</w:t>
      </w:r>
      <w:r w:rsidRPr="001653A8">
        <w:rPr>
          <w:rFonts w:ascii="Arial" w:hAnsi="Arial" w:cs="Arial"/>
          <w:lang w:val="en-GB"/>
        </w:rPr>
        <w:t xml:space="preserve">. </w:t>
      </w:r>
      <w:r w:rsidRPr="001653A8">
        <w:rPr>
          <w:rFonts w:ascii="Arial" w:hAnsi="Arial" w:cs="Arial"/>
          <w:i/>
          <w:iCs/>
          <w:lang w:val="en-GB"/>
        </w:rPr>
        <w:t>Cameroon Journal of experimental Biology</w:t>
      </w:r>
      <w:r w:rsidRPr="001653A8">
        <w:rPr>
          <w:rFonts w:ascii="Arial" w:hAnsi="Arial" w:cs="Arial"/>
          <w:lang w:val="en-GB"/>
        </w:rPr>
        <w:t>, 5(1): 44-51. DOI: 10.4314/</w:t>
      </w:r>
      <w:proofErr w:type="gramStart"/>
      <w:r w:rsidRPr="001653A8">
        <w:rPr>
          <w:rFonts w:ascii="Arial" w:hAnsi="Arial" w:cs="Arial"/>
          <w:lang w:val="en-GB"/>
        </w:rPr>
        <w:t>cajeb.v</w:t>
      </w:r>
      <w:proofErr w:type="gramEnd"/>
      <w:r w:rsidRPr="001653A8">
        <w:rPr>
          <w:rFonts w:ascii="Arial" w:hAnsi="Arial" w:cs="Arial"/>
          <w:lang w:val="en-GB"/>
        </w:rPr>
        <w:t>5i1.44456</w:t>
      </w:r>
    </w:p>
    <w:p w14:paraId="4E100F54" w14:textId="03CAF243"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en-GB"/>
        </w:rPr>
        <w:lastRenderedPageBreak/>
        <w:t xml:space="preserve">Leibee, G.L. &amp; </w:t>
      </w:r>
      <w:proofErr w:type="spellStart"/>
      <w:r w:rsidRPr="001653A8">
        <w:rPr>
          <w:rFonts w:ascii="Arial" w:hAnsi="Arial" w:cs="Arial"/>
          <w:lang w:val="en-GB"/>
        </w:rPr>
        <w:t>Capinera</w:t>
      </w:r>
      <w:proofErr w:type="spellEnd"/>
      <w:r w:rsidRPr="001653A8">
        <w:rPr>
          <w:rFonts w:ascii="Arial" w:hAnsi="Arial" w:cs="Arial"/>
          <w:lang w:val="en-GB"/>
        </w:rPr>
        <w:t xml:space="preserve">, J.L. (1995). Pesticide resistance in Florida </w:t>
      </w:r>
      <w:proofErr w:type="gramStart"/>
      <w:r w:rsidRPr="001653A8">
        <w:rPr>
          <w:rFonts w:ascii="Arial" w:hAnsi="Arial" w:cs="Arial"/>
          <w:lang w:val="en-GB"/>
        </w:rPr>
        <w:t>insects</w:t>
      </w:r>
      <w:proofErr w:type="gramEnd"/>
      <w:r w:rsidRPr="001653A8">
        <w:rPr>
          <w:rFonts w:ascii="Arial" w:hAnsi="Arial" w:cs="Arial"/>
          <w:lang w:val="en-GB"/>
        </w:rPr>
        <w:t xml:space="preserve"> limits management options. </w:t>
      </w:r>
      <w:r w:rsidRPr="001653A8">
        <w:rPr>
          <w:rFonts w:ascii="Arial" w:hAnsi="Arial" w:cs="Arial"/>
          <w:i/>
          <w:iCs/>
          <w:lang w:val="en-GB"/>
        </w:rPr>
        <w:t>Florida Entomologist</w:t>
      </w:r>
      <w:r w:rsidRPr="001653A8">
        <w:rPr>
          <w:rFonts w:ascii="Arial" w:hAnsi="Arial" w:cs="Arial"/>
          <w:lang w:val="en-GB"/>
        </w:rPr>
        <w:t xml:space="preserve">, 78 (3): 386 - 399. </w:t>
      </w:r>
      <w:r w:rsidR="003160AC" w:rsidRPr="001653A8">
        <w:rPr>
          <w:rFonts w:ascii="Arial" w:hAnsi="Arial" w:cs="Arial"/>
          <w:sz w:val="18"/>
          <w:szCs w:val="18"/>
        </w:rPr>
        <w:t>https://journals.flvc.org/flaent/article/view/59143/56822</w:t>
      </w:r>
    </w:p>
    <w:p w14:paraId="5928D9B0" w14:textId="792AC7FA" w:rsidR="00430B0F" w:rsidRPr="001653A8" w:rsidRDefault="00430B0F" w:rsidP="001653A8">
      <w:pPr>
        <w:pStyle w:val="ListParagraph"/>
        <w:numPr>
          <w:ilvl w:val="0"/>
          <w:numId w:val="31"/>
        </w:numPr>
        <w:jc w:val="both"/>
        <w:rPr>
          <w:rFonts w:ascii="Arial" w:hAnsi="Arial" w:cs="Arial"/>
          <w:lang w:val="fr-CI"/>
        </w:rPr>
      </w:pPr>
      <w:r w:rsidRPr="001653A8">
        <w:rPr>
          <w:rFonts w:ascii="Arial" w:hAnsi="Arial" w:cs="Arial"/>
          <w:lang w:val="en-GB"/>
        </w:rPr>
        <w:t xml:space="preserve">Lizhu, T., </w:t>
      </w:r>
      <w:proofErr w:type="spellStart"/>
      <w:r w:rsidRPr="001653A8">
        <w:rPr>
          <w:rFonts w:ascii="Arial" w:hAnsi="Arial" w:cs="Arial"/>
          <w:lang w:val="en-GB"/>
        </w:rPr>
        <w:t>Wentao</w:t>
      </w:r>
      <w:proofErr w:type="spellEnd"/>
      <w:r w:rsidRPr="001653A8">
        <w:rPr>
          <w:rFonts w:ascii="Arial" w:hAnsi="Arial" w:cs="Arial"/>
          <w:lang w:val="en-GB"/>
        </w:rPr>
        <w:t xml:space="preserve">, H., Jiaqi, W., </w:t>
      </w:r>
      <w:proofErr w:type="spellStart"/>
      <w:r w:rsidRPr="001653A8">
        <w:rPr>
          <w:rFonts w:ascii="Arial" w:hAnsi="Arial" w:cs="Arial"/>
          <w:lang w:val="en-GB"/>
        </w:rPr>
        <w:t>Shaopeng</w:t>
      </w:r>
      <w:proofErr w:type="spellEnd"/>
      <w:r w:rsidRPr="001653A8">
        <w:rPr>
          <w:rFonts w:ascii="Arial" w:hAnsi="Arial" w:cs="Arial"/>
          <w:lang w:val="en-GB"/>
        </w:rPr>
        <w:t xml:space="preserve">, H., Yu, L., </w:t>
      </w:r>
      <w:proofErr w:type="spellStart"/>
      <w:r w:rsidRPr="001653A8">
        <w:rPr>
          <w:rFonts w:ascii="Arial" w:hAnsi="Arial" w:cs="Arial"/>
          <w:lang w:val="en-GB"/>
        </w:rPr>
        <w:t>Maofu</w:t>
      </w:r>
      <w:proofErr w:type="spellEnd"/>
      <w:r w:rsidRPr="001653A8">
        <w:rPr>
          <w:rFonts w:ascii="Arial" w:hAnsi="Arial" w:cs="Arial"/>
          <w:lang w:val="en-GB"/>
        </w:rPr>
        <w:t xml:space="preserve">, L., &amp; Shun, F. (2025). First report of </w:t>
      </w:r>
      <w:proofErr w:type="spellStart"/>
      <w:r w:rsidRPr="001653A8">
        <w:rPr>
          <w:rFonts w:ascii="Arial" w:hAnsi="Arial" w:cs="Arial"/>
          <w:i/>
          <w:iCs/>
          <w:lang w:val="en-GB"/>
        </w:rPr>
        <w:t>Lasiodiplodia</w:t>
      </w:r>
      <w:proofErr w:type="spellEnd"/>
      <w:r w:rsidRPr="001653A8">
        <w:rPr>
          <w:rFonts w:ascii="Arial" w:hAnsi="Arial" w:cs="Arial"/>
          <w:i/>
          <w:iCs/>
          <w:lang w:val="en-GB"/>
        </w:rPr>
        <w:t xml:space="preserve"> </w:t>
      </w:r>
      <w:proofErr w:type="spellStart"/>
      <w:r w:rsidRPr="001653A8">
        <w:rPr>
          <w:rFonts w:ascii="Arial" w:hAnsi="Arial" w:cs="Arial"/>
          <w:i/>
          <w:iCs/>
          <w:lang w:val="en-GB"/>
        </w:rPr>
        <w:t>theobromae</w:t>
      </w:r>
      <w:proofErr w:type="spellEnd"/>
      <w:r w:rsidRPr="001653A8">
        <w:rPr>
          <w:rFonts w:ascii="Arial" w:hAnsi="Arial" w:cs="Arial"/>
          <w:lang w:val="en-GB"/>
        </w:rPr>
        <w:t xml:space="preserve"> causing wilt and fruit rot of pepper in Hainan province, China. </w:t>
      </w:r>
      <w:r w:rsidRPr="001653A8">
        <w:rPr>
          <w:rFonts w:ascii="Arial" w:hAnsi="Arial" w:cs="Arial"/>
          <w:i/>
          <w:iCs/>
          <w:lang w:val="fr-CI"/>
        </w:rPr>
        <w:t xml:space="preserve">Plant </w:t>
      </w:r>
      <w:proofErr w:type="spellStart"/>
      <w:r w:rsidRPr="001653A8">
        <w:rPr>
          <w:rFonts w:ascii="Arial" w:hAnsi="Arial" w:cs="Arial"/>
          <w:i/>
          <w:iCs/>
          <w:lang w:val="fr-CI"/>
        </w:rPr>
        <w:t>Disease</w:t>
      </w:r>
      <w:proofErr w:type="spellEnd"/>
      <w:r w:rsidRPr="001653A8">
        <w:rPr>
          <w:rFonts w:ascii="Arial" w:hAnsi="Arial" w:cs="Arial"/>
          <w:lang w:val="fr-CI"/>
        </w:rPr>
        <w:t xml:space="preserve">, 109(5) : 1172. </w:t>
      </w:r>
      <w:r w:rsidR="003160AC" w:rsidRPr="001653A8">
        <w:rPr>
          <w:rFonts w:ascii="Arial" w:hAnsi="Arial" w:cs="Arial"/>
          <w:sz w:val="18"/>
          <w:szCs w:val="18"/>
          <w:lang w:val="fr-CI"/>
        </w:rPr>
        <w:t>https://doi.org/10.1094/PDIS-10-24-2161-PDN</w:t>
      </w:r>
    </w:p>
    <w:p w14:paraId="0F341C6B" w14:textId="64CF8204"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fr-CI"/>
        </w:rPr>
        <w:t xml:space="preserve">Martin, T., </w:t>
      </w:r>
      <w:proofErr w:type="spellStart"/>
      <w:r w:rsidRPr="001653A8">
        <w:rPr>
          <w:rFonts w:ascii="Arial" w:hAnsi="Arial" w:cs="Arial"/>
          <w:lang w:val="fr-CI"/>
        </w:rPr>
        <w:t>Chandre</w:t>
      </w:r>
      <w:proofErr w:type="spellEnd"/>
      <w:r w:rsidRPr="001653A8">
        <w:rPr>
          <w:rFonts w:ascii="Arial" w:hAnsi="Arial" w:cs="Arial"/>
          <w:lang w:val="fr-CI"/>
        </w:rPr>
        <w:t xml:space="preserve">, F., </w:t>
      </w:r>
      <w:proofErr w:type="spellStart"/>
      <w:r w:rsidRPr="001653A8">
        <w:rPr>
          <w:rFonts w:ascii="Arial" w:hAnsi="Arial" w:cs="Arial"/>
          <w:lang w:val="fr-CI"/>
        </w:rPr>
        <w:t>Ochou</w:t>
      </w:r>
      <w:proofErr w:type="spellEnd"/>
      <w:r w:rsidRPr="001653A8">
        <w:rPr>
          <w:rFonts w:ascii="Arial" w:hAnsi="Arial" w:cs="Arial"/>
          <w:lang w:val="fr-CI"/>
        </w:rPr>
        <w:t xml:space="preserve">, O.G., </w:t>
      </w:r>
      <w:proofErr w:type="spellStart"/>
      <w:r w:rsidRPr="001653A8">
        <w:rPr>
          <w:rFonts w:ascii="Arial" w:hAnsi="Arial" w:cs="Arial"/>
          <w:lang w:val="fr-CI"/>
        </w:rPr>
        <w:t>Vaissayre</w:t>
      </w:r>
      <w:proofErr w:type="spellEnd"/>
      <w:r w:rsidRPr="001653A8">
        <w:rPr>
          <w:rFonts w:ascii="Arial" w:hAnsi="Arial" w:cs="Arial"/>
          <w:lang w:val="fr-CI"/>
        </w:rPr>
        <w:t xml:space="preserve">, M., &amp; Fournier, D. (2002). </w:t>
      </w:r>
      <w:r w:rsidRPr="001653A8">
        <w:rPr>
          <w:rFonts w:ascii="Arial" w:hAnsi="Arial" w:cs="Arial"/>
          <w:lang w:val="en-GB"/>
        </w:rPr>
        <w:t xml:space="preserve">Pyrethroid resistance mechanisms in the cotton bollworm </w:t>
      </w:r>
      <w:proofErr w:type="spellStart"/>
      <w:r w:rsidRPr="001653A8">
        <w:rPr>
          <w:rFonts w:ascii="Arial" w:hAnsi="Arial" w:cs="Arial"/>
          <w:i/>
          <w:iCs/>
          <w:lang w:val="en-GB"/>
        </w:rPr>
        <w:t>Helicoverpa</w:t>
      </w:r>
      <w:proofErr w:type="spellEnd"/>
      <w:r w:rsidRPr="001653A8">
        <w:rPr>
          <w:rFonts w:ascii="Arial" w:hAnsi="Arial" w:cs="Arial"/>
          <w:i/>
          <w:iCs/>
          <w:lang w:val="en-GB"/>
        </w:rPr>
        <w:t xml:space="preserve"> </w:t>
      </w:r>
      <w:proofErr w:type="spellStart"/>
      <w:r w:rsidRPr="001653A8">
        <w:rPr>
          <w:rFonts w:ascii="Arial" w:hAnsi="Arial" w:cs="Arial"/>
          <w:i/>
          <w:iCs/>
          <w:lang w:val="en-GB"/>
        </w:rPr>
        <w:t>armigera</w:t>
      </w:r>
      <w:proofErr w:type="spellEnd"/>
      <w:r w:rsidRPr="001653A8">
        <w:rPr>
          <w:rFonts w:ascii="Arial" w:hAnsi="Arial" w:cs="Arial"/>
          <w:lang w:val="en-GB"/>
        </w:rPr>
        <w:t xml:space="preserve"> (Lepidoptera: </w:t>
      </w:r>
      <w:proofErr w:type="spellStart"/>
      <w:r w:rsidRPr="001653A8">
        <w:rPr>
          <w:rFonts w:ascii="Arial" w:hAnsi="Arial" w:cs="Arial"/>
          <w:lang w:val="en-GB"/>
        </w:rPr>
        <w:t>Noctuidae</w:t>
      </w:r>
      <w:proofErr w:type="spellEnd"/>
      <w:r w:rsidRPr="001653A8">
        <w:rPr>
          <w:rFonts w:ascii="Arial" w:hAnsi="Arial" w:cs="Arial"/>
          <w:lang w:val="en-GB"/>
        </w:rPr>
        <w:t xml:space="preserve">) from West Africa. </w:t>
      </w:r>
      <w:r w:rsidRPr="001653A8">
        <w:rPr>
          <w:rFonts w:ascii="Arial" w:hAnsi="Arial" w:cs="Arial"/>
          <w:i/>
          <w:iCs/>
          <w:lang w:val="en-GB"/>
        </w:rPr>
        <w:t>Pesticide Biochemistry and Physiology</w:t>
      </w:r>
      <w:r w:rsidRPr="001653A8">
        <w:rPr>
          <w:rFonts w:ascii="Arial" w:hAnsi="Arial" w:cs="Arial"/>
          <w:lang w:val="en-GB"/>
        </w:rPr>
        <w:t xml:space="preserve">, 74: 17-26. </w:t>
      </w:r>
      <w:r w:rsidR="003160AC" w:rsidRPr="001653A8">
        <w:rPr>
          <w:rFonts w:ascii="Arial" w:hAnsi="Arial" w:cs="Arial"/>
          <w:sz w:val="18"/>
          <w:szCs w:val="18"/>
        </w:rPr>
        <w:t>https://doi.org/10.1094/PDIS-10-24-2161-PDN</w:t>
      </w:r>
    </w:p>
    <w:p w14:paraId="5D32E26D" w14:textId="409F8CB7"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en-GB"/>
        </w:rPr>
        <w:t>Martine, D., David, L.E., &amp; Athanasios, P.P. (2008). Tomato (</w:t>
      </w:r>
      <w:r w:rsidRPr="001653A8">
        <w:rPr>
          <w:rFonts w:ascii="Arial" w:hAnsi="Arial" w:cs="Arial"/>
          <w:i/>
          <w:iCs/>
          <w:lang w:val="en-GB"/>
        </w:rPr>
        <w:t xml:space="preserve">Solanum </w:t>
      </w:r>
      <w:proofErr w:type="spellStart"/>
      <w:r w:rsidRPr="001653A8">
        <w:rPr>
          <w:rFonts w:ascii="Arial" w:hAnsi="Arial" w:cs="Arial"/>
          <w:i/>
          <w:iCs/>
          <w:lang w:val="en-GB"/>
        </w:rPr>
        <w:t>lycopersicum</w:t>
      </w:r>
      <w:proofErr w:type="spellEnd"/>
      <w:r w:rsidRPr="001653A8">
        <w:rPr>
          <w:rFonts w:ascii="Arial" w:hAnsi="Arial" w:cs="Arial"/>
          <w:lang w:val="en-GB"/>
        </w:rPr>
        <w:t xml:space="preserve">) health components: from the seed to the consumer. </w:t>
      </w:r>
      <w:r w:rsidRPr="001653A8">
        <w:rPr>
          <w:rFonts w:ascii="Arial" w:hAnsi="Arial" w:cs="Arial"/>
          <w:i/>
          <w:iCs/>
          <w:lang w:val="en-GB"/>
        </w:rPr>
        <w:t>Phytochemistry Reviews</w:t>
      </w:r>
      <w:r w:rsidRPr="001653A8">
        <w:rPr>
          <w:rFonts w:ascii="Arial" w:hAnsi="Arial" w:cs="Arial"/>
          <w:lang w:val="en-GB"/>
        </w:rPr>
        <w:t xml:space="preserve">, 7: 231-250. </w:t>
      </w:r>
      <w:r w:rsidR="003160AC" w:rsidRPr="001653A8">
        <w:rPr>
          <w:rFonts w:ascii="Arial" w:hAnsi="Arial" w:cs="Arial"/>
          <w:sz w:val="18"/>
          <w:szCs w:val="18"/>
        </w:rPr>
        <w:t>https://doi.org/10.1007/s11101-007-9085-x</w:t>
      </w:r>
    </w:p>
    <w:p w14:paraId="04255A39" w14:textId="43E62EFC"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en-GB"/>
        </w:rPr>
        <w:t xml:space="preserve">Mylona, ​​K., Garcia-Cela, E., Sulyok, M., Medina, A., &amp; Magan, N. (2019). Influence of two garlic-derived compounds, propyl propane </w:t>
      </w:r>
      <w:proofErr w:type="spellStart"/>
      <w:r w:rsidRPr="001653A8">
        <w:rPr>
          <w:rFonts w:ascii="Arial" w:hAnsi="Arial" w:cs="Arial"/>
          <w:lang w:val="en-GB"/>
        </w:rPr>
        <w:t>thiosulfonate</w:t>
      </w:r>
      <w:proofErr w:type="spellEnd"/>
      <w:r w:rsidRPr="001653A8">
        <w:rPr>
          <w:rFonts w:ascii="Arial" w:hAnsi="Arial" w:cs="Arial"/>
          <w:lang w:val="en-GB"/>
        </w:rPr>
        <w:t xml:space="preserve"> (PTS) and propyl propane </w:t>
      </w:r>
      <w:proofErr w:type="spellStart"/>
      <w:r w:rsidRPr="001653A8">
        <w:rPr>
          <w:rFonts w:ascii="Arial" w:hAnsi="Arial" w:cs="Arial"/>
          <w:lang w:val="en-GB"/>
        </w:rPr>
        <w:t>thiosulfinate</w:t>
      </w:r>
      <w:proofErr w:type="spellEnd"/>
      <w:r w:rsidRPr="001653A8">
        <w:rPr>
          <w:rFonts w:ascii="Arial" w:hAnsi="Arial" w:cs="Arial"/>
          <w:lang w:val="en-GB"/>
        </w:rPr>
        <w:t xml:space="preserve"> (PTSO), on growth and mycotoxin production by </w:t>
      </w:r>
      <w:r w:rsidRPr="001653A8">
        <w:rPr>
          <w:rFonts w:ascii="Arial" w:hAnsi="Arial" w:cs="Arial"/>
          <w:i/>
          <w:iCs/>
          <w:lang w:val="en-GB"/>
        </w:rPr>
        <w:t>Fusarium</w:t>
      </w:r>
      <w:r w:rsidRPr="001653A8">
        <w:rPr>
          <w:rFonts w:ascii="Arial" w:hAnsi="Arial" w:cs="Arial"/>
          <w:lang w:val="en-GB"/>
        </w:rPr>
        <w:t xml:space="preserve"> species </w:t>
      </w:r>
      <w:r w:rsidRPr="001653A8">
        <w:rPr>
          <w:rFonts w:ascii="Arial" w:hAnsi="Arial" w:cs="Arial"/>
          <w:i/>
          <w:iCs/>
          <w:lang w:val="en-GB"/>
        </w:rPr>
        <w:t>in vitro</w:t>
      </w:r>
      <w:r w:rsidRPr="001653A8">
        <w:rPr>
          <w:rFonts w:ascii="Arial" w:hAnsi="Arial" w:cs="Arial"/>
          <w:lang w:val="en-GB"/>
        </w:rPr>
        <w:t xml:space="preserve"> and in stored cereals. </w:t>
      </w:r>
      <w:r w:rsidRPr="001653A8">
        <w:rPr>
          <w:rFonts w:ascii="Arial" w:hAnsi="Arial" w:cs="Arial"/>
          <w:i/>
          <w:iCs/>
          <w:lang w:val="en-GB"/>
        </w:rPr>
        <w:t>Toxins</w:t>
      </w:r>
      <w:r w:rsidRPr="001653A8">
        <w:rPr>
          <w:rFonts w:ascii="Arial" w:hAnsi="Arial" w:cs="Arial"/>
          <w:lang w:val="en-GB"/>
        </w:rPr>
        <w:t xml:space="preserve">, 11(9): 495. </w:t>
      </w:r>
      <w:r w:rsidR="003160AC" w:rsidRPr="001653A8">
        <w:rPr>
          <w:rFonts w:ascii="Arial" w:hAnsi="Arial" w:cs="Arial"/>
          <w:sz w:val="18"/>
          <w:szCs w:val="18"/>
          <w:lang w:val="en-GB"/>
        </w:rPr>
        <w:t>https://doi.org/10.3390/toxins11090495</w:t>
      </w:r>
    </w:p>
    <w:p w14:paraId="28030264" w14:textId="402A521F"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en-GB"/>
        </w:rPr>
        <w:t>Neha, K., &amp; Praveen S. (2014). Role of agriculture in the global economy, 2nd International Conference on Agricultural &amp; Horticultural Sciences. 03-05 February 2014, Hyderabadr, India, p. 221.</w:t>
      </w:r>
      <w:r w:rsidR="003160AC" w:rsidRPr="001653A8">
        <w:rPr>
          <w:rFonts w:ascii="Arial" w:hAnsi="Arial" w:cs="Arial"/>
          <w:sz w:val="18"/>
          <w:szCs w:val="18"/>
        </w:rPr>
        <w:t xml:space="preserve"> https://doi.org/10.4172/2168-9881.S1.008</w:t>
      </w:r>
    </w:p>
    <w:p w14:paraId="167F8D53" w14:textId="07F2E57B"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en-GB"/>
        </w:rPr>
        <w:t>Nur-Shakirah, A.O., Khadijah, M.S., Kee, Y.J., Huda-</w:t>
      </w:r>
      <w:proofErr w:type="spellStart"/>
      <w:r w:rsidRPr="001653A8">
        <w:rPr>
          <w:rFonts w:ascii="Arial" w:hAnsi="Arial" w:cs="Arial"/>
          <w:lang w:val="en-GB"/>
        </w:rPr>
        <w:t>Shakirah</w:t>
      </w:r>
      <w:proofErr w:type="spellEnd"/>
      <w:r w:rsidRPr="001653A8">
        <w:rPr>
          <w:rFonts w:ascii="Arial" w:hAnsi="Arial" w:cs="Arial"/>
          <w:lang w:val="en-GB"/>
        </w:rPr>
        <w:t xml:space="preserve">, A.R., </w:t>
      </w:r>
      <w:proofErr w:type="spellStart"/>
      <w:r w:rsidRPr="001653A8">
        <w:rPr>
          <w:rFonts w:ascii="Arial" w:hAnsi="Arial" w:cs="Arial"/>
          <w:lang w:val="en-GB"/>
        </w:rPr>
        <w:t>Hafifi</w:t>
      </w:r>
      <w:proofErr w:type="spellEnd"/>
      <w:r w:rsidRPr="001653A8">
        <w:rPr>
          <w:rFonts w:ascii="Arial" w:hAnsi="Arial" w:cs="Arial"/>
          <w:lang w:val="en-GB"/>
        </w:rPr>
        <w:t>, A.B.M., Nurul-</w:t>
      </w:r>
      <w:proofErr w:type="spellStart"/>
      <w:r w:rsidRPr="001653A8">
        <w:rPr>
          <w:rFonts w:ascii="Arial" w:hAnsi="Arial" w:cs="Arial"/>
          <w:lang w:val="en-GB"/>
        </w:rPr>
        <w:t>Aliyaa</w:t>
      </w:r>
      <w:proofErr w:type="spellEnd"/>
      <w:r w:rsidRPr="001653A8">
        <w:rPr>
          <w:rFonts w:ascii="Arial" w:hAnsi="Arial" w:cs="Arial"/>
          <w:lang w:val="en-GB"/>
        </w:rPr>
        <w:t xml:space="preserve">, Y.A., Chew, B.L., Zakaria, L., Nor, N.M.I.M., </w:t>
      </w:r>
      <w:proofErr w:type="spellStart"/>
      <w:r w:rsidRPr="001653A8">
        <w:rPr>
          <w:rFonts w:ascii="Arial" w:hAnsi="Arial" w:cs="Arial"/>
          <w:lang w:val="en-GB"/>
        </w:rPr>
        <w:t>Sreeramanan</w:t>
      </w:r>
      <w:proofErr w:type="spellEnd"/>
      <w:r w:rsidRPr="001653A8">
        <w:rPr>
          <w:rFonts w:ascii="Arial" w:hAnsi="Arial" w:cs="Arial"/>
          <w:lang w:val="en-GB"/>
        </w:rPr>
        <w:t xml:space="preserve">, S., Leong, Y.H., &amp; Mohd, M.H. (2022). Characterization of </w:t>
      </w:r>
      <w:proofErr w:type="spellStart"/>
      <w:r w:rsidRPr="001653A8">
        <w:rPr>
          <w:rFonts w:ascii="Arial" w:hAnsi="Arial" w:cs="Arial"/>
          <w:i/>
          <w:iCs/>
          <w:lang w:val="en-GB"/>
        </w:rPr>
        <w:t>Lasiodiplodia</w:t>
      </w:r>
      <w:proofErr w:type="spellEnd"/>
      <w:r w:rsidRPr="001653A8">
        <w:rPr>
          <w:rFonts w:ascii="Arial" w:hAnsi="Arial" w:cs="Arial"/>
          <w:lang w:val="en-GB"/>
        </w:rPr>
        <w:t xml:space="preserve"> species causing leaf blight, stem rot and fruit rot of fig (Ficus carica) in Malaysia. </w:t>
      </w:r>
      <w:r w:rsidRPr="001653A8">
        <w:rPr>
          <w:rFonts w:ascii="Arial" w:hAnsi="Arial" w:cs="Arial"/>
          <w:i/>
          <w:iCs/>
          <w:lang w:val="en-GB"/>
        </w:rPr>
        <w:t>Plant Pathology</w:t>
      </w:r>
      <w:r w:rsidRPr="001653A8">
        <w:rPr>
          <w:rFonts w:ascii="Arial" w:hAnsi="Arial" w:cs="Arial"/>
          <w:lang w:val="en-GB"/>
        </w:rPr>
        <w:t xml:space="preserve">, 71 (7): 1594-1605. </w:t>
      </w:r>
      <w:r w:rsidR="003160AC" w:rsidRPr="001653A8">
        <w:rPr>
          <w:rFonts w:ascii="Arial" w:hAnsi="Arial" w:cs="Arial"/>
          <w:sz w:val="18"/>
          <w:szCs w:val="18"/>
        </w:rPr>
        <w:t>https://doi.org/10.1111/ppa.13580</w:t>
      </w:r>
    </w:p>
    <w:p w14:paraId="365D5835" w14:textId="3E1BE95A"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en-GB"/>
        </w:rPr>
        <w:t xml:space="preserve">Opoku, I. Y., </w:t>
      </w:r>
      <w:proofErr w:type="spellStart"/>
      <w:r w:rsidRPr="001653A8">
        <w:rPr>
          <w:rFonts w:ascii="Arial" w:hAnsi="Arial" w:cs="Arial"/>
          <w:lang w:val="en-GB"/>
        </w:rPr>
        <w:t>Assuah</w:t>
      </w:r>
      <w:proofErr w:type="spellEnd"/>
      <w:r w:rsidRPr="001653A8">
        <w:rPr>
          <w:rFonts w:ascii="Arial" w:hAnsi="Arial" w:cs="Arial"/>
          <w:lang w:val="en-GB"/>
        </w:rPr>
        <w:t xml:space="preserve">, M. K., &amp; </w:t>
      </w:r>
      <w:proofErr w:type="spellStart"/>
      <w:r w:rsidRPr="001653A8">
        <w:rPr>
          <w:rFonts w:ascii="Arial" w:hAnsi="Arial" w:cs="Arial"/>
          <w:lang w:val="en-GB"/>
        </w:rPr>
        <w:t>Domfeh</w:t>
      </w:r>
      <w:proofErr w:type="spellEnd"/>
      <w:r w:rsidRPr="001653A8">
        <w:rPr>
          <w:rFonts w:ascii="Arial" w:hAnsi="Arial" w:cs="Arial"/>
          <w:lang w:val="en-GB"/>
        </w:rPr>
        <w:t xml:space="preserve">, O. (2007). Manual for the identification and control of diseases of cocoa. Cocoa Research Institute of Ghana-Ghana Cocoa Board, Ghana. Technical Bulletin No. 16. pp 18-19. </w:t>
      </w:r>
      <w:r w:rsidR="003160AC" w:rsidRPr="001653A8">
        <w:rPr>
          <w:rFonts w:ascii="Arial" w:hAnsi="Arial" w:cs="Arial"/>
          <w:sz w:val="18"/>
          <w:szCs w:val="18"/>
        </w:rPr>
        <w:t>https://doi.org/10.5897/AJAR2019.14662</w:t>
      </w:r>
    </w:p>
    <w:p w14:paraId="360DC5CB" w14:textId="0BDC3914" w:rsidR="00430B0F" w:rsidRPr="001653A8" w:rsidRDefault="00430B0F" w:rsidP="001653A8">
      <w:pPr>
        <w:pStyle w:val="ListParagraph"/>
        <w:numPr>
          <w:ilvl w:val="0"/>
          <w:numId w:val="31"/>
        </w:numPr>
        <w:jc w:val="both"/>
        <w:rPr>
          <w:rFonts w:ascii="Arial" w:hAnsi="Arial" w:cs="Arial"/>
          <w:lang w:val="en-GB"/>
        </w:rPr>
      </w:pPr>
      <w:proofErr w:type="spellStart"/>
      <w:r w:rsidRPr="001653A8">
        <w:rPr>
          <w:rFonts w:ascii="Arial" w:hAnsi="Arial" w:cs="Arial"/>
          <w:lang w:val="en-GB"/>
        </w:rPr>
        <w:t>Punithalingam</w:t>
      </w:r>
      <w:proofErr w:type="spellEnd"/>
      <w:r w:rsidRPr="001653A8">
        <w:rPr>
          <w:rFonts w:ascii="Arial" w:hAnsi="Arial" w:cs="Arial"/>
          <w:lang w:val="en-GB"/>
        </w:rPr>
        <w:t xml:space="preserve"> E, (1976). CMI Descriptions of Pathogenic Fungi and Bacteria No. 519.Wallingford, UK: CAB International. </w:t>
      </w:r>
      <w:r w:rsidR="003160AC" w:rsidRPr="001653A8">
        <w:rPr>
          <w:rFonts w:ascii="Arial" w:hAnsi="Arial" w:cs="Arial"/>
          <w:sz w:val="18"/>
          <w:szCs w:val="18"/>
        </w:rPr>
        <w:t>https://doi.org/10.5555/19711103503</w:t>
      </w:r>
    </w:p>
    <w:p w14:paraId="4969BCBC" w14:textId="77777777"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en-GB"/>
        </w:rPr>
        <w:t>Regnault-Roger, C., Philogene, B. Jr., &amp; Vincent, C. (2008). Biopesticides of vegetal origin (2nd ed.). Lavoisier: France.</w:t>
      </w:r>
    </w:p>
    <w:p w14:paraId="787A56C7" w14:textId="479B9E62"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en-GB"/>
        </w:rPr>
        <w:t xml:space="preserve">Sawadogo, I., Koala, M., Dabire, C., Ouattara, L.P., Bazie, V.B.E.J.T., Hema, A., </w:t>
      </w:r>
      <w:proofErr w:type="spellStart"/>
      <w:r w:rsidRPr="001653A8">
        <w:rPr>
          <w:rFonts w:ascii="Arial" w:hAnsi="Arial" w:cs="Arial"/>
          <w:lang w:val="en-GB"/>
        </w:rPr>
        <w:t>Gnoula</w:t>
      </w:r>
      <w:proofErr w:type="spellEnd"/>
      <w:r w:rsidRPr="001653A8">
        <w:rPr>
          <w:rFonts w:ascii="Arial" w:hAnsi="Arial" w:cs="Arial"/>
          <w:lang w:val="en-GB"/>
        </w:rPr>
        <w:t xml:space="preserve">, C., Pale, E., &amp; Nebie, R.H.C. (2015). Study of the influence of the modes of transformation on the teenagers in </w:t>
      </w:r>
      <w:r w:rsidR="00EF6CEE" w:rsidRPr="001653A8">
        <w:rPr>
          <w:rFonts w:ascii="Arial" w:hAnsi="Arial" w:cs="Arial"/>
          <w:lang w:val="en-GB"/>
        </w:rPr>
        <w:t>l</w:t>
      </w:r>
      <w:r w:rsidRPr="001653A8">
        <w:rPr>
          <w:rFonts w:ascii="Arial" w:hAnsi="Arial" w:cs="Arial"/>
          <w:lang w:val="en-GB"/>
        </w:rPr>
        <w:t xml:space="preserve">ycopene of four varieties of men from the northern region of Burkina Faso. </w:t>
      </w:r>
      <w:r w:rsidRPr="001653A8">
        <w:rPr>
          <w:rFonts w:ascii="Arial" w:hAnsi="Arial" w:cs="Arial"/>
          <w:i/>
          <w:iCs/>
          <w:lang w:val="en-GB"/>
        </w:rPr>
        <w:t>International Journal of Biological and Chemical Sciences</w:t>
      </w:r>
      <w:r w:rsidRPr="001653A8">
        <w:rPr>
          <w:rFonts w:ascii="Arial" w:hAnsi="Arial" w:cs="Arial"/>
          <w:lang w:val="en-GB"/>
        </w:rPr>
        <w:t>, 9</w:t>
      </w:r>
      <w:r w:rsidR="00001BA7" w:rsidRPr="001653A8">
        <w:rPr>
          <w:rFonts w:ascii="Arial" w:hAnsi="Arial" w:cs="Arial"/>
          <w:lang w:val="en-GB"/>
        </w:rPr>
        <w:t>:</w:t>
      </w:r>
      <w:r w:rsidRPr="001653A8">
        <w:rPr>
          <w:rFonts w:ascii="Arial" w:hAnsi="Arial" w:cs="Arial"/>
          <w:lang w:val="en-GB"/>
        </w:rPr>
        <w:t xml:space="preserve"> 362-370. </w:t>
      </w:r>
      <w:r w:rsidR="003160AC" w:rsidRPr="001653A8">
        <w:rPr>
          <w:rFonts w:ascii="Arial" w:hAnsi="Arial" w:cs="Arial"/>
          <w:sz w:val="18"/>
          <w:szCs w:val="18"/>
        </w:rPr>
        <w:t>https://doi.org/10.4314/ijbcs.v9i1.31</w:t>
      </w:r>
    </w:p>
    <w:p w14:paraId="0860125F" w14:textId="3817F643"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en-GB"/>
        </w:rPr>
        <w:t xml:space="preserve">Slippers, B., &amp; Wingfield M.J. (2007). </w:t>
      </w:r>
      <w:proofErr w:type="spellStart"/>
      <w:r w:rsidRPr="001653A8">
        <w:rPr>
          <w:rFonts w:ascii="Arial" w:hAnsi="Arial" w:cs="Arial"/>
          <w:i/>
          <w:iCs/>
          <w:lang w:val="en-GB"/>
        </w:rPr>
        <w:t>Botryosphaeriaceae</w:t>
      </w:r>
      <w:proofErr w:type="spellEnd"/>
      <w:r w:rsidRPr="001653A8">
        <w:rPr>
          <w:rFonts w:ascii="Arial" w:hAnsi="Arial" w:cs="Arial"/>
          <w:lang w:val="en-GB"/>
        </w:rPr>
        <w:t xml:space="preserve"> as endophytes and latent pathogens of woody plants: diversity, ecology and impact. </w:t>
      </w:r>
      <w:r w:rsidRPr="001653A8">
        <w:rPr>
          <w:rFonts w:ascii="Arial" w:hAnsi="Arial" w:cs="Arial"/>
          <w:i/>
          <w:iCs/>
          <w:lang w:val="en-GB"/>
        </w:rPr>
        <w:t>Fungal Biology Reviews</w:t>
      </w:r>
      <w:r w:rsidRPr="001653A8">
        <w:rPr>
          <w:rFonts w:ascii="Arial" w:hAnsi="Arial" w:cs="Arial"/>
          <w:lang w:val="en-GB"/>
        </w:rPr>
        <w:t xml:space="preserve">, 21: 90-106. </w:t>
      </w:r>
      <w:r w:rsidR="003160AC" w:rsidRPr="001653A8">
        <w:rPr>
          <w:rFonts w:ascii="Arial" w:hAnsi="Arial" w:cs="Arial"/>
          <w:sz w:val="18"/>
          <w:szCs w:val="18"/>
        </w:rPr>
        <w:t>https://doi.org/10.4314/ijbcs.v9i1.31</w:t>
      </w:r>
    </w:p>
    <w:p w14:paraId="68AD8693" w14:textId="322F46EA"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en-GB"/>
        </w:rPr>
        <w:t xml:space="preserve">Sutton, B.C. (1980). Coelomycetes: fungi </w:t>
      </w:r>
      <w:proofErr w:type="spellStart"/>
      <w:r w:rsidRPr="001653A8">
        <w:rPr>
          <w:rFonts w:ascii="Arial" w:hAnsi="Arial" w:cs="Arial"/>
          <w:lang w:val="en-GB"/>
        </w:rPr>
        <w:t>imperfecti</w:t>
      </w:r>
      <w:proofErr w:type="spellEnd"/>
      <w:r w:rsidRPr="001653A8">
        <w:rPr>
          <w:rFonts w:ascii="Arial" w:hAnsi="Arial" w:cs="Arial"/>
          <w:lang w:val="en-GB"/>
        </w:rPr>
        <w:t xml:space="preserve"> with pycnidia, </w:t>
      </w:r>
      <w:proofErr w:type="spellStart"/>
      <w:r w:rsidRPr="001653A8">
        <w:rPr>
          <w:rFonts w:ascii="Arial" w:hAnsi="Arial" w:cs="Arial"/>
          <w:lang w:val="en-GB"/>
        </w:rPr>
        <w:t>acervuli</w:t>
      </w:r>
      <w:proofErr w:type="spellEnd"/>
      <w:r w:rsidRPr="001653A8">
        <w:rPr>
          <w:rFonts w:ascii="Arial" w:hAnsi="Arial" w:cs="Arial"/>
          <w:lang w:val="en-GB"/>
        </w:rPr>
        <w:t xml:space="preserve"> and stromata. C.M.I., Kew, Surrey, England. p. 696. </w:t>
      </w:r>
      <w:r w:rsidR="003160AC" w:rsidRPr="001653A8">
        <w:rPr>
          <w:rFonts w:ascii="Arial" w:hAnsi="Arial" w:cs="Arial"/>
          <w:sz w:val="18"/>
          <w:szCs w:val="18"/>
        </w:rPr>
        <w:t>https://doi.org/10.1016/j.fbr.2007.06.002</w:t>
      </w:r>
    </w:p>
    <w:p w14:paraId="64109ADA" w14:textId="04070281" w:rsidR="00430B0F" w:rsidRPr="001653A8" w:rsidRDefault="00430B0F" w:rsidP="001653A8">
      <w:pPr>
        <w:pStyle w:val="ListParagraph"/>
        <w:numPr>
          <w:ilvl w:val="0"/>
          <w:numId w:val="31"/>
        </w:numPr>
        <w:jc w:val="both"/>
        <w:rPr>
          <w:rFonts w:ascii="Arial" w:hAnsi="Arial" w:cs="Arial"/>
          <w:lang w:val="en-GB"/>
        </w:rPr>
      </w:pPr>
      <w:proofErr w:type="spellStart"/>
      <w:r w:rsidRPr="001653A8">
        <w:rPr>
          <w:rFonts w:ascii="Arial" w:hAnsi="Arial" w:cs="Arial"/>
          <w:lang w:val="fr-CI"/>
        </w:rPr>
        <w:t>Tedihou</w:t>
      </w:r>
      <w:proofErr w:type="spellEnd"/>
      <w:r w:rsidRPr="001653A8">
        <w:rPr>
          <w:rFonts w:ascii="Arial" w:hAnsi="Arial" w:cs="Arial"/>
          <w:lang w:val="fr-CI"/>
        </w:rPr>
        <w:t xml:space="preserve">, E., </w:t>
      </w:r>
      <w:proofErr w:type="spellStart"/>
      <w:r w:rsidRPr="001653A8">
        <w:rPr>
          <w:rFonts w:ascii="Arial" w:hAnsi="Arial" w:cs="Arial"/>
          <w:lang w:val="fr-CI"/>
        </w:rPr>
        <w:t>Kpemoua</w:t>
      </w:r>
      <w:proofErr w:type="spellEnd"/>
      <w:r w:rsidRPr="001653A8">
        <w:rPr>
          <w:rFonts w:ascii="Arial" w:hAnsi="Arial" w:cs="Arial"/>
          <w:lang w:val="fr-CI"/>
        </w:rPr>
        <w:t xml:space="preserve">, K., &amp; </w:t>
      </w:r>
      <w:proofErr w:type="spellStart"/>
      <w:r w:rsidRPr="001653A8">
        <w:rPr>
          <w:rFonts w:ascii="Arial" w:hAnsi="Arial" w:cs="Arial"/>
          <w:lang w:val="fr-CI"/>
        </w:rPr>
        <w:t>Tounou</w:t>
      </w:r>
      <w:proofErr w:type="spellEnd"/>
      <w:r w:rsidRPr="001653A8">
        <w:rPr>
          <w:rFonts w:ascii="Arial" w:hAnsi="Arial" w:cs="Arial"/>
          <w:lang w:val="fr-CI"/>
        </w:rPr>
        <w:t xml:space="preserve"> A. (2017). </w:t>
      </w:r>
      <w:r w:rsidRPr="001653A8">
        <w:rPr>
          <w:rFonts w:ascii="Arial" w:hAnsi="Arial" w:cs="Arial"/>
          <w:lang w:val="en-GB"/>
        </w:rPr>
        <w:t xml:space="preserve">Dieback of mango and citrus trees in the central region of Togo and control methods using fungicides. </w:t>
      </w:r>
      <w:r w:rsidRPr="001653A8">
        <w:rPr>
          <w:rFonts w:ascii="Arial" w:hAnsi="Arial" w:cs="Arial"/>
          <w:i/>
          <w:iCs/>
          <w:lang w:val="en-GB"/>
        </w:rPr>
        <w:t>Journal of Applied Biosciences</w:t>
      </w:r>
      <w:r w:rsidR="00EF6CEE" w:rsidRPr="001653A8">
        <w:rPr>
          <w:rFonts w:ascii="Arial" w:hAnsi="Arial" w:cs="Arial"/>
          <w:i/>
          <w:iCs/>
          <w:lang w:val="en-GB"/>
        </w:rPr>
        <w:t>,</w:t>
      </w:r>
      <w:r w:rsidRPr="001653A8">
        <w:rPr>
          <w:rFonts w:ascii="Arial" w:hAnsi="Arial" w:cs="Arial"/>
          <w:lang w:val="en-GB"/>
        </w:rPr>
        <w:t xml:space="preserve"> 119: 11829-11838. </w:t>
      </w:r>
      <w:r w:rsidR="003160AC" w:rsidRPr="001653A8">
        <w:rPr>
          <w:rFonts w:ascii="Arial" w:hAnsi="Arial" w:cs="Arial"/>
          <w:sz w:val="18"/>
          <w:szCs w:val="18"/>
        </w:rPr>
        <w:t>https://doi.org/10.4314/jab.v119i1.1</w:t>
      </w:r>
    </w:p>
    <w:p w14:paraId="6C119B26" w14:textId="1BF7B4DB" w:rsidR="00430B0F" w:rsidRPr="001653A8" w:rsidRDefault="00430B0F" w:rsidP="001653A8">
      <w:pPr>
        <w:pStyle w:val="ListParagraph"/>
        <w:numPr>
          <w:ilvl w:val="0"/>
          <w:numId w:val="31"/>
        </w:numPr>
        <w:jc w:val="both"/>
        <w:rPr>
          <w:rFonts w:ascii="Arial" w:hAnsi="Arial" w:cs="Arial"/>
          <w:lang w:val="en-GB"/>
        </w:rPr>
      </w:pPr>
      <w:r w:rsidRPr="001653A8">
        <w:rPr>
          <w:rFonts w:ascii="Arial" w:hAnsi="Arial" w:cs="Arial"/>
          <w:lang w:val="en-GB"/>
        </w:rPr>
        <w:t xml:space="preserve">Torres, S.M., Lima, L.A., Maria, D., Carmo, A.L., Alves, L.C., &amp; Júnior, V.A. (2020). Larvicidal activity of </w:t>
      </w:r>
      <w:proofErr w:type="spellStart"/>
      <w:r w:rsidRPr="001653A8">
        <w:rPr>
          <w:rFonts w:ascii="Arial" w:hAnsi="Arial" w:cs="Arial"/>
          <w:i/>
          <w:iCs/>
          <w:lang w:val="en-GB"/>
        </w:rPr>
        <w:t>Azadirachta</w:t>
      </w:r>
      <w:proofErr w:type="spellEnd"/>
      <w:r w:rsidRPr="001653A8">
        <w:rPr>
          <w:rFonts w:ascii="Arial" w:hAnsi="Arial" w:cs="Arial"/>
          <w:i/>
          <w:iCs/>
          <w:lang w:val="en-GB"/>
        </w:rPr>
        <w:t xml:space="preserve"> </w:t>
      </w:r>
      <w:proofErr w:type="spellStart"/>
      <w:r w:rsidRPr="001653A8">
        <w:rPr>
          <w:rFonts w:ascii="Arial" w:hAnsi="Arial" w:cs="Arial"/>
          <w:i/>
          <w:iCs/>
          <w:lang w:val="en-GB"/>
        </w:rPr>
        <w:t>indica</w:t>
      </w:r>
      <w:proofErr w:type="spellEnd"/>
      <w:r w:rsidRPr="001653A8">
        <w:rPr>
          <w:rFonts w:ascii="Arial" w:hAnsi="Arial" w:cs="Arial"/>
          <w:lang w:val="en-GB"/>
        </w:rPr>
        <w:t xml:space="preserve">, Melaleuca alternifolia, and </w:t>
      </w:r>
      <w:r w:rsidRPr="001653A8">
        <w:rPr>
          <w:rFonts w:ascii="Arial" w:hAnsi="Arial" w:cs="Arial"/>
          <w:i/>
          <w:iCs/>
          <w:lang w:val="en-GB"/>
        </w:rPr>
        <w:t>Carapa guianensis</w:t>
      </w:r>
      <w:r w:rsidRPr="001653A8">
        <w:rPr>
          <w:rFonts w:ascii="Arial" w:hAnsi="Arial" w:cs="Arial"/>
          <w:lang w:val="en-GB"/>
        </w:rPr>
        <w:t xml:space="preserve"> oil compounds and </w:t>
      </w:r>
      <w:r w:rsidRPr="001653A8">
        <w:rPr>
          <w:rFonts w:ascii="Arial" w:hAnsi="Arial" w:cs="Arial"/>
          <w:i/>
          <w:iCs/>
          <w:lang w:val="en-GB"/>
        </w:rPr>
        <w:t>Carica papaya</w:t>
      </w:r>
      <w:r w:rsidRPr="001653A8">
        <w:rPr>
          <w:rFonts w:ascii="Arial" w:hAnsi="Arial" w:cs="Arial"/>
          <w:lang w:val="en-GB"/>
        </w:rPr>
        <w:t xml:space="preserve"> fermented extract on </w:t>
      </w:r>
      <w:r w:rsidRPr="001653A8">
        <w:rPr>
          <w:rFonts w:ascii="Arial" w:hAnsi="Arial" w:cs="Arial"/>
          <w:i/>
          <w:iCs/>
          <w:lang w:val="en-GB"/>
        </w:rPr>
        <w:t>Aedes aegypti</w:t>
      </w:r>
      <w:r w:rsidRPr="001653A8">
        <w:rPr>
          <w:rFonts w:ascii="Arial" w:hAnsi="Arial" w:cs="Arial"/>
          <w:lang w:val="en-GB"/>
        </w:rPr>
        <w:t xml:space="preserve">. </w:t>
      </w:r>
      <w:proofErr w:type="spellStart"/>
      <w:r w:rsidRPr="001653A8">
        <w:rPr>
          <w:rFonts w:ascii="Arial" w:hAnsi="Arial" w:cs="Arial"/>
          <w:i/>
          <w:iCs/>
          <w:lang w:val="en-GB"/>
        </w:rPr>
        <w:t>BioRxiv</w:t>
      </w:r>
      <w:proofErr w:type="spellEnd"/>
      <w:r w:rsidRPr="001653A8">
        <w:rPr>
          <w:rFonts w:ascii="Arial" w:hAnsi="Arial" w:cs="Arial"/>
          <w:lang w:val="en-GB"/>
        </w:rPr>
        <w:t xml:space="preserve">. </w:t>
      </w:r>
      <w:r w:rsidR="003160AC" w:rsidRPr="001653A8">
        <w:rPr>
          <w:rFonts w:ascii="Arial" w:hAnsi="Arial" w:cs="Arial"/>
          <w:sz w:val="18"/>
          <w:szCs w:val="18"/>
        </w:rPr>
        <w:t>https://doi.org/10.1101/2020.05.18.102442</w:t>
      </w:r>
    </w:p>
    <w:p w14:paraId="7A79E79A" w14:textId="5095CC3B" w:rsidR="00430B0F" w:rsidRPr="001653A8" w:rsidRDefault="00430B0F" w:rsidP="001653A8">
      <w:pPr>
        <w:pStyle w:val="ListParagraph"/>
        <w:numPr>
          <w:ilvl w:val="0"/>
          <w:numId w:val="31"/>
        </w:numPr>
        <w:jc w:val="both"/>
        <w:rPr>
          <w:rFonts w:ascii="Arial" w:hAnsi="Arial" w:cs="Arial"/>
          <w:lang w:val="en-GB"/>
        </w:rPr>
      </w:pPr>
      <w:proofErr w:type="spellStart"/>
      <w:r w:rsidRPr="001653A8">
        <w:rPr>
          <w:rFonts w:ascii="Arial" w:hAnsi="Arial" w:cs="Arial"/>
          <w:lang w:val="en-GB"/>
        </w:rPr>
        <w:t>Tsopmbeng</w:t>
      </w:r>
      <w:proofErr w:type="spellEnd"/>
      <w:r w:rsidRPr="001653A8">
        <w:rPr>
          <w:rFonts w:ascii="Arial" w:hAnsi="Arial" w:cs="Arial"/>
          <w:lang w:val="en-GB"/>
        </w:rPr>
        <w:t xml:space="preserve">, N.G., </w:t>
      </w:r>
      <w:proofErr w:type="spellStart"/>
      <w:r w:rsidRPr="001653A8">
        <w:rPr>
          <w:rFonts w:ascii="Arial" w:hAnsi="Arial" w:cs="Arial"/>
          <w:lang w:val="en-GB"/>
        </w:rPr>
        <w:t>Megatche</w:t>
      </w:r>
      <w:proofErr w:type="spellEnd"/>
      <w:r w:rsidRPr="001653A8">
        <w:rPr>
          <w:rFonts w:ascii="Arial" w:hAnsi="Arial" w:cs="Arial"/>
          <w:lang w:val="en-GB"/>
        </w:rPr>
        <w:t xml:space="preserve">, C.J.P., </w:t>
      </w:r>
      <w:proofErr w:type="spellStart"/>
      <w:r w:rsidRPr="001653A8">
        <w:rPr>
          <w:rFonts w:ascii="Arial" w:hAnsi="Arial" w:cs="Arial"/>
          <w:lang w:val="en-GB"/>
        </w:rPr>
        <w:t>Lienou</w:t>
      </w:r>
      <w:proofErr w:type="spellEnd"/>
      <w:r w:rsidRPr="001653A8">
        <w:rPr>
          <w:rFonts w:ascii="Arial" w:hAnsi="Arial" w:cs="Arial"/>
          <w:lang w:val="en-GB"/>
        </w:rPr>
        <w:t xml:space="preserve">, J.A., </w:t>
      </w:r>
      <w:proofErr w:type="spellStart"/>
      <w:r w:rsidRPr="001653A8">
        <w:rPr>
          <w:rFonts w:ascii="Arial" w:hAnsi="Arial" w:cs="Arial"/>
          <w:lang w:val="en-GB"/>
        </w:rPr>
        <w:t>Yaouba</w:t>
      </w:r>
      <w:proofErr w:type="spellEnd"/>
      <w:r w:rsidRPr="001653A8">
        <w:rPr>
          <w:rFonts w:ascii="Arial" w:hAnsi="Arial" w:cs="Arial"/>
          <w:lang w:val="en-GB"/>
        </w:rPr>
        <w:t xml:space="preserve">, A., </w:t>
      </w:r>
      <w:proofErr w:type="spellStart"/>
      <w:r w:rsidRPr="001653A8">
        <w:rPr>
          <w:rFonts w:ascii="Arial" w:hAnsi="Arial" w:cs="Arial"/>
          <w:lang w:val="en-GB"/>
        </w:rPr>
        <w:t>Djeugap</w:t>
      </w:r>
      <w:proofErr w:type="spellEnd"/>
      <w:r w:rsidRPr="001653A8">
        <w:rPr>
          <w:rFonts w:ascii="Arial" w:hAnsi="Arial" w:cs="Arial"/>
          <w:lang w:val="en-GB"/>
        </w:rPr>
        <w:t xml:space="preserve">, F.J., </w:t>
      </w:r>
      <w:proofErr w:type="spellStart"/>
      <w:r w:rsidRPr="001653A8">
        <w:rPr>
          <w:rFonts w:ascii="Arial" w:hAnsi="Arial" w:cs="Arial"/>
          <w:lang w:val="en-GB"/>
        </w:rPr>
        <w:t>Fontem</w:t>
      </w:r>
      <w:proofErr w:type="spellEnd"/>
      <w:r w:rsidRPr="001653A8">
        <w:rPr>
          <w:rFonts w:ascii="Arial" w:hAnsi="Arial" w:cs="Arial"/>
          <w:lang w:val="en-GB"/>
        </w:rPr>
        <w:t xml:space="preserve">, D.A. (2014). Evaluation of antifungal activities of plant extracts against </w:t>
      </w:r>
      <w:r w:rsidRPr="001653A8">
        <w:rPr>
          <w:rFonts w:ascii="Arial" w:hAnsi="Arial" w:cs="Arial"/>
          <w:i/>
          <w:iCs/>
          <w:lang w:val="en-GB"/>
        </w:rPr>
        <w:lastRenderedPageBreak/>
        <w:t xml:space="preserve">Phytophthora </w:t>
      </w:r>
      <w:proofErr w:type="spellStart"/>
      <w:r w:rsidRPr="001653A8">
        <w:rPr>
          <w:rFonts w:ascii="Arial" w:hAnsi="Arial" w:cs="Arial"/>
          <w:i/>
          <w:iCs/>
          <w:lang w:val="en-GB"/>
        </w:rPr>
        <w:t>colocasiae</w:t>
      </w:r>
      <w:proofErr w:type="spellEnd"/>
      <w:r w:rsidRPr="001653A8">
        <w:rPr>
          <w:rFonts w:ascii="Arial" w:hAnsi="Arial" w:cs="Arial"/>
          <w:lang w:val="en-GB"/>
        </w:rPr>
        <w:t>, causal agent of late blight of taro (</w:t>
      </w:r>
      <w:r w:rsidRPr="001653A8">
        <w:rPr>
          <w:rFonts w:ascii="Arial" w:hAnsi="Arial" w:cs="Arial"/>
          <w:i/>
          <w:iCs/>
          <w:lang w:val="en-GB"/>
        </w:rPr>
        <w:t>Colocasia esculenta</w:t>
      </w:r>
      <w:r w:rsidRPr="001653A8">
        <w:rPr>
          <w:rFonts w:ascii="Arial" w:hAnsi="Arial" w:cs="Arial"/>
          <w:lang w:val="en-GB"/>
        </w:rPr>
        <w:t xml:space="preserve"> L. Schott). </w:t>
      </w:r>
      <w:r w:rsidRPr="001653A8">
        <w:rPr>
          <w:rFonts w:ascii="Arial" w:hAnsi="Arial" w:cs="Arial"/>
          <w:i/>
          <w:iCs/>
          <w:lang w:val="en-GB"/>
        </w:rPr>
        <w:t>Journal of Applied Bioscience</w:t>
      </w:r>
      <w:r w:rsidRPr="001653A8">
        <w:rPr>
          <w:rFonts w:ascii="Arial" w:hAnsi="Arial" w:cs="Arial"/>
          <w:lang w:val="en-GB"/>
        </w:rPr>
        <w:t xml:space="preserve">, 81(1): 7221-7232. </w:t>
      </w:r>
      <w:r w:rsidR="003160AC" w:rsidRPr="001653A8">
        <w:rPr>
          <w:rFonts w:ascii="Arial" w:hAnsi="Arial" w:cs="Arial"/>
          <w:sz w:val="18"/>
          <w:szCs w:val="18"/>
        </w:rPr>
        <w:t>https://doi.org/10.4314/jab.v81i1.2</w:t>
      </w:r>
    </w:p>
    <w:p w14:paraId="7B03BAFE" w14:textId="3E9AE01C" w:rsidR="003160AC" w:rsidRPr="001653A8" w:rsidRDefault="00430B0F" w:rsidP="001653A8">
      <w:pPr>
        <w:pStyle w:val="ListParagraph"/>
        <w:numPr>
          <w:ilvl w:val="0"/>
          <w:numId w:val="31"/>
        </w:numPr>
        <w:jc w:val="both"/>
        <w:rPr>
          <w:rFonts w:ascii="Arial" w:hAnsi="Arial" w:cs="Arial"/>
          <w:sz w:val="18"/>
          <w:szCs w:val="18"/>
          <w:lang w:val="fr-CI"/>
        </w:rPr>
      </w:pPr>
      <w:r w:rsidRPr="001653A8">
        <w:rPr>
          <w:rFonts w:ascii="Arial" w:hAnsi="Arial" w:cs="Arial"/>
          <w:lang w:val="en-GB"/>
        </w:rPr>
        <w:t>White, T.J., Bruns, T.D., Lee, S.B., &amp; Taylor, J.W. (1990). Amplification and direct sequencing of fungal ribosomal RNA Genes for phylogenetics. In: PCR Protocols, a Guide to Methods and Applications. Academic Press, 315-322.</w:t>
      </w:r>
      <w:r w:rsidR="003160AC" w:rsidRPr="001653A8">
        <w:rPr>
          <w:rFonts w:ascii="Arial" w:hAnsi="Arial" w:cs="Arial"/>
          <w:sz w:val="18"/>
          <w:szCs w:val="18"/>
        </w:rPr>
        <w:t xml:space="preserve"> </w:t>
      </w:r>
      <w:hyperlink r:id="rId24" w:history="1">
        <w:r w:rsidR="003160AC" w:rsidRPr="001653A8">
          <w:rPr>
            <w:rStyle w:val="Hyperlink"/>
            <w:rFonts w:ascii="Arial" w:hAnsi="Arial" w:cs="Arial"/>
            <w:color w:val="auto"/>
            <w:sz w:val="18"/>
            <w:szCs w:val="18"/>
            <w:u w:val="none"/>
            <w:lang w:val="fr-CI"/>
          </w:rPr>
          <w:t>https://doi.org/10.1016/b978-0-12-372180-8.50042-1</w:t>
        </w:r>
      </w:hyperlink>
    </w:p>
    <w:p w14:paraId="2A25FCFA" w14:textId="5E439677" w:rsidR="00B01FCD" w:rsidRPr="001653A8" w:rsidRDefault="00430B0F" w:rsidP="001653A8">
      <w:pPr>
        <w:pStyle w:val="ListParagraph"/>
        <w:numPr>
          <w:ilvl w:val="0"/>
          <w:numId w:val="31"/>
        </w:numPr>
        <w:jc w:val="both"/>
        <w:rPr>
          <w:rFonts w:ascii="Arial" w:hAnsi="Arial" w:cs="Arial"/>
          <w:b/>
        </w:rPr>
      </w:pPr>
      <w:proofErr w:type="spellStart"/>
      <w:r w:rsidRPr="001653A8">
        <w:rPr>
          <w:rFonts w:ascii="Arial" w:hAnsi="Arial" w:cs="Arial"/>
          <w:lang w:val="fr-CI"/>
        </w:rPr>
        <w:t>Zekeya</w:t>
      </w:r>
      <w:proofErr w:type="spellEnd"/>
      <w:r w:rsidRPr="001653A8">
        <w:rPr>
          <w:rFonts w:ascii="Arial" w:hAnsi="Arial" w:cs="Arial"/>
          <w:lang w:val="fr-CI"/>
        </w:rPr>
        <w:t xml:space="preserve">, N., </w:t>
      </w:r>
      <w:proofErr w:type="spellStart"/>
      <w:r w:rsidRPr="001653A8">
        <w:rPr>
          <w:rFonts w:ascii="Arial" w:hAnsi="Arial" w:cs="Arial"/>
          <w:lang w:val="fr-CI"/>
        </w:rPr>
        <w:t>Ndakidemi</w:t>
      </w:r>
      <w:proofErr w:type="spellEnd"/>
      <w:r w:rsidRPr="001653A8">
        <w:rPr>
          <w:rFonts w:ascii="Arial" w:hAnsi="Arial" w:cs="Arial"/>
          <w:lang w:val="fr-CI"/>
        </w:rPr>
        <w:t xml:space="preserve">, P., Chacha, M., &amp; </w:t>
      </w:r>
      <w:proofErr w:type="spellStart"/>
      <w:r w:rsidRPr="001653A8">
        <w:rPr>
          <w:rFonts w:ascii="Arial" w:hAnsi="Arial" w:cs="Arial"/>
          <w:lang w:val="fr-CI"/>
        </w:rPr>
        <w:t>Mbega</w:t>
      </w:r>
      <w:proofErr w:type="spellEnd"/>
      <w:r w:rsidRPr="001653A8">
        <w:rPr>
          <w:rFonts w:ascii="Arial" w:hAnsi="Arial" w:cs="Arial"/>
          <w:lang w:val="fr-CI"/>
        </w:rPr>
        <w:t xml:space="preserve">, E. (2017). </w:t>
      </w:r>
      <w:r w:rsidRPr="001653A8">
        <w:rPr>
          <w:rFonts w:ascii="Arial" w:hAnsi="Arial" w:cs="Arial"/>
          <w:lang w:val="en-GB"/>
        </w:rPr>
        <w:t xml:space="preserve">Tomato </w:t>
      </w:r>
      <w:proofErr w:type="spellStart"/>
      <w:r w:rsidRPr="001653A8">
        <w:rPr>
          <w:rFonts w:ascii="Arial" w:hAnsi="Arial" w:cs="Arial"/>
          <w:lang w:val="en-GB"/>
        </w:rPr>
        <w:t>Leafminer</w:t>
      </w:r>
      <w:proofErr w:type="spellEnd"/>
      <w:r w:rsidRPr="001653A8">
        <w:rPr>
          <w:rFonts w:ascii="Arial" w:hAnsi="Arial" w:cs="Arial"/>
          <w:lang w:val="en-GB"/>
        </w:rPr>
        <w:t xml:space="preserve">, </w:t>
      </w:r>
      <w:proofErr w:type="spellStart"/>
      <w:r w:rsidRPr="001653A8">
        <w:rPr>
          <w:rFonts w:ascii="Arial" w:hAnsi="Arial" w:cs="Arial"/>
          <w:i/>
          <w:iCs/>
          <w:lang w:val="en-GB"/>
        </w:rPr>
        <w:t>Tuta</w:t>
      </w:r>
      <w:proofErr w:type="spellEnd"/>
      <w:r w:rsidRPr="001653A8">
        <w:rPr>
          <w:rFonts w:ascii="Arial" w:hAnsi="Arial" w:cs="Arial"/>
          <w:i/>
          <w:iCs/>
          <w:lang w:val="en-GB"/>
        </w:rPr>
        <w:t xml:space="preserve"> </w:t>
      </w:r>
      <w:proofErr w:type="spellStart"/>
      <w:r w:rsidRPr="001653A8">
        <w:rPr>
          <w:rFonts w:ascii="Arial" w:hAnsi="Arial" w:cs="Arial"/>
          <w:i/>
          <w:iCs/>
          <w:lang w:val="en-GB"/>
        </w:rPr>
        <w:t>absoluta</w:t>
      </w:r>
      <w:proofErr w:type="spellEnd"/>
      <w:r w:rsidRPr="001653A8">
        <w:rPr>
          <w:rFonts w:ascii="Arial" w:hAnsi="Arial" w:cs="Arial"/>
          <w:lang w:val="en-GB"/>
        </w:rPr>
        <w:t xml:space="preserve"> (Meyrick 1917), an emerging agricultural pest in Sub-Saharan Africa: Current and prospective management strategies. </w:t>
      </w:r>
      <w:r w:rsidRPr="001653A8">
        <w:rPr>
          <w:rFonts w:ascii="Arial" w:hAnsi="Arial" w:cs="Arial"/>
          <w:i/>
          <w:iCs/>
          <w:lang w:val="en-GB"/>
        </w:rPr>
        <w:t>African Journal of Agricultural Research</w:t>
      </w:r>
      <w:r w:rsidRPr="001653A8">
        <w:rPr>
          <w:rFonts w:ascii="Arial" w:hAnsi="Arial" w:cs="Arial"/>
          <w:lang w:val="en-GB"/>
        </w:rPr>
        <w:t xml:space="preserve">, 12(6): 389-396. </w:t>
      </w:r>
      <w:hyperlink r:id="rId25" w:history="1">
        <w:r w:rsidR="0072755B" w:rsidRPr="001653A8">
          <w:rPr>
            <w:rStyle w:val="Hyperlink"/>
            <w:rFonts w:ascii="Arial" w:hAnsi="Arial" w:cs="Arial"/>
            <w:color w:val="auto"/>
            <w:sz w:val="18"/>
            <w:szCs w:val="18"/>
            <w:u w:val="none"/>
          </w:rPr>
          <w:t>https://doi.org/10.5897/AJAR2016.11515</w:t>
        </w:r>
      </w:hyperlink>
      <w:r w:rsidR="003160AC" w:rsidRPr="001653A8">
        <w:rPr>
          <w:rFonts w:ascii="Arial" w:hAnsi="Arial" w:cs="Arial"/>
          <w:sz w:val="18"/>
          <w:szCs w:val="18"/>
        </w:rPr>
        <w:tab/>
      </w:r>
    </w:p>
    <w:sectPr w:rsidR="00B01FCD" w:rsidRPr="001653A8" w:rsidSect="00430B0F">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73989" w14:textId="77777777" w:rsidR="002901E3" w:rsidRDefault="002901E3" w:rsidP="00C37E61">
      <w:r>
        <w:separator/>
      </w:r>
    </w:p>
  </w:endnote>
  <w:endnote w:type="continuationSeparator" w:id="0">
    <w:p w14:paraId="65D170B7" w14:textId="77777777" w:rsidR="002901E3" w:rsidRDefault="002901E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3512F" w14:textId="77777777" w:rsidR="00E60567" w:rsidRDefault="00E605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CE765" w14:textId="5DA9C830" w:rsidR="00C37E61" w:rsidRPr="00DF4E3C" w:rsidRDefault="00C5116D" w:rsidP="00DF4E3C">
    <w:pPr>
      <w:pStyle w:val="Footer"/>
    </w:pPr>
    <w:r w:rsidRPr="00DF4E3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33653" w14:textId="77777777" w:rsidR="009E048A" w:rsidRDefault="009E048A">
    <w:pPr>
      <w:pStyle w:val="Footer"/>
      <w:rPr>
        <w:rFonts w:ascii="Arial" w:hAnsi="Arial" w:cs="Arial"/>
        <w:sz w:val="16"/>
      </w:rPr>
    </w:pPr>
  </w:p>
  <w:p w14:paraId="58F7E3F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8F093EE" w14:textId="77777777" w:rsidR="009E048A" w:rsidRDefault="009E048A">
    <w:pPr>
      <w:pStyle w:val="Footer"/>
      <w:rPr>
        <w:rFonts w:ascii="Arial" w:hAnsi="Arial" w:cs="Arial"/>
        <w:sz w:val="16"/>
      </w:rPr>
    </w:pPr>
  </w:p>
  <w:p w14:paraId="0067E33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2792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3AEBD" w14:textId="77777777" w:rsidR="002901E3" w:rsidRDefault="002901E3" w:rsidP="00C37E61">
      <w:r>
        <w:separator/>
      </w:r>
    </w:p>
  </w:footnote>
  <w:footnote w:type="continuationSeparator" w:id="0">
    <w:p w14:paraId="4A60603D" w14:textId="77777777" w:rsidR="002901E3" w:rsidRDefault="002901E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E7956" w14:textId="43424F27" w:rsidR="00E60567" w:rsidRDefault="002901E3">
    <w:pPr>
      <w:pStyle w:val="Header"/>
    </w:pPr>
    <w:r>
      <w:rPr>
        <w:noProof/>
      </w:rPr>
      <w:pict w14:anchorId="069954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2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1D0D7" w14:textId="50C3D77D" w:rsidR="00E60567" w:rsidRDefault="002901E3">
    <w:pPr>
      <w:pStyle w:val="Header"/>
    </w:pPr>
    <w:r>
      <w:rPr>
        <w:noProof/>
      </w:rPr>
      <w:pict w14:anchorId="69ADEF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3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D158" w14:textId="5E80240A" w:rsidR="00296529" w:rsidRPr="00296529" w:rsidRDefault="002901E3" w:rsidP="00296529">
    <w:pPr>
      <w:ind w:left="2160"/>
      <w:jc w:val="center"/>
      <w:rPr>
        <w:rFonts w:ascii="Times New Roman" w:eastAsia="Calibri" w:hAnsi="Times New Roman"/>
        <w:i/>
        <w:sz w:val="18"/>
        <w:szCs w:val="22"/>
      </w:rPr>
    </w:pPr>
    <w:r>
      <w:rPr>
        <w:noProof/>
      </w:rPr>
      <w:pict w14:anchorId="26EC9E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2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7B31CF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D6A530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300B2C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CD63CD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E94D8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E4F7E0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77C06" w14:textId="3558A637" w:rsidR="00E60567" w:rsidRDefault="002901E3">
    <w:pPr>
      <w:pStyle w:val="Header"/>
    </w:pPr>
    <w:r>
      <w:rPr>
        <w:noProof/>
      </w:rPr>
      <w:pict w14:anchorId="6B299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3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F4065" w14:textId="47F4303F" w:rsidR="00E60567" w:rsidRDefault="002901E3">
    <w:pPr>
      <w:pStyle w:val="Header"/>
    </w:pPr>
    <w:r>
      <w:rPr>
        <w:noProof/>
      </w:rPr>
      <w:pict w14:anchorId="4A0549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3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5053F" w14:textId="00411FA7" w:rsidR="00E60567" w:rsidRDefault="002901E3">
    <w:pPr>
      <w:pStyle w:val="Header"/>
    </w:pPr>
    <w:r>
      <w:rPr>
        <w:noProof/>
      </w:rPr>
      <w:pict w14:anchorId="22DC8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3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3F07EE8"/>
    <w:multiLevelType w:val="hybridMultilevel"/>
    <w:tmpl w:val="E2F200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0"/>
  </w:num>
  <w:num w:numId="28">
    <w:abstractNumId w:val="28"/>
  </w:num>
  <w:num w:numId="29">
    <w:abstractNumId w:val="25"/>
  </w:num>
  <w:num w:numId="30">
    <w:abstractNumId w:val="10"/>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6FD"/>
    <w:rsid w:val="00000F8F"/>
    <w:rsid w:val="00001BA7"/>
    <w:rsid w:val="00010F57"/>
    <w:rsid w:val="000131EE"/>
    <w:rsid w:val="00015829"/>
    <w:rsid w:val="00026F4E"/>
    <w:rsid w:val="00030174"/>
    <w:rsid w:val="0004579C"/>
    <w:rsid w:val="00053FDD"/>
    <w:rsid w:val="000619AC"/>
    <w:rsid w:val="000A47FA"/>
    <w:rsid w:val="000A65D3"/>
    <w:rsid w:val="000B1E33"/>
    <w:rsid w:val="000D017B"/>
    <w:rsid w:val="000D689F"/>
    <w:rsid w:val="000E7B7B"/>
    <w:rsid w:val="000E7D62"/>
    <w:rsid w:val="00103357"/>
    <w:rsid w:val="00115BDD"/>
    <w:rsid w:val="001204B3"/>
    <w:rsid w:val="00123C9F"/>
    <w:rsid w:val="00126190"/>
    <w:rsid w:val="00130F17"/>
    <w:rsid w:val="0013164B"/>
    <w:rsid w:val="001320BF"/>
    <w:rsid w:val="00143CC7"/>
    <w:rsid w:val="00160C3B"/>
    <w:rsid w:val="00163BC4"/>
    <w:rsid w:val="001653A8"/>
    <w:rsid w:val="00183442"/>
    <w:rsid w:val="00191062"/>
    <w:rsid w:val="001912B5"/>
    <w:rsid w:val="00192B72"/>
    <w:rsid w:val="001A29D8"/>
    <w:rsid w:val="001A57BB"/>
    <w:rsid w:val="001A5CAA"/>
    <w:rsid w:val="001B0427"/>
    <w:rsid w:val="001D3A51"/>
    <w:rsid w:val="001E0CD8"/>
    <w:rsid w:val="001E10D2"/>
    <w:rsid w:val="001E25B4"/>
    <w:rsid w:val="001E44FE"/>
    <w:rsid w:val="00200595"/>
    <w:rsid w:val="00204835"/>
    <w:rsid w:val="00206F17"/>
    <w:rsid w:val="00231920"/>
    <w:rsid w:val="0023195C"/>
    <w:rsid w:val="0024282C"/>
    <w:rsid w:val="002460DC"/>
    <w:rsid w:val="00250985"/>
    <w:rsid w:val="002556F6"/>
    <w:rsid w:val="002617DF"/>
    <w:rsid w:val="0026330C"/>
    <w:rsid w:val="00274AB5"/>
    <w:rsid w:val="00283105"/>
    <w:rsid w:val="00284C4C"/>
    <w:rsid w:val="00287E68"/>
    <w:rsid w:val="002901E3"/>
    <w:rsid w:val="00296529"/>
    <w:rsid w:val="002B27FB"/>
    <w:rsid w:val="002B685A"/>
    <w:rsid w:val="002B7986"/>
    <w:rsid w:val="002C57D2"/>
    <w:rsid w:val="002E0D56"/>
    <w:rsid w:val="00315186"/>
    <w:rsid w:val="003160AC"/>
    <w:rsid w:val="003209D8"/>
    <w:rsid w:val="00326FD8"/>
    <w:rsid w:val="0033343E"/>
    <w:rsid w:val="003337CC"/>
    <w:rsid w:val="00344732"/>
    <w:rsid w:val="003512C2"/>
    <w:rsid w:val="00363057"/>
    <w:rsid w:val="00371FB6"/>
    <w:rsid w:val="003763C1"/>
    <w:rsid w:val="00376BBE"/>
    <w:rsid w:val="0039224F"/>
    <w:rsid w:val="003962A7"/>
    <w:rsid w:val="003A43A4"/>
    <w:rsid w:val="003A7E18"/>
    <w:rsid w:val="003C4C86"/>
    <w:rsid w:val="003C6258"/>
    <w:rsid w:val="003D178F"/>
    <w:rsid w:val="003D4378"/>
    <w:rsid w:val="003E2904"/>
    <w:rsid w:val="00401927"/>
    <w:rsid w:val="0041027F"/>
    <w:rsid w:val="00412475"/>
    <w:rsid w:val="004149C3"/>
    <w:rsid w:val="00423789"/>
    <w:rsid w:val="004264A7"/>
    <w:rsid w:val="00426F3A"/>
    <w:rsid w:val="00430B0F"/>
    <w:rsid w:val="00440F43"/>
    <w:rsid w:val="00441B6F"/>
    <w:rsid w:val="00446221"/>
    <w:rsid w:val="00450E62"/>
    <w:rsid w:val="004539DB"/>
    <w:rsid w:val="00471A80"/>
    <w:rsid w:val="00497B20"/>
    <w:rsid w:val="004D305E"/>
    <w:rsid w:val="004D4277"/>
    <w:rsid w:val="0050085C"/>
    <w:rsid w:val="00502516"/>
    <w:rsid w:val="00503055"/>
    <w:rsid w:val="00505F06"/>
    <w:rsid w:val="00506828"/>
    <w:rsid w:val="00506EDD"/>
    <w:rsid w:val="00513086"/>
    <w:rsid w:val="0053056E"/>
    <w:rsid w:val="00541230"/>
    <w:rsid w:val="00543C71"/>
    <w:rsid w:val="0054515E"/>
    <w:rsid w:val="005452F7"/>
    <w:rsid w:val="00554FDA"/>
    <w:rsid w:val="00556DF3"/>
    <w:rsid w:val="00586425"/>
    <w:rsid w:val="005A574B"/>
    <w:rsid w:val="005C48A0"/>
    <w:rsid w:val="005C784C"/>
    <w:rsid w:val="005D17F6"/>
    <w:rsid w:val="005E5539"/>
    <w:rsid w:val="00600DC7"/>
    <w:rsid w:val="00602630"/>
    <w:rsid w:val="00602BF5"/>
    <w:rsid w:val="00617FDD"/>
    <w:rsid w:val="00633614"/>
    <w:rsid w:val="00633F68"/>
    <w:rsid w:val="00636EB2"/>
    <w:rsid w:val="006375B8"/>
    <w:rsid w:val="006436DA"/>
    <w:rsid w:val="0066510A"/>
    <w:rsid w:val="006651C5"/>
    <w:rsid w:val="00673F9F"/>
    <w:rsid w:val="006839B1"/>
    <w:rsid w:val="00686953"/>
    <w:rsid w:val="00687DEA"/>
    <w:rsid w:val="00687E67"/>
    <w:rsid w:val="0069005D"/>
    <w:rsid w:val="006967F7"/>
    <w:rsid w:val="006A250C"/>
    <w:rsid w:val="006B21D3"/>
    <w:rsid w:val="006B57D0"/>
    <w:rsid w:val="006D16EB"/>
    <w:rsid w:val="006D30FF"/>
    <w:rsid w:val="006D6940"/>
    <w:rsid w:val="006F11EC"/>
    <w:rsid w:val="0070082C"/>
    <w:rsid w:val="007045A5"/>
    <w:rsid w:val="00722BAB"/>
    <w:rsid w:val="0072755B"/>
    <w:rsid w:val="007369E6"/>
    <w:rsid w:val="00746E59"/>
    <w:rsid w:val="00754C9A"/>
    <w:rsid w:val="0075599A"/>
    <w:rsid w:val="00761D52"/>
    <w:rsid w:val="007672E0"/>
    <w:rsid w:val="0076786A"/>
    <w:rsid w:val="007737C1"/>
    <w:rsid w:val="00776112"/>
    <w:rsid w:val="0077749E"/>
    <w:rsid w:val="00784EA9"/>
    <w:rsid w:val="00790ADA"/>
    <w:rsid w:val="007A7D12"/>
    <w:rsid w:val="007C1BA7"/>
    <w:rsid w:val="007C246F"/>
    <w:rsid w:val="007D2288"/>
    <w:rsid w:val="007E088F"/>
    <w:rsid w:val="007F7B32"/>
    <w:rsid w:val="0080001D"/>
    <w:rsid w:val="00804BC2"/>
    <w:rsid w:val="0081431A"/>
    <w:rsid w:val="00831792"/>
    <w:rsid w:val="0083216F"/>
    <w:rsid w:val="00833F02"/>
    <w:rsid w:val="0084030C"/>
    <w:rsid w:val="00854725"/>
    <w:rsid w:val="00860000"/>
    <w:rsid w:val="00863BD3"/>
    <w:rsid w:val="008641ED"/>
    <w:rsid w:val="00866D66"/>
    <w:rsid w:val="008671C6"/>
    <w:rsid w:val="00875803"/>
    <w:rsid w:val="00885C28"/>
    <w:rsid w:val="008966A4"/>
    <w:rsid w:val="00896E68"/>
    <w:rsid w:val="008B459E"/>
    <w:rsid w:val="008E13AE"/>
    <w:rsid w:val="008E1506"/>
    <w:rsid w:val="008E710C"/>
    <w:rsid w:val="008F69D6"/>
    <w:rsid w:val="00902823"/>
    <w:rsid w:val="00915CA6"/>
    <w:rsid w:val="00927834"/>
    <w:rsid w:val="009346FE"/>
    <w:rsid w:val="009500A6"/>
    <w:rsid w:val="00957C18"/>
    <w:rsid w:val="009659BA"/>
    <w:rsid w:val="00983040"/>
    <w:rsid w:val="009B08A1"/>
    <w:rsid w:val="009B3A18"/>
    <w:rsid w:val="009B3FB9"/>
    <w:rsid w:val="009C2465"/>
    <w:rsid w:val="009D35A0"/>
    <w:rsid w:val="009D7EB7"/>
    <w:rsid w:val="009E048A"/>
    <w:rsid w:val="009E08E9"/>
    <w:rsid w:val="009E3DB9"/>
    <w:rsid w:val="009E6E35"/>
    <w:rsid w:val="009F0EDA"/>
    <w:rsid w:val="00A03B96"/>
    <w:rsid w:val="00A05B19"/>
    <w:rsid w:val="00A1134E"/>
    <w:rsid w:val="00A15AD0"/>
    <w:rsid w:val="00A24E7E"/>
    <w:rsid w:val="00A258C3"/>
    <w:rsid w:val="00A25ED7"/>
    <w:rsid w:val="00A33490"/>
    <w:rsid w:val="00A347C0"/>
    <w:rsid w:val="00A41976"/>
    <w:rsid w:val="00A4303B"/>
    <w:rsid w:val="00A51431"/>
    <w:rsid w:val="00A539AD"/>
    <w:rsid w:val="00A53D05"/>
    <w:rsid w:val="00A64614"/>
    <w:rsid w:val="00A80922"/>
    <w:rsid w:val="00A82695"/>
    <w:rsid w:val="00A90609"/>
    <w:rsid w:val="00A94063"/>
    <w:rsid w:val="00AA6219"/>
    <w:rsid w:val="00AA74E0"/>
    <w:rsid w:val="00AB703F"/>
    <w:rsid w:val="00AC6BB8"/>
    <w:rsid w:val="00AE008F"/>
    <w:rsid w:val="00B01FCD"/>
    <w:rsid w:val="00B04A78"/>
    <w:rsid w:val="00B11AA5"/>
    <w:rsid w:val="00B1776C"/>
    <w:rsid w:val="00B52583"/>
    <w:rsid w:val="00B52896"/>
    <w:rsid w:val="00B55A2A"/>
    <w:rsid w:val="00B55F5A"/>
    <w:rsid w:val="00B95236"/>
    <w:rsid w:val="00B96BD9"/>
    <w:rsid w:val="00BA1B01"/>
    <w:rsid w:val="00BA2641"/>
    <w:rsid w:val="00BA7537"/>
    <w:rsid w:val="00BB37AA"/>
    <w:rsid w:val="00BC3B02"/>
    <w:rsid w:val="00BC4125"/>
    <w:rsid w:val="00BC53A0"/>
    <w:rsid w:val="00BE32CD"/>
    <w:rsid w:val="00BE44DF"/>
    <w:rsid w:val="00BE62AD"/>
    <w:rsid w:val="00BF121F"/>
    <w:rsid w:val="00BF1F80"/>
    <w:rsid w:val="00C02CF0"/>
    <w:rsid w:val="00C166EF"/>
    <w:rsid w:val="00C17EB0"/>
    <w:rsid w:val="00C24097"/>
    <w:rsid w:val="00C27F5F"/>
    <w:rsid w:val="00C30A0F"/>
    <w:rsid w:val="00C37E61"/>
    <w:rsid w:val="00C5116D"/>
    <w:rsid w:val="00C70F1B"/>
    <w:rsid w:val="00C71A47"/>
    <w:rsid w:val="00C7464C"/>
    <w:rsid w:val="00C85588"/>
    <w:rsid w:val="00CD22E2"/>
    <w:rsid w:val="00CD6755"/>
    <w:rsid w:val="00CD6856"/>
    <w:rsid w:val="00CD6E86"/>
    <w:rsid w:val="00CE0089"/>
    <w:rsid w:val="00CE3A3A"/>
    <w:rsid w:val="00CE793C"/>
    <w:rsid w:val="00CF193C"/>
    <w:rsid w:val="00D06300"/>
    <w:rsid w:val="00D173F1"/>
    <w:rsid w:val="00D17E7B"/>
    <w:rsid w:val="00D20C92"/>
    <w:rsid w:val="00D5381A"/>
    <w:rsid w:val="00D722A0"/>
    <w:rsid w:val="00D74CB0"/>
    <w:rsid w:val="00D8295D"/>
    <w:rsid w:val="00DB1672"/>
    <w:rsid w:val="00DC2A65"/>
    <w:rsid w:val="00DE15F0"/>
    <w:rsid w:val="00DE5663"/>
    <w:rsid w:val="00DE78AA"/>
    <w:rsid w:val="00DF1360"/>
    <w:rsid w:val="00DF3181"/>
    <w:rsid w:val="00DF4E3C"/>
    <w:rsid w:val="00E00657"/>
    <w:rsid w:val="00E053D0"/>
    <w:rsid w:val="00E15994"/>
    <w:rsid w:val="00E3114E"/>
    <w:rsid w:val="00E31A70"/>
    <w:rsid w:val="00E35B02"/>
    <w:rsid w:val="00E47DB4"/>
    <w:rsid w:val="00E52398"/>
    <w:rsid w:val="00E60567"/>
    <w:rsid w:val="00E66496"/>
    <w:rsid w:val="00E66B35"/>
    <w:rsid w:val="00E66E10"/>
    <w:rsid w:val="00E769F6"/>
    <w:rsid w:val="00E8407C"/>
    <w:rsid w:val="00E84F3C"/>
    <w:rsid w:val="00EA012C"/>
    <w:rsid w:val="00EB6DFF"/>
    <w:rsid w:val="00EC6A55"/>
    <w:rsid w:val="00ED0288"/>
    <w:rsid w:val="00EE52CB"/>
    <w:rsid w:val="00EF581D"/>
    <w:rsid w:val="00EF6CEE"/>
    <w:rsid w:val="00EF7FD8"/>
    <w:rsid w:val="00F03A46"/>
    <w:rsid w:val="00F06F59"/>
    <w:rsid w:val="00F17988"/>
    <w:rsid w:val="00F37818"/>
    <w:rsid w:val="00F429BE"/>
    <w:rsid w:val="00F442FC"/>
    <w:rsid w:val="00F469F0"/>
    <w:rsid w:val="00F53273"/>
    <w:rsid w:val="00F74DA3"/>
    <w:rsid w:val="00F755E4"/>
    <w:rsid w:val="00F77D02"/>
    <w:rsid w:val="00F82799"/>
    <w:rsid w:val="00F83871"/>
    <w:rsid w:val="00FB3A86"/>
    <w:rsid w:val="00FD36C8"/>
    <w:rsid w:val="00FD6F32"/>
    <w:rsid w:val="00FF2EB0"/>
    <w:rsid w:val="00FF7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CA3A90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84030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E47DB4"/>
    <w:pPr>
      <w:spacing w:before="100" w:beforeAutospacing="1" w:after="100" w:afterAutospacing="1"/>
    </w:pPr>
    <w:rPr>
      <w:rFonts w:ascii="Times New Roman" w:eastAsiaTheme="minorEastAsia" w:hAnsi="Times New Roman"/>
      <w:sz w:val="24"/>
      <w:szCs w:val="24"/>
      <w:lang w:val="fr-FR" w:eastAsia="fr-FR"/>
    </w:rPr>
  </w:style>
  <w:style w:type="character" w:customStyle="1" w:styleId="rynqvb">
    <w:name w:val="rynqvb"/>
    <w:basedOn w:val="DefaultParagraphFont"/>
    <w:rsid w:val="00BE44DF"/>
  </w:style>
  <w:style w:type="character" w:customStyle="1" w:styleId="hwtze">
    <w:name w:val="hwtze"/>
    <w:basedOn w:val="DefaultParagraphFont"/>
    <w:rsid w:val="00BE44DF"/>
  </w:style>
  <w:style w:type="table" w:styleId="PlainTable4">
    <w:name w:val="Plain Table 4"/>
    <w:basedOn w:val="TableNormal"/>
    <w:uiPriority w:val="44"/>
    <w:rsid w:val="00543C71"/>
    <w:rPr>
      <w:rFonts w:asciiTheme="minorHAnsi" w:eastAsiaTheme="minorHAnsi" w:hAnsiTheme="minorHAnsi" w:cstheme="minorBidi"/>
      <w:kern w:val="2"/>
      <w:sz w:val="22"/>
      <w:szCs w:val="22"/>
      <w:lang w:val="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semiHidden/>
    <w:rsid w:val="0084030C"/>
    <w:rPr>
      <w:rFonts w:asciiTheme="majorHAnsi" w:eastAsiaTheme="majorEastAsia" w:hAnsiTheme="majorHAnsi" w:cstheme="majorBidi"/>
      <w:color w:val="243F60" w:themeColor="accent1" w:themeShade="7F"/>
      <w:sz w:val="24"/>
      <w:szCs w:val="24"/>
    </w:rPr>
  </w:style>
  <w:style w:type="paragraph" w:customStyle="1" w:styleId="TableParagraph">
    <w:name w:val="Table Paragraph"/>
    <w:basedOn w:val="Normal"/>
    <w:uiPriority w:val="1"/>
    <w:qFormat/>
    <w:rsid w:val="001204B3"/>
    <w:pPr>
      <w:widowControl w:val="0"/>
      <w:autoSpaceDE w:val="0"/>
      <w:autoSpaceDN w:val="0"/>
      <w:ind w:left="110"/>
    </w:pPr>
    <w:rPr>
      <w:rFonts w:ascii="Times New Roman" w:hAnsi="Times New Roman"/>
      <w:sz w:val="22"/>
      <w:szCs w:val="22"/>
    </w:rPr>
  </w:style>
  <w:style w:type="paragraph" w:styleId="ListParagraph">
    <w:name w:val="List Paragraph"/>
    <w:basedOn w:val="Normal"/>
    <w:uiPriority w:val="34"/>
    <w:qFormat/>
    <w:rsid w:val="001653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doi.org/10.4060/cb2395fr"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yperlink" Target="https://doi.org/10.5897/AJAR2016.11515"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5897/AJAR2013.7528"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b978-0-12-372180-8.50042-1"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link.springer.com/article/10.1007/s11274-015-1943-x"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pu.edu.pk/images/journal/mycopath/pdf-files/Vol%207(1)%202009/35-38.pdf" TargetMode="External"/><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C%20DELL\Desktop\Short%20communication\Short%20artic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20DELL\Desktop\Short%20communication\Short%20articl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Feuil2!$B$1</c:f>
              <c:strCache>
                <c:ptCount val="1"/>
                <c:pt idx="0">
                  <c:v>Day 1</c:v>
                </c:pt>
              </c:strCache>
            </c:strRef>
          </c:tx>
          <c:spPr>
            <a:pattFill prst="pct60">
              <a:fgClr>
                <a:schemeClr val="tx1"/>
              </a:fgClr>
              <a:bgClr>
                <a:schemeClr val="bg1"/>
              </a:bgClr>
            </a:pattFill>
            <a:ln w="9525">
              <a:solidFill>
                <a:schemeClr val="tx1"/>
              </a:solidFill>
            </a:ln>
            <a:effectLst/>
          </c:spPr>
          <c:invertIfNegative val="0"/>
          <c:dLbls>
            <c:dLbl>
              <c:idx val="0"/>
              <c:layout>
                <c:manualLayout>
                  <c:x val="-2.7777777777777779E-3"/>
                  <c:y val="1.3888888888888888E-2"/>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CA-4213-A83A-5A589178D139}"/>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CA-4213-A83A-5A589178D139}"/>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CA-4213-A83A-5A589178D139}"/>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CA-4213-A83A-5A589178D139}"/>
                </c:ext>
              </c:extLst>
            </c:dLbl>
            <c:dLbl>
              <c:idx val="4"/>
              <c:layout>
                <c:manualLayout>
                  <c:x val="-2.7777777777777779E-3"/>
                  <c:y val="4.6296296296296294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CA-4213-A83A-5A589178D139}"/>
                </c:ext>
              </c:extLst>
            </c:dLbl>
            <c:dLbl>
              <c:idx val="5"/>
              <c:layout>
                <c:manualLayout>
                  <c:x val="-2.7777777777778798E-3"/>
                  <c:y val="1.8518518518518517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CA-4213-A83A-5A589178D139}"/>
                </c:ext>
              </c:extLst>
            </c:dLbl>
            <c:dLbl>
              <c:idx val="6"/>
              <c:layout>
                <c:manualLayout>
                  <c:x val="-2.7777777777777779E-3"/>
                  <c:y val="1.8518518518518434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CA-4213-A83A-5A589178D139}"/>
                </c:ext>
              </c:extLst>
            </c:dLbl>
            <c:dLbl>
              <c:idx val="7"/>
              <c:layout>
                <c:manualLayout>
                  <c:x val="-2.7777777777777779E-3"/>
                  <c:y val="1.8518518518518517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CA-4213-A83A-5A589178D139}"/>
                </c:ext>
              </c:extLst>
            </c:dLbl>
            <c:dLbl>
              <c:idx val="8"/>
              <c:layout>
                <c:manualLayout>
                  <c:x val="-5.5555555555555558E-3"/>
                  <c:y val="1.8518518518518434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CA-4213-A83A-5A589178D139}"/>
                </c:ext>
              </c:extLst>
            </c:dLbl>
            <c:dLbl>
              <c:idx val="9"/>
              <c:layout>
                <c:manualLayout>
                  <c:x val="0"/>
                  <c:y val="4.6296296296295444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CA-4213-A83A-5A589178D1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Feuil2!$B$13:$B$23</c:f>
                <c:numCache>
                  <c:formatCode>General</c:formatCode>
                  <c:ptCount val="11"/>
                  <c:pt idx="0">
                    <c:v>9.5742710775633885E-2</c:v>
                  </c:pt>
                  <c:pt idx="1">
                    <c:v>0</c:v>
                  </c:pt>
                  <c:pt idx="2">
                    <c:v>0</c:v>
                  </c:pt>
                  <c:pt idx="3">
                    <c:v>0</c:v>
                  </c:pt>
                  <c:pt idx="4">
                    <c:v>0.11547005383792501</c:v>
                  </c:pt>
                  <c:pt idx="5">
                    <c:v>8.1649658092772845E-2</c:v>
                  </c:pt>
                  <c:pt idx="6">
                    <c:v>5.0000000000000142E-2</c:v>
                  </c:pt>
                  <c:pt idx="7">
                    <c:v>4.9999999999999975E-2</c:v>
                  </c:pt>
                  <c:pt idx="8">
                    <c:v>4.9999999999999975E-2</c:v>
                  </c:pt>
                  <c:pt idx="9">
                    <c:v>0.21602468994692875</c:v>
                  </c:pt>
                  <c:pt idx="10">
                    <c:v>1.0122202050886671</c:v>
                  </c:pt>
                </c:numCache>
              </c:numRef>
            </c:plus>
            <c:minus>
              <c:numRef>
                <c:f>Feuil2!$B$13:$B$23</c:f>
                <c:numCache>
                  <c:formatCode>General</c:formatCode>
                  <c:ptCount val="11"/>
                  <c:pt idx="0">
                    <c:v>9.5742710775633885E-2</c:v>
                  </c:pt>
                  <c:pt idx="1">
                    <c:v>0</c:v>
                  </c:pt>
                  <c:pt idx="2">
                    <c:v>0</c:v>
                  </c:pt>
                  <c:pt idx="3">
                    <c:v>0</c:v>
                  </c:pt>
                  <c:pt idx="4">
                    <c:v>0.11547005383792501</c:v>
                  </c:pt>
                  <c:pt idx="5">
                    <c:v>8.1649658092772845E-2</c:v>
                  </c:pt>
                  <c:pt idx="6">
                    <c:v>5.0000000000000142E-2</c:v>
                  </c:pt>
                  <c:pt idx="7">
                    <c:v>4.9999999999999975E-2</c:v>
                  </c:pt>
                  <c:pt idx="8">
                    <c:v>4.9999999999999975E-2</c:v>
                  </c:pt>
                  <c:pt idx="9">
                    <c:v>0.21602468994692875</c:v>
                  </c:pt>
                  <c:pt idx="10">
                    <c:v>1.0122202050886671</c:v>
                  </c:pt>
                </c:numCache>
              </c:numRef>
            </c:minus>
            <c:spPr>
              <a:noFill/>
              <a:ln w="12700" cap="flat" cmpd="sng" algn="ctr">
                <a:solidFill>
                  <a:schemeClr val="tx1"/>
                </a:solidFill>
                <a:round/>
              </a:ln>
              <a:effectLst/>
            </c:spPr>
          </c:errBars>
          <c:cat>
            <c:strRef>
              <c:f>Feuil2!$A$2:$A$11</c:f>
              <c:strCache>
                <c:ptCount val="10"/>
                <c:pt idx="0">
                  <c:v>T0 </c:v>
                </c:pt>
                <c:pt idx="1">
                  <c:v>TC</c:v>
                </c:pt>
                <c:pt idx="2">
                  <c:v>TGa1</c:v>
                </c:pt>
                <c:pt idx="3">
                  <c:v>TGa2</c:v>
                </c:pt>
                <c:pt idx="4">
                  <c:v>TCa1</c:v>
                </c:pt>
                <c:pt idx="5">
                  <c:v>TCa2</c:v>
                </c:pt>
                <c:pt idx="6">
                  <c:v>TNe1</c:v>
                </c:pt>
                <c:pt idx="7">
                  <c:v>TNe2</c:v>
                </c:pt>
                <c:pt idx="8">
                  <c:v>TBt1</c:v>
                </c:pt>
                <c:pt idx="9">
                  <c:v>TBt2</c:v>
                </c:pt>
              </c:strCache>
            </c:strRef>
          </c:cat>
          <c:val>
            <c:numRef>
              <c:f>Feuil2!$B$2:$B$11</c:f>
              <c:numCache>
                <c:formatCode>###0.000</c:formatCode>
                <c:ptCount val="10"/>
                <c:pt idx="0">
                  <c:v>2.5249999999999999</c:v>
                </c:pt>
                <c:pt idx="1">
                  <c:v>0</c:v>
                </c:pt>
                <c:pt idx="2">
                  <c:v>0</c:v>
                </c:pt>
                <c:pt idx="3">
                  <c:v>0</c:v>
                </c:pt>
                <c:pt idx="4">
                  <c:v>2.2000000000000002</c:v>
                </c:pt>
                <c:pt idx="5">
                  <c:v>2.1000000000000005</c:v>
                </c:pt>
                <c:pt idx="6">
                  <c:v>2.1250000000000004</c:v>
                </c:pt>
                <c:pt idx="7">
                  <c:v>2.0249999999999999</c:v>
                </c:pt>
                <c:pt idx="8">
                  <c:v>2.0249999999999999</c:v>
                </c:pt>
                <c:pt idx="9">
                  <c:v>1.7000000000000002</c:v>
                </c:pt>
              </c:numCache>
            </c:numRef>
          </c:val>
          <c:extLst>
            <c:ext xmlns:c16="http://schemas.microsoft.com/office/drawing/2014/chart" uri="{C3380CC4-5D6E-409C-BE32-E72D297353CC}">
              <c16:uniqueId val="{0000000A-07CA-4213-A83A-5A589178D139}"/>
            </c:ext>
          </c:extLst>
        </c:ser>
        <c:ser>
          <c:idx val="1"/>
          <c:order val="1"/>
          <c:tx>
            <c:strRef>
              <c:f>Feuil2!$C$1</c:f>
              <c:strCache>
                <c:ptCount val="1"/>
                <c:pt idx="0">
                  <c:v>Day 2</c:v>
                </c:pt>
              </c:strCache>
            </c:strRef>
          </c:tx>
          <c:spPr>
            <a:pattFill prst="pct20">
              <a:fgClr>
                <a:schemeClr val="tx1"/>
              </a:fgClr>
              <a:bgClr>
                <a:schemeClr val="bg1"/>
              </a:bgClr>
            </a:pattFill>
            <a:ln>
              <a:solidFill>
                <a:schemeClr val="tx1"/>
              </a:solidFill>
            </a:ln>
            <a:effectLst/>
          </c:spPr>
          <c:invertIfNegative val="0"/>
          <c:dLbls>
            <c:dLbl>
              <c:idx val="0"/>
              <c:layout>
                <c:manualLayout>
                  <c:x val="-2.777777777777803E-3"/>
                  <c:y val="-4.2437781360066642E-17"/>
                </c:manualLayout>
              </c:layout>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7CA-4213-A83A-5A589178D139}"/>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7CA-4213-A83A-5A589178D139}"/>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7CA-4213-A83A-5A589178D139}"/>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7CA-4213-A83A-5A589178D139}"/>
                </c:ext>
              </c:extLst>
            </c:dLbl>
            <c:dLbl>
              <c:idx val="4"/>
              <c:layout>
                <c:manualLayout>
                  <c:x val="-1.1111111111111059E-2"/>
                  <c:y val="1.3888888888888888E-2"/>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7CA-4213-A83A-5A589178D139}"/>
                </c:ext>
              </c:extLst>
            </c:dLbl>
            <c:dLbl>
              <c:idx val="5"/>
              <c:layout>
                <c:manualLayout>
                  <c:x val="-2.7777777777777779E-3"/>
                  <c:y val="1.3888888888888888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7CA-4213-A83A-5A589178D139}"/>
                </c:ext>
              </c:extLst>
            </c:dLbl>
            <c:dLbl>
              <c:idx val="6"/>
              <c:layout>
                <c:manualLayout>
                  <c:x val="-5.5555555555555558E-3"/>
                  <c:y val="-8.4875562720133283E-17"/>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7CA-4213-A83A-5A589178D139}"/>
                </c:ext>
              </c:extLst>
            </c:dLbl>
            <c:dLbl>
              <c:idx val="7"/>
              <c:layout>
                <c:manualLayout>
                  <c:x val="-1.1111111111111112E-2"/>
                  <c:y val="1.3888888888888888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7CA-4213-A83A-5A589178D139}"/>
                </c:ext>
              </c:extLst>
            </c:dLbl>
            <c:dLbl>
              <c:idx val="8"/>
              <c:layout>
                <c:manualLayout>
                  <c:x val="-2.7777777777778798E-3"/>
                  <c:y val="0"/>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7CA-4213-A83A-5A589178D139}"/>
                </c:ext>
              </c:extLst>
            </c:dLbl>
            <c:dLbl>
              <c:idx val="9"/>
              <c:layout>
                <c:manualLayout>
                  <c:x val="-8.3333333333334356E-3"/>
                  <c:y val="9.2592592592591737E-3"/>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7CA-4213-A83A-5A589178D1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Feuil2!$C$13:$C$23</c:f>
                <c:numCache>
                  <c:formatCode>General</c:formatCode>
                  <c:ptCount val="11"/>
                  <c:pt idx="0">
                    <c:v>0.25000000000000028</c:v>
                  </c:pt>
                  <c:pt idx="1">
                    <c:v>0</c:v>
                  </c:pt>
                  <c:pt idx="2">
                    <c:v>0</c:v>
                  </c:pt>
                  <c:pt idx="3">
                    <c:v>0</c:v>
                  </c:pt>
                  <c:pt idx="4">
                    <c:v>0.20816659994661327</c:v>
                  </c:pt>
                  <c:pt idx="5">
                    <c:v>9.5742710775633968E-2</c:v>
                  </c:pt>
                  <c:pt idx="6">
                    <c:v>0.30956959368344517</c:v>
                  </c:pt>
                  <c:pt idx="7">
                    <c:v>0.12583057392117908</c:v>
                  </c:pt>
                  <c:pt idx="8">
                    <c:v>0.33040379335998327</c:v>
                  </c:pt>
                  <c:pt idx="9">
                    <c:v>9.5742710775633885E-2</c:v>
                  </c:pt>
                  <c:pt idx="10">
                    <c:v>0.75595344674125997</c:v>
                  </c:pt>
                </c:numCache>
              </c:numRef>
            </c:plus>
            <c:minus>
              <c:numRef>
                <c:f>Feuil2!$C$13:$C$23</c:f>
                <c:numCache>
                  <c:formatCode>General</c:formatCode>
                  <c:ptCount val="11"/>
                  <c:pt idx="0">
                    <c:v>0.25000000000000028</c:v>
                  </c:pt>
                  <c:pt idx="1">
                    <c:v>0</c:v>
                  </c:pt>
                  <c:pt idx="2">
                    <c:v>0</c:v>
                  </c:pt>
                  <c:pt idx="3">
                    <c:v>0</c:v>
                  </c:pt>
                  <c:pt idx="4">
                    <c:v>0.20816659994661327</c:v>
                  </c:pt>
                  <c:pt idx="5">
                    <c:v>9.5742710775633968E-2</c:v>
                  </c:pt>
                  <c:pt idx="6">
                    <c:v>0.30956959368344517</c:v>
                  </c:pt>
                  <c:pt idx="7">
                    <c:v>0.12583057392117908</c:v>
                  </c:pt>
                  <c:pt idx="8">
                    <c:v>0.33040379335998327</c:v>
                  </c:pt>
                  <c:pt idx="9">
                    <c:v>9.5742710775633885E-2</c:v>
                  </c:pt>
                  <c:pt idx="10">
                    <c:v>0.75595344674125997</c:v>
                  </c:pt>
                </c:numCache>
              </c:numRef>
            </c:minus>
            <c:spPr>
              <a:noFill/>
              <a:ln w="12700" cap="flat" cmpd="sng" algn="ctr">
                <a:solidFill>
                  <a:schemeClr val="tx1"/>
                </a:solidFill>
                <a:round/>
              </a:ln>
              <a:effectLst/>
            </c:spPr>
          </c:errBars>
          <c:cat>
            <c:strRef>
              <c:f>Feuil2!$A$2:$A$11</c:f>
              <c:strCache>
                <c:ptCount val="10"/>
                <c:pt idx="0">
                  <c:v>T0 </c:v>
                </c:pt>
                <c:pt idx="1">
                  <c:v>TC</c:v>
                </c:pt>
                <c:pt idx="2">
                  <c:v>TGa1</c:v>
                </c:pt>
                <c:pt idx="3">
                  <c:v>TGa2</c:v>
                </c:pt>
                <c:pt idx="4">
                  <c:v>TCa1</c:v>
                </c:pt>
                <c:pt idx="5">
                  <c:v>TCa2</c:v>
                </c:pt>
                <c:pt idx="6">
                  <c:v>TNe1</c:v>
                </c:pt>
                <c:pt idx="7">
                  <c:v>TNe2</c:v>
                </c:pt>
                <c:pt idx="8">
                  <c:v>TBt1</c:v>
                </c:pt>
                <c:pt idx="9">
                  <c:v>TBt2</c:v>
                </c:pt>
              </c:strCache>
            </c:strRef>
          </c:cat>
          <c:val>
            <c:numRef>
              <c:f>Feuil2!$C$2:$C$11</c:f>
              <c:numCache>
                <c:formatCode>###0.000</c:formatCode>
                <c:ptCount val="10"/>
                <c:pt idx="0">
                  <c:v>5.125</c:v>
                </c:pt>
                <c:pt idx="1">
                  <c:v>0</c:v>
                </c:pt>
                <c:pt idx="2">
                  <c:v>0</c:v>
                </c:pt>
                <c:pt idx="3">
                  <c:v>0</c:v>
                </c:pt>
                <c:pt idx="4">
                  <c:v>3.25</c:v>
                </c:pt>
                <c:pt idx="5">
                  <c:v>2.375</c:v>
                </c:pt>
                <c:pt idx="6">
                  <c:v>3.0750000000000002</c:v>
                </c:pt>
                <c:pt idx="7">
                  <c:v>2.625</c:v>
                </c:pt>
                <c:pt idx="8">
                  <c:v>3.5749999999999997</c:v>
                </c:pt>
                <c:pt idx="9">
                  <c:v>2.9249999999999998</c:v>
                </c:pt>
              </c:numCache>
            </c:numRef>
          </c:val>
          <c:extLst>
            <c:ext xmlns:c16="http://schemas.microsoft.com/office/drawing/2014/chart" uri="{C3380CC4-5D6E-409C-BE32-E72D297353CC}">
              <c16:uniqueId val="{00000015-07CA-4213-A83A-5A589178D139}"/>
            </c:ext>
          </c:extLst>
        </c:ser>
        <c:ser>
          <c:idx val="2"/>
          <c:order val="2"/>
          <c:tx>
            <c:strRef>
              <c:f>Feuil2!$D$1</c:f>
              <c:strCache>
                <c:ptCount val="1"/>
                <c:pt idx="0">
                  <c:v>Day 3</c:v>
                </c:pt>
              </c:strCache>
            </c:strRef>
          </c:tx>
          <c:spPr>
            <a:pattFill prst="smGrid">
              <a:fgClr>
                <a:schemeClr val="tx1"/>
              </a:fgClr>
              <a:bgClr>
                <a:schemeClr val="bg1"/>
              </a:bgClr>
            </a:pattFill>
            <a:ln>
              <a:solidFill>
                <a:schemeClr val="tx1"/>
              </a:solidFill>
            </a:ln>
            <a:effectLst/>
          </c:spPr>
          <c:invertIfNegative val="0"/>
          <c:dLbls>
            <c:dLbl>
              <c:idx val="0"/>
              <c:layout>
                <c:manualLayout>
                  <c:x val="0"/>
                  <c:y val="2.3148148148148147E-2"/>
                </c:manualLayout>
              </c:layout>
              <c:tx>
                <c:rich>
                  <a:bodyPr/>
                  <a:lstStyle/>
                  <a:p>
                    <a:r>
                      <a:rPr lang="en-US"/>
                      <a:t>h</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7CA-4213-A83A-5A589178D139}"/>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7CA-4213-A83A-5A589178D139}"/>
                </c:ext>
              </c:extLst>
            </c:dLbl>
            <c:dLbl>
              <c:idx val="2"/>
              <c:layout>
                <c:manualLayout>
                  <c:x val="0"/>
                  <c:y val="1.3888888888888805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7CA-4213-A83A-5A589178D139}"/>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7CA-4213-A83A-5A589178D139}"/>
                </c:ext>
              </c:extLst>
            </c:dLbl>
            <c:dLbl>
              <c:idx val="4"/>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7CA-4213-A83A-5A589178D139}"/>
                </c:ext>
              </c:extLst>
            </c:dLbl>
            <c:dLbl>
              <c:idx val="5"/>
              <c:layout>
                <c:manualLayout>
                  <c:x val="0"/>
                  <c:y val="1.8518518518518434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7CA-4213-A83A-5A589178D139}"/>
                </c:ext>
              </c:extLst>
            </c:dLbl>
            <c:dLbl>
              <c:idx val="6"/>
              <c:layout>
                <c:manualLayout>
                  <c:x val="-1.0185067526415994E-16"/>
                  <c:y val="9.2592592592592171E-3"/>
                </c:manualLayout>
              </c:layout>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7CA-4213-A83A-5A589178D139}"/>
                </c:ext>
              </c:extLst>
            </c:dLbl>
            <c:dLbl>
              <c:idx val="7"/>
              <c:layout>
                <c:manualLayout>
                  <c:x val="0"/>
                  <c:y val="9.2592592592592171E-3"/>
                </c:manualLayout>
              </c:layout>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7CA-4213-A83A-5A589178D139}"/>
                </c:ext>
              </c:extLst>
            </c:dLbl>
            <c:dLbl>
              <c:idx val="8"/>
              <c:layout>
                <c:manualLayout>
                  <c:x val="0"/>
                  <c:y val="9.2592592592592171E-3"/>
                </c:manualLayout>
              </c:layout>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7CA-4213-A83A-5A589178D139}"/>
                </c:ext>
              </c:extLst>
            </c:dLbl>
            <c:dLbl>
              <c:idx val="9"/>
              <c:layout>
                <c:manualLayout>
                  <c:x val="0"/>
                  <c:y val="1.8518518518518517E-2"/>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7CA-4213-A83A-5A589178D1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Feuil2!$D$13:$D$23</c:f>
                <c:numCache>
                  <c:formatCode>General</c:formatCode>
                  <c:ptCount val="11"/>
                  <c:pt idx="0">
                    <c:v>0</c:v>
                  </c:pt>
                  <c:pt idx="1">
                    <c:v>0</c:v>
                  </c:pt>
                  <c:pt idx="2">
                    <c:v>4.9999999999999926E-2</c:v>
                  </c:pt>
                  <c:pt idx="3">
                    <c:v>0</c:v>
                  </c:pt>
                  <c:pt idx="4">
                    <c:v>0.23629078131263034</c:v>
                  </c:pt>
                  <c:pt idx="5">
                    <c:v>8.1649658092772678E-2</c:v>
                  </c:pt>
                  <c:pt idx="6">
                    <c:v>8.1649658092772859E-2</c:v>
                  </c:pt>
                  <c:pt idx="7">
                    <c:v>8.1649658092772678E-2</c:v>
                  </c:pt>
                  <c:pt idx="8">
                    <c:v>0.16329931618554516</c:v>
                  </c:pt>
                  <c:pt idx="9">
                    <c:v>4.9999999999999822E-2</c:v>
                  </c:pt>
                  <c:pt idx="10">
                    <c:v>0.64548773737277998</c:v>
                  </c:pt>
                </c:numCache>
              </c:numRef>
            </c:plus>
            <c:minus>
              <c:numRef>
                <c:f>Feuil2!$D$13:$D$23</c:f>
                <c:numCache>
                  <c:formatCode>General</c:formatCode>
                  <c:ptCount val="11"/>
                  <c:pt idx="0">
                    <c:v>0</c:v>
                  </c:pt>
                  <c:pt idx="1">
                    <c:v>0</c:v>
                  </c:pt>
                  <c:pt idx="2">
                    <c:v>4.9999999999999926E-2</c:v>
                  </c:pt>
                  <c:pt idx="3">
                    <c:v>0</c:v>
                  </c:pt>
                  <c:pt idx="4">
                    <c:v>0.23629078131263034</c:v>
                  </c:pt>
                  <c:pt idx="5">
                    <c:v>8.1649658092772678E-2</c:v>
                  </c:pt>
                  <c:pt idx="6">
                    <c:v>8.1649658092772859E-2</c:v>
                  </c:pt>
                  <c:pt idx="7">
                    <c:v>8.1649658092772678E-2</c:v>
                  </c:pt>
                  <c:pt idx="8">
                    <c:v>0.16329931618554516</c:v>
                  </c:pt>
                  <c:pt idx="9">
                    <c:v>4.9999999999999822E-2</c:v>
                  </c:pt>
                  <c:pt idx="10">
                    <c:v>0.64548773737277998</c:v>
                  </c:pt>
                </c:numCache>
              </c:numRef>
            </c:minus>
            <c:spPr>
              <a:noFill/>
              <a:ln w="12700" cap="flat" cmpd="sng" algn="ctr">
                <a:solidFill>
                  <a:schemeClr val="tx1"/>
                </a:solidFill>
                <a:round/>
              </a:ln>
              <a:effectLst/>
            </c:spPr>
          </c:errBars>
          <c:cat>
            <c:strRef>
              <c:f>Feuil2!$A$2:$A$11</c:f>
              <c:strCache>
                <c:ptCount val="10"/>
                <c:pt idx="0">
                  <c:v>T0 </c:v>
                </c:pt>
                <c:pt idx="1">
                  <c:v>TC</c:v>
                </c:pt>
                <c:pt idx="2">
                  <c:v>TGa1</c:v>
                </c:pt>
                <c:pt idx="3">
                  <c:v>TGa2</c:v>
                </c:pt>
                <c:pt idx="4">
                  <c:v>TCa1</c:v>
                </c:pt>
                <c:pt idx="5">
                  <c:v>TCa2</c:v>
                </c:pt>
                <c:pt idx="6">
                  <c:v>TNe1</c:v>
                </c:pt>
                <c:pt idx="7">
                  <c:v>TNe2</c:v>
                </c:pt>
                <c:pt idx="8">
                  <c:v>TBt1</c:v>
                </c:pt>
                <c:pt idx="9">
                  <c:v>TBt2</c:v>
                </c:pt>
              </c:strCache>
            </c:strRef>
          </c:cat>
          <c:val>
            <c:numRef>
              <c:f>Feuil2!$D$2:$D$11</c:f>
              <c:numCache>
                <c:formatCode>0.00</c:formatCode>
                <c:ptCount val="10"/>
                <c:pt idx="0">
                  <c:v>9</c:v>
                </c:pt>
                <c:pt idx="1">
                  <c:v>0</c:v>
                </c:pt>
                <c:pt idx="2">
                  <c:v>1.675</c:v>
                </c:pt>
                <c:pt idx="3">
                  <c:v>0</c:v>
                </c:pt>
                <c:pt idx="4">
                  <c:v>3.8249999999999997</c:v>
                </c:pt>
                <c:pt idx="5">
                  <c:v>2.6</c:v>
                </c:pt>
                <c:pt idx="6">
                  <c:v>5.6000000000000005</c:v>
                </c:pt>
                <c:pt idx="7">
                  <c:v>5.4</c:v>
                </c:pt>
                <c:pt idx="8">
                  <c:v>5</c:v>
                </c:pt>
                <c:pt idx="9">
                  <c:v>4.5749999999999993</c:v>
                </c:pt>
              </c:numCache>
            </c:numRef>
          </c:val>
          <c:extLst>
            <c:ext xmlns:c16="http://schemas.microsoft.com/office/drawing/2014/chart" uri="{C3380CC4-5D6E-409C-BE32-E72D297353CC}">
              <c16:uniqueId val="{00000020-07CA-4213-A83A-5A589178D139}"/>
            </c:ext>
          </c:extLst>
        </c:ser>
        <c:dLbls>
          <c:showLegendKey val="0"/>
          <c:showVal val="0"/>
          <c:showCatName val="0"/>
          <c:showSerName val="0"/>
          <c:showPercent val="0"/>
          <c:showBubbleSize val="0"/>
        </c:dLbls>
        <c:gapWidth val="300"/>
        <c:axId val="606634800"/>
        <c:axId val="606635160"/>
      </c:barChart>
      <c:catAx>
        <c:axId val="60663480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b="0">
                    <a:solidFill>
                      <a:sysClr val="windowText" lastClr="0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06635160"/>
        <c:crosses val="autoZero"/>
        <c:auto val="1"/>
        <c:lblAlgn val="ctr"/>
        <c:lblOffset val="100"/>
        <c:noMultiLvlLbl val="0"/>
      </c:catAx>
      <c:valAx>
        <c:axId val="6066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b="0">
                    <a:solidFill>
                      <a:sysClr val="windowText" lastClr="000000"/>
                    </a:solidFill>
                    <a:latin typeface="Times New Roman" panose="02020603050405020304" pitchFamily="18" charset="0"/>
                    <a:cs typeface="Times New Roman" panose="02020603050405020304" pitchFamily="18" charset="0"/>
                  </a:rPr>
                  <a:t>Mean diameter of mycelial growth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06634800"/>
        <c:crosses val="autoZero"/>
        <c:crossBetween val="between"/>
      </c:valAx>
      <c:spPr>
        <a:noFill/>
        <a:ln>
          <a:noFill/>
        </a:ln>
        <a:effectLst/>
      </c:spPr>
    </c:plotArea>
    <c:legend>
      <c:legendPos val="r"/>
      <c:layout>
        <c:manualLayout>
          <c:xMode val="edge"/>
          <c:yMode val="edge"/>
          <c:x val="0.86075699912510939"/>
          <c:y val="0.38219305920093322"/>
          <c:w val="0.13646522309711287"/>
          <c:h val="0.240243146689997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'IC %'!$AB$4</c:f>
              <c:strCache>
                <c:ptCount val="1"/>
                <c:pt idx="0">
                  <c:v>Day 1</c:v>
                </c:pt>
              </c:strCache>
            </c:strRef>
          </c:tx>
          <c:spPr>
            <a:pattFill prst="pct60">
              <a:fgClr>
                <a:schemeClr val="tx1"/>
              </a:fgClr>
              <a:bgClr>
                <a:schemeClr val="bg1"/>
              </a:bgClr>
            </a:pattFill>
            <a:ln>
              <a:solidFill>
                <a:schemeClr val="tx1"/>
              </a:solidFill>
            </a:ln>
            <a:effectLst/>
          </c:spPr>
          <c:invertIfNegative val="0"/>
          <c:dPt>
            <c:idx val="1"/>
            <c:invertIfNegative val="0"/>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1-B5B7-4DD6-8CD3-4DFE99FADD57}"/>
              </c:ext>
            </c:extLst>
          </c:dPt>
          <c:dPt>
            <c:idx val="8"/>
            <c:invertIfNegative val="0"/>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3-B5B7-4DD6-8CD3-4DFE99FADD57}"/>
              </c:ext>
            </c:extLst>
          </c:dPt>
          <c:dLbls>
            <c:dLbl>
              <c:idx val="0"/>
              <c:layout>
                <c:manualLayout>
                  <c:x val="-2.7777777777777779E-3"/>
                  <c:y val="2.314814814814813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B7-4DD6-8CD3-4DFE99FADD57}"/>
                </c:ext>
              </c:extLst>
            </c:dLbl>
            <c:dLbl>
              <c:idx val="1"/>
              <c:layout>
                <c:manualLayout>
                  <c:x val="0"/>
                  <c:y val="2.314814814814813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B7-4DD6-8CD3-4DFE99FADD57}"/>
                </c:ext>
              </c:extLst>
            </c:dLbl>
            <c:dLbl>
              <c:idx val="2"/>
              <c:layout>
                <c:manualLayout>
                  <c:x val="0"/>
                  <c:y val="2.314814814814814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B7-4DD6-8CD3-4DFE99FADD57}"/>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B7-4DD6-8CD3-4DFE99FADD57}"/>
                </c:ext>
              </c:extLst>
            </c:dLbl>
            <c:dLbl>
              <c:idx val="4"/>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B7-4DD6-8CD3-4DFE99FADD57}"/>
                </c:ext>
              </c:extLst>
            </c:dLbl>
            <c:dLbl>
              <c:idx val="5"/>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5B7-4DD6-8CD3-4DFE99FADD57}"/>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B7-4DD6-8CD3-4DFE99FADD57}"/>
                </c:ext>
              </c:extLst>
            </c:dLbl>
            <c:dLbl>
              <c:idx val="7"/>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5B7-4DD6-8CD3-4DFE99FADD57}"/>
                </c:ext>
              </c:extLst>
            </c:dLbl>
            <c:dLbl>
              <c:idx val="8"/>
              <c:tx>
                <c:rich>
                  <a:bodyPr/>
                  <a:lstStyle/>
                  <a:p>
                    <a:r>
                      <a:rPr lang="en-US">
                        <a:solidFill>
                          <a:sysClr val="windowText" lastClr="000000"/>
                        </a:solidFill>
                      </a:rPr>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B7-4DD6-8CD3-4DFE99FADD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'IC %'!$AB$15:$AB$23</c:f>
                <c:numCache>
                  <c:formatCode>General</c:formatCode>
                  <c:ptCount val="9"/>
                  <c:pt idx="0">
                    <c:v>0</c:v>
                  </c:pt>
                  <c:pt idx="1">
                    <c:v>0</c:v>
                  </c:pt>
                  <c:pt idx="2">
                    <c:v>0</c:v>
                  </c:pt>
                  <c:pt idx="3">
                    <c:v>2.7842968686021199</c:v>
                  </c:pt>
                  <c:pt idx="4">
                    <c:v>1.7502969472724601</c:v>
                  </c:pt>
                  <c:pt idx="5">
                    <c:v>2.7842968686021301</c:v>
                  </c:pt>
                  <c:pt idx="6">
                    <c:v>1.8632589754586246</c:v>
                  </c:pt>
                  <c:pt idx="7">
                    <c:v>1.8632589754586246</c:v>
                  </c:pt>
                  <c:pt idx="8">
                    <c:v>3.732659289498395</c:v>
                  </c:pt>
                </c:numCache>
              </c:numRef>
            </c:plus>
            <c:minus>
              <c:numRef>
                <c:f>'IC %'!$AB$15:$AB$23</c:f>
                <c:numCache>
                  <c:formatCode>General</c:formatCode>
                  <c:ptCount val="9"/>
                  <c:pt idx="0">
                    <c:v>0</c:v>
                  </c:pt>
                  <c:pt idx="1">
                    <c:v>0</c:v>
                  </c:pt>
                  <c:pt idx="2">
                    <c:v>0</c:v>
                  </c:pt>
                  <c:pt idx="3">
                    <c:v>2.7842968686021199</c:v>
                  </c:pt>
                  <c:pt idx="4">
                    <c:v>1.7502969472724601</c:v>
                  </c:pt>
                  <c:pt idx="5">
                    <c:v>2.7842968686021301</c:v>
                  </c:pt>
                  <c:pt idx="6">
                    <c:v>1.8632589754586246</c:v>
                  </c:pt>
                  <c:pt idx="7">
                    <c:v>1.8632589754586246</c:v>
                  </c:pt>
                  <c:pt idx="8">
                    <c:v>3.732659289498395</c:v>
                  </c:pt>
                </c:numCache>
              </c:numRef>
            </c:minus>
            <c:spPr>
              <a:noFill/>
              <a:ln w="12700" cap="flat" cmpd="sng" algn="ctr">
                <a:solidFill>
                  <a:schemeClr val="tx1"/>
                </a:solidFill>
                <a:round/>
              </a:ln>
              <a:effectLst/>
            </c:spPr>
          </c:errBars>
          <c:cat>
            <c:strRef>
              <c:f>'IC %'!$AA$5:$AA$13</c:f>
              <c:strCache>
                <c:ptCount val="9"/>
                <c:pt idx="0">
                  <c:v>TC</c:v>
                </c:pt>
                <c:pt idx="1">
                  <c:v>TGa1</c:v>
                </c:pt>
                <c:pt idx="2">
                  <c:v>TGa2</c:v>
                </c:pt>
                <c:pt idx="3">
                  <c:v>TCa1</c:v>
                </c:pt>
                <c:pt idx="4">
                  <c:v>TCa2</c:v>
                </c:pt>
                <c:pt idx="5">
                  <c:v>TNe1</c:v>
                </c:pt>
                <c:pt idx="6">
                  <c:v>TNe2</c:v>
                </c:pt>
                <c:pt idx="7">
                  <c:v>TBt1</c:v>
                </c:pt>
                <c:pt idx="8">
                  <c:v>TBt2</c:v>
                </c:pt>
              </c:strCache>
            </c:strRef>
          </c:cat>
          <c:val>
            <c:numRef>
              <c:f>'IC %'!$AB$5:$AB$13</c:f>
              <c:numCache>
                <c:formatCode>#,##0.00</c:formatCode>
                <c:ptCount val="9"/>
                <c:pt idx="0">
                  <c:v>100</c:v>
                </c:pt>
                <c:pt idx="1">
                  <c:v>100</c:v>
                </c:pt>
                <c:pt idx="2">
                  <c:v>100</c:v>
                </c:pt>
                <c:pt idx="3">
                  <c:v>10.079051383399204</c:v>
                </c:pt>
                <c:pt idx="4">
                  <c:v>12.055335968379442</c:v>
                </c:pt>
                <c:pt idx="5">
                  <c:v>17.984189723320149</c:v>
                </c:pt>
                <c:pt idx="6">
                  <c:v>19.631093544137048</c:v>
                </c:pt>
                <c:pt idx="7">
                  <c:v>19.631093544137048</c:v>
                </c:pt>
                <c:pt idx="8">
                  <c:v>32.748538011695906</c:v>
                </c:pt>
              </c:numCache>
            </c:numRef>
          </c:val>
          <c:extLst>
            <c:ext xmlns:c16="http://schemas.microsoft.com/office/drawing/2014/chart" uri="{C3380CC4-5D6E-409C-BE32-E72D297353CC}">
              <c16:uniqueId val="{0000000B-B5B7-4DD6-8CD3-4DFE99FADD57}"/>
            </c:ext>
          </c:extLst>
        </c:ser>
        <c:ser>
          <c:idx val="1"/>
          <c:order val="1"/>
          <c:tx>
            <c:strRef>
              <c:f>'IC %'!$AC$4</c:f>
              <c:strCache>
                <c:ptCount val="1"/>
                <c:pt idx="0">
                  <c:v>Day 2</c:v>
                </c:pt>
              </c:strCache>
            </c:strRef>
          </c:tx>
          <c:spPr>
            <a:pattFill prst="pct5">
              <a:fgClr>
                <a:schemeClr val="tx1"/>
              </a:fgClr>
              <a:bgClr>
                <a:schemeClr val="bg1"/>
              </a:bgClr>
            </a:pattFill>
            <a:ln w="9525">
              <a:solidFill>
                <a:schemeClr val="tx1"/>
              </a:solidFill>
            </a:ln>
            <a:effectLst/>
          </c:spPr>
          <c:invertIfNegative val="0"/>
          <c:dLbls>
            <c:dLbl>
              <c:idx val="0"/>
              <c:layout>
                <c:manualLayout>
                  <c:x val="-2.5462668816039986E-17"/>
                  <c:y val="2.314814814814814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5B7-4DD6-8CD3-4DFE99FADD57}"/>
                </c:ext>
              </c:extLst>
            </c:dLbl>
            <c:dLbl>
              <c:idx val="1"/>
              <c:layout>
                <c:manualLayout>
                  <c:x val="0"/>
                  <c:y val="2.314814814814813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5B7-4DD6-8CD3-4DFE99FADD57}"/>
                </c:ext>
              </c:extLst>
            </c:dLbl>
            <c:dLbl>
              <c:idx val="2"/>
              <c:layout>
                <c:manualLayout>
                  <c:x val="0"/>
                  <c:y val="2.314814814814814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5B7-4DD6-8CD3-4DFE99FADD57}"/>
                </c:ext>
              </c:extLst>
            </c:dLbl>
            <c:dLbl>
              <c:idx val="3"/>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5B7-4DD6-8CD3-4DFE99FADD57}"/>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5B7-4DD6-8CD3-4DFE99FADD57}"/>
                </c:ext>
              </c:extLst>
            </c:dLbl>
            <c:dLbl>
              <c:idx val="5"/>
              <c:layout>
                <c:manualLayout>
                  <c:x val="-2.7777777777778798E-3"/>
                  <c:y val="4.6296296296296294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5B7-4DD6-8CD3-4DFE99FADD57}"/>
                </c:ext>
              </c:extLst>
            </c:dLbl>
            <c:dLbl>
              <c:idx val="6"/>
              <c:layout>
                <c:manualLayout>
                  <c:x val="-5.5555555555556572E-3"/>
                  <c:y val="0"/>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5B7-4DD6-8CD3-4DFE99FADD57}"/>
                </c:ext>
              </c:extLst>
            </c:dLbl>
            <c:dLbl>
              <c:idx val="7"/>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5B7-4DD6-8CD3-4DFE99FADD57}"/>
                </c:ext>
              </c:extLst>
            </c:dLbl>
            <c:dLbl>
              <c:idx val="8"/>
              <c:layout>
                <c:manualLayout>
                  <c:x val="-2.7777777777777779E-3"/>
                  <c:y val="-9.2592592592592587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5B7-4DD6-8CD3-4DFE99FADD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'IC %'!$AC$15:$AC$23</c:f>
                <c:numCache>
                  <c:formatCode>General</c:formatCode>
                  <c:ptCount val="9"/>
                  <c:pt idx="0">
                    <c:v>0</c:v>
                  </c:pt>
                  <c:pt idx="1">
                    <c:v>0</c:v>
                  </c:pt>
                  <c:pt idx="2">
                    <c:v>0</c:v>
                  </c:pt>
                  <c:pt idx="3">
                    <c:v>1.7748338065948901</c:v>
                  </c:pt>
                  <c:pt idx="4">
                    <c:v>1.3607658993514999</c:v>
                  </c:pt>
                  <c:pt idx="5">
                    <c:v>1.4344382763731132</c:v>
                  </c:pt>
                  <c:pt idx="6">
                    <c:v>4.2110076013046607</c:v>
                  </c:pt>
                  <c:pt idx="7">
                    <c:v>3.44061975360591</c:v>
                  </c:pt>
                  <c:pt idx="8">
                    <c:v>2.7908352035227999</c:v>
                  </c:pt>
                </c:numCache>
              </c:numRef>
            </c:plus>
            <c:minus>
              <c:numRef>
                <c:f>'IC %'!$AC$15:$AC$23</c:f>
                <c:numCache>
                  <c:formatCode>General</c:formatCode>
                  <c:ptCount val="9"/>
                  <c:pt idx="0">
                    <c:v>0</c:v>
                  </c:pt>
                  <c:pt idx="1">
                    <c:v>0</c:v>
                  </c:pt>
                  <c:pt idx="2">
                    <c:v>0</c:v>
                  </c:pt>
                  <c:pt idx="3">
                    <c:v>1.7748338065948901</c:v>
                  </c:pt>
                  <c:pt idx="4">
                    <c:v>1.3607658993514999</c:v>
                  </c:pt>
                  <c:pt idx="5">
                    <c:v>1.4344382763731132</c:v>
                  </c:pt>
                  <c:pt idx="6">
                    <c:v>4.2110076013046607</c:v>
                  </c:pt>
                  <c:pt idx="7">
                    <c:v>3.44061975360591</c:v>
                  </c:pt>
                  <c:pt idx="8">
                    <c:v>2.7908352035227999</c:v>
                  </c:pt>
                </c:numCache>
              </c:numRef>
            </c:minus>
            <c:spPr>
              <a:noFill/>
              <a:ln w="12700" cap="flat" cmpd="sng" algn="ctr">
                <a:solidFill>
                  <a:schemeClr val="tx1"/>
                </a:solidFill>
                <a:round/>
              </a:ln>
              <a:effectLst/>
            </c:spPr>
          </c:errBars>
          <c:cat>
            <c:strRef>
              <c:f>'IC %'!$AA$5:$AA$13</c:f>
              <c:strCache>
                <c:ptCount val="9"/>
                <c:pt idx="0">
                  <c:v>TC</c:v>
                </c:pt>
                <c:pt idx="1">
                  <c:v>TGa1</c:v>
                </c:pt>
                <c:pt idx="2">
                  <c:v>TGa2</c:v>
                </c:pt>
                <c:pt idx="3">
                  <c:v>TCa1</c:v>
                </c:pt>
                <c:pt idx="4">
                  <c:v>TCa2</c:v>
                </c:pt>
                <c:pt idx="5">
                  <c:v>TNe1</c:v>
                </c:pt>
                <c:pt idx="6">
                  <c:v>TNe2</c:v>
                </c:pt>
                <c:pt idx="7">
                  <c:v>TBt1</c:v>
                </c:pt>
                <c:pt idx="8">
                  <c:v>TBt2</c:v>
                </c:pt>
              </c:strCache>
            </c:strRef>
          </c:cat>
          <c:val>
            <c:numRef>
              <c:f>'IC %'!$AC$5:$AC$13</c:f>
              <c:numCache>
                <c:formatCode>#,##0.00</c:formatCode>
                <c:ptCount val="9"/>
                <c:pt idx="0">
                  <c:v>100</c:v>
                </c:pt>
                <c:pt idx="1">
                  <c:v>100</c:v>
                </c:pt>
                <c:pt idx="2">
                  <c:v>100</c:v>
                </c:pt>
                <c:pt idx="3">
                  <c:v>27.875243664717349</c:v>
                </c:pt>
                <c:pt idx="4">
                  <c:v>46.88109161793372</c:v>
                </c:pt>
                <c:pt idx="5">
                  <c:v>38.333333333333329</c:v>
                </c:pt>
                <c:pt idx="6">
                  <c:v>40</c:v>
                </c:pt>
                <c:pt idx="7">
                  <c:v>30.311890838206626</c:v>
                </c:pt>
                <c:pt idx="8">
                  <c:v>36.42951251646906</c:v>
                </c:pt>
              </c:numCache>
            </c:numRef>
          </c:val>
          <c:extLst>
            <c:ext xmlns:c16="http://schemas.microsoft.com/office/drawing/2014/chart" uri="{C3380CC4-5D6E-409C-BE32-E72D297353CC}">
              <c16:uniqueId val="{00000015-B5B7-4DD6-8CD3-4DFE99FADD57}"/>
            </c:ext>
          </c:extLst>
        </c:ser>
        <c:ser>
          <c:idx val="2"/>
          <c:order val="2"/>
          <c:tx>
            <c:strRef>
              <c:f>'IC %'!$AD$4</c:f>
              <c:strCache>
                <c:ptCount val="1"/>
                <c:pt idx="0">
                  <c:v>Day 3</c:v>
                </c:pt>
              </c:strCache>
            </c:strRef>
          </c:tx>
          <c:spPr>
            <a:pattFill prst="ltHorz">
              <a:fgClr>
                <a:schemeClr val="tx1"/>
              </a:fgClr>
              <a:bgClr>
                <a:schemeClr val="bg1"/>
              </a:bgClr>
            </a:pattFill>
            <a:ln w="9525">
              <a:solidFill>
                <a:schemeClr val="tx1"/>
              </a:solidFill>
            </a:ln>
            <a:effectLst/>
          </c:spPr>
          <c:invertIfNegative val="0"/>
          <c:dLbls>
            <c:dLbl>
              <c:idx val="0"/>
              <c:layout>
                <c:manualLayout>
                  <c:x val="-2.777777777777803E-3"/>
                  <c:y val="2.314814814814814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5B7-4DD6-8CD3-4DFE99FADD57}"/>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5B7-4DD6-8CD3-4DFE99FADD57}"/>
                </c:ext>
              </c:extLst>
            </c:dLbl>
            <c:dLbl>
              <c:idx val="2"/>
              <c:layout>
                <c:manualLayout>
                  <c:x val="0"/>
                  <c:y val="2.314814814814814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5B7-4DD6-8CD3-4DFE99FADD57}"/>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5B7-4DD6-8CD3-4DFE99FADD57}"/>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5B7-4DD6-8CD3-4DFE99FADD57}"/>
                </c:ext>
              </c:extLst>
            </c:dLbl>
            <c:dLbl>
              <c:idx val="5"/>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5B7-4DD6-8CD3-4DFE99FADD57}"/>
                </c:ext>
              </c:extLst>
            </c:dLbl>
            <c:dLbl>
              <c:idx val="6"/>
              <c:layout>
                <c:manualLayout>
                  <c:x val="-1.0185067526415994E-16"/>
                  <c:y val="1.8518518518518517E-2"/>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5B7-4DD6-8CD3-4DFE99FADD57}"/>
                </c:ext>
              </c:extLst>
            </c:dLbl>
            <c:dLbl>
              <c:idx val="7"/>
              <c:layout>
                <c:manualLayout>
                  <c:x val="0"/>
                  <c:y val="9.2592592592592587E-3"/>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5B7-4DD6-8CD3-4DFE99FADD57}"/>
                </c:ext>
              </c:extLst>
            </c:dLbl>
            <c:dLbl>
              <c:idx val="8"/>
              <c:layout>
                <c:manualLayout>
                  <c:x val="-1.0185067526415994E-16"/>
                  <c:y val="9.2592592592591737E-3"/>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5B7-4DD6-8CD3-4DFE99FADD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'IC %'!$AD$15:$AD$23</c:f>
                <c:numCache>
                  <c:formatCode>General</c:formatCode>
                  <c:ptCount val="9"/>
                  <c:pt idx="0">
                    <c:v>0</c:v>
                  </c:pt>
                  <c:pt idx="1">
                    <c:v>2.6595197437676061</c:v>
                  </c:pt>
                  <c:pt idx="2">
                    <c:v>0</c:v>
                  </c:pt>
                  <c:pt idx="3">
                    <c:v>2.3981423538659898</c:v>
                  </c:pt>
                  <c:pt idx="4">
                    <c:v>2.6410580680622302</c:v>
                  </c:pt>
                  <c:pt idx="5">
                    <c:v>1.32748903052391</c:v>
                  </c:pt>
                  <c:pt idx="6">
                    <c:v>0.90721842325303159</c:v>
                  </c:pt>
                  <c:pt idx="7">
                    <c:v>2.90563656263036</c:v>
                  </c:pt>
                  <c:pt idx="8">
                    <c:v>2.1780841917082601</c:v>
                  </c:pt>
                </c:numCache>
              </c:numRef>
            </c:plus>
            <c:minus>
              <c:numRef>
                <c:f>'IC %'!$AD$15:$AD$23</c:f>
                <c:numCache>
                  <c:formatCode>General</c:formatCode>
                  <c:ptCount val="9"/>
                  <c:pt idx="0">
                    <c:v>0</c:v>
                  </c:pt>
                  <c:pt idx="1">
                    <c:v>2.6595197437676061</c:v>
                  </c:pt>
                  <c:pt idx="2">
                    <c:v>0</c:v>
                  </c:pt>
                  <c:pt idx="3">
                    <c:v>2.3981423538659898</c:v>
                  </c:pt>
                  <c:pt idx="4">
                    <c:v>2.6410580680622302</c:v>
                  </c:pt>
                  <c:pt idx="5">
                    <c:v>1.32748903052391</c:v>
                  </c:pt>
                  <c:pt idx="6">
                    <c:v>0.90721842325303159</c:v>
                  </c:pt>
                  <c:pt idx="7">
                    <c:v>2.90563656263036</c:v>
                  </c:pt>
                  <c:pt idx="8">
                    <c:v>2.1780841917082601</c:v>
                  </c:pt>
                </c:numCache>
              </c:numRef>
            </c:minus>
            <c:spPr>
              <a:noFill/>
              <a:ln w="12700" cap="flat" cmpd="sng" algn="ctr">
                <a:solidFill>
                  <a:schemeClr val="tx1"/>
                </a:solidFill>
                <a:round/>
              </a:ln>
              <a:effectLst/>
            </c:spPr>
          </c:errBars>
          <c:cat>
            <c:strRef>
              <c:f>'IC %'!$AA$5:$AA$13</c:f>
              <c:strCache>
                <c:ptCount val="9"/>
                <c:pt idx="0">
                  <c:v>TC</c:v>
                </c:pt>
                <c:pt idx="1">
                  <c:v>TGa1</c:v>
                </c:pt>
                <c:pt idx="2">
                  <c:v>TGa2</c:v>
                </c:pt>
                <c:pt idx="3">
                  <c:v>TCa1</c:v>
                </c:pt>
                <c:pt idx="4">
                  <c:v>TCa2</c:v>
                </c:pt>
                <c:pt idx="5">
                  <c:v>TNe1</c:v>
                </c:pt>
                <c:pt idx="6">
                  <c:v>TNe2</c:v>
                </c:pt>
                <c:pt idx="7">
                  <c:v>TBt1</c:v>
                </c:pt>
                <c:pt idx="8">
                  <c:v>TBt2</c:v>
                </c:pt>
              </c:strCache>
            </c:strRef>
          </c:cat>
          <c:val>
            <c:numRef>
              <c:f>'IC %'!$AD$5:$AD$13</c:f>
              <c:numCache>
                <c:formatCode>#,##0.00</c:formatCode>
                <c:ptCount val="9"/>
                <c:pt idx="0">
                  <c:v>100</c:v>
                </c:pt>
                <c:pt idx="1">
                  <c:v>81.25</c:v>
                </c:pt>
                <c:pt idx="2">
                  <c:v>100</c:v>
                </c:pt>
                <c:pt idx="3">
                  <c:v>61.666666666666671</c:v>
                </c:pt>
                <c:pt idx="4">
                  <c:v>72.569444444444457</c:v>
                </c:pt>
                <c:pt idx="5">
                  <c:v>42.007797270955166</c:v>
                </c:pt>
                <c:pt idx="6">
                  <c:v>46.718648473034456</c:v>
                </c:pt>
                <c:pt idx="7">
                  <c:v>45.277777777777779</c:v>
                </c:pt>
                <c:pt idx="8">
                  <c:v>49.166666666666664</c:v>
                </c:pt>
              </c:numCache>
            </c:numRef>
          </c:val>
          <c:extLst>
            <c:ext xmlns:c16="http://schemas.microsoft.com/office/drawing/2014/chart" uri="{C3380CC4-5D6E-409C-BE32-E72D297353CC}">
              <c16:uniqueId val="{0000001F-B5B7-4DD6-8CD3-4DFE99FADD57}"/>
            </c:ext>
          </c:extLst>
        </c:ser>
        <c:dLbls>
          <c:showLegendKey val="0"/>
          <c:showVal val="0"/>
          <c:showCatName val="0"/>
          <c:showSerName val="0"/>
          <c:showPercent val="0"/>
          <c:showBubbleSize val="0"/>
        </c:dLbls>
        <c:gapWidth val="150"/>
        <c:axId val="186080560"/>
        <c:axId val="186086320"/>
      </c:barChart>
      <c:catAx>
        <c:axId val="1860805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a:solidFill>
                      <a:sysClr val="windowText" lastClr="0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086320"/>
        <c:crosses val="autoZero"/>
        <c:auto val="1"/>
        <c:lblAlgn val="ctr"/>
        <c:lblOffset val="100"/>
        <c:noMultiLvlLbl val="0"/>
      </c:catAx>
      <c:valAx>
        <c:axId val="186086320"/>
        <c:scaling>
          <c:orientation val="minMax"/>
          <c:max val="11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a:solidFill>
                      <a:sysClr val="windowText" lastClr="000000"/>
                    </a:solidFill>
                    <a:latin typeface="Times New Roman" panose="02020603050405020304" pitchFamily="18" charset="0"/>
                    <a:cs typeface="Times New Roman" panose="02020603050405020304" pitchFamily="18" charset="0"/>
                  </a:rPr>
                  <a:t>Mean inhibition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080560"/>
        <c:crosses val="autoZero"/>
        <c:crossBetween val="between"/>
        <c:majorUnit val="10"/>
      </c:valAx>
      <c:spPr>
        <a:noFill/>
        <a:ln>
          <a:noFill/>
        </a:ln>
        <a:effectLst/>
      </c:spPr>
    </c:plotArea>
    <c:legend>
      <c:legendPos val="r"/>
      <c:layout>
        <c:manualLayout>
          <c:xMode val="edge"/>
          <c:yMode val="edge"/>
          <c:x val="0.8413125546806649"/>
          <c:y val="0.34052639253426659"/>
          <c:w val="0.1586874453193351"/>
          <c:h val="0.3004283318751822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529D1-F214-474C-B32E-F675B6E56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212</TotalTime>
  <Pages>13</Pages>
  <Words>5122</Words>
  <Characters>29201</Characters>
  <Application>Microsoft Office Word</Application>
  <DocSecurity>0</DocSecurity>
  <Lines>243</Lines>
  <Paragraphs>68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34255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64</cp:revision>
  <cp:lastPrinted>1999-07-06T11:00:00Z</cp:lastPrinted>
  <dcterms:created xsi:type="dcterms:W3CDTF">2025-12-19T11:36:00Z</dcterms:created>
  <dcterms:modified xsi:type="dcterms:W3CDTF">2025-12-23T06:07:00Z</dcterms:modified>
</cp:coreProperties>
</file>