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147E2" w14:textId="4C124405" w:rsidR="005D7683" w:rsidRDefault="003F0724">
      <w:pPr>
        <w:pStyle w:val="Heading1"/>
        <w:jc w:val="left"/>
      </w:pPr>
      <w:r>
        <w:t>Numerical Simulations and Cost-Effectiveness Analysis of Optimal Control Strategies for Pneumonia-HIV Co-Infection</w:t>
      </w:r>
    </w:p>
    <w:p w14:paraId="592AFFCB" w14:textId="77777777" w:rsidR="00D572CE" w:rsidRPr="00D572CE" w:rsidRDefault="00D572CE" w:rsidP="00D572CE"/>
    <w:p w14:paraId="78110A94" w14:textId="77777777" w:rsidR="00D9184A" w:rsidRPr="00D9184A" w:rsidRDefault="00B049BF" w:rsidP="00D9184A">
      <w:pPr>
        <w:spacing w:after="0" w:line="309" w:lineRule="auto"/>
        <w:ind w:left="1283" w:right="1283" w:firstLine="0"/>
        <w:jc w:val="center"/>
        <w:rPr>
          <w:b/>
        </w:rPr>
      </w:pPr>
      <w:r>
        <w:rPr>
          <w:b/>
        </w:rPr>
        <w:t>Abstract</w:t>
      </w:r>
    </w:p>
    <w:p w14:paraId="40CFC87A" w14:textId="77777777" w:rsidR="005D7683" w:rsidRDefault="005D7683" w:rsidP="00954D61">
      <w:pPr>
        <w:spacing w:after="29"/>
        <w:ind w:left="0" w:firstLine="0"/>
      </w:pPr>
    </w:p>
    <w:p w14:paraId="7E4ABBC5" w14:textId="52559E5A" w:rsidR="00954D61" w:rsidRDefault="008E6479" w:rsidP="00954D61">
      <w:pPr>
        <w:spacing w:after="30"/>
        <w:ind w:left="97"/>
      </w:pPr>
      <w:r w:rsidRPr="008E6479">
        <w:rPr>
          <w:color w:val="EE0000"/>
        </w:rPr>
        <w:t xml:space="preserve">This paper examines how best to control Pneumonia–HIV co-infection by extending an existing deterministic model with treatment interventions for both diseases. </w:t>
      </w:r>
      <w:r>
        <w:t>It</w:t>
      </w:r>
      <w:r w:rsidR="00954D61">
        <w:t xml:space="preserve"> presents the numerical simulation and cost-effectiveness analysis of an optimal control model for Pneumonia-HIV co-infection, building upon a previously formulated deterministic model. The optimal control strategies incorporate Pneumonia treatment and HIV Antiretroviral Therapy to minimize both disease prevalence and control costs. Using </w:t>
      </w:r>
      <w:proofErr w:type="spellStart"/>
      <w:r w:rsidR="00954D61">
        <w:t>Pontryagin’s</w:t>
      </w:r>
      <w:proofErr w:type="spellEnd"/>
      <w:r w:rsidR="00954D61">
        <w:t xml:space="preserve"> Maximum Principle, the optimality system was derived and solved numerically </w:t>
      </w:r>
      <w:r w:rsidR="005B65C0">
        <w:t>using</w:t>
      </w:r>
      <w:r w:rsidR="00954D61">
        <w:t xml:space="preserve"> MATLAB. Three control strategies were evaluated: Strategy 1 (Pneumonia treatment only), Strategy 2 (HIV treatment only), and Strategy 3 (combined treatment). The results demonstrate that the combined strategy (Strategy 3) is the most effective in reducing co-infection prevalence. A cost-effectiveness analysis using Incremental Cost-Effectiveness Ratios (ICER) and Infections Averted Ratios (IAR) further confirmed that Strategy 3 is the most cost-effective as it achieves the highest number of infections averted at a lower cost per unit compared to other strategies. </w:t>
      </w:r>
      <w:r w:rsidRPr="008E6479">
        <w:rPr>
          <w:color w:val="EE0000"/>
        </w:rPr>
        <w:t xml:space="preserve">The findings show that applying pneumonia treatment alongside antiretroviral therapy produces the greatest reduction in co-infection levels and averts the highest number of cases at a comparatively lower cost. The results highlight the importance of integrated treatment approaches and offer practical guidance for health planners working in settings with limited resources. </w:t>
      </w:r>
      <w:r w:rsidR="00954D61">
        <w:t>These findings provide critical insights for public health policymakers in allocating limited resources for managing Pneumonia-HIV co-infection.</w:t>
      </w:r>
    </w:p>
    <w:p w14:paraId="14127166" w14:textId="77777777" w:rsidR="005D7683" w:rsidRDefault="00B049BF">
      <w:pPr>
        <w:spacing w:after="319"/>
        <w:ind w:left="-5"/>
      </w:pPr>
      <w:r>
        <w:rPr>
          <w:b/>
        </w:rPr>
        <w:t xml:space="preserve">Keywords: </w:t>
      </w:r>
      <w:r>
        <w:t>Optimal Control, Pneumonia-HIV Co-infection, Numerical Simulation, Cost</w:t>
      </w:r>
      <w:r w:rsidR="00234AA5">
        <w:t xml:space="preserve"> </w:t>
      </w:r>
      <w:r>
        <w:t xml:space="preserve">Effectiveness Analysis, </w:t>
      </w:r>
      <w:proofErr w:type="spellStart"/>
      <w:r>
        <w:t>Pontryagin’s</w:t>
      </w:r>
      <w:proofErr w:type="spellEnd"/>
      <w:r>
        <w:t xml:space="preserve"> Maximum Principle, Incremental Cost-Effectiveness Ratio (ICER)</w:t>
      </w:r>
    </w:p>
    <w:p w14:paraId="22952136" w14:textId="77777777" w:rsidR="005D7683" w:rsidRDefault="00B049BF" w:rsidP="00BF0A60">
      <w:pPr>
        <w:pStyle w:val="Heading1"/>
        <w:ind w:left="100" w:right="90"/>
        <w:jc w:val="left"/>
      </w:pPr>
      <w:r>
        <w:t>1. Introduction</w:t>
      </w:r>
    </w:p>
    <w:p w14:paraId="4E27CF36" w14:textId="77777777" w:rsidR="00390190" w:rsidRDefault="00390190" w:rsidP="00390190">
      <w:pPr>
        <w:spacing w:after="321"/>
        <w:ind w:left="97"/>
      </w:pPr>
      <w:r>
        <w:t>The co-infection of Pneumonia and Human Immunodeficiency Virus (HIV) represents a significant public health challenge, particularly in resource-limited settings. Individuals with compromised immune systems due to HIV are highly susceptible to opportunistic infections like Pneumonia, leading to increased morbidity and mortality [2, 4, 9, 12, 15]. This synergy not only accelerates disease progression but also complicates clinical management, often resulting in higher treatment costs and poorer patient outcomes. In sub-Saharan Africa, where HIV prevalence remains high, Pneumonia is a leading cause of hospitalization and death among people living with HIV, underscoring the urgent need for integrated intervention strategies.</w:t>
      </w:r>
    </w:p>
    <w:p w14:paraId="6845261A" w14:textId="77777777" w:rsidR="00390190" w:rsidRDefault="00390190" w:rsidP="00390190">
      <w:pPr>
        <w:spacing w:after="8"/>
        <w:ind w:left="97"/>
      </w:pPr>
      <w:r>
        <w:t xml:space="preserve">Mathematical modeling has emerged as a vital tool for understanding the dynamics of infectious diseases and evaluating potential control measures. Several studies have developed compartmental models to explore the transmission and progression of </w:t>
      </w:r>
      <w:r>
        <w:lastRenderedPageBreak/>
        <w:t>Pneumonia-HIV coinfection [5, 6, 7, 10, 12]. However, most of these models focus on qualitative analysis and stability properties, with limited integration of optimal control theory to identify cost</w:t>
      </w:r>
      <w:r w:rsidR="00B9736F">
        <w:t xml:space="preserve"> </w:t>
      </w:r>
      <w:r>
        <w:t xml:space="preserve">effective intervention strategies. Optimal control theory, particularly through the application of </w:t>
      </w:r>
      <w:proofErr w:type="spellStart"/>
      <w:r>
        <w:t>Pontryagin’s</w:t>
      </w:r>
      <w:proofErr w:type="spellEnd"/>
      <w:r>
        <w:t xml:space="preserve"> Maximum Principle [1, 8], allows for the determination of time-dependent intervention profiles that minimize both disease burden and associated costs a critical consideration for health systems with constrained resources.</w:t>
      </w:r>
    </w:p>
    <w:p w14:paraId="3FD3AB55" w14:textId="77777777" w:rsidR="005D7683" w:rsidRDefault="00B049BF">
      <w:pPr>
        <w:spacing w:after="270"/>
        <w:ind w:left="-5"/>
      </w:pPr>
      <w:r>
        <w:t>In our previous work [</w:t>
      </w:r>
      <w:r w:rsidR="00375838">
        <w:t>14</w:t>
      </w:r>
      <w:r>
        <w:t>], we had formulated a deterministic model for Pneumonia-HIV co-infection which was described by the following flow diagram in Figure 1 and described mathematically by the system (1) as;</w:t>
      </w:r>
    </w:p>
    <w:p w14:paraId="3660A755" w14:textId="77777777" w:rsidR="00C27A19" w:rsidRDefault="00C27A19">
      <w:pPr>
        <w:spacing w:after="270"/>
        <w:ind w:left="-5"/>
      </w:pPr>
    </w:p>
    <w:p w14:paraId="35003E59" w14:textId="77777777" w:rsidR="005D7683" w:rsidRDefault="00B049BF">
      <w:pPr>
        <w:spacing w:after="0" w:line="259" w:lineRule="auto"/>
        <w:ind w:left="2103" w:firstLine="0"/>
        <w:jc w:val="left"/>
      </w:pPr>
      <w:r>
        <w:rPr>
          <w:noProof/>
        </w:rPr>
        <w:drawing>
          <wp:inline distT="0" distB="0" distL="0" distR="0" wp14:anchorId="7A48237B" wp14:editId="3C861CAC">
            <wp:extent cx="3258312" cy="920496"/>
            <wp:effectExtent l="0" t="0" r="0" b="0"/>
            <wp:docPr id="20470" name="Picture 20470"/>
            <wp:cNvGraphicFramePr/>
            <a:graphic xmlns:a="http://schemas.openxmlformats.org/drawingml/2006/main">
              <a:graphicData uri="http://schemas.openxmlformats.org/drawingml/2006/picture">
                <pic:pic xmlns:pic="http://schemas.openxmlformats.org/drawingml/2006/picture">
                  <pic:nvPicPr>
                    <pic:cNvPr id="20470" name="Picture 20470"/>
                    <pic:cNvPicPr/>
                  </pic:nvPicPr>
                  <pic:blipFill>
                    <a:blip r:embed="rId7"/>
                    <a:stretch>
                      <a:fillRect/>
                    </a:stretch>
                  </pic:blipFill>
                  <pic:spPr>
                    <a:xfrm>
                      <a:off x="0" y="0"/>
                      <a:ext cx="3258312" cy="920496"/>
                    </a:xfrm>
                    <a:prstGeom prst="rect">
                      <a:avLst/>
                    </a:prstGeom>
                  </pic:spPr>
                </pic:pic>
              </a:graphicData>
            </a:graphic>
          </wp:inline>
        </w:drawing>
      </w:r>
    </w:p>
    <w:p w14:paraId="6564A755" w14:textId="77777777" w:rsidR="005D7683" w:rsidRDefault="00B049BF">
      <w:pPr>
        <w:tabs>
          <w:tab w:val="center" w:pos="4698"/>
          <w:tab w:val="right" w:pos="9354"/>
        </w:tabs>
        <w:spacing w:after="174" w:line="265" w:lineRule="auto"/>
        <w:ind w:left="0" w:right="-15" w:firstLine="0"/>
        <w:jc w:val="left"/>
      </w:pPr>
      <w:r>
        <w:rPr>
          <w:rFonts w:ascii="Calibri" w:eastAsia="Calibri" w:hAnsi="Calibri" w:cs="Calibri"/>
          <w:sz w:val="22"/>
        </w:rPr>
        <w:tab/>
      </w:r>
      <w:r>
        <w:rPr>
          <w:noProof/>
        </w:rPr>
        <w:drawing>
          <wp:inline distT="0" distB="0" distL="0" distR="0" wp14:anchorId="0006B70C" wp14:editId="1CA9028E">
            <wp:extent cx="3282696" cy="676656"/>
            <wp:effectExtent l="0" t="0" r="0" b="0"/>
            <wp:docPr id="20471" name="Picture 20471"/>
            <wp:cNvGraphicFramePr/>
            <a:graphic xmlns:a="http://schemas.openxmlformats.org/drawingml/2006/main">
              <a:graphicData uri="http://schemas.openxmlformats.org/drawingml/2006/picture">
                <pic:pic xmlns:pic="http://schemas.openxmlformats.org/drawingml/2006/picture">
                  <pic:nvPicPr>
                    <pic:cNvPr id="20471" name="Picture 20471"/>
                    <pic:cNvPicPr/>
                  </pic:nvPicPr>
                  <pic:blipFill>
                    <a:blip r:embed="rId8"/>
                    <a:stretch>
                      <a:fillRect/>
                    </a:stretch>
                  </pic:blipFill>
                  <pic:spPr>
                    <a:xfrm>
                      <a:off x="0" y="0"/>
                      <a:ext cx="3282696" cy="676656"/>
                    </a:xfrm>
                    <a:prstGeom prst="rect">
                      <a:avLst/>
                    </a:prstGeom>
                  </pic:spPr>
                </pic:pic>
              </a:graphicData>
            </a:graphic>
          </wp:inline>
        </w:drawing>
      </w:r>
      <w:r>
        <w:tab/>
        <w:t>(1)</w:t>
      </w:r>
    </w:p>
    <w:p w14:paraId="61746143" w14:textId="77777777" w:rsidR="005D7683" w:rsidRDefault="00B049BF">
      <w:pPr>
        <w:spacing w:after="236" w:line="259" w:lineRule="auto"/>
        <w:ind w:left="1559" w:firstLine="0"/>
        <w:jc w:val="left"/>
      </w:pPr>
      <w:r>
        <w:rPr>
          <w:noProof/>
        </w:rPr>
        <w:drawing>
          <wp:inline distT="0" distB="0" distL="0" distR="0" wp14:anchorId="1AD3C819" wp14:editId="49B02546">
            <wp:extent cx="4762500" cy="2597150"/>
            <wp:effectExtent l="0" t="0" r="0" b="0"/>
            <wp:docPr id="251" name="Picture 251"/>
            <wp:cNvGraphicFramePr/>
            <a:graphic xmlns:a="http://schemas.openxmlformats.org/drawingml/2006/main">
              <a:graphicData uri="http://schemas.openxmlformats.org/drawingml/2006/picture">
                <pic:pic xmlns:pic="http://schemas.openxmlformats.org/drawingml/2006/picture">
                  <pic:nvPicPr>
                    <pic:cNvPr id="251" name="Picture 251"/>
                    <pic:cNvPicPr/>
                  </pic:nvPicPr>
                  <pic:blipFill>
                    <a:blip r:embed="rId9"/>
                    <a:stretch>
                      <a:fillRect/>
                    </a:stretch>
                  </pic:blipFill>
                  <pic:spPr>
                    <a:xfrm>
                      <a:off x="0" y="0"/>
                      <a:ext cx="4763670" cy="2597788"/>
                    </a:xfrm>
                    <a:prstGeom prst="rect">
                      <a:avLst/>
                    </a:prstGeom>
                  </pic:spPr>
                </pic:pic>
              </a:graphicData>
            </a:graphic>
          </wp:inline>
        </w:drawing>
      </w:r>
    </w:p>
    <w:p w14:paraId="48C42B12" w14:textId="77777777" w:rsidR="00CD70ED" w:rsidRDefault="00B049BF">
      <w:pPr>
        <w:ind w:left="3169"/>
      </w:pPr>
      <w:r>
        <w:t>Figure 1: Flow chart diagram</w:t>
      </w:r>
    </w:p>
    <w:p w14:paraId="28B52250" w14:textId="77777777" w:rsidR="00CD70ED" w:rsidRDefault="00CD70ED" w:rsidP="00CD70ED">
      <w:pPr>
        <w:spacing w:after="203"/>
        <w:ind w:left="351" w:firstLine="0"/>
      </w:pPr>
      <w:r>
        <w:t>The state variables descriptions are given in the table below.</w:t>
      </w:r>
    </w:p>
    <w:p w14:paraId="47F2298F" w14:textId="77777777" w:rsidR="005D7683" w:rsidRDefault="00B049BF" w:rsidP="00CD70ED">
      <w:r>
        <w:br w:type="page"/>
      </w:r>
    </w:p>
    <w:p w14:paraId="30312C44" w14:textId="77777777" w:rsidR="005D7683" w:rsidRDefault="00B049BF">
      <w:pPr>
        <w:spacing w:after="192" w:line="265" w:lineRule="auto"/>
        <w:ind w:left="10"/>
        <w:jc w:val="center"/>
      </w:pPr>
      <w:r>
        <w:lastRenderedPageBreak/>
        <w:t>Table 1: Symbols and Description of Parameter Values</w:t>
      </w:r>
    </w:p>
    <w:tbl>
      <w:tblPr>
        <w:tblStyle w:val="TableGrid"/>
        <w:tblW w:w="10059" w:type="dxa"/>
        <w:tblInd w:w="0" w:type="dxa"/>
        <w:tblCellMar>
          <w:top w:w="42" w:type="dxa"/>
          <w:left w:w="120" w:type="dxa"/>
          <w:right w:w="119" w:type="dxa"/>
        </w:tblCellMar>
        <w:tblLook w:val="04A0" w:firstRow="1" w:lastRow="0" w:firstColumn="1" w:lastColumn="0" w:noHBand="0" w:noVBand="1"/>
      </w:tblPr>
      <w:tblGrid>
        <w:gridCol w:w="10059"/>
      </w:tblGrid>
      <w:tr w:rsidR="005D7683" w14:paraId="534AF43D" w14:textId="77777777">
        <w:trPr>
          <w:trHeight w:val="279"/>
        </w:trPr>
        <w:tc>
          <w:tcPr>
            <w:tcW w:w="10059" w:type="dxa"/>
            <w:tcBorders>
              <w:top w:val="single" w:sz="3" w:space="0" w:color="000000"/>
              <w:left w:val="single" w:sz="3" w:space="0" w:color="000000"/>
              <w:bottom w:val="single" w:sz="3" w:space="0" w:color="000000"/>
              <w:right w:val="single" w:sz="3" w:space="0" w:color="000000"/>
            </w:tcBorders>
          </w:tcPr>
          <w:p w14:paraId="697BF3F5" w14:textId="77777777" w:rsidR="005D7683" w:rsidRDefault="00B049BF">
            <w:pPr>
              <w:spacing w:after="0" w:line="259" w:lineRule="auto"/>
              <w:ind w:left="0" w:firstLine="0"/>
              <w:jc w:val="left"/>
            </w:pPr>
            <w:r>
              <w:rPr>
                <w:b/>
                <w:sz w:val="22"/>
              </w:rPr>
              <w:t>Parameter Description</w:t>
            </w:r>
          </w:p>
        </w:tc>
      </w:tr>
      <w:tr w:rsidR="005D7683" w14:paraId="3276E7AB" w14:textId="77777777">
        <w:trPr>
          <w:trHeight w:val="6241"/>
        </w:trPr>
        <w:tc>
          <w:tcPr>
            <w:tcW w:w="10059" w:type="dxa"/>
            <w:tcBorders>
              <w:top w:val="single" w:sz="3" w:space="0" w:color="000000"/>
              <w:left w:val="single" w:sz="3" w:space="0" w:color="000000"/>
              <w:bottom w:val="single" w:sz="3" w:space="0" w:color="000000"/>
              <w:right w:val="single" w:sz="3" w:space="0" w:color="000000"/>
            </w:tcBorders>
          </w:tcPr>
          <w:p w14:paraId="7D88BA1F" w14:textId="77777777" w:rsidR="00443B15" w:rsidRPr="00443B15" w:rsidRDefault="00443B15" w:rsidP="00443B15">
            <w:pPr>
              <w:spacing w:after="10" w:line="291" w:lineRule="auto"/>
              <w:ind w:left="1316" w:hanging="1316"/>
            </w:pPr>
            <w:r>
              <w:rPr>
                <w:i/>
                <w:sz w:val="22"/>
              </w:rPr>
              <w:t>S</w:t>
            </w:r>
            <w:r>
              <w:rPr>
                <w:sz w:val="22"/>
              </w:rPr>
              <w:t>(</w:t>
            </w:r>
            <w:proofErr w:type="gramStart"/>
            <w:r>
              <w:rPr>
                <w:i/>
                <w:sz w:val="22"/>
              </w:rPr>
              <w:t>t</w:t>
            </w:r>
            <w:r>
              <w:rPr>
                <w:sz w:val="22"/>
              </w:rPr>
              <w:t xml:space="preserve">) </w:t>
            </w:r>
            <w:r w:rsidR="00FD57EC">
              <w:rPr>
                <w:sz w:val="22"/>
              </w:rPr>
              <w:t xml:space="preserve">  </w:t>
            </w:r>
            <w:proofErr w:type="gramEnd"/>
            <w:r w:rsidR="00FD57EC">
              <w:rPr>
                <w:sz w:val="22"/>
              </w:rPr>
              <w:t xml:space="preserve">              </w:t>
            </w:r>
            <w:r>
              <w:rPr>
                <w:sz w:val="22"/>
              </w:rPr>
              <w:t xml:space="preserve">The number of individuals that are susceptible to both Pneumonia and HIV infections. This compartment is increased by recruits at the rate, Λ and it is increased from those individuals who have recovered from Pneumonia </w:t>
            </w:r>
            <w:r>
              <w:rPr>
                <w:i/>
                <w:sz w:val="22"/>
              </w:rPr>
              <w:t>R</w:t>
            </w:r>
            <w:r>
              <w:rPr>
                <w:i/>
                <w:sz w:val="22"/>
                <w:vertAlign w:val="subscript"/>
              </w:rPr>
              <w:t xml:space="preserve">p </w:t>
            </w:r>
            <w:r>
              <w:rPr>
                <w:sz w:val="22"/>
              </w:rPr>
              <w:t xml:space="preserve">after losing their temporary immunity at the rate </w:t>
            </w:r>
            <w:r>
              <w:rPr>
                <w:i/>
                <w:sz w:val="22"/>
              </w:rPr>
              <w:t>δ</w:t>
            </w:r>
            <w:r>
              <w:rPr>
                <w:sz w:val="22"/>
              </w:rPr>
              <w:t xml:space="preserve">. These individuals can get Pneumonia infection and move to the </w:t>
            </w:r>
            <w:r>
              <w:rPr>
                <w:i/>
                <w:sz w:val="22"/>
              </w:rPr>
              <w:t>I</w:t>
            </w:r>
            <w:r>
              <w:rPr>
                <w:i/>
                <w:sz w:val="22"/>
                <w:vertAlign w:val="subscript"/>
              </w:rPr>
              <w:t xml:space="preserve">p </w:t>
            </w:r>
            <w:r>
              <w:rPr>
                <w:sz w:val="22"/>
              </w:rPr>
              <w:t xml:space="preserve">at </w:t>
            </w:r>
            <w:r w:rsidRPr="005908EA">
              <w:rPr>
                <w:sz w:val="22"/>
                <w:highlight w:val="yellow"/>
              </w:rPr>
              <w:t xml:space="preserve">the rate </w:t>
            </w:r>
            <w:proofErr w:type="spellStart"/>
            <w:r w:rsidRPr="005908EA">
              <w:rPr>
                <w:i/>
                <w:sz w:val="22"/>
                <w:highlight w:val="yellow"/>
              </w:rPr>
              <w:t>λ</w:t>
            </w:r>
            <w:r w:rsidRPr="005908EA">
              <w:rPr>
                <w:i/>
                <w:sz w:val="22"/>
                <w:highlight w:val="yellow"/>
                <w:vertAlign w:val="subscript"/>
              </w:rPr>
              <w:t>p</w:t>
            </w:r>
            <w:proofErr w:type="spellEnd"/>
            <w:r>
              <w:rPr>
                <w:i/>
                <w:sz w:val="22"/>
                <w:vertAlign w:val="subscript"/>
              </w:rPr>
              <w:t xml:space="preserve"> </w:t>
            </w:r>
            <w:r>
              <w:rPr>
                <w:sz w:val="22"/>
              </w:rPr>
              <w:t xml:space="preserve">and also can get HIV infection and move to the </w:t>
            </w:r>
            <w:proofErr w:type="spellStart"/>
            <w:r>
              <w:rPr>
                <w:i/>
                <w:sz w:val="22"/>
              </w:rPr>
              <w:t>I</w:t>
            </w:r>
            <w:r>
              <w:rPr>
                <w:i/>
                <w:sz w:val="22"/>
                <w:vertAlign w:val="subscript"/>
              </w:rPr>
              <w:t>h</w:t>
            </w:r>
            <w:proofErr w:type="spellEnd"/>
            <w:r>
              <w:rPr>
                <w:i/>
                <w:sz w:val="22"/>
                <w:vertAlign w:val="subscript"/>
              </w:rPr>
              <w:t xml:space="preserve"> </w:t>
            </w:r>
            <w:r>
              <w:rPr>
                <w:sz w:val="22"/>
              </w:rPr>
              <w:t xml:space="preserve">class at </w:t>
            </w:r>
            <w:r w:rsidRPr="005908EA">
              <w:rPr>
                <w:sz w:val="22"/>
                <w:highlight w:val="yellow"/>
              </w:rPr>
              <w:t xml:space="preserve">the rate </w:t>
            </w:r>
            <w:proofErr w:type="spellStart"/>
            <w:r w:rsidRPr="005908EA">
              <w:rPr>
                <w:i/>
                <w:sz w:val="22"/>
                <w:highlight w:val="yellow"/>
              </w:rPr>
              <w:t>λ</w:t>
            </w:r>
            <w:r w:rsidRPr="005908EA">
              <w:rPr>
                <w:i/>
                <w:sz w:val="22"/>
                <w:highlight w:val="yellow"/>
                <w:vertAlign w:val="subscript"/>
              </w:rPr>
              <w:t>h</w:t>
            </w:r>
            <w:proofErr w:type="spellEnd"/>
            <w:r w:rsidRPr="005908EA">
              <w:rPr>
                <w:sz w:val="22"/>
                <w:highlight w:val="yellow"/>
              </w:rPr>
              <w:t>.</w:t>
            </w:r>
          </w:p>
          <w:p w14:paraId="01594208" w14:textId="77777777" w:rsidR="005D7683" w:rsidRDefault="00B049BF">
            <w:pPr>
              <w:spacing w:after="0" w:line="307" w:lineRule="auto"/>
              <w:ind w:left="1316" w:hanging="1316"/>
            </w:pPr>
            <w:r>
              <w:rPr>
                <w:i/>
                <w:sz w:val="22"/>
              </w:rPr>
              <w:t>I</w:t>
            </w:r>
            <w:r>
              <w:rPr>
                <w:i/>
                <w:sz w:val="22"/>
                <w:vertAlign w:val="subscript"/>
              </w:rPr>
              <w:t>p</w:t>
            </w:r>
            <w:r>
              <w:rPr>
                <w:sz w:val="22"/>
              </w:rPr>
              <w:t>(</w:t>
            </w:r>
            <w:proofErr w:type="gramStart"/>
            <w:r>
              <w:rPr>
                <w:i/>
                <w:sz w:val="22"/>
              </w:rPr>
              <w:t>t</w:t>
            </w:r>
            <w:r>
              <w:rPr>
                <w:sz w:val="22"/>
              </w:rPr>
              <w:t xml:space="preserve">) </w:t>
            </w:r>
            <w:r w:rsidR="00FD57EC">
              <w:rPr>
                <w:sz w:val="22"/>
              </w:rPr>
              <w:t xml:space="preserve">  </w:t>
            </w:r>
            <w:proofErr w:type="gramEnd"/>
            <w:r w:rsidR="00FD57EC">
              <w:rPr>
                <w:sz w:val="22"/>
              </w:rPr>
              <w:t xml:space="preserve">            </w:t>
            </w:r>
            <w:r>
              <w:rPr>
                <w:sz w:val="22"/>
              </w:rPr>
              <w:t xml:space="preserve">The number of individuals infected with Pneumonia. They are reduced by recoveries from Pneumonia at the rate </w:t>
            </w:r>
            <w:r>
              <w:rPr>
                <w:sz w:val="22"/>
                <w:vertAlign w:val="subscript"/>
              </w:rPr>
              <w:t xml:space="preserve">1 </w:t>
            </w:r>
            <w:r>
              <w:rPr>
                <w:sz w:val="22"/>
              </w:rPr>
              <w:t xml:space="preserve">while others get infected with HIV and progress to </w:t>
            </w:r>
            <w:proofErr w:type="spellStart"/>
            <w:r>
              <w:rPr>
                <w:i/>
                <w:sz w:val="22"/>
              </w:rPr>
              <w:t>I</w:t>
            </w:r>
            <w:r>
              <w:rPr>
                <w:i/>
                <w:sz w:val="22"/>
                <w:vertAlign w:val="subscript"/>
              </w:rPr>
              <w:t>ph</w:t>
            </w:r>
            <w:proofErr w:type="spellEnd"/>
            <w:r>
              <w:rPr>
                <w:i/>
                <w:sz w:val="22"/>
                <w:vertAlign w:val="subscript"/>
              </w:rPr>
              <w:t xml:space="preserve"> </w:t>
            </w:r>
            <w:r>
              <w:rPr>
                <w:sz w:val="22"/>
              </w:rPr>
              <w:t xml:space="preserve">class at the rate </w:t>
            </w:r>
            <w:r>
              <w:rPr>
                <w:i/>
                <w:sz w:val="22"/>
              </w:rPr>
              <w:t>δ</w:t>
            </w:r>
            <w:r>
              <w:rPr>
                <w:sz w:val="22"/>
                <w:vertAlign w:val="subscript"/>
              </w:rPr>
              <w:t>1</w:t>
            </w:r>
            <w:r>
              <w:rPr>
                <w:i/>
                <w:sz w:val="22"/>
              </w:rPr>
              <w:t>λ</w:t>
            </w:r>
            <w:r>
              <w:rPr>
                <w:i/>
                <w:sz w:val="22"/>
                <w:vertAlign w:val="subscript"/>
              </w:rPr>
              <w:t>h</w:t>
            </w:r>
            <w:r>
              <w:rPr>
                <w:sz w:val="22"/>
              </w:rPr>
              <w:t xml:space="preserve">. Mortality induced by Pneumonia under </w:t>
            </w:r>
            <w:r>
              <w:rPr>
                <w:i/>
                <w:sz w:val="22"/>
              </w:rPr>
              <w:t>I</w:t>
            </w:r>
            <w:r>
              <w:rPr>
                <w:i/>
                <w:sz w:val="22"/>
                <w:vertAlign w:val="subscript"/>
              </w:rPr>
              <w:t xml:space="preserve">p </w:t>
            </w:r>
            <w:r>
              <w:rPr>
                <w:sz w:val="22"/>
              </w:rPr>
              <w:t xml:space="preserve">class occurs at the rate </w:t>
            </w:r>
            <w:proofErr w:type="spellStart"/>
            <w:r>
              <w:rPr>
                <w:i/>
                <w:sz w:val="22"/>
              </w:rPr>
              <w:t>d</w:t>
            </w:r>
            <w:r>
              <w:rPr>
                <w:i/>
                <w:sz w:val="22"/>
                <w:vertAlign w:val="subscript"/>
              </w:rPr>
              <w:t>p</w:t>
            </w:r>
            <w:proofErr w:type="spellEnd"/>
            <w:r>
              <w:rPr>
                <w:sz w:val="22"/>
              </w:rPr>
              <w:t>.</w:t>
            </w:r>
          </w:p>
          <w:p w14:paraId="5846EFAB" w14:textId="77777777" w:rsidR="005D7683" w:rsidRDefault="00B049BF">
            <w:pPr>
              <w:spacing w:after="3" w:line="297" w:lineRule="auto"/>
              <w:ind w:left="1316" w:hanging="1316"/>
              <w:jc w:val="left"/>
            </w:pPr>
            <w:r>
              <w:rPr>
                <w:i/>
                <w:sz w:val="22"/>
              </w:rPr>
              <w:t>R</w:t>
            </w:r>
            <w:r>
              <w:rPr>
                <w:i/>
                <w:sz w:val="22"/>
                <w:vertAlign w:val="subscript"/>
              </w:rPr>
              <w:t>p</w:t>
            </w:r>
            <w:r>
              <w:rPr>
                <w:sz w:val="22"/>
              </w:rPr>
              <w:t>(</w:t>
            </w:r>
            <w:r>
              <w:rPr>
                <w:i/>
                <w:sz w:val="22"/>
              </w:rPr>
              <w:t>t</w:t>
            </w:r>
            <w:r>
              <w:rPr>
                <w:sz w:val="22"/>
              </w:rPr>
              <w:t>)</w:t>
            </w:r>
            <w:r>
              <w:rPr>
                <w:sz w:val="22"/>
              </w:rPr>
              <w:tab/>
              <w:t xml:space="preserve">The number of individuals who have recovered from Pneumonia infection. These individuals </w:t>
            </w:r>
            <w:r w:rsidR="00C47B38">
              <w:rPr>
                <w:sz w:val="22"/>
              </w:rPr>
              <w:t>lose</w:t>
            </w:r>
            <w:r>
              <w:rPr>
                <w:sz w:val="22"/>
              </w:rPr>
              <w:t xml:space="preserve"> their temporary immunity and they get to susceptible class at the rate </w:t>
            </w:r>
            <w:r>
              <w:rPr>
                <w:i/>
                <w:sz w:val="22"/>
              </w:rPr>
              <w:t xml:space="preserve">δ </w:t>
            </w:r>
            <w:r>
              <w:rPr>
                <w:sz w:val="22"/>
              </w:rPr>
              <w:t xml:space="preserve">while others get infection from HIV at the rate </w:t>
            </w:r>
            <w:proofErr w:type="spellStart"/>
            <w:r>
              <w:rPr>
                <w:i/>
                <w:sz w:val="22"/>
              </w:rPr>
              <w:t>λ</w:t>
            </w:r>
            <w:r>
              <w:rPr>
                <w:i/>
                <w:sz w:val="22"/>
                <w:vertAlign w:val="subscript"/>
              </w:rPr>
              <w:t>h</w:t>
            </w:r>
            <w:proofErr w:type="spellEnd"/>
            <w:r>
              <w:rPr>
                <w:i/>
                <w:sz w:val="22"/>
                <w:vertAlign w:val="subscript"/>
              </w:rPr>
              <w:t xml:space="preserve"> </w:t>
            </w:r>
            <w:r>
              <w:rPr>
                <w:sz w:val="22"/>
              </w:rPr>
              <w:t xml:space="preserve">and progress to </w:t>
            </w:r>
            <w:proofErr w:type="spellStart"/>
            <w:r>
              <w:rPr>
                <w:i/>
                <w:sz w:val="22"/>
              </w:rPr>
              <w:t>I</w:t>
            </w:r>
            <w:r>
              <w:rPr>
                <w:i/>
                <w:sz w:val="22"/>
                <w:vertAlign w:val="subscript"/>
              </w:rPr>
              <w:t>h</w:t>
            </w:r>
            <w:proofErr w:type="spellEnd"/>
            <w:r>
              <w:rPr>
                <w:i/>
                <w:sz w:val="22"/>
                <w:vertAlign w:val="subscript"/>
              </w:rPr>
              <w:t xml:space="preserve"> </w:t>
            </w:r>
            <w:r>
              <w:rPr>
                <w:sz w:val="22"/>
              </w:rPr>
              <w:t>class.</w:t>
            </w:r>
          </w:p>
          <w:p w14:paraId="346546E5" w14:textId="77777777" w:rsidR="005D7683" w:rsidRDefault="00B049BF">
            <w:pPr>
              <w:spacing w:after="0" w:line="308" w:lineRule="auto"/>
              <w:ind w:left="1316" w:hanging="1316"/>
            </w:pPr>
            <w:proofErr w:type="spellStart"/>
            <w:r>
              <w:rPr>
                <w:i/>
                <w:sz w:val="22"/>
              </w:rPr>
              <w:t>I</w:t>
            </w:r>
            <w:r>
              <w:rPr>
                <w:i/>
                <w:sz w:val="22"/>
                <w:vertAlign w:val="subscript"/>
              </w:rPr>
              <w:t>h</w:t>
            </w:r>
            <w:proofErr w:type="spellEnd"/>
            <w:r>
              <w:rPr>
                <w:sz w:val="22"/>
              </w:rPr>
              <w:t>(</w:t>
            </w:r>
            <w:proofErr w:type="gramStart"/>
            <w:r>
              <w:rPr>
                <w:i/>
                <w:sz w:val="22"/>
              </w:rPr>
              <w:t>t</w:t>
            </w:r>
            <w:r>
              <w:rPr>
                <w:sz w:val="22"/>
              </w:rPr>
              <w:t xml:space="preserve">) </w:t>
            </w:r>
            <w:r w:rsidR="00FD57EC">
              <w:rPr>
                <w:sz w:val="22"/>
              </w:rPr>
              <w:t xml:space="preserve">  </w:t>
            </w:r>
            <w:proofErr w:type="gramEnd"/>
            <w:r w:rsidR="00FD57EC">
              <w:rPr>
                <w:sz w:val="22"/>
              </w:rPr>
              <w:t xml:space="preserve">               </w:t>
            </w:r>
            <w:r>
              <w:rPr>
                <w:sz w:val="22"/>
              </w:rPr>
              <w:t xml:space="preserve">The number of individuals infected with HIV with no clinical symptoms of HIV and AIDS who progress to the class </w:t>
            </w:r>
            <w:r>
              <w:rPr>
                <w:i/>
                <w:sz w:val="22"/>
              </w:rPr>
              <w:t>A</w:t>
            </w:r>
            <w:r>
              <w:rPr>
                <w:i/>
                <w:sz w:val="22"/>
                <w:vertAlign w:val="subscript"/>
              </w:rPr>
              <w:t xml:space="preserve">h </w:t>
            </w:r>
            <w:r>
              <w:rPr>
                <w:sz w:val="22"/>
              </w:rPr>
              <w:t xml:space="preserve">by developing clinical symptoms of HIV and AIDS at the rate </w:t>
            </w:r>
            <w:r>
              <w:rPr>
                <w:i/>
                <w:sz w:val="22"/>
              </w:rPr>
              <w:t>γ</w:t>
            </w:r>
            <w:r>
              <w:rPr>
                <w:sz w:val="22"/>
                <w:vertAlign w:val="subscript"/>
              </w:rPr>
              <w:t xml:space="preserve">1 </w:t>
            </w:r>
            <w:r>
              <w:rPr>
                <w:sz w:val="22"/>
              </w:rPr>
              <w:t xml:space="preserve">while others get infected with Pneumonia and progress to </w:t>
            </w:r>
            <w:proofErr w:type="spellStart"/>
            <w:r>
              <w:rPr>
                <w:i/>
                <w:sz w:val="22"/>
              </w:rPr>
              <w:t>I</w:t>
            </w:r>
            <w:r>
              <w:rPr>
                <w:i/>
                <w:sz w:val="22"/>
                <w:vertAlign w:val="subscript"/>
              </w:rPr>
              <w:t>ph</w:t>
            </w:r>
            <w:proofErr w:type="spellEnd"/>
            <w:r>
              <w:rPr>
                <w:i/>
                <w:sz w:val="22"/>
                <w:vertAlign w:val="subscript"/>
              </w:rPr>
              <w:t xml:space="preserve"> </w:t>
            </w:r>
            <w:r>
              <w:rPr>
                <w:sz w:val="22"/>
              </w:rPr>
              <w:t xml:space="preserve">class at the rate </w:t>
            </w:r>
            <w:r>
              <w:rPr>
                <w:i/>
                <w:sz w:val="22"/>
              </w:rPr>
              <w:t>δ</w:t>
            </w:r>
            <w:r>
              <w:rPr>
                <w:sz w:val="16"/>
              </w:rPr>
              <w:t>2</w:t>
            </w:r>
            <w:r>
              <w:rPr>
                <w:i/>
                <w:sz w:val="22"/>
              </w:rPr>
              <w:t>λ</w:t>
            </w:r>
            <w:r>
              <w:rPr>
                <w:i/>
                <w:sz w:val="16"/>
              </w:rPr>
              <w:t>p</w:t>
            </w:r>
            <w:r>
              <w:rPr>
                <w:sz w:val="22"/>
              </w:rPr>
              <w:t>.</w:t>
            </w:r>
          </w:p>
          <w:p w14:paraId="2C5D80FB" w14:textId="77777777" w:rsidR="005D7683" w:rsidRDefault="00B049BF">
            <w:pPr>
              <w:spacing w:after="0" w:line="304" w:lineRule="auto"/>
              <w:ind w:left="1316" w:hanging="1316"/>
            </w:pPr>
            <w:proofErr w:type="spellStart"/>
            <w:r>
              <w:rPr>
                <w:i/>
                <w:sz w:val="22"/>
              </w:rPr>
              <w:t>I</w:t>
            </w:r>
            <w:r>
              <w:rPr>
                <w:i/>
                <w:sz w:val="22"/>
                <w:vertAlign w:val="subscript"/>
              </w:rPr>
              <w:t>ph</w:t>
            </w:r>
            <w:proofErr w:type="spellEnd"/>
            <w:r>
              <w:rPr>
                <w:sz w:val="22"/>
              </w:rPr>
              <w:t>(</w:t>
            </w:r>
            <w:proofErr w:type="gramStart"/>
            <w:r>
              <w:rPr>
                <w:i/>
                <w:sz w:val="22"/>
              </w:rPr>
              <w:t>t</w:t>
            </w:r>
            <w:r>
              <w:rPr>
                <w:sz w:val="22"/>
              </w:rPr>
              <w:t xml:space="preserve">) </w:t>
            </w:r>
            <w:r w:rsidR="00FD57EC">
              <w:rPr>
                <w:sz w:val="22"/>
              </w:rPr>
              <w:t xml:space="preserve">  </w:t>
            </w:r>
            <w:proofErr w:type="gramEnd"/>
            <w:r w:rsidR="00FD57EC">
              <w:rPr>
                <w:sz w:val="22"/>
              </w:rPr>
              <w:t xml:space="preserve">            </w:t>
            </w:r>
            <w:r>
              <w:rPr>
                <w:sz w:val="22"/>
              </w:rPr>
              <w:t xml:space="preserve">The number of individuals co-infected with both Pneumonia and HIV with no clinical symptoms of HIV and AIDS. These individuals recover from Pneumonia at the rate </w:t>
            </w:r>
            <w:r>
              <w:rPr>
                <w:sz w:val="22"/>
                <w:vertAlign w:val="subscript"/>
              </w:rPr>
              <w:t xml:space="preserve">2 </w:t>
            </w:r>
            <w:r>
              <w:rPr>
                <w:sz w:val="22"/>
              </w:rPr>
              <w:t xml:space="preserve">and move to </w:t>
            </w:r>
            <w:proofErr w:type="spellStart"/>
            <w:r>
              <w:rPr>
                <w:i/>
                <w:sz w:val="22"/>
              </w:rPr>
              <w:t>I</w:t>
            </w:r>
            <w:r>
              <w:rPr>
                <w:i/>
                <w:sz w:val="22"/>
                <w:vertAlign w:val="subscript"/>
              </w:rPr>
              <w:t>h</w:t>
            </w:r>
            <w:proofErr w:type="spellEnd"/>
            <w:r>
              <w:rPr>
                <w:i/>
                <w:sz w:val="22"/>
                <w:vertAlign w:val="subscript"/>
              </w:rPr>
              <w:t xml:space="preserve"> </w:t>
            </w:r>
            <w:r>
              <w:rPr>
                <w:sz w:val="22"/>
              </w:rPr>
              <w:t xml:space="preserve">class, others develop HIV and AIDS symptoms and progress to </w:t>
            </w:r>
            <w:proofErr w:type="spellStart"/>
            <w:r>
              <w:rPr>
                <w:i/>
                <w:sz w:val="22"/>
              </w:rPr>
              <w:t>A</w:t>
            </w:r>
            <w:r>
              <w:rPr>
                <w:i/>
                <w:sz w:val="22"/>
                <w:vertAlign w:val="subscript"/>
              </w:rPr>
              <w:t>ph</w:t>
            </w:r>
            <w:proofErr w:type="spellEnd"/>
            <w:r>
              <w:rPr>
                <w:i/>
                <w:sz w:val="22"/>
                <w:vertAlign w:val="subscript"/>
              </w:rPr>
              <w:t xml:space="preserve"> </w:t>
            </w:r>
            <w:r>
              <w:rPr>
                <w:sz w:val="22"/>
              </w:rPr>
              <w:t xml:space="preserve">class at the rate </w:t>
            </w:r>
            <w:r>
              <w:rPr>
                <w:i/>
                <w:sz w:val="22"/>
              </w:rPr>
              <w:t>γ</w:t>
            </w:r>
            <w:r>
              <w:rPr>
                <w:sz w:val="22"/>
                <w:vertAlign w:val="subscript"/>
              </w:rPr>
              <w:t xml:space="preserve">2 </w:t>
            </w:r>
            <w:r>
              <w:rPr>
                <w:sz w:val="22"/>
              </w:rPr>
              <w:t xml:space="preserve">while others die from Pneumonia induced mortality rate </w:t>
            </w:r>
            <w:proofErr w:type="spellStart"/>
            <w:r>
              <w:rPr>
                <w:i/>
                <w:sz w:val="22"/>
              </w:rPr>
              <w:t>d</w:t>
            </w:r>
            <w:r>
              <w:rPr>
                <w:i/>
                <w:sz w:val="22"/>
                <w:vertAlign w:val="subscript"/>
              </w:rPr>
              <w:t>p</w:t>
            </w:r>
            <w:proofErr w:type="spellEnd"/>
            <w:r>
              <w:rPr>
                <w:sz w:val="22"/>
              </w:rPr>
              <w:t>.</w:t>
            </w:r>
          </w:p>
          <w:p w14:paraId="1A29E318" w14:textId="77777777" w:rsidR="005D7683" w:rsidRDefault="00B049BF">
            <w:pPr>
              <w:spacing w:after="0" w:line="308" w:lineRule="auto"/>
              <w:ind w:left="1316" w:hanging="1316"/>
            </w:pPr>
            <w:r>
              <w:rPr>
                <w:i/>
                <w:sz w:val="22"/>
              </w:rPr>
              <w:t>A</w:t>
            </w:r>
            <w:r>
              <w:rPr>
                <w:i/>
                <w:sz w:val="22"/>
                <w:vertAlign w:val="subscript"/>
              </w:rPr>
              <w:t>h</w:t>
            </w:r>
            <w:r>
              <w:rPr>
                <w:sz w:val="22"/>
              </w:rPr>
              <w:t>(</w:t>
            </w:r>
            <w:proofErr w:type="gramStart"/>
            <w:r>
              <w:rPr>
                <w:i/>
                <w:sz w:val="22"/>
              </w:rPr>
              <w:t>t</w:t>
            </w:r>
            <w:r>
              <w:rPr>
                <w:sz w:val="22"/>
              </w:rPr>
              <w:t xml:space="preserve">) </w:t>
            </w:r>
            <w:r w:rsidR="00FD57EC">
              <w:rPr>
                <w:sz w:val="22"/>
              </w:rPr>
              <w:t xml:space="preserve">  </w:t>
            </w:r>
            <w:proofErr w:type="gramEnd"/>
            <w:r w:rsidR="00FD57EC">
              <w:rPr>
                <w:sz w:val="22"/>
              </w:rPr>
              <w:t xml:space="preserve">          </w:t>
            </w:r>
            <w:r>
              <w:rPr>
                <w:sz w:val="22"/>
              </w:rPr>
              <w:t xml:space="preserve">The number of individuals infected with HIV showing clinical symptoms of HIV and AIDS. These individuals seek medication from Pneumonia and they progress to </w:t>
            </w:r>
            <w:r>
              <w:rPr>
                <w:i/>
                <w:sz w:val="22"/>
              </w:rPr>
              <w:t>A</w:t>
            </w:r>
            <w:r>
              <w:rPr>
                <w:i/>
                <w:sz w:val="22"/>
                <w:vertAlign w:val="subscript"/>
              </w:rPr>
              <w:t xml:space="preserve">h </w:t>
            </w:r>
            <w:r>
              <w:rPr>
                <w:sz w:val="22"/>
              </w:rPr>
              <w:t xml:space="preserve">class at a recovery rate </w:t>
            </w:r>
            <w:r>
              <w:rPr>
                <w:sz w:val="22"/>
                <w:vertAlign w:val="subscript"/>
              </w:rPr>
              <w:t xml:space="preserve">3 </w:t>
            </w:r>
            <w:r>
              <w:rPr>
                <w:sz w:val="22"/>
              </w:rPr>
              <w:t xml:space="preserve">and are increased from </w:t>
            </w:r>
            <w:r>
              <w:rPr>
                <w:i/>
                <w:sz w:val="22"/>
              </w:rPr>
              <w:t>A</w:t>
            </w:r>
            <w:r>
              <w:rPr>
                <w:i/>
                <w:sz w:val="22"/>
                <w:vertAlign w:val="subscript"/>
              </w:rPr>
              <w:t xml:space="preserve">h </w:t>
            </w:r>
            <w:r>
              <w:rPr>
                <w:sz w:val="22"/>
              </w:rPr>
              <w:t xml:space="preserve">class who get infection from Pneumonia at the rate </w:t>
            </w:r>
            <w:r>
              <w:rPr>
                <w:i/>
                <w:sz w:val="22"/>
              </w:rPr>
              <w:t>δ</w:t>
            </w:r>
            <w:r>
              <w:rPr>
                <w:sz w:val="22"/>
                <w:vertAlign w:val="subscript"/>
              </w:rPr>
              <w:t>3</w:t>
            </w:r>
            <w:r>
              <w:rPr>
                <w:i/>
                <w:sz w:val="22"/>
              </w:rPr>
              <w:t>λ</w:t>
            </w:r>
            <w:r>
              <w:rPr>
                <w:i/>
                <w:sz w:val="22"/>
                <w:vertAlign w:val="subscript"/>
              </w:rPr>
              <w:t xml:space="preserve">p </w:t>
            </w:r>
            <w:r>
              <w:rPr>
                <w:sz w:val="22"/>
              </w:rPr>
              <w:t xml:space="preserve">where </w:t>
            </w:r>
            <w:r>
              <w:rPr>
                <w:i/>
                <w:sz w:val="22"/>
              </w:rPr>
              <w:t>δ</w:t>
            </w:r>
            <w:r>
              <w:rPr>
                <w:sz w:val="22"/>
                <w:vertAlign w:val="subscript"/>
              </w:rPr>
              <w:t xml:space="preserve">3 </w:t>
            </w:r>
            <w:r>
              <w:rPr>
                <w:i/>
                <w:sz w:val="22"/>
              </w:rPr>
              <w:t>&gt; δ</w:t>
            </w:r>
            <w:r>
              <w:rPr>
                <w:sz w:val="22"/>
                <w:vertAlign w:val="subscript"/>
              </w:rPr>
              <w:t>2</w:t>
            </w:r>
            <w:r>
              <w:rPr>
                <w:sz w:val="22"/>
              </w:rPr>
              <w:t xml:space="preserve">. They incur induced death from both Pneumonia and AIDS at mortality rate </w:t>
            </w:r>
            <w:proofErr w:type="spellStart"/>
            <w:r>
              <w:rPr>
                <w:i/>
                <w:sz w:val="22"/>
              </w:rPr>
              <w:t>d</w:t>
            </w:r>
            <w:r>
              <w:rPr>
                <w:i/>
                <w:sz w:val="22"/>
                <w:vertAlign w:val="subscript"/>
              </w:rPr>
              <w:t>Ap</w:t>
            </w:r>
            <w:proofErr w:type="spellEnd"/>
            <w:r>
              <w:rPr>
                <w:sz w:val="22"/>
              </w:rPr>
              <w:t>.</w:t>
            </w:r>
          </w:p>
          <w:p w14:paraId="53F9D540" w14:textId="77777777" w:rsidR="005D7683" w:rsidRDefault="00B049BF">
            <w:pPr>
              <w:spacing w:after="0" w:line="259" w:lineRule="auto"/>
              <w:ind w:left="1316" w:hanging="1316"/>
            </w:pPr>
            <w:proofErr w:type="spellStart"/>
            <w:r>
              <w:rPr>
                <w:i/>
                <w:sz w:val="22"/>
              </w:rPr>
              <w:t>A</w:t>
            </w:r>
            <w:r>
              <w:rPr>
                <w:i/>
                <w:sz w:val="22"/>
                <w:vertAlign w:val="subscript"/>
              </w:rPr>
              <w:t>ph</w:t>
            </w:r>
            <w:proofErr w:type="spellEnd"/>
            <w:r>
              <w:rPr>
                <w:sz w:val="22"/>
              </w:rPr>
              <w:t>(</w:t>
            </w:r>
            <w:proofErr w:type="gramStart"/>
            <w:r>
              <w:rPr>
                <w:i/>
                <w:sz w:val="22"/>
              </w:rPr>
              <w:t>t</w:t>
            </w:r>
            <w:r>
              <w:rPr>
                <w:sz w:val="22"/>
              </w:rPr>
              <w:t xml:space="preserve">) </w:t>
            </w:r>
            <w:r w:rsidR="00FD57EC">
              <w:rPr>
                <w:sz w:val="22"/>
              </w:rPr>
              <w:t xml:space="preserve">  </w:t>
            </w:r>
            <w:proofErr w:type="gramEnd"/>
            <w:r w:rsidR="00FD57EC">
              <w:rPr>
                <w:sz w:val="22"/>
              </w:rPr>
              <w:t xml:space="preserve">                 </w:t>
            </w:r>
            <w:r>
              <w:rPr>
                <w:sz w:val="22"/>
              </w:rPr>
              <w:t xml:space="preserve">The number of individuals co-infected with both Pneumonia and HIV with clinical symptoms of HIV and AIDS. They incur AIDS induced death at the rate </w:t>
            </w:r>
            <w:proofErr w:type="spellStart"/>
            <w:r>
              <w:rPr>
                <w:i/>
                <w:sz w:val="22"/>
              </w:rPr>
              <w:t>d</w:t>
            </w:r>
            <w:r>
              <w:rPr>
                <w:i/>
                <w:sz w:val="22"/>
                <w:vertAlign w:val="subscript"/>
              </w:rPr>
              <w:t>A</w:t>
            </w:r>
            <w:r>
              <w:rPr>
                <w:sz w:val="22"/>
              </w:rPr>
              <w:t>.</w:t>
            </w:r>
            <w:proofErr w:type="spellEnd"/>
            <w:r>
              <w:rPr>
                <w:sz w:val="22"/>
              </w:rPr>
              <w:t xml:space="preserve"> All classes are reduced by deaths from natural causes at the rate </w:t>
            </w:r>
            <w:r>
              <w:rPr>
                <w:i/>
                <w:sz w:val="22"/>
              </w:rPr>
              <w:t>µ</w:t>
            </w:r>
            <w:r>
              <w:rPr>
                <w:sz w:val="22"/>
              </w:rPr>
              <w:t>.</w:t>
            </w:r>
          </w:p>
        </w:tc>
      </w:tr>
    </w:tbl>
    <w:p w14:paraId="16A268C9" w14:textId="77777777" w:rsidR="00CD70ED" w:rsidRDefault="00CD70ED">
      <w:pPr>
        <w:spacing w:after="115"/>
        <w:ind w:left="-5"/>
      </w:pPr>
    </w:p>
    <w:p w14:paraId="6F9A9C71" w14:textId="77777777" w:rsidR="005D7683" w:rsidRDefault="00B049BF">
      <w:pPr>
        <w:spacing w:after="115"/>
        <w:ind w:left="-5"/>
      </w:pPr>
      <w:r>
        <w:t xml:space="preserve">The qualitative analysis of the model system (1) were performed and the model extended into optimal control problem by introduction of controls </w:t>
      </w:r>
      <w:r>
        <w:rPr>
          <w:i/>
        </w:rPr>
        <w:t>u</w:t>
      </w:r>
      <w:r>
        <w:rPr>
          <w:vertAlign w:val="subscript"/>
        </w:rPr>
        <w:t>1</w:t>
      </w:r>
      <w:r>
        <w:t xml:space="preserve">(treatment for Pneumonia using antibiotics) and </w:t>
      </w:r>
      <w:r>
        <w:rPr>
          <w:i/>
        </w:rPr>
        <w:t>u</w:t>
      </w:r>
      <w:r>
        <w:rPr>
          <w:vertAlign w:val="subscript"/>
        </w:rPr>
        <w:t xml:space="preserve">2 </w:t>
      </w:r>
      <w:r>
        <w:t>(treatment for HIV using Antiretroviral Therapy - ART) by [</w:t>
      </w:r>
      <w:r w:rsidR="00375838">
        <w:t>14</w:t>
      </w:r>
      <w:r>
        <w:t xml:space="preserve">]. The proposed objective function </w:t>
      </w:r>
      <w:r>
        <w:rPr>
          <w:i/>
        </w:rPr>
        <w:t xml:space="preserve">J </w:t>
      </w:r>
      <w:r>
        <w:t>given by:</w:t>
      </w:r>
    </w:p>
    <w:p w14:paraId="19708873" w14:textId="77777777" w:rsidR="005D7683" w:rsidRDefault="00B049BF">
      <w:pPr>
        <w:tabs>
          <w:tab w:val="center" w:pos="4537"/>
          <w:tab w:val="right" w:pos="9354"/>
        </w:tabs>
        <w:spacing w:after="213" w:line="265" w:lineRule="auto"/>
        <w:ind w:left="0" w:right="-15" w:firstLine="0"/>
        <w:jc w:val="left"/>
      </w:pPr>
      <w:r>
        <w:rPr>
          <w:rFonts w:ascii="Calibri" w:eastAsia="Calibri" w:hAnsi="Calibri" w:cs="Calibri"/>
          <w:sz w:val="22"/>
        </w:rPr>
        <w:tab/>
      </w:r>
      <w:r>
        <w:rPr>
          <w:noProof/>
        </w:rPr>
        <w:drawing>
          <wp:inline distT="0" distB="0" distL="0" distR="0" wp14:anchorId="0592BF22" wp14:editId="69BB2084">
            <wp:extent cx="4547616" cy="393192"/>
            <wp:effectExtent l="0" t="0" r="0" b="0"/>
            <wp:docPr id="20472" name="Picture 20472"/>
            <wp:cNvGraphicFramePr/>
            <a:graphic xmlns:a="http://schemas.openxmlformats.org/drawingml/2006/main">
              <a:graphicData uri="http://schemas.openxmlformats.org/drawingml/2006/picture">
                <pic:pic xmlns:pic="http://schemas.openxmlformats.org/drawingml/2006/picture">
                  <pic:nvPicPr>
                    <pic:cNvPr id="20472" name="Picture 20472"/>
                    <pic:cNvPicPr/>
                  </pic:nvPicPr>
                  <pic:blipFill>
                    <a:blip r:embed="rId10"/>
                    <a:stretch>
                      <a:fillRect/>
                    </a:stretch>
                  </pic:blipFill>
                  <pic:spPr>
                    <a:xfrm>
                      <a:off x="0" y="0"/>
                      <a:ext cx="4547616" cy="393192"/>
                    </a:xfrm>
                    <a:prstGeom prst="rect">
                      <a:avLst/>
                    </a:prstGeom>
                  </pic:spPr>
                </pic:pic>
              </a:graphicData>
            </a:graphic>
          </wp:inline>
        </w:drawing>
      </w:r>
      <w:r>
        <w:tab/>
        <w:t>(2)</w:t>
      </w:r>
    </w:p>
    <w:p w14:paraId="0D2F5EC0" w14:textId="77777777" w:rsidR="005D7683" w:rsidRDefault="00B049BF">
      <w:pPr>
        <w:spacing w:after="174"/>
        <w:ind w:left="-5"/>
      </w:pPr>
      <w:r>
        <w:t xml:space="preserve">where </w:t>
      </w:r>
      <w:r>
        <w:rPr>
          <w:i/>
        </w:rPr>
        <w:t>k</w:t>
      </w:r>
      <w:r>
        <w:rPr>
          <w:vertAlign w:val="subscript"/>
        </w:rPr>
        <w:t>1</w:t>
      </w:r>
      <w:r>
        <w:rPr>
          <w:i/>
        </w:rPr>
        <w:t>,</w:t>
      </w:r>
      <w:r w:rsidR="001F00F7">
        <w:rPr>
          <w:i/>
        </w:rPr>
        <w:t xml:space="preserve"> </w:t>
      </w:r>
      <w:r>
        <w:rPr>
          <w:i/>
        </w:rPr>
        <w:t>k</w:t>
      </w:r>
      <w:r>
        <w:rPr>
          <w:vertAlign w:val="subscript"/>
        </w:rPr>
        <w:t>2</w:t>
      </w:r>
      <w:r>
        <w:rPr>
          <w:i/>
        </w:rPr>
        <w:t>,</w:t>
      </w:r>
      <w:r w:rsidR="001F00F7">
        <w:rPr>
          <w:i/>
        </w:rPr>
        <w:t xml:space="preserve"> </w:t>
      </w:r>
      <w:r>
        <w:rPr>
          <w:i/>
        </w:rPr>
        <w:t>k</w:t>
      </w:r>
      <w:r>
        <w:rPr>
          <w:vertAlign w:val="subscript"/>
        </w:rPr>
        <w:t>3</w:t>
      </w:r>
      <w:r>
        <w:rPr>
          <w:i/>
        </w:rPr>
        <w:t>,</w:t>
      </w:r>
      <w:r w:rsidR="001F00F7">
        <w:rPr>
          <w:i/>
        </w:rPr>
        <w:t xml:space="preserve"> </w:t>
      </w:r>
      <w:r>
        <w:rPr>
          <w:i/>
        </w:rPr>
        <w:t>k</w:t>
      </w:r>
      <w:r>
        <w:rPr>
          <w:vertAlign w:val="subscript"/>
        </w:rPr>
        <w:t>4</w:t>
      </w:r>
      <w:r>
        <w:rPr>
          <w:i/>
        </w:rPr>
        <w:t>,</w:t>
      </w:r>
      <w:r w:rsidR="001F00F7">
        <w:rPr>
          <w:i/>
        </w:rPr>
        <w:t xml:space="preserve"> </w:t>
      </w:r>
      <w:r>
        <w:rPr>
          <w:i/>
        </w:rPr>
        <w:t>k</w:t>
      </w:r>
      <w:r>
        <w:rPr>
          <w:vertAlign w:val="subscript"/>
        </w:rPr>
        <w:t>5</w:t>
      </w:r>
      <w:r>
        <w:rPr>
          <w:i/>
        </w:rPr>
        <w:t>,</w:t>
      </w:r>
      <w:r w:rsidR="001F00F7">
        <w:rPr>
          <w:i/>
        </w:rPr>
        <w:t xml:space="preserve"> </w:t>
      </w:r>
      <w:r>
        <w:rPr>
          <w:i/>
        </w:rPr>
        <w:t>w</w:t>
      </w:r>
      <w:r>
        <w:rPr>
          <w:vertAlign w:val="subscript"/>
        </w:rPr>
        <w:t xml:space="preserve">1 </w:t>
      </w:r>
      <w:r>
        <w:t xml:space="preserve">and </w:t>
      </w:r>
      <w:r>
        <w:rPr>
          <w:i/>
        </w:rPr>
        <w:t>w</w:t>
      </w:r>
      <w:r>
        <w:rPr>
          <w:vertAlign w:val="subscript"/>
        </w:rPr>
        <w:t xml:space="preserve">2 </w:t>
      </w:r>
      <w:r w:rsidR="007B4F54">
        <w:rPr>
          <w:vertAlign w:val="subscript"/>
        </w:rPr>
        <w:t xml:space="preserve"> </w:t>
      </w:r>
      <w:r w:rsidR="005B3F21">
        <w:rPr>
          <w:vertAlign w:val="subscript"/>
        </w:rPr>
        <w:t xml:space="preserve"> </w:t>
      </w:r>
      <w:r>
        <w:t>are positive balancing coefficients (weights)which regularize the optimal control. [6] obtained the optimal controls (</w:t>
      </w:r>
      <w:r>
        <w:rPr>
          <w:noProof/>
        </w:rPr>
        <w:drawing>
          <wp:inline distT="0" distB="0" distL="0" distR="0" wp14:anchorId="4ADB4563" wp14:editId="5901D436">
            <wp:extent cx="466344" cy="134112"/>
            <wp:effectExtent l="0" t="0" r="0" b="0"/>
            <wp:docPr id="20473" name="Picture 20473"/>
            <wp:cNvGraphicFramePr/>
            <a:graphic xmlns:a="http://schemas.openxmlformats.org/drawingml/2006/main">
              <a:graphicData uri="http://schemas.openxmlformats.org/drawingml/2006/picture">
                <pic:pic xmlns:pic="http://schemas.openxmlformats.org/drawingml/2006/picture">
                  <pic:nvPicPr>
                    <pic:cNvPr id="20473" name="Picture 20473"/>
                    <pic:cNvPicPr/>
                  </pic:nvPicPr>
                  <pic:blipFill>
                    <a:blip r:embed="rId11"/>
                    <a:stretch>
                      <a:fillRect/>
                    </a:stretch>
                  </pic:blipFill>
                  <pic:spPr>
                    <a:xfrm>
                      <a:off x="0" y="0"/>
                      <a:ext cx="466344" cy="134112"/>
                    </a:xfrm>
                    <a:prstGeom prst="rect">
                      <a:avLst/>
                    </a:prstGeom>
                  </pic:spPr>
                </pic:pic>
              </a:graphicData>
            </a:graphic>
          </wp:inline>
        </w:drawing>
      </w:r>
      <w:r>
        <w:t>) such that:</w:t>
      </w:r>
    </w:p>
    <w:p w14:paraId="6D529D5A" w14:textId="77777777" w:rsidR="005D7683" w:rsidRDefault="00B049BF">
      <w:pPr>
        <w:tabs>
          <w:tab w:val="center" w:pos="4517"/>
          <w:tab w:val="right" w:pos="9354"/>
        </w:tabs>
        <w:spacing w:after="259" w:line="265" w:lineRule="auto"/>
        <w:ind w:left="0" w:right="-15" w:firstLine="0"/>
        <w:jc w:val="left"/>
      </w:pPr>
      <w:r>
        <w:rPr>
          <w:rFonts w:ascii="Calibri" w:eastAsia="Calibri" w:hAnsi="Calibri" w:cs="Calibri"/>
          <w:sz w:val="22"/>
        </w:rPr>
        <w:tab/>
      </w:r>
      <w:r>
        <w:rPr>
          <w:noProof/>
        </w:rPr>
        <w:drawing>
          <wp:inline distT="0" distB="0" distL="0" distR="0" wp14:anchorId="3636EF03" wp14:editId="747C264B">
            <wp:extent cx="2980944" cy="158496"/>
            <wp:effectExtent l="0" t="0" r="0" b="0"/>
            <wp:docPr id="20474" name="Picture 20474"/>
            <wp:cNvGraphicFramePr/>
            <a:graphic xmlns:a="http://schemas.openxmlformats.org/drawingml/2006/main">
              <a:graphicData uri="http://schemas.openxmlformats.org/drawingml/2006/picture">
                <pic:pic xmlns:pic="http://schemas.openxmlformats.org/drawingml/2006/picture">
                  <pic:nvPicPr>
                    <pic:cNvPr id="20474" name="Picture 20474"/>
                    <pic:cNvPicPr/>
                  </pic:nvPicPr>
                  <pic:blipFill>
                    <a:blip r:embed="rId12"/>
                    <a:stretch>
                      <a:fillRect/>
                    </a:stretch>
                  </pic:blipFill>
                  <pic:spPr>
                    <a:xfrm>
                      <a:off x="0" y="0"/>
                      <a:ext cx="2980944" cy="158496"/>
                    </a:xfrm>
                    <a:prstGeom prst="rect">
                      <a:avLst/>
                    </a:prstGeom>
                  </pic:spPr>
                </pic:pic>
              </a:graphicData>
            </a:graphic>
          </wp:inline>
        </w:drawing>
      </w:r>
      <w:r>
        <w:tab/>
        <w:t>(3)</w:t>
      </w:r>
    </w:p>
    <w:p w14:paraId="156B68FA" w14:textId="77777777" w:rsidR="005D7683" w:rsidRDefault="00B049BF">
      <w:pPr>
        <w:ind w:left="-5"/>
      </w:pPr>
      <w:r>
        <w:t xml:space="preserve">subject to the optimal control problem (4) and the control set </w:t>
      </w:r>
      <w:r>
        <w:rPr>
          <w:i/>
        </w:rPr>
        <w:t xml:space="preserve">U </w:t>
      </w:r>
      <w:r>
        <w:t>= {(</w:t>
      </w:r>
      <w:r>
        <w:rPr>
          <w:i/>
        </w:rPr>
        <w:t>u</w:t>
      </w:r>
      <w:r>
        <w:rPr>
          <w:vertAlign w:val="subscript"/>
        </w:rPr>
        <w:t>1</w:t>
      </w:r>
      <w:r>
        <w:t>(</w:t>
      </w:r>
      <w:r>
        <w:rPr>
          <w:i/>
        </w:rPr>
        <w:t>t</w:t>
      </w:r>
      <w:r>
        <w:t>)</w:t>
      </w:r>
      <w:r>
        <w:rPr>
          <w:i/>
        </w:rPr>
        <w:t>,</w:t>
      </w:r>
      <w:r w:rsidR="00CD70ED">
        <w:rPr>
          <w:i/>
        </w:rPr>
        <w:t xml:space="preserve"> </w:t>
      </w:r>
      <w:r>
        <w:rPr>
          <w:i/>
        </w:rPr>
        <w:t>u</w:t>
      </w:r>
      <w:r>
        <w:rPr>
          <w:vertAlign w:val="subscript"/>
        </w:rPr>
        <w:t>2</w:t>
      </w:r>
      <w:r>
        <w:t>(</w:t>
      </w:r>
      <w:r>
        <w:rPr>
          <w:i/>
        </w:rPr>
        <w:t>t</w:t>
      </w:r>
      <w:r>
        <w:t>)</w:t>
      </w:r>
      <w:proofErr w:type="gramStart"/>
      <w:r>
        <w:t>) :</w:t>
      </w:r>
      <w:proofErr w:type="gramEnd"/>
      <w:r>
        <w:t xml:space="preserve"> 0 ≤ </w:t>
      </w:r>
      <w:r>
        <w:rPr>
          <w:i/>
        </w:rPr>
        <w:t>u</w:t>
      </w:r>
      <w:r>
        <w:rPr>
          <w:vertAlign w:val="subscript"/>
        </w:rPr>
        <w:t xml:space="preserve">1 </w:t>
      </w:r>
      <w:r>
        <w:rPr>
          <w:i/>
        </w:rPr>
        <w:t xml:space="preserve">&lt; </w:t>
      </w:r>
      <w:r>
        <w:t>1</w:t>
      </w:r>
      <w:r>
        <w:rPr>
          <w:i/>
        </w:rPr>
        <w:t>,</w:t>
      </w:r>
      <w:r>
        <w:t xml:space="preserve">0 ≤ </w:t>
      </w:r>
      <w:r>
        <w:rPr>
          <w:i/>
        </w:rPr>
        <w:t>u</w:t>
      </w:r>
      <w:r>
        <w:rPr>
          <w:vertAlign w:val="subscript"/>
        </w:rPr>
        <w:t xml:space="preserve">2 </w:t>
      </w:r>
      <w:r>
        <w:rPr>
          <w:i/>
        </w:rPr>
        <w:t xml:space="preserve">&lt; </w:t>
      </w:r>
      <w:r>
        <w:t>1</w:t>
      </w:r>
      <w:r>
        <w:rPr>
          <w:i/>
        </w:rPr>
        <w:t>,</w:t>
      </w:r>
      <w:r>
        <w:t xml:space="preserve">0 ≤ </w:t>
      </w:r>
      <w:r>
        <w:rPr>
          <w:i/>
        </w:rPr>
        <w:t xml:space="preserve">t </w:t>
      </w:r>
      <w:r>
        <w:t xml:space="preserve">≤ </w:t>
      </w:r>
      <w:r>
        <w:rPr>
          <w:i/>
        </w:rPr>
        <w:t>T</w:t>
      </w:r>
      <w:r>
        <w:t>}.</w:t>
      </w:r>
    </w:p>
    <w:p w14:paraId="54A70C38" w14:textId="77777777" w:rsidR="005D7683" w:rsidRDefault="00B049BF">
      <w:pPr>
        <w:tabs>
          <w:tab w:val="center" w:pos="4716"/>
          <w:tab w:val="right" w:pos="9354"/>
        </w:tabs>
        <w:spacing w:after="99" w:line="265" w:lineRule="auto"/>
        <w:ind w:left="0" w:right="-15" w:firstLine="0"/>
        <w:jc w:val="left"/>
      </w:pPr>
      <w:r>
        <w:rPr>
          <w:rFonts w:ascii="Calibri" w:eastAsia="Calibri" w:hAnsi="Calibri" w:cs="Calibri"/>
          <w:sz w:val="22"/>
        </w:rPr>
        <w:lastRenderedPageBreak/>
        <w:tab/>
      </w:r>
      <w:r>
        <w:rPr>
          <w:noProof/>
        </w:rPr>
        <w:drawing>
          <wp:inline distT="0" distB="0" distL="0" distR="0" wp14:anchorId="59D61424" wp14:editId="04CF7D87">
            <wp:extent cx="4245864" cy="1639824"/>
            <wp:effectExtent l="0" t="0" r="0" b="0"/>
            <wp:docPr id="20475" name="Picture 20475"/>
            <wp:cNvGraphicFramePr/>
            <a:graphic xmlns:a="http://schemas.openxmlformats.org/drawingml/2006/main">
              <a:graphicData uri="http://schemas.openxmlformats.org/drawingml/2006/picture">
                <pic:pic xmlns:pic="http://schemas.openxmlformats.org/drawingml/2006/picture">
                  <pic:nvPicPr>
                    <pic:cNvPr id="20475" name="Picture 20475"/>
                    <pic:cNvPicPr/>
                  </pic:nvPicPr>
                  <pic:blipFill>
                    <a:blip r:embed="rId13"/>
                    <a:stretch>
                      <a:fillRect/>
                    </a:stretch>
                  </pic:blipFill>
                  <pic:spPr>
                    <a:xfrm>
                      <a:off x="0" y="0"/>
                      <a:ext cx="4245864" cy="1639824"/>
                    </a:xfrm>
                    <a:prstGeom prst="rect">
                      <a:avLst/>
                    </a:prstGeom>
                  </pic:spPr>
                </pic:pic>
              </a:graphicData>
            </a:graphic>
          </wp:inline>
        </w:drawing>
      </w:r>
      <w:r>
        <w:tab/>
        <w:t>(4)</w:t>
      </w:r>
    </w:p>
    <w:p w14:paraId="278CB289" w14:textId="77777777" w:rsidR="005D7683" w:rsidRDefault="00B049BF">
      <w:pPr>
        <w:spacing w:after="102"/>
        <w:ind w:left="-5"/>
      </w:pPr>
      <w:r>
        <w:t xml:space="preserve">The necessary conditions for optimality were established using </w:t>
      </w:r>
      <w:proofErr w:type="spellStart"/>
      <w:r>
        <w:t>Pontryagin’s</w:t>
      </w:r>
      <w:proofErr w:type="spellEnd"/>
      <w:r>
        <w:t xml:space="preserve"> Maximum Principle in [</w:t>
      </w:r>
      <w:r w:rsidR="007E25B1">
        <w:t xml:space="preserve">8, </w:t>
      </w:r>
      <w:r w:rsidR="00375838">
        <w:t>14</w:t>
      </w:r>
      <w:r>
        <w:t xml:space="preserve">], through characterization of the optimal controls using the Hamiltonian function </w:t>
      </w:r>
      <w:r>
        <w:rPr>
          <w:i/>
        </w:rPr>
        <w:t xml:space="preserve">H </w:t>
      </w:r>
      <w:r w:rsidRPr="00F93C5C">
        <w:rPr>
          <w:highlight w:val="yellow"/>
        </w:rPr>
        <w:t>(which is the total energy)</w:t>
      </w:r>
      <w:r>
        <w:t xml:space="preserve"> given as:</w:t>
      </w:r>
    </w:p>
    <w:p w14:paraId="5BAA04B7" w14:textId="77777777" w:rsidR="005D7683" w:rsidRDefault="00B049BF">
      <w:pPr>
        <w:tabs>
          <w:tab w:val="center" w:pos="4516"/>
          <w:tab w:val="right" w:pos="9354"/>
        </w:tabs>
        <w:spacing w:after="99" w:line="265" w:lineRule="auto"/>
        <w:ind w:left="0" w:right="-15" w:firstLine="0"/>
        <w:jc w:val="left"/>
      </w:pPr>
      <w:r>
        <w:rPr>
          <w:rFonts w:ascii="Calibri" w:eastAsia="Calibri" w:hAnsi="Calibri" w:cs="Calibri"/>
          <w:sz w:val="22"/>
        </w:rPr>
        <w:tab/>
      </w:r>
      <w:r>
        <w:rPr>
          <w:noProof/>
        </w:rPr>
        <w:drawing>
          <wp:inline distT="0" distB="0" distL="0" distR="0" wp14:anchorId="270F4C5B" wp14:editId="10F10E43">
            <wp:extent cx="4450081" cy="661416"/>
            <wp:effectExtent l="0" t="0" r="0" b="0"/>
            <wp:docPr id="20476" name="Picture 20476"/>
            <wp:cNvGraphicFramePr/>
            <a:graphic xmlns:a="http://schemas.openxmlformats.org/drawingml/2006/main">
              <a:graphicData uri="http://schemas.openxmlformats.org/drawingml/2006/picture">
                <pic:pic xmlns:pic="http://schemas.openxmlformats.org/drawingml/2006/picture">
                  <pic:nvPicPr>
                    <pic:cNvPr id="20476" name="Picture 20476"/>
                    <pic:cNvPicPr/>
                  </pic:nvPicPr>
                  <pic:blipFill>
                    <a:blip r:embed="rId14"/>
                    <a:stretch>
                      <a:fillRect/>
                    </a:stretch>
                  </pic:blipFill>
                  <pic:spPr>
                    <a:xfrm>
                      <a:off x="0" y="0"/>
                      <a:ext cx="4450081" cy="661416"/>
                    </a:xfrm>
                    <a:prstGeom prst="rect">
                      <a:avLst/>
                    </a:prstGeom>
                  </pic:spPr>
                </pic:pic>
              </a:graphicData>
            </a:graphic>
          </wp:inline>
        </w:drawing>
      </w:r>
      <w:r>
        <w:tab/>
        <w:t>(5)</w:t>
      </w:r>
    </w:p>
    <w:p w14:paraId="2483BD3E" w14:textId="77777777" w:rsidR="005D7683" w:rsidRDefault="00B049BF">
      <w:pPr>
        <w:spacing w:after="37"/>
        <w:ind w:left="-5"/>
      </w:pPr>
      <w:r>
        <w:t xml:space="preserve">where </w:t>
      </w:r>
      <w:r>
        <w:rPr>
          <w:i/>
        </w:rPr>
        <w:t>l</w:t>
      </w:r>
      <w:r>
        <w:rPr>
          <w:i/>
          <w:vertAlign w:val="subscript"/>
        </w:rPr>
        <w:t xml:space="preserve">i </w:t>
      </w:r>
      <w:r>
        <w:t xml:space="preserve">are the </w:t>
      </w:r>
      <w:proofErr w:type="spellStart"/>
      <w:r>
        <w:rPr>
          <w:i/>
        </w:rPr>
        <w:t>i</w:t>
      </w:r>
      <w:r w:rsidR="007B4F54">
        <w:rPr>
          <w:i/>
        </w:rPr>
        <w:t>th</w:t>
      </w:r>
      <w:proofErr w:type="spellEnd"/>
      <w:r>
        <w:rPr>
          <w:i/>
        </w:rPr>
        <w:t xml:space="preserve"> </w:t>
      </w:r>
      <w:r>
        <w:t xml:space="preserve">state variable equations on the right hand side of equation (1) and </w:t>
      </w:r>
      <w:r>
        <w:rPr>
          <w:i/>
        </w:rPr>
        <w:t>ζ</w:t>
      </w:r>
      <w:proofErr w:type="gramStart"/>
      <w:r>
        <w:rPr>
          <w:vertAlign w:val="subscript"/>
        </w:rPr>
        <w:t>1</w:t>
      </w:r>
      <w:r>
        <w:rPr>
          <w:i/>
        </w:rPr>
        <w:t>,...</w:t>
      </w:r>
      <w:proofErr w:type="gramEnd"/>
      <w:r>
        <w:rPr>
          <w:i/>
        </w:rPr>
        <w:t>,ζ</w:t>
      </w:r>
      <w:r>
        <w:rPr>
          <w:vertAlign w:val="subscript"/>
        </w:rPr>
        <w:t xml:space="preserve">7 </w:t>
      </w:r>
      <w:r>
        <w:t>are the adjoint variables satisfying:</w:t>
      </w:r>
    </w:p>
    <w:p w14:paraId="6CFFC86A" w14:textId="77777777" w:rsidR="005D7683" w:rsidRDefault="00B049BF">
      <w:pPr>
        <w:tabs>
          <w:tab w:val="center" w:pos="4520"/>
          <w:tab w:val="right" w:pos="9354"/>
        </w:tabs>
        <w:spacing w:after="99" w:line="265" w:lineRule="auto"/>
        <w:ind w:left="0" w:right="-15" w:firstLine="0"/>
        <w:jc w:val="left"/>
      </w:pPr>
      <w:r>
        <w:rPr>
          <w:rFonts w:ascii="Calibri" w:eastAsia="Calibri" w:hAnsi="Calibri" w:cs="Calibri"/>
          <w:sz w:val="22"/>
        </w:rPr>
        <w:tab/>
      </w:r>
      <w:r>
        <w:rPr>
          <w:noProof/>
        </w:rPr>
        <w:drawing>
          <wp:inline distT="0" distB="0" distL="0" distR="0" wp14:anchorId="0ABCD398" wp14:editId="090E2AFD">
            <wp:extent cx="4895088" cy="3438144"/>
            <wp:effectExtent l="0" t="0" r="0" b="0"/>
            <wp:docPr id="20477" name="Picture 20477"/>
            <wp:cNvGraphicFramePr/>
            <a:graphic xmlns:a="http://schemas.openxmlformats.org/drawingml/2006/main">
              <a:graphicData uri="http://schemas.openxmlformats.org/drawingml/2006/picture">
                <pic:pic xmlns:pic="http://schemas.openxmlformats.org/drawingml/2006/picture">
                  <pic:nvPicPr>
                    <pic:cNvPr id="20477" name="Picture 20477"/>
                    <pic:cNvPicPr/>
                  </pic:nvPicPr>
                  <pic:blipFill>
                    <a:blip r:embed="rId15"/>
                    <a:stretch>
                      <a:fillRect/>
                    </a:stretch>
                  </pic:blipFill>
                  <pic:spPr>
                    <a:xfrm>
                      <a:off x="0" y="0"/>
                      <a:ext cx="4895088" cy="3438144"/>
                    </a:xfrm>
                    <a:prstGeom prst="rect">
                      <a:avLst/>
                    </a:prstGeom>
                  </pic:spPr>
                </pic:pic>
              </a:graphicData>
            </a:graphic>
          </wp:inline>
        </w:drawing>
      </w:r>
      <w:r>
        <w:tab/>
        <w:t>(6)</w:t>
      </w:r>
    </w:p>
    <w:p w14:paraId="2BB882FE" w14:textId="77777777" w:rsidR="005D7683" w:rsidRDefault="00B049BF">
      <w:pPr>
        <w:spacing w:after="0" w:line="322" w:lineRule="auto"/>
        <w:ind w:left="-5"/>
      </w:pPr>
      <w:r>
        <w:t xml:space="preserve">with transversality conditions; </w:t>
      </w:r>
      <w:r>
        <w:rPr>
          <w:i/>
        </w:rPr>
        <w:t>ζ</w:t>
      </w:r>
      <w:r>
        <w:rPr>
          <w:vertAlign w:val="subscript"/>
        </w:rPr>
        <w:t>1</w:t>
      </w:r>
      <w:r>
        <w:t>(</w:t>
      </w:r>
      <w:r>
        <w:rPr>
          <w:i/>
        </w:rPr>
        <w:t>T</w:t>
      </w:r>
      <w:r>
        <w:t xml:space="preserve">) = </w:t>
      </w:r>
      <w:r>
        <w:rPr>
          <w:i/>
        </w:rPr>
        <w:t>ζ</w:t>
      </w:r>
      <w:r>
        <w:rPr>
          <w:vertAlign w:val="subscript"/>
        </w:rPr>
        <w:t>2</w:t>
      </w:r>
      <w:r>
        <w:t>(</w:t>
      </w:r>
      <w:r>
        <w:rPr>
          <w:i/>
        </w:rPr>
        <w:t>T</w:t>
      </w:r>
      <w:r>
        <w:t xml:space="preserve">) = </w:t>
      </w:r>
      <w:r>
        <w:rPr>
          <w:i/>
        </w:rPr>
        <w:t>ζ</w:t>
      </w:r>
      <w:r>
        <w:rPr>
          <w:vertAlign w:val="subscript"/>
        </w:rPr>
        <w:t>3</w:t>
      </w:r>
      <w:r>
        <w:t>(</w:t>
      </w:r>
      <w:r>
        <w:rPr>
          <w:i/>
        </w:rPr>
        <w:t>T</w:t>
      </w:r>
      <w:r>
        <w:t xml:space="preserve">) = </w:t>
      </w:r>
      <w:r>
        <w:rPr>
          <w:i/>
        </w:rPr>
        <w:t>ζ</w:t>
      </w:r>
      <w:r>
        <w:rPr>
          <w:vertAlign w:val="subscript"/>
        </w:rPr>
        <w:t>4</w:t>
      </w:r>
      <w:r>
        <w:t>(</w:t>
      </w:r>
      <w:r>
        <w:rPr>
          <w:i/>
        </w:rPr>
        <w:t>T</w:t>
      </w:r>
      <w:r>
        <w:t xml:space="preserve">) = </w:t>
      </w:r>
      <w:r>
        <w:rPr>
          <w:i/>
        </w:rPr>
        <w:t>ζ</w:t>
      </w:r>
      <w:r>
        <w:rPr>
          <w:vertAlign w:val="subscript"/>
        </w:rPr>
        <w:t>5</w:t>
      </w:r>
      <w:r>
        <w:t>(</w:t>
      </w:r>
      <w:r>
        <w:rPr>
          <w:i/>
        </w:rPr>
        <w:t>T</w:t>
      </w:r>
      <w:r>
        <w:t xml:space="preserve">) = </w:t>
      </w:r>
      <w:r>
        <w:rPr>
          <w:i/>
        </w:rPr>
        <w:t>ζ</w:t>
      </w:r>
      <w:r>
        <w:rPr>
          <w:vertAlign w:val="subscript"/>
        </w:rPr>
        <w:t>6</w:t>
      </w:r>
      <w:r>
        <w:t>(</w:t>
      </w:r>
      <w:r>
        <w:rPr>
          <w:i/>
        </w:rPr>
        <w:t>T</w:t>
      </w:r>
      <w:r>
        <w:t xml:space="preserve">) = </w:t>
      </w:r>
      <w:r>
        <w:rPr>
          <w:i/>
        </w:rPr>
        <w:t>ζ</w:t>
      </w:r>
      <w:r>
        <w:rPr>
          <w:vertAlign w:val="subscript"/>
        </w:rPr>
        <w:t>7</w:t>
      </w:r>
      <w:r>
        <w:t>(</w:t>
      </w:r>
      <w:r>
        <w:rPr>
          <w:i/>
        </w:rPr>
        <w:t>T</w:t>
      </w:r>
      <w:r>
        <w:t xml:space="preserve">) = 0 in which </w:t>
      </w:r>
      <w:r>
        <w:rPr>
          <w:i/>
        </w:rPr>
        <w:t>ζ</w:t>
      </w:r>
      <w:proofErr w:type="gramStart"/>
      <w:r>
        <w:rPr>
          <w:vertAlign w:val="subscript"/>
        </w:rPr>
        <w:t>1</w:t>
      </w:r>
      <w:r>
        <w:rPr>
          <w:i/>
        </w:rPr>
        <w:t>,...</w:t>
      </w:r>
      <w:proofErr w:type="gramEnd"/>
      <w:r>
        <w:rPr>
          <w:i/>
        </w:rPr>
        <w:t>,ζ</w:t>
      </w:r>
      <w:r>
        <w:rPr>
          <w:vertAlign w:val="subscript"/>
        </w:rPr>
        <w:t xml:space="preserve">7 </w:t>
      </w:r>
      <w:r>
        <w:t>are adjoint variables.</w:t>
      </w:r>
    </w:p>
    <w:p w14:paraId="6086271C" w14:textId="77777777" w:rsidR="005D7683" w:rsidRDefault="00B049BF">
      <w:pPr>
        <w:spacing w:after="9"/>
        <w:ind w:left="-5"/>
      </w:pPr>
      <w:r>
        <w:t>The optimal controls that were determined and were given as:</w:t>
      </w:r>
    </w:p>
    <w:p w14:paraId="15973909" w14:textId="77777777" w:rsidR="005D7683" w:rsidRDefault="00B049BF">
      <w:pPr>
        <w:tabs>
          <w:tab w:val="center" w:pos="4516"/>
          <w:tab w:val="right" w:pos="9354"/>
        </w:tabs>
        <w:spacing w:after="99" w:line="265" w:lineRule="auto"/>
        <w:ind w:left="0" w:right="-15" w:firstLine="0"/>
        <w:jc w:val="left"/>
      </w:pPr>
      <w:r>
        <w:rPr>
          <w:rFonts w:ascii="Calibri" w:eastAsia="Calibri" w:hAnsi="Calibri" w:cs="Calibri"/>
          <w:sz w:val="22"/>
        </w:rPr>
        <w:tab/>
      </w:r>
      <w:r>
        <w:rPr>
          <w:noProof/>
        </w:rPr>
        <w:drawing>
          <wp:inline distT="0" distB="0" distL="0" distR="0" wp14:anchorId="7F93EB4C" wp14:editId="68B6B612">
            <wp:extent cx="4105656" cy="743712"/>
            <wp:effectExtent l="0" t="0" r="0" b="0"/>
            <wp:docPr id="20478" name="Picture 20478"/>
            <wp:cNvGraphicFramePr/>
            <a:graphic xmlns:a="http://schemas.openxmlformats.org/drawingml/2006/main">
              <a:graphicData uri="http://schemas.openxmlformats.org/drawingml/2006/picture">
                <pic:pic xmlns:pic="http://schemas.openxmlformats.org/drawingml/2006/picture">
                  <pic:nvPicPr>
                    <pic:cNvPr id="20478" name="Picture 20478"/>
                    <pic:cNvPicPr/>
                  </pic:nvPicPr>
                  <pic:blipFill>
                    <a:blip r:embed="rId16"/>
                    <a:stretch>
                      <a:fillRect/>
                    </a:stretch>
                  </pic:blipFill>
                  <pic:spPr>
                    <a:xfrm>
                      <a:off x="0" y="0"/>
                      <a:ext cx="4105656" cy="743712"/>
                    </a:xfrm>
                    <a:prstGeom prst="rect">
                      <a:avLst/>
                    </a:prstGeom>
                  </pic:spPr>
                </pic:pic>
              </a:graphicData>
            </a:graphic>
          </wp:inline>
        </w:drawing>
      </w:r>
      <w:r>
        <w:tab/>
        <w:t>(7)</w:t>
      </w:r>
    </w:p>
    <w:p w14:paraId="6573DC45" w14:textId="77777777" w:rsidR="005D7683" w:rsidRDefault="00B049BF">
      <w:pPr>
        <w:spacing w:after="377"/>
        <w:ind w:left="-5"/>
      </w:pPr>
      <w:r>
        <w:lastRenderedPageBreak/>
        <w:t>This resulted into a complex optimality system of differential equations of the form:</w:t>
      </w:r>
    </w:p>
    <w:p w14:paraId="28D62047" w14:textId="77777777" w:rsidR="005D7683" w:rsidRDefault="00B049BF">
      <w:pPr>
        <w:tabs>
          <w:tab w:val="center" w:pos="4736"/>
          <w:tab w:val="right" w:pos="9354"/>
        </w:tabs>
        <w:spacing w:after="167" w:line="265" w:lineRule="auto"/>
        <w:ind w:left="0" w:right="-15" w:firstLine="0"/>
        <w:jc w:val="left"/>
      </w:pPr>
      <w:r>
        <w:rPr>
          <w:rFonts w:ascii="Calibri" w:eastAsia="Calibri" w:hAnsi="Calibri" w:cs="Calibri"/>
          <w:sz w:val="22"/>
        </w:rPr>
        <w:tab/>
      </w:r>
      <w:r>
        <w:rPr>
          <w:noProof/>
        </w:rPr>
        <w:drawing>
          <wp:inline distT="0" distB="0" distL="0" distR="0" wp14:anchorId="4473CD4B" wp14:editId="2997A0A5">
            <wp:extent cx="4608576" cy="2499360"/>
            <wp:effectExtent l="0" t="0" r="0" b="0"/>
            <wp:docPr id="20479" name="Picture 20479"/>
            <wp:cNvGraphicFramePr/>
            <a:graphic xmlns:a="http://schemas.openxmlformats.org/drawingml/2006/main">
              <a:graphicData uri="http://schemas.openxmlformats.org/drawingml/2006/picture">
                <pic:pic xmlns:pic="http://schemas.openxmlformats.org/drawingml/2006/picture">
                  <pic:nvPicPr>
                    <pic:cNvPr id="20479" name="Picture 20479"/>
                    <pic:cNvPicPr/>
                  </pic:nvPicPr>
                  <pic:blipFill>
                    <a:blip r:embed="rId17"/>
                    <a:stretch>
                      <a:fillRect/>
                    </a:stretch>
                  </pic:blipFill>
                  <pic:spPr>
                    <a:xfrm>
                      <a:off x="0" y="0"/>
                      <a:ext cx="4608576" cy="2499360"/>
                    </a:xfrm>
                    <a:prstGeom prst="rect">
                      <a:avLst/>
                    </a:prstGeom>
                  </pic:spPr>
                </pic:pic>
              </a:graphicData>
            </a:graphic>
          </wp:inline>
        </w:drawing>
      </w:r>
      <w:r>
        <w:tab/>
        <w:t>(8)</w:t>
      </w:r>
    </w:p>
    <w:p w14:paraId="39A11C22" w14:textId="77777777" w:rsidR="005D7683" w:rsidRDefault="00B049BF">
      <w:pPr>
        <w:spacing w:after="59"/>
        <w:ind w:left="-5"/>
      </w:pPr>
      <w:r>
        <w:t>and</w:t>
      </w:r>
    </w:p>
    <w:p w14:paraId="74C1241B" w14:textId="77777777" w:rsidR="005D7683" w:rsidRDefault="00B049BF">
      <w:pPr>
        <w:tabs>
          <w:tab w:val="center" w:pos="4520"/>
          <w:tab w:val="right" w:pos="9354"/>
        </w:tabs>
        <w:spacing w:after="223" w:line="265" w:lineRule="auto"/>
        <w:ind w:left="0" w:right="-15" w:firstLine="0"/>
        <w:jc w:val="left"/>
      </w:pPr>
      <w:r>
        <w:rPr>
          <w:rFonts w:ascii="Calibri" w:eastAsia="Calibri" w:hAnsi="Calibri" w:cs="Calibri"/>
          <w:sz w:val="22"/>
        </w:rPr>
        <w:tab/>
      </w:r>
      <w:r>
        <w:rPr>
          <w:noProof/>
        </w:rPr>
        <w:drawing>
          <wp:inline distT="0" distB="0" distL="0" distR="0" wp14:anchorId="38FAB115" wp14:editId="046855FD">
            <wp:extent cx="4895088" cy="3438145"/>
            <wp:effectExtent l="0" t="0" r="0" b="0"/>
            <wp:docPr id="20480" name="Picture 20480"/>
            <wp:cNvGraphicFramePr/>
            <a:graphic xmlns:a="http://schemas.openxmlformats.org/drawingml/2006/main">
              <a:graphicData uri="http://schemas.openxmlformats.org/drawingml/2006/picture">
                <pic:pic xmlns:pic="http://schemas.openxmlformats.org/drawingml/2006/picture">
                  <pic:nvPicPr>
                    <pic:cNvPr id="20480" name="Picture 20480"/>
                    <pic:cNvPicPr/>
                  </pic:nvPicPr>
                  <pic:blipFill>
                    <a:blip r:embed="rId18"/>
                    <a:stretch>
                      <a:fillRect/>
                    </a:stretch>
                  </pic:blipFill>
                  <pic:spPr>
                    <a:xfrm>
                      <a:off x="0" y="0"/>
                      <a:ext cx="4895088" cy="3438145"/>
                    </a:xfrm>
                    <a:prstGeom prst="rect">
                      <a:avLst/>
                    </a:prstGeom>
                  </pic:spPr>
                </pic:pic>
              </a:graphicData>
            </a:graphic>
          </wp:inline>
        </w:drawing>
      </w:r>
      <w:r>
        <w:tab/>
        <w:t>(9)</w:t>
      </w:r>
    </w:p>
    <w:p w14:paraId="30932542" w14:textId="77777777" w:rsidR="005D7683" w:rsidRDefault="00B049BF">
      <w:pPr>
        <w:spacing w:after="273" w:line="322" w:lineRule="auto"/>
        <w:ind w:left="-5"/>
      </w:pPr>
      <w:r>
        <w:t xml:space="preserve">with transversality conditions; </w:t>
      </w:r>
      <w:r>
        <w:rPr>
          <w:i/>
        </w:rPr>
        <w:t>ζ</w:t>
      </w:r>
      <w:r>
        <w:rPr>
          <w:vertAlign w:val="subscript"/>
        </w:rPr>
        <w:t>1</w:t>
      </w:r>
      <w:r>
        <w:t>(</w:t>
      </w:r>
      <w:r>
        <w:rPr>
          <w:i/>
        </w:rPr>
        <w:t>T</w:t>
      </w:r>
      <w:r w:rsidR="007376EC">
        <w:t>)</w:t>
      </w:r>
      <w:r>
        <w:t xml:space="preserve"> = </w:t>
      </w:r>
      <w:r>
        <w:rPr>
          <w:i/>
        </w:rPr>
        <w:t>ζ</w:t>
      </w:r>
      <w:r>
        <w:rPr>
          <w:vertAlign w:val="subscript"/>
        </w:rPr>
        <w:t>2</w:t>
      </w:r>
      <w:r>
        <w:t>(</w:t>
      </w:r>
      <w:r>
        <w:rPr>
          <w:i/>
        </w:rPr>
        <w:t>T</w:t>
      </w:r>
      <w:r>
        <w:t xml:space="preserve">) = </w:t>
      </w:r>
      <w:r>
        <w:rPr>
          <w:i/>
        </w:rPr>
        <w:t>ζ</w:t>
      </w:r>
      <w:r>
        <w:rPr>
          <w:vertAlign w:val="subscript"/>
        </w:rPr>
        <w:t>3</w:t>
      </w:r>
      <w:r>
        <w:t>(</w:t>
      </w:r>
      <w:r>
        <w:rPr>
          <w:i/>
        </w:rPr>
        <w:t>T</w:t>
      </w:r>
      <w:r>
        <w:t xml:space="preserve">) = </w:t>
      </w:r>
      <w:r>
        <w:rPr>
          <w:i/>
        </w:rPr>
        <w:t>ζ</w:t>
      </w:r>
      <w:r>
        <w:rPr>
          <w:vertAlign w:val="subscript"/>
        </w:rPr>
        <w:t>4</w:t>
      </w:r>
      <w:r>
        <w:t>(</w:t>
      </w:r>
      <w:r>
        <w:rPr>
          <w:i/>
        </w:rPr>
        <w:t>T</w:t>
      </w:r>
      <w:r>
        <w:t xml:space="preserve">) = </w:t>
      </w:r>
      <w:r>
        <w:rPr>
          <w:i/>
        </w:rPr>
        <w:t>ζ</w:t>
      </w:r>
      <w:r>
        <w:rPr>
          <w:vertAlign w:val="subscript"/>
        </w:rPr>
        <w:t>5</w:t>
      </w:r>
      <w:r>
        <w:t>(</w:t>
      </w:r>
      <w:r>
        <w:rPr>
          <w:i/>
        </w:rPr>
        <w:t>T</w:t>
      </w:r>
      <w:r>
        <w:t xml:space="preserve">) = </w:t>
      </w:r>
      <w:r>
        <w:rPr>
          <w:i/>
        </w:rPr>
        <w:t>ζ</w:t>
      </w:r>
      <w:r>
        <w:rPr>
          <w:vertAlign w:val="subscript"/>
        </w:rPr>
        <w:t>6</w:t>
      </w:r>
      <w:r>
        <w:t>(</w:t>
      </w:r>
      <w:r>
        <w:rPr>
          <w:i/>
        </w:rPr>
        <w:t>T</w:t>
      </w:r>
      <w:r>
        <w:t xml:space="preserve">) = </w:t>
      </w:r>
      <w:r>
        <w:rPr>
          <w:i/>
        </w:rPr>
        <w:t>ζ</w:t>
      </w:r>
      <w:r>
        <w:rPr>
          <w:vertAlign w:val="subscript"/>
        </w:rPr>
        <w:t>7</w:t>
      </w:r>
      <w:r>
        <w:t>(</w:t>
      </w:r>
      <w:r>
        <w:rPr>
          <w:i/>
        </w:rPr>
        <w:t>T</w:t>
      </w:r>
      <w:r>
        <w:t xml:space="preserve">) = 0 in which </w:t>
      </w:r>
      <w:r>
        <w:rPr>
          <w:i/>
        </w:rPr>
        <w:t>ζ</w:t>
      </w:r>
      <w:proofErr w:type="gramStart"/>
      <w:r>
        <w:rPr>
          <w:vertAlign w:val="subscript"/>
        </w:rPr>
        <w:t>1</w:t>
      </w:r>
      <w:r>
        <w:rPr>
          <w:i/>
        </w:rPr>
        <w:t>,...</w:t>
      </w:r>
      <w:proofErr w:type="gramEnd"/>
      <w:r>
        <w:rPr>
          <w:i/>
        </w:rPr>
        <w:t>,ζ</w:t>
      </w:r>
      <w:r>
        <w:rPr>
          <w:vertAlign w:val="subscript"/>
        </w:rPr>
        <w:t xml:space="preserve">7 </w:t>
      </w:r>
      <w:r>
        <w:t>are adjoint variables.</w:t>
      </w:r>
    </w:p>
    <w:p w14:paraId="18091BC9" w14:textId="77777777" w:rsidR="005D7683" w:rsidRDefault="00B049BF">
      <w:pPr>
        <w:ind w:left="-5"/>
      </w:pPr>
      <w:r>
        <w:t>The theoretical derivation of optimal controls, while crucial, must be complemented with numerical validation to assess the practical implications of different intervention strategies. Furthermore, in a world of finite health resources, determining not just the most effective, but the most cost-effective strategy is paramount for policy implementation. Therefore, this paper serves focuses on:</w:t>
      </w:r>
    </w:p>
    <w:p w14:paraId="307BBA73" w14:textId="77777777" w:rsidR="005D7683" w:rsidRDefault="00B049BF">
      <w:pPr>
        <w:numPr>
          <w:ilvl w:val="0"/>
          <w:numId w:val="1"/>
        </w:numPr>
        <w:ind w:hanging="494"/>
      </w:pPr>
      <w:r>
        <w:lastRenderedPageBreak/>
        <w:t>The numerical solution of the optimality system.</w:t>
      </w:r>
    </w:p>
    <w:p w14:paraId="15AC8BBF" w14:textId="77777777" w:rsidR="005D7683" w:rsidRDefault="00B049BF">
      <w:pPr>
        <w:numPr>
          <w:ilvl w:val="0"/>
          <w:numId w:val="1"/>
        </w:numPr>
        <w:ind w:hanging="494"/>
      </w:pPr>
      <w:r>
        <w:t>The simulation and comparison of different control strategies.</w:t>
      </w:r>
    </w:p>
    <w:p w14:paraId="1779DA2F" w14:textId="77777777" w:rsidR="005D7683" w:rsidRDefault="00B049BF">
      <w:pPr>
        <w:numPr>
          <w:ilvl w:val="0"/>
          <w:numId w:val="1"/>
        </w:numPr>
        <w:spacing w:after="167"/>
        <w:ind w:hanging="494"/>
      </w:pPr>
      <w:r>
        <w:t>A rigorous cost-effectiveness analysis to determine the best strategy for practical implementation.</w:t>
      </w:r>
    </w:p>
    <w:p w14:paraId="38B3EE9A" w14:textId="77777777" w:rsidR="005D7683" w:rsidRDefault="00B049BF">
      <w:pPr>
        <w:pStyle w:val="Heading1"/>
        <w:ind w:left="-5"/>
        <w:jc w:val="left"/>
      </w:pPr>
      <w:r>
        <w:t>2. Numerical Methods and Simulation Setup</w:t>
      </w:r>
    </w:p>
    <w:p w14:paraId="69D56641" w14:textId="77777777" w:rsidR="005D7683" w:rsidRDefault="00B049BF">
      <w:pPr>
        <w:spacing w:after="198"/>
        <w:ind w:left="-5"/>
      </w:pPr>
      <w:r>
        <w:t>The optimality system comprising state system (8)</w:t>
      </w:r>
      <w:r w:rsidR="00CD70ED">
        <w:t xml:space="preserve"> </w:t>
      </w:r>
      <w:r>
        <w:t>and adjoint equations system (9) was solved numerically using MATLAB’s forward-backward sweep method with a fourth-order Runge-</w:t>
      </w:r>
      <w:proofErr w:type="spellStart"/>
      <w:r>
        <w:t>Kutta</w:t>
      </w:r>
      <w:proofErr w:type="spellEnd"/>
      <w:r>
        <w:t xml:space="preserve"> scheme. This approach ensured accurate, convergent solutions through iterative multi-step computation across discretized time intervals [</w:t>
      </w:r>
      <w:r w:rsidR="007E25B1">
        <w:t>13</w:t>
      </w:r>
      <w:r>
        <w:t>], with results visualized graphically. The approach was given by the following method:</w:t>
      </w:r>
    </w:p>
    <w:p w14:paraId="3AC0C36D" w14:textId="77777777" w:rsidR="005D7683" w:rsidRDefault="00B049BF">
      <w:pPr>
        <w:numPr>
          <w:ilvl w:val="0"/>
          <w:numId w:val="2"/>
        </w:numPr>
        <w:ind w:hanging="494"/>
      </w:pPr>
      <w:r>
        <w:t>Approximate the solutions of the optimal control state system with initial guess values on the control variables and the given into conditions of the state variable using the Runge-</w:t>
      </w:r>
      <w:proofErr w:type="spellStart"/>
      <w:r>
        <w:t>Kutta</w:t>
      </w:r>
      <w:proofErr w:type="spellEnd"/>
      <w:r>
        <w:t xml:space="preserve"> forward sweep </w:t>
      </w:r>
      <w:r w:rsidRPr="00EB718E">
        <w:rPr>
          <w:highlight w:val="yellow"/>
        </w:rPr>
        <w:t>m</w:t>
      </w:r>
      <w:r w:rsidR="00EB718E" w:rsidRPr="00EB718E">
        <w:rPr>
          <w:highlight w:val="yellow"/>
        </w:rPr>
        <w:t>e</w:t>
      </w:r>
      <w:r w:rsidRPr="00EB718E">
        <w:rPr>
          <w:highlight w:val="yellow"/>
        </w:rPr>
        <w:t>thod</w:t>
      </w:r>
      <w:r>
        <w:t>.</w:t>
      </w:r>
    </w:p>
    <w:p w14:paraId="1015F116" w14:textId="77777777" w:rsidR="005D7683" w:rsidRDefault="00B049BF">
      <w:pPr>
        <w:numPr>
          <w:ilvl w:val="0"/>
          <w:numId w:val="2"/>
        </w:numPr>
        <w:ind w:hanging="494"/>
      </w:pPr>
      <w:r>
        <w:t>Approximate the solutions for the adjoint system with final time conditions for adjoints and the given values in step (</w:t>
      </w:r>
      <w:proofErr w:type="spellStart"/>
      <w:r>
        <w:t>i</w:t>
      </w:r>
      <w:proofErr w:type="spellEnd"/>
      <w:r>
        <w:t>) using Runge-</w:t>
      </w:r>
      <w:proofErr w:type="spellStart"/>
      <w:r>
        <w:t>Kutta</w:t>
      </w:r>
      <w:proofErr w:type="spellEnd"/>
      <w:r>
        <w:t xml:space="preserve"> </w:t>
      </w:r>
      <w:r w:rsidRPr="00EB718E">
        <w:rPr>
          <w:highlight w:val="yellow"/>
        </w:rPr>
        <w:t>backwa</w:t>
      </w:r>
      <w:r w:rsidR="00EB718E" w:rsidRPr="00EB718E">
        <w:rPr>
          <w:highlight w:val="yellow"/>
        </w:rPr>
        <w:t>r</w:t>
      </w:r>
      <w:r w:rsidRPr="00EB718E">
        <w:rPr>
          <w:highlight w:val="yellow"/>
        </w:rPr>
        <w:t>d</w:t>
      </w:r>
      <w:r>
        <w:t xml:space="preserve"> sweep method.</w:t>
      </w:r>
    </w:p>
    <w:p w14:paraId="34CE8D38" w14:textId="77777777" w:rsidR="005D7683" w:rsidRDefault="00B049BF">
      <w:pPr>
        <w:numPr>
          <w:ilvl w:val="0"/>
          <w:numId w:val="2"/>
        </w:numPr>
        <w:ind w:hanging="494"/>
      </w:pPr>
      <w:r>
        <w:t xml:space="preserve">Update value of the control variables by taking the average of the previous values and </w:t>
      </w:r>
      <w:r w:rsidRPr="00EB718E">
        <w:rPr>
          <w:highlight w:val="yellow"/>
        </w:rPr>
        <w:t>new</w:t>
      </w:r>
      <w:r>
        <w:t xml:space="preserve"> value from the control characterization.</w:t>
      </w:r>
    </w:p>
    <w:p w14:paraId="730C67F8" w14:textId="77777777" w:rsidR="005D7683" w:rsidRDefault="00B049BF">
      <w:pPr>
        <w:numPr>
          <w:ilvl w:val="0"/>
          <w:numId w:val="2"/>
        </w:numPr>
        <w:spacing w:after="198"/>
        <w:ind w:hanging="494"/>
      </w:pPr>
      <w:r>
        <w:t>Repeat the process above in (</w:t>
      </w:r>
      <w:proofErr w:type="spellStart"/>
      <w:r>
        <w:t>i</w:t>
      </w:r>
      <w:proofErr w:type="spellEnd"/>
      <w:r>
        <w:t>) by using the new values of the sate variables and the control values obtained in (iii), and in (ii) by using the new values of the adjoint variables until we get sufficiently close values of state, adjoints and controls are attained (converge).</w:t>
      </w:r>
    </w:p>
    <w:p w14:paraId="3DFD9200" w14:textId="77777777" w:rsidR="005D7683" w:rsidRDefault="00B049BF">
      <w:pPr>
        <w:spacing w:after="62"/>
        <w:ind w:left="-5"/>
      </w:pPr>
      <w:r>
        <w:t xml:space="preserve">In the numerical simulations, the estimated initial values of the state variables were </w:t>
      </w:r>
      <w:proofErr w:type="gramStart"/>
      <w:r>
        <w:rPr>
          <w:i/>
        </w:rPr>
        <w:t>S</w:t>
      </w:r>
      <w:r>
        <w:t>(</w:t>
      </w:r>
      <w:proofErr w:type="gramEnd"/>
      <w:r>
        <w:t>0) =</w:t>
      </w:r>
    </w:p>
    <w:p w14:paraId="43D6DC0C" w14:textId="77777777" w:rsidR="005D7683" w:rsidRDefault="00B049BF">
      <w:pPr>
        <w:spacing w:after="327"/>
        <w:ind w:left="-5"/>
      </w:pPr>
      <w:r>
        <w:t>1</w:t>
      </w:r>
      <w:r>
        <w:rPr>
          <w:i/>
        </w:rPr>
        <w:t>,</w:t>
      </w:r>
      <w:r>
        <w:t>000</w:t>
      </w:r>
      <w:r>
        <w:rPr>
          <w:i/>
        </w:rPr>
        <w:t>,</w:t>
      </w:r>
      <w:r w:rsidR="00CD70ED">
        <w:rPr>
          <w:i/>
        </w:rPr>
        <w:t xml:space="preserve"> </w:t>
      </w:r>
      <w:proofErr w:type="gramStart"/>
      <w:r>
        <w:rPr>
          <w:i/>
        </w:rPr>
        <w:t>I</w:t>
      </w:r>
      <w:r>
        <w:rPr>
          <w:i/>
          <w:vertAlign w:val="subscript"/>
        </w:rPr>
        <w:t>p</w:t>
      </w:r>
      <w:r>
        <w:t>(</w:t>
      </w:r>
      <w:proofErr w:type="gramEnd"/>
      <w:r>
        <w:t>0) = 550</w:t>
      </w:r>
      <w:r>
        <w:rPr>
          <w:i/>
        </w:rPr>
        <w:t>,R</w:t>
      </w:r>
      <w:r>
        <w:rPr>
          <w:i/>
          <w:vertAlign w:val="subscript"/>
        </w:rPr>
        <w:t xml:space="preserve">p </w:t>
      </w:r>
      <w:r>
        <w:t>= 250</w:t>
      </w:r>
      <w:r>
        <w:rPr>
          <w:i/>
        </w:rPr>
        <w:t>,</w:t>
      </w:r>
      <w:r w:rsidR="002F7A83">
        <w:rPr>
          <w:i/>
        </w:rPr>
        <w:t xml:space="preserve"> </w:t>
      </w:r>
      <w:proofErr w:type="spellStart"/>
      <w:r>
        <w:rPr>
          <w:i/>
        </w:rPr>
        <w:t>I</w:t>
      </w:r>
      <w:r>
        <w:rPr>
          <w:i/>
          <w:vertAlign w:val="subscript"/>
        </w:rPr>
        <w:t>h</w:t>
      </w:r>
      <w:proofErr w:type="spellEnd"/>
      <w:r>
        <w:t>(0) = 550</w:t>
      </w:r>
      <w:r>
        <w:rPr>
          <w:i/>
        </w:rPr>
        <w:t>,</w:t>
      </w:r>
      <w:r w:rsidR="002F7A83">
        <w:rPr>
          <w:i/>
        </w:rPr>
        <w:t xml:space="preserve"> </w:t>
      </w:r>
      <w:proofErr w:type="spellStart"/>
      <w:r>
        <w:rPr>
          <w:i/>
        </w:rPr>
        <w:t>I</w:t>
      </w:r>
      <w:r>
        <w:rPr>
          <w:i/>
          <w:vertAlign w:val="subscript"/>
        </w:rPr>
        <w:t>ph</w:t>
      </w:r>
      <w:proofErr w:type="spellEnd"/>
      <w:r>
        <w:t>(0) = 400</w:t>
      </w:r>
      <w:r>
        <w:rPr>
          <w:i/>
        </w:rPr>
        <w:t>,</w:t>
      </w:r>
      <w:r w:rsidR="002F7A83">
        <w:rPr>
          <w:i/>
        </w:rPr>
        <w:t xml:space="preserve"> </w:t>
      </w:r>
      <w:proofErr w:type="spellStart"/>
      <w:r>
        <w:rPr>
          <w:i/>
        </w:rPr>
        <w:t>A</w:t>
      </w:r>
      <w:r>
        <w:rPr>
          <w:i/>
          <w:vertAlign w:val="subscript"/>
        </w:rPr>
        <w:t>ph</w:t>
      </w:r>
      <w:proofErr w:type="spellEnd"/>
      <w:r>
        <w:t>(0) = 300</w:t>
      </w:r>
      <w:r>
        <w:rPr>
          <w:i/>
        </w:rPr>
        <w:t>,</w:t>
      </w:r>
      <w:r w:rsidR="00F80615">
        <w:rPr>
          <w:i/>
        </w:rPr>
        <w:t xml:space="preserve"> </w:t>
      </w:r>
      <w:r>
        <w:rPr>
          <w:i/>
        </w:rPr>
        <w:t>A</w:t>
      </w:r>
      <w:r>
        <w:rPr>
          <w:i/>
          <w:vertAlign w:val="subscript"/>
        </w:rPr>
        <w:t>h</w:t>
      </w:r>
      <w:r>
        <w:t xml:space="preserve">(0) = 250 while for the adjoint system we used the terminal conditions at final time. The transversality conditions for the adjoint variables were </w:t>
      </w:r>
      <w:r>
        <w:rPr>
          <w:i/>
        </w:rPr>
        <w:t>ζ</w:t>
      </w:r>
      <w:r>
        <w:rPr>
          <w:vertAlign w:val="subscript"/>
        </w:rPr>
        <w:t>1</w:t>
      </w:r>
      <w:r>
        <w:t>(</w:t>
      </w:r>
      <w:r>
        <w:rPr>
          <w:i/>
        </w:rPr>
        <w:t>T</w:t>
      </w:r>
      <w:r>
        <w:t xml:space="preserve">) = </w:t>
      </w:r>
      <w:r>
        <w:rPr>
          <w:i/>
        </w:rPr>
        <w:t>ζ</w:t>
      </w:r>
      <w:r>
        <w:rPr>
          <w:vertAlign w:val="subscript"/>
        </w:rPr>
        <w:t>2</w:t>
      </w:r>
      <w:r>
        <w:t>(</w:t>
      </w:r>
      <w:r>
        <w:rPr>
          <w:i/>
        </w:rPr>
        <w:t>T</w:t>
      </w:r>
      <w:r>
        <w:t xml:space="preserve">) = </w:t>
      </w:r>
      <w:r>
        <w:rPr>
          <w:i/>
        </w:rPr>
        <w:t>ζ</w:t>
      </w:r>
      <w:r>
        <w:rPr>
          <w:vertAlign w:val="subscript"/>
        </w:rPr>
        <w:t>3</w:t>
      </w:r>
      <w:r>
        <w:t>(</w:t>
      </w:r>
      <w:r>
        <w:rPr>
          <w:i/>
        </w:rPr>
        <w:t>T</w:t>
      </w:r>
      <w:r>
        <w:t xml:space="preserve">) = </w:t>
      </w:r>
      <w:r>
        <w:rPr>
          <w:i/>
        </w:rPr>
        <w:t>ζ</w:t>
      </w:r>
      <w:r>
        <w:rPr>
          <w:vertAlign w:val="subscript"/>
        </w:rPr>
        <w:t>4</w:t>
      </w:r>
      <w:r>
        <w:t>(</w:t>
      </w:r>
      <w:r>
        <w:rPr>
          <w:i/>
        </w:rPr>
        <w:t>T</w:t>
      </w:r>
      <w:r>
        <w:t xml:space="preserve">) = </w:t>
      </w:r>
      <w:r>
        <w:rPr>
          <w:i/>
        </w:rPr>
        <w:t>ζ</w:t>
      </w:r>
      <w:r>
        <w:rPr>
          <w:vertAlign w:val="subscript"/>
        </w:rPr>
        <w:t>5</w:t>
      </w:r>
      <w:r>
        <w:t>(</w:t>
      </w:r>
      <w:r>
        <w:rPr>
          <w:i/>
        </w:rPr>
        <w:t>T</w:t>
      </w:r>
      <w:r>
        <w:t xml:space="preserve">) = </w:t>
      </w:r>
      <w:r>
        <w:rPr>
          <w:i/>
        </w:rPr>
        <w:t>ζ</w:t>
      </w:r>
      <w:r>
        <w:rPr>
          <w:vertAlign w:val="subscript"/>
        </w:rPr>
        <w:t>6</w:t>
      </w:r>
      <w:r>
        <w:t>(</w:t>
      </w:r>
      <w:r>
        <w:rPr>
          <w:i/>
        </w:rPr>
        <w:t>T</w:t>
      </w:r>
      <w:r>
        <w:t xml:space="preserve">) = </w:t>
      </w:r>
      <w:r>
        <w:rPr>
          <w:i/>
        </w:rPr>
        <w:t>ζ</w:t>
      </w:r>
      <w:r>
        <w:rPr>
          <w:vertAlign w:val="subscript"/>
        </w:rPr>
        <w:t>7</w:t>
      </w:r>
      <w:r>
        <w:t>(</w:t>
      </w:r>
      <w:r>
        <w:rPr>
          <w:i/>
        </w:rPr>
        <w:t>T</w:t>
      </w:r>
      <w:r>
        <w:t xml:space="preserve">) = 0, where </w:t>
      </w:r>
      <w:r>
        <w:rPr>
          <w:i/>
        </w:rPr>
        <w:t xml:space="preserve">T </w:t>
      </w:r>
      <w:r>
        <w:t xml:space="preserve">= 100 days. A set of parameter values as shown in Table 2 whose sources were from literature and others were estimated were also used. The coefficients to the state variables under the objective functional were estimated to be </w:t>
      </w:r>
      <w:r>
        <w:rPr>
          <w:i/>
        </w:rPr>
        <w:t>k</w:t>
      </w:r>
      <w:r>
        <w:rPr>
          <w:vertAlign w:val="subscript"/>
        </w:rPr>
        <w:t xml:space="preserve">1 </w:t>
      </w:r>
      <w:r>
        <w:t>= 1</w:t>
      </w:r>
      <w:r>
        <w:rPr>
          <w:i/>
        </w:rPr>
        <w:t>,</w:t>
      </w:r>
      <w:r w:rsidR="00CD70ED">
        <w:rPr>
          <w:i/>
        </w:rPr>
        <w:t xml:space="preserve"> </w:t>
      </w:r>
      <w:r>
        <w:rPr>
          <w:i/>
        </w:rPr>
        <w:t>k</w:t>
      </w:r>
      <w:r>
        <w:rPr>
          <w:vertAlign w:val="subscript"/>
        </w:rPr>
        <w:t xml:space="preserve">2 </w:t>
      </w:r>
      <w:r>
        <w:t>= 1</w:t>
      </w:r>
      <w:r w:rsidR="00CD70ED">
        <w:t xml:space="preserve">, </w:t>
      </w:r>
      <w:r>
        <w:rPr>
          <w:i/>
        </w:rPr>
        <w:t>k</w:t>
      </w:r>
      <w:r>
        <w:rPr>
          <w:vertAlign w:val="subscript"/>
        </w:rPr>
        <w:t xml:space="preserve">3 </w:t>
      </w:r>
      <w:r>
        <w:t>= 5</w:t>
      </w:r>
      <w:r>
        <w:rPr>
          <w:i/>
        </w:rPr>
        <w:t>,</w:t>
      </w:r>
      <w:r w:rsidR="00CD70ED">
        <w:rPr>
          <w:i/>
        </w:rPr>
        <w:t xml:space="preserve"> </w:t>
      </w:r>
      <w:r>
        <w:rPr>
          <w:i/>
        </w:rPr>
        <w:t>k</w:t>
      </w:r>
      <w:r>
        <w:rPr>
          <w:vertAlign w:val="subscript"/>
        </w:rPr>
        <w:t xml:space="preserve">4 </w:t>
      </w:r>
      <w:r>
        <w:t>= 1</w:t>
      </w:r>
      <w:r w:rsidR="00CD70ED">
        <w:t xml:space="preserve">, </w:t>
      </w:r>
      <w:r>
        <w:rPr>
          <w:i/>
        </w:rPr>
        <w:t>k</w:t>
      </w:r>
      <w:r>
        <w:rPr>
          <w:vertAlign w:val="subscript"/>
        </w:rPr>
        <w:t xml:space="preserve">5 </w:t>
      </w:r>
      <w:r>
        <w:t>= 1</w:t>
      </w:r>
      <w:r>
        <w:rPr>
          <w:i/>
        </w:rPr>
        <w:t>,</w:t>
      </w:r>
      <w:r w:rsidR="00CD70ED">
        <w:rPr>
          <w:i/>
        </w:rPr>
        <w:t xml:space="preserve"> </w:t>
      </w:r>
      <w:r>
        <w:rPr>
          <w:i/>
        </w:rPr>
        <w:t>w</w:t>
      </w:r>
      <w:r>
        <w:rPr>
          <w:vertAlign w:val="subscript"/>
        </w:rPr>
        <w:t xml:space="preserve">1 </w:t>
      </w:r>
      <w:r>
        <w:t xml:space="preserve">= 80 and </w:t>
      </w:r>
      <w:r>
        <w:rPr>
          <w:i/>
        </w:rPr>
        <w:t>w</w:t>
      </w:r>
      <w:r>
        <w:rPr>
          <w:vertAlign w:val="subscript"/>
        </w:rPr>
        <w:t xml:space="preserve">2 </w:t>
      </w:r>
      <w:r>
        <w:t>= 100.</w:t>
      </w:r>
    </w:p>
    <w:p w14:paraId="24C48E3B" w14:textId="77777777" w:rsidR="00B53E0E" w:rsidRDefault="00B53E0E">
      <w:pPr>
        <w:spacing w:after="192" w:line="265" w:lineRule="auto"/>
        <w:ind w:left="10"/>
        <w:jc w:val="center"/>
      </w:pPr>
    </w:p>
    <w:p w14:paraId="2391270E" w14:textId="77777777" w:rsidR="00B53E0E" w:rsidRDefault="00B53E0E">
      <w:pPr>
        <w:spacing w:after="192" w:line="265" w:lineRule="auto"/>
        <w:ind w:left="10"/>
        <w:jc w:val="center"/>
      </w:pPr>
    </w:p>
    <w:p w14:paraId="129411B7" w14:textId="77777777" w:rsidR="00B53E0E" w:rsidRDefault="00B53E0E">
      <w:pPr>
        <w:spacing w:after="192" w:line="265" w:lineRule="auto"/>
        <w:ind w:left="10"/>
        <w:jc w:val="center"/>
      </w:pPr>
    </w:p>
    <w:p w14:paraId="557853D9" w14:textId="77777777" w:rsidR="00B53E0E" w:rsidRDefault="00B53E0E">
      <w:pPr>
        <w:spacing w:after="192" w:line="265" w:lineRule="auto"/>
        <w:ind w:left="10"/>
        <w:jc w:val="center"/>
      </w:pPr>
    </w:p>
    <w:p w14:paraId="043598C8" w14:textId="77777777" w:rsidR="00B53E0E" w:rsidRDefault="00B53E0E">
      <w:pPr>
        <w:spacing w:after="192" w:line="265" w:lineRule="auto"/>
        <w:ind w:left="10"/>
        <w:jc w:val="center"/>
      </w:pPr>
    </w:p>
    <w:p w14:paraId="1732E82E" w14:textId="77777777" w:rsidR="005D7683" w:rsidRDefault="00B049BF">
      <w:pPr>
        <w:spacing w:after="192" w:line="265" w:lineRule="auto"/>
        <w:ind w:left="10"/>
        <w:jc w:val="center"/>
      </w:pPr>
      <w:r>
        <w:lastRenderedPageBreak/>
        <w:t>Table 2: Parameter</w:t>
      </w:r>
      <w:r w:rsidR="003A79FA">
        <w:t>/Variable</w:t>
      </w:r>
      <w:r>
        <w:t xml:space="preserve"> Values and Sources</w:t>
      </w:r>
    </w:p>
    <w:tbl>
      <w:tblPr>
        <w:tblW w:w="9090" w:type="dxa"/>
        <w:tblInd w:w="-185" w:type="dxa"/>
        <w:shd w:val="clear" w:color="auto" w:fill="FFFFFF"/>
        <w:tblCellMar>
          <w:top w:w="15" w:type="dxa"/>
          <w:left w:w="15" w:type="dxa"/>
          <w:bottom w:w="15" w:type="dxa"/>
          <w:right w:w="15" w:type="dxa"/>
        </w:tblCellMar>
        <w:tblLook w:val="04A0" w:firstRow="1" w:lastRow="0" w:firstColumn="1" w:lastColumn="0" w:noHBand="0" w:noVBand="1"/>
      </w:tblPr>
      <w:tblGrid>
        <w:gridCol w:w="1899"/>
        <w:gridCol w:w="2091"/>
        <w:gridCol w:w="5100"/>
      </w:tblGrid>
      <w:tr w:rsidR="0073430E" w:rsidRPr="003003AB" w14:paraId="2DB03D6E" w14:textId="77777777" w:rsidTr="0073430E">
        <w:trPr>
          <w:trHeight w:val="361"/>
        </w:trPr>
        <w:tc>
          <w:tcPr>
            <w:tcW w:w="1899" w:type="dxa"/>
            <w:tcBorders>
              <w:top w:val="single" w:sz="4" w:space="0" w:color="auto"/>
              <w:left w:val="single" w:sz="4" w:space="0" w:color="auto"/>
            </w:tcBorders>
            <w:shd w:val="clear" w:color="auto" w:fill="FFFFFF"/>
            <w:tcMar>
              <w:top w:w="150" w:type="dxa"/>
              <w:left w:w="0" w:type="dxa"/>
              <w:bottom w:w="150" w:type="dxa"/>
              <w:right w:w="240" w:type="dxa"/>
            </w:tcMar>
            <w:vAlign w:val="center"/>
            <w:hideMark/>
          </w:tcPr>
          <w:p w14:paraId="1701F70B" w14:textId="77777777" w:rsidR="0073430E" w:rsidRDefault="0073430E" w:rsidP="003003AB">
            <w:pPr>
              <w:spacing w:after="0" w:line="375" w:lineRule="atLeast"/>
              <w:ind w:left="0" w:firstLine="0"/>
              <w:jc w:val="center"/>
              <w:rPr>
                <w:rFonts w:ascii="Segoe UI" w:eastAsia="Times New Roman" w:hAnsi="Segoe UI" w:cs="Segoe UI"/>
                <w:b/>
                <w:color w:val="0F1115"/>
                <w:sz w:val="23"/>
                <w:szCs w:val="23"/>
              </w:rPr>
            </w:pPr>
            <w:r>
              <w:rPr>
                <w:rFonts w:ascii="Segoe UI" w:eastAsia="Times New Roman" w:hAnsi="Segoe UI" w:cs="Segoe UI"/>
                <w:b/>
                <w:color w:val="0F1115"/>
                <w:sz w:val="23"/>
                <w:szCs w:val="23"/>
              </w:rPr>
              <w:t>Parameters/</w:t>
            </w:r>
          </w:p>
          <w:p w14:paraId="416F1BAA" w14:textId="77777777" w:rsidR="003003AB" w:rsidRPr="003003AB" w:rsidRDefault="0073430E" w:rsidP="003003AB">
            <w:pPr>
              <w:spacing w:after="0" w:line="375" w:lineRule="atLeast"/>
              <w:ind w:left="0" w:firstLine="0"/>
              <w:jc w:val="center"/>
              <w:rPr>
                <w:rFonts w:ascii="Segoe UI" w:eastAsia="Times New Roman" w:hAnsi="Segoe UI" w:cs="Segoe UI"/>
                <w:b/>
                <w:color w:val="0F1115"/>
                <w:sz w:val="23"/>
                <w:szCs w:val="23"/>
              </w:rPr>
            </w:pPr>
            <w:r>
              <w:rPr>
                <w:rFonts w:ascii="Segoe UI" w:eastAsia="Times New Roman" w:hAnsi="Segoe UI" w:cs="Segoe UI"/>
                <w:b/>
                <w:color w:val="0F1115"/>
                <w:sz w:val="23"/>
                <w:szCs w:val="23"/>
              </w:rPr>
              <w:t>Variables</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5E852B36" w14:textId="77777777" w:rsidR="003003AB" w:rsidRPr="003003AB" w:rsidRDefault="003003AB" w:rsidP="003003AB">
            <w:pPr>
              <w:spacing w:after="0" w:line="375" w:lineRule="atLeast"/>
              <w:ind w:left="0" w:firstLine="0"/>
              <w:jc w:val="center"/>
              <w:rPr>
                <w:rFonts w:ascii="Segoe UI" w:eastAsia="Times New Roman" w:hAnsi="Segoe UI" w:cs="Segoe UI"/>
                <w:b/>
                <w:color w:val="0F1115"/>
                <w:sz w:val="23"/>
                <w:szCs w:val="23"/>
              </w:rPr>
            </w:pPr>
            <w:r w:rsidRPr="007918C7">
              <w:rPr>
                <w:rFonts w:ascii="Segoe UI" w:eastAsia="Times New Roman" w:hAnsi="Segoe UI" w:cs="Segoe UI"/>
                <w:b/>
                <w:color w:val="0F1115"/>
                <w:sz w:val="23"/>
                <w:szCs w:val="23"/>
              </w:rPr>
              <w:t>Values Per Day</w:t>
            </w:r>
          </w:p>
        </w:tc>
        <w:tc>
          <w:tcPr>
            <w:tcW w:w="5100" w:type="dxa"/>
            <w:tcBorders>
              <w:top w:val="single" w:sz="4" w:space="0" w:color="auto"/>
              <w:right w:val="single" w:sz="4" w:space="0" w:color="auto"/>
            </w:tcBorders>
            <w:shd w:val="clear" w:color="auto" w:fill="FFFFFF"/>
            <w:tcMar>
              <w:top w:w="150" w:type="dxa"/>
              <w:left w:w="240" w:type="dxa"/>
              <w:bottom w:w="150" w:type="dxa"/>
              <w:right w:w="0" w:type="dxa"/>
            </w:tcMar>
            <w:vAlign w:val="center"/>
            <w:hideMark/>
          </w:tcPr>
          <w:p w14:paraId="35D7AA62" w14:textId="77777777" w:rsidR="003003AB" w:rsidRPr="003003AB" w:rsidRDefault="003003AB" w:rsidP="003003AB">
            <w:pPr>
              <w:spacing w:after="0" w:line="375" w:lineRule="atLeast"/>
              <w:ind w:left="0" w:firstLine="0"/>
              <w:jc w:val="center"/>
              <w:rPr>
                <w:rFonts w:ascii="Segoe UI" w:eastAsia="Times New Roman" w:hAnsi="Segoe UI" w:cs="Segoe UI"/>
                <w:b/>
                <w:color w:val="0F1115"/>
                <w:sz w:val="23"/>
                <w:szCs w:val="23"/>
              </w:rPr>
            </w:pPr>
            <w:r w:rsidRPr="007918C7">
              <w:rPr>
                <w:rFonts w:ascii="Segoe UI" w:eastAsia="Times New Roman" w:hAnsi="Segoe UI" w:cs="Segoe UI"/>
                <w:b/>
                <w:color w:val="0F1115"/>
                <w:sz w:val="23"/>
                <w:szCs w:val="23"/>
              </w:rPr>
              <w:t>Source</w:t>
            </w:r>
          </w:p>
        </w:tc>
      </w:tr>
      <w:tr w:rsidR="003003AB" w:rsidRPr="003003AB" w14:paraId="42BF0AF3" w14:textId="77777777" w:rsidTr="0073430E">
        <w:trPr>
          <w:trHeight w:val="348"/>
        </w:trPr>
        <w:tc>
          <w:tcPr>
            <w:tcW w:w="1899" w:type="dxa"/>
            <w:tcBorders>
              <w:top w:val="single" w:sz="4" w:space="0" w:color="auto"/>
              <w:left w:val="single" w:sz="4" w:space="0" w:color="auto"/>
            </w:tcBorders>
            <w:shd w:val="clear" w:color="auto" w:fill="FFFFFF"/>
            <w:tcMar>
              <w:top w:w="150" w:type="dxa"/>
              <w:left w:w="0" w:type="dxa"/>
              <w:bottom w:w="150" w:type="dxa"/>
              <w:right w:w="240" w:type="dxa"/>
            </w:tcMar>
            <w:vAlign w:val="center"/>
          </w:tcPr>
          <w:p w14:paraId="5D3177E8"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Λ</w:t>
            </w:r>
          </w:p>
        </w:tc>
        <w:tc>
          <w:tcPr>
            <w:tcW w:w="0" w:type="auto"/>
            <w:tcBorders>
              <w:top w:val="single" w:sz="4" w:space="0" w:color="auto"/>
            </w:tcBorders>
            <w:shd w:val="clear" w:color="auto" w:fill="FFFFFF"/>
            <w:tcMar>
              <w:top w:w="150" w:type="dxa"/>
              <w:left w:w="240" w:type="dxa"/>
              <w:bottom w:w="150" w:type="dxa"/>
              <w:right w:w="240" w:type="dxa"/>
            </w:tcMar>
            <w:vAlign w:val="center"/>
          </w:tcPr>
          <w:p w14:paraId="4DD1DC0B"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8.7 × 10⁻³</w:t>
            </w:r>
          </w:p>
        </w:tc>
        <w:tc>
          <w:tcPr>
            <w:tcW w:w="5100" w:type="dxa"/>
            <w:tcBorders>
              <w:top w:val="single" w:sz="4" w:space="0" w:color="auto"/>
              <w:right w:val="single" w:sz="4" w:space="0" w:color="auto"/>
            </w:tcBorders>
            <w:shd w:val="clear" w:color="auto" w:fill="FFFFFF"/>
            <w:tcMar>
              <w:top w:w="150" w:type="dxa"/>
              <w:left w:w="240" w:type="dxa"/>
              <w:bottom w:w="150" w:type="dxa"/>
              <w:right w:w="0" w:type="dxa"/>
            </w:tcMar>
            <w:vAlign w:val="center"/>
          </w:tcPr>
          <w:p w14:paraId="06F366E5" w14:textId="5D272983"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w:t>
            </w:r>
            <w:r w:rsidR="001A7B91">
              <w:rPr>
                <w:rFonts w:ascii="Segoe UI" w:eastAsia="Times New Roman" w:hAnsi="Segoe UI" w:cs="Segoe UI"/>
                <w:color w:val="0F1115"/>
                <w:sz w:val="23"/>
                <w:szCs w:val="23"/>
              </w:rPr>
              <w:t>6</w:t>
            </w:r>
            <w:r w:rsidRPr="003003AB">
              <w:rPr>
                <w:rFonts w:ascii="Segoe UI" w:eastAsia="Times New Roman" w:hAnsi="Segoe UI" w:cs="Segoe UI"/>
                <w:color w:val="0F1115"/>
                <w:sz w:val="23"/>
                <w:szCs w:val="23"/>
              </w:rPr>
              <w:t>]</w:t>
            </w:r>
          </w:p>
        </w:tc>
      </w:tr>
      <w:tr w:rsidR="0073430E" w:rsidRPr="003003AB" w14:paraId="06FEB24D" w14:textId="77777777" w:rsidTr="0073430E">
        <w:trPr>
          <w:trHeight w:val="361"/>
        </w:trPr>
        <w:tc>
          <w:tcPr>
            <w:tcW w:w="1899" w:type="dxa"/>
            <w:tcBorders>
              <w:left w:val="single" w:sz="4" w:space="0" w:color="auto"/>
            </w:tcBorders>
            <w:shd w:val="clear" w:color="auto" w:fill="FFFFFF"/>
            <w:tcMar>
              <w:top w:w="150" w:type="dxa"/>
              <w:left w:w="0" w:type="dxa"/>
              <w:bottom w:w="150" w:type="dxa"/>
              <w:right w:w="240" w:type="dxa"/>
            </w:tcMar>
            <w:vAlign w:val="center"/>
            <w:hideMark/>
          </w:tcPr>
          <w:p w14:paraId="3613E91D"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μ</w:t>
            </w:r>
          </w:p>
        </w:tc>
        <w:tc>
          <w:tcPr>
            <w:tcW w:w="0" w:type="auto"/>
            <w:shd w:val="clear" w:color="auto" w:fill="FFFFFF"/>
            <w:tcMar>
              <w:top w:w="150" w:type="dxa"/>
              <w:left w:w="240" w:type="dxa"/>
              <w:bottom w:w="150" w:type="dxa"/>
              <w:right w:w="240" w:type="dxa"/>
            </w:tcMar>
            <w:vAlign w:val="center"/>
            <w:hideMark/>
          </w:tcPr>
          <w:p w14:paraId="34E2D966"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7.0 × 10⁻³</w:t>
            </w:r>
          </w:p>
        </w:tc>
        <w:tc>
          <w:tcPr>
            <w:tcW w:w="5100" w:type="dxa"/>
            <w:tcBorders>
              <w:right w:val="single" w:sz="4" w:space="0" w:color="auto"/>
            </w:tcBorders>
            <w:shd w:val="clear" w:color="auto" w:fill="FFFFFF"/>
            <w:tcMar>
              <w:top w:w="150" w:type="dxa"/>
              <w:left w:w="240" w:type="dxa"/>
              <w:bottom w:w="150" w:type="dxa"/>
              <w:right w:w="0" w:type="dxa"/>
            </w:tcMar>
            <w:vAlign w:val="center"/>
            <w:hideMark/>
          </w:tcPr>
          <w:p w14:paraId="7DBAEC0D" w14:textId="4458A06C"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w:t>
            </w:r>
            <w:r w:rsidR="001A7B91">
              <w:rPr>
                <w:rFonts w:ascii="Segoe UI" w:eastAsia="Times New Roman" w:hAnsi="Segoe UI" w:cs="Segoe UI"/>
                <w:color w:val="0F1115"/>
                <w:sz w:val="23"/>
                <w:szCs w:val="23"/>
              </w:rPr>
              <w:t>6</w:t>
            </w:r>
            <w:r w:rsidRPr="003003AB">
              <w:rPr>
                <w:rFonts w:ascii="Segoe UI" w:eastAsia="Times New Roman" w:hAnsi="Segoe UI" w:cs="Segoe UI"/>
                <w:color w:val="0F1115"/>
                <w:sz w:val="23"/>
                <w:szCs w:val="23"/>
              </w:rPr>
              <w:t>]</w:t>
            </w:r>
          </w:p>
        </w:tc>
      </w:tr>
      <w:tr w:rsidR="0073430E" w:rsidRPr="003003AB" w14:paraId="050E1489" w14:textId="77777777" w:rsidTr="0073430E">
        <w:trPr>
          <w:trHeight w:val="361"/>
        </w:trPr>
        <w:tc>
          <w:tcPr>
            <w:tcW w:w="1899" w:type="dxa"/>
            <w:tcBorders>
              <w:left w:val="single" w:sz="4" w:space="0" w:color="auto"/>
            </w:tcBorders>
            <w:shd w:val="clear" w:color="auto" w:fill="FFFFFF"/>
            <w:tcMar>
              <w:top w:w="150" w:type="dxa"/>
              <w:left w:w="0" w:type="dxa"/>
              <w:bottom w:w="150" w:type="dxa"/>
              <w:right w:w="240" w:type="dxa"/>
            </w:tcMar>
            <w:vAlign w:val="center"/>
            <w:hideMark/>
          </w:tcPr>
          <w:p w14:paraId="740AE5F2"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ε₁</w:t>
            </w:r>
          </w:p>
        </w:tc>
        <w:tc>
          <w:tcPr>
            <w:tcW w:w="0" w:type="auto"/>
            <w:shd w:val="clear" w:color="auto" w:fill="FFFFFF"/>
            <w:tcMar>
              <w:top w:w="150" w:type="dxa"/>
              <w:left w:w="240" w:type="dxa"/>
              <w:bottom w:w="150" w:type="dxa"/>
              <w:right w:w="240" w:type="dxa"/>
            </w:tcMar>
            <w:vAlign w:val="center"/>
            <w:hideMark/>
          </w:tcPr>
          <w:p w14:paraId="61247B09"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9.0 × 10⁻¹</w:t>
            </w:r>
          </w:p>
        </w:tc>
        <w:tc>
          <w:tcPr>
            <w:tcW w:w="5100" w:type="dxa"/>
            <w:tcBorders>
              <w:right w:val="single" w:sz="4" w:space="0" w:color="auto"/>
            </w:tcBorders>
            <w:shd w:val="clear" w:color="auto" w:fill="FFFFFF"/>
            <w:tcMar>
              <w:top w:w="150" w:type="dxa"/>
              <w:left w:w="240" w:type="dxa"/>
              <w:bottom w:w="150" w:type="dxa"/>
              <w:right w:w="0" w:type="dxa"/>
            </w:tcMar>
            <w:vAlign w:val="center"/>
            <w:hideMark/>
          </w:tcPr>
          <w:p w14:paraId="4F90E781" w14:textId="265FB91C"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w:t>
            </w:r>
            <w:r w:rsidR="001A7B91">
              <w:rPr>
                <w:rFonts w:ascii="Segoe UI" w:eastAsia="Times New Roman" w:hAnsi="Segoe UI" w:cs="Segoe UI"/>
                <w:color w:val="0F1115"/>
                <w:sz w:val="23"/>
                <w:szCs w:val="23"/>
              </w:rPr>
              <w:t>13</w:t>
            </w:r>
            <w:r w:rsidRPr="003003AB">
              <w:rPr>
                <w:rFonts w:ascii="Segoe UI" w:eastAsia="Times New Roman" w:hAnsi="Segoe UI" w:cs="Segoe UI"/>
                <w:color w:val="0F1115"/>
                <w:sz w:val="23"/>
                <w:szCs w:val="23"/>
              </w:rPr>
              <w:t>]</w:t>
            </w:r>
          </w:p>
        </w:tc>
      </w:tr>
      <w:tr w:rsidR="0073430E" w:rsidRPr="003003AB" w14:paraId="1454AA31" w14:textId="77777777" w:rsidTr="0073430E">
        <w:trPr>
          <w:trHeight w:val="361"/>
        </w:trPr>
        <w:tc>
          <w:tcPr>
            <w:tcW w:w="1899" w:type="dxa"/>
            <w:tcBorders>
              <w:left w:val="single" w:sz="4" w:space="0" w:color="auto"/>
            </w:tcBorders>
            <w:shd w:val="clear" w:color="auto" w:fill="FFFFFF"/>
            <w:tcMar>
              <w:top w:w="150" w:type="dxa"/>
              <w:left w:w="0" w:type="dxa"/>
              <w:bottom w:w="150" w:type="dxa"/>
              <w:right w:w="240" w:type="dxa"/>
            </w:tcMar>
            <w:vAlign w:val="center"/>
            <w:hideMark/>
          </w:tcPr>
          <w:p w14:paraId="083688FD"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δ</w:t>
            </w:r>
          </w:p>
        </w:tc>
        <w:tc>
          <w:tcPr>
            <w:tcW w:w="0" w:type="auto"/>
            <w:shd w:val="clear" w:color="auto" w:fill="FFFFFF"/>
            <w:tcMar>
              <w:top w:w="150" w:type="dxa"/>
              <w:left w:w="240" w:type="dxa"/>
              <w:bottom w:w="150" w:type="dxa"/>
              <w:right w:w="240" w:type="dxa"/>
            </w:tcMar>
            <w:vAlign w:val="center"/>
            <w:hideMark/>
          </w:tcPr>
          <w:p w14:paraId="2F3214BF"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0.003 - 0.1</w:t>
            </w:r>
          </w:p>
        </w:tc>
        <w:tc>
          <w:tcPr>
            <w:tcW w:w="5100" w:type="dxa"/>
            <w:tcBorders>
              <w:right w:val="single" w:sz="4" w:space="0" w:color="auto"/>
            </w:tcBorders>
            <w:shd w:val="clear" w:color="auto" w:fill="FFFFFF"/>
            <w:tcMar>
              <w:top w:w="150" w:type="dxa"/>
              <w:left w:w="240" w:type="dxa"/>
              <w:bottom w:w="150" w:type="dxa"/>
              <w:right w:w="0" w:type="dxa"/>
            </w:tcMar>
            <w:vAlign w:val="center"/>
            <w:hideMark/>
          </w:tcPr>
          <w:p w14:paraId="2F52BE20" w14:textId="414D2FA1"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w:t>
            </w:r>
            <w:r w:rsidR="001A7B91">
              <w:rPr>
                <w:rFonts w:ascii="Segoe UI" w:eastAsia="Times New Roman" w:hAnsi="Segoe UI" w:cs="Segoe UI"/>
                <w:color w:val="0F1115"/>
                <w:sz w:val="23"/>
                <w:szCs w:val="23"/>
              </w:rPr>
              <w:t>13</w:t>
            </w:r>
            <w:r w:rsidRPr="003003AB">
              <w:rPr>
                <w:rFonts w:ascii="Segoe UI" w:eastAsia="Times New Roman" w:hAnsi="Segoe UI" w:cs="Segoe UI"/>
                <w:color w:val="0F1115"/>
                <w:sz w:val="23"/>
                <w:szCs w:val="23"/>
              </w:rPr>
              <w:t>]</w:t>
            </w:r>
          </w:p>
        </w:tc>
      </w:tr>
      <w:tr w:rsidR="0073430E" w:rsidRPr="003003AB" w14:paraId="2C22DE94" w14:textId="77777777" w:rsidTr="0073430E">
        <w:trPr>
          <w:trHeight w:val="361"/>
        </w:trPr>
        <w:tc>
          <w:tcPr>
            <w:tcW w:w="1899" w:type="dxa"/>
            <w:tcBorders>
              <w:left w:val="single" w:sz="4" w:space="0" w:color="auto"/>
            </w:tcBorders>
            <w:shd w:val="clear" w:color="auto" w:fill="FFFFFF"/>
            <w:tcMar>
              <w:top w:w="150" w:type="dxa"/>
              <w:left w:w="0" w:type="dxa"/>
              <w:bottom w:w="150" w:type="dxa"/>
              <w:right w:w="240" w:type="dxa"/>
            </w:tcMar>
            <w:vAlign w:val="center"/>
            <w:hideMark/>
          </w:tcPr>
          <w:p w14:paraId="0F11E81B"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δ₁</w:t>
            </w:r>
          </w:p>
        </w:tc>
        <w:tc>
          <w:tcPr>
            <w:tcW w:w="0" w:type="auto"/>
            <w:shd w:val="clear" w:color="auto" w:fill="FFFFFF"/>
            <w:tcMar>
              <w:top w:w="150" w:type="dxa"/>
              <w:left w:w="240" w:type="dxa"/>
              <w:bottom w:w="150" w:type="dxa"/>
              <w:right w:w="240" w:type="dxa"/>
            </w:tcMar>
            <w:vAlign w:val="center"/>
            <w:hideMark/>
          </w:tcPr>
          <w:p w14:paraId="3D02002B"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1.8 × 10⁻¹</w:t>
            </w:r>
          </w:p>
        </w:tc>
        <w:tc>
          <w:tcPr>
            <w:tcW w:w="5100" w:type="dxa"/>
            <w:tcBorders>
              <w:right w:val="single" w:sz="4" w:space="0" w:color="auto"/>
            </w:tcBorders>
            <w:shd w:val="clear" w:color="auto" w:fill="FFFFFF"/>
            <w:tcMar>
              <w:top w:w="150" w:type="dxa"/>
              <w:left w:w="240" w:type="dxa"/>
              <w:bottom w:w="150" w:type="dxa"/>
              <w:right w:w="0" w:type="dxa"/>
            </w:tcMar>
            <w:vAlign w:val="center"/>
            <w:hideMark/>
          </w:tcPr>
          <w:p w14:paraId="10CD397B" w14:textId="44E8D898"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w:t>
            </w:r>
            <w:r w:rsidR="001A7B91">
              <w:rPr>
                <w:rFonts w:ascii="Segoe UI" w:eastAsia="Times New Roman" w:hAnsi="Segoe UI" w:cs="Segoe UI"/>
                <w:color w:val="0F1115"/>
                <w:sz w:val="23"/>
                <w:szCs w:val="23"/>
              </w:rPr>
              <w:t>5</w:t>
            </w:r>
            <w:r w:rsidRPr="003003AB">
              <w:rPr>
                <w:rFonts w:ascii="Segoe UI" w:eastAsia="Times New Roman" w:hAnsi="Segoe UI" w:cs="Segoe UI"/>
                <w:color w:val="0F1115"/>
                <w:sz w:val="23"/>
                <w:szCs w:val="23"/>
              </w:rPr>
              <w:t>]</w:t>
            </w:r>
          </w:p>
        </w:tc>
      </w:tr>
      <w:tr w:rsidR="0073430E" w:rsidRPr="003003AB" w14:paraId="0F2ABFB4" w14:textId="77777777" w:rsidTr="0073430E">
        <w:trPr>
          <w:trHeight w:val="361"/>
        </w:trPr>
        <w:tc>
          <w:tcPr>
            <w:tcW w:w="1899" w:type="dxa"/>
            <w:tcBorders>
              <w:left w:val="single" w:sz="4" w:space="0" w:color="auto"/>
            </w:tcBorders>
            <w:shd w:val="clear" w:color="auto" w:fill="FFFFFF"/>
            <w:tcMar>
              <w:top w:w="150" w:type="dxa"/>
              <w:left w:w="0" w:type="dxa"/>
              <w:bottom w:w="150" w:type="dxa"/>
              <w:right w:w="240" w:type="dxa"/>
            </w:tcMar>
            <w:vAlign w:val="center"/>
            <w:hideMark/>
          </w:tcPr>
          <w:p w14:paraId="50C1A4C3"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γ₁</w:t>
            </w:r>
          </w:p>
        </w:tc>
        <w:tc>
          <w:tcPr>
            <w:tcW w:w="0" w:type="auto"/>
            <w:shd w:val="clear" w:color="auto" w:fill="FFFFFF"/>
            <w:tcMar>
              <w:top w:w="150" w:type="dxa"/>
              <w:left w:w="240" w:type="dxa"/>
              <w:bottom w:w="150" w:type="dxa"/>
              <w:right w:w="240" w:type="dxa"/>
            </w:tcMar>
            <w:vAlign w:val="center"/>
            <w:hideMark/>
          </w:tcPr>
          <w:p w14:paraId="2FDAB43E"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1.25 × 10⁻¹</w:t>
            </w:r>
          </w:p>
        </w:tc>
        <w:tc>
          <w:tcPr>
            <w:tcW w:w="5100" w:type="dxa"/>
            <w:tcBorders>
              <w:right w:val="single" w:sz="4" w:space="0" w:color="auto"/>
            </w:tcBorders>
            <w:shd w:val="clear" w:color="auto" w:fill="FFFFFF"/>
            <w:tcMar>
              <w:top w:w="150" w:type="dxa"/>
              <w:left w:w="240" w:type="dxa"/>
              <w:bottom w:w="150" w:type="dxa"/>
              <w:right w:w="0" w:type="dxa"/>
            </w:tcMar>
            <w:vAlign w:val="center"/>
            <w:hideMark/>
          </w:tcPr>
          <w:p w14:paraId="74417B79" w14:textId="6DAB698A"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w:t>
            </w:r>
            <w:r w:rsidR="001A7B91">
              <w:rPr>
                <w:rFonts w:ascii="Segoe UI" w:eastAsia="Times New Roman" w:hAnsi="Segoe UI" w:cs="Segoe UI"/>
                <w:color w:val="0F1115"/>
                <w:sz w:val="23"/>
                <w:szCs w:val="23"/>
              </w:rPr>
              <w:t>6</w:t>
            </w:r>
            <w:r w:rsidRPr="003003AB">
              <w:rPr>
                <w:rFonts w:ascii="Segoe UI" w:eastAsia="Times New Roman" w:hAnsi="Segoe UI" w:cs="Segoe UI"/>
                <w:color w:val="0F1115"/>
                <w:sz w:val="23"/>
                <w:szCs w:val="23"/>
              </w:rPr>
              <w:t>]</w:t>
            </w:r>
          </w:p>
        </w:tc>
      </w:tr>
      <w:tr w:rsidR="0073430E" w:rsidRPr="003003AB" w14:paraId="4C4AEB57" w14:textId="77777777" w:rsidTr="0073430E">
        <w:trPr>
          <w:trHeight w:val="361"/>
        </w:trPr>
        <w:tc>
          <w:tcPr>
            <w:tcW w:w="1899" w:type="dxa"/>
            <w:tcBorders>
              <w:left w:val="single" w:sz="4" w:space="0" w:color="auto"/>
            </w:tcBorders>
            <w:shd w:val="clear" w:color="auto" w:fill="FFFFFF"/>
            <w:tcMar>
              <w:top w:w="150" w:type="dxa"/>
              <w:left w:w="0" w:type="dxa"/>
              <w:bottom w:w="150" w:type="dxa"/>
              <w:right w:w="240" w:type="dxa"/>
            </w:tcMar>
            <w:vAlign w:val="center"/>
            <w:hideMark/>
          </w:tcPr>
          <w:p w14:paraId="760921D9"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φ₁</w:t>
            </w:r>
          </w:p>
        </w:tc>
        <w:tc>
          <w:tcPr>
            <w:tcW w:w="0" w:type="auto"/>
            <w:shd w:val="clear" w:color="auto" w:fill="FFFFFF"/>
            <w:tcMar>
              <w:top w:w="150" w:type="dxa"/>
              <w:left w:w="240" w:type="dxa"/>
              <w:bottom w:w="150" w:type="dxa"/>
              <w:right w:w="240" w:type="dxa"/>
            </w:tcMar>
            <w:vAlign w:val="center"/>
            <w:hideMark/>
          </w:tcPr>
          <w:p w14:paraId="57646A48"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8.8 × 10⁻³</w:t>
            </w:r>
          </w:p>
        </w:tc>
        <w:tc>
          <w:tcPr>
            <w:tcW w:w="5100" w:type="dxa"/>
            <w:tcBorders>
              <w:right w:val="single" w:sz="4" w:space="0" w:color="auto"/>
            </w:tcBorders>
            <w:shd w:val="clear" w:color="auto" w:fill="FFFFFF"/>
            <w:tcMar>
              <w:top w:w="150" w:type="dxa"/>
              <w:left w:w="240" w:type="dxa"/>
              <w:bottom w:w="150" w:type="dxa"/>
              <w:right w:w="0" w:type="dxa"/>
            </w:tcMar>
            <w:vAlign w:val="center"/>
            <w:hideMark/>
          </w:tcPr>
          <w:p w14:paraId="424E2E16"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Calculated</w:t>
            </w:r>
          </w:p>
        </w:tc>
      </w:tr>
      <w:tr w:rsidR="0073430E" w:rsidRPr="003003AB" w14:paraId="41129FFA" w14:textId="77777777" w:rsidTr="0073430E">
        <w:trPr>
          <w:trHeight w:val="361"/>
        </w:trPr>
        <w:tc>
          <w:tcPr>
            <w:tcW w:w="1899" w:type="dxa"/>
            <w:tcBorders>
              <w:left w:val="single" w:sz="4" w:space="0" w:color="auto"/>
            </w:tcBorders>
            <w:shd w:val="clear" w:color="auto" w:fill="FFFFFF"/>
            <w:tcMar>
              <w:top w:w="150" w:type="dxa"/>
              <w:left w:w="0" w:type="dxa"/>
              <w:bottom w:w="150" w:type="dxa"/>
              <w:right w:w="240" w:type="dxa"/>
            </w:tcMar>
            <w:vAlign w:val="center"/>
            <w:hideMark/>
          </w:tcPr>
          <w:p w14:paraId="71335147"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φ₂</w:t>
            </w:r>
          </w:p>
        </w:tc>
        <w:tc>
          <w:tcPr>
            <w:tcW w:w="0" w:type="auto"/>
            <w:shd w:val="clear" w:color="auto" w:fill="FFFFFF"/>
            <w:tcMar>
              <w:top w:w="150" w:type="dxa"/>
              <w:left w:w="240" w:type="dxa"/>
              <w:bottom w:w="150" w:type="dxa"/>
              <w:right w:w="240" w:type="dxa"/>
            </w:tcMar>
            <w:vAlign w:val="center"/>
            <w:hideMark/>
          </w:tcPr>
          <w:p w14:paraId="58C2077A"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8.8 × 10⁻¹</w:t>
            </w:r>
          </w:p>
        </w:tc>
        <w:tc>
          <w:tcPr>
            <w:tcW w:w="5100" w:type="dxa"/>
            <w:tcBorders>
              <w:right w:val="single" w:sz="4" w:space="0" w:color="auto"/>
            </w:tcBorders>
            <w:shd w:val="clear" w:color="auto" w:fill="FFFFFF"/>
            <w:tcMar>
              <w:top w:w="150" w:type="dxa"/>
              <w:left w:w="240" w:type="dxa"/>
              <w:bottom w:w="150" w:type="dxa"/>
              <w:right w:w="0" w:type="dxa"/>
            </w:tcMar>
            <w:vAlign w:val="center"/>
            <w:hideMark/>
          </w:tcPr>
          <w:p w14:paraId="26A5C8BC"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Calculated</w:t>
            </w:r>
          </w:p>
        </w:tc>
      </w:tr>
      <w:tr w:rsidR="0073430E" w:rsidRPr="003003AB" w14:paraId="7DC5A488" w14:textId="77777777" w:rsidTr="0073430E">
        <w:trPr>
          <w:trHeight w:val="361"/>
        </w:trPr>
        <w:tc>
          <w:tcPr>
            <w:tcW w:w="1899" w:type="dxa"/>
            <w:tcBorders>
              <w:left w:val="single" w:sz="4" w:space="0" w:color="auto"/>
            </w:tcBorders>
            <w:shd w:val="clear" w:color="auto" w:fill="FFFFFF"/>
            <w:tcMar>
              <w:top w:w="150" w:type="dxa"/>
              <w:left w:w="0" w:type="dxa"/>
              <w:bottom w:w="150" w:type="dxa"/>
              <w:right w:w="240" w:type="dxa"/>
            </w:tcMar>
            <w:vAlign w:val="center"/>
            <w:hideMark/>
          </w:tcPr>
          <w:p w14:paraId="028FFED5"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δ₂</w:t>
            </w:r>
          </w:p>
        </w:tc>
        <w:tc>
          <w:tcPr>
            <w:tcW w:w="0" w:type="auto"/>
            <w:shd w:val="clear" w:color="auto" w:fill="FFFFFF"/>
            <w:tcMar>
              <w:top w:w="150" w:type="dxa"/>
              <w:left w:w="240" w:type="dxa"/>
              <w:bottom w:w="150" w:type="dxa"/>
              <w:right w:w="240" w:type="dxa"/>
            </w:tcMar>
            <w:vAlign w:val="center"/>
            <w:hideMark/>
          </w:tcPr>
          <w:p w14:paraId="692FF004"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1.2</w:t>
            </w:r>
          </w:p>
        </w:tc>
        <w:tc>
          <w:tcPr>
            <w:tcW w:w="5100" w:type="dxa"/>
            <w:tcBorders>
              <w:right w:val="single" w:sz="4" w:space="0" w:color="auto"/>
            </w:tcBorders>
            <w:shd w:val="clear" w:color="auto" w:fill="FFFFFF"/>
            <w:tcMar>
              <w:top w:w="150" w:type="dxa"/>
              <w:left w:w="240" w:type="dxa"/>
              <w:bottom w:w="150" w:type="dxa"/>
              <w:right w:w="0" w:type="dxa"/>
            </w:tcMar>
            <w:vAlign w:val="center"/>
            <w:hideMark/>
          </w:tcPr>
          <w:p w14:paraId="6F17C3F6"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Estimated</w:t>
            </w:r>
          </w:p>
        </w:tc>
      </w:tr>
      <w:tr w:rsidR="0073430E" w:rsidRPr="003003AB" w14:paraId="4CC22905" w14:textId="77777777" w:rsidTr="0073430E">
        <w:trPr>
          <w:trHeight w:val="361"/>
        </w:trPr>
        <w:tc>
          <w:tcPr>
            <w:tcW w:w="1899" w:type="dxa"/>
            <w:tcBorders>
              <w:left w:val="single" w:sz="4" w:space="0" w:color="auto"/>
            </w:tcBorders>
            <w:shd w:val="clear" w:color="auto" w:fill="FFFFFF"/>
            <w:tcMar>
              <w:top w:w="150" w:type="dxa"/>
              <w:left w:w="0" w:type="dxa"/>
              <w:bottom w:w="150" w:type="dxa"/>
              <w:right w:w="240" w:type="dxa"/>
            </w:tcMar>
            <w:vAlign w:val="center"/>
            <w:hideMark/>
          </w:tcPr>
          <w:p w14:paraId="2245F277"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ε₂</w:t>
            </w:r>
          </w:p>
        </w:tc>
        <w:tc>
          <w:tcPr>
            <w:tcW w:w="0" w:type="auto"/>
            <w:shd w:val="clear" w:color="auto" w:fill="FFFFFF"/>
            <w:tcMar>
              <w:top w:w="150" w:type="dxa"/>
              <w:left w:w="240" w:type="dxa"/>
              <w:bottom w:w="150" w:type="dxa"/>
              <w:right w:w="240" w:type="dxa"/>
            </w:tcMar>
            <w:vAlign w:val="center"/>
            <w:hideMark/>
          </w:tcPr>
          <w:p w14:paraId="707378D9"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8.0 × 10⁻¹</w:t>
            </w:r>
          </w:p>
        </w:tc>
        <w:tc>
          <w:tcPr>
            <w:tcW w:w="5100" w:type="dxa"/>
            <w:tcBorders>
              <w:right w:val="single" w:sz="4" w:space="0" w:color="auto"/>
            </w:tcBorders>
            <w:shd w:val="clear" w:color="auto" w:fill="FFFFFF"/>
            <w:tcMar>
              <w:top w:w="150" w:type="dxa"/>
              <w:left w:w="240" w:type="dxa"/>
              <w:bottom w:w="150" w:type="dxa"/>
              <w:right w:w="0" w:type="dxa"/>
            </w:tcMar>
            <w:vAlign w:val="center"/>
            <w:hideMark/>
          </w:tcPr>
          <w:p w14:paraId="18F010D3"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Estimated</w:t>
            </w:r>
          </w:p>
        </w:tc>
      </w:tr>
      <w:tr w:rsidR="0073430E" w:rsidRPr="003003AB" w14:paraId="34FAD896" w14:textId="77777777" w:rsidTr="0073430E">
        <w:trPr>
          <w:trHeight w:val="348"/>
        </w:trPr>
        <w:tc>
          <w:tcPr>
            <w:tcW w:w="1899" w:type="dxa"/>
            <w:tcBorders>
              <w:left w:val="single" w:sz="4" w:space="0" w:color="auto"/>
            </w:tcBorders>
            <w:shd w:val="clear" w:color="auto" w:fill="FFFFFF"/>
            <w:tcMar>
              <w:top w:w="150" w:type="dxa"/>
              <w:left w:w="0" w:type="dxa"/>
              <w:bottom w:w="150" w:type="dxa"/>
              <w:right w:w="240" w:type="dxa"/>
            </w:tcMar>
            <w:vAlign w:val="center"/>
            <w:hideMark/>
          </w:tcPr>
          <w:p w14:paraId="4FAC91C3"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γ₂</w:t>
            </w:r>
          </w:p>
        </w:tc>
        <w:tc>
          <w:tcPr>
            <w:tcW w:w="0" w:type="auto"/>
            <w:shd w:val="clear" w:color="auto" w:fill="FFFFFF"/>
            <w:tcMar>
              <w:top w:w="150" w:type="dxa"/>
              <w:left w:w="240" w:type="dxa"/>
              <w:bottom w:w="150" w:type="dxa"/>
              <w:right w:w="240" w:type="dxa"/>
            </w:tcMar>
            <w:vAlign w:val="center"/>
            <w:hideMark/>
          </w:tcPr>
          <w:p w14:paraId="2A60C3BA"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1.2</w:t>
            </w:r>
          </w:p>
        </w:tc>
        <w:tc>
          <w:tcPr>
            <w:tcW w:w="5100" w:type="dxa"/>
            <w:tcBorders>
              <w:right w:val="single" w:sz="4" w:space="0" w:color="auto"/>
            </w:tcBorders>
            <w:shd w:val="clear" w:color="auto" w:fill="FFFFFF"/>
            <w:tcMar>
              <w:top w:w="150" w:type="dxa"/>
              <w:left w:w="240" w:type="dxa"/>
              <w:bottom w:w="150" w:type="dxa"/>
              <w:right w:w="0" w:type="dxa"/>
            </w:tcMar>
            <w:vAlign w:val="center"/>
            <w:hideMark/>
          </w:tcPr>
          <w:p w14:paraId="5D4180E6"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Estimated</w:t>
            </w:r>
          </w:p>
        </w:tc>
      </w:tr>
      <w:tr w:rsidR="0073430E" w:rsidRPr="003003AB" w14:paraId="1EC9A895" w14:textId="77777777" w:rsidTr="0073430E">
        <w:trPr>
          <w:trHeight w:val="361"/>
        </w:trPr>
        <w:tc>
          <w:tcPr>
            <w:tcW w:w="1899" w:type="dxa"/>
            <w:tcBorders>
              <w:left w:val="single" w:sz="4" w:space="0" w:color="auto"/>
            </w:tcBorders>
            <w:shd w:val="clear" w:color="auto" w:fill="FFFFFF"/>
            <w:tcMar>
              <w:top w:w="150" w:type="dxa"/>
              <w:left w:w="0" w:type="dxa"/>
              <w:bottom w:w="150" w:type="dxa"/>
              <w:right w:w="240" w:type="dxa"/>
            </w:tcMar>
            <w:vAlign w:val="center"/>
            <w:hideMark/>
          </w:tcPr>
          <w:p w14:paraId="1653D4F3"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ε₃</w:t>
            </w:r>
          </w:p>
        </w:tc>
        <w:tc>
          <w:tcPr>
            <w:tcW w:w="0" w:type="auto"/>
            <w:shd w:val="clear" w:color="auto" w:fill="FFFFFF"/>
            <w:tcMar>
              <w:top w:w="150" w:type="dxa"/>
              <w:left w:w="240" w:type="dxa"/>
              <w:bottom w:w="150" w:type="dxa"/>
              <w:right w:w="240" w:type="dxa"/>
            </w:tcMar>
            <w:vAlign w:val="center"/>
            <w:hideMark/>
          </w:tcPr>
          <w:p w14:paraId="291D3BAE"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7.5 × 10⁻¹</w:t>
            </w:r>
          </w:p>
        </w:tc>
        <w:tc>
          <w:tcPr>
            <w:tcW w:w="5100" w:type="dxa"/>
            <w:tcBorders>
              <w:right w:val="single" w:sz="4" w:space="0" w:color="auto"/>
            </w:tcBorders>
            <w:shd w:val="clear" w:color="auto" w:fill="FFFFFF"/>
            <w:tcMar>
              <w:top w:w="150" w:type="dxa"/>
              <w:left w:w="240" w:type="dxa"/>
              <w:bottom w:w="150" w:type="dxa"/>
              <w:right w:w="0" w:type="dxa"/>
            </w:tcMar>
            <w:vAlign w:val="center"/>
            <w:hideMark/>
          </w:tcPr>
          <w:p w14:paraId="61874E09"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Estimated</w:t>
            </w:r>
          </w:p>
        </w:tc>
      </w:tr>
      <w:tr w:rsidR="0073430E" w:rsidRPr="003003AB" w14:paraId="0A68D98A" w14:textId="77777777" w:rsidTr="0073430E">
        <w:trPr>
          <w:trHeight w:val="361"/>
        </w:trPr>
        <w:tc>
          <w:tcPr>
            <w:tcW w:w="1899" w:type="dxa"/>
            <w:tcBorders>
              <w:left w:val="single" w:sz="4" w:space="0" w:color="auto"/>
            </w:tcBorders>
            <w:shd w:val="clear" w:color="auto" w:fill="FFFFFF"/>
            <w:tcMar>
              <w:top w:w="150" w:type="dxa"/>
              <w:left w:w="0" w:type="dxa"/>
              <w:bottom w:w="150" w:type="dxa"/>
              <w:right w:w="240" w:type="dxa"/>
            </w:tcMar>
            <w:vAlign w:val="center"/>
            <w:hideMark/>
          </w:tcPr>
          <w:p w14:paraId="39551287"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δ₃</w:t>
            </w:r>
          </w:p>
        </w:tc>
        <w:tc>
          <w:tcPr>
            <w:tcW w:w="0" w:type="auto"/>
            <w:shd w:val="clear" w:color="auto" w:fill="FFFFFF"/>
            <w:tcMar>
              <w:top w:w="150" w:type="dxa"/>
              <w:left w:w="240" w:type="dxa"/>
              <w:bottom w:w="150" w:type="dxa"/>
              <w:right w:w="240" w:type="dxa"/>
            </w:tcMar>
            <w:vAlign w:val="center"/>
            <w:hideMark/>
          </w:tcPr>
          <w:p w14:paraId="0FB499F1"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1.25</w:t>
            </w:r>
          </w:p>
        </w:tc>
        <w:tc>
          <w:tcPr>
            <w:tcW w:w="5100" w:type="dxa"/>
            <w:tcBorders>
              <w:right w:val="single" w:sz="4" w:space="0" w:color="auto"/>
            </w:tcBorders>
            <w:shd w:val="clear" w:color="auto" w:fill="FFFFFF"/>
            <w:tcMar>
              <w:top w:w="150" w:type="dxa"/>
              <w:left w:w="240" w:type="dxa"/>
              <w:bottom w:w="150" w:type="dxa"/>
              <w:right w:w="0" w:type="dxa"/>
            </w:tcMar>
            <w:vAlign w:val="center"/>
            <w:hideMark/>
          </w:tcPr>
          <w:p w14:paraId="1E825E50"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Estimated</w:t>
            </w:r>
          </w:p>
        </w:tc>
      </w:tr>
      <w:tr w:rsidR="0073430E" w:rsidRPr="003003AB" w14:paraId="5DA181FE" w14:textId="77777777" w:rsidTr="0073430E">
        <w:trPr>
          <w:trHeight w:val="361"/>
        </w:trPr>
        <w:tc>
          <w:tcPr>
            <w:tcW w:w="1899" w:type="dxa"/>
            <w:tcBorders>
              <w:left w:val="single" w:sz="4" w:space="0" w:color="auto"/>
            </w:tcBorders>
            <w:shd w:val="clear" w:color="auto" w:fill="FFFFFF"/>
            <w:tcMar>
              <w:top w:w="150" w:type="dxa"/>
              <w:left w:w="0" w:type="dxa"/>
              <w:bottom w:w="150" w:type="dxa"/>
              <w:right w:w="240" w:type="dxa"/>
            </w:tcMar>
            <w:vAlign w:val="center"/>
            <w:hideMark/>
          </w:tcPr>
          <w:p w14:paraId="736E38A1"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dₚ</w:t>
            </w:r>
          </w:p>
        </w:tc>
        <w:tc>
          <w:tcPr>
            <w:tcW w:w="0" w:type="auto"/>
            <w:shd w:val="clear" w:color="auto" w:fill="FFFFFF"/>
            <w:tcMar>
              <w:top w:w="150" w:type="dxa"/>
              <w:left w:w="240" w:type="dxa"/>
              <w:bottom w:w="150" w:type="dxa"/>
              <w:right w:w="240" w:type="dxa"/>
            </w:tcMar>
            <w:vAlign w:val="center"/>
            <w:hideMark/>
          </w:tcPr>
          <w:p w14:paraId="667F6CDA"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3.4 × 10⁻²</w:t>
            </w:r>
          </w:p>
        </w:tc>
        <w:tc>
          <w:tcPr>
            <w:tcW w:w="5100" w:type="dxa"/>
            <w:tcBorders>
              <w:right w:val="single" w:sz="4" w:space="0" w:color="auto"/>
            </w:tcBorders>
            <w:shd w:val="clear" w:color="auto" w:fill="FFFFFF"/>
            <w:tcMar>
              <w:top w:w="150" w:type="dxa"/>
              <w:left w:w="240" w:type="dxa"/>
              <w:bottom w:w="150" w:type="dxa"/>
              <w:right w:w="0" w:type="dxa"/>
            </w:tcMar>
            <w:vAlign w:val="center"/>
            <w:hideMark/>
          </w:tcPr>
          <w:p w14:paraId="417FC47B" w14:textId="70F1ADDA"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w:t>
            </w:r>
            <w:r w:rsidR="001A7B91">
              <w:rPr>
                <w:rFonts w:ascii="Segoe UI" w:eastAsia="Times New Roman" w:hAnsi="Segoe UI" w:cs="Segoe UI"/>
                <w:color w:val="0F1115"/>
                <w:sz w:val="23"/>
                <w:szCs w:val="23"/>
              </w:rPr>
              <w:t>6</w:t>
            </w:r>
            <w:r w:rsidRPr="003003AB">
              <w:rPr>
                <w:rFonts w:ascii="Segoe UI" w:eastAsia="Times New Roman" w:hAnsi="Segoe UI" w:cs="Segoe UI"/>
                <w:color w:val="0F1115"/>
                <w:sz w:val="23"/>
                <w:szCs w:val="23"/>
              </w:rPr>
              <w:t>]</w:t>
            </w:r>
          </w:p>
        </w:tc>
      </w:tr>
      <w:tr w:rsidR="0073430E" w:rsidRPr="003003AB" w14:paraId="51E24C08" w14:textId="77777777" w:rsidTr="0073430E">
        <w:trPr>
          <w:trHeight w:val="361"/>
        </w:trPr>
        <w:tc>
          <w:tcPr>
            <w:tcW w:w="1899" w:type="dxa"/>
            <w:tcBorders>
              <w:left w:val="single" w:sz="4" w:space="0" w:color="auto"/>
            </w:tcBorders>
            <w:shd w:val="clear" w:color="auto" w:fill="FFFFFF"/>
            <w:tcMar>
              <w:top w:w="150" w:type="dxa"/>
              <w:left w:w="0" w:type="dxa"/>
              <w:bottom w:w="150" w:type="dxa"/>
              <w:right w:w="240" w:type="dxa"/>
            </w:tcMar>
            <w:vAlign w:val="center"/>
            <w:hideMark/>
          </w:tcPr>
          <w:p w14:paraId="1804C8EA"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proofErr w:type="spellStart"/>
            <w:r w:rsidRPr="003003AB">
              <w:rPr>
                <w:rFonts w:ascii="Segoe UI" w:eastAsia="Times New Roman" w:hAnsi="Segoe UI" w:cs="Segoe UI"/>
                <w:color w:val="0F1115"/>
                <w:sz w:val="23"/>
                <w:szCs w:val="23"/>
              </w:rPr>
              <w:t>d_A</w:t>
            </w:r>
            <w:proofErr w:type="spellEnd"/>
          </w:p>
        </w:tc>
        <w:tc>
          <w:tcPr>
            <w:tcW w:w="0" w:type="auto"/>
            <w:shd w:val="clear" w:color="auto" w:fill="FFFFFF"/>
            <w:tcMar>
              <w:top w:w="150" w:type="dxa"/>
              <w:left w:w="240" w:type="dxa"/>
              <w:bottom w:w="150" w:type="dxa"/>
              <w:right w:w="240" w:type="dxa"/>
            </w:tcMar>
            <w:vAlign w:val="center"/>
            <w:hideMark/>
          </w:tcPr>
          <w:p w14:paraId="0A9C721B"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2.3 × 10⁻⁴</w:t>
            </w:r>
          </w:p>
        </w:tc>
        <w:tc>
          <w:tcPr>
            <w:tcW w:w="5100" w:type="dxa"/>
            <w:tcBorders>
              <w:right w:val="single" w:sz="4" w:space="0" w:color="auto"/>
            </w:tcBorders>
            <w:shd w:val="clear" w:color="auto" w:fill="FFFFFF"/>
            <w:tcMar>
              <w:top w:w="150" w:type="dxa"/>
              <w:left w:w="240" w:type="dxa"/>
              <w:bottom w:w="150" w:type="dxa"/>
              <w:right w:w="0" w:type="dxa"/>
            </w:tcMar>
            <w:vAlign w:val="center"/>
            <w:hideMark/>
          </w:tcPr>
          <w:p w14:paraId="2ED23905" w14:textId="6DE2C225"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w:t>
            </w:r>
            <w:r w:rsidR="001A7B91">
              <w:rPr>
                <w:rFonts w:ascii="Segoe UI" w:eastAsia="Times New Roman" w:hAnsi="Segoe UI" w:cs="Segoe UI"/>
                <w:color w:val="0F1115"/>
                <w:sz w:val="23"/>
                <w:szCs w:val="23"/>
              </w:rPr>
              <w:t>6</w:t>
            </w:r>
            <w:r w:rsidRPr="003003AB">
              <w:rPr>
                <w:rFonts w:ascii="Segoe UI" w:eastAsia="Times New Roman" w:hAnsi="Segoe UI" w:cs="Segoe UI"/>
                <w:color w:val="0F1115"/>
                <w:sz w:val="23"/>
                <w:szCs w:val="23"/>
              </w:rPr>
              <w:t>]</w:t>
            </w:r>
          </w:p>
        </w:tc>
      </w:tr>
      <w:tr w:rsidR="0073430E" w:rsidRPr="003003AB" w14:paraId="08C46BAF" w14:textId="77777777" w:rsidTr="0073430E">
        <w:trPr>
          <w:trHeight w:val="361"/>
        </w:trPr>
        <w:tc>
          <w:tcPr>
            <w:tcW w:w="1899" w:type="dxa"/>
            <w:tcBorders>
              <w:left w:val="single" w:sz="4" w:space="0" w:color="auto"/>
            </w:tcBorders>
            <w:shd w:val="clear" w:color="auto" w:fill="FFFFFF"/>
            <w:tcMar>
              <w:top w:w="150" w:type="dxa"/>
              <w:left w:w="0" w:type="dxa"/>
              <w:bottom w:w="150" w:type="dxa"/>
              <w:right w:w="240" w:type="dxa"/>
            </w:tcMar>
            <w:vAlign w:val="center"/>
            <w:hideMark/>
          </w:tcPr>
          <w:p w14:paraId="718BB93A"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β₁</w:t>
            </w:r>
          </w:p>
        </w:tc>
        <w:tc>
          <w:tcPr>
            <w:tcW w:w="0" w:type="auto"/>
            <w:shd w:val="clear" w:color="auto" w:fill="FFFFFF"/>
            <w:tcMar>
              <w:top w:w="150" w:type="dxa"/>
              <w:left w:w="240" w:type="dxa"/>
              <w:bottom w:w="150" w:type="dxa"/>
              <w:right w:w="240" w:type="dxa"/>
            </w:tcMar>
            <w:vAlign w:val="center"/>
            <w:hideMark/>
          </w:tcPr>
          <w:p w14:paraId="184DDC9C"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0.4</w:t>
            </w:r>
          </w:p>
        </w:tc>
        <w:tc>
          <w:tcPr>
            <w:tcW w:w="5100" w:type="dxa"/>
            <w:tcBorders>
              <w:right w:val="single" w:sz="4" w:space="0" w:color="auto"/>
            </w:tcBorders>
            <w:shd w:val="clear" w:color="auto" w:fill="FFFFFF"/>
            <w:tcMar>
              <w:top w:w="150" w:type="dxa"/>
              <w:left w:w="240" w:type="dxa"/>
              <w:bottom w:w="150" w:type="dxa"/>
              <w:right w:w="0" w:type="dxa"/>
            </w:tcMar>
            <w:vAlign w:val="center"/>
            <w:hideMark/>
          </w:tcPr>
          <w:p w14:paraId="7E150DEE"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Estimated</w:t>
            </w:r>
          </w:p>
        </w:tc>
      </w:tr>
      <w:tr w:rsidR="0073430E" w:rsidRPr="003003AB" w14:paraId="52DB7731" w14:textId="77777777" w:rsidTr="0073430E">
        <w:trPr>
          <w:trHeight w:val="361"/>
        </w:trPr>
        <w:tc>
          <w:tcPr>
            <w:tcW w:w="1899" w:type="dxa"/>
            <w:tcBorders>
              <w:left w:val="single" w:sz="4" w:space="0" w:color="auto"/>
            </w:tcBorders>
            <w:shd w:val="clear" w:color="auto" w:fill="FFFFFF"/>
            <w:tcMar>
              <w:top w:w="150" w:type="dxa"/>
              <w:left w:w="0" w:type="dxa"/>
              <w:bottom w:w="150" w:type="dxa"/>
              <w:right w:w="240" w:type="dxa"/>
            </w:tcMar>
            <w:vAlign w:val="center"/>
            <w:hideMark/>
          </w:tcPr>
          <w:p w14:paraId="7263D4BD"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ν₂, ν₁</w:t>
            </w:r>
          </w:p>
        </w:tc>
        <w:tc>
          <w:tcPr>
            <w:tcW w:w="0" w:type="auto"/>
            <w:shd w:val="clear" w:color="auto" w:fill="FFFFFF"/>
            <w:tcMar>
              <w:top w:w="150" w:type="dxa"/>
              <w:left w:w="240" w:type="dxa"/>
              <w:bottom w:w="150" w:type="dxa"/>
              <w:right w:w="240" w:type="dxa"/>
            </w:tcMar>
            <w:vAlign w:val="center"/>
            <w:hideMark/>
          </w:tcPr>
          <w:p w14:paraId="7AE55164"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0.6, 0.1</w:t>
            </w:r>
          </w:p>
        </w:tc>
        <w:tc>
          <w:tcPr>
            <w:tcW w:w="5100" w:type="dxa"/>
            <w:tcBorders>
              <w:right w:val="single" w:sz="4" w:space="0" w:color="auto"/>
            </w:tcBorders>
            <w:shd w:val="clear" w:color="auto" w:fill="FFFFFF"/>
            <w:tcMar>
              <w:top w:w="150" w:type="dxa"/>
              <w:left w:w="240" w:type="dxa"/>
              <w:bottom w:w="150" w:type="dxa"/>
              <w:right w:w="0" w:type="dxa"/>
            </w:tcMar>
            <w:vAlign w:val="center"/>
            <w:hideMark/>
          </w:tcPr>
          <w:p w14:paraId="4A70578C"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Estimated</w:t>
            </w:r>
          </w:p>
        </w:tc>
      </w:tr>
      <w:tr w:rsidR="0073430E" w:rsidRPr="003003AB" w14:paraId="3E1FA5BC" w14:textId="77777777" w:rsidTr="0073430E">
        <w:trPr>
          <w:trHeight w:val="19"/>
        </w:trPr>
        <w:tc>
          <w:tcPr>
            <w:tcW w:w="1899" w:type="dxa"/>
            <w:tcBorders>
              <w:left w:val="single" w:sz="4" w:space="0" w:color="auto"/>
              <w:bottom w:val="single" w:sz="4" w:space="0" w:color="auto"/>
            </w:tcBorders>
            <w:shd w:val="clear" w:color="auto" w:fill="FFFFFF"/>
            <w:tcMar>
              <w:top w:w="150" w:type="dxa"/>
              <w:left w:w="0" w:type="dxa"/>
              <w:bottom w:w="150" w:type="dxa"/>
              <w:right w:w="240" w:type="dxa"/>
            </w:tcMar>
            <w:vAlign w:val="center"/>
            <w:hideMark/>
          </w:tcPr>
          <w:p w14:paraId="48786AC4"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d_{Ap}</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4EA4C47C" w14:textId="77777777"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4.0 × 10⁻³</w:t>
            </w:r>
          </w:p>
        </w:tc>
        <w:tc>
          <w:tcPr>
            <w:tcW w:w="5100" w:type="dxa"/>
            <w:tcBorders>
              <w:bottom w:val="single" w:sz="4" w:space="0" w:color="auto"/>
              <w:right w:val="single" w:sz="4" w:space="0" w:color="auto"/>
            </w:tcBorders>
            <w:shd w:val="clear" w:color="auto" w:fill="FFFFFF"/>
            <w:tcMar>
              <w:top w:w="150" w:type="dxa"/>
              <w:left w:w="240" w:type="dxa"/>
              <w:bottom w:w="150" w:type="dxa"/>
              <w:right w:w="0" w:type="dxa"/>
            </w:tcMar>
            <w:vAlign w:val="center"/>
            <w:hideMark/>
          </w:tcPr>
          <w:p w14:paraId="22129660" w14:textId="1C16BE3E" w:rsidR="003003AB" w:rsidRPr="003003AB" w:rsidRDefault="003003AB" w:rsidP="003003AB">
            <w:pPr>
              <w:spacing w:after="0" w:line="375" w:lineRule="atLeast"/>
              <w:ind w:left="0" w:firstLine="0"/>
              <w:jc w:val="center"/>
              <w:rPr>
                <w:rFonts w:ascii="Segoe UI" w:eastAsia="Times New Roman" w:hAnsi="Segoe UI" w:cs="Segoe UI"/>
                <w:color w:val="0F1115"/>
                <w:sz w:val="23"/>
                <w:szCs w:val="23"/>
              </w:rPr>
            </w:pPr>
            <w:r w:rsidRPr="003003AB">
              <w:rPr>
                <w:rFonts w:ascii="Segoe UI" w:eastAsia="Times New Roman" w:hAnsi="Segoe UI" w:cs="Segoe UI"/>
                <w:color w:val="0F1115"/>
                <w:sz w:val="23"/>
                <w:szCs w:val="23"/>
              </w:rPr>
              <w:t>[</w:t>
            </w:r>
            <w:r w:rsidR="001A7B91">
              <w:rPr>
                <w:rFonts w:ascii="Segoe UI" w:eastAsia="Times New Roman" w:hAnsi="Segoe UI" w:cs="Segoe UI"/>
                <w:color w:val="0F1115"/>
                <w:sz w:val="23"/>
                <w:szCs w:val="23"/>
              </w:rPr>
              <w:t>5</w:t>
            </w:r>
            <w:r w:rsidRPr="003003AB">
              <w:rPr>
                <w:rFonts w:ascii="Segoe UI" w:eastAsia="Times New Roman" w:hAnsi="Segoe UI" w:cs="Segoe UI"/>
                <w:color w:val="0F1115"/>
                <w:sz w:val="23"/>
                <w:szCs w:val="23"/>
              </w:rPr>
              <w:t>]</w:t>
            </w:r>
          </w:p>
        </w:tc>
      </w:tr>
    </w:tbl>
    <w:p w14:paraId="5F25F45D" w14:textId="77777777" w:rsidR="00B53E0E" w:rsidRDefault="00B53E0E" w:rsidP="00B53E0E">
      <w:pPr>
        <w:pStyle w:val="Heading1"/>
        <w:ind w:left="-5"/>
        <w:jc w:val="left"/>
      </w:pPr>
      <w:r>
        <w:lastRenderedPageBreak/>
        <w:t>3. Numerical Results and Discussion</w:t>
      </w:r>
    </w:p>
    <w:p w14:paraId="4E1C702C" w14:textId="77777777" w:rsidR="00B53E0E" w:rsidRDefault="00B53E0E" w:rsidP="00B53E0E">
      <w:pPr>
        <w:spacing w:after="31"/>
        <w:ind w:left="-5"/>
      </w:pPr>
      <w:r>
        <w:t>In this section, the numerical results of our optimal control were presented by considering the implications of three control strategies. The graphs were plotted to show the effects of the control measures when implemented under different combination options. The three strategies were given as:</w:t>
      </w:r>
    </w:p>
    <w:p w14:paraId="34082067" w14:textId="77777777" w:rsidR="00B53E0E" w:rsidRDefault="00B53E0E" w:rsidP="00B53E0E">
      <w:pPr>
        <w:spacing w:after="46"/>
        <w:ind w:left="-5"/>
      </w:pPr>
      <w:r>
        <w:t>Strategy 1: Control measure against Pneumonia is implemented (</w:t>
      </w:r>
      <w:r>
        <w:rPr>
          <w:i/>
        </w:rPr>
        <w:t>u</w:t>
      </w:r>
      <w:r>
        <w:rPr>
          <w:vertAlign w:val="subscript"/>
        </w:rPr>
        <w:t xml:space="preserve">1 </w:t>
      </w:r>
      <m:oMath>
        <m:r>
          <w:rPr>
            <w:rFonts w:ascii="Cambria Math" w:hAnsi="Cambria Math"/>
            <w:vertAlign w:val="subscript"/>
          </w:rPr>
          <m:t>≠</m:t>
        </m:r>
      </m:oMath>
      <w:proofErr w:type="gramStart"/>
      <w:r>
        <w:t xml:space="preserve">0 </w:t>
      </w:r>
      <w:r>
        <w:rPr>
          <w:i/>
        </w:rPr>
        <w:t>,</w:t>
      </w:r>
      <w:proofErr w:type="gramEnd"/>
      <w:r>
        <w:rPr>
          <w:i/>
        </w:rPr>
        <w:t xml:space="preserve"> u</w:t>
      </w:r>
      <w:r>
        <w:rPr>
          <w:vertAlign w:val="subscript"/>
        </w:rPr>
        <w:t xml:space="preserve">2 </w:t>
      </w:r>
      <w:r>
        <w:t>= 0)</w:t>
      </w:r>
    </w:p>
    <w:p w14:paraId="36CFCFC8" w14:textId="77777777" w:rsidR="00B53E0E" w:rsidRDefault="00B53E0E" w:rsidP="00B53E0E">
      <w:pPr>
        <w:spacing w:after="46"/>
        <w:ind w:left="-5"/>
      </w:pPr>
      <w:r>
        <w:t>Strategy 2: Control measure against HIV is implemented (</w:t>
      </w:r>
      <w:r>
        <w:rPr>
          <w:i/>
        </w:rPr>
        <w:t>u</w:t>
      </w:r>
      <w:r>
        <w:rPr>
          <w:vertAlign w:val="subscript"/>
        </w:rPr>
        <w:t xml:space="preserve">1 </w:t>
      </w:r>
      <w:r>
        <w:t>= 0</w:t>
      </w:r>
      <w:r>
        <w:rPr>
          <w:i/>
        </w:rPr>
        <w:t>, u</w:t>
      </w:r>
      <w:r>
        <w:rPr>
          <w:vertAlign w:val="subscript"/>
        </w:rPr>
        <w:t xml:space="preserve">2 </w:t>
      </w:r>
      <m:oMath>
        <m:r>
          <w:rPr>
            <w:rFonts w:ascii="Cambria Math" w:hAnsi="Cambria Math"/>
            <w:vertAlign w:val="subscript"/>
          </w:rPr>
          <m:t>≠</m:t>
        </m:r>
      </m:oMath>
      <w:r>
        <w:t>0)</w:t>
      </w:r>
    </w:p>
    <w:p w14:paraId="5D63069E" w14:textId="77777777" w:rsidR="003003AB" w:rsidRDefault="00B53E0E" w:rsidP="00B53E0E">
      <w:pPr>
        <w:ind w:left="-5"/>
      </w:pPr>
      <w:r>
        <w:t>Strategy 3: All control measures are implemented (</w:t>
      </w:r>
      <w:r>
        <w:rPr>
          <w:i/>
        </w:rPr>
        <w:t>u</w:t>
      </w:r>
      <w:r>
        <w:rPr>
          <w:vertAlign w:val="subscript"/>
        </w:rPr>
        <w:t>1</w:t>
      </w:r>
      <m:oMath>
        <m:r>
          <w:rPr>
            <w:rFonts w:ascii="Cambria Math" w:hAnsi="Cambria Math"/>
            <w:vertAlign w:val="subscript"/>
          </w:rPr>
          <m:t>≠0</m:t>
        </m:r>
      </m:oMath>
      <w:r>
        <w:rPr>
          <w:i/>
        </w:rPr>
        <w:t>, u</w:t>
      </w:r>
      <w:r>
        <w:rPr>
          <w:vertAlign w:val="subscript"/>
        </w:rPr>
        <w:t xml:space="preserve">2 </w:t>
      </w:r>
      <m:oMath>
        <m:r>
          <w:rPr>
            <w:rFonts w:ascii="Cambria Math" w:hAnsi="Cambria Math"/>
            <w:vertAlign w:val="subscript"/>
          </w:rPr>
          <m:t>≠</m:t>
        </m:r>
      </m:oMath>
      <w:r>
        <w:t xml:space="preserve"> 0)</w:t>
      </w:r>
    </w:p>
    <w:p w14:paraId="3B01C8DF" w14:textId="77777777" w:rsidR="005D7683" w:rsidRDefault="00B049BF">
      <w:pPr>
        <w:pStyle w:val="Heading2"/>
        <w:ind w:left="-5"/>
      </w:pPr>
      <w:r>
        <w:t xml:space="preserve">3.1 Dynamics </w:t>
      </w:r>
      <w:r w:rsidR="00FE7C7A">
        <w:t>W</w:t>
      </w:r>
      <w:r>
        <w:t>ithout Controls (Baseline Scenario) (</w:t>
      </w:r>
      <w:r>
        <w:rPr>
          <w:b w:val="0"/>
          <w:i/>
        </w:rPr>
        <w:t>u</w:t>
      </w:r>
      <w:r>
        <w:rPr>
          <w:b w:val="0"/>
          <w:vertAlign w:val="subscript"/>
        </w:rPr>
        <w:t xml:space="preserve">1 </w:t>
      </w:r>
      <w:r>
        <w:rPr>
          <w:b w:val="0"/>
        </w:rPr>
        <w:t>= 0</w:t>
      </w:r>
      <w:r>
        <w:rPr>
          <w:b w:val="0"/>
          <w:i/>
        </w:rPr>
        <w:t>,</w:t>
      </w:r>
      <w:r w:rsidR="007376EC">
        <w:rPr>
          <w:b w:val="0"/>
          <w:i/>
        </w:rPr>
        <w:t xml:space="preserve"> </w:t>
      </w:r>
      <w:r>
        <w:rPr>
          <w:b w:val="0"/>
          <w:i/>
        </w:rPr>
        <w:t>u</w:t>
      </w:r>
      <w:r>
        <w:rPr>
          <w:b w:val="0"/>
          <w:vertAlign w:val="subscript"/>
        </w:rPr>
        <w:t xml:space="preserve">2 </w:t>
      </w:r>
      <w:r>
        <w:rPr>
          <w:b w:val="0"/>
        </w:rPr>
        <w:t>= 0</w:t>
      </w:r>
      <w:r>
        <w:t>)</w:t>
      </w:r>
    </w:p>
    <w:p w14:paraId="4E83D4F3" w14:textId="77777777" w:rsidR="005D7683" w:rsidRDefault="00B049BF">
      <w:pPr>
        <w:spacing w:after="1"/>
        <w:ind w:left="-5"/>
      </w:pPr>
      <w:r>
        <w:t>Figure 2 presents the baseline scenario with no controls. Over 100 days, the susceptible population sharply declined as individuals contracted both HIV and Pneumonia, causing a temporary spike in HIV infections. This was followed by a gradual decrease in infections due to disease-induced mortality. Meanwhile, the sub-population showing symptoms of HIV and AIDS decreased initially but then rose steadily, ultimately becoming the dominant group. By day 100, the number of uninfected individuals (susceptible and recovered) was surpassed by those infected with and showing symptoms of HIV and AIDS, with natural and disease</w:t>
      </w:r>
      <w:r w:rsidR="003003AB">
        <w:t xml:space="preserve"> </w:t>
      </w:r>
      <w:r>
        <w:t>induced death rates driving the decline of all other groups.</w:t>
      </w:r>
    </w:p>
    <w:p w14:paraId="328D4220" w14:textId="77777777" w:rsidR="005D7683" w:rsidRDefault="00B049BF">
      <w:pPr>
        <w:spacing w:after="236" w:line="259" w:lineRule="auto"/>
        <w:ind w:left="1842" w:firstLine="0"/>
        <w:jc w:val="left"/>
      </w:pPr>
      <w:r>
        <w:rPr>
          <w:noProof/>
        </w:rPr>
        <w:drawing>
          <wp:inline distT="0" distB="0" distL="0" distR="0" wp14:anchorId="31B778D8" wp14:editId="66A3B734">
            <wp:extent cx="4552950" cy="2597150"/>
            <wp:effectExtent l="0" t="0" r="0" b="0"/>
            <wp:docPr id="2683" name="Picture 2683"/>
            <wp:cNvGraphicFramePr/>
            <a:graphic xmlns:a="http://schemas.openxmlformats.org/drawingml/2006/main">
              <a:graphicData uri="http://schemas.openxmlformats.org/drawingml/2006/picture">
                <pic:pic xmlns:pic="http://schemas.openxmlformats.org/drawingml/2006/picture">
                  <pic:nvPicPr>
                    <pic:cNvPr id="2683" name="Picture 2683"/>
                    <pic:cNvPicPr/>
                  </pic:nvPicPr>
                  <pic:blipFill>
                    <a:blip r:embed="rId19"/>
                    <a:stretch>
                      <a:fillRect/>
                    </a:stretch>
                  </pic:blipFill>
                  <pic:spPr>
                    <a:xfrm>
                      <a:off x="0" y="0"/>
                      <a:ext cx="4554203" cy="2597865"/>
                    </a:xfrm>
                    <a:prstGeom prst="rect">
                      <a:avLst/>
                    </a:prstGeom>
                  </pic:spPr>
                </pic:pic>
              </a:graphicData>
            </a:graphic>
          </wp:inline>
        </w:drawing>
      </w:r>
    </w:p>
    <w:p w14:paraId="702E82EA" w14:textId="77777777" w:rsidR="005D7683" w:rsidRDefault="00B049BF">
      <w:pPr>
        <w:spacing w:after="328" w:line="265" w:lineRule="auto"/>
        <w:ind w:left="10"/>
        <w:jc w:val="center"/>
      </w:pPr>
      <w:r w:rsidRPr="003D154E">
        <w:rPr>
          <w:highlight w:val="yellow"/>
        </w:rPr>
        <w:t>Figure 2: The Dynamics of Population with no controls</w:t>
      </w:r>
    </w:p>
    <w:p w14:paraId="43613B2D" w14:textId="77777777" w:rsidR="005D7683" w:rsidRDefault="00B049BF">
      <w:pPr>
        <w:pStyle w:val="Heading2"/>
        <w:spacing w:after="49"/>
        <w:ind w:left="-5"/>
      </w:pPr>
      <w:r>
        <w:t>3.2 Dynamics for Strategy 1: Control measure against Pneumonia is implemented (</w:t>
      </w:r>
      <w:r>
        <w:rPr>
          <w:b w:val="0"/>
          <w:i/>
        </w:rPr>
        <w:t>u</w:t>
      </w:r>
      <w:r>
        <w:rPr>
          <w:b w:val="0"/>
          <w:vertAlign w:val="subscript"/>
        </w:rPr>
        <w:t>1</w:t>
      </w:r>
      <m:oMath>
        <m:r>
          <m:rPr>
            <m:sty m:val="bi"/>
          </m:rPr>
          <w:rPr>
            <w:rFonts w:ascii="Cambria Math" w:hAnsi="Cambria Math"/>
            <w:vertAlign w:val="subscript"/>
          </w:rPr>
          <m:t>≠</m:t>
        </m:r>
      </m:oMath>
      <w:r>
        <w:rPr>
          <w:b w:val="0"/>
        </w:rPr>
        <w:t>0</w:t>
      </w:r>
      <w:r>
        <w:rPr>
          <w:b w:val="0"/>
          <w:i/>
        </w:rPr>
        <w:t>,</w:t>
      </w:r>
      <w:r w:rsidR="00FE7C7A">
        <w:rPr>
          <w:b w:val="0"/>
          <w:i/>
        </w:rPr>
        <w:t xml:space="preserve"> </w:t>
      </w:r>
      <w:r>
        <w:rPr>
          <w:b w:val="0"/>
          <w:i/>
        </w:rPr>
        <w:t>u</w:t>
      </w:r>
      <w:r>
        <w:rPr>
          <w:b w:val="0"/>
          <w:vertAlign w:val="subscript"/>
        </w:rPr>
        <w:t xml:space="preserve">2 </w:t>
      </w:r>
      <w:r>
        <w:rPr>
          <w:b w:val="0"/>
        </w:rPr>
        <w:t>= 0</w:t>
      </w:r>
      <w:r>
        <w:t>)</w:t>
      </w:r>
    </w:p>
    <w:p w14:paraId="0428040B" w14:textId="77777777" w:rsidR="005D7683" w:rsidRDefault="00B049BF">
      <w:pPr>
        <w:spacing w:after="170"/>
        <w:ind w:left="-5"/>
      </w:pPr>
      <w:r>
        <w:t>Under this strategy, only the control measure against pneumonia was optimized. As shown in Figure 3, this involved intensive administration of pneumonia treatment at the optimal rate of 0.98 throughout the 100-day period. The objective was to minimize the number of infected individuals relative to the susceptible population. The model results show that, apart from the susceptible, those recovered from pneumonia, and those with symptomatic HIV, all other groups eventually declined and died out due to combined natural and disease-induced death rates.</w:t>
      </w:r>
    </w:p>
    <w:p w14:paraId="0E2FD38B" w14:textId="77777777" w:rsidR="005D7683" w:rsidRDefault="00B049BF">
      <w:pPr>
        <w:spacing w:after="237" w:line="259" w:lineRule="auto"/>
        <w:ind w:left="1842" w:firstLine="0"/>
        <w:jc w:val="left"/>
      </w:pPr>
      <w:r>
        <w:rPr>
          <w:noProof/>
        </w:rPr>
        <w:lastRenderedPageBreak/>
        <w:drawing>
          <wp:inline distT="0" distB="0" distL="0" distR="0" wp14:anchorId="31B843B2" wp14:editId="0509DC88">
            <wp:extent cx="4330700" cy="2635250"/>
            <wp:effectExtent l="0" t="0" r="0" b="0"/>
            <wp:docPr id="2722" name="Picture 2722"/>
            <wp:cNvGraphicFramePr/>
            <a:graphic xmlns:a="http://schemas.openxmlformats.org/drawingml/2006/main">
              <a:graphicData uri="http://schemas.openxmlformats.org/drawingml/2006/picture">
                <pic:pic xmlns:pic="http://schemas.openxmlformats.org/drawingml/2006/picture">
                  <pic:nvPicPr>
                    <pic:cNvPr id="2722" name="Picture 2722"/>
                    <pic:cNvPicPr/>
                  </pic:nvPicPr>
                  <pic:blipFill>
                    <a:blip r:embed="rId20"/>
                    <a:stretch>
                      <a:fillRect/>
                    </a:stretch>
                  </pic:blipFill>
                  <pic:spPr>
                    <a:xfrm>
                      <a:off x="0" y="0"/>
                      <a:ext cx="4331837" cy="2635942"/>
                    </a:xfrm>
                    <a:prstGeom prst="rect">
                      <a:avLst/>
                    </a:prstGeom>
                  </pic:spPr>
                </pic:pic>
              </a:graphicData>
            </a:graphic>
          </wp:inline>
        </w:drawing>
      </w:r>
    </w:p>
    <w:p w14:paraId="5BD34227" w14:textId="77777777" w:rsidR="005D7683" w:rsidRDefault="00B049BF">
      <w:pPr>
        <w:spacing w:after="355" w:line="265" w:lineRule="auto"/>
        <w:ind w:left="10"/>
        <w:jc w:val="center"/>
      </w:pPr>
      <w:r w:rsidRPr="003D154E">
        <w:rPr>
          <w:highlight w:val="yellow"/>
        </w:rPr>
        <w:t xml:space="preserve">Figure 3: The Dynamics of Population with </w:t>
      </w:r>
      <w:r w:rsidRPr="003D154E">
        <w:rPr>
          <w:i/>
          <w:highlight w:val="yellow"/>
        </w:rPr>
        <w:t>u</w:t>
      </w:r>
      <w:r w:rsidRPr="003D154E">
        <w:rPr>
          <w:highlight w:val="yellow"/>
          <w:vertAlign w:val="subscript"/>
        </w:rPr>
        <w:t xml:space="preserve">1 </w:t>
      </w:r>
      <w:r w:rsidRPr="003D154E">
        <w:rPr>
          <w:highlight w:val="yellow"/>
        </w:rPr>
        <w:t>only</w:t>
      </w:r>
    </w:p>
    <w:p w14:paraId="529DB705" w14:textId="77777777" w:rsidR="005D7683" w:rsidRDefault="00B049BF">
      <w:pPr>
        <w:pStyle w:val="Heading2"/>
        <w:spacing w:after="62"/>
        <w:ind w:left="-5"/>
      </w:pPr>
      <w:r>
        <w:t>3.</w:t>
      </w:r>
      <w:r w:rsidR="00FE7C7A">
        <w:t>3</w:t>
      </w:r>
      <w:r>
        <w:t xml:space="preserve"> Dynamics for Strategy 2: Control measure against HIV is implemented</w:t>
      </w:r>
    </w:p>
    <w:p w14:paraId="07832764" w14:textId="77777777" w:rsidR="005D7683" w:rsidRDefault="00B049BF">
      <w:pPr>
        <w:spacing w:after="16"/>
        <w:ind w:left="-5"/>
      </w:pPr>
      <w:r>
        <w:rPr>
          <w:b/>
        </w:rPr>
        <w:t>(</w:t>
      </w:r>
      <w:r>
        <w:rPr>
          <w:i/>
        </w:rPr>
        <w:t>u</w:t>
      </w:r>
      <w:r>
        <w:rPr>
          <w:vertAlign w:val="subscript"/>
        </w:rPr>
        <w:t xml:space="preserve">1 </w:t>
      </w:r>
      <m:oMath>
        <m:r>
          <w:rPr>
            <w:rFonts w:ascii="Cambria Math" w:hAnsi="Cambria Math"/>
            <w:vertAlign w:val="subscript"/>
          </w:rPr>
          <m:t>=</m:t>
        </m:r>
      </m:oMath>
      <w:r>
        <w:t>0</w:t>
      </w:r>
      <w:r>
        <w:rPr>
          <w:i/>
        </w:rPr>
        <w:t>,</w:t>
      </w:r>
      <w:r w:rsidR="00FE7C7A">
        <w:rPr>
          <w:i/>
        </w:rPr>
        <w:t xml:space="preserve"> </w:t>
      </w:r>
      <w:r>
        <w:rPr>
          <w:i/>
        </w:rPr>
        <w:t>u</w:t>
      </w:r>
      <w:r>
        <w:rPr>
          <w:vertAlign w:val="subscript"/>
        </w:rPr>
        <w:t xml:space="preserve">2 </w:t>
      </w:r>
      <m:oMath>
        <m:r>
          <w:rPr>
            <w:rFonts w:ascii="Cambria Math" w:hAnsi="Cambria Math"/>
            <w:vertAlign w:val="subscript"/>
          </w:rPr>
          <m:t>≠</m:t>
        </m:r>
      </m:oMath>
      <w:r>
        <w:t>0</w:t>
      </w:r>
      <w:r>
        <w:rPr>
          <w:b/>
        </w:rPr>
        <w:t>)</w:t>
      </w:r>
    </w:p>
    <w:p w14:paraId="4D8AE25F" w14:textId="77777777" w:rsidR="005D7683" w:rsidRDefault="00B049BF">
      <w:pPr>
        <w:spacing w:after="1"/>
        <w:ind w:left="-5"/>
      </w:pPr>
      <w:r>
        <w:t xml:space="preserve">Under this strategy, only control measure against </w:t>
      </w:r>
      <w:r w:rsidR="00FE7C7A" w:rsidRPr="00FE7C7A">
        <w:rPr>
          <w:highlight w:val="yellow"/>
        </w:rPr>
        <w:t>HIV</w:t>
      </w:r>
      <w:r w:rsidRPr="00FE7C7A">
        <w:rPr>
          <w:highlight w:val="yellow"/>
        </w:rPr>
        <w:t xml:space="preserve"> infection</w:t>
      </w:r>
      <w:r>
        <w:t xml:space="preserve"> was used for optimization of the objective functional and the dynamics of the population was as shown in Figure 4. From Figure 4, the study noted that all individuals apart from recoveries from Pneumonia, susceptible and infected with HIV and showing symptoms of HIV decreased and died out due to induced death rates and natural death rates at the end of 100 days. To keep the number of individuals living with the infections as low as possible (as compared to susceptible individuals), HIV treatment was administered at the optimal rate of 0</w:t>
      </w:r>
      <w:r>
        <w:rPr>
          <w:i/>
        </w:rPr>
        <w:t>.</w:t>
      </w:r>
      <w:r>
        <w:t>12 throughout for 100 days.</w:t>
      </w:r>
    </w:p>
    <w:p w14:paraId="641B3572" w14:textId="77777777" w:rsidR="005D7683" w:rsidRDefault="00B049BF">
      <w:pPr>
        <w:spacing w:after="237" w:line="259" w:lineRule="auto"/>
        <w:ind w:left="1843" w:firstLine="0"/>
        <w:jc w:val="left"/>
      </w:pPr>
      <w:r>
        <w:rPr>
          <w:noProof/>
        </w:rPr>
        <w:drawing>
          <wp:inline distT="0" distB="0" distL="0" distR="0" wp14:anchorId="665E1137" wp14:editId="41C75395">
            <wp:extent cx="4057650" cy="2501900"/>
            <wp:effectExtent l="0" t="0" r="0" b="0"/>
            <wp:docPr id="2748" name="Picture 2748"/>
            <wp:cNvGraphicFramePr/>
            <a:graphic xmlns:a="http://schemas.openxmlformats.org/drawingml/2006/main">
              <a:graphicData uri="http://schemas.openxmlformats.org/drawingml/2006/picture">
                <pic:pic xmlns:pic="http://schemas.openxmlformats.org/drawingml/2006/picture">
                  <pic:nvPicPr>
                    <pic:cNvPr id="2748" name="Picture 2748"/>
                    <pic:cNvPicPr/>
                  </pic:nvPicPr>
                  <pic:blipFill>
                    <a:blip r:embed="rId21"/>
                    <a:stretch>
                      <a:fillRect/>
                    </a:stretch>
                  </pic:blipFill>
                  <pic:spPr>
                    <a:xfrm>
                      <a:off x="0" y="0"/>
                      <a:ext cx="4058479" cy="2502411"/>
                    </a:xfrm>
                    <a:prstGeom prst="rect">
                      <a:avLst/>
                    </a:prstGeom>
                  </pic:spPr>
                </pic:pic>
              </a:graphicData>
            </a:graphic>
          </wp:inline>
        </w:drawing>
      </w:r>
    </w:p>
    <w:p w14:paraId="02DE3594" w14:textId="77777777" w:rsidR="005D7683" w:rsidRDefault="00B049BF">
      <w:pPr>
        <w:spacing w:after="318" w:line="265" w:lineRule="auto"/>
        <w:ind w:left="10"/>
        <w:jc w:val="center"/>
      </w:pPr>
      <w:r>
        <w:t xml:space="preserve">Figure 4: The Dynamics of Population with </w:t>
      </w:r>
      <w:r>
        <w:rPr>
          <w:i/>
        </w:rPr>
        <w:t>u</w:t>
      </w:r>
      <w:r>
        <w:rPr>
          <w:vertAlign w:val="subscript"/>
        </w:rPr>
        <w:t xml:space="preserve">2 </w:t>
      </w:r>
      <w:r>
        <w:t>only</w:t>
      </w:r>
    </w:p>
    <w:p w14:paraId="21BA161B" w14:textId="77777777" w:rsidR="005D7683" w:rsidRDefault="00B049BF">
      <w:pPr>
        <w:pStyle w:val="Heading2"/>
        <w:ind w:left="-5"/>
      </w:pPr>
      <w:r>
        <w:lastRenderedPageBreak/>
        <w:t>3.</w:t>
      </w:r>
      <w:r w:rsidR="00FE7C7A">
        <w:t>4</w:t>
      </w:r>
      <w:r>
        <w:t xml:space="preserve"> Dynamics for Strategy 3: All control measures are implemented (</w:t>
      </w:r>
      <w:r>
        <w:rPr>
          <w:b w:val="0"/>
          <w:i/>
        </w:rPr>
        <w:t>u</w:t>
      </w:r>
      <w:r>
        <w:rPr>
          <w:b w:val="0"/>
          <w:vertAlign w:val="subscript"/>
        </w:rPr>
        <w:t>1</w:t>
      </w:r>
      <m:oMath>
        <m:r>
          <m:rPr>
            <m:sty m:val="bi"/>
          </m:rPr>
          <w:rPr>
            <w:rFonts w:ascii="Cambria Math" w:hAnsi="Cambria Math"/>
            <w:vertAlign w:val="subscript"/>
          </w:rPr>
          <m:t xml:space="preserve">≠0 </m:t>
        </m:r>
      </m:oMath>
      <w:r>
        <w:rPr>
          <w:b w:val="0"/>
          <w:i/>
        </w:rPr>
        <w:t>u</w:t>
      </w:r>
      <w:r>
        <w:rPr>
          <w:b w:val="0"/>
          <w:vertAlign w:val="subscript"/>
        </w:rPr>
        <w:t xml:space="preserve">2 </w:t>
      </w:r>
      <m:oMath>
        <m:r>
          <m:rPr>
            <m:sty m:val="bi"/>
          </m:rPr>
          <w:rPr>
            <w:rFonts w:ascii="Cambria Math" w:hAnsi="Cambria Math"/>
            <w:vertAlign w:val="subscript"/>
          </w:rPr>
          <m:t xml:space="preserve">≠ </m:t>
        </m:r>
      </m:oMath>
      <w:r>
        <w:rPr>
          <w:b w:val="0"/>
        </w:rPr>
        <w:t>0</w:t>
      </w:r>
      <w:r>
        <w:t>)</w:t>
      </w:r>
    </w:p>
    <w:p w14:paraId="7AEECB25" w14:textId="77777777" w:rsidR="005D7683" w:rsidRDefault="00B049BF">
      <w:pPr>
        <w:ind w:left="-5"/>
      </w:pPr>
      <w:r>
        <w:t>This strategy involved the optimized use of all controls against HIV and Pneumonia coinfections. The resulting population dynamics are shown in Figure 5. To minimize the number of infected individuals, the model administered HIV treatment at an optimal rate of 0.41 and Pneumonia treatment at a rate of 0.98 throughout the 100-day period. The simulation revealed the following trends: the susceptible population decreased, individuals infected with HIV (but without symptoms) saw a sharp initial increase before declining to lower levels, and the symptomatic HIV group increased slowly before eventually decreasing. By the end of the simulation, all sub-populations except the susceptible, the pneumonia</w:t>
      </w:r>
      <w:r w:rsidR="00CD70ED">
        <w:t xml:space="preserve"> </w:t>
      </w:r>
      <w:r>
        <w:t>recovered, and the HIV infected (with and without symptoms) had been eliminated due to natural and disease-induced death rates.</w:t>
      </w:r>
    </w:p>
    <w:p w14:paraId="35F44A45" w14:textId="77777777" w:rsidR="005D7683" w:rsidRDefault="00B049BF">
      <w:pPr>
        <w:spacing w:after="238" w:line="259" w:lineRule="auto"/>
        <w:ind w:left="1843" w:firstLine="0"/>
        <w:jc w:val="left"/>
      </w:pPr>
      <w:r>
        <w:rPr>
          <w:noProof/>
        </w:rPr>
        <w:drawing>
          <wp:inline distT="0" distB="0" distL="0" distR="0" wp14:anchorId="16DE447D" wp14:editId="67F61C37">
            <wp:extent cx="4413250" cy="2781300"/>
            <wp:effectExtent l="0" t="0" r="6350" b="0"/>
            <wp:docPr id="2780" name="Picture 2780"/>
            <wp:cNvGraphicFramePr/>
            <a:graphic xmlns:a="http://schemas.openxmlformats.org/drawingml/2006/main">
              <a:graphicData uri="http://schemas.openxmlformats.org/drawingml/2006/picture">
                <pic:pic xmlns:pic="http://schemas.openxmlformats.org/drawingml/2006/picture">
                  <pic:nvPicPr>
                    <pic:cNvPr id="2780" name="Picture 2780"/>
                    <pic:cNvPicPr/>
                  </pic:nvPicPr>
                  <pic:blipFill>
                    <a:blip r:embed="rId22"/>
                    <a:stretch>
                      <a:fillRect/>
                    </a:stretch>
                  </pic:blipFill>
                  <pic:spPr>
                    <a:xfrm>
                      <a:off x="0" y="0"/>
                      <a:ext cx="4414273" cy="2781945"/>
                    </a:xfrm>
                    <a:prstGeom prst="rect">
                      <a:avLst/>
                    </a:prstGeom>
                  </pic:spPr>
                </pic:pic>
              </a:graphicData>
            </a:graphic>
          </wp:inline>
        </w:drawing>
      </w:r>
    </w:p>
    <w:p w14:paraId="77D20E68" w14:textId="77777777" w:rsidR="005D7683" w:rsidRDefault="00B049BF">
      <w:pPr>
        <w:spacing w:after="389" w:line="265" w:lineRule="auto"/>
        <w:ind w:left="10" w:right="10"/>
        <w:jc w:val="center"/>
      </w:pPr>
      <w:r>
        <w:t xml:space="preserve">Figure 5: The Dynamics of Population with </w:t>
      </w:r>
      <w:r>
        <w:rPr>
          <w:i/>
        </w:rPr>
        <w:t>u</w:t>
      </w:r>
      <w:r>
        <w:rPr>
          <w:vertAlign w:val="subscript"/>
        </w:rPr>
        <w:t xml:space="preserve">1 </w:t>
      </w:r>
      <w:r>
        <w:t xml:space="preserve">and </w:t>
      </w:r>
      <w:r>
        <w:rPr>
          <w:i/>
        </w:rPr>
        <w:t>u</w:t>
      </w:r>
      <w:r>
        <w:rPr>
          <w:vertAlign w:val="subscript"/>
        </w:rPr>
        <w:t>2</w:t>
      </w:r>
    </w:p>
    <w:p w14:paraId="507FA7B6" w14:textId="77777777" w:rsidR="005D7683" w:rsidRDefault="00B049BF">
      <w:pPr>
        <w:spacing w:after="320"/>
        <w:ind w:left="-5"/>
      </w:pPr>
      <w:r>
        <w:t>Generally, analysis of Figures 2 through 5 revealed that the control strategies successfully kept the susceptible population above the infected populations in all cases except Figure 4. This indicates that the interventions had a positive impact, effectively reducing the overall number of infections. However, the strategy of applying only HIV treatment (Figure 4) was less effective. In this scenario, infected individuals outnumbered the susceptible population. The analysis showed that HIV treatment alone only reduced the number of symptomatic HIV and AIDS cases by a small margin-approximately 20 individuals.</w:t>
      </w:r>
    </w:p>
    <w:p w14:paraId="4C51DBBD" w14:textId="77777777" w:rsidR="005D7683" w:rsidRDefault="00B049BF">
      <w:pPr>
        <w:pStyle w:val="Heading1"/>
        <w:ind w:left="-5"/>
        <w:jc w:val="left"/>
      </w:pPr>
      <w:r>
        <w:t>4. Discussions of Cost-effective</w:t>
      </w:r>
      <w:r w:rsidR="00C736BC">
        <w:t>ness</w:t>
      </w:r>
      <w:r>
        <w:t xml:space="preserve"> Analysis</w:t>
      </w:r>
    </w:p>
    <w:p w14:paraId="7B67CDB4" w14:textId="77777777" w:rsidR="005D7683" w:rsidRDefault="00B049BF">
      <w:pPr>
        <w:spacing w:after="1"/>
        <w:ind w:left="-5"/>
      </w:pPr>
      <w:r>
        <w:t xml:space="preserve">A cost-effectiveness analysis was performed to identify the optimal strategy by comparing control costs against health outcomes using </w:t>
      </w:r>
      <w:r w:rsidR="00C736BC">
        <w:t xml:space="preserve">the total costs, </w:t>
      </w:r>
      <w:r>
        <w:t>the Infections Averted Ratio (IAR) and Incremental Cost-Effectiveness Ratio (ICER), which quantifies the additional cost per additional health benefit.</w:t>
      </w:r>
    </w:p>
    <w:p w14:paraId="584B6FBF" w14:textId="77777777" w:rsidR="00C736BC" w:rsidRDefault="00C736BC">
      <w:pPr>
        <w:spacing w:after="1"/>
        <w:ind w:left="-5"/>
      </w:pPr>
    </w:p>
    <w:p w14:paraId="610AC7E1" w14:textId="77777777" w:rsidR="00C736BC" w:rsidRDefault="00315116" w:rsidP="00C736BC">
      <w:pPr>
        <w:spacing w:after="2"/>
        <w:ind w:left="97"/>
      </w:pPr>
      <w:r>
        <w:lastRenderedPageBreak/>
        <w:t xml:space="preserve">The total costs for each strategy was calculated using the objective function equation (2). </w:t>
      </w:r>
      <w:r w:rsidR="00C736BC">
        <w:t>The difference between the total number of infections among individuals with controls and those without controls was taken to give the infections averted. The infection averted ratio (IAR) were given as;</w:t>
      </w:r>
    </w:p>
    <w:p w14:paraId="75A2E63D" w14:textId="77777777" w:rsidR="00C736BC" w:rsidRDefault="00C736BC" w:rsidP="00C736BC">
      <w:pPr>
        <w:tabs>
          <w:tab w:val="center" w:pos="4820"/>
          <w:tab w:val="right" w:pos="9469"/>
        </w:tabs>
        <w:spacing w:after="34" w:line="265" w:lineRule="auto"/>
        <w:ind w:left="0" w:right="-2" w:firstLine="0"/>
        <w:jc w:val="left"/>
      </w:pPr>
      <w:r>
        <w:rPr>
          <w:rFonts w:ascii="Calibri" w:eastAsia="Calibri" w:hAnsi="Calibri" w:cs="Calibri"/>
          <w:sz w:val="22"/>
        </w:rPr>
        <w:tab/>
      </w:r>
      <w:r>
        <w:rPr>
          <w:noProof/>
        </w:rPr>
        <w:drawing>
          <wp:inline distT="0" distB="0" distL="0" distR="0" wp14:anchorId="60ABD735" wp14:editId="3B6BF155">
            <wp:extent cx="2255520" cy="350520"/>
            <wp:effectExtent l="0" t="0" r="0" b="0"/>
            <wp:docPr id="20733" name="Picture 20733"/>
            <wp:cNvGraphicFramePr/>
            <a:graphic xmlns:a="http://schemas.openxmlformats.org/drawingml/2006/main">
              <a:graphicData uri="http://schemas.openxmlformats.org/drawingml/2006/picture">
                <pic:pic xmlns:pic="http://schemas.openxmlformats.org/drawingml/2006/picture">
                  <pic:nvPicPr>
                    <pic:cNvPr id="20733" name="Picture 20733"/>
                    <pic:cNvPicPr/>
                  </pic:nvPicPr>
                  <pic:blipFill>
                    <a:blip r:embed="rId23"/>
                    <a:stretch>
                      <a:fillRect/>
                    </a:stretch>
                  </pic:blipFill>
                  <pic:spPr>
                    <a:xfrm>
                      <a:off x="0" y="0"/>
                      <a:ext cx="2255520" cy="350520"/>
                    </a:xfrm>
                    <a:prstGeom prst="rect">
                      <a:avLst/>
                    </a:prstGeom>
                  </pic:spPr>
                </pic:pic>
              </a:graphicData>
            </a:graphic>
          </wp:inline>
        </w:drawing>
      </w:r>
      <w:r>
        <w:tab/>
        <w:t>(10)</w:t>
      </w:r>
    </w:p>
    <w:p w14:paraId="0567BAC2" w14:textId="77777777" w:rsidR="00C736BC" w:rsidRDefault="00C736BC">
      <w:pPr>
        <w:spacing w:after="1"/>
        <w:ind w:left="-5"/>
      </w:pPr>
    </w:p>
    <w:p w14:paraId="77745D0B" w14:textId="77777777" w:rsidR="00C736BC" w:rsidRDefault="00C736BC">
      <w:pPr>
        <w:spacing w:after="1"/>
        <w:ind w:left="-5"/>
      </w:pPr>
    </w:p>
    <w:p w14:paraId="46227485" w14:textId="77777777" w:rsidR="00C736BC" w:rsidRDefault="00C736BC" w:rsidP="00C736BC">
      <w:pPr>
        <w:spacing w:after="0"/>
        <w:ind w:left="97"/>
      </w:pPr>
      <w:r>
        <w:t>The ICER were evaluated by comparing any two competing interventions using their differences in the costs and health outcomes using the formula:</w:t>
      </w:r>
    </w:p>
    <w:p w14:paraId="32DCE02B" w14:textId="77777777" w:rsidR="00C736BC" w:rsidRDefault="00C736BC" w:rsidP="00C736BC">
      <w:pPr>
        <w:spacing w:after="106" w:line="259" w:lineRule="auto"/>
        <w:ind w:left="125" w:firstLine="0"/>
        <w:jc w:val="left"/>
      </w:pPr>
      <w:r>
        <w:rPr>
          <w:noProof/>
        </w:rPr>
        <w:drawing>
          <wp:inline distT="0" distB="0" distL="0" distR="0" wp14:anchorId="7F8A787B" wp14:editId="7E3D01A3">
            <wp:extent cx="5885688" cy="512064"/>
            <wp:effectExtent l="0" t="0" r="0" b="0"/>
            <wp:docPr id="20734" name="Picture 20734"/>
            <wp:cNvGraphicFramePr/>
            <a:graphic xmlns:a="http://schemas.openxmlformats.org/drawingml/2006/main">
              <a:graphicData uri="http://schemas.openxmlformats.org/drawingml/2006/picture">
                <pic:pic xmlns:pic="http://schemas.openxmlformats.org/drawingml/2006/picture">
                  <pic:nvPicPr>
                    <pic:cNvPr id="20734" name="Picture 20734"/>
                    <pic:cNvPicPr/>
                  </pic:nvPicPr>
                  <pic:blipFill>
                    <a:blip r:embed="rId24"/>
                    <a:stretch>
                      <a:fillRect/>
                    </a:stretch>
                  </pic:blipFill>
                  <pic:spPr>
                    <a:xfrm>
                      <a:off x="0" y="0"/>
                      <a:ext cx="5885688" cy="512064"/>
                    </a:xfrm>
                    <a:prstGeom prst="rect">
                      <a:avLst/>
                    </a:prstGeom>
                  </pic:spPr>
                </pic:pic>
              </a:graphicData>
            </a:graphic>
          </wp:inline>
        </w:drawing>
      </w:r>
    </w:p>
    <w:p w14:paraId="5E90A0E5" w14:textId="77777777" w:rsidR="005D7683" w:rsidRDefault="00B049BF">
      <w:pPr>
        <w:ind w:left="-5"/>
      </w:pPr>
      <w:r>
        <w:t>The total control costs and IAR were calculated and estimated in ($) USD over 100 as shown in table 3;</w:t>
      </w:r>
    </w:p>
    <w:p w14:paraId="6D7951C6" w14:textId="77777777" w:rsidR="005D7683" w:rsidRDefault="00B049BF">
      <w:pPr>
        <w:spacing w:after="192" w:line="265" w:lineRule="auto"/>
        <w:ind w:left="10"/>
        <w:jc w:val="center"/>
      </w:pPr>
      <w:bookmarkStart w:id="0" w:name="_GoBack"/>
      <w:r>
        <w:t>Table</w:t>
      </w:r>
      <w:bookmarkEnd w:id="0"/>
      <w:r>
        <w:t xml:space="preserve"> 3: Total infections averted and total cost</w:t>
      </w:r>
    </w:p>
    <w:tbl>
      <w:tblPr>
        <w:tblStyle w:val="TableGrid"/>
        <w:tblW w:w="6613" w:type="dxa"/>
        <w:tblInd w:w="1370" w:type="dxa"/>
        <w:tblCellMar>
          <w:top w:w="38" w:type="dxa"/>
          <w:right w:w="115" w:type="dxa"/>
        </w:tblCellMar>
        <w:tblLook w:val="04A0" w:firstRow="1" w:lastRow="0" w:firstColumn="1" w:lastColumn="0" w:noHBand="0" w:noVBand="1"/>
      </w:tblPr>
      <w:tblGrid>
        <w:gridCol w:w="4509"/>
        <w:gridCol w:w="2104"/>
      </w:tblGrid>
      <w:tr w:rsidR="005D7683" w14:paraId="1C962502" w14:textId="77777777">
        <w:trPr>
          <w:trHeight w:val="297"/>
        </w:trPr>
        <w:tc>
          <w:tcPr>
            <w:tcW w:w="4509" w:type="dxa"/>
            <w:tcBorders>
              <w:top w:val="single" w:sz="3" w:space="0" w:color="000000"/>
              <w:left w:val="single" w:sz="3" w:space="0" w:color="000000"/>
              <w:bottom w:val="single" w:sz="3" w:space="0" w:color="000000"/>
              <w:right w:val="nil"/>
            </w:tcBorders>
          </w:tcPr>
          <w:p w14:paraId="6242F7F0" w14:textId="77777777" w:rsidR="005D7683" w:rsidRDefault="00B049BF">
            <w:pPr>
              <w:spacing w:after="0" w:line="259" w:lineRule="auto"/>
              <w:ind w:left="120" w:firstLine="0"/>
              <w:jc w:val="left"/>
            </w:pPr>
            <w:r>
              <w:rPr>
                <w:b/>
              </w:rPr>
              <w:t>Strategies Total infections averted</w:t>
            </w:r>
          </w:p>
        </w:tc>
        <w:tc>
          <w:tcPr>
            <w:tcW w:w="2104" w:type="dxa"/>
            <w:tcBorders>
              <w:top w:val="single" w:sz="3" w:space="0" w:color="000000"/>
              <w:left w:val="nil"/>
              <w:bottom w:val="single" w:sz="3" w:space="0" w:color="000000"/>
              <w:right w:val="single" w:sz="3" w:space="0" w:color="000000"/>
            </w:tcBorders>
          </w:tcPr>
          <w:p w14:paraId="3E2E9851" w14:textId="77777777" w:rsidR="005D7683" w:rsidRDefault="00B049BF">
            <w:pPr>
              <w:spacing w:after="0" w:line="259" w:lineRule="auto"/>
              <w:ind w:left="0" w:firstLine="0"/>
              <w:jc w:val="left"/>
            </w:pPr>
            <w:r>
              <w:rPr>
                <w:b/>
              </w:rPr>
              <w:t xml:space="preserve">Total costs J </w:t>
            </w:r>
            <w:r>
              <w:t>($)</w:t>
            </w:r>
          </w:p>
        </w:tc>
      </w:tr>
      <w:tr w:rsidR="005D7683" w14:paraId="0A1569EE" w14:textId="77777777">
        <w:trPr>
          <w:trHeight w:val="291"/>
        </w:trPr>
        <w:tc>
          <w:tcPr>
            <w:tcW w:w="4509" w:type="dxa"/>
            <w:tcBorders>
              <w:top w:val="single" w:sz="3" w:space="0" w:color="000000"/>
              <w:left w:val="single" w:sz="3" w:space="0" w:color="000000"/>
              <w:bottom w:val="nil"/>
              <w:right w:val="nil"/>
            </w:tcBorders>
          </w:tcPr>
          <w:p w14:paraId="47167F70" w14:textId="77777777" w:rsidR="005D7683" w:rsidRDefault="00B049BF">
            <w:pPr>
              <w:tabs>
                <w:tab w:val="center" w:pos="1761"/>
              </w:tabs>
              <w:spacing w:after="0" w:line="259" w:lineRule="auto"/>
              <w:ind w:left="0" w:firstLine="0"/>
              <w:jc w:val="left"/>
            </w:pPr>
            <w:r>
              <w:t>Strategy 1</w:t>
            </w:r>
            <w:r>
              <w:tab/>
              <w:t>1.9688</w:t>
            </w:r>
          </w:p>
        </w:tc>
        <w:tc>
          <w:tcPr>
            <w:tcW w:w="2104" w:type="dxa"/>
            <w:tcBorders>
              <w:top w:val="single" w:sz="3" w:space="0" w:color="000000"/>
              <w:left w:val="nil"/>
              <w:bottom w:val="nil"/>
              <w:right w:val="single" w:sz="3" w:space="0" w:color="000000"/>
            </w:tcBorders>
          </w:tcPr>
          <w:p w14:paraId="4523D0FE" w14:textId="77777777" w:rsidR="005D7683" w:rsidRDefault="00B049BF">
            <w:pPr>
              <w:spacing w:after="0" w:line="259" w:lineRule="auto"/>
              <w:ind w:left="0" w:firstLine="0"/>
              <w:jc w:val="left"/>
            </w:pPr>
            <w:r>
              <w:t>59</w:t>
            </w:r>
            <w:r>
              <w:rPr>
                <w:i/>
              </w:rPr>
              <w:t>,</w:t>
            </w:r>
            <w:r>
              <w:t>741</w:t>
            </w:r>
            <w:r>
              <w:rPr>
                <w:i/>
              </w:rPr>
              <w:t>.</w:t>
            </w:r>
            <w:r>
              <w:t>6</w:t>
            </w:r>
          </w:p>
        </w:tc>
      </w:tr>
      <w:tr w:rsidR="005D7683" w14:paraId="09829A73" w14:textId="77777777">
        <w:trPr>
          <w:trHeight w:val="289"/>
        </w:trPr>
        <w:tc>
          <w:tcPr>
            <w:tcW w:w="4509" w:type="dxa"/>
            <w:tcBorders>
              <w:top w:val="nil"/>
              <w:left w:val="single" w:sz="3" w:space="0" w:color="000000"/>
              <w:bottom w:val="nil"/>
              <w:right w:val="nil"/>
            </w:tcBorders>
          </w:tcPr>
          <w:p w14:paraId="728D9823" w14:textId="77777777" w:rsidR="005D7683" w:rsidRDefault="00B049BF">
            <w:pPr>
              <w:tabs>
                <w:tab w:val="center" w:pos="1761"/>
              </w:tabs>
              <w:spacing w:after="0" w:line="259" w:lineRule="auto"/>
              <w:ind w:left="0" w:firstLine="0"/>
              <w:jc w:val="left"/>
            </w:pPr>
            <w:r>
              <w:t>Strategy 2</w:t>
            </w:r>
            <w:r>
              <w:tab/>
              <w:t>0.4500</w:t>
            </w:r>
          </w:p>
        </w:tc>
        <w:tc>
          <w:tcPr>
            <w:tcW w:w="2104" w:type="dxa"/>
            <w:tcBorders>
              <w:top w:val="nil"/>
              <w:left w:val="nil"/>
              <w:bottom w:val="nil"/>
              <w:right w:val="single" w:sz="3" w:space="0" w:color="000000"/>
            </w:tcBorders>
          </w:tcPr>
          <w:p w14:paraId="3D127E43" w14:textId="77777777" w:rsidR="005D7683" w:rsidRDefault="00B049BF">
            <w:pPr>
              <w:spacing w:after="0" w:line="259" w:lineRule="auto"/>
              <w:ind w:left="0" w:firstLine="0"/>
              <w:jc w:val="left"/>
            </w:pPr>
            <w:r>
              <w:t>32</w:t>
            </w:r>
            <w:r>
              <w:rPr>
                <w:i/>
              </w:rPr>
              <w:t>,</w:t>
            </w:r>
            <w:r>
              <w:t>472</w:t>
            </w:r>
          </w:p>
        </w:tc>
      </w:tr>
      <w:tr w:rsidR="005D7683" w14:paraId="51FEB3FE" w14:textId="77777777">
        <w:trPr>
          <w:trHeight w:val="295"/>
        </w:trPr>
        <w:tc>
          <w:tcPr>
            <w:tcW w:w="4509" w:type="dxa"/>
            <w:tcBorders>
              <w:top w:val="nil"/>
              <w:left w:val="single" w:sz="3" w:space="0" w:color="000000"/>
              <w:bottom w:val="single" w:sz="3" w:space="0" w:color="000000"/>
              <w:right w:val="nil"/>
            </w:tcBorders>
          </w:tcPr>
          <w:p w14:paraId="726BD38A" w14:textId="77777777" w:rsidR="005D7683" w:rsidRDefault="00B049BF">
            <w:pPr>
              <w:tabs>
                <w:tab w:val="center" w:pos="1820"/>
              </w:tabs>
              <w:spacing w:after="0" w:line="259" w:lineRule="auto"/>
              <w:ind w:left="0" w:firstLine="0"/>
              <w:jc w:val="left"/>
            </w:pPr>
            <w:r>
              <w:t>Strategy 3</w:t>
            </w:r>
            <w:r>
              <w:tab/>
              <w:t>2.02362</w:t>
            </w:r>
          </w:p>
        </w:tc>
        <w:tc>
          <w:tcPr>
            <w:tcW w:w="2104" w:type="dxa"/>
            <w:tcBorders>
              <w:top w:val="nil"/>
              <w:left w:val="nil"/>
              <w:bottom w:val="single" w:sz="3" w:space="0" w:color="000000"/>
              <w:right w:val="single" w:sz="3" w:space="0" w:color="000000"/>
            </w:tcBorders>
          </w:tcPr>
          <w:p w14:paraId="2D9F43F4" w14:textId="77777777" w:rsidR="005D7683" w:rsidRDefault="00B049BF">
            <w:pPr>
              <w:spacing w:after="0" w:line="259" w:lineRule="auto"/>
              <w:ind w:left="0" w:firstLine="0"/>
              <w:jc w:val="left"/>
            </w:pPr>
            <w:r>
              <w:t>59</w:t>
            </w:r>
            <w:r>
              <w:rPr>
                <w:i/>
              </w:rPr>
              <w:t>,</w:t>
            </w:r>
            <w:r>
              <w:t>700</w:t>
            </w:r>
            <w:r>
              <w:rPr>
                <w:i/>
              </w:rPr>
              <w:t>.</w:t>
            </w:r>
            <w:r>
              <w:t>5</w:t>
            </w:r>
          </w:p>
        </w:tc>
      </w:tr>
    </w:tbl>
    <w:p w14:paraId="334BF4A3" w14:textId="77777777" w:rsidR="00315116" w:rsidRDefault="00315116">
      <w:pPr>
        <w:spacing w:after="320"/>
        <w:ind w:left="-5"/>
      </w:pPr>
    </w:p>
    <w:p w14:paraId="03F4D122" w14:textId="77777777" w:rsidR="005D7683" w:rsidRDefault="00B049BF">
      <w:pPr>
        <w:spacing w:after="320"/>
        <w:ind w:left="-5"/>
      </w:pPr>
      <w:r>
        <w:t>From the table 3, Strategy 3 was the most effective as compared to the other strategies (Strategies 1 and 2) since it had the highest IAR. We therefore embarked on determining the strategy which was cost effective.</w:t>
      </w:r>
    </w:p>
    <w:p w14:paraId="6207B681" w14:textId="77777777" w:rsidR="005D7683" w:rsidRDefault="00B049BF">
      <w:pPr>
        <w:spacing w:after="1"/>
        <w:ind w:left="-5"/>
      </w:pPr>
      <w:r>
        <w:t>The ICER was calculated by first ranking the control strategies in increasing order of their effectiveness which is based on the infection that is averted. Strategy 2 averts the least number of infections, followed by Strategy 1 and then Strategy 3.</w:t>
      </w:r>
    </w:p>
    <w:p w14:paraId="5CF152B2" w14:textId="77777777" w:rsidR="005D7683" w:rsidRDefault="00B049BF">
      <w:pPr>
        <w:spacing w:after="306"/>
        <w:ind w:left="-5"/>
      </w:pPr>
      <w:r>
        <w:t>The ICER were computed as follows:</w:t>
      </w:r>
    </w:p>
    <w:p w14:paraId="30FE5CB8" w14:textId="77777777" w:rsidR="005D7683" w:rsidRDefault="00B049BF">
      <w:pPr>
        <w:spacing w:after="428" w:line="265" w:lineRule="auto"/>
        <w:ind w:left="2273" w:right="-15"/>
        <w:jc w:val="right"/>
      </w:pPr>
      <w:r>
        <w:rPr>
          <w:noProof/>
        </w:rPr>
        <w:drawing>
          <wp:anchor distT="0" distB="0" distL="114300" distR="114300" simplePos="0" relativeHeight="251658240" behindDoc="0" locked="0" layoutInCell="1" allowOverlap="0" wp14:anchorId="0B95B27D" wp14:editId="08ED12AC">
            <wp:simplePos x="0" y="0"/>
            <wp:positionH relativeFrom="column">
              <wp:posOffset>1436806</wp:posOffset>
            </wp:positionH>
            <wp:positionV relativeFrom="paragraph">
              <wp:posOffset>-102717</wp:posOffset>
            </wp:positionV>
            <wp:extent cx="2996184" cy="1200912"/>
            <wp:effectExtent l="0" t="0" r="0" b="0"/>
            <wp:wrapSquare wrapText="bothSides"/>
            <wp:docPr id="20484" name="Picture 20484"/>
            <wp:cNvGraphicFramePr/>
            <a:graphic xmlns:a="http://schemas.openxmlformats.org/drawingml/2006/main">
              <a:graphicData uri="http://schemas.openxmlformats.org/drawingml/2006/picture">
                <pic:pic xmlns:pic="http://schemas.openxmlformats.org/drawingml/2006/picture">
                  <pic:nvPicPr>
                    <pic:cNvPr id="20484" name="Picture 20484"/>
                    <pic:cNvPicPr/>
                  </pic:nvPicPr>
                  <pic:blipFill>
                    <a:blip r:embed="rId25"/>
                    <a:stretch>
                      <a:fillRect/>
                    </a:stretch>
                  </pic:blipFill>
                  <pic:spPr>
                    <a:xfrm>
                      <a:off x="0" y="0"/>
                      <a:ext cx="2996184" cy="1200912"/>
                    </a:xfrm>
                    <a:prstGeom prst="rect">
                      <a:avLst/>
                    </a:prstGeom>
                  </pic:spPr>
                </pic:pic>
              </a:graphicData>
            </a:graphic>
          </wp:anchor>
        </w:drawing>
      </w:r>
      <w:r>
        <w:t>(12)</w:t>
      </w:r>
    </w:p>
    <w:p w14:paraId="2937C175" w14:textId="77777777" w:rsidR="005D7683" w:rsidRDefault="00B049BF">
      <w:pPr>
        <w:spacing w:after="338" w:line="265" w:lineRule="auto"/>
        <w:ind w:left="2273" w:right="-15"/>
        <w:jc w:val="right"/>
      </w:pPr>
      <w:r>
        <w:t>(13)</w:t>
      </w:r>
    </w:p>
    <w:p w14:paraId="5B056B56" w14:textId="77777777" w:rsidR="005D7683" w:rsidRDefault="00B049BF">
      <w:pPr>
        <w:spacing w:after="189" w:line="265" w:lineRule="auto"/>
        <w:ind w:left="2273" w:right="-15"/>
        <w:jc w:val="right"/>
      </w:pPr>
      <w:r>
        <w:t>(14)</w:t>
      </w:r>
    </w:p>
    <w:p w14:paraId="79F3A72B" w14:textId="7AEA1DB2" w:rsidR="005D7683" w:rsidRDefault="00B049BF">
      <w:pPr>
        <w:spacing w:after="319"/>
        <w:ind w:left="-5"/>
      </w:pPr>
      <w:r>
        <w:t xml:space="preserve">From the above calculations of ICER, Strategy 1 effectively controls Pneumonia but not HIV. Strategy 2 shows the least impact, as the modest ART rate (0.12) is insufficient to quickly alter HIV dynamics, and it does not address Pneumonia directly. But the ICER analysis revealed that Strategy 3 dominated Strategy 1, as it was both less costly and more effective. This resulted in a cost saving of </w:t>
      </w:r>
      <w:r w:rsidR="00141DE2" w:rsidRPr="00141DE2">
        <w:rPr>
          <w:highlight w:val="yellow"/>
        </w:rPr>
        <w:t>625.4719</w:t>
      </w:r>
      <w:r>
        <w:t xml:space="preserve"> for Strategy 3 over Strategy 1. Consequently, </w:t>
      </w:r>
      <w:r>
        <w:lastRenderedPageBreak/>
        <w:t>Strategy 1 was excluded from the set of viable options to preserve limited resources. Hence, Strategy 3 was selected as the most cost-effective strategy.</w:t>
      </w:r>
    </w:p>
    <w:p w14:paraId="1361102A" w14:textId="77777777" w:rsidR="005D7683" w:rsidRDefault="00B049BF">
      <w:pPr>
        <w:pStyle w:val="Heading1"/>
        <w:ind w:left="-5"/>
        <w:jc w:val="left"/>
      </w:pPr>
      <w:r>
        <w:t>5.</w:t>
      </w:r>
      <w:r w:rsidR="00B53E0E">
        <w:t xml:space="preserve"> </w:t>
      </w:r>
      <w:r>
        <w:t>Conclusion and Recommendations</w:t>
      </w:r>
    </w:p>
    <w:p w14:paraId="0DB5D255" w14:textId="77777777" w:rsidR="005D7683" w:rsidRDefault="00B049BF">
      <w:pPr>
        <w:ind w:left="-5"/>
      </w:pPr>
      <w:r>
        <w:t>This study successfully implemented and numerically solved an optimal control model for Pneumonia-HIV co-infection. The simulations unequivocally demonstrate that a combined intervention strategy, simultaneously administering anti-Pneumonia drugs and ART, is the most effective for reducing disease prevalence. The cost-effectiveness analysis further solidifies this finding, identifying the combined strategy as the most efficient use of limited resources. The study recommends implementing Strategy 3, with Pneumonia treatment at</w:t>
      </w:r>
    </w:p>
    <w:p w14:paraId="1352CDC4" w14:textId="77777777" w:rsidR="005D7683" w:rsidRDefault="00B049BF" w:rsidP="00141DE2">
      <w:pPr>
        <w:spacing w:after="347"/>
        <w:ind w:left="-15" w:firstLine="0"/>
      </w:pPr>
      <w:r>
        <w:t>0.98 and HIV treatment at 0.41, as it simultaneously addresses both infections by boosting immunity against Pneumonia while prolonging life for HIV patients.</w:t>
      </w:r>
    </w:p>
    <w:p w14:paraId="0B981BE6" w14:textId="516D3612" w:rsidR="005D7683" w:rsidRDefault="00CB5B61" w:rsidP="00473CA0">
      <w:pPr>
        <w:pStyle w:val="Heading2"/>
        <w:ind w:left="0" w:firstLine="0"/>
      </w:pPr>
      <w:r>
        <w:t>6.</w:t>
      </w:r>
      <w:r w:rsidR="00B049BF">
        <w:t xml:space="preserve"> Limitations and Future Research</w:t>
      </w:r>
    </w:p>
    <w:p w14:paraId="6572F4A2" w14:textId="6383C76F" w:rsidR="00F11056" w:rsidRDefault="00B049BF">
      <w:pPr>
        <w:ind w:left="-5"/>
      </w:pPr>
      <w:r>
        <w:t xml:space="preserve">This research is deterministic and does not account for stochastic events or heterogeneous population mixing. </w:t>
      </w:r>
      <w:r w:rsidR="00CD70ED">
        <w:t>Therefore,</w:t>
      </w:r>
      <w:r>
        <w:t xml:space="preserve"> future work should consider extending the model to include age-structure or spatial heterogeneity to better reflect real-world transmission dynamics. Despite these limitations, this study provides a robust mathematical framework and a clear, data-driven recommendation for managing Pneumonia-HIV co-infection, serving as a valuable tool for epidemiologists and public health strategists.</w:t>
      </w:r>
    </w:p>
    <w:p w14:paraId="4D27EADA" w14:textId="77777777" w:rsidR="003F0724" w:rsidRPr="003F0724" w:rsidRDefault="003F0724" w:rsidP="003F0724">
      <w:pPr>
        <w:ind w:left="-5"/>
        <w:rPr>
          <w:b/>
        </w:rPr>
      </w:pPr>
      <w:r w:rsidRPr="003F0724">
        <w:rPr>
          <w:b/>
        </w:rPr>
        <w:t>Disclaimer (Artificial intelligence)</w:t>
      </w:r>
    </w:p>
    <w:p w14:paraId="0F698205" w14:textId="77777777" w:rsidR="003F0724" w:rsidRDefault="003F0724" w:rsidP="003F0724">
      <w:pPr>
        <w:ind w:left="-5"/>
      </w:pPr>
      <w:r>
        <w:t xml:space="preserve">Option 1: </w:t>
      </w:r>
    </w:p>
    <w:p w14:paraId="5DADB59C" w14:textId="77777777" w:rsidR="003F0724" w:rsidRDefault="003F0724" w:rsidP="003F0724">
      <w:pPr>
        <w:ind w:left="-5"/>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C1CF98F" w14:textId="77777777" w:rsidR="003F0724" w:rsidRDefault="003F0724" w:rsidP="003F0724">
      <w:pPr>
        <w:ind w:left="-5"/>
      </w:pPr>
      <w:r>
        <w:t xml:space="preserve">Option 2: </w:t>
      </w:r>
    </w:p>
    <w:p w14:paraId="2E9EE5A0" w14:textId="77777777" w:rsidR="003F0724" w:rsidRDefault="003F0724" w:rsidP="003F0724">
      <w:pPr>
        <w:ind w:left="-5"/>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0DBFC93" w14:textId="77777777" w:rsidR="003F0724" w:rsidRDefault="003F0724" w:rsidP="003F0724">
      <w:pPr>
        <w:ind w:left="-5"/>
      </w:pPr>
      <w:r>
        <w:t>Details of the AI usage are given below:</w:t>
      </w:r>
    </w:p>
    <w:p w14:paraId="327557E3" w14:textId="77777777" w:rsidR="003F0724" w:rsidRDefault="003F0724" w:rsidP="003F0724">
      <w:pPr>
        <w:ind w:left="-5"/>
      </w:pPr>
      <w:r>
        <w:t>1.</w:t>
      </w:r>
    </w:p>
    <w:p w14:paraId="5AB97A0D" w14:textId="77777777" w:rsidR="003F0724" w:rsidRDefault="003F0724" w:rsidP="003F0724">
      <w:pPr>
        <w:ind w:left="-5"/>
      </w:pPr>
      <w:r>
        <w:t>2.</w:t>
      </w:r>
    </w:p>
    <w:p w14:paraId="5186E5F5" w14:textId="188C35B8" w:rsidR="003F0724" w:rsidRDefault="003F0724" w:rsidP="003F0724">
      <w:pPr>
        <w:ind w:left="-5"/>
      </w:pPr>
      <w:r>
        <w:t>3.</w:t>
      </w:r>
    </w:p>
    <w:p w14:paraId="061FDFE5" w14:textId="77777777" w:rsidR="00F11056" w:rsidRDefault="00F11056">
      <w:pPr>
        <w:ind w:left="-5"/>
      </w:pPr>
    </w:p>
    <w:p w14:paraId="0FDCFD08" w14:textId="77777777" w:rsidR="005D7683" w:rsidRDefault="00B049BF">
      <w:pPr>
        <w:ind w:left="-5"/>
      </w:pPr>
      <w:r>
        <w:lastRenderedPageBreak/>
        <w:br w:type="page"/>
      </w:r>
    </w:p>
    <w:p w14:paraId="2BE3CF29" w14:textId="77777777" w:rsidR="007E25B1" w:rsidRDefault="007E25B1" w:rsidP="007E25B1">
      <w:pPr>
        <w:pStyle w:val="Heading1"/>
        <w:spacing w:after="280"/>
        <w:ind w:left="189" w:right="90"/>
      </w:pPr>
      <w:r>
        <w:lastRenderedPageBreak/>
        <w:t>References</w:t>
      </w:r>
    </w:p>
    <w:p w14:paraId="5D8F14A9" w14:textId="77777777" w:rsidR="007E25B1" w:rsidRDefault="007E25B1" w:rsidP="007E25B1">
      <w:pPr>
        <w:numPr>
          <w:ilvl w:val="0"/>
          <w:numId w:val="4"/>
        </w:numPr>
        <w:spacing w:after="26" w:line="259" w:lineRule="auto"/>
        <w:ind w:left="685" w:hanging="481"/>
      </w:pPr>
      <w:proofErr w:type="spellStart"/>
      <w:proofErr w:type="gramStart"/>
      <w:r>
        <w:t>Barbu,V</w:t>
      </w:r>
      <w:proofErr w:type="spellEnd"/>
      <w:r>
        <w:t>.</w:t>
      </w:r>
      <w:proofErr w:type="gramEnd"/>
      <w:r>
        <w:t xml:space="preserve"> </w:t>
      </w:r>
      <w:proofErr w:type="spellStart"/>
      <w:r>
        <w:t>Precupanu</w:t>
      </w:r>
      <w:proofErr w:type="spellEnd"/>
      <w:r>
        <w:t>, T. (2010).</w:t>
      </w:r>
      <w:r>
        <w:rPr>
          <w:i/>
        </w:rPr>
        <w:t>Convexity and Optimization in Banach Spaces</w:t>
      </w:r>
      <w:r>
        <w:t>, 4th ed.:</w:t>
      </w:r>
    </w:p>
    <w:p w14:paraId="55187D25" w14:textId="77777777" w:rsidR="007E25B1" w:rsidRDefault="007E25B1" w:rsidP="007E25B1">
      <w:pPr>
        <w:ind w:left="594"/>
      </w:pPr>
      <w:r>
        <w:t>Springer: Dordrecht, The Netherlands.</w:t>
      </w:r>
    </w:p>
    <w:p w14:paraId="2785E7E8" w14:textId="77777777" w:rsidR="007E25B1" w:rsidRDefault="007E25B1" w:rsidP="007E25B1">
      <w:pPr>
        <w:numPr>
          <w:ilvl w:val="0"/>
          <w:numId w:val="4"/>
        </w:numPr>
        <w:spacing w:after="230" w:line="269" w:lineRule="auto"/>
        <w:ind w:left="685" w:hanging="481"/>
      </w:pPr>
      <w:proofErr w:type="spellStart"/>
      <w:r>
        <w:t>Fiordelisi</w:t>
      </w:r>
      <w:proofErr w:type="spellEnd"/>
      <w:r>
        <w:t>, D., Poliseno, M., De Gennaro, N., Milano, E., Santoro, C. R., Segala, F. V., ... and Saracino, A. (2023). Varicella-zoster virus reactivation and increased vascular risk in people living with HIV: Data from a retrospective cohort study. Viruses, 15(11), 2217.</w:t>
      </w:r>
    </w:p>
    <w:p w14:paraId="571E8599" w14:textId="77777777" w:rsidR="007E25B1" w:rsidRDefault="007E25B1" w:rsidP="007E25B1">
      <w:pPr>
        <w:numPr>
          <w:ilvl w:val="0"/>
          <w:numId w:val="4"/>
        </w:numPr>
        <w:spacing w:after="26" w:line="259" w:lineRule="auto"/>
        <w:ind w:left="685" w:hanging="481"/>
      </w:pPr>
      <w:r>
        <w:t xml:space="preserve">Fleming, W. </w:t>
      </w:r>
      <w:proofErr w:type="spellStart"/>
      <w:proofErr w:type="gramStart"/>
      <w:r>
        <w:t>H.,and</w:t>
      </w:r>
      <w:proofErr w:type="spellEnd"/>
      <w:proofErr w:type="gramEnd"/>
      <w:r>
        <w:t xml:space="preserve"> </w:t>
      </w:r>
      <w:proofErr w:type="spellStart"/>
      <w:r>
        <w:t>Rishel</w:t>
      </w:r>
      <w:proofErr w:type="spellEnd"/>
      <w:r>
        <w:t xml:space="preserve">, R. W. (2012). </w:t>
      </w:r>
      <w:r>
        <w:rPr>
          <w:i/>
        </w:rPr>
        <w:t>Deterministic and stochastic optimal control</w:t>
      </w:r>
      <w:r>
        <w:t>.</w:t>
      </w:r>
    </w:p>
    <w:p w14:paraId="48F82203" w14:textId="77777777" w:rsidR="007E25B1" w:rsidRDefault="007E25B1" w:rsidP="007E25B1">
      <w:pPr>
        <w:ind w:left="594"/>
      </w:pPr>
      <w:r>
        <w:t>Springer Science and Business Media.</w:t>
      </w:r>
    </w:p>
    <w:p w14:paraId="723DA85A" w14:textId="77777777" w:rsidR="007E25B1" w:rsidRDefault="007E25B1" w:rsidP="007E25B1">
      <w:pPr>
        <w:numPr>
          <w:ilvl w:val="0"/>
          <w:numId w:val="4"/>
        </w:numPr>
        <w:spacing w:after="230" w:line="269" w:lineRule="auto"/>
        <w:ind w:left="685" w:hanging="481"/>
      </w:pPr>
      <w:r>
        <w:t xml:space="preserve">Khademi, F., </w:t>
      </w:r>
      <w:proofErr w:type="spellStart"/>
      <w:r>
        <w:t>Yousefi-Avarvand</w:t>
      </w:r>
      <w:proofErr w:type="spellEnd"/>
      <w:r>
        <w:t xml:space="preserve">, A., </w:t>
      </w:r>
      <w:proofErr w:type="spellStart"/>
      <w:r>
        <w:t>Sahebkar</w:t>
      </w:r>
      <w:proofErr w:type="spellEnd"/>
      <w:r>
        <w:t xml:space="preserve">, A., Ghanbari, F., and Vaez, H. (2018). Bacterial co-infections in HIV/AIDS-positive subjects: a systematic review and </w:t>
      </w:r>
      <w:proofErr w:type="spellStart"/>
      <w:r>
        <w:t>metaanalysis</w:t>
      </w:r>
      <w:proofErr w:type="spellEnd"/>
      <w:r>
        <w:t>. Folia medica, 60(3), 339-350.</w:t>
      </w:r>
    </w:p>
    <w:p w14:paraId="427067AD" w14:textId="77777777" w:rsidR="007E25B1" w:rsidRDefault="007E25B1" w:rsidP="007E25B1">
      <w:pPr>
        <w:numPr>
          <w:ilvl w:val="0"/>
          <w:numId w:val="4"/>
        </w:numPr>
        <w:spacing w:after="16" w:line="269" w:lineRule="auto"/>
        <w:ind w:left="685" w:hanging="481"/>
      </w:pPr>
      <w:r>
        <w:t xml:space="preserve">Lutera J., </w:t>
      </w:r>
      <w:proofErr w:type="spellStart"/>
      <w:r>
        <w:t>Mbete</w:t>
      </w:r>
      <w:proofErr w:type="spellEnd"/>
      <w:r>
        <w:t xml:space="preserve"> D. and Wangila S. (2018) </w:t>
      </w:r>
      <w:r>
        <w:rPr>
          <w:i/>
        </w:rPr>
        <w:t>Co-infection Model of HIV/AIDS-</w:t>
      </w:r>
    </w:p>
    <w:p w14:paraId="6D462FBC" w14:textId="77777777" w:rsidR="007E25B1" w:rsidRDefault="007E25B1" w:rsidP="007E25B1">
      <w:pPr>
        <w:ind w:left="594"/>
      </w:pPr>
      <w:r>
        <w:rPr>
          <w:i/>
        </w:rPr>
        <w:t>Pneumonia on the Effect of Treatment at Initial and Final Stages</w:t>
      </w:r>
      <w:r>
        <w:t>. IOSR Journal of Mathematics (IOSR-JM), volume 14. No. 5, 56-81.</w:t>
      </w:r>
    </w:p>
    <w:p w14:paraId="38A241F9" w14:textId="77777777" w:rsidR="007E25B1" w:rsidRDefault="007E25B1" w:rsidP="007E25B1">
      <w:pPr>
        <w:numPr>
          <w:ilvl w:val="0"/>
          <w:numId w:val="4"/>
        </w:numPr>
        <w:spacing w:after="246" w:line="259" w:lineRule="auto"/>
        <w:ind w:left="685" w:hanging="481"/>
      </w:pPr>
      <w:proofErr w:type="spellStart"/>
      <w:r>
        <w:t>Nthiiri</w:t>
      </w:r>
      <w:proofErr w:type="spellEnd"/>
      <w:r>
        <w:t xml:space="preserve"> J.K., </w:t>
      </w:r>
      <w:proofErr w:type="spellStart"/>
      <w:r>
        <w:t>Lawi</w:t>
      </w:r>
      <w:proofErr w:type="spellEnd"/>
      <w:r>
        <w:t xml:space="preserve"> G. and </w:t>
      </w:r>
      <w:proofErr w:type="spellStart"/>
      <w:r>
        <w:t>Manyonge</w:t>
      </w:r>
      <w:proofErr w:type="spellEnd"/>
      <w:r>
        <w:t xml:space="preserve"> A. (2015). </w:t>
      </w:r>
      <w:r>
        <w:rPr>
          <w:i/>
        </w:rPr>
        <w:t>Mathematical Modelling of Pneumonia and HIV and AIDS Co-infection the Presence of Protection</w:t>
      </w:r>
      <w:r>
        <w:t xml:space="preserve">. </w:t>
      </w:r>
      <w:r>
        <w:rPr>
          <w:i/>
        </w:rPr>
        <w:t xml:space="preserve">International journal volume </w:t>
      </w:r>
      <w:r>
        <w:t>9. No. 42, 2069-2085.</w:t>
      </w:r>
    </w:p>
    <w:p w14:paraId="43C9BEE7" w14:textId="77777777" w:rsidR="007E25B1" w:rsidRDefault="007E25B1" w:rsidP="007E25B1">
      <w:pPr>
        <w:numPr>
          <w:ilvl w:val="0"/>
          <w:numId w:val="4"/>
        </w:numPr>
        <w:spacing w:after="45" w:line="269" w:lineRule="auto"/>
        <w:ind w:left="685" w:hanging="481"/>
      </w:pPr>
      <w:proofErr w:type="spellStart"/>
      <w:r>
        <w:t>Onyinge</w:t>
      </w:r>
      <w:proofErr w:type="spellEnd"/>
      <w:r>
        <w:t xml:space="preserve"> O. D., Omolo N., </w:t>
      </w:r>
      <w:proofErr w:type="spellStart"/>
      <w:r>
        <w:t>Odundo</w:t>
      </w:r>
      <w:proofErr w:type="spellEnd"/>
      <w:r>
        <w:t xml:space="preserve"> F. (2016). </w:t>
      </w:r>
      <w:r>
        <w:rPr>
          <w:i/>
        </w:rPr>
        <w:t>Mathematical Model for Co-infection of</w:t>
      </w:r>
    </w:p>
    <w:p w14:paraId="2DAD8EC4" w14:textId="77777777" w:rsidR="007E25B1" w:rsidRDefault="007E25B1" w:rsidP="007E25B1">
      <w:pPr>
        <w:spacing w:after="254" w:line="259" w:lineRule="auto"/>
        <w:ind w:left="594" w:right="-2"/>
      </w:pPr>
      <w:r>
        <w:rPr>
          <w:i/>
        </w:rPr>
        <w:t>Pneumonia and HIV/AIDS with treatment</w:t>
      </w:r>
      <w:r>
        <w:t xml:space="preserve">, </w:t>
      </w:r>
      <w:r>
        <w:rPr>
          <w:i/>
        </w:rPr>
        <w:t xml:space="preserve">Int. J. SCI. Eng. Appl. Sci. </w:t>
      </w:r>
      <w:r>
        <w:t>(IJSEAS) 2 (1)</w:t>
      </w:r>
    </w:p>
    <w:p w14:paraId="764ACFCA" w14:textId="77777777" w:rsidR="007E25B1" w:rsidRDefault="007E25B1" w:rsidP="00F429D2">
      <w:pPr>
        <w:numPr>
          <w:ilvl w:val="0"/>
          <w:numId w:val="4"/>
        </w:numPr>
        <w:spacing w:after="12" w:line="269" w:lineRule="auto"/>
        <w:ind w:left="685" w:hanging="481"/>
      </w:pPr>
      <w:proofErr w:type="spellStart"/>
      <w:r>
        <w:t>Pontryagin</w:t>
      </w:r>
      <w:proofErr w:type="spellEnd"/>
      <w:r>
        <w:t xml:space="preserve"> L. S., </w:t>
      </w:r>
      <w:proofErr w:type="spellStart"/>
      <w:r>
        <w:t>Boltyanskii</w:t>
      </w:r>
      <w:proofErr w:type="spellEnd"/>
      <w:r>
        <w:t xml:space="preserve"> V., </w:t>
      </w:r>
      <w:proofErr w:type="spellStart"/>
      <w:r>
        <w:t>Gramkrelidze</w:t>
      </w:r>
      <w:proofErr w:type="spellEnd"/>
      <w:r>
        <w:t xml:space="preserve"> R., and Mishchenko F. (1962).</w:t>
      </w:r>
      <w:r w:rsidR="003E5B5E">
        <w:t xml:space="preserve"> </w:t>
      </w:r>
      <w:r>
        <w:rPr>
          <w:i/>
        </w:rPr>
        <w:t>The Mathematical Theory of Optimal Processes</w:t>
      </w:r>
      <w:r>
        <w:t xml:space="preserve">, John Wiley and Sons </w:t>
      </w:r>
      <w:proofErr w:type="spellStart"/>
      <w:r>
        <w:t>Interscience</w:t>
      </w:r>
      <w:proofErr w:type="spellEnd"/>
      <w:r>
        <w:t>. New York.</w:t>
      </w:r>
      <w:r w:rsidR="00F429D2">
        <w:t xml:space="preserve"> </w:t>
      </w:r>
      <w:r>
        <w:t>London.</w:t>
      </w:r>
    </w:p>
    <w:p w14:paraId="2F126960" w14:textId="77777777" w:rsidR="007E25B1" w:rsidRDefault="007E25B1" w:rsidP="007E25B1">
      <w:pPr>
        <w:numPr>
          <w:ilvl w:val="0"/>
          <w:numId w:val="4"/>
        </w:numPr>
        <w:spacing w:after="230" w:line="269" w:lineRule="auto"/>
        <w:ind w:left="685" w:hanging="481"/>
      </w:pPr>
      <w:r>
        <w:t xml:space="preserve">Sogaard, O., Lohse, N., Gerstoft, J., Kronborg, G., Ostergaard, L., Pedersen, C., ... Obel, N. (2008). </w:t>
      </w:r>
      <w:r>
        <w:rPr>
          <w:i/>
        </w:rPr>
        <w:t>Hospitalization for Pneumonia among individuals with and without HIV infection</w:t>
      </w:r>
      <w:r>
        <w:t>,1995-2007: A Danish population-based, nationwide cohort. Clinical Infectious Diseases, 47(10), 1345-1353.</w:t>
      </w:r>
    </w:p>
    <w:p w14:paraId="70615E6A" w14:textId="77777777" w:rsidR="007E25B1" w:rsidRDefault="007E25B1" w:rsidP="007E25B1">
      <w:pPr>
        <w:numPr>
          <w:ilvl w:val="0"/>
          <w:numId w:val="4"/>
        </w:numPr>
        <w:spacing w:after="230" w:line="269" w:lineRule="auto"/>
        <w:ind w:left="685" w:hanging="481"/>
      </w:pPr>
      <w:r>
        <w:t>Teklu, S. W., and Mekonnen, T. T. (2021). HIV/AIDS-Pneumonia Coinfection Model with Treatment at Each Infection Stage: Mathematical Analysis and Numerical Simulation. Journal of Applied Mathematics, 2021(1), 5444605.</w:t>
      </w:r>
    </w:p>
    <w:p w14:paraId="627000D7" w14:textId="77777777" w:rsidR="007E25B1" w:rsidRDefault="007E25B1" w:rsidP="007E25B1">
      <w:pPr>
        <w:numPr>
          <w:ilvl w:val="0"/>
          <w:numId w:val="4"/>
        </w:numPr>
        <w:spacing w:after="230" w:line="269" w:lineRule="auto"/>
        <w:ind w:left="685" w:hanging="481"/>
      </w:pPr>
      <w:r>
        <w:t xml:space="preserve">Teklu, S. W., and Rao, K. P. (2022). HIV/AIDS-Pneumonia </w:t>
      </w:r>
      <w:proofErr w:type="spellStart"/>
      <w:r>
        <w:t>Codynamics</w:t>
      </w:r>
      <w:proofErr w:type="spellEnd"/>
      <w:r>
        <w:t xml:space="preserve"> Model Analysis with Vaccination and Treatment. Computational and Mathematical Methods in Medicine, 2022(1), 3105734.</w:t>
      </w:r>
    </w:p>
    <w:p w14:paraId="7DDD2D84" w14:textId="77777777" w:rsidR="007E25B1" w:rsidRDefault="007E25B1" w:rsidP="007E25B1">
      <w:pPr>
        <w:numPr>
          <w:ilvl w:val="0"/>
          <w:numId w:val="4"/>
        </w:numPr>
        <w:spacing w:after="230" w:line="269" w:lineRule="auto"/>
        <w:ind w:left="685" w:hanging="481"/>
      </w:pPr>
      <w:r>
        <w:t>Teklu, S. W., Abebaw, Y. F., Terefe, B. B., and Mamo, D. K. (2023). HIV/AIDS and TB co-infection deterministic model bifurcation and optimal control analysis. Informatics in Medicine Unlocked, 41, 101328.</w:t>
      </w:r>
    </w:p>
    <w:p w14:paraId="292812FF" w14:textId="77777777" w:rsidR="007E25B1" w:rsidRDefault="007E25B1" w:rsidP="007E25B1">
      <w:pPr>
        <w:numPr>
          <w:ilvl w:val="0"/>
          <w:numId w:val="4"/>
        </w:numPr>
        <w:spacing w:after="230" w:line="269" w:lineRule="auto"/>
        <w:ind w:left="685" w:hanging="481"/>
      </w:pPr>
      <w:r>
        <w:lastRenderedPageBreak/>
        <w:t xml:space="preserve">Tilahun, G.T., Makinde. O.D., and </w:t>
      </w:r>
      <w:proofErr w:type="spellStart"/>
      <w:r>
        <w:t>Malaonza</w:t>
      </w:r>
      <w:proofErr w:type="spellEnd"/>
      <w:r>
        <w:t xml:space="preserve"> D. and O. S. Obabiyi.</w:t>
      </w:r>
      <w:r w:rsidR="003E5B5E">
        <w:t xml:space="preserve"> </w:t>
      </w:r>
      <w:r>
        <w:t xml:space="preserve">(2017). Modelling and optimal control of pneumonia disease with cos-effective </w:t>
      </w:r>
      <w:proofErr w:type="spellStart"/>
      <w:r>
        <w:t>stategies</w:t>
      </w:r>
      <w:proofErr w:type="spellEnd"/>
      <w:r>
        <w:t xml:space="preserve">. Computational and Mathematical </w:t>
      </w:r>
      <w:proofErr w:type="spellStart"/>
      <w:r>
        <w:t>Methodsa</w:t>
      </w:r>
      <w:proofErr w:type="spellEnd"/>
      <w:r>
        <w:t xml:space="preserve"> in Medicine, vol. 11 no. 2:400-426.</w:t>
      </w:r>
    </w:p>
    <w:p w14:paraId="016D85CD" w14:textId="77777777" w:rsidR="007E25B1" w:rsidRDefault="007E25B1" w:rsidP="007E25B1">
      <w:pPr>
        <w:numPr>
          <w:ilvl w:val="0"/>
          <w:numId w:val="4"/>
        </w:numPr>
        <w:spacing w:after="230" w:line="269" w:lineRule="auto"/>
        <w:ind w:left="685" w:hanging="481"/>
      </w:pPr>
      <w:r>
        <w:t xml:space="preserve">Wafula, N. K., Kwach, B. O., and Marani, V. N. (2021). </w:t>
      </w:r>
      <w:r>
        <w:rPr>
          <w:i/>
        </w:rPr>
        <w:t xml:space="preserve">Mathematical Modelling and Optimal Controls for Controlling Pneumonia-HIV Co-Infection. </w:t>
      </w:r>
      <w:r>
        <w:t>International Journal of Innovative Research and Development, 10(1).</w:t>
      </w:r>
    </w:p>
    <w:p w14:paraId="61B2AFAF" w14:textId="4EEEAC85" w:rsidR="007E25B1" w:rsidRDefault="007E25B1" w:rsidP="007E25B1">
      <w:pPr>
        <w:numPr>
          <w:ilvl w:val="0"/>
          <w:numId w:val="4"/>
        </w:numPr>
        <w:spacing w:after="230" w:line="269" w:lineRule="auto"/>
        <w:ind w:left="685" w:hanging="481"/>
      </w:pPr>
      <w:r>
        <w:t>WHO</w:t>
      </w:r>
      <w:r w:rsidR="001A439E">
        <w:t xml:space="preserve"> </w:t>
      </w:r>
      <w:r>
        <w:t>(2012). HIV/AIDS.</w:t>
      </w:r>
    </w:p>
    <w:p w14:paraId="1F0ABED8" w14:textId="77777777" w:rsidR="005D7683" w:rsidRDefault="005D7683" w:rsidP="007E25B1">
      <w:pPr>
        <w:pStyle w:val="Heading1"/>
        <w:spacing w:after="280"/>
        <w:ind w:left="100" w:right="90"/>
      </w:pPr>
    </w:p>
    <w:sectPr w:rsidR="005D7683">
      <w:footerReference w:type="even" r:id="rId26"/>
      <w:footerReference w:type="default" r:id="rId27"/>
      <w:footerReference w:type="first" r:id="rId28"/>
      <w:pgSz w:w="11906" w:h="16838"/>
      <w:pgMar w:top="1301" w:right="1134" w:bottom="1581" w:left="1417" w:header="720" w:footer="10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75559" w14:textId="77777777" w:rsidR="00D41B32" w:rsidRDefault="00D41B32">
      <w:pPr>
        <w:spacing w:after="0" w:line="240" w:lineRule="auto"/>
      </w:pPr>
      <w:r>
        <w:separator/>
      </w:r>
    </w:p>
  </w:endnote>
  <w:endnote w:type="continuationSeparator" w:id="0">
    <w:p w14:paraId="2FC5208B" w14:textId="77777777" w:rsidR="00D41B32" w:rsidRDefault="00D41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DC35D" w14:textId="77777777" w:rsidR="005D7683" w:rsidRDefault="00B049BF">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D6A3F" w14:textId="77777777" w:rsidR="005D7683" w:rsidRDefault="00B049BF">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2E0E7" w14:textId="77777777" w:rsidR="005D7683" w:rsidRDefault="00B049BF">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8D876" w14:textId="77777777" w:rsidR="00D41B32" w:rsidRDefault="00D41B32">
      <w:pPr>
        <w:spacing w:after="0" w:line="240" w:lineRule="auto"/>
      </w:pPr>
      <w:r>
        <w:separator/>
      </w:r>
    </w:p>
  </w:footnote>
  <w:footnote w:type="continuationSeparator" w:id="0">
    <w:p w14:paraId="712C8FE3" w14:textId="77777777" w:rsidR="00D41B32" w:rsidRDefault="00D41B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D6518"/>
    <w:multiLevelType w:val="hybridMultilevel"/>
    <w:tmpl w:val="2ADECFD2"/>
    <w:lvl w:ilvl="0" w:tplc="2CE48DA0">
      <w:start w:val="1"/>
      <w:numFmt w:val="lowerRoman"/>
      <w:lvlText w:val="(%1)"/>
      <w:lvlJc w:val="left"/>
      <w:pPr>
        <w:ind w:left="6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C30C85C">
      <w:start w:val="1"/>
      <w:numFmt w:val="lowerLetter"/>
      <w:lvlText w:val="%2"/>
      <w:lvlJc w:val="left"/>
      <w:pPr>
        <w:ind w:left="12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B00E626">
      <w:start w:val="1"/>
      <w:numFmt w:val="lowerRoman"/>
      <w:lvlText w:val="%3"/>
      <w:lvlJc w:val="left"/>
      <w:pPr>
        <w:ind w:left="195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F1AC8EA">
      <w:start w:val="1"/>
      <w:numFmt w:val="decimal"/>
      <w:lvlText w:val="%4"/>
      <w:lvlJc w:val="left"/>
      <w:pPr>
        <w:ind w:left="267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5E83F2E">
      <w:start w:val="1"/>
      <w:numFmt w:val="lowerLetter"/>
      <w:lvlText w:val="%5"/>
      <w:lvlJc w:val="left"/>
      <w:pPr>
        <w:ind w:left="33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1EE68E6">
      <w:start w:val="1"/>
      <w:numFmt w:val="lowerRoman"/>
      <w:lvlText w:val="%6"/>
      <w:lvlJc w:val="left"/>
      <w:pPr>
        <w:ind w:left="411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BC82216">
      <w:start w:val="1"/>
      <w:numFmt w:val="decimal"/>
      <w:lvlText w:val="%7"/>
      <w:lvlJc w:val="left"/>
      <w:pPr>
        <w:ind w:left="48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A5A246C">
      <w:start w:val="1"/>
      <w:numFmt w:val="lowerLetter"/>
      <w:lvlText w:val="%8"/>
      <w:lvlJc w:val="left"/>
      <w:pPr>
        <w:ind w:left="555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298E354">
      <w:start w:val="1"/>
      <w:numFmt w:val="lowerRoman"/>
      <w:lvlText w:val="%9"/>
      <w:lvlJc w:val="left"/>
      <w:pPr>
        <w:ind w:left="627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0C20AAF"/>
    <w:multiLevelType w:val="hybridMultilevel"/>
    <w:tmpl w:val="33B035EA"/>
    <w:lvl w:ilvl="0" w:tplc="C010DB42">
      <w:start w:val="1"/>
      <w:numFmt w:val="decimal"/>
      <w:lvlText w:val="[%1]"/>
      <w:lvlJc w:val="left"/>
      <w:pPr>
        <w:ind w:left="6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2D041AE">
      <w:start w:val="1"/>
      <w:numFmt w:val="lowerLetter"/>
      <w:lvlText w:val="%2"/>
      <w:lvlJc w:val="left"/>
      <w:pPr>
        <w:ind w:left="11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DFCC902">
      <w:start w:val="1"/>
      <w:numFmt w:val="lowerRoman"/>
      <w:lvlText w:val="%3"/>
      <w:lvlJc w:val="left"/>
      <w:pPr>
        <w:ind w:left="18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B766178">
      <w:start w:val="1"/>
      <w:numFmt w:val="decimal"/>
      <w:lvlText w:val="%4"/>
      <w:lvlJc w:val="left"/>
      <w:pPr>
        <w:ind w:left="25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316A33C">
      <w:start w:val="1"/>
      <w:numFmt w:val="lowerLetter"/>
      <w:lvlText w:val="%5"/>
      <w:lvlJc w:val="left"/>
      <w:pPr>
        <w:ind w:left="33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3F0C4E0">
      <w:start w:val="1"/>
      <w:numFmt w:val="lowerRoman"/>
      <w:lvlText w:val="%6"/>
      <w:lvlJc w:val="left"/>
      <w:pPr>
        <w:ind w:left="40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DC2DDD6">
      <w:start w:val="1"/>
      <w:numFmt w:val="decimal"/>
      <w:lvlText w:val="%7"/>
      <w:lvlJc w:val="left"/>
      <w:pPr>
        <w:ind w:left="47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DB826F2">
      <w:start w:val="1"/>
      <w:numFmt w:val="lowerLetter"/>
      <w:lvlText w:val="%8"/>
      <w:lvlJc w:val="left"/>
      <w:pPr>
        <w:ind w:left="54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25A169A">
      <w:start w:val="1"/>
      <w:numFmt w:val="lowerRoman"/>
      <w:lvlText w:val="%9"/>
      <w:lvlJc w:val="left"/>
      <w:pPr>
        <w:ind w:left="61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0450738"/>
    <w:multiLevelType w:val="hybridMultilevel"/>
    <w:tmpl w:val="3B50BA64"/>
    <w:lvl w:ilvl="0" w:tplc="3C18EFEC">
      <w:start w:val="1"/>
      <w:numFmt w:val="decimal"/>
      <w:lvlText w:val="[%1]"/>
      <w:lvlJc w:val="left"/>
      <w:pPr>
        <w:ind w:left="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D52116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BE0968A">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EBCFE24">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49C8E3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1CE858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770529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18C71B0">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EA2471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2C14F08"/>
    <w:multiLevelType w:val="hybridMultilevel"/>
    <w:tmpl w:val="5A3E5820"/>
    <w:lvl w:ilvl="0" w:tplc="366C3A90">
      <w:start w:val="1"/>
      <w:numFmt w:val="lowerRoman"/>
      <w:lvlText w:val="(%1)"/>
      <w:lvlJc w:val="left"/>
      <w:pPr>
        <w:ind w:left="6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8327D42">
      <w:start w:val="1"/>
      <w:numFmt w:val="lowerLetter"/>
      <w:lvlText w:val="%2"/>
      <w:lvlJc w:val="left"/>
      <w:pPr>
        <w:ind w:left="12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2BC44D6">
      <w:start w:val="1"/>
      <w:numFmt w:val="lowerRoman"/>
      <w:lvlText w:val="%3"/>
      <w:lvlJc w:val="left"/>
      <w:pPr>
        <w:ind w:left="19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3D2FF16">
      <w:start w:val="1"/>
      <w:numFmt w:val="decimal"/>
      <w:lvlText w:val="%4"/>
      <w:lvlJc w:val="left"/>
      <w:pPr>
        <w:ind w:left="26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DEE5C1C">
      <w:start w:val="1"/>
      <w:numFmt w:val="lowerLetter"/>
      <w:lvlText w:val="%5"/>
      <w:lvlJc w:val="left"/>
      <w:pPr>
        <w:ind w:left="33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63AECEC">
      <w:start w:val="1"/>
      <w:numFmt w:val="lowerRoman"/>
      <w:lvlText w:val="%6"/>
      <w:lvlJc w:val="left"/>
      <w:pPr>
        <w:ind w:left="41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CBC31B0">
      <w:start w:val="1"/>
      <w:numFmt w:val="decimal"/>
      <w:lvlText w:val="%7"/>
      <w:lvlJc w:val="left"/>
      <w:pPr>
        <w:ind w:left="48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A5A3E82">
      <w:start w:val="1"/>
      <w:numFmt w:val="lowerLetter"/>
      <w:lvlText w:val="%8"/>
      <w:lvlJc w:val="left"/>
      <w:pPr>
        <w:ind w:left="55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960B192">
      <w:start w:val="1"/>
      <w:numFmt w:val="lowerRoman"/>
      <w:lvlText w:val="%9"/>
      <w:lvlJc w:val="left"/>
      <w:pPr>
        <w:ind w:left="62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683"/>
    <w:rsid w:val="000A15BE"/>
    <w:rsid w:val="000D132A"/>
    <w:rsid w:val="00141DE2"/>
    <w:rsid w:val="001A16D4"/>
    <w:rsid w:val="001A439E"/>
    <w:rsid w:val="001A51B0"/>
    <w:rsid w:val="001A7B91"/>
    <w:rsid w:val="001C6F1F"/>
    <w:rsid w:val="001F00F7"/>
    <w:rsid w:val="002154EC"/>
    <w:rsid w:val="002219E6"/>
    <w:rsid w:val="00234AA5"/>
    <w:rsid w:val="002950B2"/>
    <w:rsid w:val="002F7A83"/>
    <w:rsid w:val="003003AB"/>
    <w:rsid w:val="003011FD"/>
    <w:rsid w:val="00315116"/>
    <w:rsid w:val="003555D6"/>
    <w:rsid w:val="00375838"/>
    <w:rsid w:val="00390190"/>
    <w:rsid w:val="003A79FA"/>
    <w:rsid w:val="003D154E"/>
    <w:rsid w:val="003E5B5E"/>
    <w:rsid w:val="003F0724"/>
    <w:rsid w:val="00443B15"/>
    <w:rsid w:val="00473CA0"/>
    <w:rsid w:val="004A3DE1"/>
    <w:rsid w:val="004D1A46"/>
    <w:rsid w:val="004D2C73"/>
    <w:rsid w:val="005908EA"/>
    <w:rsid w:val="005A5295"/>
    <w:rsid w:val="005B3F21"/>
    <w:rsid w:val="005B65C0"/>
    <w:rsid w:val="005D7683"/>
    <w:rsid w:val="007062AE"/>
    <w:rsid w:val="0073430E"/>
    <w:rsid w:val="007376EC"/>
    <w:rsid w:val="00771E08"/>
    <w:rsid w:val="00786BDD"/>
    <w:rsid w:val="007918C7"/>
    <w:rsid w:val="007B4930"/>
    <w:rsid w:val="007B4F54"/>
    <w:rsid w:val="007E25B1"/>
    <w:rsid w:val="007F1EA6"/>
    <w:rsid w:val="008E6479"/>
    <w:rsid w:val="00954D61"/>
    <w:rsid w:val="00973991"/>
    <w:rsid w:val="00993498"/>
    <w:rsid w:val="00993E20"/>
    <w:rsid w:val="009C14BB"/>
    <w:rsid w:val="00A02443"/>
    <w:rsid w:val="00A60A2B"/>
    <w:rsid w:val="00B049BF"/>
    <w:rsid w:val="00B12B9A"/>
    <w:rsid w:val="00B53E0E"/>
    <w:rsid w:val="00B93BDD"/>
    <w:rsid w:val="00B9736F"/>
    <w:rsid w:val="00BF0A60"/>
    <w:rsid w:val="00C27A19"/>
    <w:rsid w:val="00C47B38"/>
    <w:rsid w:val="00C736BC"/>
    <w:rsid w:val="00C958CC"/>
    <w:rsid w:val="00CB511D"/>
    <w:rsid w:val="00CB5B61"/>
    <w:rsid w:val="00CD70ED"/>
    <w:rsid w:val="00D41B32"/>
    <w:rsid w:val="00D572CE"/>
    <w:rsid w:val="00D9184A"/>
    <w:rsid w:val="00DB4361"/>
    <w:rsid w:val="00E01F4E"/>
    <w:rsid w:val="00E47116"/>
    <w:rsid w:val="00EB718E"/>
    <w:rsid w:val="00F11056"/>
    <w:rsid w:val="00F429D2"/>
    <w:rsid w:val="00F458DD"/>
    <w:rsid w:val="00F80615"/>
    <w:rsid w:val="00F93C5C"/>
    <w:rsid w:val="00FD57EC"/>
    <w:rsid w:val="00FE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BFBD3"/>
  <w15:docId w15:val="{F4013D91-3EF2-4C10-9EB1-CD3F47B0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29" w:line="270" w:lineRule="auto"/>
      <w:ind w:left="361" w:hanging="10"/>
      <w:jc w:val="both"/>
    </w:pPr>
    <w:rPr>
      <w:rFonts w:ascii="Cambria" w:eastAsia="Cambria" w:hAnsi="Cambria" w:cs="Cambria"/>
      <w:color w:val="000000"/>
      <w:sz w:val="24"/>
    </w:rPr>
  </w:style>
  <w:style w:type="paragraph" w:styleId="Heading1">
    <w:name w:val="heading 1"/>
    <w:next w:val="Normal"/>
    <w:link w:val="Heading1Char"/>
    <w:uiPriority w:val="9"/>
    <w:qFormat/>
    <w:pPr>
      <w:keepNext/>
      <w:keepLines/>
      <w:spacing w:after="14"/>
      <w:ind w:left="251" w:hanging="10"/>
      <w:jc w:val="center"/>
      <w:outlineLvl w:val="0"/>
    </w:pPr>
    <w:rPr>
      <w:rFonts w:ascii="Cambria" w:eastAsia="Cambria" w:hAnsi="Cambria" w:cs="Cambria"/>
      <w:b/>
      <w:color w:val="000000"/>
      <w:sz w:val="24"/>
    </w:rPr>
  </w:style>
  <w:style w:type="paragraph" w:styleId="Heading2">
    <w:name w:val="heading 2"/>
    <w:next w:val="Normal"/>
    <w:link w:val="Heading2Char"/>
    <w:uiPriority w:val="9"/>
    <w:unhideWhenUsed/>
    <w:qFormat/>
    <w:pPr>
      <w:keepNext/>
      <w:keepLines/>
      <w:spacing w:after="14"/>
      <w:ind w:left="251" w:hanging="10"/>
      <w:outlineLvl w:val="1"/>
    </w:pPr>
    <w:rPr>
      <w:rFonts w:ascii="Cambria" w:eastAsia="Cambria" w:hAnsi="Cambria" w:cs="Cambri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4"/>
    </w:rPr>
  </w:style>
  <w:style w:type="character" w:customStyle="1" w:styleId="Heading2Char">
    <w:name w:val="Heading 2 Char"/>
    <w:link w:val="Heading2"/>
    <w:rPr>
      <w:rFonts w:ascii="Cambria" w:eastAsia="Cambria" w:hAnsi="Cambria" w:cs="Cambri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s-markdown-paragraph">
    <w:name w:val="ds-markdown-paragraph"/>
    <w:basedOn w:val="Normal"/>
    <w:rsid w:val="00F11056"/>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styleId="Strong">
    <w:name w:val="Strong"/>
    <w:basedOn w:val="DefaultParagraphFont"/>
    <w:uiPriority w:val="22"/>
    <w:qFormat/>
    <w:rsid w:val="00F11056"/>
    <w:rPr>
      <w:b/>
      <w:bCs/>
    </w:rPr>
  </w:style>
  <w:style w:type="character" w:styleId="PlaceholderText">
    <w:name w:val="Placeholder Text"/>
    <w:basedOn w:val="DefaultParagraphFont"/>
    <w:uiPriority w:val="99"/>
    <w:semiHidden/>
    <w:rsid w:val="00FE7C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412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 Id="rId22" Type="http://schemas.openxmlformats.org/officeDocument/2006/relationships/image" Target="media/image16.jpg"/><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7195</TotalTime>
  <Pages>15</Pages>
  <Words>3274</Words>
  <Characters>18663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Editor-1183</cp:lastModifiedBy>
  <cp:revision>75</cp:revision>
  <cp:lastPrinted>2025-12-01T19:33:00Z</cp:lastPrinted>
  <dcterms:created xsi:type="dcterms:W3CDTF">2025-10-29T19:27:00Z</dcterms:created>
  <dcterms:modified xsi:type="dcterms:W3CDTF">2025-12-16T12:42:00Z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c74f9422-ee95-4a2c-8b60-986aa4dde9ce</vt:lpwstr>
  </property>
</Properties>
</file>