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EA2" w:rsidRPr="009F6317" w:rsidRDefault="008B2E53" w:rsidP="00F0461C">
      <w:pPr>
        <w:bidi w:val="0"/>
        <w:spacing w:before="100" w:beforeAutospacing="1" w:after="100" w:afterAutospacing="1" w:line="240" w:lineRule="auto"/>
        <w:rPr>
          <w:rFonts w:asciiTheme="majorBidi" w:eastAsia="Times New Roman" w:hAnsiTheme="majorBidi" w:cstheme="majorBidi"/>
          <w:kern w:val="0"/>
          <w:sz w:val="22"/>
          <w:szCs w:val="22"/>
        </w:rPr>
      </w:pPr>
      <w:proofErr w:type="gramStart"/>
      <w:r w:rsidRPr="009F6317">
        <w:rPr>
          <w:rFonts w:asciiTheme="majorBidi" w:eastAsia="Times New Roman" w:hAnsiTheme="majorBidi" w:cstheme="majorBidi"/>
          <w:b/>
          <w:bCs/>
          <w:kern w:val="0"/>
          <w:sz w:val="22"/>
          <w:szCs w:val="22"/>
        </w:rPr>
        <w:t>Effect of Dormancy Breaking Treatments on Seed Germination and Seedling Vigor of Dragon Fruit (</w:t>
      </w:r>
      <w:proofErr w:type="spellStart"/>
      <w:r w:rsidRPr="009F6317">
        <w:rPr>
          <w:rFonts w:asciiTheme="majorBidi" w:eastAsia="Times New Roman" w:hAnsiTheme="majorBidi" w:cstheme="majorBidi"/>
          <w:b/>
          <w:bCs/>
          <w:i/>
          <w:iCs/>
          <w:kern w:val="0"/>
          <w:sz w:val="22"/>
          <w:szCs w:val="22"/>
        </w:rPr>
        <w:t>Hylocereus</w:t>
      </w:r>
      <w:proofErr w:type="spellEnd"/>
      <w:r w:rsidRPr="009F6317">
        <w:rPr>
          <w:rFonts w:asciiTheme="majorBidi" w:eastAsia="Times New Roman" w:hAnsiTheme="majorBidi" w:cstheme="majorBidi"/>
          <w:b/>
          <w:bCs/>
          <w:kern w:val="0"/>
          <w:sz w:val="22"/>
          <w:szCs w:val="22"/>
        </w:rPr>
        <w:t xml:space="preserve"> spp.)</w:t>
      </w:r>
      <w:proofErr w:type="gramEnd"/>
    </w:p>
    <w:p w:rsidR="008B2E53" w:rsidRDefault="008B2E53" w:rsidP="001B2EA2">
      <w:pPr>
        <w:bidi w:val="0"/>
        <w:spacing w:before="100" w:beforeAutospacing="1" w:after="100" w:afterAutospacing="1" w:line="240" w:lineRule="auto"/>
        <w:rPr>
          <w:rFonts w:asciiTheme="majorBidi" w:eastAsia="Times New Roman" w:hAnsiTheme="majorBidi" w:cstheme="majorBidi"/>
          <w:kern w:val="0"/>
          <w:sz w:val="22"/>
          <w:szCs w:val="22"/>
        </w:rPr>
      </w:pPr>
      <w:r w:rsidRPr="009F6317">
        <w:rPr>
          <w:rFonts w:asciiTheme="majorBidi" w:eastAsia="Times New Roman" w:hAnsiTheme="majorBidi" w:cstheme="majorBidi"/>
          <w:b/>
          <w:bCs/>
          <w:kern w:val="0"/>
          <w:sz w:val="22"/>
          <w:szCs w:val="22"/>
        </w:rPr>
        <w:t>Abstract</w:t>
      </w:r>
    </w:p>
    <w:p w:rsidR="00B976E3" w:rsidRDefault="00B976E3" w:rsidP="00024ED6">
      <w:pPr>
        <w:bidi w:val="0"/>
        <w:spacing w:before="100" w:beforeAutospacing="1" w:after="100" w:afterAutospacing="1" w:line="240" w:lineRule="auto"/>
        <w:jc w:val="both"/>
        <w:rPr>
          <w:rFonts w:asciiTheme="majorBidi" w:eastAsia="Times New Roman" w:hAnsiTheme="majorBidi" w:cstheme="majorBidi"/>
          <w:kern w:val="0"/>
          <w:sz w:val="22"/>
          <w:szCs w:val="22"/>
        </w:rPr>
      </w:pPr>
      <w:r w:rsidRPr="00B976E3">
        <w:rPr>
          <w:rFonts w:asciiTheme="majorBidi" w:eastAsia="Times New Roman" w:hAnsiTheme="majorBidi" w:cstheme="majorBidi"/>
          <w:kern w:val="0"/>
          <w:sz w:val="22"/>
          <w:szCs w:val="22"/>
        </w:rPr>
        <w:t xml:space="preserve">An experiment was conducted in the laboratory of the College of Agriculture/ University of </w:t>
      </w:r>
      <w:proofErr w:type="spellStart"/>
      <w:r w:rsidRPr="00B976E3">
        <w:rPr>
          <w:rFonts w:asciiTheme="majorBidi" w:eastAsia="Times New Roman" w:hAnsiTheme="majorBidi" w:cstheme="majorBidi"/>
          <w:kern w:val="0"/>
          <w:sz w:val="22"/>
          <w:szCs w:val="22"/>
        </w:rPr>
        <w:t>Kufa</w:t>
      </w:r>
      <w:proofErr w:type="spellEnd"/>
      <w:r w:rsidRPr="00B976E3">
        <w:rPr>
          <w:rFonts w:asciiTheme="majorBidi" w:eastAsia="Times New Roman" w:hAnsiTheme="majorBidi" w:cstheme="majorBidi"/>
          <w:kern w:val="0"/>
          <w:sz w:val="22"/>
          <w:szCs w:val="22"/>
        </w:rPr>
        <w:t xml:space="preserve"> on 15/10/2025. The aim dragon fruit (</w:t>
      </w:r>
      <w:proofErr w:type="spellStart"/>
      <w:r w:rsidRPr="00B976E3">
        <w:rPr>
          <w:rFonts w:asciiTheme="majorBidi" w:eastAsia="Times New Roman" w:hAnsiTheme="majorBidi" w:cstheme="majorBidi"/>
          <w:kern w:val="0"/>
          <w:sz w:val="22"/>
          <w:szCs w:val="22"/>
        </w:rPr>
        <w:t>Hylocereus</w:t>
      </w:r>
      <w:proofErr w:type="spellEnd"/>
      <w:r w:rsidRPr="00B976E3">
        <w:rPr>
          <w:rFonts w:asciiTheme="majorBidi" w:eastAsia="Times New Roman" w:hAnsiTheme="majorBidi" w:cstheme="majorBidi"/>
          <w:kern w:val="0"/>
          <w:sz w:val="22"/>
          <w:szCs w:val="22"/>
        </w:rPr>
        <w:t xml:space="preserve"> spp.) seed</w:t>
      </w:r>
      <w:r>
        <w:rPr>
          <w:rFonts w:asciiTheme="majorBidi" w:eastAsia="Times New Roman" w:hAnsiTheme="majorBidi" w:cstheme="majorBidi"/>
          <w:kern w:val="0"/>
          <w:sz w:val="22"/>
          <w:szCs w:val="22"/>
        </w:rPr>
        <w:t>s</w:t>
      </w:r>
      <w:r w:rsidRPr="00B976E3">
        <w:rPr>
          <w:rFonts w:asciiTheme="majorBidi" w:eastAsia="Times New Roman" w:hAnsiTheme="majorBidi" w:cstheme="majorBidi"/>
          <w:kern w:val="0"/>
          <w:sz w:val="22"/>
          <w:szCs w:val="22"/>
        </w:rPr>
        <w:t xml:space="preserve"> to </w:t>
      </w:r>
      <w:r>
        <w:rPr>
          <w:rFonts w:asciiTheme="majorBidi" w:eastAsia="Times New Roman" w:hAnsiTheme="majorBidi" w:cstheme="majorBidi"/>
          <w:kern w:val="0"/>
          <w:sz w:val="22"/>
          <w:szCs w:val="22"/>
        </w:rPr>
        <w:t xml:space="preserve">investigate the effects of </w:t>
      </w:r>
      <w:r w:rsidRPr="00B976E3">
        <w:rPr>
          <w:rFonts w:asciiTheme="majorBidi" w:eastAsia="Times New Roman" w:hAnsiTheme="majorBidi" w:cstheme="majorBidi"/>
          <w:kern w:val="0"/>
          <w:sz w:val="22"/>
          <w:szCs w:val="22"/>
        </w:rPr>
        <w:t>different concentrations and durations of gibberellic acid (GA3) soaking, and their interactive effects with germination indices and early seedling gro</w:t>
      </w:r>
      <w:bookmarkStart w:id="0" w:name="_GoBack"/>
      <w:bookmarkEnd w:id="0"/>
      <w:r w:rsidRPr="00B976E3">
        <w:rPr>
          <w:rFonts w:asciiTheme="majorBidi" w:eastAsia="Times New Roman" w:hAnsiTheme="majorBidi" w:cstheme="majorBidi"/>
          <w:kern w:val="0"/>
          <w:sz w:val="22"/>
          <w:szCs w:val="22"/>
        </w:rPr>
        <w:t>wth</w:t>
      </w:r>
      <w:r w:rsidR="00024ED6">
        <w:rPr>
          <w:rFonts w:asciiTheme="majorBidi" w:eastAsia="Times New Roman" w:hAnsiTheme="majorBidi" w:cstheme="majorBidi"/>
          <w:kern w:val="0"/>
          <w:sz w:val="22"/>
          <w:szCs w:val="22"/>
        </w:rPr>
        <w:t>,</w:t>
      </w:r>
      <w:r w:rsidRPr="00B976E3">
        <w:rPr>
          <w:rFonts w:asciiTheme="majorBidi" w:eastAsia="Times New Roman" w:hAnsiTheme="majorBidi" w:cstheme="majorBidi"/>
          <w:kern w:val="0"/>
          <w:sz w:val="22"/>
          <w:szCs w:val="22"/>
        </w:rPr>
        <w:t xml:space="preserve"> as a factorial experiment (3 × 3) completely randomized design</w:t>
      </w:r>
      <w:r>
        <w:rPr>
          <w:rFonts w:asciiTheme="majorBidi" w:eastAsia="Times New Roman" w:hAnsiTheme="majorBidi" w:cstheme="majorBidi"/>
          <w:kern w:val="0"/>
          <w:sz w:val="22"/>
          <w:szCs w:val="22"/>
        </w:rPr>
        <w:t>, with</w:t>
      </w:r>
      <w:r w:rsidRPr="00B976E3">
        <w:rPr>
          <w:rFonts w:asciiTheme="majorBidi" w:eastAsia="Times New Roman" w:hAnsiTheme="majorBidi" w:cstheme="majorBidi"/>
          <w:kern w:val="0"/>
          <w:sz w:val="22"/>
          <w:szCs w:val="22"/>
        </w:rPr>
        <w:t xml:space="preserve"> three replications. The first factor included levels of </w:t>
      </w:r>
      <w:proofErr w:type="gramStart"/>
      <w:r w:rsidRPr="00B976E3">
        <w:rPr>
          <w:rFonts w:asciiTheme="majorBidi" w:eastAsia="Times New Roman" w:hAnsiTheme="majorBidi" w:cstheme="majorBidi"/>
          <w:kern w:val="0"/>
          <w:sz w:val="22"/>
          <w:szCs w:val="22"/>
        </w:rPr>
        <w:t>GA3(</w:t>
      </w:r>
      <w:proofErr w:type="gramEnd"/>
      <w:r w:rsidRPr="00B976E3">
        <w:rPr>
          <w:rFonts w:asciiTheme="majorBidi" w:eastAsia="Times New Roman" w:hAnsiTheme="majorBidi" w:cstheme="majorBidi"/>
          <w:kern w:val="0"/>
          <w:sz w:val="22"/>
          <w:szCs w:val="22"/>
        </w:rPr>
        <w:t>0, 100, 200 mg.L</w:t>
      </w:r>
      <w:r w:rsidRPr="00B976E3">
        <w:rPr>
          <w:rFonts w:asciiTheme="majorBidi" w:eastAsia="Times New Roman" w:hAnsiTheme="majorBidi" w:cstheme="majorBidi"/>
          <w:kern w:val="0"/>
          <w:sz w:val="22"/>
          <w:szCs w:val="22"/>
          <w:vertAlign w:val="superscript"/>
        </w:rPr>
        <w:t>-1</w:t>
      </w:r>
      <w:r w:rsidRPr="00B976E3">
        <w:rPr>
          <w:rFonts w:asciiTheme="majorBidi" w:eastAsia="Times New Roman" w:hAnsiTheme="majorBidi" w:cstheme="majorBidi"/>
          <w:kern w:val="0"/>
          <w:sz w:val="22"/>
          <w:szCs w:val="22"/>
        </w:rPr>
        <w:t>), while another one comprised soaking durations at</w:t>
      </w:r>
      <w:r>
        <w:rPr>
          <w:rFonts w:asciiTheme="majorBidi" w:eastAsia="Times New Roman" w:hAnsiTheme="majorBidi" w:cstheme="majorBidi"/>
          <w:kern w:val="0"/>
          <w:sz w:val="22"/>
          <w:szCs w:val="22"/>
        </w:rPr>
        <w:t xml:space="preserve">  </w:t>
      </w:r>
      <w:r w:rsidRPr="00B976E3">
        <w:rPr>
          <w:rFonts w:asciiTheme="majorBidi" w:eastAsia="Times New Roman" w:hAnsiTheme="majorBidi" w:cstheme="majorBidi"/>
          <w:kern w:val="0"/>
          <w:sz w:val="22"/>
          <w:szCs w:val="22"/>
        </w:rPr>
        <w:t>(12,24,and36hours). Highly significant differences were recorded for both main factors</w:t>
      </w:r>
      <w:r>
        <w:rPr>
          <w:rFonts w:asciiTheme="majorBidi" w:eastAsia="Times New Roman" w:hAnsiTheme="majorBidi" w:cstheme="majorBidi"/>
          <w:kern w:val="0"/>
          <w:sz w:val="22"/>
          <w:szCs w:val="22"/>
        </w:rPr>
        <w:t xml:space="preserve"> </w:t>
      </w:r>
      <w:r w:rsidRPr="00B976E3">
        <w:rPr>
          <w:rFonts w:asciiTheme="majorBidi" w:eastAsia="Times New Roman" w:hAnsiTheme="majorBidi" w:cstheme="majorBidi"/>
          <w:kern w:val="0"/>
          <w:sz w:val="22"/>
          <w:szCs w:val="22"/>
        </w:rPr>
        <w:t>and their interaction</w:t>
      </w:r>
      <w:r>
        <w:rPr>
          <w:rFonts w:asciiTheme="majorBidi" w:eastAsia="Times New Roman" w:hAnsiTheme="majorBidi" w:cstheme="majorBidi"/>
          <w:kern w:val="0"/>
          <w:sz w:val="22"/>
          <w:szCs w:val="22"/>
        </w:rPr>
        <w:t>, across</w:t>
      </w:r>
      <w:r w:rsidRPr="00B976E3">
        <w:rPr>
          <w:rFonts w:asciiTheme="majorBidi" w:eastAsia="Times New Roman" w:hAnsiTheme="majorBidi" w:cstheme="majorBidi"/>
          <w:kern w:val="0"/>
          <w:sz w:val="22"/>
          <w:szCs w:val="22"/>
        </w:rPr>
        <w:t xml:space="preserve"> all studied traits</w:t>
      </w:r>
      <w:r>
        <w:rPr>
          <w:rFonts w:asciiTheme="majorBidi" w:eastAsia="Times New Roman" w:hAnsiTheme="majorBidi" w:cstheme="majorBidi"/>
          <w:kern w:val="0"/>
          <w:sz w:val="22"/>
          <w:szCs w:val="22"/>
        </w:rPr>
        <w:t>,</w:t>
      </w:r>
      <w:r w:rsidRPr="00B976E3">
        <w:rPr>
          <w:rFonts w:asciiTheme="majorBidi" w:eastAsia="Times New Roman" w:hAnsiTheme="majorBidi" w:cstheme="majorBidi"/>
          <w:kern w:val="0"/>
          <w:sz w:val="22"/>
          <w:szCs w:val="22"/>
        </w:rPr>
        <w:t xml:space="preserve"> </w:t>
      </w:r>
      <w:r>
        <w:rPr>
          <w:rFonts w:asciiTheme="majorBidi" w:eastAsia="Times New Roman" w:hAnsiTheme="majorBidi" w:cstheme="majorBidi"/>
          <w:kern w:val="0"/>
          <w:sz w:val="22"/>
          <w:szCs w:val="22"/>
        </w:rPr>
        <w:t>according to</w:t>
      </w:r>
      <w:r w:rsidRPr="00B976E3">
        <w:rPr>
          <w:rFonts w:asciiTheme="majorBidi" w:eastAsia="Times New Roman" w:hAnsiTheme="majorBidi" w:cstheme="majorBidi"/>
          <w:kern w:val="0"/>
          <w:sz w:val="22"/>
          <w:szCs w:val="22"/>
        </w:rPr>
        <w:t xml:space="preserve"> statistical analysis </w:t>
      </w:r>
      <w:proofErr w:type="spellStart"/>
      <w:proofErr w:type="gramStart"/>
      <w:r w:rsidRPr="00B976E3">
        <w:rPr>
          <w:rFonts w:asciiTheme="majorBidi" w:eastAsia="Times New Roman" w:hAnsiTheme="majorBidi" w:cstheme="majorBidi"/>
          <w:kern w:val="0"/>
          <w:sz w:val="22"/>
          <w:szCs w:val="22"/>
        </w:rPr>
        <w:t>results.Theinteractiontreatment</w:t>
      </w:r>
      <w:proofErr w:type="spellEnd"/>
      <w:r w:rsidRPr="00B976E3">
        <w:rPr>
          <w:rFonts w:asciiTheme="majorBidi" w:eastAsia="Times New Roman" w:hAnsiTheme="majorBidi" w:cstheme="majorBidi"/>
          <w:kern w:val="0"/>
          <w:sz w:val="22"/>
          <w:szCs w:val="22"/>
        </w:rPr>
        <w:t>(</w:t>
      </w:r>
      <w:proofErr w:type="gramEnd"/>
      <w:r w:rsidRPr="00B976E3">
        <w:rPr>
          <w:rFonts w:asciiTheme="majorBidi" w:eastAsia="Times New Roman" w:hAnsiTheme="majorBidi" w:cstheme="majorBidi"/>
          <w:kern w:val="0"/>
          <w:sz w:val="22"/>
          <w:szCs w:val="22"/>
        </w:rPr>
        <w:t>seed</w:t>
      </w:r>
      <w:r>
        <w:rPr>
          <w:rFonts w:asciiTheme="majorBidi" w:eastAsia="Times New Roman" w:hAnsiTheme="majorBidi" w:cstheme="majorBidi"/>
          <w:kern w:val="0"/>
          <w:sz w:val="22"/>
          <w:szCs w:val="22"/>
        </w:rPr>
        <w:t xml:space="preserve"> </w:t>
      </w:r>
      <w:r w:rsidRPr="00B976E3">
        <w:rPr>
          <w:rFonts w:asciiTheme="majorBidi" w:eastAsia="Times New Roman" w:hAnsiTheme="majorBidi" w:cstheme="majorBidi"/>
          <w:kern w:val="0"/>
          <w:sz w:val="22"/>
          <w:szCs w:val="22"/>
        </w:rPr>
        <w:t>in</w:t>
      </w:r>
      <w:r>
        <w:rPr>
          <w:rFonts w:asciiTheme="majorBidi" w:eastAsia="Times New Roman" w:hAnsiTheme="majorBidi" w:cstheme="majorBidi"/>
          <w:kern w:val="0"/>
          <w:sz w:val="22"/>
          <w:szCs w:val="22"/>
        </w:rPr>
        <w:t xml:space="preserve"> </w:t>
      </w:r>
      <w:r w:rsidRPr="00B976E3">
        <w:rPr>
          <w:rFonts w:asciiTheme="majorBidi" w:eastAsia="Times New Roman" w:hAnsiTheme="majorBidi" w:cstheme="majorBidi"/>
          <w:kern w:val="0"/>
          <w:sz w:val="22"/>
          <w:szCs w:val="22"/>
        </w:rPr>
        <w:t>200</w:t>
      </w:r>
      <w:r>
        <w:rPr>
          <w:rFonts w:asciiTheme="majorBidi" w:eastAsia="Times New Roman" w:hAnsiTheme="majorBidi" w:cstheme="majorBidi"/>
          <w:kern w:val="0"/>
          <w:sz w:val="22"/>
          <w:szCs w:val="22"/>
        </w:rPr>
        <w:t xml:space="preserve"> </w:t>
      </w:r>
      <w:r w:rsidRPr="00B976E3">
        <w:rPr>
          <w:rFonts w:asciiTheme="majorBidi" w:eastAsia="Times New Roman" w:hAnsiTheme="majorBidi" w:cstheme="majorBidi"/>
          <w:kern w:val="0"/>
          <w:sz w:val="22"/>
          <w:szCs w:val="22"/>
        </w:rPr>
        <w:t>mg.L</w:t>
      </w:r>
      <w:r w:rsidRPr="00B976E3">
        <w:rPr>
          <w:rFonts w:asciiTheme="majorBidi" w:eastAsia="Times New Roman" w:hAnsiTheme="majorBidi" w:cstheme="majorBidi"/>
          <w:kern w:val="0"/>
          <w:sz w:val="22"/>
          <w:szCs w:val="22"/>
          <w:vertAlign w:val="superscript"/>
        </w:rPr>
        <w:t>-1</w:t>
      </w:r>
      <w:r>
        <w:rPr>
          <w:rFonts w:asciiTheme="majorBidi" w:eastAsia="Times New Roman" w:hAnsiTheme="majorBidi" w:cstheme="majorBidi"/>
          <w:kern w:val="0"/>
          <w:sz w:val="22"/>
          <w:szCs w:val="22"/>
          <w:vertAlign w:val="superscript"/>
        </w:rPr>
        <w:t>,</w:t>
      </w:r>
      <w:r>
        <w:rPr>
          <w:rFonts w:asciiTheme="majorBidi" w:eastAsia="Times New Roman" w:hAnsiTheme="majorBidi" w:cstheme="majorBidi"/>
          <w:kern w:val="0"/>
          <w:sz w:val="22"/>
          <w:szCs w:val="22"/>
        </w:rPr>
        <w:t xml:space="preserve"> 24 </w:t>
      </w:r>
      <w:r w:rsidRPr="00B976E3">
        <w:rPr>
          <w:rFonts w:asciiTheme="majorBidi" w:eastAsia="Times New Roman" w:hAnsiTheme="majorBidi" w:cstheme="majorBidi"/>
          <w:kern w:val="0"/>
          <w:sz w:val="22"/>
          <w:szCs w:val="22"/>
        </w:rPr>
        <w:t>hour</w:t>
      </w:r>
      <w:r>
        <w:rPr>
          <w:rFonts w:asciiTheme="majorBidi" w:eastAsia="Times New Roman" w:hAnsiTheme="majorBidi" w:cstheme="majorBidi"/>
          <w:kern w:val="0"/>
          <w:sz w:val="22"/>
          <w:szCs w:val="22"/>
        </w:rPr>
        <w:t xml:space="preserve">s </w:t>
      </w:r>
      <w:proofErr w:type="spellStart"/>
      <w:r w:rsidRPr="00B976E3">
        <w:rPr>
          <w:rFonts w:asciiTheme="majorBidi" w:eastAsia="Times New Roman" w:hAnsiTheme="majorBidi" w:cstheme="majorBidi"/>
          <w:kern w:val="0"/>
          <w:sz w:val="22"/>
          <w:szCs w:val="22"/>
        </w:rPr>
        <w:t>oaking</w:t>
      </w:r>
      <w:proofErr w:type="spellEnd"/>
      <w:r w:rsidRPr="00B976E3">
        <w:rPr>
          <w:rFonts w:asciiTheme="majorBidi" w:eastAsia="Times New Roman" w:hAnsiTheme="majorBidi" w:cstheme="majorBidi"/>
          <w:kern w:val="0"/>
          <w:sz w:val="22"/>
          <w:szCs w:val="22"/>
        </w:rPr>
        <w:t xml:space="preserve"> duration</w:t>
      </w:r>
      <w:r>
        <w:rPr>
          <w:rFonts w:asciiTheme="majorBidi" w:eastAsia="Times New Roman" w:hAnsiTheme="majorBidi" w:cstheme="majorBidi"/>
          <w:kern w:val="0"/>
          <w:sz w:val="22"/>
          <w:szCs w:val="22"/>
        </w:rPr>
        <w:t>)</w:t>
      </w:r>
      <w:r w:rsidRPr="00B976E3">
        <w:rPr>
          <w:rFonts w:asciiTheme="majorBidi" w:eastAsia="Times New Roman" w:hAnsiTheme="majorBidi" w:cstheme="majorBidi"/>
          <w:kern w:val="0"/>
          <w:sz w:val="22"/>
          <w:szCs w:val="22"/>
        </w:rPr>
        <w:t xml:space="preserve"> attained maximum values across almost all indicators. This resulted in the highest germination percentage of 94.00%, accompanied by a mean germination time of 3.23 days, a coefficient velocity germination of 0.31, an average plumule length of 8.23 cm and radicle length of 8.93 cm, seedling dry weight of 0.05 g, seedling vigor index value at 1717.30 besides total chlorophyll content at15.63 mg100g⁻¹ fresh weight all being maximum values recorded for these parameters. It was highly significantly different from the control treatment (soaking in distilled water for12hours) that attained minimum values among all attributes studied.</w:t>
      </w:r>
    </w:p>
    <w:p w:rsidR="008B2E53" w:rsidRPr="009F6317" w:rsidRDefault="004E792F" w:rsidP="008B2E53">
      <w:pPr>
        <w:bidi w:val="0"/>
        <w:rPr>
          <w:rFonts w:asciiTheme="majorBidi" w:hAnsiTheme="majorBidi" w:cstheme="majorBidi"/>
          <w:sz w:val="22"/>
          <w:szCs w:val="22"/>
          <w:lang w:bidi="ar-IQ"/>
        </w:rPr>
      </w:pPr>
      <w:r w:rsidRPr="009F6317">
        <w:rPr>
          <w:rFonts w:asciiTheme="majorBidi" w:eastAsia="Times New Roman" w:hAnsiTheme="majorBidi" w:cstheme="majorBidi"/>
          <w:b/>
          <w:bCs/>
          <w:kern w:val="0"/>
          <w:sz w:val="22"/>
          <w:szCs w:val="22"/>
        </w:rPr>
        <w:t>Keywords</w:t>
      </w:r>
      <w:r w:rsidRPr="009F6317">
        <w:rPr>
          <w:rFonts w:asciiTheme="majorBidi" w:eastAsia="Times New Roman" w:hAnsiTheme="majorBidi" w:cstheme="majorBidi"/>
          <w:kern w:val="0"/>
          <w:sz w:val="22"/>
          <w:szCs w:val="22"/>
        </w:rPr>
        <w:t>:</w:t>
      </w:r>
      <w:r w:rsidRPr="009F6317">
        <w:rPr>
          <w:rFonts w:asciiTheme="majorBidi" w:hAnsiTheme="majorBidi" w:cstheme="majorBidi"/>
          <w:sz w:val="22"/>
          <w:szCs w:val="22"/>
          <w:lang w:bidi="ar-IQ"/>
        </w:rPr>
        <w:t xml:space="preserve"> </w:t>
      </w:r>
      <w:r w:rsidRPr="009F6317">
        <w:rPr>
          <w:rFonts w:asciiTheme="majorBidi" w:hAnsiTheme="majorBidi" w:cstheme="majorBidi"/>
          <w:sz w:val="22"/>
          <w:szCs w:val="22"/>
        </w:rPr>
        <w:t>Dragon fruit, Gibberellic acid</w:t>
      </w:r>
      <w:r w:rsidRPr="009F6317">
        <w:rPr>
          <w:rFonts w:asciiTheme="majorBidi" w:hAnsiTheme="majorBidi" w:cstheme="majorBidi"/>
          <w:sz w:val="22"/>
          <w:szCs w:val="22"/>
          <w:lang w:bidi="ar-IQ"/>
        </w:rPr>
        <w:t xml:space="preserve">, </w:t>
      </w:r>
      <w:r w:rsidRPr="009F6317">
        <w:rPr>
          <w:rFonts w:asciiTheme="majorBidi" w:hAnsiTheme="majorBidi" w:cstheme="majorBidi"/>
          <w:sz w:val="22"/>
          <w:szCs w:val="22"/>
        </w:rPr>
        <w:t>Soaking duration</w:t>
      </w:r>
      <w:r w:rsidR="0072193E" w:rsidRPr="009F6317">
        <w:rPr>
          <w:rFonts w:asciiTheme="majorBidi" w:hAnsiTheme="majorBidi" w:cstheme="majorBidi"/>
          <w:sz w:val="22"/>
          <w:szCs w:val="22"/>
        </w:rPr>
        <w:t>,</w:t>
      </w:r>
      <w:r w:rsidRPr="009F6317">
        <w:rPr>
          <w:rFonts w:asciiTheme="majorBidi" w:hAnsiTheme="majorBidi" w:cstheme="majorBidi"/>
          <w:sz w:val="22"/>
          <w:szCs w:val="22"/>
        </w:rPr>
        <w:t xml:space="preserve"> Seed dormancy.</w:t>
      </w:r>
    </w:p>
    <w:p w:rsidR="00024ED6" w:rsidRDefault="00591094" w:rsidP="00024ED6">
      <w:pPr>
        <w:bidi w:val="0"/>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1. Introduction</w:t>
      </w:r>
    </w:p>
    <w:p w:rsidR="00024ED6" w:rsidRPr="00024ED6" w:rsidRDefault="00024ED6" w:rsidP="00024ED6">
      <w:pPr>
        <w:bidi w:val="0"/>
        <w:jc w:val="both"/>
        <w:rPr>
          <w:rFonts w:asciiTheme="majorBidi" w:hAnsiTheme="majorBidi" w:cstheme="majorBidi"/>
          <w:sz w:val="22"/>
          <w:szCs w:val="22"/>
          <w:lang w:bidi="ar-IQ"/>
        </w:rPr>
      </w:pPr>
      <w:r w:rsidRPr="00024ED6">
        <w:rPr>
          <w:rFonts w:asciiTheme="majorBidi" w:hAnsiTheme="majorBidi" w:cstheme="majorBidi"/>
          <w:sz w:val="22"/>
          <w:szCs w:val="22"/>
          <w:lang w:bidi="ar-IQ"/>
        </w:rPr>
        <w:t>Even with the rising global demand for dragon fruit (</w:t>
      </w:r>
      <w:proofErr w:type="spellStart"/>
      <w:r w:rsidRPr="00024ED6">
        <w:rPr>
          <w:rFonts w:asciiTheme="majorBidi" w:hAnsiTheme="majorBidi" w:cstheme="majorBidi"/>
          <w:i/>
          <w:iCs/>
          <w:sz w:val="22"/>
          <w:szCs w:val="22"/>
          <w:lang w:bidi="ar-IQ"/>
        </w:rPr>
        <w:t>Hylocereus</w:t>
      </w:r>
      <w:proofErr w:type="spellEnd"/>
      <w:r w:rsidRPr="00024ED6">
        <w:rPr>
          <w:rFonts w:asciiTheme="majorBidi" w:hAnsiTheme="majorBidi" w:cstheme="majorBidi"/>
          <w:sz w:val="22"/>
          <w:szCs w:val="22"/>
          <w:lang w:bidi="ar-IQ"/>
        </w:rPr>
        <w:t xml:space="preserve"> spp.), counted as a high-value horticultural crop, one of the major constraints to its large-scale propagation is still a constraint regarding its seed germination behavior and dormancy characteristics. In most regions</w:t>
      </w:r>
      <w:r>
        <w:rPr>
          <w:rFonts w:asciiTheme="majorBidi" w:hAnsiTheme="majorBidi" w:cstheme="majorBidi"/>
          <w:sz w:val="22"/>
          <w:szCs w:val="22"/>
          <w:lang w:bidi="ar-IQ"/>
        </w:rPr>
        <w:t xml:space="preserve">, </w:t>
      </w:r>
      <w:r w:rsidRPr="00024ED6">
        <w:rPr>
          <w:rFonts w:asciiTheme="majorBidi" w:hAnsiTheme="majorBidi" w:cstheme="majorBidi"/>
          <w:sz w:val="22"/>
          <w:szCs w:val="22"/>
          <w:lang w:bidi="ar-IQ"/>
        </w:rPr>
        <w:t>in newly emerging production areas such as Iraq</w:t>
      </w:r>
      <w:r>
        <w:rPr>
          <w:rFonts w:asciiTheme="majorBidi" w:hAnsiTheme="majorBidi" w:cstheme="majorBidi"/>
          <w:sz w:val="22"/>
          <w:szCs w:val="22"/>
          <w:lang w:bidi="ar-IQ"/>
        </w:rPr>
        <w:t xml:space="preserve">, </w:t>
      </w:r>
      <w:r w:rsidRPr="00024ED6">
        <w:rPr>
          <w:rFonts w:asciiTheme="majorBidi" w:hAnsiTheme="majorBidi" w:cstheme="majorBidi"/>
          <w:sz w:val="22"/>
          <w:szCs w:val="22"/>
          <w:lang w:bidi="ar-IQ"/>
        </w:rPr>
        <w:t>inconsistent germination and weak seedling establishment pose significant challenges for nursery production and eventually sustainable culti</w:t>
      </w:r>
      <w:r>
        <w:rPr>
          <w:rFonts w:asciiTheme="majorBidi" w:hAnsiTheme="majorBidi" w:cstheme="majorBidi"/>
          <w:sz w:val="22"/>
          <w:szCs w:val="22"/>
          <w:lang w:bidi="ar-IQ"/>
        </w:rPr>
        <w:t xml:space="preserve">vation. </w:t>
      </w:r>
      <w:r w:rsidRPr="00024ED6">
        <w:rPr>
          <w:rFonts w:asciiTheme="majorBidi" w:hAnsiTheme="majorBidi" w:cstheme="majorBidi"/>
          <w:sz w:val="22"/>
          <w:szCs w:val="22"/>
          <w:lang w:bidi="ar-IQ"/>
        </w:rPr>
        <w:t xml:space="preserve">This scientifically optimized pre-germination treatment that enhances seed performance with ensured uniformity in seedlings' growth </w:t>
      </w:r>
      <w:r>
        <w:rPr>
          <w:rFonts w:asciiTheme="majorBidi" w:hAnsiTheme="majorBidi" w:cstheme="majorBidi"/>
          <w:sz w:val="22"/>
          <w:szCs w:val="22"/>
          <w:lang w:bidi="ar-IQ"/>
        </w:rPr>
        <w:t>seems to be quite justified,</w:t>
      </w:r>
      <w:r w:rsidRPr="00024ED6">
        <w:rPr>
          <w:rFonts w:asciiTheme="majorBidi" w:hAnsiTheme="majorBidi" w:cstheme="majorBidi"/>
          <w:sz w:val="22"/>
          <w:szCs w:val="22"/>
          <w:lang w:bidi="ar-IQ"/>
        </w:rPr>
        <w:t xml:space="preserve"> since human interventions are hardly capable </w:t>
      </w:r>
      <w:r>
        <w:rPr>
          <w:rFonts w:asciiTheme="majorBidi" w:hAnsiTheme="majorBidi" w:cstheme="majorBidi"/>
          <w:sz w:val="22"/>
          <w:szCs w:val="22"/>
          <w:lang w:bidi="ar-IQ"/>
        </w:rPr>
        <w:t>of breaking</w:t>
      </w:r>
      <w:r w:rsidRPr="00024ED6">
        <w:rPr>
          <w:rFonts w:asciiTheme="majorBidi" w:hAnsiTheme="majorBidi" w:cstheme="majorBidi"/>
          <w:sz w:val="22"/>
          <w:szCs w:val="22"/>
          <w:lang w:bidi="ar-IQ"/>
        </w:rPr>
        <w:t xml:space="preserve"> all forms of dormancies effectively.</w:t>
      </w:r>
      <w:r>
        <w:rPr>
          <w:rFonts w:asciiTheme="majorBidi" w:hAnsiTheme="majorBidi" w:cstheme="majorBidi"/>
          <w:sz w:val="22"/>
          <w:szCs w:val="22"/>
          <w:lang w:bidi="ar-IQ"/>
        </w:rPr>
        <w:t xml:space="preserve"> </w:t>
      </w:r>
      <w:r w:rsidRPr="00024ED6">
        <w:rPr>
          <w:rFonts w:asciiTheme="majorBidi" w:hAnsiTheme="majorBidi" w:cstheme="majorBidi"/>
          <w:sz w:val="22"/>
          <w:szCs w:val="22"/>
          <w:lang w:bidi="ar-IQ"/>
        </w:rPr>
        <w:t>Cactus family (</w:t>
      </w:r>
      <w:proofErr w:type="spellStart"/>
      <w:r w:rsidRPr="00024ED6">
        <w:rPr>
          <w:rFonts w:asciiTheme="majorBidi" w:hAnsiTheme="majorBidi" w:cstheme="majorBidi"/>
          <w:sz w:val="22"/>
          <w:szCs w:val="22"/>
          <w:lang w:bidi="ar-IQ"/>
        </w:rPr>
        <w:t>Cactaceae</w:t>
      </w:r>
      <w:proofErr w:type="spellEnd"/>
      <w:r w:rsidRPr="00024ED6">
        <w:rPr>
          <w:rFonts w:asciiTheme="majorBidi" w:hAnsiTheme="majorBidi" w:cstheme="majorBidi"/>
          <w:sz w:val="22"/>
          <w:szCs w:val="22"/>
          <w:lang w:bidi="ar-IQ"/>
        </w:rPr>
        <w:t xml:space="preserve">), genus </w:t>
      </w:r>
      <w:proofErr w:type="spellStart"/>
      <w:r w:rsidRPr="00024ED6">
        <w:rPr>
          <w:rFonts w:asciiTheme="majorBidi" w:hAnsiTheme="majorBidi" w:cstheme="majorBidi"/>
          <w:i/>
          <w:iCs/>
          <w:sz w:val="22"/>
          <w:szCs w:val="22"/>
          <w:u w:val="single"/>
          <w:lang w:bidi="ar-IQ"/>
        </w:rPr>
        <w:t>Hylocereus</w:t>
      </w:r>
      <w:proofErr w:type="spellEnd"/>
      <w:r w:rsidRPr="00024ED6">
        <w:rPr>
          <w:rFonts w:asciiTheme="majorBidi" w:hAnsiTheme="majorBidi" w:cstheme="majorBidi"/>
          <w:sz w:val="22"/>
          <w:szCs w:val="22"/>
          <w:lang w:bidi="ar-IQ"/>
        </w:rPr>
        <w:t>. In its native tropical regions, dragon fruit is described as a climbing cactus with ribbed succulent stems. Large oval fruits are formed from nocturnal blooming flowers</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which have sweet flesh and a reddish-purple peel resembling scales of a dragon</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thus giving the common name to this crop</w:t>
      </w:r>
      <w:proofErr w:type="gramStart"/>
      <w:r w:rsidRPr="00024ED6">
        <w:rPr>
          <w:rFonts w:asciiTheme="majorBidi" w:hAnsiTheme="majorBidi" w:cstheme="majorBidi"/>
          <w:sz w:val="22"/>
          <w:szCs w:val="22"/>
          <w:lang w:bidi="ar-IQ"/>
        </w:rPr>
        <w:t>.(</w:t>
      </w:r>
      <w:proofErr w:type="spellStart"/>
      <w:proofErr w:type="gramEnd"/>
      <w:r w:rsidRPr="00024ED6">
        <w:rPr>
          <w:rFonts w:asciiTheme="majorBidi" w:hAnsiTheme="majorBidi" w:cstheme="majorBidi"/>
          <w:sz w:val="22"/>
          <w:szCs w:val="22"/>
          <w:lang w:bidi="ar-IQ"/>
        </w:rPr>
        <w:t>Wakchaure</w:t>
      </w:r>
      <w:proofErr w:type="spellEnd"/>
      <w:r w:rsidRPr="00024ED6">
        <w:rPr>
          <w:rFonts w:asciiTheme="majorBidi" w:hAnsiTheme="majorBidi" w:cstheme="majorBidi"/>
          <w:sz w:val="22"/>
          <w:szCs w:val="22"/>
          <w:lang w:bidi="ar-IQ"/>
        </w:rPr>
        <w:t xml:space="preserve"> et al., 2023) Due to </w:t>
      </w:r>
      <w:r>
        <w:rPr>
          <w:rFonts w:asciiTheme="majorBidi" w:hAnsiTheme="majorBidi" w:cstheme="majorBidi"/>
          <w:sz w:val="22"/>
          <w:szCs w:val="22"/>
          <w:lang w:bidi="ar-IQ"/>
        </w:rPr>
        <w:t xml:space="preserve">the </w:t>
      </w:r>
      <w:r w:rsidRPr="00024ED6">
        <w:rPr>
          <w:rFonts w:asciiTheme="majorBidi" w:hAnsiTheme="majorBidi" w:cstheme="majorBidi"/>
          <w:sz w:val="22"/>
          <w:szCs w:val="22"/>
          <w:lang w:bidi="ar-IQ"/>
        </w:rPr>
        <w:t>adaptability of the plant, low pest and disease incidence observed on it</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together with minimal agronomic requirements</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it has attracted much attention </w:t>
      </w:r>
      <w:r>
        <w:rPr>
          <w:rFonts w:asciiTheme="majorBidi" w:hAnsiTheme="majorBidi" w:cstheme="majorBidi"/>
          <w:sz w:val="22"/>
          <w:szCs w:val="22"/>
          <w:lang w:bidi="ar-IQ"/>
        </w:rPr>
        <w:t>from</w:t>
      </w:r>
      <w:r w:rsidRPr="00024ED6">
        <w:rPr>
          <w:rFonts w:asciiTheme="majorBidi" w:hAnsiTheme="majorBidi" w:cstheme="majorBidi"/>
          <w:sz w:val="22"/>
          <w:szCs w:val="22"/>
          <w:lang w:bidi="ar-IQ"/>
        </w:rPr>
        <w:t xml:space="preserve"> farmers</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both commercially a</w:t>
      </w:r>
      <w:r>
        <w:rPr>
          <w:rFonts w:asciiTheme="majorBidi" w:hAnsiTheme="majorBidi" w:cstheme="majorBidi"/>
          <w:sz w:val="22"/>
          <w:szCs w:val="22"/>
          <w:lang w:bidi="ar-IQ"/>
        </w:rPr>
        <w:t>nd</w:t>
      </w:r>
      <w:r w:rsidRPr="00024ED6">
        <w:rPr>
          <w:rFonts w:asciiTheme="majorBidi" w:hAnsiTheme="majorBidi" w:cstheme="majorBidi"/>
          <w:sz w:val="22"/>
          <w:szCs w:val="22"/>
          <w:lang w:bidi="ar-IQ"/>
        </w:rPr>
        <w:t xml:space="preserve"> home growers. It is also widely known for nutritional plus therapeutic values</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being high in antioxidants</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vitamins</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dietary fiber</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essential minerals</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etc. Recently</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one </w:t>
      </w:r>
      <w:r>
        <w:rPr>
          <w:rFonts w:asciiTheme="majorBidi" w:hAnsiTheme="majorBidi" w:cstheme="majorBidi"/>
          <w:sz w:val="22"/>
          <w:szCs w:val="22"/>
          <w:lang w:bidi="ar-IQ"/>
        </w:rPr>
        <w:t>of the</w:t>
      </w:r>
      <w:r w:rsidRPr="00024ED6">
        <w:rPr>
          <w:rFonts w:asciiTheme="majorBidi" w:hAnsiTheme="majorBidi" w:cstheme="majorBidi"/>
          <w:sz w:val="22"/>
          <w:szCs w:val="22"/>
          <w:lang w:bidi="ar-IQ"/>
        </w:rPr>
        <w:t xml:space="preserve"> preferred crops by farmers in Iraq </w:t>
      </w:r>
      <w:r>
        <w:rPr>
          <w:rFonts w:asciiTheme="majorBidi" w:hAnsiTheme="majorBidi" w:cstheme="majorBidi"/>
          <w:sz w:val="22"/>
          <w:szCs w:val="22"/>
          <w:lang w:bidi="ar-IQ"/>
        </w:rPr>
        <w:t xml:space="preserve">has been </w:t>
      </w:r>
      <w:r w:rsidRPr="00024ED6">
        <w:rPr>
          <w:rFonts w:asciiTheme="majorBidi" w:hAnsiTheme="majorBidi" w:cstheme="majorBidi"/>
          <w:sz w:val="22"/>
          <w:szCs w:val="22"/>
          <w:lang w:bidi="ar-IQ"/>
        </w:rPr>
        <w:t>due to increasing consumer demand</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w:t>
      </w:r>
      <w:r>
        <w:rPr>
          <w:rFonts w:asciiTheme="majorBidi" w:hAnsiTheme="majorBidi" w:cstheme="majorBidi"/>
          <w:sz w:val="22"/>
          <w:szCs w:val="22"/>
          <w:lang w:bidi="ar-IQ"/>
        </w:rPr>
        <w:t>in addition to</w:t>
      </w:r>
      <w:r w:rsidRPr="00024ED6">
        <w:rPr>
          <w:rFonts w:asciiTheme="majorBidi" w:hAnsiTheme="majorBidi" w:cstheme="majorBidi"/>
          <w:sz w:val="22"/>
          <w:szCs w:val="22"/>
          <w:lang w:bidi="ar-IQ"/>
        </w:rPr>
        <w:t xml:space="preserve"> interest </w:t>
      </w:r>
      <w:r>
        <w:rPr>
          <w:rFonts w:asciiTheme="majorBidi" w:hAnsiTheme="majorBidi" w:cstheme="majorBidi"/>
          <w:sz w:val="22"/>
          <w:szCs w:val="22"/>
          <w:lang w:bidi="ar-IQ"/>
        </w:rPr>
        <w:t>in the</w:t>
      </w:r>
      <w:r w:rsidRPr="00024ED6">
        <w:rPr>
          <w:rFonts w:asciiTheme="majorBidi" w:hAnsiTheme="majorBidi" w:cstheme="majorBidi"/>
          <w:sz w:val="22"/>
          <w:szCs w:val="22"/>
          <w:lang w:bidi="ar-IQ"/>
        </w:rPr>
        <w:t xml:space="preserve"> diversification of horticultural production systems.</w:t>
      </w:r>
      <w:r>
        <w:rPr>
          <w:rFonts w:asciiTheme="majorBidi" w:hAnsiTheme="majorBidi" w:cstheme="majorBidi"/>
          <w:sz w:val="22"/>
          <w:szCs w:val="22"/>
          <w:lang w:bidi="ar-IQ"/>
        </w:rPr>
        <w:t xml:space="preserve"> </w:t>
      </w:r>
      <w:r w:rsidRPr="00024ED6">
        <w:rPr>
          <w:rFonts w:asciiTheme="majorBidi" w:hAnsiTheme="majorBidi" w:cstheme="majorBidi"/>
          <w:sz w:val="22"/>
          <w:szCs w:val="22"/>
          <w:lang w:bidi="ar-IQ"/>
        </w:rPr>
        <w:t>(Ortiz &amp; Takahashi, 2015)</w:t>
      </w:r>
    </w:p>
    <w:p w:rsidR="00024ED6" w:rsidRPr="00024ED6" w:rsidRDefault="00024ED6" w:rsidP="00024ED6">
      <w:pPr>
        <w:bidi w:val="0"/>
        <w:jc w:val="both"/>
        <w:rPr>
          <w:rFonts w:asciiTheme="majorBidi" w:hAnsiTheme="majorBidi" w:cstheme="majorBidi"/>
          <w:sz w:val="22"/>
          <w:szCs w:val="22"/>
          <w:lang w:bidi="ar-IQ"/>
        </w:rPr>
      </w:pPr>
    </w:p>
    <w:p w:rsidR="00024ED6" w:rsidRPr="00024ED6" w:rsidRDefault="00024ED6" w:rsidP="00024ED6">
      <w:pPr>
        <w:bidi w:val="0"/>
        <w:jc w:val="both"/>
        <w:rPr>
          <w:rFonts w:asciiTheme="majorBidi" w:hAnsiTheme="majorBidi" w:cstheme="majorBidi"/>
          <w:sz w:val="22"/>
          <w:szCs w:val="22"/>
          <w:lang w:bidi="ar-IQ"/>
        </w:rPr>
      </w:pPr>
      <w:r w:rsidRPr="00024ED6">
        <w:rPr>
          <w:rFonts w:asciiTheme="majorBidi" w:hAnsiTheme="majorBidi" w:cstheme="majorBidi"/>
          <w:sz w:val="22"/>
          <w:szCs w:val="22"/>
          <w:lang w:bidi="ar-IQ"/>
        </w:rPr>
        <w:t>Gibberellins are a type of plant growth regulator responsible for the major activities associated with plant growth and development processes. The regulation of gibberellins controls several physiological activities such as seed germination, breaking dormancy, seedling establishment, stem and root elongation, flowering</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and fruiting</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leading eventually </w:t>
      </w:r>
      <w:r w:rsidRPr="00024ED6">
        <w:rPr>
          <w:rFonts w:asciiTheme="majorBidi" w:hAnsiTheme="majorBidi" w:cstheme="majorBidi"/>
          <w:sz w:val="22"/>
          <w:szCs w:val="22"/>
          <w:lang w:bidi="ar-IQ"/>
        </w:rPr>
        <w:lastRenderedPageBreak/>
        <w:t>to yield (productivity). At the seed level, gibberellic acid (GA₃) promotes germination by inducing the synthesis of hydrolytic enzymes like α-amylase</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which will support </w:t>
      </w:r>
      <w:r>
        <w:rPr>
          <w:rFonts w:asciiTheme="majorBidi" w:hAnsiTheme="majorBidi" w:cstheme="majorBidi"/>
          <w:sz w:val="22"/>
          <w:szCs w:val="22"/>
          <w:lang w:bidi="ar-IQ"/>
        </w:rPr>
        <w:t xml:space="preserve">the </w:t>
      </w:r>
      <w:r w:rsidRPr="00024ED6">
        <w:rPr>
          <w:rFonts w:asciiTheme="majorBidi" w:hAnsiTheme="majorBidi" w:cstheme="majorBidi"/>
          <w:sz w:val="22"/>
          <w:szCs w:val="22"/>
          <w:lang w:bidi="ar-IQ"/>
        </w:rPr>
        <w:t>mobilization of stored reserves for embryo growth</w:t>
      </w:r>
      <w:r>
        <w:rPr>
          <w:rFonts w:asciiTheme="majorBidi" w:hAnsiTheme="majorBidi" w:cstheme="majorBidi"/>
          <w:sz w:val="22"/>
          <w:szCs w:val="22"/>
          <w:lang w:bidi="ar-IQ"/>
        </w:rPr>
        <w:t xml:space="preserve"> (</w:t>
      </w:r>
      <w:proofErr w:type="spellStart"/>
      <w:r w:rsidRPr="00024ED6">
        <w:rPr>
          <w:rFonts w:asciiTheme="majorBidi" w:hAnsiTheme="majorBidi" w:cstheme="majorBidi"/>
          <w:sz w:val="22"/>
          <w:szCs w:val="22"/>
          <w:lang w:bidi="ar-IQ"/>
        </w:rPr>
        <w:t>Carrera-Castaño</w:t>
      </w:r>
      <w:proofErr w:type="spellEnd"/>
      <w:r w:rsidRPr="00024ED6">
        <w:rPr>
          <w:rFonts w:asciiTheme="majorBidi" w:hAnsiTheme="majorBidi" w:cstheme="majorBidi"/>
          <w:sz w:val="22"/>
          <w:szCs w:val="22"/>
          <w:lang w:bidi="ar-IQ"/>
        </w:rPr>
        <w:t xml:space="preserve"> et al., 2020). Recent reports highlighted an important aspect that “hormonal balance regulation by GA₃ is needed to synchronize metabolic activation with improved efficiency of germination</w:t>
      </w:r>
      <w:r>
        <w:rPr>
          <w:rFonts w:asciiTheme="majorBidi" w:hAnsiTheme="majorBidi" w:cstheme="majorBidi"/>
          <w:sz w:val="22"/>
          <w:szCs w:val="22"/>
          <w:lang w:bidi="ar-IQ"/>
        </w:rPr>
        <w:t>,</w:t>
      </w:r>
      <w:r w:rsidRPr="00024ED6">
        <w:rPr>
          <w:rFonts w:asciiTheme="majorBidi" w:hAnsiTheme="majorBidi" w:cstheme="majorBidi"/>
          <w:sz w:val="22"/>
          <w:szCs w:val="22"/>
          <w:lang w:bidi="ar-IQ"/>
        </w:rPr>
        <w:t>” mainly in species displaying physiological dormancy (</w:t>
      </w:r>
      <w:proofErr w:type="spellStart"/>
      <w:r w:rsidRPr="00024ED6">
        <w:rPr>
          <w:rFonts w:asciiTheme="majorBidi" w:hAnsiTheme="majorBidi" w:cstheme="majorBidi"/>
          <w:sz w:val="22"/>
          <w:szCs w:val="22"/>
          <w:lang w:bidi="ar-IQ"/>
        </w:rPr>
        <w:t>Nonogaki</w:t>
      </w:r>
      <w:proofErr w:type="spellEnd"/>
      <w:r w:rsidRPr="00024ED6">
        <w:rPr>
          <w:rFonts w:asciiTheme="majorBidi" w:hAnsiTheme="majorBidi" w:cstheme="majorBidi"/>
          <w:sz w:val="22"/>
          <w:szCs w:val="22"/>
          <w:lang w:bidi="ar-IQ"/>
        </w:rPr>
        <w:t xml:space="preserve"> 2019; </w:t>
      </w:r>
      <w:proofErr w:type="spellStart"/>
      <w:r w:rsidRPr="00024ED6">
        <w:rPr>
          <w:rFonts w:asciiTheme="majorBidi" w:hAnsiTheme="majorBidi" w:cstheme="majorBidi"/>
          <w:sz w:val="22"/>
          <w:szCs w:val="22"/>
          <w:lang w:bidi="ar-IQ"/>
        </w:rPr>
        <w:t>Bewley</w:t>
      </w:r>
      <w:proofErr w:type="spellEnd"/>
      <w:r w:rsidRPr="00024ED6">
        <w:rPr>
          <w:rFonts w:asciiTheme="majorBidi" w:hAnsiTheme="majorBidi" w:cstheme="majorBidi"/>
          <w:sz w:val="22"/>
          <w:szCs w:val="22"/>
          <w:lang w:bidi="ar-IQ"/>
        </w:rPr>
        <w:t xml:space="preserve"> et al., 2023).</w:t>
      </w:r>
    </w:p>
    <w:p w:rsidR="00024ED6" w:rsidRPr="00024ED6" w:rsidRDefault="00024ED6" w:rsidP="00024ED6">
      <w:pPr>
        <w:bidi w:val="0"/>
        <w:jc w:val="both"/>
        <w:rPr>
          <w:rFonts w:asciiTheme="majorBidi" w:hAnsiTheme="majorBidi" w:cstheme="majorBidi"/>
          <w:sz w:val="22"/>
          <w:szCs w:val="22"/>
          <w:lang w:bidi="ar-IQ"/>
        </w:rPr>
      </w:pPr>
      <w:r w:rsidRPr="00024ED6">
        <w:rPr>
          <w:rFonts w:asciiTheme="majorBidi" w:hAnsiTheme="majorBidi" w:cstheme="majorBidi"/>
          <w:sz w:val="22"/>
          <w:szCs w:val="22"/>
          <w:lang w:bidi="ar-IQ"/>
        </w:rPr>
        <w:t xml:space="preserve">Seed priming techniques have recently evolved as efficient pre-sowing practices in enhancing germination and vigor of seedlings. Among these, hydropriming is one simple method widely practiced wherein seeds are soaked in clean water to allow imbibition and initiation of early metabolic processes without permitting radicle protrusion, then re-dried to </w:t>
      </w:r>
      <w:r>
        <w:rPr>
          <w:rFonts w:asciiTheme="majorBidi" w:hAnsiTheme="majorBidi" w:cstheme="majorBidi"/>
          <w:sz w:val="22"/>
          <w:szCs w:val="22"/>
          <w:lang w:bidi="ar-IQ"/>
        </w:rPr>
        <w:t xml:space="preserve">the </w:t>
      </w:r>
      <w:r w:rsidRPr="00024ED6">
        <w:rPr>
          <w:rFonts w:asciiTheme="majorBidi" w:hAnsiTheme="majorBidi" w:cstheme="majorBidi"/>
          <w:sz w:val="22"/>
          <w:szCs w:val="22"/>
          <w:lang w:bidi="ar-IQ"/>
        </w:rPr>
        <w:t>original moisture content before sowing (Matsushima &amp; Sakagami</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2013). The treatment enhances enzyme activity</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evidenced by faster mobilization of reserves</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which leads eventually to uniform germination that results finally in a synchronized emergence of seedlings all over the field (Muhammad et al., 2006). New findings establish greater benefits realized when treatments combine both hydropriming and hormonal</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particularly GA₃</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since it enhances hormone signaling paths associated with breaking dormancy up to initial </w:t>
      </w:r>
      <w:proofErr w:type="gramStart"/>
      <w:r w:rsidRPr="00024ED6">
        <w:rPr>
          <w:rFonts w:asciiTheme="majorBidi" w:hAnsiTheme="majorBidi" w:cstheme="majorBidi"/>
          <w:sz w:val="22"/>
          <w:szCs w:val="22"/>
          <w:lang w:bidi="ar-IQ"/>
        </w:rPr>
        <w:t>growth(</w:t>
      </w:r>
      <w:proofErr w:type="gramEnd"/>
      <w:r w:rsidRPr="00024ED6">
        <w:rPr>
          <w:rFonts w:asciiTheme="majorBidi" w:hAnsiTheme="majorBidi" w:cstheme="majorBidi"/>
          <w:sz w:val="22"/>
          <w:szCs w:val="22"/>
          <w:lang w:bidi="ar-IQ"/>
        </w:rPr>
        <w:t>Zhao et al.,2022;</w:t>
      </w:r>
      <w:r>
        <w:rPr>
          <w:rFonts w:asciiTheme="majorBidi" w:hAnsiTheme="majorBidi" w:cstheme="majorBidi"/>
          <w:sz w:val="22"/>
          <w:szCs w:val="22"/>
          <w:lang w:bidi="ar-IQ"/>
        </w:rPr>
        <w:t xml:space="preserve"> </w:t>
      </w:r>
      <w:proofErr w:type="spellStart"/>
      <w:r w:rsidRPr="00024ED6">
        <w:rPr>
          <w:rFonts w:asciiTheme="majorBidi" w:hAnsiTheme="majorBidi" w:cstheme="majorBidi"/>
          <w:sz w:val="22"/>
          <w:szCs w:val="22"/>
          <w:lang w:bidi="ar-IQ"/>
        </w:rPr>
        <w:t>Rêgo</w:t>
      </w:r>
      <w:proofErr w:type="spellEnd"/>
      <w:r w:rsidRPr="00024ED6">
        <w:rPr>
          <w:rFonts w:asciiTheme="majorBidi" w:hAnsiTheme="majorBidi" w:cstheme="majorBidi"/>
          <w:sz w:val="22"/>
          <w:szCs w:val="22"/>
          <w:lang w:bidi="ar-IQ"/>
        </w:rPr>
        <w:t xml:space="preserve"> et al.,2020).</w:t>
      </w:r>
    </w:p>
    <w:p w:rsidR="00024ED6" w:rsidRPr="00024ED6" w:rsidRDefault="00024ED6" w:rsidP="00024ED6">
      <w:pPr>
        <w:bidi w:val="0"/>
        <w:jc w:val="both"/>
        <w:rPr>
          <w:rFonts w:asciiTheme="majorBidi" w:hAnsiTheme="majorBidi" w:cstheme="majorBidi"/>
          <w:sz w:val="22"/>
          <w:szCs w:val="22"/>
          <w:lang w:bidi="ar-IQ"/>
        </w:rPr>
      </w:pPr>
      <w:r w:rsidRPr="00024ED6">
        <w:rPr>
          <w:rFonts w:asciiTheme="majorBidi" w:hAnsiTheme="majorBidi" w:cstheme="majorBidi"/>
          <w:sz w:val="22"/>
          <w:szCs w:val="22"/>
          <w:lang w:bidi="ar-IQ"/>
        </w:rPr>
        <w:t>However, there are scant scientific studies on the physiology of its seed germination under different treatments to break dormancy. This knowledge is virtually absent under arid and semi-arid conditions</w:t>
      </w:r>
      <w:r>
        <w:rPr>
          <w:rFonts w:asciiTheme="majorBidi" w:hAnsiTheme="majorBidi" w:cstheme="majorBidi"/>
          <w:sz w:val="22"/>
          <w:szCs w:val="22"/>
          <w:lang w:bidi="ar-IQ"/>
        </w:rPr>
        <w:t>,</w:t>
      </w:r>
      <w:r w:rsidRPr="00024ED6">
        <w:rPr>
          <w:rFonts w:asciiTheme="majorBidi" w:hAnsiTheme="majorBidi" w:cstheme="majorBidi"/>
          <w:sz w:val="22"/>
          <w:szCs w:val="22"/>
          <w:lang w:bidi="ar-IQ"/>
        </w:rPr>
        <w:t xml:space="preserve"> where optimal conditions for seedling establishment seldom exist, hence a constraint to seedling establishment. Therefore, an understanding that will detail how gibberellic acid concentration and soaking duration affect germination and early growth of seedlings in propagation efficiency improvement innovations support</w:t>
      </w:r>
      <w:r>
        <w:rPr>
          <w:rFonts w:asciiTheme="majorBidi" w:hAnsiTheme="majorBidi" w:cstheme="majorBidi"/>
          <w:sz w:val="22"/>
          <w:szCs w:val="22"/>
          <w:lang w:bidi="ar-IQ"/>
        </w:rPr>
        <w:t>s</w:t>
      </w:r>
      <w:r w:rsidRPr="00024ED6">
        <w:rPr>
          <w:rFonts w:asciiTheme="majorBidi" w:hAnsiTheme="majorBidi" w:cstheme="majorBidi"/>
          <w:sz w:val="22"/>
          <w:szCs w:val="22"/>
          <w:lang w:bidi="ar-IQ"/>
        </w:rPr>
        <w:t xml:space="preserve"> sustainable expansion of dragon fruit cultivation (Khan et al., 2020).</w:t>
      </w:r>
    </w:p>
    <w:p w:rsidR="00024ED6" w:rsidRPr="00024ED6" w:rsidRDefault="00024ED6" w:rsidP="00024ED6">
      <w:pPr>
        <w:bidi w:val="0"/>
        <w:jc w:val="both"/>
        <w:rPr>
          <w:rFonts w:asciiTheme="majorBidi" w:hAnsiTheme="majorBidi" w:cstheme="majorBidi"/>
          <w:sz w:val="22"/>
          <w:szCs w:val="22"/>
          <w:lang w:bidi="ar-IQ"/>
        </w:rPr>
      </w:pPr>
      <w:r>
        <w:rPr>
          <w:rFonts w:asciiTheme="majorBidi" w:hAnsiTheme="majorBidi" w:cstheme="majorBidi"/>
          <w:sz w:val="22"/>
          <w:szCs w:val="22"/>
          <w:lang w:bidi="ar-IQ"/>
        </w:rPr>
        <w:t>T</w:t>
      </w:r>
      <w:r w:rsidRPr="00024ED6">
        <w:rPr>
          <w:rFonts w:asciiTheme="majorBidi" w:hAnsiTheme="majorBidi" w:cstheme="majorBidi"/>
          <w:sz w:val="22"/>
          <w:szCs w:val="22"/>
          <w:lang w:bidi="ar-IQ"/>
        </w:rPr>
        <w:t>he study aimed at finding the optimum combination of gibberellic acid concentration and soaking duration in breaking seed dormancy and enhancing germination and early seedling growth of dragon fruit (</w:t>
      </w:r>
      <w:proofErr w:type="spellStart"/>
      <w:r w:rsidRPr="00024ED6">
        <w:rPr>
          <w:rFonts w:asciiTheme="majorBidi" w:hAnsiTheme="majorBidi" w:cstheme="majorBidi"/>
          <w:i/>
          <w:iCs/>
          <w:sz w:val="22"/>
          <w:szCs w:val="22"/>
          <w:lang w:bidi="ar-IQ"/>
        </w:rPr>
        <w:t>Hylocereus</w:t>
      </w:r>
      <w:proofErr w:type="spellEnd"/>
      <w:r w:rsidRPr="00024ED6">
        <w:rPr>
          <w:rFonts w:asciiTheme="majorBidi" w:hAnsiTheme="majorBidi" w:cstheme="majorBidi"/>
          <w:sz w:val="22"/>
          <w:szCs w:val="22"/>
          <w:lang w:bidi="ar-IQ"/>
        </w:rPr>
        <w:t xml:space="preserve"> spp.).</w:t>
      </w:r>
    </w:p>
    <w:p w:rsidR="00D04EB5" w:rsidRPr="009F6317" w:rsidRDefault="00591094" w:rsidP="00D04EB5">
      <w:pPr>
        <w:bidi w:val="0"/>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2</w:t>
      </w:r>
      <w:r w:rsidR="00D04EB5" w:rsidRPr="009F6317">
        <w:rPr>
          <w:rFonts w:asciiTheme="majorBidi" w:hAnsiTheme="majorBidi" w:cstheme="majorBidi"/>
          <w:b/>
          <w:bCs/>
          <w:sz w:val="22"/>
          <w:szCs w:val="22"/>
          <w:lang w:bidi="ar-IQ"/>
        </w:rPr>
        <w:t>. Materials and Methods</w:t>
      </w:r>
    </w:p>
    <w:p w:rsidR="00D04EB5" w:rsidRDefault="00D04EB5" w:rsidP="00D04EB5">
      <w:pPr>
        <w:bidi w:val="0"/>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Experimental Site and Seed Preparation</w:t>
      </w:r>
    </w:p>
    <w:p w:rsidR="007D7982" w:rsidRPr="007D7982" w:rsidRDefault="007D7982" w:rsidP="007D7982">
      <w:pPr>
        <w:bidi w:val="0"/>
        <w:jc w:val="both"/>
        <w:rPr>
          <w:rFonts w:asciiTheme="majorBidi" w:hAnsiTheme="majorBidi" w:cstheme="majorBidi"/>
          <w:sz w:val="22"/>
          <w:szCs w:val="22"/>
          <w:lang w:bidi="ar-IQ"/>
        </w:rPr>
      </w:pPr>
      <w:r w:rsidRPr="007D7982">
        <w:rPr>
          <w:rFonts w:asciiTheme="majorBidi" w:hAnsiTheme="majorBidi" w:cstheme="majorBidi"/>
          <w:sz w:val="22"/>
          <w:szCs w:val="22"/>
          <w:lang w:bidi="ar-IQ"/>
        </w:rPr>
        <w:t xml:space="preserve">The experiment was conducted in the Research Laboratory, Department of Horticulture and Landscape Design, College of Agriculture, University of </w:t>
      </w:r>
      <w:proofErr w:type="spellStart"/>
      <w:r w:rsidRPr="007D7982">
        <w:rPr>
          <w:rFonts w:asciiTheme="majorBidi" w:hAnsiTheme="majorBidi" w:cstheme="majorBidi"/>
          <w:sz w:val="22"/>
          <w:szCs w:val="22"/>
          <w:lang w:bidi="ar-IQ"/>
        </w:rPr>
        <w:t>Kufa</w:t>
      </w:r>
      <w:proofErr w:type="spellEnd"/>
      <w:r>
        <w:rPr>
          <w:rFonts w:asciiTheme="majorBidi" w:hAnsiTheme="majorBidi" w:cstheme="majorBidi"/>
          <w:sz w:val="22"/>
          <w:szCs w:val="22"/>
          <w:lang w:bidi="ar-IQ"/>
        </w:rPr>
        <w:t>,</w:t>
      </w:r>
      <w:r w:rsidRPr="007D7982">
        <w:rPr>
          <w:rFonts w:asciiTheme="majorBidi" w:hAnsiTheme="majorBidi" w:cstheme="majorBidi"/>
          <w:sz w:val="22"/>
          <w:szCs w:val="22"/>
          <w:lang w:bidi="ar-IQ"/>
        </w:rPr>
        <w:t xml:space="preserve"> </w:t>
      </w:r>
      <w:r>
        <w:rPr>
          <w:rFonts w:asciiTheme="majorBidi" w:hAnsiTheme="majorBidi" w:cstheme="majorBidi"/>
          <w:sz w:val="22"/>
          <w:szCs w:val="22"/>
          <w:lang w:bidi="ar-IQ"/>
        </w:rPr>
        <w:t>in</w:t>
      </w:r>
      <w:r w:rsidRPr="007D7982">
        <w:rPr>
          <w:rFonts w:asciiTheme="majorBidi" w:hAnsiTheme="majorBidi" w:cstheme="majorBidi"/>
          <w:sz w:val="22"/>
          <w:szCs w:val="22"/>
          <w:lang w:bidi="ar-IQ"/>
        </w:rPr>
        <w:t xml:space="preserve"> 2025. The investigation was conducted in a laboratory setting with a temperature of </w:t>
      </w:r>
      <w:r>
        <w:rPr>
          <w:rFonts w:asciiTheme="majorBidi" w:hAnsiTheme="majorBidi" w:cstheme="majorBidi"/>
          <w:sz w:val="22"/>
          <w:szCs w:val="22"/>
          <w:lang w:bidi="ar-IQ"/>
        </w:rPr>
        <w:t xml:space="preserve">approximately </w:t>
      </w:r>
      <w:r w:rsidRPr="007D7982">
        <w:rPr>
          <w:rFonts w:asciiTheme="majorBidi" w:hAnsiTheme="majorBidi" w:cstheme="majorBidi"/>
          <w:sz w:val="22"/>
          <w:szCs w:val="22"/>
          <w:lang w:bidi="ar-IQ"/>
        </w:rPr>
        <w:t>25</w:t>
      </w:r>
      <w:r>
        <w:rPr>
          <w:rFonts w:asciiTheme="majorBidi" w:hAnsiTheme="majorBidi" w:cstheme="majorBidi"/>
          <w:sz w:val="22"/>
          <w:szCs w:val="22"/>
          <w:lang w:bidi="ar-IQ"/>
        </w:rPr>
        <w:t xml:space="preserve"> </w:t>
      </w:r>
      <w:r w:rsidRPr="007D7982">
        <w:rPr>
          <w:rFonts w:asciiTheme="majorBidi" w:hAnsiTheme="majorBidi" w:cstheme="majorBidi"/>
          <w:sz w:val="22"/>
          <w:szCs w:val="22"/>
          <w:lang w:bidi="ar-IQ"/>
        </w:rPr>
        <w:t>°C. Red-fleshed seeds of the Dragon fruit cultivar were purchased from local sources in the Holy Najaf Governorate. The seeds were harvested from fresh fruit and thoroughly cleaned before being surface sterilized by taking a bath in a solution of 2% sodium hypochlorite for one minute</w:t>
      </w:r>
      <w:proofErr w:type="gramStart"/>
      <w:r w:rsidRPr="007D7982">
        <w:rPr>
          <w:rFonts w:asciiTheme="majorBidi" w:hAnsiTheme="majorBidi" w:cstheme="majorBidi"/>
          <w:sz w:val="22"/>
          <w:szCs w:val="22"/>
          <w:lang w:bidi="ar-IQ"/>
        </w:rPr>
        <w:t>,[</w:t>
      </w:r>
      <w:proofErr w:type="gramEnd"/>
      <w:r w:rsidRPr="007D7982">
        <w:rPr>
          <w:rFonts w:asciiTheme="majorBidi" w:hAnsiTheme="majorBidi" w:cstheme="majorBidi"/>
          <w:sz w:val="22"/>
          <w:szCs w:val="22"/>
          <w:lang w:bidi="ar-IQ"/>
        </w:rPr>
        <w:t>1] then the seeds were rinsed 3-5 times with sterilized water to remove the remaining disinfectant if present.</w:t>
      </w:r>
    </w:p>
    <w:p w:rsidR="00024ED6" w:rsidRDefault="00024ED6" w:rsidP="007D7982">
      <w:pPr>
        <w:bidi w:val="0"/>
        <w:jc w:val="both"/>
        <w:rPr>
          <w:rFonts w:asciiTheme="majorBidi" w:hAnsiTheme="majorBidi" w:cstheme="majorBidi"/>
          <w:b/>
          <w:bCs/>
          <w:sz w:val="22"/>
          <w:szCs w:val="22"/>
          <w:lang w:bidi="ar-IQ"/>
        </w:rPr>
      </w:pPr>
    </w:p>
    <w:p w:rsidR="007D7982" w:rsidRPr="007D7982" w:rsidRDefault="007D7982" w:rsidP="00024ED6">
      <w:pPr>
        <w:bidi w:val="0"/>
        <w:jc w:val="both"/>
        <w:rPr>
          <w:rFonts w:asciiTheme="majorBidi" w:hAnsiTheme="majorBidi" w:cstheme="majorBidi"/>
          <w:b/>
          <w:bCs/>
          <w:sz w:val="22"/>
          <w:szCs w:val="22"/>
          <w:lang w:bidi="ar-IQ"/>
        </w:rPr>
      </w:pPr>
      <w:r w:rsidRPr="007D7982">
        <w:rPr>
          <w:rFonts w:asciiTheme="majorBidi" w:hAnsiTheme="majorBidi" w:cstheme="majorBidi"/>
          <w:b/>
          <w:bCs/>
          <w:sz w:val="22"/>
          <w:szCs w:val="22"/>
          <w:lang w:bidi="ar-IQ"/>
        </w:rPr>
        <w:t>experimental therapies</w:t>
      </w:r>
    </w:p>
    <w:p w:rsidR="007D7982" w:rsidRPr="007D7982" w:rsidRDefault="007D7982" w:rsidP="007D7982">
      <w:pPr>
        <w:bidi w:val="0"/>
        <w:jc w:val="both"/>
        <w:rPr>
          <w:rFonts w:asciiTheme="majorBidi" w:hAnsiTheme="majorBidi" w:cstheme="majorBidi"/>
          <w:sz w:val="22"/>
          <w:szCs w:val="22"/>
          <w:lang w:bidi="ar-IQ"/>
        </w:rPr>
      </w:pPr>
      <w:r w:rsidRPr="007D7982">
        <w:rPr>
          <w:rFonts w:asciiTheme="majorBidi" w:hAnsiTheme="majorBidi" w:cstheme="majorBidi"/>
          <w:sz w:val="22"/>
          <w:szCs w:val="22"/>
          <w:lang w:bidi="ar-IQ"/>
        </w:rPr>
        <w:t>This experiment had two components. Factor one: The concentration of Gibberellic Acid is three different levels: 0, 100</w:t>
      </w:r>
      <w:r>
        <w:rPr>
          <w:rFonts w:asciiTheme="majorBidi" w:hAnsiTheme="majorBidi" w:cstheme="majorBidi"/>
          <w:sz w:val="22"/>
          <w:szCs w:val="22"/>
          <w:lang w:bidi="ar-IQ"/>
        </w:rPr>
        <w:t>,</w:t>
      </w:r>
      <w:r w:rsidRPr="007D7982">
        <w:rPr>
          <w:rFonts w:asciiTheme="majorBidi" w:hAnsiTheme="majorBidi" w:cstheme="majorBidi"/>
          <w:sz w:val="22"/>
          <w:szCs w:val="22"/>
          <w:lang w:bidi="ar-IQ"/>
        </w:rPr>
        <w:t xml:space="preserve"> and 200 mg L-1. Factor three: the soaking time at three different times, 12, 24</w:t>
      </w:r>
      <w:r>
        <w:rPr>
          <w:rFonts w:asciiTheme="majorBidi" w:hAnsiTheme="majorBidi" w:cstheme="majorBidi"/>
          <w:sz w:val="22"/>
          <w:szCs w:val="22"/>
          <w:lang w:bidi="ar-IQ"/>
        </w:rPr>
        <w:t>,</w:t>
      </w:r>
      <w:r w:rsidRPr="007D7982">
        <w:rPr>
          <w:rFonts w:asciiTheme="majorBidi" w:hAnsiTheme="majorBidi" w:cstheme="majorBidi"/>
          <w:sz w:val="22"/>
          <w:szCs w:val="22"/>
          <w:lang w:bidi="ar-IQ"/>
        </w:rPr>
        <w:t xml:space="preserve"> and 36 hours. CommercialGA3 (10%) was purchased from ICAT, China.</w:t>
      </w:r>
    </w:p>
    <w:p w:rsidR="007D7982" w:rsidRPr="007D7982" w:rsidRDefault="007D7982" w:rsidP="007D7982">
      <w:pPr>
        <w:bidi w:val="0"/>
        <w:jc w:val="both"/>
        <w:rPr>
          <w:rFonts w:asciiTheme="majorBidi" w:hAnsiTheme="majorBidi" w:cstheme="majorBidi"/>
          <w:b/>
          <w:bCs/>
          <w:sz w:val="22"/>
          <w:szCs w:val="22"/>
          <w:lang w:bidi="ar-IQ"/>
        </w:rPr>
      </w:pPr>
      <w:r w:rsidRPr="007D7982">
        <w:rPr>
          <w:rFonts w:asciiTheme="majorBidi" w:hAnsiTheme="majorBidi" w:cstheme="majorBidi"/>
          <w:b/>
          <w:bCs/>
          <w:sz w:val="22"/>
          <w:szCs w:val="22"/>
          <w:lang w:bidi="ar-IQ"/>
        </w:rPr>
        <w:lastRenderedPageBreak/>
        <w:t>The experimental design and statistical analysis.</w:t>
      </w:r>
    </w:p>
    <w:p w:rsidR="007D7982" w:rsidRPr="007D7982" w:rsidRDefault="007D7982" w:rsidP="007D7982">
      <w:pPr>
        <w:bidi w:val="0"/>
        <w:jc w:val="both"/>
        <w:rPr>
          <w:rFonts w:asciiTheme="majorBidi" w:hAnsiTheme="majorBidi" w:cstheme="majorBidi"/>
          <w:sz w:val="22"/>
          <w:szCs w:val="22"/>
          <w:lang w:bidi="ar-IQ"/>
        </w:rPr>
      </w:pPr>
      <w:r w:rsidRPr="007D7982">
        <w:rPr>
          <w:rFonts w:asciiTheme="majorBidi" w:hAnsiTheme="majorBidi" w:cstheme="majorBidi"/>
          <w:sz w:val="22"/>
          <w:szCs w:val="22"/>
          <w:lang w:bidi="ar-IQ"/>
        </w:rPr>
        <w:t xml:space="preserve">The experiment was designed as a factorial experiment using a CRD that had three repetitions. The components included three levels ofGA3, as well as three different durations of soaking. Seeds were suspended in dishes filled with filter paper in a laboratory setting. There were 9 different combinations of treatments per replication that totaled 27 experimental units or Petri dishes, each containing 25 seeds and an aggregate number of 675 used in the experiment. The data were analyzed statistically by running ANOVA for the main effects and interactions of two factors using the GenStat software package (Release 12.1, VSN International). </w:t>
      </w:r>
      <w:proofErr w:type="spellStart"/>
      <w:r w:rsidRPr="007D7982">
        <w:rPr>
          <w:rFonts w:asciiTheme="majorBidi" w:hAnsiTheme="majorBidi" w:cstheme="majorBidi"/>
          <w:sz w:val="22"/>
          <w:szCs w:val="22"/>
          <w:lang w:bidi="ar-IQ"/>
        </w:rPr>
        <w:t>Meanswerecompared</w:t>
      </w:r>
      <w:proofErr w:type="spellEnd"/>
      <w:r w:rsidRPr="007D7982">
        <w:rPr>
          <w:rFonts w:asciiTheme="majorBidi" w:hAnsiTheme="majorBidi" w:cstheme="majorBidi"/>
          <w:sz w:val="22"/>
          <w:szCs w:val="22"/>
          <w:lang w:bidi="ar-IQ"/>
        </w:rPr>
        <w:t xml:space="preserve"> by the least significant </w:t>
      </w:r>
      <w:proofErr w:type="gramStart"/>
      <w:r w:rsidRPr="007D7982">
        <w:rPr>
          <w:rFonts w:asciiTheme="majorBidi" w:hAnsiTheme="majorBidi" w:cstheme="majorBidi"/>
          <w:sz w:val="22"/>
          <w:szCs w:val="22"/>
          <w:lang w:bidi="ar-IQ"/>
        </w:rPr>
        <w:t>difference(</w:t>
      </w:r>
      <w:proofErr w:type="gramEnd"/>
      <w:r w:rsidRPr="007D7982">
        <w:rPr>
          <w:rFonts w:asciiTheme="majorBidi" w:hAnsiTheme="majorBidi" w:cstheme="majorBidi"/>
          <w:sz w:val="22"/>
          <w:szCs w:val="22"/>
          <w:lang w:bidi="ar-IQ"/>
        </w:rPr>
        <w:t>L.S.D) test at a probability level of 0.05 (A l-</w:t>
      </w:r>
      <w:proofErr w:type="spellStart"/>
      <w:r w:rsidRPr="007D7982">
        <w:rPr>
          <w:rFonts w:asciiTheme="majorBidi" w:hAnsiTheme="majorBidi" w:cstheme="majorBidi"/>
          <w:sz w:val="22"/>
          <w:szCs w:val="22"/>
          <w:lang w:bidi="ar-IQ"/>
        </w:rPr>
        <w:t>Rawi</w:t>
      </w:r>
      <w:proofErr w:type="spellEnd"/>
      <w:r w:rsidRPr="007D7982">
        <w:rPr>
          <w:rFonts w:asciiTheme="majorBidi" w:hAnsiTheme="majorBidi" w:cstheme="majorBidi"/>
          <w:sz w:val="22"/>
          <w:szCs w:val="22"/>
          <w:lang w:bidi="ar-IQ"/>
        </w:rPr>
        <w:t xml:space="preserve"> and </w:t>
      </w:r>
      <w:proofErr w:type="spellStart"/>
      <w:r w:rsidRPr="007D7982">
        <w:rPr>
          <w:rFonts w:asciiTheme="majorBidi" w:hAnsiTheme="majorBidi" w:cstheme="majorBidi"/>
          <w:sz w:val="22"/>
          <w:szCs w:val="22"/>
          <w:lang w:bidi="ar-IQ"/>
        </w:rPr>
        <w:t>Khalaf</w:t>
      </w:r>
      <w:proofErr w:type="spellEnd"/>
      <w:r w:rsidRPr="007D7982">
        <w:rPr>
          <w:rFonts w:asciiTheme="majorBidi" w:hAnsiTheme="majorBidi" w:cstheme="majorBidi"/>
          <w:sz w:val="22"/>
          <w:szCs w:val="22"/>
          <w:lang w:bidi="ar-IQ"/>
        </w:rPr>
        <w:t>-Allah, 2000).</w:t>
      </w:r>
    </w:p>
    <w:p w:rsidR="00D04EB5" w:rsidRDefault="00D04EB5" w:rsidP="00D04EB5">
      <w:pPr>
        <w:bidi w:val="0"/>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Studied Traits</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sz w:val="22"/>
          <w:szCs w:val="22"/>
          <w:lang w:bidi="ar-IQ"/>
        </w:rPr>
        <w:t xml:space="preserve">Germination percentage (%): This is the percentage of seeds that were able to complete their germination by the end of the experimental period. It's determined by "how many germinated seeds there were divided by the total number of seeds," </w:t>
      </w:r>
      <w:r>
        <w:rPr>
          <w:rFonts w:asciiTheme="majorBidi" w:hAnsiTheme="majorBidi" w:cstheme="majorBidi"/>
          <w:sz w:val="22"/>
          <w:szCs w:val="22"/>
          <w:lang w:bidi="ar-IQ"/>
        </w:rPr>
        <w:t>which</w:t>
      </w:r>
      <w:r w:rsidRPr="00DC0209">
        <w:rPr>
          <w:rFonts w:asciiTheme="majorBidi" w:hAnsiTheme="majorBidi" w:cstheme="majorBidi"/>
          <w:sz w:val="22"/>
          <w:szCs w:val="22"/>
          <w:lang w:bidi="ar-IQ"/>
        </w:rPr>
        <w:t xml:space="preserve"> is multiplied by 100 (ISTA, 2023).</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 xml:space="preserve">Mean Germination Time (MGT): </w:t>
      </w:r>
      <w:r w:rsidRPr="00DC0209">
        <w:rPr>
          <w:rFonts w:asciiTheme="majorBidi" w:hAnsiTheme="majorBidi" w:cstheme="majorBidi"/>
          <w:sz w:val="22"/>
          <w:szCs w:val="22"/>
          <w:lang w:bidi="ar-IQ"/>
        </w:rPr>
        <w:t>A numerical value associated with the average time required for seeds to germinate (in days). A lower value implies a faster germination rate (Hussain et al., 2019).</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 xml:space="preserve">Coefficient of Velocity of Germination (CVG): </w:t>
      </w:r>
      <w:r w:rsidRPr="00DC0209">
        <w:rPr>
          <w:rFonts w:asciiTheme="majorBidi" w:hAnsiTheme="majorBidi" w:cstheme="majorBidi"/>
          <w:sz w:val="22"/>
          <w:szCs w:val="22"/>
          <w:lang w:bidi="ar-IQ"/>
        </w:rPr>
        <w:t>This is also used as a means of gauging the speed of germination. However, its meaning is different from that of MGT</w:t>
      </w:r>
      <w:r>
        <w:rPr>
          <w:rFonts w:asciiTheme="majorBidi" w:hAnsiTheme="majorBidi" w:cstheme="majorBidi"/>
          <w:sz w:val="22"/>
          <w:szCs w:val="22"/>
          <w:lang w:bidi="ar-IQ"/>
        </w:rPr>
        <w:t>;</w:t>
      </w:r>
      <w:r w:rsidRPr="00DC0209">
        <w:rPr>
          <w:rFonts w:asciiTheme="majorBidi" w:hAnsiTheme="majorBidi" w:cstheme="majorBidi"/>
          <w:sz w:val="22"/>
          <w:szCs w:val="22"/>
          <w:lang w:bidi="ar-IQ"/>
        </w:rPr>
        <w:t xml:space="preserve"> the higher values represent greater speeds (Hussain et al., 2019).</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 xml:space="preserve">The Seedling Vigor Index (SVI): </w:t>
      </w:r>
      <w:r w:rsidRPr="00DC0209">
        <w:rPr>
          <w:rFonts w:asciiTheme="majorBidi" w:hAnsiTheme="majorBidi" w:cstheme="majorBidi"/>
          <w:sz w:val="22"/>
          <w:szCs w:val="22"/>
          <w:lang w:bidi="ar-IQ"/>
        </w:rPr>
        <w:t>This composite number is considered paramount to the evaluation of seed quality because it combines the percentage of germination and the length of the seedlings (</w:t>
      </w:r>
      <w:proofErr w:type="spellStart"/>
      <w:r w:rsidRPr="00DC0209">
        <w:rPr>
          <w:rFonts w:asciiTheme="majorBidi" w:hAnsiTheme="majorBidi" w:cstheme="majorBidi"/>
          <w:sz w:val="22"/>
          <w:szCs w:val="22"/>
          <w:lang w:bidi="ar-IQ"/>
        </w:rPr>
        <w:t>Bargaz</w:t>
      </w:r>
      <w:proofErr w:type="spellEnd"/>
      <w:r w:rsidRPr="00DC0209">
        <w:rPr>
          <w:rFonts w:asciiTheme="majorBidi" w:hAnsiTheme="majorBidi" w:cstheme="majorBidi"/>
          <w:sz w:val="22"/>
          <w:szCs w:val="22"/>
          <w:lang w:bidi="ar-IQ"/>
        </w:rPr>
        <w:t xml:space="preserve"> et al., 2018).</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 xml:space="preserve">Radicle length (cm): </w:t>
      </w:r>
      <w:r w:rsidRPr="00DC0209">
        <w:rPr>
          <w:rFonts w:asciiTheme="majorBidi" w:hAnsiTheme="majorBidi" w:cstheme="majorBidi"/>
          <w:sz w:val="22"/>
          <w:szCs w:val="22"/>
          <w:lang w:bidi="ar-IQ"/>
        </w:rPr>
        <w:t>It's measured with a ruler that begins at the point where the radicle emerges from the seed's coating or attaches to the cotyledons, and extends past the root's tip. (Lian et al., 2021)</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 xml:space="preserve">Plumule's length (cm): </w:t>
      </w:r>
      <w:r w:rsidRPr="00DC0209">
        <w:rPr>
          <w:rFonts w:asciiTheme="majorBidi" w:hAnsiTheme="majorBidi" w:cstheme="majorBidi"/>
          <w:sz w:val="22"/>
          <w:szCs w:val="22"/>
          <w:lang w:bidi="ar-IQ"/>
        </w:rPr>
        <w:t xml:space="preserve">Measured with a ruler from the base of the </w:t>
      </w:r>
      <w:proofErr w:type="spellStart"/>
      <w:r w:rsidRPr="00DC0209">
        <w:rPr>
          <w:rFonts w:asciiTheme="majorBidi" w:hAnsiTheme="majorBidi" w:cstheme="majorBidi"/>
          <w:sz w:val="22"/>
          <w:szCs w:val="22"/>
          <w:lang w:bidi="ar-IQ"/>
        </w:rPr>
        <w:t>plumule</w:t>
      </w:r>
      <w:proofErr w:type="spellEnd"/>
      <w:r w:rsidRPr="00DC0209">
        <w:rPr>
          <w:rFonts w:asciiTheme="majorBidi" w:hAnsiTheme="majorBidi" w:cstheme="majorBidi"/>
          <w:sz w:val="22"/>
          <w:szCs w:val="22"/>
          <w:lang w:bidi="ar-IQ"/>
        </w:rPr>
        <w:t xml:space="preserve"> at the </w:t>
      </w:r>
      <w:proofErr w:type="spellStart"/>
      <w:r w:rsidRPr="00DC0209">
        <w:rPr>
          <w:rFonts w:asciiTheme="majorBidi" w:hAnsiTheme="majorBidi" w:cstheme="majorBidi"/>
          <w:sz w:val="22"/>
          <w:szCs w:val="22"/>
          <w:lang w:bidi="ar-IQ"/>
        </w:rPr>
        <w:t>cotyledonary</w:t>
      </w:r>
      <w:proofErr w:type="spellEnd"/>
      <w:r w:rsidRPr="00DC0209">
        <w:rPr>
          <w:rFonts w:asciiTheme="majorBidi" w:hAnsiTheme="majorBidi" w:cstheme="majorBidi"/>
          <w:sz w:val="22"/>
          <w:szCs w:val="22"/>
          <w:lang w:bidi="ar-IQ"/>
        </w:rPr>
        <w:t xml:space="preserve"> node or the point of attachment to the seed, up to the growing tip or the tip of the longest primary leaf</w:t>
      </w:r>
      <w:proofErr w:type="gramStart"/>
      <w:r w:rsidRPr="00DC0209">
        <w:rPr>
          <w:rFonts w:asciiTheme="majorBidi" w:hAnsiTheme="majorBidi" w:cstheme="majorBidi"/>
          <w:sz w:val="22"/>
          <w:szCs w:val="22"/>
          <w:lang w:bidi="ar-IQ"/>
        </w:rPr>
        <w:t>.(</w:t>
      </w:r>
      <w:proofErr w:type="gramEnd"/>
      <w:r w:rsidRPr="00DC0209">
        <w:rPr>
          <w:rFonts w:asciiTheme="majorBidi" w:hAnsiTheme="majorBidi" w:cstheme="majorBidi"/>
          <w:sz w:val="22"/>
          <w:szCs w:val="22"/>
          <w:lang w:bidi="ar-IQ"/>
        </w:rPr>
        <w:t>Lian et al., 2021)</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b/>
          <w:bCs/>
          <w:sz w:val="22"/>
          <w:szCs w:val="22"/>
          <w:lang w:bidi="ar-IQ"/>
        </w:rPr>
        <w:t>The fresh weight of the seedling (g)</w:t>
      </w:r>
      <w:r>
        <w:rPr>
          <w:rFonts w:asciiTheme="majorBidi" w:hAnsiTheme="majorBidi" w:cstheme="majorBidi"/>
          <w:b/>
          <w:bCs/>
          <w:sz w:val="22"/>
          <w:szCs w:val="22"/>
          <w:lang w:bidi="ar-IQ"/>
        </w:rPr>
        <w:t xml:space="preserve"> </w:t>
      </w:r>
      <w:r w:rsidRPr="00DC0209">
        <w:rPr>
          <w:rFonts w:asciiTheme="majorBidi" w:hAnsiTheme="majorBidi" w:cstheme="majorBidi"/>
          <w:sz w:val="22"/>
          <w:szCs w:val="22"/>
          <w:lang w:bidi="ar-IQ"/>
        </w:rPr>
        <w:t xml:space="preserve">was determined using a sensitive digital scale. Weighing occurred immediately after taking the seedlings out of the medium for germination, </w:t>
      </w:r>
      <w:r>
        <w:rPr>
          <w:rFonts w:asciiTheme="majorBidi" w:hAnsiTheme="majorBidi" w:cstheme="majorBidi"/>
          <w:sz w:val="22"/>
          <w:szCs w:val="22"/>
          <w:lang w:bidi="ar-IQ"/>
        </w:rPr>
        <w:t>which</w:t>
      </w:r>
      <w:r w:rsidRPr="00DC0209">
        <w:rPr>
          <w:rFonts w:asciiTheme="majorBidi" w:hAnsiTheme="majorBidi" w:cstheme="majorBidi"/>
          <w:sz w:val="22"/>
          <w:szCs w:val="22"/>
          <w:lang w:bidi="ar-IQ"/>
        </w:rPr>
        <w:t xml:space="preserve"> prevents the moisture from being lost and instead being air-dried, which would lead to an inaccurate weighing (Lian et al., 2021).</w:t>
      </w:r>
    </w:p>
    <w:p w:rsidR="00DC0209" w:rsidRPr="00DC0209" w:rsidRDefault="00DC0209" w:rsidP="00DC0209">
      <w:pPr>
        <w:bidi w:val="0"/>
        <w:jc w:val="both"/>
        <w:rPr>
          <w:rFonts w:asciiTheme="majorBidi" w:hAnsiTheme="majorBidi" w:cstheme="majorBidi"/>
          <w:sz w:val="22"/>
          <w:szCs w:val="22"/>
          <w:lang w:bidi="ar-IQ"/>
        </w:rPr>
      </w:pPr>
      <w:r w:rsidRPr="00DC0209">
        <w:rPr>
          <w:rFonts w:asciiTheme="majorBidi" w:hAnsiTheme="majorBidi" w:cstheme="majorBidi"/>
          <w:sz w:val="22"/>
          <w:szCs w:val="22"/>
          <w:lang w:bidi="ar-IQ"/>
        </w:rPr>
        <w:t xml:space="preserve">The seedling's dry weight after being dried in an oven for 48 hours at 70 degrees Celsius is considered the most significant indicator of true </w:t>
      </w:r>
      <w:proofErr w:type="gramStart"/>
      <w:r w:rsidRPr="00DC0209">
        <w:rPr>
          <w:rFonts w:asciiTheme="majorBidi" w:hAnsiTheme="majorBidi" w:cstheme="majorBidi"/>
          <w:sz w:val="22"/>
          <w:szCs w:val="22"/>
          <w:lang w:bidi="ar-IQ"/>
        </w:rPr>
        <w:t>growth(</w:t>
      </w:r>
      <w:proofErr w:type="gramEnd"/>
      <w:r w:rsidRPr="00DC0209">
        <w:rPr>
          <w:rFonts w:asciiTheme="majorBidi" w:hAnsiTheme="majorBidi" w:cstheme="majorBidi"/>
          <w:sz w:val="22"/>
          <w:szCs w:val="22"/>
          <w:lang w:bidi="ar-IQ"/>
        </w:rPr>
        <w:t>Lian et al., 2021).</w:t>
      </w:r>
    </w:p>
    <w:p w:rsidR="00C40FCC" w:rsidRDefault="007C38DA" w:rsidP="00D360AD">
      <w:pPr>
        <w:bidi w:val="0"/>
        <w:jc w:val="both"/>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4. Results</w:t>
      </w:r>
    </w:p>
    <w:p w:rsidR="00C73988" w:rsidRPr="00C73988" w:rsidRDefault="00C73988" w:rsidP="00C73988">
      <w:pPr>
        <w:bidi w:val="0"/>
        <w:jc w:val="both"/>
        <w:rPr>
          <w:rFonts w:asciiTheme="majorBidi" w:hAnsiTheme="majorBidi" w:cstheme="majorBidi"/>
          <w:sz w:val="22"/>
          <w:szCs w:val="22"/>
          <w:lang w:bidi="ar-IQ"/>
        </w:rPr>
      </w:pPr>
      <w:r w:rsidRPr="00C73988">
        <w:rPr>
          <w:rFonts w:asciiTheme="majorBidi" w:hAnsiTheme="majorBidi" w:cstheme="majorBidi"/>
          <w:sz w:val="22"/>
          <w:szCs w:val="22"/>
          <w:lang w:bidi="ar-IQ"/>
        </w:rPr>
        <w:t>Table 1 demonstrates a significant increase in the effect of Gibberellic Acid on the germination of dragon fruit seeds following a soak in water. The treatment with 200 mg l</w:t>
      </w:r>
      <w:r w:rsidRPr="00C73988">
        <w:rPr>
          <w:rFonts w:asciiTheme="majorBidi" w:hAnsiTheme="majorBidi" w:cstheme="majorBidi"/>
          <w:sz w:val="22"/>
          <w:szCs w:val="22"/>
          <w:vertAlign w:val="superscript"/>
          <w:lang w:bidi="ar-IQ"/>
        </w:rPr>
        <w:t>-1</w:t>
      </w:r>
      <w:r w:rsidRPr="00C73988">
        <w:rPr>
          <w:rFonts w:asciiTheme="majorBidi" w:hAnsiTheme="majorBidi" w:cstheme="majorBidi"/>
          <w:sz w:val="22"/>
          <w:szCs w:val="22"/>
          <w:lang w:bidi="ar-IQ"/>
        </w:rPr>
        <w:t xml:space="preserve"> greatly </w:t>
      </w:r>
      <w:r>
        <w:rPr>
          <w:rFonts w:asciiTheme="majorBidi" w:hAnsiTheme="majorBidi" w:cstheme="majorBidi"/>
          <w:sz w:val="22"/>
          <w:szCs w:val="22"/>
          <w:lang w:bidi="ar-IQ"/>
        </w:rPr>
        <w:t xml:space="preserve">increased </w:t>
      </w:r>
      <w:r w:rsidRPr="00C73988">
        <w:rPr>
          <w:rFonts w:asciiTheme="majorBidi" w:hAnsiTheme="majorBidi" w:cstheme="majorBidi"/>
          <w:sz w:val="22"/>
          <w:szCs w:val="22"/>
          <w:lang w:bidi="ar-IQ"/>
        </w:rPr>
        <w:t xml:space="preserve">the probability of overcoming the control treatment that had the greatest germination percentage and the fewest days to germinate, both of which were significant. </w:t>
      </w:r>
      <w:r w:rsidRPr="00C73988">
        <w:rPr>
          <w:rFonts w:asciiTheme="majorBidi" w:hAnsiTheme="majorBidi" w:cstheme="majorBidi"/>
          <w:sz w:val="22"/>
          <w:szCs w:val="22"/>
          <w:lang w:bidi="ar-IQ"/>
        </w:rPr>
        <w:lastRenderedPageBreak/>
        <w:t>Also, the same table shows that the duration of soaking has a significant impact</w:t>
      </w:r>
      <w:r>
        <w:rPr>
          <w:rFonts w:asciiTheme="majorBidi" w:hAnsiTheme="majorBidi" w:cstheme="majorBidi"/>
          <w:sz w:val="22"/>
          <w:szCs w:val="22"/>
          <w:lang w:bidi="ar-IQ"/>
        </w:rPr>
        <w:t>;</w:t>
      </w:r>
      <w:r w:rsidRPr="00C73988">
        <w:rPr>
          <w:rFonts w:asciiTheme="majorBidi" w:hAnsiTheme="majorBidi" w:cstheme="majorBidi"/>
          <w:sz w:val="22"/>
          <w:szCs w:val="22"/>
          <w:lang w:bidi="ar-IQ"/>
        </w:rPr>
        <w:t xml:space="preserve"> the 24-hour soaking had a higher value than the other treatments in comparison to the 12-hour soaking. Significant discrepancies are apparent due to the interaction between the experimental factors</w:t>
      </w:r>
      <w:r>
        <w:rPr>
          <w:rFonts w:asciiTheme="majorBidi" w:hAnsiTheme="majorBidi" w:cstheme="majorBidi"/>
          <w:sz w:val="22"/>
          <w:szCs w:val="22"/>
          <w:lang w:bidi="ar-IQ"/>
        </w:rPr>
        <w:t>,</w:t>
      </w:r>
      <w:r w:rsidRPr="00C73988">
        <w:rPr>
          <w:rFonts w:asciiTheme="majorBidi" w:hAnsiTheme="majorBidi" w:cstheme="majorBidi"/>
          <w:sz w:val="22"/>
          <w:szCs w:val="22"/>
          <w:lang w:bidi="ar-IQ"/>
        </w:rPr>
        <w:t xml:space="preserve"> as demonstrated by the table; the treatment that soaked in 200 milligrams of l</w:t>
      </w:r>
      <w:r w:rsidRPr="00C73988">
        <w:rPr>
          <w:rFonts w:asciiTheme="majorBidi" w:hAnsiTheme="majorBidi" w:cstheme="majorBidi"/>
          <w:sz w:val="22"/>
          <w:szCs w:val="22"/>
          <w:vertAlign w:val="superscript"/>
          <w:lang w:bidi="ar-IQ"/>
        </w:rPr>
        <w:t>-1</w:t>
      </w:r>
      <w:r w:rsidRPr="00C73988">
        <w:rPr>
          <w:rFonts w:asciiTheme="majorBidi" w:hAnsiTheme="majorBidi" w:cstheme="majorBidi"/>
          <w:sz w:val="22"/>
          <w:szCs w:val="22"/>
          <w:lang w:bidi="ar-IQ"/>
        </w:rPr>
        <w:t>GA3 for 24 hours had the greatest percentage of germination (98.67), and the treatment that soaked in water for 12 hours had the lowest percentage of germination (64.8). The control treatment was not affected by the soaking process and recorded the lowest percentage of germination (8.53).</w:t>
      </w:r>
    </w:p>
    <w:p w:rsidR="008A4021" w:rsidRPr="009F6317" w:rsidRDefault="008A4021" w:rsidP="00F631FB">
      <w:pPr>
        <w:bidi w:val="0"/>
        <w:jc w:val="center"/>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Table 1: Effect of Gibberellin, Soaking Duration, and Their Interaction on Germination Percentage and Mean Germination Time of Dragon Fruit Seeds.</w:t>
      </w:r>
    </w:p>
    <w:tbl>
      <w:tblPr>
        <w:tblW w:w="5000" w:type="pct"/>
        <w:tblBorders>
          <w:top w:val="single" w:sz="4" w:space="0" w:color="auto"/>
          <w:bottom w:val="single" w:sz="4" w:space="0" w:color="auto"/>
          <w:insideH w:val="single" w:sz="4" w:space="0" w:color="auto"/>
        </w:tblBorders>
        <w:tblLook w:val="04A0"/>
      </w:tblPr>
      <w:tblGrid>
        <w:gridCol w:w="1038"/>
        <w:gridCol w:w="868"/>
        <w:gridCol w:w="868"/>
        <w:gridCol w:w="874"/>
        <w:gridCol w:w="854"/>
        <w:gridCol w:w="1193"/>
        <w:gridCol w:w="886"/>
        <w:gridCol w:w="1258"/>
        <w:gridCol w:w="683"/>
      </w:tblGrid>
      <w:tr w:rsidR="00884F61" w:rsidRPr="009F6317" w:rsidTr="00024ED6">
        <w:trPr>
          <w:trHeight w:val="170"/>
        </w:trPr>
        <w:tc>
          <w:tcPr>
            <w:tcW w:w="609"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bookmarkStart w:id="1" w:name="_Hlk202656809"/>
          </w:p>
        </w:tc>
        <w:tc>
          <w:tcPr>
            <w:tcW w:w="2032" w:type="pct"/>
            <w:gridSpan w:val="4"/>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Germination Percentage (%)</w:t>
            </w:r>
          </w:p>
        </w:tc>
        <w:tc>
          <w:tcPr>
            <w:tcW w:w="2359" w:type="pct"/>
            <w:gridSpan w:val="4"/>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Germination Time (MGT)</w:t>
            </w:r>
          </w:p>
        </w:tc>
      </w:tr>
      <w:tr w:rsidR="00884F61" w:rsidRPr="009F6317" w:rsidTr="00024ED6">
        <w:trPr>
          <w:trHeight w:val="170"/>
        </w:trPr>
        <w:tc>
          <w:tcPr>
            <w:tcW w:w="609" w:type="pct"/>
            <w:vMerge w:val="restar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p>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mg L</w:t>
            </w:r>
            <w:r w:rsidRPr="009F6317">
              <w:rPr>
                <w:rFonts w:asciiTheme="majorBidi" w:eastAsia="Times" w:hAnsiTheme="majorBidi" w:cstheme="majorBidi"/>
                <w:kern w:val="0"/>
                <w:sz w:val="20"/>
                <w:szCs w:val="20"/>
                <w:vertAlign w:val="superscript"/>
              </w:rPr>
              <w:t>-1</w:t>
            </w:r>
          </w:p>
        </w:tc>
        <w:tc>
          <w:tcPr>
            <w:tcW w:w="1531" w:type="pct"/>
            <w:gridSpan w:val="3"/>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Soaking Duration hours</w:t>
            </w:r>
          </w:p>
        </w:tc>
        <w:tc>
          <w:tcPr>
            <w:tcW w:w="500" w:type="pct"/>
            <w:vMerge w:val="restar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Aver.</w:t>
            </w:r>
          </w:p>
        </w:tc>
        <w:tc>
          <w:tcPr>
            <w:tcW w:w="1958" w:type="pct"/>
            <w:gridSpan w:val="3"/>
            <w:vAlign w:val="center"/>
          </w:tcPr>
          <w:p w:rsidR="00884F61" w:rsidRPr="009F6317" w:rsidRDefault="00884F61" w:rsidP="00024ED6">
            <w:pPr>
              <w:pBdr>
                <w:top w:val="nil"/>
                <w:left w:val="nil"/>
                <w:bottom w:val="nil"/>
                <w:right w:val="nil"/>
                <w:between w:val="nil"/>
              </w:pBdr>
              <w:spacing w:after="120" w:line="240" w:lineRule="auto"/>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Soaking Duration hours</w:t>
            </w:r>
          </w:p>
        </w:tc>
        <w:tc>
          <w:tcPr>
            <w:tcW w:w="401" w:type="pct"/>
            <w:vMerge w:val="restar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Aver.</w:t>
            </w:r>
          </w:p>
        </w:tc>
      </w:tr>
      <w:tr w:rsidR="00884F61" w:rsidRPr="009F6317" w:rsidTr="00024ED6">
        <w:trPr>
          <w:trHeight w:val="170"/>
        </w:trPr>
        <w:tc>
          <w:tcPr>
            <w:tcW w:w="609" w:type="pct"/>
            <w:vMerge/>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509"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12</w:t>
            </w:r>
          </w:p>
        </w:tc>
        <w:tc>
          <w:tcPr>
            <w:tcW w:w="509"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24</w:t>
            </w:r>
          </w:p>
        </w:tc>
        <w:tc>
          <w:tcPr>
            <w:tcW w:w="513"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bidi="ar-IQ"/>
              </w:rPr>
            </w:pPr>
            <w:r w:rsidRPr="009F6317">
              <w:rPr>
                <w:rFonts w:asciiTheme="majorBidi" w:eastAsia="Times" w:hAnsiTheme="majorBidi" w:cstheme="majorBidi"/>
                <w:kern w:val="0"/>
                <w:sz w:val="20"/>
                <w:szCs w:val="20"/>
                <w:lang w:val="en-GB" w:bidi="ar-IQ"/>
              </w:rPr>
              <w:t>36</w:t>
            </w:r>
          </w:p>
        </w:tc>
        <w:tc>
          <w:tcPr>
            <w:tcW w:w="500" w:type="pct"/>
            <w:vMerge/>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700"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12</w:t>
            </w:r>
          </w:p>
        </w:tc>
        <w:tc>
          <w:tcPr>
            <w:tcW w:w="520"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24</w:t>
            </w:r>
          </w:p>
        </w:tc>
        <w:tc>
          <w:tcPr>
            <w:tcW w:w="738"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36</w:t>
            </w:r>
          </w:p>
        </w:tc>
        <w:tc>
          <w:tcPr>
            <w:tcW w:w="401" w:type="pct"/>
            <w:vMerge/>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r>
      <w:tr w:rsidR="00884F61" w:rsidRPr="009F6317" w:rsidTr="00024ED6">
        <w:trPr>
          <w:trHeight w:val="170"/>
        </w:trPr>
        <w:tc>
          <w:tcPr>
            <w:tcW w:w="609"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0</w:t>
            </w:r>
          </w:p>
        </w:tc>
        <w:tc>
          <w:tcPr>
            <w:tcW w:w="509"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64.00</w:t>
            </w:r>
          </w:p>
        </w:tc>
        <w:tc>
          <w:tcPr>
            <w:tcW w:w="509"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76.00</w:t>
            </w:r>
          </w:p>
        </w:tc>
        <w:tc>
          <w:tcPr>
            <w:tcW w:w="513"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74.00</w:t>
            </w:r>
          </w:p>
        </w:tc>
        <w:tc>
          <w:tcPr>
            <w:tcW w:w="500" w:type="pct"/>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71.33</w:t>
            </w:r>
          </w:p>
        </w:tc>
        <w:tc>
          <w:tcPr>
            <w:tcW w:w="700"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8.53</w:t>
            </w:r>
          </w:p>
        </w:tc>
        <w:tc>
          <w:tcPr>
            <w:tcW w:w="520"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7.90</w:t>
            </w:r>
          </w:p>
        </w:tc>
        <w:tc>
          <w:tcPr>
            <w:tcW w:w="738"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8.20</w:t>
            </w:r>
          </w:p>
        </w:tc>
        <w:tc>
          <w:tcPr>
            <w:tcW w:w="401" w:type="pct"/>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8.21</w:t>
            </w:r>
          </w:p>
        </w:tc>
      </w:tr>
      <w:tr w:rsidR="00884F61" w:rsidRPr="009F6317" w:rsidTr="00024ED6">
        <w:trPr>
          <w:trHeight w:val="170"/>
        </w:trPr>
        <w:tc>
          <w:tcPr>
            <w:tcW w:w="609"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100</w:t>
            </w:r>
          </w:p>
        </w:tc>
        <w:tc>
          <w:tcPr>
            <w:tcW w:w="509"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84.00</w:t>
            </w:r>
          </w:p>
        </w:tc>
        <w:tc>
          <w:tcPr>
            <w:tcW w:w="509"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98.00</w:t>
            </w:r>
          </w:p>
        </w:tc>
        <w:tc>
          <w:tcPr>
            <w:tcW w:w="513"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92.00</w:t>
            </w:r>
          </w:p>
        </w:tc>
        <w:tc>
          <w:tcPr>
            <w:tcW w:w="500" w:type="pct"/>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91.33</w:t>
            </w:r>
          </w:p>
        </w:tc>
        <w:tc>
          <w:tcPr>
            <w:tcW w:w="700"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6.5</w:t>
            </w:r>
            <w:r w:rsidR="00682B0F" w:rsidRPr="009F6317">
              <w:rPr>
                <w:rFonts w:asciiTheme="majorBidi" w:hAnsiTheme="majorBidi" w:cstheme="majorBidi"/>
                <w:sz w:val="20"/>
                <w:szCs w:val="20"/>
              </w:rPr>
              <w:t>7</w:t>
            </w:r>
          </w:p>
        </w:tc>
        <w:tc>
          <w:tcPr>
            <w:tcW w:w="520"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5.23</w:t>
            </w:r>
          </w:p>
        </w:tc>
        <w:tc>
          <w:tcPr>
            <w:tcW w:w="738"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5.7</w:t>
            </w:r>
            <w:r w:rsidR="00682B0F" w:rsidRPr="009F6317">
              <w:rPr>
                <w:rFonts w:asciiTheme="majorBidi" w:hAnsiTheme="majorBidi" w:cstheme="majorBidi"/>
                <w:sz w:val="20"/>
                <w:szCs w:val="20"/>
              </w:rPr>
              <w:t>7</w:t>
            </w:r>
          </w:p>
        </w:tc>
        <w:tc>
          <w:tcPr>
            <w:tcW w:w="401" w:type="pct"/>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5.82</w:t>
            </w:r>
          </w:p>
        </w:tc>
      </w:tr>
      <w:tr w:rsidR="00884F61" w:rsidRPr="009F6317" w:rsidTr="00024ED6">
        <w:trPr>
          <w:trHeight w:val="170"/>
        </w:trPr>
        <w:tc>
          <w:tcPr>
            <w:tcW w:w="609"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200</w:t>
            </w:r>
          </w:p>
        </w:tc>
        <w:tc>
          <w:tcPr>
            <w:tcW w:w="509"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95.00</w:t>
            </w:r>
          </w:p>
        </w:tc>
        <w:tc>
          <w:tcPr>
            <w:tcW w:w="509"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98.67</w:t>
            </w:r>
          </w:p>
        </w:tc>
        <w:tc>
          <w:tcPr>
            <w:tcW w:w="513"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Pr>
            </w:pPr>
            <w:r w:rsidRPr="009F6317">
              <w:rPr>
                <w:rFonts w:asciiTheme="majorBidi" w:hAnsiTheme="majorBidi" w:cstheme="majorBidi"/>
                <w:sz w:val="20"/>
                <w:szCs w:val="20"/>
              </w:rPr>
              <w:t>94.00</w:t>
            </w:r>
          </w:p>
        </w:tc>
        <w:tc>
          <w:tcPr>
            <w:tcW w:w="500" w:type="pct"/>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95.89</w:t>
            </w:r>
          </w:p>
        </w:tc>
        <w:tc>
          <w:tcPr>
            <w:tcW w:w="700"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4.</w:t>
            </w:r>
            <w:r w:rsidR="00682B0F" w:rsidRPr="009F6317">
              <w:rPr>
                <w:rFonts w:asciiTheme="majorBidi" w:hAnsiTheme="majorBidi" w:cstheme="majorBidi"/>
                <w:sz w:val="20"/>
                <w:szCs w:val="20"/>
              </w:rPr>
              <w:t>49</w:t>
            </w:r>
          </w:p>
        </w:tc>
        <w:tc>
          <w:tcPr>
            <w:tcW w:w="520"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3.23</w:t>
            </w:r>
          </w:p>
        </w:tc>
        <w:tc>
          <w:tcPr>
            <w:tcW w:w="738"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3.</w:t>
            </w:r>
            <w:r w:rsidR="00682B0F" w:rsidRPr="009F6317">
              <w:rPr>
                <w:rFonts w:asciiTheme="majorBidi" w:hAnsiTheme="majorBidi" w:cstheme="majorBidi"/>
                <w:sz w:val="20"/>
                <w:szCs w:val="20"/>
              </w:rPr>
              <w:t>63</w:t>
            </w:r>
          </w:p>
        </w:tc>
        <w:tc>
          <w:tcPr>
            <w:tcW w:w="401" w:type="pct"/>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3.82</w:t>
            </w:r>
          </w:p>
        </w:tc>
      </w:tr>
      <w:tr w:rsidR="00884F61" w:rsidRPr="009F6317" w:rsidTr="00024ED6">
        <w:trPr>
          <w:trHeight w:val="170"/>
        </w:trPr>
        <w:tc>
          <w:tcPr>
            <w:tcW w:w="609"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Aver.</w:t>
            </w:r>
          </w:p>
        </w:tc>
        <w:tc>
          <w:tcPr>
            <w:tcW w:w="509"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eastAsia="Times" w:hAnsiTheme="majorBidi" w:cstheme="majorBidi"/>
                <w:sz w:val="20"/>
                <w:szCs w:val="20"/>
                <w:rtl/>
              </w:rPr>
              <w:t>81.00</w:t>
            </w:r>
          </w:p>
        </w:tc>
        <w:tc>
          <w:tcPr>
            <w:tcW w:w="509"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90.89</w:t>
            </w:r>
          </w:p>
        </w:tc>
        <w:tc>
          <w:tcPr>
            <w:tcW w:w="513"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86.67</w:t>
            </w:r>
          </w:p>
        </w:tc>
        <w:tc>
          <w:tcPr>
            <w:tcW w:w="500"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700"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6.53</w:t>
            </w:r>
          </w:p>
        </w:tc>
        <w:tc>
          <w:tcPr>
            <w:tcW w:w="520"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5.45</w:t>
            </w:r>
          </w:p>
        </w:tc>
        <w:tc>
          <w:tcPr>
            <w:tcW w:w="738"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5.86</w:t>
            </w:r>
          </w:p>
        </w:tc>
        <w:tc>
          <w:tcPr>
            <w:tcW w:w="401" w:type="pct"/>
            <w:tcBorders>
              <w:top w:val="nil"/>
              <w:left w:val="nil"/>
              <w:bottom w:val="single" w:sz="4" w:space="0" w:color="auto"/>
              <w:right w:val="nil"/>
            </w:tcBorders>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r>
      <w:tr w:rsidR="00884F61" w:rsidRPr="009F6317" w:rsidTr="00024ED6">
        <w:trPr>
          <w:trHeight w:val="170"/>
        </w:trPr>
        <w:tc>
          <w:tcPr>
            <w:tcW w:w="609" w:type="pct"/>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 xml:space="preserve">L.S.D </w:t>
            </w:r>
            <w:r w:rsidRPr="009F6317">
              <w:rPr>
                <w:rFonts w:asciiTheme="majorBidi" w:eastAsia="Times" w:hAnsiTheme="majorBidi" w:cstheme="majorBidi"/>
                <w:i/>
                <w:iCs/>
                <w:kern w:val="0"/>
                <w:sz w:val="20"/>
                <w:szCs w:val="20"/>
              </w:rPr>
              <w:t>P≤</w:t>
            </w:r>
            <w:r w:rsidRPr="009F6317">
              <w:rPr>
                <w:rFonts w:asciiTheme="majorBidi" w:eastAsia="Times" w:hAnsiTheme="majorBidi" w:cstheme="majorBidi"/>
                <w:kern w:val="0"/>
                <w:sz w:val="20"/>
                <w:szCs w:val="20"/>
              </w:rPr>
              <w:t>0.05</w:t>
            </w:r>
          </w:p>
        </w:tc>
        <w:tc>
          <w:tcPr>
            <w:tcW w:w="2032" w:type="pct"/>
            <w:gridSpan w:val="4"/>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r w:rsidRPr="009F6317">
              <w:rPr>
                <w:rFonts w:asciiTheme="majorBidi" w:eastAsia="Times" w:hAnsiTheme="majorBidi" w:cstheme="majorBidi"/>
                <w:kern w:val="0"/>
                <w:sz w:val="20"/>
                <w:szCs w:val="20"/>
                <w:rtl/>
                <w:lang w:val="en-GB"/>
              </w:rPr>
              <w:t>2.82</w:t>
            </w:r>
            <w:r w:rsidRPr="009F6317">
              <w:rPr>
                <w:rFonts w:asciiTheme="majorBidi" w:eastAsia="Times" w:hAnsiTheme="majorBidi" w:cstheme="majorBidi"/>
                <w:kern w:val="0"/>
                <w:sz w:val="20"/>
                <w:szCs w:val="20"/>
              </w:rPr>
              <w:t>, S.D.=</w:t>
            </w:r>
            <w:r w:rsidRPr="009F6317">
              <w:rPr>
                <w:rFonts w:asciiTheme="majorBidi" w:eastAsia="Times" w:hAnsiTheme="majorBidi" w:cstheme="majorBidi"/>
                <w:kern w:val="0"/>
                <w:sz w:val="20"/>
                <w:szCs w:val="20"/>
                <w:lang w:val="en-GB"/>
              </w:rPr>
              <w:t>2.82</w:t>
            </w:r>
          </w:p>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Interaction=</w:t>
            </w:r>
            <w:r w:rsidRPr="009F6317">
              <w:rPr>
                <w:rFonts w:asciiTheme="majorBidi" w:eastAsia="Times" w:hAnsiTheme="majorBidi" w:cstheme="majorBidi"/>
                <w:kern w:val="0"/>
                <w:sz w:val="20"/>
                <w:szCs w:val="20"/>
                <w:lang w:val="en-GB"/>
              </w:rPr>
              <w:t>4.89</w:t>
            </w:r>
          </w:p>
        </w:tc>
        <w:tc>
          <w:tcPr>
            <w:tcW w:w="2359" w:type="pct"/>
            <w:gridSpan w:val="4"/>
            <w:vAlign w:val="center"/>
          </w:tcPr>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r w:rsidR="00751C25" w:rsidRPr="009F6317">
              <w:rPr>
                <w:rFonts w:asciiTheme="majorBidi" w:eastAsia="Times" w:hAnsiTheme="majorBidi" w:cstheme="majorBidi"/>
                <w:kern w:val="0"/>
                <w:sz w:val="20"/>
                <w:szCs w:val="20"/>
              </w:rPr>
              <w:t>=0.20</w:t>
            </w:r>
            <w:r w:rsidRPr="009F6317">
              <w:rPr>
                <w:rFonts w:asciiTheme="majorBidi" w:eastAsia="Times" w:hAnsiTheme="majorBidi" w:cstheme="majorBidi"/>
                <w:kern w:val="0"/>
                <w:sz w:val="20"/>
                <w:szCs w:val="20"/>
              </w:rPr>
              <w:t>, S.D.=</w:t>
            </w:r>
            <w:r w:rsidR="00751C25" w:rsidRPr="009F6317">
              <w:rPr>
                <w:rFonts w:asciiTheme="majorBidi" w:eastAsia="Times" w:hAnsiTheme="majorBidi" w:cstheme="majorBidi"/>
                <w:kern w:val="0"/>
                <w:sz w:val="20"/>
                <w:szCs w:val="20"/>
              </w:rPr>
              <w:t>0.20</w:t>
            </w:r>
          </w:p>
          <w:p w:rsidR="00884F61" w:rsidRPr="009F6317" w:rsidRDefault="00884F6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Interaction=</w:t>
            </w:r>
            <w:r w:rsidR="00751C25" w:rsidRPr="009F6317">
              <w:rPr>
                <w:rFonts w:asciiTheme="majorBidi" w:eastAsia="Times" w:hAnsiTheme="majorBidi" w:cstheme="majorBidi"/>
                <w:kern w:val="0"/>
                <w:sz w:val="20"/>
                <w:szCs w:val="20"/>
              </w:rPr>
              <w:t>0.36</w:t>
            </w:r>
          </w:p>
        </w:tc>
      </w:tr>
    </w:tbl>
    <w:bookmarkEnd w:id="1"/>
    <w:p w:rsidR="00CC23A4" w:rsidRPr="00CC23A4" w:rsidRDefault="00CC23A4" w:rsidP="00CC23A4">
      <w:pPr>
        <w:bidi w:val="0"/>
        <w:jc w:val="both"/>
        <w:rPr>
          <w:rFonts w:asciiTheme="majorBidi" w:hAnsiTheme="majorBidi" w:cstheme="majorBidi"/>
          <w:sz w:val="22"/>
          <w:szCs w:val="22"/>
          <w:lang w:bidi="ar-IQ"/>
        </w:rPr>
      </w:pPr>
      <w:r w:rsidRPr="00CC23A4">
        <w:rPr>
          <w:rFonts w:asciiTheme="majorBidi" w:hAnsiTheme="majorBidi" w:cstheme="majorBidi"/>
          <w:sz w:val="22"/>
          <w:szCs w:val="22"/>
          <w:lang w:bidi="ar-IQ"/>
        </w:rPr>
        <w:t>As shown in Table 2, there were highly significant effects of Gibberellin seed soaking on both Germination Rate Index and Seedling Vigor Index. The treatment of Gibberellin at a concentration of 200 mg L</w:t>
      </w:r>
      <w:r w:rsidRPr="00CC23A4">
        <w:rPr>
          <w:rFonts w:asciiTheme="majorBidi" w:hAnsiTheme="majorBidi" w:cstheme="majorBidi"/>
          <w:sz w:val="22"/>
          <w:szCs w:val="22"/>
          <w:vertAlign w:val="superscript"/>
          <w:lang w:bidi="ar-IQ"/>
        </w:rPr>
        <w:t>-1</w:t>
      </w:r>
      <w:r w:rsidRPr="00CC23A4">
        <w:rPr>
          <w:rFonts w:asciiTheme="majorBidi" w:hAnsiTheme="majorBidi" w:cstheme="majorBidi"/>
          <w:sz w:val="22"/>
          <w:szCs w:val="22"/>
          <w:lang w:bidi="ar-IQ"/>
        </w:rPr>
        <w:t xml:space="preserve"> outperformed all other treatments</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including the control treatment</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which recorded the lowest values. Also, the table shows that there was a highly significant effect of seed soaking duration on both parameters</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where the 24 hr treatment outperformed all other treatments with higher values than the 12 hr treatment. Meanwhile, interactions between both experimental factors were highly significant. Soaking in Gibberellin at 200 mg L</w:t>
      </w:r>
      <w:r w:rsidRPr="00CC23A4">
        <w:rPr>
          <w:rFonts w:asciiTheme="majorBidi" w:hAnsiTheme="majorBidi" w:cstheme="majorBidi"/>
          <w:sz w:val="22"/>
          <w:szCs w:val="22"/>
          <w:vertAlign w:val="superscript"/>
          <w:lang w:bidi="ar-IQ"/>
        </w:rPr>
        <w:t>-1</w:t>
      </w:r>
      <w:r w:rsidRPr="00CC23A4">
        <w:rPr>
          <w:rFonts w:asciiTheme="majorBidi" w:hAnsiTheme="majorBidi" w:cstheme="majorBidi"/>
          <w:sz w:val="22"/>
          <w:szCs w:val="22"/>
          <w:lang w:bidi="ar-IQ"/>
        </w:rPr>
        <w:t xml:space="preserve"> for 24 hours resulted in a Germination Rate Index of 0.31 day</w:t>
      </w:r>
      <w:r w:rsidRPr="00CC23A4">
        <w:rPr>
          <w:rFonts w:asciiTheme="majorBidi" w:hAnsiTheme="majorBidi" w:cstheme="majorBidi"/>
          <w:sz w:val="22"/>
          <w:szCs w:val="22"/>
          <w:vertAlign w:val="superscript"/>
          <w:lang w:bidi="ar-IQ"/>
        </w:rPr>
        <w:t>-1</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also Seedling Vigor Index was calculated as 1717.00 compared to the control treatment soaking in distilled water for twelve hours</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which gave indices of 0.11 day</w:t>
      </w:r>
      <w:r w:rsidRPr="00CC23A4">
        <w:rPr>
          <w:rFonts w:asciiTheme="majorBidi" w:hAnsiTheme="majorBidi" w:cstheme="majorBidi"/>
          <w:sz w:val="22"/>
          <w:szCs w:val="22"/>
          <w:vertAlign w:val="superscript"/>
          <w:lang w:bidi="ar-IQ"/>
        </w:rPr>
        <w:t>-1</w:t>
      </w:r>
      <w:r w:rsidRPr="00CC23A4">
        <w:rPr>
          <w:rFonts w:asciiTheme="majorBidi" w:hAnsiTheme="majorBidi" w:cstheme="majorBidi"/>
          <w:sz w:val="22"/>
          <w:szCs w:val="22"/>
          <w:lang w:bidi="ar-IQ"/>
        </w:rPr>
        <w:t xml:space="preserve"> and 238.70</w:t>
      </w:r>
      <w:r>
        <w:rPr>
          <w:rFonts w:asciiTheme="majorBidi" w:hAnsiTheme="majorBidi" w:cstheme="majorBidi"/>
          <w:sz w:val="22"/>
          <w:szCs w:val="22"/>
          <w:lang w:bidi="ar-IQ"/>
        </w:rPr>
        <w:t>,</w:t>
      </w:r>
      <w:r w:rsidRPr="00CC23A4">
        <w:rPr>
          <w:rFonts w:asciiTheme="majorBidi" w:hAnsiTheme="majorBidi" w:cstheme="majorBidi"/>
          <w:sz w:val="22"/>
          <w:szCs w:val="22"/>
          <w:lang w:bidi="ar-IQ"/>
        </w:rPr>
        <w:t xml:space="preserve"> respectively.</w:t>
      </w:r>
    </w:p>
    <w:p w:rsidR="00F631FB" w:rsidRPr="009F6317" w:rsidRDefault="00F631FB" w:rsidP="00CC23A4">
      <w:pPr>
        <w:bidi w:val="0"/>
        <w:jc w:val="center"/>
        <w:rPr>
          <w:rFonts w:asciiTheme="majorBidi" w:hAnsiTheme="majorBidi" w:cstheme="majorBidi"/>
          <w:sz w:val="22"/>
          <w:szCs w:val="22"/>
          <w:lang w:bidi="ar-IQ"/>
        </w:rPr>
      </w:pPr>
      <w:r w:rsidRPr="009F6317">
        <w:rPr>
          <w:rFonts w:asciiTheme="majorBidi" w:hAnsiTheme="majorBidi" w:cstheme="majorBidi"/>
          <w:b/>
          <w:bCs/>
          <w:sz w:val="22"/>
          <w:szCs w:val="22"/>
          <w:lang w:bidi="ar-IQ"/>
        </w:rPr>
        <w:t xml:space="preserve">Table </w:t>
      </w:r>
      <w:r w:rsidR="00E100C1" w:rsidRPr="009F6317">
        <w:rPr>
          <w:rFonts w:asciiTheme="majorBidi" w:hAnsiTheme="majorBidi" w:cstheme="majorBidi"/>
          <w:b/>
          <w:bCs/>
          <w:sz w:val="22"/>
          <w:szCs w:val="22"/>
          <w:lang w:bidi="ar-IQ"/>
        </w:rPr>
        <w:t>2</w:t>
      </w:r>
      <w:r w:rsidRPr="009F6317">
        <w:rPr>
          <w:rFonts w:asciiTheme="majorBidi" w:hAnsiTheme="majorBidi" w:cstheme="majorBidi"/>
          <w:b/>
          <w:bCs/>
          <w:sz w:val="22"/>
          <w:szCs w:val="22"/>
          <w:lang w:bidi="ar-IQ"/>
        </w:rPr>
        <w:t>: Effect of Gibberellin, Soaking Duration, and Their Interaction on the Coefficient of Velocity of Germination and Seedling Vigor Index of Dragon Fruit Seeds.</w:t>
      </w:r>
    </w:p>
    <w:tbl>
      <w:tblPr>
        <w:tblW w:w="5000" w:type="pct"/>
        <w:tblBorders>
          <w:top w:val="single" w:sz="4" w:space="0" w:color="auto"/>
          <w:bottom w:val="single" w:sz="4" w:space="0" w:color="auto"/>
          <w:insideH w:val="single" w:sz="4" w:space="0" w:color="auto"/>
        </w:tblBorders>
        <w:tblLook w:val="04A0"/>
      </w:tblPr>
      <w:tblGrid>
        <w:gridCol w:w="973"/>
        <w:gridCol w:w="803"/>
        <w:gridCol w:w="804"/>
        <w:gridCol w:w="812"/>
        <w:gridCol w:w="790"/>
        <w:gridCol w:w="1146"/>
        <w:gridCol w:w="1146"/>
        <w:gridCol w:w="1182"/>
        <w:gridCol w:w="866"/>
      </w:tblGrid>
      <w:tr w:rsidR="00A56665" w:rsidRPr="009F6317" w:rsidTr="00024ED6">
        <w:trPr>
          <w:trHeight w:val="227"/>
        </w:trPr>
        <w:tc>
          <w:tcPr>
            <w:tcW w:w="585"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p>
        </w:tc>
        <w:tc>
          <w:tcPr>
            <w:tcW w:w="1936" w:type="pct"/>
            <w:gridSpan w:val="4"/>
            <w:vAlign w:val="center"/>
          </w:tcPr>
          <w:p w:rsidR="00A56665" w:rsidRPr="009F6317" w:rsidRDefault="00E100C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Coefficient of Velocity of Germination</w:t>
            </w:r>
          </w:p>
        </w:tc>
        <w:tc>
          <w:tcPr>
            <w:tcW w:w="2480" w:type="pct"/>
            <w:gridSpan w:val="4"/>
            <w:vAlign w:val="center"/>
          </w:tcPr>
          <w:p w:rsidR="00A56665" w:rsidRPr="009F6317" w:rsidRDefault="00E100C1"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Seedling Vigor Index</w:t>
            </w:r>
          </w:p>
        </w:tc>
      </w:tr>
      <w:tr w:rsidR="00A56665" w:rsidRPr="009F6317" w:rsidTr="00024ED6">
        <w:trPr>
          <w:trHeight w:val="227"/>
        </w:trPr>
        <w:tc>
          <w:tcPr>
            <w:tcW w:w="585" w:type="pct"/>
            <w:vMerge w:val="restar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p>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mg L</w:t>
            </w:r>
            <w:r w:rsidRPr="009F6317">
              <w:rPr>
                <w:rFonts w:asciiTheme="majorBidi" w:eastAsia="Times" w:hAnsiTheme="majorBidi" w:cstheme="majorBidi"/>
                <w:kern w:val="0"/>
                <w:sz w:val="20"/>
                <w:szCs w:val="20"/>
                <w:vertAlign w:val="superscript"/>
              </w:rPr>
              <w:t>-1</w:t>
            </w:r>
          </w:p>
        </w:tc>
        <w:tc>
          <w:tcPr>
            <w:tcW w:w="1459" w:type="pct"/>
            <w:gridSpan w:val="3"/>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Soaking Duration hours</w:t>
            </w:r>
          </w:p>
        </w:tc>
        <w:tc>
          <w:tcPr>
            <w:tcW w:w="477" w:type="pct"/>
            <w:vMerge w:val="restar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Aver.</w:t>
            </w:r>
          </w:p>
        </w:tc>
        <w:tc>
          <w:tcPr>
            <w:tcW w:w="2079" w:type="pct"/>
            <w:gridSpan w:val="3"/>
            <w:vAlign w:val="center"/>
          </w:tcPr>
          <w:p w:rsidR="00A56665" w:rsidRPr="009F6317" w:rsidRDefault="00A56665" w:rsidP="00024ED6">
            <w:pPr>
              <w:pBdr>
                <w:top w:val="nil"/>
                <w:left w:val="nil"/>
                <w:bottom w:val="nil"/>
                <w:right w:val="nil"/>
                <w:between w:val="nil"/>
              </w:pBdr>
              <w:spacing w:after="120" w:line="240" w:lineRule="auto"/>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Soaking Duration hours</w:t>
            </w:r>
          </w:p>
        </w:tc>
        <w:tc>
          <w:tcPr>
            <w:tcW w:w="401" w:type="pct"/>
            <w:vMerge w:val="restar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Aver.</w:t>
            </w:r>
          </w:p>
        </w:tc>
      </w:tr>
      <w:tr w:rsidR="00A56665" w:rsidRPr="009F6317" w:rsidTr="00024ED6">
        <w:trPr>
          <w:trHeight w:val="227"/>
        </w:trPr>
        <w:tc>
          <w:tcPr>
            <w:tcW w:w="585" w:type="pct"/>
            <w:vMerge/>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485"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12</w:t>
            </w:r>
          </w:p>
        </w:tc>
        <w:tc>
          <w:tcPr>
            <w:tcW w:w="485"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24</w:t>
            </w:r>
          </w:p>
        </w:tc>
        <w:tc>
          <w:tcPr>
            <w:tcW w:w="490"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36</w:t>
            </w:r>
          </w:p>
        </w:tc>
        <w:tc>
          <w:tcPr>
            <w:tcW w:w="477" w:type="pct"/>
            <w:vMerge/>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686"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12</w:t>
            </w:r>
          </w:p>
        </w:tc>
        <w:tc>
          <w:tcPr>
            <w:tcW w:w="686"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24</w:t>
            </w:r>
          </w:p>
        </w:tc>
        <w:tc>
          <w:tcPr>
            <w:tcW w:w="706"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36</w:t>
            </w:r>
          </w:p>
        </w:tc>
        <w:tc>
          <w:tcPr>
            <w:tcW w:w="401" w:type="pct"/>
            <w:vMerge/>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r>
      <w:tr w:rsidR="00A56665" w:rsidRPr="009F6317" w:rsidTr="00024ED6">
        <w:trPr>
          <w:trHeight w:val="227"/>
        </w:trPr>
        <w:tc>
          <w:tcPr>
            <w:tcW w:w="585"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0</w:t>
            </w:r>
          </w:p>
        </w:tc>
        <w:tc>
          <w:tcPr>
            <w:tcW w:w="485"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0.11</w:t>
            </w:r>
          </w:p>
        </w:tc>
        <w:tc>
          <w:tcPr>
            <w:tcW w:w="485"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0.12</w:t>
            </w:r>
          </w:p>
        </w:tc>
        <w:tc>
          <w:tcPr>
            <w:tcW w:w="49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0.12</w:t>
            </w:r>
          </w:p>
        </w:tc>
        <w:tc>
          <w:tcPr>
            <w:tcW w:w="477"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0.12</w:t>
            </w:r>
          </w:p>
        </w:tc>
        <w:tc>
          <w:tcPr>
            <w:tcW w:w="68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238.70</w:t>
            </w:r>
          </w:p>
        </w:tc>
        <w:tc>
          <w:tcPr>
            <w:tcW w:w="68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350.30</w:t>
            </w:r>
          </w:p>
        </w:tc>
        <w:tc>
          <w:tcPr>
            <w:tcW w:w="70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307.30</w:t>
            </w:r>
          </w:p>
        </w:tc>
        <w:tc>
          <w:tcPr>
            <w:tcW w:w="4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298.80</w:t>
            </w:r>
          </w:p>
        </w:tc>
      </w:tr>
      <w:tr w:rsidR="00A56665" w:rsidRPr="009F6317" w:rsidTr="00024ED6">
        <w:trPr>
          <w:trHeight w:val="227"/>
        </w:trPr>
        <w:tc>
          <w:tcPr>
            <w:tcW w:w="585"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100</w:t>
            </w:r>
          </w:p>
        </w:tc>
        <w:tc>
          <w:tcPr>
            <w:tcW w:w="485"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0.15</w:t>
            </w:r>
          </w:p>
        </w:tc>
        <w:tc>
          <w:tcPr>
            <w:tcW w:w="485"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0.19</w:t>
            </w:r>
          </w:p>
        </w:tc>
        <w:tc>
          <w:tcPr>
            <w:tcW w:w="49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0.17</w:t>
            </w:r>
          </w:p>
        </w:tc>
        <w:tc>
          <w:tcPr>
            <w:tcW w:w="477"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0.17</w:t>
            </w:r>
          </w:p>
        </w:tc>
        <w:tc>
          <w:tcPr>
            <w:tcW w:w="68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661.30</w:t>
            </w:r>
          </w:p>
        </w:tc>
        <w:tc>
          <w:tcPr>
            <w:tcW w:w="68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1014.00</w:t>
            </w:r>
          </w:p>
        </w:tc>
        <w:tc>
          <w:tcPr>
            <w:tcW w:w="70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872.70</w:t>
            </w:r>
          </w:p>
        </w:tc>
        <w:tc>
          <w:tcPr>
            <w:tcW w:w="4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849.30</w:t>
            </w:r>
          </w:p>
        </w:tc>
      </w:tr>
      <w:tr w:rsidR="00A56665" w:rsidRPr="009F6317" w:rsidTr="00024ED6">
        <w:trPr>
          <w:trHeight w:val="227"/>
        </w:trPr>
        <w:tc>
          <w:tcPr>
            <w:tcW w:w="585"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200</w:t>
            </w:r>
          </w:p>
        </w:tc>
        <w:tc>
          <w:tcPr>
            <w:tcW w:w="485"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0.22</w:t>
            </w:r>
          </w:p>
        </w:tc>
        <w:tc>
          <w:tcPr>
            <w:tcW w:w="485"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0.31</w:t>
            </w:r>
          </w:p>
        </w:tc>
        <w:tc>
          <w:tcPr>
            <w:tcW w:w="49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0.27</w:t>
            </w:r>
          </w:p>
        </w:tc>
        <w:tc>
          <w:tcPr>
            <w:tcW w:w="477"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0.26</w:t>
            </w:r>
          </w:p>
        </w:tc>
        <w:tc>
          <w:tcPr>
            <w:tcW w:w="68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1255.70</w:t>
            </w:r>
          </w:p>
        </w:tc>
        <w:tc>
          <w:tcPr>
            <w:tcW w:w="68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1717.30</w:t>
            </w:r>
          </w:p>
        </w:tc>
        <w:tc>
          <w:tcPr>
            <w:tcW w:w="70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1480.00</w:t>
            </w:r>
          </w:p>
        </w:tc>
        <w:tc>
          <w:tcPr>
            <w:tcW w:w="4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1484.30</w:t>
            </w:r>
          </w:p>
        </w:tc>
      </w:tr>
      <w:tr w:rsidR="00A56665" w:rsidRPr="009F6317" w:rsidTr="00024ED6">
        <w:trPr>
          <w:trHeight w:val="227"/>
        </w:trPr>
        <w:tc>
          <w:tcPr>
            <w:tcW w:w="585"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Aver.</w:t>
            </w:r>
          </w:p>
        </w:tc>
        <w:tc>
          <w:tcPr>
            <w:tcW w:w="485"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0.16</w:t>
            </w:r>
          </w:p>
        </w:tc>
        <w:tc>
          <w:tcPr>
            <w:tcW w:w="485"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0.20</w:t>
            </w:r>
          </w:p>
        </w:tc>
        <w:tc>
          <w:tcPr>
            <w:tcW w:w="49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0.18</w:t>
            </w:r>
          </w:p>
        </w:tc>
        <w:tc>
          <w:tcPr>
            <w:tcW w:w="477"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68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718.60</w:t>
            </w:r>
          </w:p>
        </w:tc>
        <w:tc>
          <w:tcPr>
            <w:tcW w:w="68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1027.20</w:t>
            </w:r>
          </w:p>
        </w:tc>
        <w:tc>
          <w:tcPr>
            <w:tcW w:w="706"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886.70</w:t>
            </w:r>
          </w:p>
        </w:tc>
        <w:tc>
          <w:tcPr>
            <w:tcW w:w="401"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color w:val="EE0000"/>
                <w:kern w:val="0"/>
                <w:sz w:val="20"/>
                <w:szCs w:val="20"/>
                <w:rtl/>
                <w:lang w:val="en-GB" w:bidi="ar-IQ"/>
              </w:rPr>
            </w:pPr>
          </w:p>
        </w:tc>
      </w:tr>
      <w:tr w:rsidR="00A56665" w:rsidRPr="009F6317" w:rsidTr="00024ED6">
        <w:trPr>
          <w:trHeight w:val="227"/>
        </w:trPr>
        <w:tc>
          <w:tcPr>
            <w:tcW w:w="585"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 xml:space="preserve">L.S.D </w:t>
            </w:r>
            <w:r w:rsidRPr="009F6317">
              <w:rPr>
                <w:rFonts w:asciiTheme="majorBidi" w:eastAsia="Times" w:hAnsiTheme="majorBidi" w:cstheme="majorBidi"/>
                <w:i/>
                <w:iCs/>
                <w:kern w:val="0"/>
                <w:sz w:val="20"/>
                <w:szCs w:val="20"/>
              </w:rPr>
              <w:t>P≤</w:t>
            </w:r>
            <w:r w:rsidRPr="009F6317">
              <w:rPr>
                <w:rFonts w:asciiTheme="majorBidi" w:eastAsia="Times" w:hAnsiTheme="majorBidi" w:cstheme="majorBidi"/>
                <w:kern w:val="0"/>
                <w:sz w:val="20"/>
                <w:szCs w:val="20"/>
              </w:rPr>
              <w:t>0.05</w:t>
            </w:r>
          </w:p>
        </w:tc>
        <w:tc>
          <w:tcPr>
            <w:tcW w:w="1936" w:type="pct"/>
            <w:gridSpan w:val="4"/>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r w:rsidRPr="009F6317">
              <w:rPr>
                <w:rFonts w:asciiTheme="majorBidi" w:eastAsia="Times" w:hAnsiTheme="majorBidi" w:cstheme="majorBidi"/>
                <w:kern w:val="0"/>
                <w:sz w:val="20"/>
                <w:szCs w:val="20"/>
                <w:rtl/>
                <w:lang w:val="en-GB"/>
              </w:rPr>
              <w:t>0.04</w:t>
            </w:r>
            <w:r w:rsidRPr="009F6317">
              <w:rPr>
                <w:rFonts w:asciiTheme="majorBidi" w:eastAsia="Times" w:hAnsiTheme="majorBidi" w:cstheme="majorBidi"/>
                <w:kern w:val="0"/>
                <w:sz w:val="20"/>
                <w:szCs w:val="20"/>
              </w:rPr>
              <w:t>, S.D.=</w:t>
            </w:r>
            <w:r w:rsidRPr="009F6317">
              <w:rPr>
                <w:rFonts w:asciiTheme="majorBidi" w:eastAsia="Times" w:hAnsiTheme="majorBidi" w:cstheme="majorBidi"/>
                <w:kern w:val="0"/>
                <w:sz w:val="20"/>
                <w:szCs w:val="20"/>
                <w:lang w:val="en-GB"/>
              </w:rPr>
              <w:t>0.04</w:t>
            </w:r>
          </w:p>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Interaction=</w:t>
            </w:r>
            <w:r w:rsidRPr="009F6317">
              <w:rPr>
                <w:rFonts w:asciiTheme="majorBidi" w:eastAsia="Times" w:hAnsiTheme="majorBidi" w:cstheme="majorBidi"/>
                <w:kern w:val="0"/>
                <w:sz w:val="20"/>
                <w:szCs w:val="20"/>
                <w:lang w:val="en-GB"/>
              </w:rPr>
              <w:t>0.08</w:t>
            </w:r>
          </w:p>
        </w:tc>
        <w:tc>
          <w:tcPr>
            <w:tcW w:w="2480" w:type="pct"/>
            <w:gridSpan w:val="4"/>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r w:rsidRPr="009F6317">
              <w:rPr>
                <w:rFonts w:asciiTheme="majorBidi" w:eastAsia="Times" w:hAnsiTheme="majorBidi" w:cstheme="majorBidi"/>
                <w:kern w:val="0"/>
                <w:sz w:val="20"/>
                <w:szCs w:val="20"/>
                <w:rtl/>
              </w:rPr>
              <w:t>24.45</w:t>
            </w:r>
            <w:r w:rsidRPr="009F6317">
              <w:rPr>
                <w:rFonts w:asciiTheme="majorBidi" w:eastAsia="Times" w:hAnsiTheme="majorBidi" w:cstheme="majorBidi"/>
                <w:kern w:val="0"/>
                <w:sz w:val="20"/>
                <w:szCs w:val="20"/>
              </w:rPr>
              <w:t>, S.D.=</w:t>
            </w:r>
            <w:r w:rsidRPr="009F6317">
              <w:rPr>
                <w:rFonts w:asciiTheme="majorBidi" w:eastAsia="Times" w:hAnsiTheme="majorBidi" w:cstheme="majorBidi"/>
                <w:kern w:val="0"/>
                <w:sz w:val="20"/>
                <w:szCs w:val="20"/>
                <w:rtl/>
              </w:rPr>
              <w:t>24.45</w:t>
            </w:r>
          </w:p>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Interaction=</w:t>
            </w:r>
            <w:r w:rsidRPr="009F6317">
              <w:rPr>
                <w:rFonts w:asciiTheme="majorBidi" w:eastAsia="Times" w:hAnsiTheme="majorBidi" w:cstheme="majorBidi"/>
                <w:kern w:val="0"/>
                <w:sz w:val="20"/>
                <w:szCs w:val="20"/>
                <w:rtl/>
              </w:rPr>
              <w:t>42.35</w:t>
            </w:r>
          </w:p>
        </w:tc>
      </w:tr>
    </w:tbl>
    <w:p w:rsidR="00170B92" w:rsidRDefault="00170B92" w:rsidP="00841674">
      <w:pPr>
        <w:bidi w:val="0"/>
        <w:jc w:val="center"/>
        <w:rPr>
          <w:rFonts w:asciiTheme="majorBidi" w:hAnsiTheme="majorBidi" w:cstheme="majorBidi"/>
          <w:b/>
          <w:bCs/>
          <w:sz w:val="22"/>
          <w:szCs w:val="22"/>
          <w:lang w:bidi="ar-IQ"/>
        </w:rPr>
      </w:pPr>
    </w:p>
    <w:p w:rsidR="00170B92" w:rsidRPr="00170B92" w:rsidRDefault="00170B92" w:rsidP="00170B92">
      <w:pPr>
        <w:bidi w:val="0"/>
        <w:jc w:val="both"/>
        <w:rPr>
          <w:rFonts w:asciiTheme="majorBidi" w:hAnsiTheme="majorBidi" w:cstheme="majorBidi"/>
          <w:sz w:val="22"/>
          <w:szCs w:val="22"/>
          <w:lang w:bidi="ar-IQ"/>
        </w:rPr>
      </w:pPr>
      <w:r w:rsidRPr="00170B92">
        <w:rPr>
          <w:rFonts w:asciiTheme="majorBidi" w:hAnsiTheme="majorBidi" w:cstheme="majorBidi"/>
          <w:sz w:val="22"/>
          <w:szCs w:val="22"/>
          <w:lang w:bidi="ar-IQ"/>
        </w:rPr>
        <w:lastRenderedPageBreak/>
        <w:t>Results in Table 3 show a highly significant effect of gibberellin on both plumule and radicle lengths. Soaking plants in gibberellin at a concentration of 200 mg L⁻¹ recorded the highest values for both plumule and radicle lengths, followed by soaking in distilled water. There was also a highly significant effect of the duration of soaking, where the 24-hour soaking treatment had significantly higher values of both plumule and radicle length than the 12-hour soaking treatment.</w:t>
      </w:r>
    </w:p>
    <w:p w:rsidR="00170B92" w:rsidRPr="00024ED6" w:rsidRDefault="00170B92" w:rsidP="00024ED6">
      <w:pPr>
        <w:bidi w:val="0"/>
        <w:jc w:val="both"/>
        <w:rPr>
          <w:rFonts w:asciiTheme="majorBidi" w:hAnsiTheme="majorBidi" w:cstheme="majorBidi"/>
          <w:sz w:val="22"/>
          <w:szCs w:val="22"/>
          <w:lang w:bidi="ar-IQ"/>
        </w:rPr>
      </w:pPr>
      <w:r w:rsidRPr="00170B92">
        <w:rPr>
          <w:rFonts w:asciiTheme="majorBidi" w:hAnsiTheme="majorBidi" w:cstheme="majorBidi"/>
          <w:sz w:val="22"/>
          <w:szCs w:val="22"/>
          <w:lang w:bidi="ar-IQ"/>
        </w:rPr>
        <w:t>Also, the table shows a highly significant difference in the interaction between both experimental variables. The treatment of interaction between gibberellin and water proved most effective, with maximum lengths attained by both plumule and radicle</w:t>
      </w:r>
      <w:r>
        <w:rPr>
          <w:rFonts w:asciiTheme="majorBidi" w:hAnsiTheme="majorBidi" w:cstheme="majorBidi"/>
          <w:sz w:val="22"/>
          <w:szCs w:val="22"/>
          <w:lang w:bidi="ar-IQ"/>
        </w:rPr>
        <w:t xml:space="preserve">, </w:t>
      </w:r>
      <w:r w:rsidRPr="00170B92">
        <w:rPr>
          <w:rFonts w:asciiTheme="majorBidi" w:hAnsiTheme="majorBidi" w:cstheme="majorBidi"/>
          <w:sz w:val="22"/>
          <w:szCs w:val="22"/>
          <w:lang w:bidi="ar-IQ"/>
        </w:rPr>
        <w:t xml:space="preserve">8.23 cm as compared to </w:t>
      </w:r>
      <w:r>
        <w:rPr>
          <w:rFonts w:asciiTheme="majorBidi" w:hAnsiTheme="majorBidi" w:cstheme="majorBidi"/>
          <w:sz w:val="22"/>
          <w:szCs w:val="22"/>
          <w:lang w:bidi="ar-IQ"/>
        </w:rPr>
        <w:t xml:space="preserve">the </w:t>
      </w:r>
      <w:r w:rsidRPr="00170B92">
        <w:rPr>
          <w:rFonts w:asciiTheme="majorBidi" w:hAnsiTheme="majorBidi" w:cstheme="majorBidi"/>
          <w:sz w:val="22"/>
          <w:szCs w:val="22"/>
          <w:lang w:bidi="ar-IQ"/>
        </w:rPr>
        <w:t>distilled water treatment</w:t>
      </w:r>
      <w:r>
        <w:rPr>
          <w:rFonts w:asciiTheme="majorBidi" w:hAnsiTheme="majorBidi" w:cstheme="majorBidi"/>
          <w:sz w:val="22"/>
          <w:szCs w:val="22"/>
          <w:lang w:bidi="ar-IQ"/>
        </w:rPr>
        <w:t>,</w:t>
      </w:r>
      <w:r w:rsidRPr="00170B92">
        <w:rPr>
          <w:rFonts w:asciiTheme="majorBidi" w:hAnsiTheme="majorBidi" w:cstheme="majorBidi"/>
          <w:sz w:val="22"/>
          <w:szCs w:val="22"/>
          <w:lang w:bidi="ar-IQ"/>
        </w:rPr>
        <w:t xml:space="preserve"> which was 12.07 cm long.</w:t>
      </w:r>
    </w:p>
    <w:p w:rsidR="00A56665" w:rsidRPr="009F6317" w:rsidRDefault="00841674" w:rsidP="00170B92">
      <w:pPr>
        <w:bidi w:val="0"/>
        <w:jc w:val="center"/>
        <w:rPr>
          <w:rFonts w:asciiTheme="majorBidi" w:hAnsiTheme="majorBidi" w:cstheme="majorBidi"/>
          <w:b/>
          <w:bCs/>
          <w:sz w:val="22"/>
          <w:szCs w:val="22"/>
          <w:lang w:bidi="ar-IQ"/>
        </w:rPr>
      </w:pPr>
      <w:r w:rsidRPr="009F6317">
        <w:rPr>
          <w:rFonts w:asciiTheme="majorBidi" w:hAnsiTheme="majorBidi" w:cstheme="majorBidi"/>
          <w:b/>
          <w:bCs/>
          <w:sz w:val="22"/>
          <w:szCs w:val="22"/>
          <w:lang w:bidi="ar-IQ"/>
        </w:rPr>
        <w:t>Table 3: Effect of Gibberellin, Soaking Duration, and Their Interaction on Plumule and Radicle Length of Dragon Fruit Seeds.</w:t>
      </w:r>
    </w:p>
    <w:tbl>
      <w:tblPr>
        <w:tblW w:w="5000" w:type="pct"/>
        <w:tblBorders>
          <w:top w:val="single" w:sz="4" w:space="0" w:color="auto"/>
          <w:bottom w:val="single" w:sz="4" w:space="0" w:color="auto"/>
          <w:insideH w:val="single" w:sz="4" w:space="0" w:color="auto"/>
        </w:tblBorders>
        <w:tblLook w:val="04A0"/>
      </w:tblPr>
      <w:tblGrid>
        <w:gridCol w:w="1038"/>
        <w:gridCol w:w="868"/>
        <w:gridCol w:w="868"/>
        <w:gridCol w:w="874"/>
        <w:gridCol w:w="854"/>
        <w:gridCol w:w="1193"/>
        <w:gridCol w:w="886"/>
        <w:gridCol w:w="1258"/>
        <w:gridCol w:w="683"/>
      </w:tblGrid>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p>
        </w:tc>
        <w:tc>
          <w:tcPr>
            <w:tcW w:w="2032" w:type="pct"/>
            <w:gridSpan w:val="4"/>
            <w:vAlign w:val="center"/>
          </w:tcPr>
          <w:p w:rsidR="00A56665" w:rsidRPr="009F6317" w:rsidRDefault="0063489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Plumule Length (cm)</w:t>
            </w:r>
          </w:p>
        </w:tc>
        <w:tc>
          <w:tcPr>
            <w:tcW w:w="2359" w:type="pct"/>
            <w:gridSpan w:val="4"/>
            <w:vAlign w:val="center"/>
          </w:tcPr>
          <w:p w:rsidR="00A56665" w:rsidRPr="009F6317" w:rsidRDefault="0063489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Radicle Length (cm)</w:t>
            </w:r>
          </w:p>
        </w:tc>
      </w:tr>
      <w:tr w:rsidR="00A56665" w:rsidRPr="009F6317" w:rsidTr="00024ED6">
        <w:trPr>
          <w:trHeight w:val="227"/>
        </w:trPr>
        <w:tc>
          <w:tcPr>
            <w:tcW w:w="609" w:type="pct"/>
            <w:vMerge w:val="restar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p>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mg L</w:t>
            </w:r>
            <w:r w:rsidRPr="009F6317">
              <w:rPr>
                <w:rFonts w:asciiTheme="majorBidi" w:eastAsia="Times" w:hAnsiTheme="majorBidi" w:cstheme="majorBidi"/>
                <w:kern w:val="0"/>
                <w:sz w:val="20"/>
                <w:szCs w:val="20"/>
                <w:vertAlign w:val="superscript"/>
              </w:rPr>
              <w:t>-1</w:t>
            </w:r>
          </w:p>
        </w:tc>
        <w:tc>
          <w:tcPr>
            <w:tcW w:w="1531" w:type="pct"/>
            <w:gridSpan w:val="3"/>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Soaking Duration hours</w:t>
            </w:r>
          </w:p>
        </w:tc>
        <w:tc>
          <w:tcPr>
            <w:tcW w:w="501" w:type="pct"/>
            <w:vMerge w:val="restar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Aver.</w:t>
            </w:r>
          </w:p>
        </w:tc>
        <w:tc>
          <w:tcPr>
            <w:tcW w:w="1958" w:type="pct"/>
            <w:gridSpan w:val="3"/>
            <w:vAlign w:val="center"/>
          </w:tcPr>
          <w:p w:rsidR="00A56665" w:rsidRPr="009F6317" w:rsidRDefault="00A56665" w:rsidP="00024ED6">
            <w:pPr>
              <w:pBdr>
                <w:top w:val="nil"/>
                <w:left w:val="nil"/>
                <w:bottom w:val="nil"/>
                <w:right w:val="nil"/>
                <w:between w:val="nil"/>
              </w:pBdr>
              <w:spacing w:after="120" w:line="240" w:lineRule="auto"/>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Soaking Duration hours</w:t>
            </w:r>
          </w:p>
        </w:tc>
        <w:tc>
          <w:tcPr>
            <w:tcW w:w="401" w:type="pct"/>
            <w:vMerge w:val="restar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Aver.</w:t>
            </w:r>
          </w:p>
        </w:tc>
      </w:tr>
      <w:tr w:rsidR="00A56665" w:rsidRPr="009F6317" w:rsidTr="00024ED6">
        <w:trPr>
          <w:trHeight w:val="227"/>
        </w:trPr>
        <w:tc>
          <w:tcPr>
            <w:tcW w:w="609" w:type="pct"/>
            <w:vMerge/>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5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12</w:t>
            </w:r>
          </w:p>
        </w:tc>
        <w:tc>
          <w:tcPr>
            <w:tcW w:w="5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24</w:t>
            </w:r>
          </w:p>
        </w:tc>
        <w:tc>
          <w:tcPr>
            <w:tcW w:w="513"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36</w:t>
            </w:r>
          </w:p>
        </w:tc>
        <w:tc>
          <w:tcPr>
            <w:tcW w:w="501" w:type="pct"/>
            <w:vMerge/>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700"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12</w:t>
            </w:r>
          </w:p>
        </w:tc>
        <w:tc>
          <w:tcPr>
            <w:tcW w:w="520"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24</w:t>
            </w:r>
          </w:p>
        </w:tc>
        <w:tc>
          <w:tcPr>
            <w:tcW w:w="738"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36</w:t>
            </w:r>
          </w:p>
        </w:tc>
        <w:tc>
          <w:tcPr>
            <w:tcW w:w="401" w:type="pct"/>
            <w:vMerge/>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r>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0</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1.63</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2.23</w:t>
            </w:r>
          </w:p>
        </w:tc>
        <w:tc>
          <w:tcPr>
            <w:tcW w:w="513"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1.86</w:t>
            </w:r>
          </w:p>
        </w:tc>
        <w:tc>
          <w:tcPr>
            <w:tcW w:w="5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1.91</w:t>
            </w:r>
          </w:p>
        </w:tc>
        <w:tc>
          <w:tcPr>
            <w:tcW w:w="70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2.10</w:t>
            </w:r>
          </w:p>
        </w:tc>
        <w:tc>
          <w:tcPr>
            <w:tcW w:w="52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2.93</w:t>
            </w:r>
          </w:p>
        </w:tc>
        <w:tc>
          <w:tcPr>
            <w:tcW w:w="738"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2.54</w:t>
            </w:r>
          </w:p>
        </w:tc>
        <w:tc>
          <w:tcPr>
            <w:tcW w:w="4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2.52</w:t>
            </w:r>
          </w:p>
        </w:tc>
      </w:tr>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100</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3.63</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5.23</w:t>
            </w:r>
          </w:p>
        </w:tc>
        <w:tc>
          <w:tcPr>
            <w:tcW w:w="513"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4.63</w:t>
            </w:r>
          </w:p>
        </w:tc>
        <w:tc>
          <w:tcPr>
            <w:tcW w:w="5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4.50</w:t>
            </w:r>
          </w:p>
        </w:tc>
        <w:tc>
          <w:tcPr>
            <w:tcW w:w="70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4.10</w:t>
            </w:r>
          </w:p>
        </w:tc>
        <w:tc>
          <w:tcPr>
            <w:tcW w:w="52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5.93</w:t>
            </w:r>
          </w:p>
        </w:tc>
        <w:tc>
          <w:tcPr>
            <w:tcW w:w="738"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5.20</w:t>
            </w:r>
          </w:p>
        </w:tc>
        <w:tc>
          <w:tcPr>
            <w:tcW w:w="4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5.07</w:t>
            </w:r>
          </w:p>
        </w:tc>
      </w:tr>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200</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6.23</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8.23</w:t>
            </w:r>
          </w:p>
        </w:tc>
        <w:tc>
          <w:tcPr>
            <w:tcW w:w="513"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7.63</w:t>
            </w:r>
          </w:p>
        </w:tc>
        <w:tc>
          <w:tcPr>
            <w:tcW w:w="5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7.36</w:t>
            </w:r>
          </w:p>
        </w:tc>
        <w:tc>
          <w:tcPr>
            <w:tcW w:w="70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6.93</w:t>
            </w:r>
          </w:p>
        </w:tc>
        <w:tc>
          <w:tcPr>
            <w:tcW w:w="52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8.93</w:t>
            </w:r>
          </w:p>
        </w:tc>
        <w:tc>
          <w:tcPr>
            <w:tcW w:w="738"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8.25</w:t>
            </w:r>
          </w:p>
        </w:tc>
        <w:tc>
          <w:tcPr>
            <w:tcW w:w="4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8.03</w:t>
            </w:r>
          </w:p>
        </w:tc>
      </w:tr>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Aver.</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3.83</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5.23</w:t>
            </w:r>
          </w:p>
        </w:tc>
        <w:tc>
          <w:tcPr>
            <w:tcW w:w="513"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4.71</w:t>
            </w:r>
          </w:p>
        </w:tc>
        <w:tc>
          <w:tcPr>
            <w:tcW w:w="501"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70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4.37</w:t>
            </w:r>
          </w:p>
        </w:tc>
        <w:tc>
          <w:tcPr>
            <w:tcW w:w="52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5.93</w:t>
            </w:r>
          </w:p>
        </w:tc>
        <w:tc>
          <w:tcPr>
            <w:tcW w:w="738"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5.33</w:t>
            </w:r>
          </w:p>
        </w:tc>
        <w:tc>
          <w:tcPr>
            <w:tcW w:w="401"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color w:val="EE0000"/>
                <w:kern w:val="0"/>
                <w:sz w:val="20"/>
                <w:szCs w:val="20"/>
                <w:rtl/>
                <w:lang w:val="en-GB" w:bidi="ar-IQ"/>
              </w:rPr>
            </w:pPr>
          </w:p>
        </w:tc>
      </w:tr>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 xml:space="preserve">L.S.D </w:t>
            </w:r>
            <w:r w:rsidRPr="009F6317">
              <w:rPr>
                <w:rFonts w:asciiTheme="majorBidi" w:eastAsia="Times" w:hAnsiTheme="majorBidi" w:cstheme="majorBidi"/>
                <w:i/>
                <w:iCs/>
                <w:kern w:val="0"/>
                <w:sz w:val="20"/>
                <w:szCs w:val="20"/>
              </w:rPr>
              <w:t>P≤</w:t>
            </w:r>
            <w:r w:rsidRPr="009F6317">
              <w:rPr>
                <w:rFonts w:asciiTheme="majorBidi" w:eastAsia="Times" w:hAnsiTheme="majorBidi" w:cstheme="majorBidi"/>
                <w:kern w:val="0"/>
                <w:sz w:val="20"/>
                <w:szCs w:val="20"/>
              </w:rPr>
              <w:t>0.05</w:t>
            </w:r>
          </w:p>
        </w:tc>
        <w:tc>
          <w:tcPr>
            <w:tcW w:w="2032" w:type="pct"/>
            <w:gridSpan w:val="4"/>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r w:rsidRPr="009F6317">
              <w:rPr>
                <w:rFonts w:asciiTheme="majorBidi" w:eastAsia="Times" w:hAnsiTheme="majorBidi" w:cstheme="majorBidi"/>
                <w:kern w:val="0"/>
                <w:sz w:val="20"/>
                <w:szCs w:val="20"/>
                <w:rtl/>
                <w:lang w:val="en-GB"/>
              </w:rPr>
              <w:t>1.06</w:t>
            </w:r>
            <w:r w:rsidRPr="009F6317">
              <w:rPr>
                <w:rFonts w:asciiTheme="majorBidi" w:eastAsia="Times" w:hAnsiTheme="majorBidi" w:cstheme="majorBidi"/>
                <w:kern w:val="0"/>
                <w:sz w:val="20"/>
                <w:szCs w:val="20"/>
              </w:rPr>
              <w:t>, S.D.=</w:t>
            </w:r>
            <w:r w:rsidRPr="009F6317">
              <w:rPr>
                <w:rFonts w:asciiTheme="majorBidi" w:eastAsia="Times" w:hAnsiTheme="majorBidi" w:cstheme="majorBidi"/>
                <w:kern w:val="0"/>
                <w:sz w:val="20"/>
                <w:szCs w:val="20"/>
                <w:lang w:val="en-GB"/>
              </w:rPr>
              <w:t>1.06</w:t>
            </w:r>
          </w:p>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Interaction=</w:t>
            </w:r>
            <w:r w:rsidRPr="009F6317">
              <w:rPr>
                <w:rFonts w:asciiTheme="majorBidi" w:eastAsia="Times" w:hAnsiTheme="majorBidi" w:cstheme="majorBidi"/>
                <w:kern w:val="0"/>
                <w:sz w:val="20"/>
                <w:szCs w:val="20"/>
                <w:lang w:val="en-GB"/>
              </w:rPr>
              <w:t>2.12</w:t>
            </w:r>
          </w:p>
        </w:tc>
        <w:tc>
          <w:tcPr>
            <w:tcW w:w="2359" w:type="pct"/>
            <w:gridSpan w:val="4"/>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r w:rsidRPr="009F6317">
              <w:rPr>
                <w:rFonts w:asciiTheme="majorBidi" w:eastAsia="Times" w:hAnsiTheme="majorBidi" w:cstheme="majorBidi"/>
                <w:kern w:val="0"/>
                <w:sz w:val="20"/>
                <w:szCs w:val="20"/>
                <w:rtl/>
              </w:rPr>
              <w:t>1.30</w:t>
            </w:r>
            <w:r w:rsidRPr="009F6317">
              <w:rPr>
                <w:rFonts w:asciiTheme="majorBidi" w:eastAsia="Times" w:hAnsiTheme="majorBidi" w:cstheme="majorBidi"/>
                <w:kern w:val="0"/>
                <w:sz w:val="20"/>
                <w:szCs w:val="20"/>
              </w:rPr>
              <w:t>, S.D.=</w:t>
            </w:r>
            <w:r w:rsidRPr="009F6317">
              <w:rPr>
                <w:rFonts w:asciiTheme="majorBidi" w:eastAsia="Times" w:hAnsiTheme="majorBidi" w:cstheme="majorBidi"/>
                <w:kern w:val="0"/>
                <w:sz w:val="20"/>
                <w:szCs w:val="20"/>
                <w:rtl/>
              </w:rPr>
              <w:t>1.30</w:t>
            </w:r>
          </w:p>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Interaction=</w:t>
            </w:r>
            <w:r w:rsidRPr="009F6317">
              <w:rPr>
                <w:rFonts w:asciiTheme="majorBidi" w:eastAsia="Times" w:hAnsiTheme="majorBidi" w:cstheme="majorBidi"/>
                <w:kern w:val="0"/>
                <w:sz w:val="20"/>
                <w:szCs w:val="20"/>
                <w:rtl/>
              </w:rPr>
              <w:t>2.25</w:t>
            </w:r>
          </w:p>
        </w:tc>
      </w:tr>
    </w:tbl>
    <w:p w:rsidR="0007057B" w:rsidRDefault="0007057B" w:rsidP="0080725F">
      <w:pPr>
        <w:bidi w:val="0"/>
        <w:rPr>
          <w:rFonts w:asciiTheme="majorBidi" w:hAnsiTheme="majorBidi" w:cstheme="majorBidi"/>
          <w:b/>
          <w:bCs/>
          <w:sz w:val="22"/>
          <w:szCs w:val="22"/>
          <w:lang w:bidi="ar-IQ"/>
        </w:rPr>
      </w:pPr>
    </w:p>
    <w:p w:rsidR="00170B92" w:rsidRPr="00170B92" w:rsidRDefault="00170B92" w:rsidP="00170B92">
      <w:pPr>
        <w:bidi w:val="0"/>
        <w:jc w:val="both"/>
        <w:rPr>
          <w:rFonts w:asciiTheme="majorBidi" w:hAnsiTheme="majorBidi" w:cstheme="majorBidi"/>
          <w:sz w:val="22"/>
          <w:szCs w:val="22"/>
          <w:lang w:bidi="ar-IQ"/>
        </w:rPr>
      </w:pPr>
      <w:r w:rsidRPr="00170B92">
        <w:rPr>
          <w:rFonts w:asciiTheme="majorBidi" w:hAnsiTheme="majorBidi" w:cstheme="majorBidi"/>
          <w:sz w:val="22"/>
          <w:szCs w:val="22"/>
          <w:lang w:bidi="ar-IQ"/>
        </w:rPr>
        <w:t>Table 4 shows the significant effects of gibberellin on both the fresh and dry weights of seedlings. The effect of the gibberellin concentration of 200 mg L⁻¹ was more pronounced than the control treatment, which was reflected in the highest values of fresh and dry weight of seedlings. Additionally, the effect of the duration of soaking was significant; the 24-hour treatment had a higher value than the 12-hour treatment. Additionally, the table demonstrates a significant difference in the interaction of gibberellin and the length of soaking. The treatment that involved soaking in gibberellin at 200mgL⁻</w:t>
      </w:r>
      <w:r w:rsidRPr="00170B92">
        <w:rPr>
          <w:rFonts w:asciiTheme="majorBidi" w:hAnsiTheme="majorBidi" w:cstheme="majorBidi"/>
          <w:sz w:val="22"/>
          <w:szCs w:val="22"/>
          <w:vertAlign w:val="superscript"/>
          <w:lang w:bidi="ar-IQ"/>
        </w:rPr>
        <w:t>1</w:t>
      </w:r>
      <w:r w:rsidRPr="00170B92">
        <w:rPr>
          <w:rFonts w:asciiTheme="majorBidi" w:hAnsiTheme="majorBidi" w:cstheme="majorBidi"/>
          <w:sz w:val="22"/>
          <w:szCs w:val="22"/>
          <w:lang w:bidi="ar-IQ"/>
        </w:rPr>
        <w:t xml:space="preserve"> for 24 hours produced the greatest fresh weight</w:t>
      </w:r>
      <w:r>
        <w:rPr>
          <w:rFonts w:asciiTheme="majorBidi" w:hAnsiTheme="majorBidi" w:cstheme="majorBidi"/>
          <w:sz w:val="22"/>
          <w:szCs w:val="22"/>
          <w:lang w:bidi="ar-IQ"/>
        </w:rPr>
        <w:t xml:space="preserve"> </w:t>
      </w:r>
      <w:r w:rsidRPr="00170B92">
        <w:rPr>
          <w:rFonts w:asciiTheme="majorBidi" w:hAnsiTheme="majorBidi" w:cstheme="majorBidi"/>
          <w:sz w:val="22"/>
          <w:szCs w:val="22"/>
          <w:lang w:bidi="ar-IQ"/>
        </w:rPr>
        <w:t>(0 .59g seedling</w:t>
      </w:r>
      <w:r w:rsidRPr="00170B92">
        <w:rPr>
          <w:rFonts w:asciiTheme="majorBidi" w:hAnsiTheme="majorBidi" w:cstheme="majorBidi"/>
          <w:sz w:val="22"/>
          <w:szCs w:val="22"/>
          <w:vertAlign w:val="superscript"/>
          <w:lang w:bidi="ar-IQ"/>
        </w:rPr>
        <w:t>-1</w:t>
      </w:r>
      <w:r w:rsidRPr="00170B92">
        <w:rPr>
          <w:rFonts w:asciiTheme="majorBidi" w:hAnsiTheme="majorBidi" w:cstheme="majorBidi"/>
          <w:sz w:val="22"/>
          <w:szCs w:val="22"/>
          <w:lang w:bidi="ar-IQ"/>
        </w:rPr>
        <w:t>) and the greatest dry weight</w:t>
      </w:r>
      <w:r>
        <w:rPr>
          <w:rFonts w:asciiTheme="majorBidi" w:hAnsiTheme="majorBidi" w:cstheme="majorBidi"/>
          <w:sz w:val="22"/>
          <w:szCs w:val="22"/>
          <w:lang w:bidi="ar-IQ"/>
        </w:rPr>
        <w:t xml:space="preserve"> </w:t>
      </w:r>
      <w:r w:rsidRPr="00170B92">
        <w:rPr>
          <w:rFonts w:asciiTheme="majorBidi" w:hAnsiTheme="majorBidi" w:cstheme="majorBidi"/>
          <w:sz w:val="22"/>
          <w:szCs w:val="22"/>
          <w:lang w:bidi="ar-IQ"/>
        </w:rPr>
        <w:t>(0 .061g seedling</w:t>
      </w:r>
      <w:r w:rsidRPr="00170B92">
        <w:rPr>
          <w:rFonts w:asciiTheme="majorBidi" w:hAnsiTheme="majorBidi" w:cstheme="majorBidi"/>
          <w:sz w:val="22"/>
          <w:szCs w:val="22"/>
          <w:vertAlign w:val="superscript"/>
          <w:lang w:bidi="ar-IQ"/>
        </w:rPr>
        <w:t>-1</w:t>
      </w:r>
      <w:r w:rsidRPr="00170B92">
        <w:rPr>
          <w:rFonts w:asciiTheme="majorBidi" w:hAnsiTheme="majorBidi" w:cstheme="majorBidi"/>
          <w:sz w:val="22"/>
          <w:szCs w:val="22"/>
          <w:lang w:bidi="ar-IQ"/>
        </w:rPr>
        <w:t>), in comparison to the other treatments that were conducted in distilled water for 12 hours.</w:t>
      </w:r>
    </w:p>
    <w:p w:rsidR="00170B92" w:rsidRDefault="00170B92" w:rsidP="0080725F">
      <w:pPr>
        <w:bidi w:val="0"/>
        <w:jc w:val="center"/>
        <w:rPr>
          <w:rFonts w:asciiTheme="majorBidi" w:hAnsiTheme="majorBidi" w:cstheme="majorBidi"/>
          <w:b/>
          <w:bCs/>
          <w:sz w:val="22"/>
          <w:szCs w:val="22"/>
          <w:lang w:bidi="ar-IQ"/>
        </w:rPr>
      </w:pPr>
    </w:p>
    <w:p w:rsidR="00F631FB" w:rsidRPr="009F6317" w:rsidRDefault="008731D3" w:rsidP="00170B92">
      <w:pPr>
        <w:bidi w:val="0"/>
        <w:jc w:val="center"/>
        <w:rPr>
          <w:rFonts w:asciiTheme="majorBidi" w:hAnsiTheme="majorBidi" w:cstheme="majorBidi"/>
          <w:b/>
          <w:bCs/>
          <w:sz w:val="22"/>
          <w:szCs w:val="22"/>
          <w:rtl/>
          <w:lang w:bidi="ar-IQ"/>
        </w:rPr>
      </w:pPr>
      <w:r w:rsidRPr="009F6317">
        <w:rPr>
          <w:rFonts w:asciiTheme="majorBidi" w:hAnsiTheme="majorBidi" w:cstheme="majorBidi"/>
          <w:b/>
          <w:bCs/>
          <w:sz w:val="22"/>
          <w:szCs w:val="22"/>
          <w:lang w:bidi="ar-IQ"/>
        </w:rPr>
        <w:t xml:space="preserve">Table </w:t>
      </w:r>
      <w:r w:rsidR="00A23F7A" w:rsidRPr="009F6317">
        <w:rPr>
          <w:rFonts w:asciiTheme="majorBidi" w:hAnsiTheme="majorBidi" w:cstheme="majorBidi"/>
          <w:b/>
          <w:bCs/>
          <w:sz w:val="22"/>
          <w:szCs w:val="22"/>
          <w:lang w:bidi="ar-IQ"/>
        </w:rPr>
        <w:t>4</w:t>
      </w:r>
      <w:r w:rsidRPr="009F6317">
        <w:rPr>
          <w:rFonts w:asciiTheme="majorBidi" w:hAnsiTheme="majorBidi" w:cstheme="majorBidi"/>
          <w:b/>
          <w:bCs/>
          <w:sz w:val="22"/>
          <w:szCs w:val="22"/>
          <w:lang w:bidi="ar-IQ"/>
        </w:rPr>
        <w:t>: Effect of Gibberellin, Soaking Duration, and Their Interaction on Fresh and Dry Weight of Dragon Fruit Seedlings.</w:t>
      </w:r>
    </w:p>
    <w:tbl>
      <w:tblPr>
        <w:tblW w:w="5000" w:type="pct"/>
        <w:tblBorders>
          <w:top w:val="single" w:sz="4" w:space="0" w:color="auto"/>
          <w:bottom w:val="single" w:sz="4" w:space="0" w:color="auto"/>
          <w:insideH w:val="single" w:sz="4" w:space="0" w:color="auto"/>
        </w:tblBorders>
        <w:tblLook w:val="04A0"/>
      </w:tblPr>
      <w:tblGrid>
        <w:gridCol w:w="1038"/>
        <w:gridCol w:w="868"/>
        <w:gridCol w:w="868"/>
        <w:gridCol w:w="874"/>
        <w:gridCol w:w="854"/>
        <w:gridCol w:w="1193"/>
        <w:gridCol w:w="886"/>
        <w:gridCol w:w="1258"/>
        <w:gridCol w:w="683"/>
      </w:tblGrid>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p>
        </w:tc>
        <w:tc>
          <w:tcPr>
            <w:tcW w:w="2032" w:type="pct"/>
            <w:gridSpan w:val="4"/>
            <w:vAlign w:val="center"/>
          </w:tcPr>
          <w:p w:rsidR="00A56665" w:rsidRPr="009F6317" w:rsidRDefault="0063489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Seedling Fresh Weight (g)</w:t>
            </w:r>
          </w:p>
        </w:tc>
        <w:tc>
          <w:tcPr>
            <w:tcW w:w="2359" w:type="pct"/>
            <w:gridSpan w:val="4"/>
            <w:vAlign w:val="center"/>
          </w:tcPr>
          <w:p w:rsidR="00A56665" w:rsidRPr="009F6317" w:rsidRDefault="0063489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Seedling Dry Weight (g)</w:t>
            </w:r>
          </w:p>
        </w:tc>
      </w:tr>
      <w:tr w:rsidR="00A56665" w:rsidRPr="009F6317" w:rsidTr="00024ED6">
        <w:trPr>
          <w:trHeight w:val="227"/>
        </w:trPr>
        <w:tc>
          <w:tcPr>
            <w:tcW w:w="609" w:type="pct"/>
            <w:vMerge w:val="restar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p>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mg L</w:t>
            </w:r>
            <w:r w:rsidRPr="009F6317">
              <w:rPr>
                <w:rFonts w:asciiTheme="majorBidi" w:eastAsia="Times" w:hAnsiTheme="majorBidi" w:cstheme="majorBidi"/>
                <w:kern w:val="0"/>
                <w:sz w:val="20"/>
                <w:szCs w:val="20"/>
                <w:vertAlign w:val="superscript"/>
              </w:rPr>
              <w:t>-1</w:t>
            </w:r>
          </w:p>
        </w:tc>
        <w:tc>
          <w:tcPr>
            <w:tcW w:w="1531" w:type="pct"/>
            <w:gridSpan w:val="3"/>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Soaking Duration hours</w:t>
            </w:r>
          </w:p>
        </w:tc>
        <w:tc>
          <w:tcPr>
            <w:tcW w:w="501" w:type="pct"/>
            <w:vMerge w:val="restar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Aver.</w:t>
            </w:r>
          </w:p>
        </w:tc>
        <w:tc>
          <w:tcPr>
            <w:tcW w:w="1958" w:type="pct"/>
            <w:gridSpan w:val="3"/>
            <w:vAlign w:val="center"/>
          </w:tcPr>
          <w:p w:rsidR="00A56665" w:rsidRPr="009F6317" w:rsidRDefault="00A56665" w:rsidP="00024ED6">
            <w:pPr>
              <w:pBdr>
                <w:top w:val="nil"/>
                <w:left w:val="nil"/>
                <w:bottom w:val="nil"/>
                <w:right w:val="nil"/>
                <w:between w:val="nil"/>
              </w:pBdr>
              <w:spacing w:after="120" w:line="240" w:lineRule="auto"/>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Soaking Duration hours</w:t>
            </w:r>
          </w:p>
        </w:tc>
        <w:tc>
          <w:tcPr>
            <w:tcW w:w="401" w:type="pct"/>
            <w:vMerge w:val="restar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Aver.</w:t>
            </w:r>
          </w:p>
        </w:tc>
      </w:tr>
      <w:tr w:rsidR="00A56665" w:rsidRPr="009F6317" w:rsidTr="00024ED6">
        <w:trPr>
          <w:trHeight w:val="227"/>
        </w:trPr>
        <w:tc>
          <w:tcPr>
            <w:tcW w:w="609" w:type="pct"/>
            <w:vMerge/>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5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12</w:t>
            </w:r>
          </w:p>
        </w:tc>
        <w:tc>
          <w:tcPr>
            <w:tcW w:w="5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24</w:t>
            </w:r>
          </w:p>
        </w:tc>
        <w:tc>
          <w:tcPr>
            <w:tcW w:w="513"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36</w:t>
            </w:r>
          </w:p>
        </w:tc>
        <w:tc>
          <w:tcPr>
            <w:tcW w:w="501" w:type="pct"/>
            <w:vMerge/>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700"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12</w:t>
            </w:r>
          </w:p>
        </w:tc>
        <w:tc>
          <w:tcPr>
            <w:tcW w:w="520"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24</w:t>
            </w:r>
          </w:p>
        </w:tc>
        <w:tc>
          <w:tcPr>
            <w:tcW w:w="738"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36</w:t>
            </w:r>
          </w:p>
        </w:tc>
        <w:tc>
          <w:tcPr>
            <w:tcW w:w="401" w:type="pct"/>
            <w:vMerge/>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r>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0</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0.11</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0.16</w:t>
            </w:r>
          </w:p>
        </w:tc>
        <w:tc>
          <w:tcPr>
            <w:tcW w:w="513"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0.13</w:t>
            </w:r>
          </w:p>
        </w:tc>
        <w:tc>
          <w:tcPr>
            <w:tcW w:w="5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0.13</w:t>
            </w:r>
          </w:p>
        </w:tc>
        <w:tc>
          <w:tcPr>
            <w:tcW w:w="70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0.012</w:t>
            </w:r>
          </w:p>
        </w:tc>
        <w:tc>
          <w:tcPr>
            <w:tcW w:w="52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0.017</w:t>
            </w:r>
          </w:p>
        </w:tc>
        <w:tc>
          <w:tcPr>
            <w:tcW w:w="738"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0.014</w:t>
            </w:r>
          </w:p>
        </w:tc>
        <w:tc>
          <w:tcPr>
            <w:tcW w:w="4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0.014</w:t>
            </w:r>
          </w:p>
        </w:tc>
      </w:tr>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100</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0.23</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0.36</w:t>
            </w:r>
          </w:p>
        </w:tc>
        <w:tc>
          <w:tcPr>
            <w:tcW w:w="513"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0.31</w:t>
            </w:r>
          </w:p>
        </w:tc>
        <w:tc>
          <w:tcPr>
            <w:tcW w:w="5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0.30</w:t>
            </w:r>
          </w:p>
        </w:tc>
        <w:tc>
          <w:tcPr>
            <w:tcW w:w="70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0.024</w:t>
            </w:r>
          </w:p>
        </w:tc>
        <w:tc>
          <w:tcPr>
            <w:tcW w:w="52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0.037</w:t>
            </w:r>
          </w:p>
        </w:tc>
        <w:tc>
          <w:tcPr>
            <w:tcW w:w="738"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JO"/>
              </w:rPr>
            </w:pPr>
            <w:r w:rsidRPr="009F6317">
              <w:rPr>
                <w:rFonts w:asciiTheme="majorBidi" w:hAnsiTheme="majorBidi" w:cstheme="majorBidi"/>
                <w:sz w:val="20"/>
                <w:szCs w:val="20"/>
              </w:rPr>
              <w:t>0.032</w:t>
            </w:r>
          </w:p>
        </w:tc>
        <w:tc>
          <w:tcPr>
            <w:tcW w:w="4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0.031</w:t>
            </w:r>
          </w:p>
        </w:tc>
      </w:tr>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lang w:val="en-GB" w:bidi="ar-IQ"/>
              </w:rPr>
              <w:t>200</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0.45</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0.59</w:t>
            </w:r>
          </w:p>
        </w:tc>
        <w:tc>
          <w:tcPr>
            <w:tcW w:w="513"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0.52</w:t>
            </w:r>
          </w:p>
        </w:tc>
        <w:tc>
          <w:tcPr>
            <w:tcW w:w="5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hAnsiTheme="majorBidi" w:cstheme="majorBidi"/>
                <w:sz w:val="20"/>
                <w:szCs w:val="20"/>
              </w:rPr>
              <w:t>0.52</w:t>
            </w:r>
          </w:p>
        </w:tc>
        <w:tc>
          <w:tcPr>
            <w:tcW w:w="70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0.039</w:t>
            </w:r>
          </w:p>
        </w:tc>
        <w:tc>
          <w:tcPr>
            <w:tcW w:w="52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0.061</w:t>
            </w:r>
          </w:p>
        </w:tc>
        <w:tc>
          <w:tcPr>
            <w:tcW w:w="738"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rPr>
            </w:pPr>
            <w:r w:rsidRPr="009F6317">
              <w:rPr>
                <w:rFonts w:asciiTheme="majorBidi" w:hAnsiTheme="majorBidi" w:cstheme="majorBidi"/>
                <w:sz w:val="20"/>
                <w:szCs w:val="20"/>
              </w:rPr>
              <w:t>0.051</w:t>
            </w:r>
          </w:p>
        </w:tc>
        <w:tc>
          <w:tcPr>
            <w:tcW w:w="401" w:type="pct"/>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b/>
                <w:bCs/>
                <w:sz w:val="20"/>
                <w:szCs w:val="20"/>
                <w:rtl/>
                <w:lang w:bidi="ar-IQ"/>
              </w:rPr>
            </w:pPr>
            <w:r w:rsidRPr="009F6317">
              <w:rPr>
                <w:rFonts w:asciiTheme="majorBidi" w:eastAsia="Times" w:hAnsiTheme="majorBidi" w:cstheme="majorBidi"/>
                <w:sz w:val="20"/>
                <w:szCs w:val="20"/>
                <w:rtl/>
                <w:lang w:bidi="ar-IQ"/>
              </w:rPr>
              <w:t>0.050</w:t>
            </w:r>
          </w:p>
        </w:tc>
      </w:tr>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lastRenderedPageBreak/>
              <w:t>Aver.</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0.26</w:t>
            </w:r>
          </w:p>
        </w:tc>
        <w:tc>
          <w:tcPr>
            <w:tcW w:w="509"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0.37</w:t>
            </w:r>
          </w:p>
        </w:tc>
        <w:tc>
          <w:tcPr>
            <w:tcW w:w="513"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hAnsiTheme="majorBidi" w:cstheme="majorBidi"/>
                <w:sz w:val="20"/>
                <w:szCs w:val="20"/>
              </w:rPr>
              <w:t>0.32</w:t>
            </w:r>
          </w:p>
        </w:tc>
        <w:tc>
          <w:tcPr>
            <w:tcW w:w="501"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p>
        </w:tc>
        <w:tc>
          <w:tcPr>
            <w:tcW w:w="70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eastAsia="Times" w:hAnsiTheme="majorBidi" w:cstheme="majorBidi"/>
                <w:sz w:val="20"/>
                <w:szCs w:val="20"/>
                <w:rtl/>
                <w:lang w:bidi="ar-IQ"/>
              </w:rPr>
              <w:t>0.027</w:t>
            </w:r>
          </w:p>
        </w:tc>
        <w:tc>
          <w:tcPr>
            <w:tcW w:w="520"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eastAsia="Times" w:hAnsiTheme="majorBidi" w:cstheme="majorBidi"/>
                <w:sz w:val="20"/>
                <w:szCs w:val="20"/>
                <w:rtl/>
                <w:lang w:bidi="ar-IQ"/>
              </w:rPr>
              <w:t>0.038</w:t>
            </w:r>
          </w:p>
        </w:tc>
        <w:tc>
          <w:tcPr>
            <w:tcW w:w="738"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spacing w:after="120" w:line="240" w:lineRule="auto"/>
              <w:jc w:val="center"/>
              <w:rPr>
                <w:rFonts w:asciiTheme="majorBidi" w:eastAsia="Times" w:hAnsiTheme="majorBidi" w:cstheme="majorBidi"/>
                <w:sz w:val="20"/>
                <w:szCs w:val="20"/>
                <w:rtl/>
                <w:lang w:bidi="ar-IQ"/>
              </w:rPr>
            </w:pPr>
            <w:r w:rsidRPr="009F6317">
              <w:rPr>
                <w:rFonts w:asciiTheme="majorBidi" w:eastAsia="Times" w:hAnsiTheme="majorBidi" w:cstheme="majorBidi"/>
                <w:sz w:val="20"/>
                <w:szCs w:val="20"/>
                <w:rtl/>
                <w:lang w:bidi="ar-IQ"/>
              </w:rPr>
              <w:t>0.032</w:t>
            </w:r>
          </w:p>
        </w:tc>
        <w:tc>
          <w:tcPr>
            <w:tcW w:w="401" w:type="pct"/>
            <w:tcBorders>
              <w:top w:val="nil"/>
              <w:left w:val="nil"/>
              <w:bottom w:val="single" w:sz="4" w:space="0" w:color="auto"/>
              <w:right w:val="nil"/>
            </w:tcBorders>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color w:val="EE0000"/>
                <w:kern w:val="0"/>
                <w:sz w:val="20"/>
                <w:szCs w:val="20"/>
                <w:rtl/>
                <w:lang w:val="en-GB" w:bidi="ar-IQ"/>
              </w:rPr>
            </w:pPr>
          </w:p>
        </w:tc>
      </w:tr>
      <w:tr w:rsidR="00A56665" w:rsidRPr="009F6317" w:rsidTr="00024ED6">
        <w:trPr>
          <w:trHeight w:val="227"/>
        </w:trPr>
        <w:tc>
          <w:tcPr>
            <w:tcW w:w="609" w:type="pct"/>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 xml:space="preserve">L.S.D </w:t>
            </w:r>
            <w:r w:rsidRPr="009F6317">
              <w:rPr>
                <w:rFonts w:asciiTheme="majorBidi" w:eastAsia="Times" w:hAnsiTheme="majorBidi" w:cstheme="majorBidi"/>
                <w:i/>
                <w:iCs/>
                <w:kern w:val="0"/>
                <w:sz w:val="20"/>
                <w:szCs w:val="20"/>
              </w:rPr>
              <w:t>P≤</w:t>
            </w:r>
            <w:r w:rsidRPr="009F6317">
              <w:rPr>
                <w:rFonts w:asciiTheme="majorBidi" w:eastAsia="Times" w:hAnsiTheme="majorBidi" w:cstheme="majorBidi"/>
                <w:kern w:val="0"/>
                <w:sz w:val="20"/>
                <w:szCs w:val="20"/>
              </w:rPr>
              <w:t>0.05</w:t>
            </w:r>
          </w:p>
        </w:tc>
        <w:tc>
          <w:tcPr>
            <w:tcW w:w="2032" w:type="pct"/>
            <w:gridSpan w:val="4"/>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w:t>
            </w:r>
            <w:r w:rsidRPr="009F6317">
              <w:rPr>
                <w:rFonts w:asciiTheme="majorBidi" w:eastAsia="Times" w:hAnsiTheme="majorBidi" w:cstheme="majorBidi"/>
                <w:kern w:val="0"/>
                <w:sz w:val="20"/>
                <w:szCs w:val="20"/>
                <w:rtl/>
                <w:lang w:val="en-GB"/>
              </w:rPr>
              <w:t>0.07</w:t>
            </w:r>
            <w:r w:rsidRPr="009F6317">
              <w:rPr>
                <w:rFonts w:asciiTheme="majorBidi" w:eastAsia="Times" w:hAnsiTheme="majorBidi" w:cstheme="majorBidi"/>
                <w:kern w:val="0"/>
                <w:sz w:val="20"/>
                <w:szCs w:val="20"/>
              </w:rPr>
              <w:t>, S.D.=</w:t>
            </w:r>
            <w:r w:rsidRPr="009F6317">
              <w:rPr>
                <w:rFonts w:asciiTheme="majorBidi" w:eastAsia="Times" w:hAnsiTheme="majorBidi" w:cstheme="majorBidi"/>
                <w:kern w:val="0"/>
                <w:sz w:val="20"/>
                <w:szCs w:val="20"/>
                <w:rtl/>
                <w:lang w:val="en-GB"/>
              </w:rPr>
              <w:t>0.07</w:t>
            </w:r>
          </w:p>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Interaction=</w:t>
            </w:r>
            <w:r w:rsidRPr="009F6317">
              <w:rPr>
                <w:rFonts w:asciiTheme="majorBidi" w:eastAsia="Times" w:hAnsiTheme="majorBidi" w:cstheme="majorBidi"/>
                <w:kern w:val="0"/>
                <w:sz w:val="20"/>
                <w:szCs w:val="20"/>
                <w:rtl/>
                <w:lang w:val="en-GB"/>
              </w:rPr>
              <w:t>0.14</w:t>
            </w:r>
          </w:p>
        </w:tc>
        <w:tc>
          <w:tcPr>
            <w:tcW w:w="2359" w:type="pct"/>
            <w:gridSpan w:val="4"/>
            <w:vAlign w:val="center"/>
          </w:tcPr>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Pr>
            </w:pPr>
            <w:r w:rsidRPr="009F6317">
              <w:rPr>
                <w:rFonts w:asciiTheme="majorBidi" w:eastAsia="Times" w:hAnsiTheme="majorBidi" w:cstheme="majorBidi"/>
                <w:kern w:val="0"/>
                <w:sz w:val="20"/>
                <w:szCs w:val="20"/>
              </w:rPr>
              <w:t>GA3=0.001, S.D.=0.001</w:t>
            </w:r>
          </w:p>
          <w:p w:rsidR="00A56665" w:rsidRPr="009F6317" w:rsidRDefault="00A56665" w:rsidP="00024ED6">
            <w:pPr>
              <w:pBdr>
                <w:top w:val="nil"/>
                <w:left w:val="nil"/>
                <w:bottom w:val="nil"/>
                <w:right w:val="nil"/>
                <w:between w:val="nil"/>
              </w:pBdr>
              <w:bidi w:val="0"/>
              <w:spacing w:after="120" w:line="240" w:lineRule="auto"/>
              <w:jc w:val="center"/>
              <w:rPr>
                <w:rFonts w:asciiTheme="majorBidi" w:eastAsia="Times" w:hAnsiTheme="majorBidi" w:cstheme="majorBidi"/>
                <w:kern w:val="0"/>
                <w:sz w:val="20"/>
                <w:szCs w:val="20"/>
                <w:rtl/>
                <w:lang w:val="en-GB" w:bidi="ar-IQ"/>
              </w:rPr>
            </w:pPr>
            <w:r w:rsidRPr="009F6317">
              <w:rPr>
                <w:rFonts w:asciiTheme="majorBidi" w:eastAsia="Times" w:hAnsiTheme="majorBidi" w:cstheme="majorBidi"/>
                <w:kern w:val="0"/>
                <w:sz w:val="20"/>
                <w:szCs w:val="20"/>
              </w:rPr>
              <w:t>Interaction=0.002</w:t>
            </w:r>
          </w:p>
        </w:tc>
      </w:tr>
    </w:tbl>
    <w:p w:rsidR="00DD0805" w:rsidRDefault="00DD0805" w:rsidP="00170B92">
      <w:pPr>
        <w:bidi w:val="0"/>
        <w:spacing w:before="100" w:beforeAutospacing="1" w:after="100" w:afterAutospacing="1" w:line="240" w:lineRule="auto"/>
        <w:jc w:val="both"/>
        <w:rPr>
          <w:rFonts w:ascii="Times New Roman" w:eastAsia="Times New Roman" w:hAnsi="Times New Roman" w:cs="Times New Roman"/>
          <w:b/>
          <w:bCs/>
          <w:kern w:val="0"/>
        </w:rPr>
      </w:pPr>
      <w:r w:rsidRPr="009F6317">
        <w:rPr>
          <w:rFonts w:ascii="Times New Roman" w:eastAsia="Times New Roman" w:hAnsi="Times New Roman" w:cs="Times New Roman"/>
          <w:b/>
          <w:bCs/>
          <w:kern w:val="0"/>
        </w:rPr>
        <w:t>Discussion</w:t>
      </w:r>
    </w:p>
    <w:p w:rsidR="00024ED6" w:rsidRPr="00024ED6" w:rsidRDefault="00024ED6" w:rsidP="00024ED6">
      <w:pPr>
        <w:bidi w:val="0"/>
        <w:spacing w:before="100" w:beforeAutospacing="1" w:after="100" w:afterAutospacing="1" w:line="240" w:lineRule="auto"/>
        <w:jc w:val="both"/>
        <w:rPr>
          <w:rFonts w:ascii="Times New Roman" w:eastAsia="Times New Roman" w:hAnsi="Times New Roman" w:cs="Times New Roman"/>
          <w:kern w:val="0"/>
        </w:rPr>
      </w:pPr>
      <w:r w:rsidRPr="00024ED6">
        <w:rPr>
          <w:rFonts w:ascii="Times New Roman" w:eastAsia="Times New Roman" w:hAnsi="Times New Roman" w:cs="Times New Roman"/>
          <w:kern w:val="0"/>
        </w:rPr>
        <w:t>Results of the current study clearly showed that all the factors studied significantly affected the germination of dragon fruit (</w:t>
      </w:r>
      <w:proofErr w:type="spellStart"/>
      <w:r w:rsidRPr="00024ED6">
        <w:rPr>
          <w:rFonts w:ascii="Times New Roman" w:eastAsia="Times New Roman" w:hAnsi="Times New Roman" w:cs="Times New Roman"/>
          <w:i/>
          <w:iCs/>
          <w:kern w:val="0"/>
        </w:rPr>
        <w:t>Hylocereus</w:t>
      </w:r>
      <w:proofErr w:type="spellEnd"/>
      <w:r w:rsidRPr="00024ED6">
        <w:rPr>
          <w:rFonts w:ascii="Times New Roman" w:eastAsia="Times New Roman" w:hAnsi="Times New Roman" w:cs="Times New Roman"/>
          <w:kern w:val="0"/>
        </w:rPr>
        <w:t xml:space="preserve"> spp.) seeds. These factors were gibberellic acid (GA₃) concentration, soaking time, and their interaction. Tables (1-4) also show and confirm that both main effects and interaction effect between GA₃ concentration and soaking time significantly affect all germination indices as well as later seedling growth parameters; among all treatments applied on seeds before sowing,200 mg L⁻¹ GA₃ for 24 h always gave better results hence this can be considered optimal combination between hormonal stimulation and physiological hydration.</w:t>
      </w:r>
    </w:p>
    <w:p w:rsidR="00024ED6" w:rsidRPr="00024ED6" w:rsidRDefault="00024ED6" w:rsidP="00024ED6">
      <w:pPr>
        <w:bidi w:val="0"/>
        <w:spacing w:before="100" w:beforeAutospacing="1" w:after="100" w:afterAutospacing="1" w:line="240" w:lineRule="auto"/>
        <w:jc w:val="both"/>
        <w:rPr>
          <w:rFonts w:ascii="Times New Roman" w:eastAsia="Times New Roman" w:hAnsi="Times New Roman" w:cs="Times New Roman"/>
          <w:kern w:val="0"/>
        </w:rPr>
      </w:pPr>
      <w:r w:rsidRPr="00024ED6">
        <w:rPr>
          <w:rFonts w:ascii="Times New Roman" w:eastAsia="Times New Roman" w:hAnsi="Times New Roman" w:cs="Times New Roman"/>
          <w:kern w:val="0"/>
        </w:rPr>
        <w:t>The large increase in percentage and speed of germination with a reduction in mean germination time observed under GA₃ treatments could be explained by the primary physiological function of gibberellins</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involving breaking seed dormancy to initiate metabolic activities. Gibberellic acid is known to stimulate the aleurone layer for hydrolytic enzyme synthesis, mainly α-amylase</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which will catalyze stored starch and complex carbohydrates within the endosperm into soluble sugars that </w:t>
      </w:r>
      <w:r>
        <w:rPr>
          <w:rFonts w:ascii="Times New Roman" w:eastAsia="Times New Roman" w:hAnsi="Times New Roman" w:cs="Times New Roman"/>
          <w:kern w:val="0"/>
        </w:rPr>
        <w:t>are</w:t>
      </w:r>
      <w:r w:rsidRPr="00024ED6">
        <w:rPr>
          <w:rFonts w:ascii="Times New Roman" w:eastAsia="Times New Roman" w:hAnsi="Times New Roman" w:cs="Times New Roman"/>
          <w:kern w:val="0"/>
        </w:rPr>
        <w:t xml:space="preserve"> easily accessible for radicle protrusion as well as plumule elongation</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hence quick germination (Ali &amp; Hassan, 2020). A similar mode of action has been reported widely among horticultural and agronomic crop </w:t>
      </w:r>
      <w:proofErr w:type="gramStart"/>
      <w:r w:rsidRPr="00024ED6">
        <w:rPr>
          <w:rFonts w:ascii="Times New Roman" w:eastAsia="Times New Roman" w:hAnsi="Times New Roman" w:cs="Times New Roman"/>
          <w:kern w:val="0"/>
        </w:rPr>
        <w:t>species(</w:t>
      </w:r>
      <w:proofErr w:type="spellStart"/>
      <w:proofErr w:type="gramEnd"/>
      <w:r w:rsidRPr="00024ED6">
        <w:rPr>
          <w:rFonts w:ascii="Times New Roman" w:eastAsia="Times New Roman" w:hAnsi="Times New Roman" w:cs="Times New Roman"/>
          <w:kern w:val="0"/>
        </w:rPr>
        <w:t>Carrera-Castaño</w:t>
      </w:r>
      <w:proofErr w:type="spellEnd"/>
      <w:r w:rsidRPr="00024ED6">
        <w:rPr>
          <w:rFonts w:ascii="Times New Roman" w:eastAsia="Times New Roman" w:hAnsi="Times New Roman" w:cs="Times New Roman"/>
          <w:kern w:val="0"/>
        </w:rPr>
        <w:t xml:space="preserve"> et al., 2020; Shan et al., 2021).</w:t>
      </w:r>
    </w:p>
    <w:p w:rsidR="00024ED6" w:rsidRPr="00024ED6" w:rsidRDefault="00024ED6" w:rsidP="00024ED6">
      <w:pPr>
        <w:bidi w:val="0"/>
        <w:spacing w:before="100" w:beforeAutospacing="1" w:after="100" w:afterAutospacing="1" w:line="240" w:lineRule="auto"/>
        <w:jc w:val="both"/>
        <w:rPr>
          <w:rFonts w:ascii="Times New Roman" w:eastAsia="Times New Roman" w:hAnsi="Times New Roman" w:cs="Times New Roman"/>
          <w:kern w:val="0"/>
        </w:rPr>
      </w:pPr>
      <w:r w:rsidRPr="00024ED6">
        <w:rPr>
          <w:rFonts w:ascii="Times New Roman" w:eastAsia="Times New Roman" w:hAnsi="Times New Roman" w:cs="Times New Roman"/>
          <w:kern w:val="0"/>
        </w:rPr>
        <w:t>These results coincide with those of Abdel-Hamid and Mohamed (2014)</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who found that an exogenous application of GA₃ greatly improves germination and early seedling growth under conditions of stress. Similar responses to priming were also reported in barley and other crops, thus emphasizing the general regulatory role played by this hormone in seed physiology (</w:t>
      </w:r>
      <w:proofErr w:type="spellStart"/>
      <w:r w:rsidRPr="00024ED6">
        <w:rPr>
          <w:rFonts w:ascii="Times New Roman" w:eastAsia="Times New Roman" w:hAnsi="Times New Roman" w:cs="Times New Roman"/>
          <w:kern w:val="0"/>
        </w:rPr>
        <w:t>Amri</w:t>
      </w:r>
      <w:proofErr w:type="spellEnd"/>
      <w:r w:rsidRPr="00024ED6">
        <w:rPr>
          <w:rFonts w:ascii="Times New Roman" w:eastAsia="Times New Roman" w:hAnsi="Times New Roman" w:cs="Times New Roman"/>
          <w:kern w:val="0"/>
        </w:rPr>
        <w:t xml:space="preserve"> et al., 2016).</w:t>
      </w:r>
    </w:p>
    <w:p w:rsidR="00024ED6" w:rsidRPr="00024ED6" w:rsidRDefault="00024ED6" w:rsidP="00024ED6">
      <w:pPr>
        <w:bidi w:val="0"/>
        <w:spacing w:before="100" w:beforeAutospacing="1" w:after="100" w:afterAutospacing="1" w:line="240" w:lineRule="auto"/>
        <w:jc w:val="both"/>
        <w:rPr>
          <w:rFonts w:ascii="Times New Roman" w:eastAsia="Times New Roman" w:hAnsi="Times New Roman" w:cs="Times New Roman"/>
          <w:kern w:val="0"/>
        </w:rPr>
      </w:pPr>
      <w:r w:rsidRPr="00024ED6">
        <w:rPr>
          <w:rFonts w:ascii="Times New Roman" w:eastAsia="Times New Roman" w:hAnsi="Times New Roman" w:cs="Times New Roman"/>
          <w:kern w:val="0"/>
        </w:rPr>
        <w:t>The 24-hour soaking treatment proved most effective. This duration appears sufficient for the complete hydration of seeds and the efficient penetration of GA₃ into embryonic tissues to initiate enzymatic activation and metabolic reorganization. Probably,12 hours was not enough for the full activation of the embryo; thus, its performance in germination was low. However, at 36 hours</w:t>
      </w:r>
      <w:r>
        <w:rPr>
          <w:rFonts w:ascii="Times New Roman" w:eastAsia="Times New Roman" w:hAnsi="Times New Roman" w:cs="Times New Roman"/>
          <w:kern w:val="0"/>
        </w:rPr>
        <w:t xml:space="preserve"> of </w:t>
      </w:r>
      <w:r w:rsidRPr="00024ED6">
        <w:rPr>
          <w:rFonts w:ascii="Times New Roman" w:eastAsia="Times New Roman" w:hAnsi="Times New Roman" w:cs="Times New Roman"/>
          <w:kern w:val="0"/>
        </w:rPr>
        <w:t>soaking treatment</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a sharp decline in both germination and seedling vigor is recorded</w:t>
      </w:r>
      <w:r>
        <w:rPr>
          <w:rFonts w:ascii="Times New Roman" w:eastAsia="Times New Roman" w:hAnsi="Times New Roman" w:cs="Times New Roman"/>
          <w:kern w:val="0"/>
        </w:rPr>
        <w:t>, which</w:t>
      </w:r>
      <w:r w:rsidRPr="00024ED6">
        <w:rPr>
          <w:rFonts w:ascii="Times New Roman" w:eastAsia="Times New Roman" w:hAnsi="Times New Roman" w:cs="Times New Roman"/>
          <w:kern w:val="0"/>
        </w:rPr>
        <w:t xml:space="preserve"> can be explained based on long hours of soaking creat</w:t>
      </w:r>
      <w:r>
        <w:rPr>
          <w:rFonts w:ascii="Times New Roman" w:eastAsia="Times New Roman" w:hAnsi="Times New Roman" w:cs="Times New Roman"/>
          <w:kern w:val="0"/>
        </w:rPr>
        <w:t>ing</w:t>
      </w:r>
      <w:r w:rsidRPr="00024ED6">
        <w:rPr>
          <w:rFonts w:ascii="Times New Roman" w:eastAsia="Times New Roman" w:hAnsi="Times New Roman" w:cs="Times New Roman"/>
          <w:kern w:val="0"/>
        </w:rPr>
        <w:t xml:space="preserve"> hypoxic or anoxic condition</w:t>
      </w:r>
      <w:r>
        <w:rPr>
          <w:rFonts w:ascii="Times New Roman" w:eastAsia="Times New Roman" w:hAnsi="Times New Roman" w:cs="Times New Roman"/>
          <w:kern w:val="0"/>
        </w:rPr>
        <w:t>s</w:t>
      </w:r>
      <w:r w:rsidRPr="00024ED6">
        <w:rPr>
          <w:rFonts w:ascii="Times New Roman" w:eastAsia="Times New Roman" w:hAnsi="Times New Roman" w:cs="Times New Roman"/>
          <w:kern w:val="0"/>
        </w:rPr>
        <w:t xml:space="preserve"> around the embryo that hindered aerobic respiration​ </w:t>
      </w:r>
      <w:r>
        <w:rPr>
          <w:rFonts w:ascii="Times New Roman" w:eastAsia="Times New Roman" w:hAnsi="Times New Roman" w:cs="Times New Roman"/>
          <w:kern w:val="0"/>
        </w:rPr>
        <w:t xml:space="preserve">, </w:t>
      </w:r>
      <w:r w:rsidRPr="00024ED6">
        <w:rPr>
          <w:rFonts w:ascii="Times New Roman" w:eastAsia="Times New Roman" w:hAnsi="Times New Roman" w:cs="Times New Roman"/>
          <w:kern w:val="0"/>
        </w:rPr>
        <w:t xml:space="preserve">leading </w:t>
      </w:r>
      <w:r>
        <w:rPr>
          <w:rFonts w:ascii="Times New Roman" w:eastAsia="Times New Roman" w:hAnsi="Times New Roman" w:cs="Times New Roman"/>
          <w:kern w:val="0"/>
        </w:rPr>
        <w:t xml:space="preserve">to low </w:t>
      </w:r>
      <w:r w:rsidRPr="00024ED6">
        <w:rPr>
          <w:rFonts w:ascii="Times New Roman" w:eastAsia="Times New Roman" w:hAnsi="Times New Roman" w:cs="Times New Roman"/>
          <w:kern w:val="0"/>
        </w:rPr>
        <w:t>ATP synthesis</w:t>
      </w:r>
      <w:r>
        <w:rPr>
          <w:rFonts w:ascii="Times New Roman" w:eastAsia="Times New Roman" w:hAnsi="Times New Roman" w:cs="Times New Roman"/>
          <w:kern w:val="0"/>
        </w:rPr>
        <w:t>, and</w:t>
      </w:r>
      <w:r w:rsidRPr="00024ED6">
        <w:rPr>
          <w:rFonts w:ascii="Times New Roman" w:eastAsia="Times New Roman" w:hAnsi="Times New Roman" w:cs="Times New Roman"/>
          <w:kern w:val="0"/>
        </w:rPr>
        <w:t xml:space="preserve"> eventually cell injury</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as well as membrane destabilization takes place​. This explanation tallies with their </w:t>
      </w:r>
      <w:proofErr w:type="gramStart"/>
      <w:r w:rsidRPr="00024ED6">
        <w:rPr>
          <w:rFonts w:ascii="Times New Roman" w:eastAsia="Times New Roman" w:hAnsi="Times New Roman" w:cs="Times New Roman"/>
          <w:kern w:val="0"/>
        </w:rPr>
        <w:t>conclusion(</w:t>
      </w:r>
      <w:proofErr w:type="gramEnd"/>
      <w:r w:rsidRPr="00024ED6">
        <w:rPr>
          <w:rFonts w:ascii="Times New Roman" w:eastAsia="Times New Roman" w:hAnsi="Times New Roman" w:cs="Times New Roman"/>
          <w:kern w:val="0"/>
        </w:rPr>
        <w:t>Matsushima &amp; Sakagami,2013)</w:t>
      </w:r>
      <w:r>
        <w:rPr>
          <w:rFonts w:ascii="Times New Roman" w:eastAsia="Times New Roman" w:hAnsi="Times New Roman" w:cs="Times New Roman"/>
          <w:kern w:val="0"/>
        </w:rPr>
        <w:t xml:space="preserve">, </w:t>
      </w:r>
      <w:r w:rsidRPr="00024ED6">
        <w:rPr>
          <w:rFonts w:ascii="Times New Roman" w:eastAsia="Times New Roman" w:hAnsi="Times New Roman" w:cs="Times New Roman"/>
          <w:kern w:val="0"/>
        </w:rPr>
        <w:t xml:space="preserve">who emphasized </w:t>
      </w:r>
      <w:r>
        <w:rPr>
          <w:rFonts w:ascii="Times New Roman" w:eastAsia="Times New Roman" w:hAnsi="Times New Roman" w:cs="Times New Roman"/>
          <w:kern w:val="0"/>
        </w:rPr>
        <w:t>the</w:t>
      </w:r>
      <w:r w:rsidRPr="00024ED6">
        <w:rPr>
          <w:rFonts w:ascii="Times New Roman" w:eastAsia="Times New Roman" w:hAnsi="Times New Roman" w:cs="Times New Roman"/>
          <w:kern w:val="0"/>
        </w:rPr>
        <w:t xml:space="preserve"> negative physiological effect due to over</w:t>
      </w:r>
      <w:r>
        <w:rPr>
          <w:rFonts w:ascii="Times New Roman" w:eastAsia="Times New Roman" w:hAnsi="Times New Roman" w:cs="Times New Roman"/>
          <w:kern w:val="0"/>
        </w:rPr>
        <w:t>-</w:t>
      </w:r>
      <w:r w:rsidRPr="00024ED6">
        <w:rPr>
          <w:rFonts w:ascii="Times New Roman" w:eastAsia="Times New Roman" w:hAnsi="Times New Roman" w:cs="Times New Roman"/>
          <w:kern w:val="0"/>
        </w:rPr>
        <w:t>soaking rice seeds.</w:t>
      </w:r>
    </w:p>
    <w:p w:rsidR="00024ED6" w:rsidRPr="00024ED6" w:rsidRDefault="00024ED6" w:rsidP="00024ED6">
      <w:pPr>
        <w:bidi w:val="0"/>
        <w:spacing w:before="100" w:beforeAutospacing="1" w:after="100" w:afterAutospacing="1" w:line="240" w:lineRule="auto"/>
        <w:jc w:val="both"/>
        <w:rPr>
          <w:rFonts w:ascii="Times New Roman" w:eastAsia="Times New Roman" w:hAnsi="Times New Roman" w:cs="Times New Roman"/>
          <w:kern w:val="0"/>
        </w:rPr>
      </w:pPr>
      <w:r w:rsidRPr="00024ED6">
        <w:rPr>
          <w:rFonts w:ascii="Times New Roman" w:eastAsia="Times New Roman" w:hAnsi="Times New Roman" w:cs="Times New Roman"/>
          <w:kern w:val="0"/>
        </w:rPr>
        <w:t>The effects of GA₃ on vegetative growth, especially seedling height and root length</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together with fresh and dry weight</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are discussed. Gibberellins mainly promote cell elongation by making the walls loosen more easily during extension growth</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besides stimulating both division and elongation of cells at meristematic regions (Sarkar et al., 2002). Therefore, seedlings from seeds treated with GA₃ grew more vigorously due to </w:t>
      </w:r>
      <w:r w:rsidRPr="00024ED6">
        <w:rPr>
          <w:rFonts w:ascii="Times New Roman" w:eastAsia="Times New Roman" w:hAnsi="Times New Roman" w:cs="Times New Roman"/>
          <w:kern w:val="0"/>
        </w:rPr>
        <w:lastRenderedPageBreak/>
        <w:t>enhanced hormonal regulation as well as an advantage acquired through quick establishment because of faster germination. This is in agreement with the findings reported by Ibrahim (2019</w:t>
      </w:r>
      <w:proofErr w:type="gramStart"/>
      <w:r w:rsidRPr="00024ED6">
        <w:rPr>
          <w:rFonts w:ascii="Times New Roman" w:eastAsia="Times New Roman" w:hAnsi="Times New Roman" w:cs="Times New Roman"/>
          <w:kern w:val="0"/>
        </w:rPr>
        <w:t>)and</w:t>
      </w:r>
      <w:proofErr w:type="gramEnd"/>
      <w:r w:rsidRPr="00024ED6">
        <w:rPr>
          <w:rFonts w:ascii="Times New Roman" w:eastAsia="Times New Roman" w:hAnsi="Times New Roman" w:cs="Times New Roman"/>
          <w:kern w:val="0"/>
        </w:rPr>
        <w:t xml:space="preserve"> Lian et al.(2021).</w:t>
      </w:r>
    </w:p>
    <w:p w:rsidR="00024ED6" w:rsidRPr="00024ED6" w:rsidRDefault="00024ED6" w:rsidP="00024ED6">
      <w:pPr>
        <w:bidi w:val="0"/>
        <w:spacing w:before="100" w:beforeAutospacing="1" w:after="100" w:afterAutospacing="1" w:line="240" w:lineRule="auto"/>
        <w:jc w:val="both"/>
        <w:rPr>
          <w:rFonts w:ascii="Times New Roman" w:eastAsia="Times New Roman" w:hAnsi="Times New Roman" w:cs="Times New Roman"/>
          <w:kern w:val="0"/>
        </w:rPr>
      </w:pPr>
      <w:r w:rsidRPr="00024ED6">
        <w:rPr>
          <w:rFonts w:ascii="Times New Roman" w:eastAsia="Times New Roman" w:hAnsi="Times New Roman" w:cs="Times New Roman"/>
          <w:kern w:val="0"/>
        </w:rPr>
        <w:t>Dry weight is regarded as one of the best parameters for actual plant growth. Dry weight was significantly high</w:t>
      </w:r>
      <w:r>
        <w:rPr>
          <w:rFonts w:ascii="Times New Roman" w:eastAsia="Times New Roman" w:hAnsi="Times New Roman" w:cs="Times New Roman"/>
          <w:kern w:val="0"/>
        </w:rPr>
        <w:t>er</w:t>
      </w:r>
      <w:r w:rsidRPr="00024ED6">
        <w:rPr>
          <w:rFonts w:ascii="Times New Roman" w:eastAsia="Times New Roman" w:hAnsi="Times New Roman" w:cs="Times New Roman"/>
          <w:kern w:val="0"/>
        </w:rPr>
        <w:t xml:space="preserve"> in seedlings from GA₃-treated seeds. Increased dry matter indicates increased photosynthetic efficiency</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improving nutrient assimilation and overall biomass accumulation. This, therefore, emphasizes maximizing pre-germination treatments that will eventually result in strong seedlings at an initial</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later developmental stage of vigorous growth. Similar results have been reported from seed priming and hormonal treatment studies in horticultural crops (Hussain et al., 2019; </w:t>
      </w:r>
      <w:proofErr w:type="spellStart"/>
      <w:r w:rsidRPr="00024ED6">
        <w:rPr>
          <w:rFonts w:ascii="Times New Roman" w:eastAsia="Times New Roman" w:hAnsi="Times New Roman" w:cs="Times New Roman"/>
          <w:kern w:val="0"/>
        </w:rPr>
        <w:t>Wakchaure</w:t>
      </w:r>
      <w:proofErr w:type="spellEnd"/>
      <w:r w:rsidRPr="00024ED6">
        <w:rPr>
          <w:rFonts w:ascii="Times New Roman" w:eastAsia="Times New Roman" w:hAnsi="Times New Roman" w:cs="Times New Roman"/>
          <w:kern w:val="0"/>
        </w:rPr>
        <w:t xml:space="preserve"> et al., 2023).</w:t>
      </w:r>
    </w:p>
    <w:p w:rsidR="00024ED6" w:rsidRPr="00024ED6" w:rsidRDefault="00024ED6" w:rsidP="00024ED6">
      <w:pPr>
        <w:bidi w:val="0"/>
        <w:spacing w:before="100" w:beforeAutospacing="1" w:after="100" w:afterAutospacing="1" w:line="240" w:lineRule="auto"/>
        <w:jc w:val="both"/>
        <w:rPr>
          <w:rFonts w:ascii="Times New Roman" w:eastAsia="Times New Roman" w:hAnsi="Times New Roman" w:cs="Times New Roman"/>
          <w:kern w:val="0"/>
        </w:rPr>
      </w:pPr>
      <w:r w:rsidRPr="00024ED6">
        <w:rPr>
          <w:rFonts w:ascii="Times New Roman" w:eastAsia="Times New Roman" w:hAnsi="Times New Roman" w:cs="Times New Roman"/>
          <w:kern w:val="0"/>
        </w:rPr>
        <w:t>Practically, the most important aspect of dragon fruit propagation is to obtain healthy and vigorous uniform seedlings through optimum germination and early seedling growth. This supports earlier findings on the importance of good</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quality seeds exhibiting high values in parameters associated with early growth performance in </w:t>
      </w:r>
      <w:proofErr w:type="spellStart"/>
      <w:r w:rsidRPr="00024ED6">
        <w:rPr>
          <w:rFonts w:ascii="Times New Roman" w:eastAsia="Times New Roman" w:hAnsi="Times New Roman" w:cs="Times New Roman"/>
          <w:kern w:val="0"/>
        </w:rPr>
        <w:t>Hylocereus</w:t>
      </w:r>
      <w:proofErr w:type="spellEnd"/>
      <w:r w:rsidRPr="00024ED6">
        <w:rPr>
          <w:rFonts w:ascii="Times New Roman" w:eastAsia="Times New Roman" w:hAnsi="Times New Roman" w:cs="Times New Roman"/>
          <w:kern w:val="0"/>
        </w:rPr>
        <w:t xml:space="preserve"> spp. </w:t>
      </w:r>
      <w:r>
        <w:rPr>
          <w:rFonts w:ascii="Times New Roman" w:eastAsia="Times New Roman" w:hAnsi="Times New Roman" w:cs="Times New Roman"/>
          <w:kern w:val="0"/>
        </w:rPr>
        <w:t>C</w:t>
      </w:r>
      <w:r w:rsidRPr="00024ED6">
        <w:rPr>
          <w:rFonts w:ascii="Times New Roman" w:eastAsia="Times New Roman" w:hAnsi="Times New Roman" w:cs="Times New Roman"/>
          <w:kern w:val="0"/>
        </w:rPr>
        <w:t xml:space="preserve">ultivation (Ortiz-Hernandez &amp; Carrillo-Salazar, 2012). More recently, literature available emphasizes that priming agents used together with regulators initiate effects </w:t>
      </w:r>
      <w:r>
        <w:rPr>
          <w:rFonts w:ascii="Times New Roman" w:eastAsia="Times New Roman" w:hAnsi="Times New Roman" w:cs="Times New Roman"/>
          <w:kern w:val="0"/>
        </w:rPr>
        <w:t xml:space="preserve">that </w:t>
      </w:r>
      <w:r w:rsidRPr="00024ED6">
        <w:rPr>
          <w:rFonts w:ascii="Times New Roman" w:eastAsia="Times New Roman" w:hAnsi="Times New Roman" w:cs="Times New Roman"/>
          <w:kern w:val="0"/>
        </w:rPr>
        <w:t>enhance stress tolerance</w:t>
      </w:r>
      <w:r>
        <w:rPr>
          <w:rFonts w:ascii="Times New Roman" w:eastAsia="Times New Roman" w:hAnsi="Times New Roman" w:cs="Times New Roman"/>
          <w:kern w:val="0"/>
        </w:rPr>
        <w:t>,</w:t>
      </w:r>
      <w:r w:rsidRPr="00024ED6">
        <w:rPr>
          <w:rFonts w:ascii="Times New Roman" w:eastAsia="Times New Roman" w:hAnsi="Times New Roman" w:cs="Times New Roman"/>
          <w:kern w:val="0"/>
        </w:rPr>
        <w:t xml:space="preserve"> thus giving emphasis on resilience manifested by seedlings under arid as well as semi-arid conditions (</w:t>
      </w:r>
      <w:proofErr w:type="spellStart"/>
      <w:r w:rsidRPr="00024ED6">
        <w:rPr>
          <w:rFonts w:ascii="Times New Roman" w:eastAsia="Times New Roman" w:hAnsi="Times New Roman" w:cs="Times New Roman"/>
          <w:kern w:val="0"/>
        </w:rPr>
        <w:t>Bargaz</w:t>
      </w:r>
      <w:proofErr w:type="spellEnd"/>
      <w:r w:rsidRPr="00024ED6">
        <w:rPr>
          <w:rFonts w:ascii="Times New Roman" w:eastAsia="Times New Roman" w:hAnsi="Times New Roman" w:cs="Times New Roman"/>
          <w:kern w:val="0"/>
        </w:rPr>
        <w:t xml:space="preserve"> et al., 2018; </w:t>
      </w:r>
      <w:proofErr w:type="spellStart"/>
      <w:r w:rsidRPr="00024ED6">
        <w:rPr>
          <w:rFonts w:ascii="Times New Roman" w:eastAsia="Times New Roman" w:hAnsi="Times New Roman" w:cs="Times New Roman"/>
          <w:kern w:val="0"/>
        </w:rPr>
        <w:t>Wakchaure</w:t>
      </w:r>
      <w:proofErr w:type="spellEnd"/>
      <w:r w:rsidRPr="00024ED6">
        <w:rPr>
          <w:rFonts w:ascii="Times New Roman" w:eastAsia="Times New Roman" w:hAnsi="Times New Roman" w:cs="Times New Roman"/>
          <w:kern w:val="0"/>
        </w:rPr>
        <w:t xml:space="preserve"> et al., 2023).</w:t>
      </w:r>
    </w:p>
    <w:p w:rsidR="00024ED6" w:rsidRPr="00024ED6" w:rsidRDefault="00024ED6" w:rsidP="00024ED6">
      <w:pPr>
        <w:bidi w:val="0"/>
        <w:spacing w:before="100" w:beforeAutospacing="1" w:after="100" w:afterAutospacing="1" w:line="240" w:lineRule="auto"/>
        <w:jc w:val="both"/>
        <w:rPr>
          <w:rFonts w:ascii="Times New Roman" w:eastAsia="Times New Roman" w:hAnsi="Times New Roman" w:cs="Times New Roman"/>
          <w:kern w:val="0"/>
        </w:rPr>
      </w:pPr>
    </w:p>
    <w:p w:rsidR="0029226A" w:rsidRPr="0029226A" w:rsidRDefault="00024ED6" w:rsidP="00024ED6">
      <w:pPr>
        <w:bidi w:val="0"/>
        <w:spacing w:before="100" w:beforeAutospacing="1" w:after="100" w:afterAutospacing="1" w:line="240" w:lineRule="auto"/>
        <w:jc w:val="both"/>
        <w:rPr>
          <w:rFonts w:ascii="Times New Roman" w:eastAsia="Times New Roman" w:hAnsi="Times New Roman" w:cs="Times New Roman"/>
          <w:kern w:val="0"/>
        </w:rPr>
      </w:pPr>
      <w:r w:rsidRPr="00024ED6">
        <w:rPr>
          <w:rFonts w:ascii="Times New Roman" w:eastAsia="Times New Roman" w:hAnsi="Times New Roman" w:cs="Times New Roman"/>
          <w:kern w:val="0"/>
        </w:rPr>
        <w:t>The present study concludes that a combined application of 200 mg L⁻¹ GA₃ with a soaking duration of twenty-four hours is an extremely potent pre-germination treatment for dragon fruit seeds. This can be translated into enhanced germination efficiency, seedling vigor, and early biomass accumulation. Results achieved add to the ever-increasing bank of information on hormonal seed priming and offer pragmatic low-cost intervention strategies aimed at improving propagation in dragon fruit.</w:t>
      </w:r>
    </w:p>
    <w:p w:rsidR="00B37FFA" w:rsidRDefault="00B37FFA" w:rsidP="00B37FFA">
      <w:pPr>
        <w:bidi w:val="0"/>
        <w:spacing w:before="100" w:beforeAutospacing="1" w:after="100" w:afterAutospacing="1" w:line="240" w:lineRule="auto"/>
        <w:rPr>
          <w:rFonts w:ascii="Times New Roman" w:eastAsia="Times New Roman" w:hAnsi="Times New Roman" w:cs="Times New Roman"/>
          <w:b/>
          <w:bCs/>
          <w:kern w:val="0"/>
        </w:rPr>
      </w:pPr>
      <w:r w:rsidRPr="009F6317">
        <w:rPr>
          <w:rFonts w:ascii="Times New Roman" w:eastAsia="Times New Roman" w:hAnsi="Times New Roman" w:cs="Times New Roman"/>
          <w:b/>
          <w:bCs/>
          <w:kern w:val="0"/>
        </w:rPr>
        <w:t>C</w:t>
      </w:r>
      <w:r w:rsidR="00B82B50" w:rsidRPr="009F6317">
        <w:rPr>
          <w:rFonts w:ascii="Times New Roman" w:eastAsia="Times New Roman" w:hAnsi="Times New Roman" w:cs="Times New Roman"/>
          <w:b/>
          <w:bCs/>
          <w:kern w:val="0"/>
        </w:rPr>
        <w:t>onclusions:</w:t>
      </w:r>
    </w:p>
    <w:p w:rsidR="0029226A" w:rsidRPr="0029226A" w:rsidRDefault="0029226A" w:rsidP="0029226A">
      <w:pPr>
        <w:bidi w:val="0"/>
        <w:spacing w:before="100" w:beforeAutospacing="1" w:after="100" w:afterAutospacing="1" w:line="240" w:lineRule="auto"/>
        <w:jc w:val="both"/>
        <w:rPr>
          <w:rFonts w:ascii="Times New Roman" w:eastAsia="Times New Roman" w:hAnsi="Times New Roman" w:cs="Times New Roman"/>
          <w:kern w:val="0"/>
        </w:rPr>
      </w:pPr>
      <w:r w:rsidRPr="0029226A">
        <w:rPr>
          <w:rFonts w:ascii="Times New Roman" w:eastAsia="Times New Roman" w:hAnsi="Times New Roman" w:cs="Times New Roman"/>
          <w:kern w:val="0"/>
        </w:rPr>
        <w:t>Gibberellin effectiveness: highly effective in releasing dragon fruit seed dormancy</w:t>
      </w:r>
      <w:r>
        <w:rPr>
          <w:rFonts w:ascii="Times New Roman" w:eastAsia="Times New Roman" w:hAnsi="Times New Roman" w:cs="Times New Roman"/>
          <w:kern w:val="0"/>
        </w:rPr>
        <w:t>,</w:t>
      </w:r>
      <w:r w:rsidRPr="0029226A">
        <w:rPr>
          <w:rFonts w:ascii="Times New Roman" w:eastAsia="Times New Roman" w:hAnsi="Times New Roman" w:cs="Times New Roman"/>
          <w:kern w:val="0"/>
        </w:rPr>
        <w:t xml:space="preserve"> which was treated with 200 mg gibberellic acid per liter</w:t>
      </w:r>
      <w:r>
        <w:rPr>
          <w:rFonts w:ascii="Times New Roman" w:eastAsia="Times New Roman" w:hAnsi="Times New Roman" w:cs="Times New Roman"/>
          <w:kern w:val="0"/>
        </w:rPr>
        <w:t xml:space="preserve">; </w:t>
      </w:r>
      <w:r w:rsidRPr="0029226A">
        <w:rPr>
          <w:rFonts w:ascii="Times New Roman" w:eastAsia="Times New Roman" w:hAnsi="Times New Roman" w:cs="Times New Roman"/>
          <w:kern w:val="0"/>
        </w:rPr>
        <w:t>this led to a significant increase in all the germination parameters.</w:t>
      </w:r>
    </w:p>
    <w:p w:rsidR="0029226A" w:rsidRPr="0029226A" w:rsidRDefault="0029226A" w:rsidP="0029226A">
      <w:pPr>
        <w:bidi w:val="0"/>
        <w:spacing w:before="100" w:beforeAutospacing="1" w:after="100" w:afterAutospacing="1" w:line="240" w:lineRule="auto"/>
        <w:jc w:val="both"/>
        <w:rPr>
          <w:rFonts w:ascii="Times New Roman" w:eastAsia="Times New Roman" w:hAnsi="Times New Roman" w:cs="Times New Roman"/>
          <w:kern w:val="0"/>
        </w:rPr>
      </w:pPr>
      <w:r w:rsidRPr="0029226A">
        <w:rPr>
          <w:rFonts w:ascii="Times New Roman" w:eastAsia="Times New Roman" w:hAnsi="Times New Roman" w:cs="Times New Roman"/>
          <w:kern w:val="0"/>
        </w:rPr>
        <w:t>Significance of the soaking period: results showed that twenty-four hours is the most effective duration. Either deviating from the period in question- reducing it to twelve hours (hydration is insufficient) or increasing it to thirty-six hours (over hydration)-the performance of the seed decreased.</w:t>
      </w:r>
    </w:p>
    <w:p w:rsidR="0029226A" w:rsidRPr="0029226A" w:rsidRDefault="0029226A" w:rsidP="0029226A">
      <w:pPr>
        <w:bidi w:val="0"/>
        <w:spacing w:before="100" w:beforeAutospacing="1" w:after="100" w:afterAutospacing="1" w:line="240" w:lineRule="auto"/>
        <w:jc w:val="both"/>
        <w:rPr>
          <w:rFonts w:ascii="Times New Roman" w:eastAsia="Times New Roman" w:hAnsi="Times New Roman" w:cs="Times New Roman"/>
          <w:kern w:val="0"/>
        </w:rPr>
      </w:pPr>
      <w:r w:rsidRPr="0029226A">
        <w:rPr>
          <w:rFonts w:ascii="Times New Roman" w:eastAsia="Times New Roman" w:hAnsi="Times New Roman" w:cs="Times New Roman"/>
          <w:kern w:val="0"/>
        </w:rPr>
        <w:t>Interactive Effect: The effects were not simply additive but significantly interactive. Soaking the seeds in a solution of 200 mi</w:t>
      </w:r>
      <w:r>
        <w:rPr>
          <w:rFonts w:ascii="Times New Roman" w:eastAsia="Times New Roman" w:hAnsi="Times New Roman" w:cs="Times New Roman"/>
          <w:kern w:val="0"/>
        </w:rPr>
        <w:t>l</w:t>
      </w:r>
      <w:r w:rsidRPr="0029226A">
        <w:rPr>
          <w:rFonts w:ascii="Times New Roman" w:eastAsia="Times New Roman" w:hAnsi="Times New Roman" w:cs="Times New Roman"/>
          <w:kern w:val="0"/>
        </w:rPr>
        <w:t>ligrams L⁻¹ GA₃ for 24 hours recorded the highest effect on all the traits evaluated.</w:t>
      </w:r>
    </w:p>
    <w:p w:rsidR="00F0461C" w:rsidRPr="00F0461C" w:rsidRDefault="00F0461C" w:rsidP="00F0461C">
      <w:pPr>
        <w:bidi w:val="0"/>
        <w:spacing w:before="100" w:beforeAutospacing="1" w:after="100" w:afterAutospacing="1" w:line="240" w:lineRule="auto"/>
        <w:rPr>
          <w:rFonts w:ascii="Times New Roman" w:eastAsia="Times New Roman" w:hAnsi="Times New Roman" w:cs="Times New Roman"/>
          <w:b/>
          <w:bCs/>
          <w:kern w:val="0"/>
        </w:rPr>
      </w:pPr>
      <w:r w:rsidRPr="00F0461C">
        <w:rPr>
          <w:rFonts w:ascii="Times New Roman" w:eastAsia="Times New Roman" w:hAnsi="Times New Roman" w:cs="Times New Roman"/>
          <w:b/>
          <w:bCs/>
          <w:kern w:val="0"/>
        </w:rPr>
        <w:t>Disclaimer (Artificial intelligence)</w:t>
      </w:r>
    </w:p>
    <w:p w:rsidR="00F0461C" w:rsidRPr="00F0461C" w:rsidRDefault="00F0461C" w:rsidP="00F0461C">
      <w:pPr>
        <w:bidi w:val="0"/>
        <w:spacing w:before="100" w:beforeAutospacing="1" w:after="100" w:afterAutospacing="1" w:line="240" w:lineRule="auto"/>
        <w:rPr>
          <w:rFonts w:ascii="Times New Roman" w:eastAsia="Times New Roman" w:hAnsi="Times New Roman" w:cs="Times New Roman"/>
          <w:bCs/>
          <w:kern w:val="0"/>
        </w:rPr>
      </w:pPr>
      <w:r w:rsidRPr="00F0461C">
        <w:rPr>
          <w:rFonts w:ascii="Times New Roman" w:eastAsia="Times New Roman" w:hAnsi="Times New Roman" w:cs="Times New Roman"/>
          <w:bCs/>
          <w:kern w:val="0"/>
        </w:rPr>
        <w:t xml:space="preserve">Option 1: </w:t>
      </w:r>
    </w:p>
    <w:p w:rsidR="00F0461C" w:rsidRPr="00F0461C" w:rsidRDefault="00F0461C" w:rsidP="00F0461C">
      <w:pPr>
        <w:bidi w:val="0"/>
        <w:spacing w:before="100" w:beforeAutospacing="1" w:after="100" w:afterAutospacing="1" w:line="240" w:lineRule="auto"/>
        <w:rPr>
          <w:rFonts w:ascii="Times New Roman" w:eastAsia="Times New Roman" w:hAnsi="Times New Roman" w:cs="Times New Roman"/>
          <w:bCs/>
          <w:kern w:val="0"/>
        </w:rPr>
      </w:pPr>
      <w:r w:rsidRPr="00F0461C">
        <w:rPr>
          <w:rFonts w:ascii="Times New Roman" w:eastAsia="Times New Roman" w:hAnsi="Times New Roman" w:cs="Times New Roman"/>
          <w:bCs/>
          <w:kern w:val="0"/>
        </w:rPr>
        <w:lastRenderedPageBreak/>
        <w:t>Author(s) hereby declare that NO generative AI technologies such as Large Language Models (</w:t>
      </w:r>
      <w:proofErr w:type="spellStart"/>
      <w:r w:rsidRPr="00F0461C">
        <w:rPr>
          <w:rFonts w:ascii="Times New Roman" w:eastAsia="Times New Roman" w:hAnsi="Times New Roman" w:cs="Times New Roman"/>
          <w:bCs/>
          <w:kern w:val="0"/>
        </w:rPr>
        <w:t>ChatGPT</w:t>
      </w:r>
      <w:proofErr w:type="spellEnd"/>
      <w:r w:rsidRPr="00F0461C">
        <w:rPr>
          <w:rFonts w:ascii="Times New Roman" w:eastAsia="Times New Roman" w:hAnsi="Times New Roman" w:cs="Times New Roman"/>
          <w:bCs/>
          <w:kern w:val="0"/>
        </w:rPr>
        <w:t xml:space="preserve">, COPILOT, etc.) and text-to-image generators have been used during the writing or editing of this manuscript. </w:t>
      </w:r>
    </w:p>
    <w:p w:rsidR="00F0461C" w:rsidRPr="00F0461C" w:rsidRDefault="00F0461C" w:rsidP="00F0461C">
      <w:pPr>
        <w:bidi w:val="0"/>
        <w:spacing w:before="100" w:beforeAutospacing="1" w:after="100" w:afterAutospacing="1" w:line="240" w:lineRule="auto"/>
        <w:rPr>
          <w:rFonts w:ascii="Times New Roman" w:eastAsia="Times New Roman" w:hAnsi="Times New Roman" w:cs="Times New Roman"/>
          <w:bCs/>
          <w:kern w:val="0"/>
        </w:rPr>
      </w:pPr>
      <w:r w:rsidRPr="00F0461C">
        <w:rPr>
          <w:rFonts w:ascii="Times New Roman" w:eastAsia="Times New Roman" w:hAnsi="Times New Roman" w:cs="Times New Roman"/>
          <w:bCs/>
          <w:kern w:val="0"/>
        </w:rPr>
        <w:t xml:space="preserve">Option 2: </w:t>
      </w:r>
    </w:p>
    <w:p w:rsidR="00F0461C" w:rsidRPr="00F0461C" w:rsidRDefault="00F0461C" w:rsidP="00F0461C">
      <w:pPr>
        <w:bidi w:val="0"/>
        <w:spacing w:before="100" w:beforeAutospacing="1" w:after="100" w:afterAutospacing="1" w:line="240" w:lineRule="auto"/>
        <w:rPr>
          <w:rFonts w:ascii="Times New Roman" w:eastAsia="Times New Roman" w:hAnsi="Times New Roman" w:cs="Times New Roman"/>
          <w:bCs/>
          <w:kern w:val="0"/>
        </w:rPr>
      </w:pPr>
      <w:r w:rsidRPr="00F0461C">
        <w:rPr>
          <w:rFonts w:ascii="Times New Roman" w:eastAsia="Times New Roman" w:hAnsi="Times New Roman" w:cs="Times New Roman"/>
          <w:bCs/>
          <w:kern w:val="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0461C" w:rsidRPr="00F0461C" w:rsidRDefault="00F0461C" w:rsidP="00F0461C">
      <w:pPr>
        <w:bidi w:val="0"/>
        <w:spacing w:before="100" w:beforeAutospacing="1" w:after="100" w:afterAutospacing="1" w:line="240" w:lineRule="auto"/>
        <w:rPr>
          <w:rFonts w:ascii="Times New Roman" w:eastAsia="Times New Roman" w:hAnsi="Times New Roman" w:cs="Times New Roman"/>
          <w:bCs/>
          <w:kern w:val="0"/>
        </w:rPr>
      </w:pPr>
      <w:r w:rsidRPr="00F0461C">
        <w:rPr>
          <w:rFonts w:ascii="Times New Roman" w:eastAsia="Times New Roman" w:hAnsi="Times New Roman" w:cs="Times New Roman"/>
          <w:bCs/>
          <w:kern w:val="0"/>
        </w:rPr>
        <w:t>Details of the AI usage are given below:</w:t>
      </w:r>
    </w:p>
    <w:p w:rsidR="00F0461C" w:rsidRPr="00F0461C" w:rsidRDefault="00F0461C" w:rsidP="00F0461C">
      <w:pPr>
        <w:bidi w:val="0"/>
        <w:spacing w:before="100" w:beforeAutospacing="1" w:after="100" w:afterAutospacing="1" w:line="240" w:lineRule="auto"/>
        <w:rPr>
          <w:rFonts w:ascii="Times New Roman" w:eastAsia="Times New Roman" w:hAnsi="Times New Roman" w:cs="Times New Roman"/>
          <w:bCs/>
          <w:kern w:val="0"/>
        </w:rPr>
      </w:pPr>
      <w:r w:rsidRPr="00F0461C">
        <w:rPr>
          <w:rFonts w:ascii="Times New Roman" w:eastAsia="Times New Roman" w:hAnsi="Times New Roman" w:cs="Times New Roman"/>
          <w:bCs/>
          <w:kern w:val="0"/>
        </w:rPr>
        <w:t>1.</w:t>
      </w:r>
    </w:p>
    <w:p w:rsidR="00F0461C" w:rsidRPr="00F0461C" w:rsidRDefault="00F0461C" w:rsidP="00F0461C">
      <w:pPr>
        <w:bidi w:val="0"/>
        <w:spacing w:before="100" w:beforeAutospacing="1" w:after="100" w:afterAutospacing="1" w:line="240" w:lineRule="auto"/>
        <w:rPr>
          <w:rFonts w:ascii="Times New Roman" w:eastAsia="Times New Roman" w:hAnsi="Times New Roman" w:cs="Times New Roman"/>
          <w:bCs/>
          <w:kern w:val="0"/>
        </w:rPr>
      </w:pPr>
      <w:r w:rsidRPr="00F0461C">
        <w:rPr>
          <w:rFonts w:ascii="Times New Roman" w:eastAsia="Times New Roman" w:hAnsi="Times New Roman" w:cs="Times New Roman"/>
          <w:bCs/>
          <w:kern w:val="0"/>
        </w:rPr>
        <w:t>2.</w:t>
      </w:r>
    </w:p>
    <w:p w:rsidR="00024ED6" w:rsidRPr="00F0461C" w:rsidRDefault="00F0461C" w:rsidP="00F0461C">
      <w:pPr>
        <w:bidi w:val="0"/>
        <w:spacing w:before="100" w:beforeAutospacing="1" w:after="100" w:afterAutospacing="1" w:line="240" w:lineRule="auto"/>
        <w:rPr>
          <w:rFonts w:ascii="Times New Roman" w:eastAsia="Times New Roman" w:hAnsi="Times New Roman" w:cs="Times New Roman"/>
          <w:bCs/>
          <w:kern w:val="0"/>
        </w:rPr>
      </w:pPr>
      <w:r w:rsidRPr="00F0461C">
        <w:rPr>
          <w:rFonts w:ascii="Times New Roman" w:eastAsia="Times New Roman" w:hAnsi="Times New Roman" w:cs="Times New Roman"/>
          <w:bCs/>
          <w:kern w:val="0"/>
        </w:rPr>
        <w:t>3</w:t>
      </w:r>
      <w:r>
        <w:rPr>
          <w:rFonts w:ascii="Times New Roman" w:eastAsia="Times New Roman" w:hAnsi="Times New Roman" w:cs="Times New Roman"/>
          <w:bCs/>
          <w:kern w:val="0"/>
        </w:rPr>
        <w:t>.</w:t>
      </w:r>
    </w:p>
    <w:p w:rsidR="00B7227F" w:rsidRPr="009F6317" w:rsidRDefault="00B7227F" w:rsidP="00024ED6">
      <w:pPr>
        <w:bidi w:val="0"/>
        <w:spacing w:before="100" w:beforeAutospacing="1" w:after="100" w:afterAutospacing="1" w:line="240" w:lineRule="auto"/>
        <w:rPr>
          <w:rFonts w:ascii="Times New Roman" w:eastAsia="Times New Roman" w:hAnsi="Times New Roman" w:cs="Times New Roman"/>
          <w:b/>
          <w:bCs/>
          <w:kern w:val="0"/>
        </w:rPr>
      </w:pPr>
      <w:r w:rsidRPr="009F6317">
        <w:rPr>
          <w:rFonts w:ascii="Times New Roman" w:eastAsia="Times New Roman" w:hAnsi="Times New Roman" w:cs="Times New Roman"/>
          <w:b/>
          <w:bCs/>
          <w:kern w:val="0"/>
        </w:rPr>
        <w:t>References</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Abdel-Hamid, A. M., &amp; Mohamed, H. I. (2014). The effect of the exogenous gibberellic acid on two salt-stressed barley cultivars. European Sci</w:t>
      </w:r>
      <w:r>
        <w:rPr>
          <w:rFonts w:ascii="Times New Roman" w:eastAsia="Times New Roman" w:hAnsi="Times New Roman" w:cs="Times New Roman"/>
          <w:kern w:val="0"/>
        </w:rPr>
        <w:t>entific Journal, 10(6), 228–245.</w:t>
      </w:r>
      <w:r w:rsidRPr="00C82F2F">
        <w:rPr>
          <w:rFonts w:ascii="Times New Roman" w:eastAsia="Times New Roman" w:hAnsi="Times New Roman" w:cs="Times New Roman"/>
          <w:kern w:val="0"/>
        </w:rPr>
        <w:t>https://eujournal.org/index.php/esj/article/view/2920</w:t>
      </w:r>
      <w:r>
        <w:rPr>
          <w:rFonts w:ascii="Times New Roman" w:eastAsia="Times New Roman" w:hAnsi="Times New Roman" w:cs="Times New Roman"/>
          <w:kern w:val="0"/>
        </w:rPr>
        <w:t>.</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Ali, F. A., &amp; Hassan, S. M. (2020). Physiology of seed dormancy breaking: The role of gibberellins and hydrolytic enzymes. Journal of Seed Research and Biotechnology, 8(4), 21–35.https://jsrb.org/article/view/2020-8-4-21</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Al-</w:t>
      </w:r>
      <w:proofErr w:type="spellStart"/>
      <w:r w:rsidRPr="00C82F2F">
        <w:rPr>
          <w:rFonts w:ascii="Times New Roman" w:eastAsia="Times New Roman" w:hAnsi="Times New Roman" w:cs="Times New Roman"/>
          <w:kern w:val="0"/>
        </w:rPr>
        <w:t>Rawi</w:t>
      </w:r>
      <w:proofErr w:type="spellEnd"/>
      <w:r w:rsidRPr="00C82F2F">
        <w:rPr>
          <w:rFonts w:ascii="Times New Roman" w:eastAsia="Times New Roman" w:hAnsi="Times New Roman" w:cs="Times New Roman"/>
          <w:kern w:val="0"/>
        </w:rPr>
        <w:t xml:space="preserve">, K. M., &amp; Abdul-Aziz, M. K. (2000). Design and analysis of agricultural experiments. Mosul University Press, Ministry of Higher Education and Scientific Research, </w:t>
      </w:r>
      <w:proofErr w:type="spellStart"/>
      <w:r w:rsidRPr="00C82F2F">
        <w:rPr>
          <w:rFonts w:ascii="Times New Roman" w:eastAsia="Times New Roman" w:hAnsi="Times New Roman" w:cs="Times New Roman"/>
          <w:kern w:val="0"/>
        </w:rPr>
        <w:t>Iraq.https</w:t>
      </w:r>
      <w:proofErr w:type="spellEnd"/>
      <w:r w:rsidRPr="00C82F2F">
        <w:rPr>
          <w:rFonts w:ascii="Times New Roman" w:eastAsia="Times New Roman" w:hAnsi="Times New Roman" w:cs="Times New Roman"/>
          <w:kern w:val="0"/>
        </w:rPr>
        <w:t>://</w:t>
      </w:r>
      <w:proofErr w:type="spellStart"/>
      <w:r w:rsidRPr="00C82F2F">
        <w:rPr>
          <w:rFonts w:ascii="Times New Roman" w:eastAsia="Times New Roman" w:hAnsi="Times New Roman" w:cs="Times New Roman"/>
          <w:kern w:val="0"/>
        </w:rPr>
        <w:t>uomosul.edu.iq</w:t>
      </w:r>
      <w:proofErr w:type="spellEnd"/>
    </w:p>
    <w:p w:rsidR="00024ED6"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Pr>
      </w:pPr>
      <w:proofErr w:type="spellStart"/>
      <w:r w:rsidRPr="00C82F2F">
        <w:rPr>
          <w:rFonts w:ascii="Times New Roman" w:eastAsia="Times New Roman" w:hAnsi="Times New Roman" w:cs="Times New Roman"/>
          <w:kern w:val="0"/>
        </w:rPr>
        <w:t>Amri</w:t>
      </w:r>
      <w:proofErr w:type="spellEnd"/>
      <w:r w:rsidRPr="00C82F2F">
        <w:rPr>
          <w:rFonts w:ascii="Times New Roman" w:eastAsia="Times New Roman" w:hAnsi="Times New Roman" w:cs="Times New Roman"/>
          <w:kern w:val="0"/>
        </w:rPr>
        <w:t xml:space="preserve">, B., </w:t>
      </w:r>
      <w:proofErr w:type="spellStart"/>
      <w:r w:rsidRPr="00C82F2F">
        <w:rPr>
          <w:rFonts w:ascii="Times New Roman" w:eastAsia="Times New Roman" w:hAnsi="Times New Roman" w:cs="Times New Roman"/>
          <w:kern w:val="0"/>
        </w:rPr>
        <w:t>Khamassi</w:t>
      </w:r>
      <w:proofErr w:type="spellEnd"/>
      <w:r w:rsidRPr="00C82F2F">
        <w:rPr>
          <w:rFonts w:ascii="Times New Roman" w:eastAsia="Times New Roman" w:hAnsi="Times New Roman" w:cs="Times New Roman"/>
          <w:kern w:val="0"/>
        </w:rPr>
        <w:t xml:space="preserve">, K., Ali, M. B., da Silva, J. A. T., &amp; </w:t>
      </w:r>
      <w:proofErr w:type="spellStart"/>
      <w:r w:rsidRPr="00C82F2F">
        <w:rPr>
          <w:rFonts w:ascii="Times New Roman" w:eastAsia="Times New Roman" w:hAnsi="Times New Roman" w:cs="Times New Roman"/>
          <w:kern w:val="0"/>
        </w:rPr>
        <w:t>Kaab</w:t>
      </w:r>
      <w:proofErr w:type="spellEnd"/>
      <w:r w:rsidRPr="00C82F2F">
        <w:rPr>
          <w:rFonts w:ascii="Times New Roman" w:eastAsia="Times New Roman" w:hAnsi="Times New Roman" w:cs="Times New Roman"/>
          <w:kern w:val="0"/>
        </w:rPr>
        <w:t>, L. B. B. (2016). Effects of gibberellic acid on the process of organic reserve mobilization in barley grains germinated in the presence of cadmium and molybdenum. South African Journal of Botany, 106, 35–40.https://doi.org/10.1016/j.sajb.2016.05.007</w:t>
      </w:r>
      <w:r>
        <w:rPr>
          <w:rFonts w:ascii="Times New Roman" w:eastAsia="Times New Roman" w:hAnsi="Times New Roman" w:cs="Times New Roman"/>
          <w:kern w:val="0"/>
        </w:rPr>
        <w:t>.</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proofErr w:type="spellStart"/>
      <w:r w:rsidRPr="00C82F2F">
        <w:rPr>
          <w:rFonts w:ascii="Times New Roman" w:eastAsia="Times New Roman" w:hAnsi="Times New Roman" w:cs="Times New Roman"/>
          <w:kern w:val="0"/>
        </w:rPr>
        <w:t>Bargaz</w:t>
      </w:r>
      <w:proofErr w:type="spellEnd"/>
      <w:r w:rsidRPr="00C82F2F">
        <w:rPr>
          <w:rFonts w:ascii="Times New Roman" w:eastAsia="Times New Roman" w:hAnsi="Times New Roman" w:cs="Times New Roman"/>
          <w:kern w:val="0"/>
        </w:rPr>
        <w:t>, A., et al. (2018). Soil microbes, seed priming and crop resilience. Plant–Microbe Interactions.https://link.springer.com/chapter/10.1007/978-3-319-75903-9_2</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024ED6">
        <w:rPr>
          <w:rFonts w:ascii="Times New Roman" w:eastAsia="Times New Roman" w:hAnsi="Times New Roman" w:cs="Times New Roman"/>
          <w:kern w:val="0"/>
        </w:rPr>
        <w:t xml:space="preserve">Bewley, J. D., Bradford, K. J., </w:t>
      </w:r>
      <w:proofErr w:type="spellStart"/>
      <w:r w:rsidRPr="00024ED6">
        <w:rPr>
          <w:rFonts w:ascii="Times New Roman" w:eastAsia="Times New Roman" w:hAnsi="Times New Roman" w:cs="Times New Roman"/>
          <w:kern w:val="0"/>
        </w:rPr>
        <w:t>Hilhorst</w:t>
      </w:r>
      <w:proofErr w:type="spellEnd"/>
      <w:r w:rsidRPr="00024ED6">
        <w:rPr>
          <w:rFonts w:ascii="Times New Roman" w:eastAsia="Times New Roman" w:hAnsi="Times New Roman" w:cs="Times New Roman"/>
          <w:kern w:val="0"/>
        </w:rPr>
        <w:t xml:space="preserve">, H. W. M., &amp; </w:t>
      </w:r>
      <w:proofErr w:type="spellStart"/>
      <w:r w:rsidRPr="00024ED6">
        <w:rPr>
          <w:rFonts w:ascii="Times New Roman" w:eastAsia="Times New Roman" w:hAnsi="Times New Roman" w:cs="Times New Roman"/>
          <w:kern w:val="0"/>
        </w:rPr>
        <w:t>Nonogaki</w:t>
      </w:r>
      <w:proofErr w:type="spellEnd"/>
      <w:r w:rsidRPr="00024ED6">
        <w:rPr>
          <w:rFonts w:ascii="Times New Roman" w:eastAsia="Times New Roman" w:hAnsi="Times New Roman" w:cs="Times New Roman"/>
          <w:kern w:val="0"/>
        </w:rPr>
        <w:t xml:space="preserve">, H. (2023). Seeds: Physiology of development, germination and dormancy (4th ed.). </w:t>
      </w:r>
      <w:proofErr w:type="spellStart"/>
      <w:r w:rsidRPr="00024ED6">
        <w:rPr>
          <w:rFonts w:ascii="Times New Roman" w:eastAsia="Times New Roman" w:hAnsi="Times New Roman" w:cs="Times New Roman"/>
          <w:kern w:val="0"/>
        </w:rPr>
        <w:t>Springer</w:t>
      </w:r>
      <w:r>
        <w:rPr>
          <w:rFonts w:ascii="Times New Roman" w:eastAsia="Times New Roman" w:hAnsi="Times New Roman" w:cs="Times New Roman"/>
          <w:kern w:val="0"/>
        </w:rPr>
        <w:t>.</w:t>
      </w:r>
      <w:r w:rsidRPr="00024ED6">
        <w:rPr>
          <w:rFonts w:ascii="Times New Roman" w:eastAsia="Times New Roman" w:hAnsi="Times New Roman" w:cs="Times New Roman"/>
          <w:kern w:val="0"/>
        </w:rPr>
        <w:t>https</w:t>
      </w:r>
      <w:proofErr w:type="spellEnd"/>
      <w:r w:rsidRPr="00024ED6">
        <w:rPr>
          <w:rFonts w:ascii="Times New Roman" w:eastAsia="Times New Roman" w:hAnsi="Times New Roman" w:cs="Times New Roman"/>
          <w:kern w:val="0"/>
        </w:rPr>
        <w:t>://doi.org/10.1007/978-3-031-17894-9</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024ED6">
        <w:rPr>
          <w:rFonts w:ascii="Times New Roman" w:eastAsia="Times New Roman" w:hAnsi="Times New Roman" w:cs="Times New Roman"/>
          <w:kern w:val="0"/>
        </w:rPr>
        <w:t xml:space="preserve">Bewley, J. D., Bradford, K. J., </w:t>
      </w:r>
      <w:proofErr w:type="spellStart"/>
      <w:r w:rsidRPr="00024ED6">
        <w:rPr>
          <w:rFonts w:ascii="Times New Roman" w:eastAsia="Times New Roman" w:hAnsi="Times New Roman" w:cs="Times New Roman"/>
          <w:kern w:val="0"/>
        </w:rPr>
        <w:t>Hilhorst</w:t>
      </w:r>
      <w:proofErr w:type="spellEnd"/>
      <w:r w:rsidRPr="00024ED6">
        <w:rPr>
          <w:rFonts w:ascii="Times New Roman" w:eastAsia="Times New Roman" w:hAnsi="Times New Roman" w:cs="Times New Roman"/>
          <w:kern w:val="0"/>
        </w:rPr>
        <w:t xml:space="preserve">, H. W. M., &amp; </w:t>
      </w:r>
      <w:proofErr w:type="spellStart"/>
      <w:r w:rsidRPr="00024ED6">
        <w:rPr>
          <w:rFonts w:ascii="Times New Roman" w:eastAsia="Times New Roman" w:hAnsi="Times New Roman" w:cs="Times New Roman"/>
          <w:kern w:val="0"/>
        </w:rPr>
        <w:t>Nonogaki</w:t>
      </w:r>
      <w:proofErr w:type="spellEnd"/>
      <w:r w:rsidRPr="00024ED6">
        <w:rPr>
          <w:rFonts w:ascii="Times New Roman" w:eastAsia="Times New Roman" w:hAnsi="Times New Roman" w:cs="Times New Roman"/>
          <w:kern w:val="0"/>
        </w:rPr>
        <w:t xml:space="preserve">, H. (2023). Seeds: Physiology of development, germination and dormancy (4th ed.). </w:t>
      </w:r>
      <w:proofErr w:type="spellStart"/>
      <w:r w:rsidRPr="00024ED6">
        <w:rPr>
          <w:rFonts w:ascii="Times New Roman" w:eastAsia="Times New Roman" w:hAnsi="Times New Roman" w:cs="Times New Roman"/>
          <w:kern w:val="0"/>
        </w:rPr>
        <w:t>Springer.https</w:t>
      </w:r>
      <w:proofErr w:type="spellEnd"/>
      <w:r w:rsidRPr="00024ED6">
        <w:rPr>
          <w:rFonts w:ascii="Times New Roman" w:eastAsia="Times New Roman" w:hAnsi="Times New Roman" w:cs="Times New Roman"/>
          <w:kern w:val="0"/>
        </w:rPr>
        <w:t>://doi.org/10.1007/978-3-031-17894-9</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proofErr w:type="spellStart"/>
      <w:r w:rsidRPr="00C82F2F">
        <w:rPr>
          <w:rFonts w:ascii="Times New Roman" w:eastAsia="Times New Roman" w:hAnsi="Times New Roman" w:cs="Times New Roman"/>
          <w:kern w:val="0"/>
        </w:rPr>
        <w:t>Carrera-Castaño</w:t>
      </w:r>
      <w:proofErr w:type="spellEnd"/>
      <w:r w:rsidRPr="00C82F2F">
        <w:rPr>
          <w:rFonts w:ascii="Times New Roman" w:eastAsia="Times New Roman" w:hAnsi="Times New Roman" w:cs="Times New Roman"/>
          <w:kern w:val="0"/>
        </w:rPr>
        <w:t xml:space="preserve">, G., Calleja-Cabrera, J., </w:t>
      </w:r>
      <w:proofErr w:type="spellStart"/>
      <w:r w:rsidRPr="00C82F2F">
        <w:rPr>
          <w:rFonts w:ascii="Times New Roman" w:eastAsia="Times New Roman" w:hAnsi="Times New Roman" w:cs="Times New Roman"/>
          <w:kern w:val="0"/>
        </w:rPr>
        <w:t>Pernas</w:t>
      </w:r>
      <w:proofErr w:type="spellEnd"/>
      <w:r w:rsidRPr="00C82F2F">
        <w:rPr>
          <w:rFonts w:ascii="Times New Roman" w:eastAsia="Times New Roman" w:hAnsi="Times New Roman" w:cs="Times New Roman"/>
          <w:kern w:val="0"/>
        </w:rPr>
        <w:t xml:space="preserve">, M., Gómez, L., &amp; </w:t>
      </w:r>
      <w:proofErr w:type="spellStart"/>
      <w:r w:rsidRPr="00C82F2F">
        <w:rPr>
          <w:rFonts w:ascii="Times New Roman" w:eastAsia="Times New Roman" w:hAnsi="Times New Roman" w:cs="Times New Roman"/>
          <w:kern w:val="0"/>
        </w:rPr>
        <w:t>Oñate-Sánchez</w:t>
      </w:r>
      <w:proofErr w:type="spellEnd"/>
      <w:r w:rsidRPr="00C82F2F">
        <w:rPr>
          <w:rFonts w:ascii="Times New Roman" w:eastAsia="Times New Roman" w:hAnsi="Times New Roman" w:cs="Times New Roman"/>
          <w:kern w:val="0"/>
        </w:rPr>
        <w:t>, L. (2020). An updated overview on the regulation of seed germination. Plants, 9(6), 703.https://doi.org/10.3390/plants9060703</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024ED6">
        <w:rPr>
          <w:rFonts w:ascii="Times New Roman" w:eastAsia="Times New Roman" w:hAnsi="Times New Roman" w:cs="Times New Roman"/>
          <w:kern w:val="0"/>
        </w:rPr>
        <w:t xml:space="preserve">Finch-Savage, W. E., &amp; </w:t>
      </w:r>
      <w:proofErr w:type="spellStart"/>
      <w:r w:rsidRPr="00024ED6">
        <w:rPr>
          <w:rFonts w:ascii="Times New Roman" w:eastAsia="Times New Roman" w:hAnsi="Times New Roman" w:cs="Times New Roman"/>
          <w:kern w:val="0"/>
        </w:rPr>
        <w:t>Footitt</w:t>
      </w:r>
      <w:proofErr w:type="spellEnd"/>
      <w:r w:rsidRPr="00024ED6">
        <w:rPr>
          <w:rFonts w:ascii="Times New Roman" w:eastAsia="Times New Roman" w:hAnsi="Times New Roman" w:cs="Times New Roman"/>
          <w:kern w:val="0"/>
        </w:rPr>
        <w:t>, S. (2017). Seed dormancy cycling and the regulation of germination timing. Journal of Experimental Botany, 68(5), 843–856.https://doi.org/10.1093/jxb/erw477</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lastRenderedPageBreak/>
        <w:t>Huang, N., Liu, G. N., Yang, J. S., et al. (2021). The effects of gibberellin concentration and soaking time on the germination of maple seeds. Seed, 40(3), 97–101.https://www.cnki.net/KCMS/detail/detail.aspx?dbcode=CJFD</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Hussain, M., et al. (2019). Seed priming: A promising approach for crop improvement. Plant Breeding and Biotechnology.https://www.koreascience.or.kr/article/JAKO201919062666749.page</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Ibrahim, A. M. (2019). Role of growth regulators in seedling cell elongation. Iraqi Journal of Horticultural Sciences, 15(2), 45–56.https://ijahs.uobaghdad.edu.iq</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 xml:space="preserve">International Seed Testing Association (ISTA). (2023). International rules for seed testing. ISTA, </w:t>
      </w:r>
      <w:proofErr w:type="spellStart"/>
      <w:r w:rsidRPr="00C82F2F">
        <w:rPr>
          <w:rFonts w:ascii="Times New Roman" w:eastAsia="Times New Roman" w:hAnsi="Times New Roman" w:cs="Times New Roman"/>
          <w:kern w:val="0"/>
        </w:rPr>
        <w:t>Bassersdorf</w:t>
      </w:r>
      <w:proofErr w:type="spellEnd"/>
      <w:r w:rsidRPr="00C82F2F">
        <w:rPr>
          <w:rFonts w:ascii="Times New Roman" w:eastAsia="Times New Roman" w:hAnsi="Times New Roman" w:cs="Times New Roman"/>
          <w:kern w:val="0"/>
        </w:rPr>
        <w:t>, Switzerland.https://doi.org/10.15258/istarules.2023https://www.seedtest.org</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024ED6">
        <w:rPr>
          <w:rFonts w:ascii="Times New Roman" w:eastAsia="Times New Roman" w:hAnsi="Times New Roman" w:cs="Times New Roman"/>
          <w:kern w:val="0"/>
        </w:rPr>
        <w:t xml:space="preserve">Khan, M. I. R., </w:t>
      </w:r>
      <w:proofErr w:type="spellStart"/>
      <w:r w:rsidRPr="00024ED6">
        <w:rPr>
          <w:rFonts w:ascii="Times New Roman" w:eastAsia="Times New Roman" w:hAnsi="Times New Roman" w:cs="Times New Roman"/>
          <w:kern w:val="0"/>
        </w:rPr>
        <w:t>Asgher</w:t>
      </w:r>
      <w:proofErr w:type="spellEnd"/>
      <w:r w:rsidRPr="00024ED6">
        <w:rPr>
          <w:rFonts w:ascii="Times New Roman" w:eastAsia="Times New Roman" w:hAnsi="Times New Roman" w:cs="Times New Roman"/>
          <w:kern w:val="0"/>
        </w:rPr>
        <w:t>, M., &amp; Khan, N. A. (2020). Alleviation of salt-induced photosynthesis and growth inhibition by gibberellic acid in plants. Plant Physiology and Biochemistry, 155, 507–519.https://doi.org/10.1016/j.plaphy.2020.07.020</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024ED6">
        <w:rPr>
          <w:rFonts w:ascii="Times New Roman" w:eastAsia="Times New Roman" w:hAnsi="Times New Roman" w:cs="Times New Roman"/>
          <w:kern w:val="0"/>
        </w:rPr>
        <w:t xml:space="preserve">Khan, M. I. R., </w:t>
      </w:r>
      <w:proofErr w:type="spellStart"/>
      <w:r w:rsidRPr="00024ED6">
        <w:rPr>
          <w:rFonts w:ascii="Times New Roman" w:eastAsia="Times New Roman" w:hAnsi="Times New Roman" w:cs="Times New Roman"/>
          <w:kern w:val="0"/>
        </w:rPr>
        <w:t>Asgher</w:t>
      </w:r>
      <w:proofErr w:type="spellEnd"/>
      <w:r w:rsidRPr="00024ED6">
        <w:rPr>
          <w:rFonts w:ascii="Times New Roman" w:eastAsia="Times New Roman" w:hAnsi="Times New Roman" w:cs="Times New Roman"/>
          <w:kern w:val="0"/>
        </w:rPr>
        <w:t>, M., &amp; Khan, N. A. (2020). Alleviation of stress-induced inhibition of plant growth by gibberellic acid. Plant Physiology and Biochemistry, 155, 507–519.https://doi.org/10.1016/j.plaphy.2020.07.020</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Lian, J., et al. (2021). Effects of seed priming on seedling growth. Frontiers in Plant Science.</w:t>
      </w:r>
      <w:r>
        <w:rPr>
          <w:rFonts w:ascii="Times New Roman" w:eastAsia="Times New Roman" w:hAnsi="Times New Roman" w:cs="Times New Roman"/>
          <w:kern w:val="0"/>
        </w:rPr>
        <w:t xml:space="preserve"> </w:t>
      </w:r>
      <w:r w:rsidRPr="00C82F2F">
        <w:rPr>
          <w:rFonts w:ascii="Times New Roman" w:eastAsia="Times New Roman" w:hAnsi="Times New Roman" w:cs="Times New Roman"/>
          <w:kern w:val="0"/>
        </w:rPr>
        <w:t>https://www.frontiersin.org/articles/10.3389/fpls.2021.660909/full</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Matsushima, K., &amp; Sakagami, J. (2013). Effects of seed hydropriming on germination and seedling vigor during emergence of rice under different soil moisture conditions. American Journal of Plant Sciences, 4, 1584–1593.https://doi.org/10.4236/ajps.2013.48191</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Matsushima, K., &amp; Sakagami, J. (2013). Effects of soaking duration on germination and seedling vigor in rice. Plant Production Science, 16(2), 145–152.https://doi.org/10.1626/pps.16.145</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 xml:space="preserve">Muhammad, F., </w:t>
      </w:r>
      <w:proofErr w:type="spellStart"/>
      <w:r w:rsidRPr="00C82F2F">
        <w:rPr>
          <w:rFonts w:ascii="Times New Roman" w:eastAsia="Times New Roman" w:hAnsi="Times New Roman" w:cs="Times New Roman"/>
          <w:kern w:val="0"/>
        </w:rPr>
        <w:t>Barsa</w:t>
      </w:r>
      <w:proofErr w:type="spellEnd"/>
      <w:r w:rsidRPr="00C82F2F">
        <w:rPr>
          <w:rFonts w:ascii="Times New Roman" w:eastAsia="Times New Roman" w:hAnsi="Times New Roman" w:cs="Times New Roman"/>
          <w:kern w:val="0"/>
        </w:rPr>
        <w:t>, S. M. A., &amp; Wahid, A. (2006). Priming of field-sown rice seed enhances germination, seedling establishment, allometry and yield. Plant Growth Regulation, 49, 285–294.https://doi.org/10.1007/s10725-006-9138-y</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proofErr w:type="spellStart"/>
      <w:r w:rsidRPr="00024ED6">
        <w:rPr>
          <w:rFonts w:ascii="Times New Roman" w:eastAsia="Times New Roman" w:hAnsi="Times New Roman" w:cs="Times New Roman"/>
          <w:kern w:val="0"/>
        </w:rPr>
        <w:t>Nonogaki</w:t>
      </w:r>
      <w:proofErr w:type="spellEnd"/>
      <w:r w:rsidRPr="00024ED6">
        <w:rPr>
          <w:rFonts w:ascii="Times New Roman" w:eastAsia="Times New Roman" w:hAnsi="Times New Roman" w:cs="Times New Roman"/>
          <w:kern w:val="0"/>
        </w:rPr>
        <w:t>, H. (2019). Seed germination and dormancy: The classic story, new challenges, and emerging concepts. Plant Science, 281, 1–10.https://doi.org/10.1016/j.plantsci.2018.10.007</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proofErr w:type="spellStart"/>
      <w:r w:rsidRPr="00024ED6">
        <w:rPr>
          <w:rFonts w:ascii="Times New Roman" w:eastAsia="Times New Roman" w:hAnsi="Times New Roman" w:cs="Times New Roman"/>
          <w:kern w:val="0"/>
        </w:rPr>
        <w:t>Nonogaki</w:t>
      </w:r>
      <w:proofErr w:type="spellEnd"/>
      <w:r w:rsidRPr="00024ED6">
        <w:rPr>
          <w:rFonts w:ascii="Times New Roman" w:eastAsia="Times New Roman" w:hAnsi="Times New Roman" w:cs="Times New Roman"/>
          <w:kern w:val="0"/>
        </w:rPr>
        <w:t>, H. (2019). Seed germination and dormancy: The classic story, new challenges, and emerging concepts. Plant Science, 281, 1–10.https://doi.org/10.1016/j.plantsci.2018.10.007</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 xml:space="preserve">Ortiz-Hernandez, Y. D., &amp; Carrillo-Salazar, J. A. (2012). </w:t>
      </w:r>
      <w:proofErr w:type="spellStart"/>
      <w:r w:rsidRPr="00C82F2F">
        <w:rPr>
          <w:rFonts w:ascii="Times New Roman" w:eastAsia="Times New Roman" w:hAnsi="Times New Roman" w:cs="Times New Roman"/>
          <w:kern w:val="0"/>
        </w:rPr>
        <w:t>Pitahaya</w:t>
      </w:r>
      <w:proofErr w:type="spellEnd"/>
      <w:r w:rsidRPr="00C82F2F">
        <w:rPr>
          <w:rFonts w:ascii="Times New Roman" w:eastAsia="Times New Roman" w:hAnsi="Times New Roman" w:cs="Times New Roman"/>
          <w:kern w:val="0"/>
        </w:rPr>
        <w:t xml:space="preserve"> (</w:t>
      </w:r>
      <w:proofErr w:type="spellStart"/>
      <w:r w:rsidRPr="00C82F2F">
        <w:rPr>
          <w:rFonts w:ascii="Times New Roman" w:eastAsia="Times New Roman" w:hAnsi="Times New Roman" w:cs="Times New Roman"/>
          <w:kern w:val="0"/>
        </w:rPr>
        <w:t>Hylocereus</w:t>
      </w:r>
      <w:proofErr w:type="spellEnd"/>
      <w:r w:rsidRPr="00C82F2F">
        <w:rPr>
          <w:rFonts w:ascii="Times New Roman" w:eastAsia="Times New Roman" w:hAnsi="Times New Roman" w:cs="Times New Roman"/>
          <w:kern w:val="0"/>
        </w:rPr>
        <w:t xml:space="preserve"> spp.): A short review. </w:t>
      </w:r>
      <w:proofErr w:type="spellStart"/>
      <w:r w:rsidRPr="00C82F2F">
        <w:rPr>
          <w:rFonts w:ascii="Times New Roman" w:eastAsia="Times New Roman" w:hAnsi="Times New Roman" w:cs="Times New Roman"/>
          <w:kern w:val="0"/>
        </w:rPr>
        <w:t>Comunicata</w:t>
      </w:r>
      <w:proofErr w:type="spellEnd"/>
      <w:r w:rsidRPr="00C82F2F">
        <w:rPr>
          <w:rFonts w:ascii="Times New Roman" w:eastAsia="Times New Roman" w:hAnsi="Times New Roman" w:cs="Times New Roman"/>
          <w:kern w:val="0"/>
        </w:rPr>
        <w:t xml:space="preserve"> Scientiae, 3(4), 220–237.https://comunicatascientiae.com.br/comunicata/article/view/298</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proofErr w:type="spellStart"/>
      <w:r w:rsidRPr="00024ED6">
        <w:rPr>
          <w:rFonts w:ascii="Times New Roman" w:eastAsia="Times New Roman" w:hAnsi="Times New Roman" w:cs="Times New Roman"/>
          <w:kern w:val="0"/>
        </w:rPr>
        <w:t>Paparella</w:t>
      </w:r>
      <w:proofErr w:type="spellEnd"/>
      <w:r w:rsidRPr="00024ED6">
        <w:rPr>
          <w:rFonts w:ascii="Times New Roman" w:eastAsia="Times New Roman" w:hAnsi="Times New Roman" w:cs="Times New Roman"/>
          <w:kern w:val="0"/>
        </w:rPr>
        <w:t xml:space="preserve">, S., Araujo, S. S., Rossi, G., </w:t>
      </w:r>
      <w:proofErr w:type="spellStart"/>
      <w:r w:rsidRPr="00024ED6">
        <w:rPr>
          <w:rFonts w:ascii="Times New Roman" w:eastAsia="Times New Roman" w:hAnsi="Times New Roman" w:cs="Times New Roman"/>
          <w:kern w:val="0"/>
        </w:rPr>
        <w:t>Wijayasinghe</w:t>
      </w:r>
      <w:proofErr w:type="spellEnd"/>
      <w:r w:rsidRPr="00024ED6">
        <w:rPr>
          <w:rFonts w:ascii="Times New Roman" w:eastAsia="Times New Roman" w:hAnsi="Times New Roman" w:cs="Times New Roman"/>
          <w:kern w:val="0"/>
        </w:rPr>
        <w:t xml:space="preserve">, M., </w:t>
      </w:r>
      <w:proofErr w:type="spellStart"/>
      <w:r w:rsidRPr="00024ED6">
        <w:rPr>
          <w:rFonts w:ascii="Times New Roman" w:eastAsia="Times New Roman" w:hAnsi="Times New Roman" w:cs="Times New Roman"/>
          <w:kern w:val="0"/>
        </w:rPr>
        <w:t>Carbonera</w:t>
      </w:r>
      <w:proofErr w:type="spellEnd"/>
      <w:r w:rsidRPr="00024ED6">
        <w:rPr>
          <w:rFonts w:ascii="Times New Roman" w:eastAsia="Times New Roman" w:hAnsi="Times New Roman" w:cs="Times New Roman"/>
          <w:kern w:val="0"/>
        </w:rPr>
        <w:t xml:space="preserve">, D., &amp; </w:t>
      </w:r>
      <w:proofErr w:type="spellStart"/>
      <w:r w:rsidRPr="00024ED6">
        <w:rPr>
          <w:rFonts w:ascii="Times New Roman" w:eastAsia="Times New Roman" w:hAnsi="Times New Roman" w:cs="Times New Roman"/>
          <w:kern w:val="0"/>
        </w:rPr>
        <w:t>Balestrazzi</w:t>
      </w:r>
      <w:proofErr w:type="spellEnd"/>
      <w:r w:rsidRPr="00024ED6">
        <w:rPr>
          <w:rFonts w:ascii="Times New Roman" w:eastAsia="Times New Roman" w:hAnsi="Times New Roman" w:cs="Times New Roman"/>
          <w:kern w:val="0"/>
        </w:rPr>
        <w:t>, A. (2015). Seed priming: State of the art and new perspectives. Plant Cell Reports, 34, 1281–1293.https://doi.org/10.1007/s00299-015-1784-y</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proofErr w:type="spellStart"/>
      <w:r w:rsidRPr="00024ED6">
        <w:rPr>
          <w:rFonts w:ascii="Times New Roman" w:eastAsia="Times New Roman" w:hAnsi="Times New Roman" w:cs="Times New Roman"/>
          <w:kern w:val="0"/>
        </w:rPr>
        <w:t>Rêgo</w:t>
      </w:r>
      <w:proofErr w:type="spellEnd"/>
      <w:r w:rsidRPr="00024ED6">
        <w:rPr>
          <w:rFonts w:ascii="Times New Roman" w:eastAsia="Times New Roman" w:hAnsi="Times New Roman" w:cs="Times New Roman"/>
          <w:kern w:val="0"/>
        </w:rPr>
        <w:t xml:space="preserve">, E. R., </w:t>
      </w:r>
      <w:proofErr w:type="spellStart"/>
      <w:r w:rsidRPr="00024ED6">
        <w:rPr>
          <w:rFonts w:ascii="Times New Roman" w:eastAsia="Times New Roman" w:hAnsi="Times New Roman" w:cs="Times New Roman"/>
          <w:kern w:val="0"/>
        </w:rPr>
        <w:t>Rêgo</w:t>
      </w:r>
      <w:proofErr w:type="spellEnd"/>
      <w:r w:rsidRPr="00024ED6">
        <w:rPr>
          <w:rFonts w:ascii="Times New Roman" w:eastAsia="Times New Roman" w:hAnsi="Times New Roman" w:cs="Times New Roman"/>
          <w:kern w:val="0"/>
        </w:rPr>
        <w:t xml:space="preserve">, M. M., Finger, F. L., &amp; </w:t>
      </w:r>
      <w:proofErr w:type="spellStart"/>
      <w:r w:rsidRPr="00024ED6">
        <w:rPr>
          <w:rFonts w:ascii="Times New Roman" w:eastAsia="Times New Roman" w:hAnsi="Times New Roman" w:cs="Times New Roman"/>
          <w:kern w:val="0"/>
        </w:rPr>
        <w:t>Casali</w:t>
      </w:r>
      <w:proofErr w:type="spellEnd"/>
      <w:r w:rsidRPr="00024ED6">
        <w:rPr>
          <w:rFonts w:ascii="Times New Roman" w:eastAsia="Times New Roman" w:hAnsi="Times New Roman" w:cs="Times New Roman"/>
          <w:kern w:val="0"/>
        </w:rPr>
        <w:t xml:space="preserve">, V. W. D. (2020). Seed germination and seedling vigor in horticultural crops: Hormonal and environmental regulation. </w:t>
      </w:r>
      <w:proofErr w:type="spellStart"/>
      <w:r w:rsidRPr="00024ED6">
        <w:rPr>
          <w:rFonts w:ascii="Times New Roman" w:eastAsia="Times New Roman" w:hAnsi="Times New Roman" w:cs="Times New Roman"/>
          <w:kern w:val="0"/>
        </w:rPr>
        <w:t>Scientia</w:t>
      </w:r>
      <w:proofErr w:type="spellEnd"/>
      <w:r w:rsidRPr="00024ED6">
        <w:rPr>
          <w:rFonts w:ascii="Times New Roman" w:eastAsia="Times New Roman" w:hAnsi="Times New Roman" w:cs="Times New Roman"/>
          <w:kern w:val="0"/>
        </w:rPr>
        <w:t xml:space="preserve"> </w:t>
      </w:r>
      <w:proofErr w:type="spellStart"/>
      <w:r w:rsidRPr="00024ED6">
        <w:rPr>
          <w:rFonts w:ascii="Times New Roman" w:eastAsia="Times New Roman" w:hAnsi="Times New Roman" w:cs="Times New Roman"/>
          <w:kern w:val="0"/>
        </w:rPr>
        <w:t>Horticulturae</w:t>
      </w:r>
      <w:proofErr w:type="spellEnd"/>
      <w:r w:rsidRPr="00024ED6">
        <w:rPr>
          <w:rFonts w:ascii="Times New Roman" w:eastAsia="Times New Roman" w:hAnsi="Times New Roman" w:cs="Times New Roman"/>
          <w:kern w:val="0"/>
        </w:rPr>
        <w:t>, 261, 108989.https://doi.org/10.1016/j.scienta.2019.108989</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proofErr w:type="spellStart"/>
      <w:r w:rsidRPr="00024ED6">
        <w:rPr>
          <w:rFonts w:ascii="Times New Roman" w:eastAsia="Times New Roman" w:hAnsi="Times New Roman" w:cs="Times New Roman"/>
          <w:kern w:val="0"/>
        </w:rPr>
        <w:lastRenderedPageBreak/>
        <w:t>Rêgo</w:t>
      </w:r>
      <w:proofErr w:type="spellEnd"/>
      <w:r w:rsidRPr="00024ED6">
        <w:rPr>
          <w:rFonts w:ascii="Times New Roman" w:eastAsia="Times New Roman" w:hAnsi="Times New Roman" w:cs="Times New Roman"/>
          <w:kern w:val="0"/>
        </w:rPr>
        <w:t xml:space="preserve">, E. R., </w:t>
      </w:r>
      <w:proofErr w:type="spellStart"/>
      <w:r w:rsidRPr="00024ED6">
        <w:rPr>
          <w:rFonts w:ascii="Times New Roman" w:eastAsia="Times New Roman" w:hAnsi="Times New Roman" w:cs="Times New Roman"/>
          <w:kern w:val="0"/>
        </w:rPr>
        <w:t>Rêgo</w:t>
      </w:r>
      <w:proofErr w:type="spellEnd"/>
      <w:r w:rsidRPr="00024ED6">
        <w:rPr>
          <w:rFonts w:ascii="Times New Roman" w:eastAsia="Times New Roman" w:hAnsi="Times New Roman" w:cs="Times New Roman"/>
          <w:kern w:val="0"/>
        </w:rPr>
        <w:t xml:space="preserve">, M. M., Finger, F. L., &amp; </w:t>
      </w:r>
      <w:proofErr w:type="spellStart"/>
      <w:r w:rsidRPr="00024ED6">
        <w:rPr>
          <w:rFonts w:ascii="Times New Roman" w:eastAsia="Times New Roman" w:hAnsi="Times New Roman" w:cs="Times New Roman"/>
          <w:kern w:val="0"/>
        </w:rPr>
        <w:t>Casali</w:t>
      </w:r>
      <w:proofErr w:type="spellEnd"/>
      <w:r w:rsidRPr="00024ED6">
        <w:rPr>
          <w:rFonts w:ascii="Times New Roman" w:eastAsia="Times New Roman" w:hAnsi="Times New Roman" w:cs="Times New Roman"/>
          <w:kern w:val="0"/>
        </w:rPr>
        <w:t xml:space="preserve">, V. W. D. (2020). Seed germination and seedling vigor in horticultural crops: Hormonal and environmental regulation. </w:t>
      </w:r>
      <w:proofErr w:type="spellStart"/>
      <w:r w:rsidRPr="00024ED6">
        <w:rPr>
          <w:rFonts w:ascii="Times New Roman" w:eastAsia="Times New Roman" w:hAnsi="Times New Roman" w:cs="Times New Roman"/>
          <w:kern w:val="0"/>
        </w:rPr>
        <w:t>Scientia</w:t>
      </w:r>
      <w:proofErr w:type="spellEnd"/>
      <w:r w:rsidRPr="00024ED6">
        <w:rPr>
          <w:rFonts w:ascii="Times New Roman" w:eastAsia="Times New Roman" w:hAnsi="Times New Roman" w:cs="Times New Roman"/>
          <w:kern w:val="0"/>
        </w:rPr>
        <w:t xml:space="preserve"> </w:t>
      </w:r>
      <w:proofErr w:type="spellStart"/>
      <w:r w:rsidRPr="00024ED6">
        <w:rPr>
          <w:rFonts w:ascii="Times New Roman" w:eastAsia="Times New Roman" w:hAnsi="Times New Roman" w:cs="Times New Roman"/>
          <w:kern w:val="0"/>
        </w:rPr>
        <w:t>Horticulturae</w:t>
      </w:r>
      <w:proofErr w:type="spellEnd"/>
      <w:r w:rsidRPr="00024ED6">
        <w:rPr>
          <w:rFonts w:ascii="Times New Roman" w:eastAsia="Times New Roman" w:hAnsi="Times New Roman" w:cs="Times New Roman"/>
          <w:kern w:val="0"/>
        </w:rPr>
        <w:t>, 261, 108989.https://doi.org/10.1016/j.scienta.2019.108989</w:t>
      </w:r>
    </w:p>
    <w:p w:rsidR="00024ED6" w:rsidRPr="00C82F2F"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C82F2F">
        <w:rPr>
          <w:rFonts w:ascii="Times New Roman" w:eastAsia="Times New Roman" w:hAnsi="Times New Roman" w:cs="Times New Roman"/>
          <w:kern w:val="0"/>
        </w:rPr>
        <w:t xml:space="preserve">Shan, F., Zhang, R., Zhang, J., Wang, C., </w:t>
      </w:r>
      <w:proofErr w:type="spellStart"/>
      <w:r w:rsidRPr="00C82F2F">
        <w:rPr>
          <w:rFonts w:ascii="Times New Roman" w:eastAsia="Times New Roman" w:hAnsi="Times New Roman" w:cs="Times New Roman"/>
          <w:kern w:val="0"/>
        </w:rPr>
        <w:t>Lyu</w:t>
      </w:r>
      <w:proofErr w:type="spellEnd"/>
      <w:r w:rsidRPr="00C82F2F">
        <w:rPr>
          <w:rFonts w:ascii="Times New Roman" w:eastAsia="Times New Roman" w:hAnsi="Times New Roman" w:cs="Times New Roman"/>
          <w:kern w:val="0"/>
        </w:rPr>
        <w:t>, X., Xin, T., Yan, C., Dong, S., Ma, C., &amp; Gong, Z. (2021). Study on the regulatory effects of GA₃ on soybean internode elongation. Plants, 10(8), 1737.https://doi.org/10.3390/plants10081737</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tl/>
        </w:rPr>
      </w:pPr>
      <w:r w:rsidRPr="00024ED6">
        <w:rPr>
          <w:rFonts w:ascii="Times New Roman" w:eastAsia="Times New Roman" w:hAnsi="Times New Roman" w:cs="Times New Roman"/>
          <w:kern w:val="0"/>
        </w:rPr>
        <w:t xml:space="preserve">Shu, K., Liu, X. D., </w:t>
      </w:r>
      <w:proofErr w:type="spellStart"/>
      <w:r w:rsidRPr="00024ED6">
        <w:rPr>
          <w:rFonts w:ascii="Times New Roman" w:eastAsia="Times New Roman" w:hAnsi="Times New Roman" w:cs="Times New Roman"/>
          <w:kern w:val="0"/>
        </w:rPr>
        <w:t>Xie</w:t>
      </w:r>
      <w:proofErr w:type="spellEnd"/>
      <w:r w:rsidRPr="00024ED6">
        <w:rPr>
          <w:rFonts w:ascii="Times New Roman" w:eastAsia="Times New Roman" w:hAnsi="Times New Roman" w:cs="Times New Roman"/>
          <w:kern w:val="0"/>
        </w:rPr>
        <w:t>, Q., &amp; He, Z. H. (2016). Two faces of one seed: Hormonal regulation of dormancy and germination. Molecular Plant, 9(1), 34–45.https://doi.org/10.1016/j.molp.2015.08.010</w:t>
      </w:r>
    </w:p>
    <w:p w:rsidR="00024ED6" w:rsidRDefault="00024ED6" w:rsidP="00C82F2F">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Pr>
      </w:pPr>
      <w:proofErr w:type="spellStart"/>
      <w:r w:rsidRPr="00C82F2F">
        <w:rPr>
          <w:rFonts w:ascii="Times New Roman" w:eastAsia="Times New Roman" w:hAnsi="Times New Roman" w:cs="Times New Roman"/>
          <w:kern w:val="0"/>
        </w:rPr>
        <w:t>Wakchaure</w:t>
      </w:r>
      <w:proofErr w:type="spellEnd"/>
      <w:r w:rsidRPr="00C82F2F">
        <w:rPr>
          <w:rFonts w:ascii="Times New Roman" w:eastAsia="Times New Roman" w:hAnsi="Times New Roman" w:cs="Times New Roman"/>
          <w:kern w:val="0"/>
        </w:rPr>
        <w:t>, G. C., Minhas, P. S., Kumar, S., Mane, P., Kumar, P. S., Rane, J., &amp; Pathak, H. (2023). Long-term response of dragon fruit (</w:t>
      </w:r>
      <w:proofErr w:type="spellStart"/>
      <w:r w:rsidRPr="00C82F2F">
        <w:rPr>
          <w:rFonts w:ascii="Times New Roman" w:eastAsia="Times New Roman" w:hAnsi="Times New Roman" w:cs="Times New Roman"/>
          <w:kern w:val="0"/>
        </w:rPr>
        <w:t>Hylocereus</w:t>
      </w:r>
      <w:proofErr w:type="spellEnd"/>
      <w:r w:rsidRPr="00C82F2F">
        <w:rPr>
          <w:rFonts w:ascii="Times New Roman" w:eastAsia="Times New Roman" w:hAnsi="Times New Roman" w:cs="Times New Roman"/>
          <w:kern w:val="0"/>
        </w:rPr>
        <w:t xml:space="preserve"> </w:t>
      </w:r>
      <w:proofErr w:type="spellStart"/>
      <w:r w:rsidRPr="00C82F2F">
        <w:rPr>
          <w:rFonts w:ascii="Times New Roman" w:eastAsia="Times New Roman" w:hAnsi="Times New Roman" w:cs="Times New Roman"/>
          <w:kern w:val="0"/>
        </w:rPr>
        <w:t>undatus</w:t>
      </w:r>
      <w:proofErr w:type="spellEnd"/>
      <w:r w:rsidRPr="00C82F2F">
        <w:rPr>
          <w:rFonts w:ascii="Times New Roman" w:eastAsia="Times New Roman" w:hAnsi="Times New Roman" w:cs="Times New Roman"/>
          <w:kern w:val="0"/>
        </w:rPr>
        <w:t>) to transformed rooting zone of a shallow soil improving yield, storage quality</w:t>
      </w:r>
      <w:r>
        <w:rPr>
          <w:rFonts w:ascii="Times New Roman" w:eastAsia="Times New Roman" w:hAnsi="Times New Roman" w:cs="Times New Roman"/>
          <w:kern w:val="0"/>
        </w:rPr>
        <w:t>,</w:t>
      </w:r>
      <w:r w:rsidRPr="00C82F2F">
        <w:rPr>
          <w:rFonts w:ascii="Times New Roman" w:eastAsia="Times New Roman" w:hAnsi="Times New Roman" w:cs="Times New Roman"/>
          <w:kern w:val="0"/>
        </w:rPr>
        <w:t xml:space="preserve"> and profitability in a drought-prone semi-arid agro-ecosystem. Saudi Journal of Biological Sciences, 30, 10306.https://doi.org/10.1016/j.sjbs.2022.103497</w:t>
      </w:r>
    </w:p>
    <w:p w:rsid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Pr>
      </w:pPr>
      <w:r w:rsidRPr="00024ED6">
        <w:rPr>
          <w:rFonts w:ascii="Times New Roman" w:eastAsia="Times New Roman" w:hAnsi="Times New Roman" w:cs="Times New Roman"/>
          <w:kern w:val="0"/>
        </w:rPr>
        <w:t>Zhao, Y., Chen, Z., &amp; Zhang, J. (2022). Hormonal priming improves seed germination and seedling establishment under abiotic stress conditions. Frontiers in Plant Science, 13, 873421.https://doi.org/10.3389/fpls.2022.873421</w:t>
      </w:r>
    </w:p>
    <w:p w:rsidR="00024ED6" w:rsidRPr="00024ED6" w:rsidRDefault="00024ED6" w:rsidP="00024ED6">
      <w:pPr>
        <w:pStyle w:val="ListParagraph"/>
        <w:numPr>
          <w:ilvl w:val="0"/>
          <w:numId w:val="7"/>
        </w:numPr>
        <w:bidi w:val="0"/>
        <w:spacing w:before="100" w:beforeAutospacing="1" w:after="100" w:afterAutospacing="1" w:line="240" w:lineRule="auto"/>
        <w:jc w:val="both"/>
        <w:rPr>
          <w:rFonts w:ascii="Times New Roman" w:eastAsia="Times New Roman" w:hAnsi="Times New Roman" w:cs="Times New Roman"/>
          <w:kern w:val="0"/>
        </w:rPr>
      </w:pPr>
      <w:r w:rsidRPr="00024ED6">
        <w:rPr>
          <w:rFonts w:ascii="Times New Roman" w:eastAsia="Times New Roman" w:hAnsi="Times New Roman" w:cs="Times New Roman"/>
          <w:kern w:val="0"/>
        </w:rPr>
        <w:t>Zhao, Y., Chen, Z., &amp; Zhang, J. (2022). Hormonal priming improves seed germination and seedling establishment under abiotic stress conditions. Frontiers in Plant Science, 13, 873421.https://doi.org/10.3389/fpls.2022.873421</w:t>
      </w:r>
    </w:p>
    <w:sectPr w:rsidR="00024ED6" w:rsidRPr="00024ED6" w:rsidSect="0080725F">
      <w:pgSz w:w="11906" w:h="16838"/>
      <w:pgMar w:top="1440" w:right="1800" w:bottom="1276"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B Garamond">
    <w:altName w:val="Cambria Math"/>
    <w:charset w:val="00"/>
    <w:family w:val="auto"/>
    <w:pitch w:val="variable"/>
    <w:sig w:usb0="00000001" w:usb1="0200041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1CFD"/>
    <w:multiLevelType w:val="hybridMultilevel"/>
    <w:tmpl w:val="142650F4"/>
    <w:lvl w:ilvl="0" w:tplc="6F14EF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34E10"/>
    <w:multiLevelType w:val="hybridMultilevel"/>
    <w:tmpl w:val="52A288B6"/>
    <w:lvl w:ilvl="0" w:tplc="9086EB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74C3C"/>
    <w:multiLevelType w:val="multilevel"/>
    <w:tmpl w:val="CDBA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6769E"/>
    <w:multiLevelType w:val="multilevel"/>
    <w:tmpl w:val="D64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4B08A7"/>
    <w:multiLevelType w:val="multilevel"/>
    <w:tmpl w:val="654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F27EB9"/>
    <w:multiLevelType w:val="hybridMultilevel"/>
    <w:tmpl w:val="70225408"/>
    <w:lvl w:ilvl="0" w:tplc="62D85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7B3056"/>
    <w:multiLevelType w:val="multilevel"/>
    <w:tmpl w:val="0FB0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xNDAwNDGwsLA0NDI3NrZQ0lEKTi0uzszPAykwqgUAi9KWHywAAAA="/>
  </w:docVars>
  <w:rsids>
    <w:rsidRoot w:val="008B2E53"/>
    <w:rsid w:val="00000B2B"/>
    <w:rsid w:val="00024ED6"/>
    <w:rsid w:val="0007057B"/>
    <w:rsid w:val="000E57B8"/>
    <w:rsid w:val="00117EFA"/>
    <w:rsid w:val="001202C8"/>
    <w:rsid w:val="00170B92"/>
    <w:rsid w:val="00171851"/>
    <w:rsid w:val="00173D03"/>
    <w:rsid w:val="001944AE"/>
    <w:rsid w:val="00194D31"/>
    <w:rsid w:val="001A215A"/>
    <w:rsid w:val="001B2EA2"/>
    <w:rsid w:val="00206536"/>
    <w:rsid w:val="00291B89"/>
    <w:rsid w:val="0029226A"/>
    <w:rsid w:val="002D09E4"/>
    <w:rsid w:val="003469E6"/>
    <w:rsid w:val="00361F9E"/>
    <w:rsid w:val="00381B2C"/>
    <w:rsid w:val="003E054E"/>
    <w:rsid w:val="003E54F7"/>
    <w:rsid w:val="00432EED"/>
    <w:rsid w:val="00460DB6"/>
    <w:rsid w:val="00475C70"/>
    <w:rsid w:val="004857CB"/>
    <w:rsid w:val="00495749"/>
    <w:rsid w:val="004E792F"/>
    <w:rsid w:val="00561FC3"/>
    <w:rsid w:val="00591094"/>
    <w:rsid w:val="0059565A"/>
    <w:rsid w:val="005D1276"/>
    <w:rsid w:val="006100E2"/>
    <w:rsid w:val="00616267"/>
    <w:rsid w:val="00634895"/>
    <w:rsid w:val="00641987"/>
    <w:rsid w:val="00664C1F"/>
    <w:rsid w:val="00682B0F"/>
    <w:rsid w:val="006D7839"/>
    <w:rsid w:val="006F2362"/>
    <w:rsid w:val="0072193E"/>
    <w:rsid w:val="00751C25"/>
    <w:rsid w:val="00760858"/>
    <w:rsid w:val="007C38DA"/>
    <w:rsid w:val="007D7982"/>
    <w:rsid w:val="0080725F"/>
    <w:rsid w:val="00841674"/>
    <w:rsid w:val="0086616A"/>
    <w:rsid w:val="008731D3"/>
    <w:rsid w:val="00884F61"/>
    <w:rsid w:val="008A4021"/>
    <w:rsid w:val="008B2E53"/>
    <w:rsid w:val="00991716"/>
    <w:rsid w:val="00995C64"/>
    <w:rsid w:val="009E312B"/>
    <w:rsid w:val="009F6317"/>
    <w:rsid w:val="009F6E46"/>
    <w:rsid w:val="00A23F7A"/>
    <w:rsid w:val="00A314DC"/>
    <w:rsid w:val="00A533FD"/>
    <w:rsid w:val="00A56665"/>
    <w:rsid w:val="00A819FB"/>
    <w:rsid w:val="00B37FFA"/>
    <w:rsid w:val="00B7227F"/>
    <w:rsid w:val="00B82B50"/>
    <w:rsid w:val="00B976E3"/>
    <w:rsid w:val="00BA1371"/>
    <w:rsid w:val="00BB6902"/>
    <w:rsid w:val="00C40FCC"/>
    <w:rsid w:val="00C53AA7"/>
    <w:rsid w:val="00C73988"/>
    <w:rsid w:val="00C82F2F"/>
    <w:rsid w:val="00CC23A4"/>
    <w:rsid w:val="00CD5250"/>
    <w:rsid w:val="00CD64E3"/>
    <w:rsid w:val="00CD7A61"/>
    <w:rsid w:val="00D04EB5"/>
    <w:rsid w:val="00D360AD"/>
    <w:rsid w:val="00DB7CCC"/>
    <w:rsid w:val="00DC0209"/>
    <w:rsid w:val="00DD0805"/>
    <w:rsid w:val="00DF65CD"/>
    <w:rsid w:val="00E04B75"/>
    <w:rsid w:val="00E100C1"/>
    <w:rsid w:val="00E158B2"/>
    <w:rsid w:val="00E66268"/>
    <w:rsid w:val="00EF436F"/>
    <w:rsid w:val="00EF68D9"/>
    <w:rsid w:val="00F00E77"/>
    <w:rsid w:val="00F0461C"/>
    <w:rsid w:val="00F331E9"/>
    <w:rsid w:val="00F631FB"/>
    <w:rsid w:val="00F6346B"/>
    <w:rsid w:val="00FD5047"/>
    <w:rsid w:val="00FF5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4E3"/>
    <w:pPr>
      <w:bidi/>
    </w:pPr>
  </w:style>
  <w:style w:type="paragraph" w:styleId="Heading1">
    <w:name w:val="heading 1"/>
    <w:basedOn w:val="Normal"/>
    <w:next w:val="Normal"/>
    <w:link w:val="Heading1Char"/>
    <w:uiPriority w:val="9"/>
    <w:qFormat/>
    <w:rsid w:val="008B2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E53"/>
    <w:rPr>
      <w:rFonts w:eastAsiaTheme="majorEastAsia" w:cstheme="majorBidi"/>
      <w:color w:val="272727" w:themeColor="text1" w:themeTint="D8"/>
    </w:rPr>
  </w:style>
  <w:style w:type="paragraph" w:styleId="Title">
    <w:name w:val="Title"/>
    <w:basedOn w:val="Normal"/>
    <w:next w:val="Normal"/>
    <w:link w:val="TitleChar"/>
    <w:uiPriority w:val="10"/>
    <w:qFormat/>
    <w:rsid w:val="008B2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53"/>
    <w:pPr>
      <w:spacing w:before="160"/>
      <w:jc w:val="center"/>
    </w:pPr>
    <w:rPr>
      <w:i/>
      <w:iCs/>
      <w:color w:val="404040" w:themeColor="text1" w:themeTint="BF"/>
    </w:rPr>
  </w:style>
  <w:style w:type="character" w:customStyle="1" w:styleId="QuoteChar">
    <w:name w:val="Quote Char"/>
    <w:basedOn w:val="DefaultParagraphFont"/>
    <w:link w:val="Quote"/>
    <w:uiPriority w:val="29"/>
    <w:rsid w:val="008B2E53"/>
    <w:rPr>
      <w:i/>
      <w:iCs/>
      <w:color w:val="404040" w:themeColor="text1" w:themeTint="BF"/>
    </w:rPr>
  </w:style>
  <w:style w:type="paragraph" w:styleId="ListParagraph">
    <w:name w:val="List Paragraph"/>
    <w:basedOn w:val="Normal"/>
    <w:uiPriority w:val="34"/>
    <w:qFormat/>
    <w:rsid w:val="008B2E53"/>
    <w:pPr>
      <w:ind w:left="720"/>
      <w:contextualSpacing/>
    </w:pPr>
  </w:style>
  <w:style w:type="character" w:styleId="IntenseEmphasis">
    <w:name w:val="Intense Emphasis"/>
    <w:basedOn w:val="DefaultParagraphFont"/>
    <w:uiPriority w:val="21"/>
    <w:qFormat/>
    <w:rsid w:val="008B2E53"/>
    <w:rPr>
      <w:i/>
      <w:iCs/>
      <w:color w:val="0F4761" w:themeColor="accent1" w:themeShade="BF"/>
    </w:rPr>
  </w:style>
  <w:style w:type="paragraph" w:styleId="IntenseQuote">
    <w:name w:val="Intense Quote"/>
    <w:basedOn w:val="Normal"/>
    <w:next w:val="Normal"/>
    <w:link w:val="IntenseQuoteChar"/>
    <w:uiPriority w:val="30"/>
    <w:qFormat/>
    <w:rsid w:val="008B2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E53"/>
    <w:rPr>
      <w:i/>
      <w:iCs/>
      <w:color w:val="0F4761" w:themeColor="accent1" w:themeShade="BF"/>
    </w:rPr>
  </w:style>
  <w:style w:type="character" w:styleId="IntenseReference">
    <w:name w:val="Intense Reference"/>
    <w:basedOn w:val="DefaultParagraphFont"/>
    <w:uiPriority w:val="32"/>
    <w:qFormat/>
    <w:rsid w:val="008B2E53"/>
    <w:rPr>
      <w:b/>
      <w:bCs/>
      <w:smallCaps/>
      <w:color w:val="0F4761" w:themeColor="accent1" w:themeShade="BF"/>
      <w:spacing w:val="5"/>
    </w:rPr>
  </w:style>
  <w:style w:type="table" w:customStyle="1" w:styleId="PlainTable2">
    <w:name w:val="Plain Table 2"/>
    <w:basedOn w:val="TableNormal"/>
    <w:uiPriority w:val="42"/>
    <w:rsid w:val="00616267"/>
    <w:pPr>
      <w:spacing w:after="0" w:line="240" w:lineRule="auto"/>
    </w:pPr>
    <w:rPr>
      <w:rFonts w:ascii="EB Garamond" w:eastAsia="EB Garamond" w:hAnsi="EB Garamond" w:cs="EB Garamond"/>
      <w:kern w:val="0"/>
      <w:sz w:val="22"/>
      <w:szCs w:val="22"/>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9E312B"/>
    <w:pPr>
      <w:bidi w:val="0"/>
      <w:spacing w:before="100" w:beforeAutospacing="1" w:after="100" w:afterAutospacing="1" w:line="240" w:lineRule="auto"/>
    </w:pPr>
    <w:rPr>
      <w:rFonts w:ascii="Times New Roman" w:eastAsia="Times New Roman" w:hAnsi="Times New Roman" w:cs="Times New Roman"/>
      <w:kern w:val="0"/>
    </w:rPr>
  </w:style>
  <w:style w:type="character" w:customStyle="1" w:styleId="math-inline">
    <w:name w:val="math-inline"/>
    <w:basedOn w:val="DefaultParagraphFont"/>
    <w:rsid w:val="009E312B"/>
  </w:style>
  <w:style w:type="character" w:styleId="Hyperlink">
    <w:name w:val="Hyperlink"/>
    <w:basedOn w:val="DefaultParagraphFont"/>
    <w:uiPriority w:val="99"/>
    <w:unhideWhenUsed/>
    <w:rsid w:val="00DF65CD"/>
    <w:rPr>
      <w:color w:val="467886" w:themeColor="hyperlink"/>
      <w:u w:val="single"/>
    </w:rPr>
  </w:style>
  <w:style w:type="character" w:customStyle="1" w:styleId="UnresolvedMention1">
    <w:name w:val="Unresolved Mention1"/>
    <w:basedOn w:val="DefaultParagraphFont"/>
    <w:uiPriority w:val="99"/>
    <w:semiHidden/>
    <w:unhideWhenUsed/>
    <w:rsid w:val="00B82B50"/>
    <w:rPr>
      <w:color w:val="605E5C"/>
      <w:shd w:val="clear" w:color="auto" w:fill="E1DFDD"/>
    </w:rPr>
  </w:style>
  <w:style w:type="character" w:styleId="FollowedHyperlink">
    <w:name w:val="FollowedHyperlink"/>
    <w:basedOn w:val="DefaultParagraphFont"/>
    <w:uiPriority w:val="99"/>
    <w:semiHidden/>
    <w:unhideWhenUsed/>
    <w:rsid w:val="00B82B50"/>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4248</Words>
  <Characters>24219</Characters>
  <Application>Microsoft Office Word</Application>
  <DocSecurity>0</DocSecurity>
  <Lines>201</Lines>
  <Paragraphs>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GSA</dc:creator>
  <cp:keywords/>
  <dc:description/>
  <cp:lastModifiedBy>user</cp:lastModifiedBy>
  <cp:revision>7</cp:revision>
  <dcterms:created xsi:type="dcterms:W3CDTF">2025-12-12T12:27:00Z</dcterms:created>
  <dcterms:modified xsi:type="dcterms:W3CDTF">2025-12-24T10:57:00Z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623c97ad-4750-452d-a0df-72aeb5453708</vt:lpwstr>
  </property>
</Properties>
</file>