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904" w:rsidRDefault="00B4166D" w:rsidP="00B4166D">
      <w:pPr>
        <w:spacing w:after="0" w:line="240" w:lineRule="auto"/>
        <w:jc w:val="center"/>
        <w:rPr>
          <w:rFonts w:ascii="Times New Roman" w:eastAsia="Times New Roman" w:hAnsi="Times New Roman" w:cs="Times New Roman"/>
          <w:b/>
          <w:bCs/>
          <w:sz w:val="24"/>
          <w:szCs w:val="24"/>
          <w:lang w:eastAsia="en-GB"/>
        </w:rPr>
      </w:pPr>
      <w:r w:rsidRPr="00B4166D">
        <w:rPr>
          <w:rFonts w:ascii="Times New Roman" w:eastAsia="Times New Roman" w:hAnsi="Times New Roman" w:cs="Times New Roman"/>
          <w:b/>
          <w:bCs/>
          <w:sz w:val="24"/>
          <w:szCs w:val="24"/>
          <w:lang w:eastAsia="en-GB"/>
        </w:rPr>
        <w:t>The Effect of Integrated NutrientManagement on Mustard Crop (</w:t>
      </w:r>
      <w:r w:rsidRPr="00192A90">
        <w:rPr>
          <w:rFonts w:ascii="Times New Roman" w:eastAsia="Times New Roman" w:hAnsi="Times New Roman" w:cs="Times New Roman"/>
          <w:b/>
          <w:bCs/>
          <w:i/>
          <w:iCs/>
          <w:sz w:val="24"/>
          <w:szCs w:val="24"/>
          <w:lang w:eastAsia="en-GB"/>
        </w:rPr>
        <w:t>Brassica juncea</w:t>
      </w:r>
      <w:r w:rsidRPr="00B4166D">
        <w:rPr>
          <w:rFonts w:ascii="Times New Roman" w:eastAsia="Times New Roman" w:hAnsi="Times New Roman" w:cs="Times New Roman"/>
          <w:b/>
          <w:bCs/>
          <w:sz w:val="24"/>
          <w:szCs w:val="24"/>
          <w:lang w:eastAsia="en-GB"/>
        </w:rPr>
        <w:t xml:space="preserve"> L.) and Its Influence on Growth andProductivity</w:t>
      </w:r>
    </w:p>
    <w:p w:rsidR="00444904" w:rsidRDefault="00444904" w:rsidP="007E14A3">
      <w:pPr>
        <w:spacing w:after="0" w:line="240" w:lineRule="auto"/>
        <w:jc w:val="center"/>
        <w:rPr>
          <w:rFonts w:ascii="Times New Roman" w:eastAsia="Times New Roman" w:hAnsi="Times New Roman" w:cs="Times New Roman"/>
          <w:b/>
          <w:bCs/>
          <w:sz w:val="24"/>
          <w:szCs w:val="24"/>
          <w:lang w:eastAsia="en-GB"/>
        </w:rPr>
      </w:pPr>
    </w:p>
    <w:p w:rsidR="001D4BC6" w:rsidRDefault="001D4BC6" w:rsidP="00CE7782">
      <w:pPr>
        <w:spacing w:line="240" w:lineRule="auto"/>
        <w:rPr>
          <w:rFonts w:ascii="Times New Roman" w:eastAsia="Times New Roman" w:hAnsi="Times New Roman" w:cs="Times New Roman"/>
          <w:b/>
          <w:bCs/>
          <w:sz w:val="24"/>
          <w:szCs w:val="24"/>
          <w:lang w:eastAsia="en-GB"/>
        </w:rPr>
      </w:pPr>
    </w:p>
    <w:p w:rsidR="004B7EC1" w:rsidRPr="004B7EC1" w:rsidRDefault="00CE7782" w:rsidP="00CE7782">
      <w:pPr>
        <w:spacing w:line="240" w:lineRule="auto"/>
        <w:rPr>
          <w:rFonts w:ascii="Times New Roman" w:eastAsia="Times New Roman" w:hAnsi="Times New Roman" w:cs="Times New Roman"/>
          <w:b/>
          <w:bCs/>
          <w:sz w:val="24"/>
          <w:szCs w:val="24"/>
          <w:lang w:eastAsia="en-GB"/>
        </w:rPr>
      </w:pPr>
      <w:r w:rsidRPr="004B7EC1">
        <w:rPr>
          <w:rFonts w:ascii="Times New Roman" w:eastAsia="Times New Roman" w:hAnsi="Times New Roman" w:cs="Times New Roman"/>
          <w:b/>
          <w:bCs/>
          <w:sz w:val="24"/>
          <w:szCs w:val="24"/>
          <w:lang w:eastAsia="en-GB"/>
        </w:rPr>
        <w:t>Abstract</w:t>
      </w:r>
    </w:p>
    <w:p w:rsidR="004B7EC1" w:rsidRPr="004B7EC1" w:rsidRDefault="004B7EC1" w:rsidP="004B7EC1">
      <w:pPr>
        <w:spacing w:after="0" w:line="360" w:lineRule="auto"/>
        <w:jc w:val="both"/>
        <w:rPr>
          <w:rFonts w:ascii="Times New Roman" w:eastAsia="Times New Roman" w:hAnsi="Times New Roman" w:cs="Times New Roman"/>
          <w:sz w:val="24"/>
          <w:szCs w:val="24"/>
          <w:lang w:eastAsia="en-GB"/>
        </w:rPr>
      </w:pPr>
      <w:r w:rsidRPr="004B7EC1">
        <w:rPr>
          <w:rFonts w:ascii="Times New Roman" w:eastAsia="Times New Roman" w:hAnsi="Times New Roman" w:cs="Times New Roman"/>
          <w:sz w:val="24"/>
          <w:szCs w:val="24"/>
          <w:lang w:eastAsia="en-GB"/>
        </w:rPr>
        <w:t>Integrated nutrient management (INM) plays a crucial role in optimizing growth and productivity in Indian mustard (</w:t>
      </w:r>
      <w:r w:rsidRPr="00192A90">
        <w:rPr>
          <w:rFonts w:ascii="Times New Roman" w:eastAsia="Times New Roman" w:hAnsi="Times New Roman" w:cs="Times New Roman"/>
          <w:i/>
          <w:iCs/>
          <w:sz w:val="24"/>
          <w:szCs w:val="24"/>
          <w:lang w:eastAsia="en-GB"/>
        </w:rPr>
        <w:t>Brassica juncea</w:t>
      </w:r>
      <w:r w:rsidRPr="004B7EC1">
        <w:rPr>
          <w:rFonts w:ascii="Times New Roman" w:eastAsia="Times New Roman" w:hAnsi="Times New Roman" w:cs="Times New Roman"/>
          <w:sz w:val="24"/>
          <w:szCs w:val="24"/>
          <w:lang w:eastAsia="en-GB"/>
        </w:rPr>
        <w:t xml:space="preserve"> L.). The present study</w:t>
      </w:r>
      <w:r w:rsidR="00991051">
        <w:rPr>
          <w:rFonts w:ascii="Times New Roman" w:eastAsia="Times New Roman" w:hAnsi="Times New Roman" w:cs="Times New Roman"/>
          <w:sz w:val="24"/>
          <w:szCs w:val="24"/>
          <w:lang w:eastAsia="en-GB"/>
        </w:rPr>
        <w:t xml:space="preserve"> in Mewar University, 2024-25,</w:t>
      </w:r>
      <w:r w:rsidRPr="004B7EC1">
        <w:rPr>
          <w:rFonts w:ascii="Times New Roman" w:eastAsia="Times New Roman" w:hAnsi="Times New Roman" w:cs="Times New Roman"/>
          <w:sz w:val="24"/>
          <w:szCs w:val="24"/>
          <w:lang w:eastAsia="en-GB"/>
        </w:rPr>
        <w:t xml:space="preserve"> evaluated the effect of different INM treatments on plant growth, biomass accumulation, and yield components. The results demonstrated that increasing nutrient integration significantly enhanced vegetative growth parameters, including plant height, plant population, and dry matter accumulation at both 30 and 60 DAS. Yield-attributing traits such as siliqua length, number of siliquae per plant, seeds per siliqua, and 1000-seed weight also improved markedly under INM. Among all treatments, T10 consistently recorded the highest growth and yield, producing a maximum seed yield of 2630 kg/ha and biological yield of 7490 kg/ha, along with the highest harvest index and leaf area index. The findings highlight the synergistic benefits of integrating organic and inorganic nutrient sources, which enhance nutrient uptake efficiency and promote balanced crop development. Overall, INM proved to be an effective strategy for improving the productivity and resource-use efficiency of Indian mustard, supporting its adoption in sustainable agriculture systems.</w:t>
      </w:r>
    </w:p>
    <w:p w:rsidR="00BE3021" w:rsidRPr="00991051" w:rsidRDefault="004B7EC1" w:rsidP="0099105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sidRPr="004B7EC1">
        <w:rPr>
          <w:rFonts w:ascii="Times New Roman" w:eastAsia="Times New Roman" w:hAnsi="Times New Roman" w:cs="Times New Roman"/>
          <w:b/>
          <w:bCs/>
          <w:kern w:val="36"/>
          <w:sz w:val="24"/>
          <w:szCs w:val="24"/>
          <w:lang w:eastAsia="en-GB"/>
        </w:rPr>
        <w:t xml:space="preserve">Keywords: </w:t>
      </w:r>
      <w:r w:rsidRPr="004B7EC1">
        <w:rPr>
          <w:rFonts w:ascii="Times New Roman" w:eastAsia="Times New Roman" w:hAnsi="Times New Roman" w:cs="Times New Roman"/>
          <w:sz w:val="24"/>
          <w:szCs w:val="24"/>
          <w:lang w:eastAsia="en-GB"/>
        </w:rPr>
        <w:t>Indian mustard; integrated nutrient management; plant growth; dry matter accumulation; yield attributes</w:t>
      </w:r>
    </w:p>
    <w:p w:rsidR="00BE3021" w:rsidRPr="00BE3021" w:rsidRDefault="00BE3021" w:rsidP="00BE3021">
      <w:pPr>
        <w:spacing w:before="100" w:beforeAutospacing="1" w:after="100" w:afterAutospacing="1" w:line="240" w:lineRule="auto"/>
        <w:rPr>
          <w:rFonts w:ascii="Times New Roman" w:eastAsia="Times New Roman" w:hAnsi="Times New Roman" w:cs="Times New Roman"/>
          <w:sz w:val="24"/>
          <w:szCs w:val="24"/>
          <w:lang w:eastAsia="en-GB"/>
        </w:rPr>
      </w:pPr>
      <w:r w:rsidRPr="00BE3021">
        <w:rPr>
          <w:rFonts w:ascii="Times New Roman" w:eastAsia="Times New Roman" w:hAnsi="Times New Roman" w:cs="Times New Roman"/>
          <w:b/>
          <w:bCs/>
          <w:sz w:val="24"/>
          <w:szCs w:val="24"/>
          <w:lang w:eastAsia="en-GB"/>
        </w:rPr>
        <w:t>Introduction</w:t>
      </w:r>
    </w:p>
    <w:p w:rsidR="00BE3021" w:rsidRPr="00BE3021" w:rsidRDefault="00BE3021" w:rsidP="00444904">
      <w:pPr>
        <w:spacing w:before="100" w:beforeAutospacing="1" w:after="100" w:afterAutospacing="1" w:line="360" w:lineRule="auto"/>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The oilseed crop </w:t>
      </w:r>
      <w:r w:rsidRPr="00BE3021">
        <w:rPr>
          <w:rFonts w:ascii="Times New Roman" w:eastAsia="Times New Roman" w:hAnsi="Times New Roman" w:cs="Times New Roman"/>
          <w:i/>
          <w:iCs/>
          <w:sz w:val="24"/>
          <w:szCs w:val="24"/>
          <w:lang w:eastAsia="en-GB"/>
        </w:rPr>
        <w:t>Brassica juncea L.</w:t>
      </w:r>
      <w:r w:rsidRPr="00BE3021">
        <w:rPr>
          <w:rFonts w:ascii="Times New Roman" w:eastAsia="Times New Roman" w:hAnsi="Times New Roman" w:cs="Times New Roman"/>
          <w:sz w:val="24"/>
          <w:szCs w:val="24"/>
          <w:lang w:eastAsia="en-GB"/>
        </w:rPr>
        <w:t xml:space="preserve"> (Indian mustard) is one of the most widely cultivated winter (rabi) crops in India and other parts of South Asia, valued both for its edible oil and as a protein‐rich seed meal. Its adaptability to residual moisture environments and its importance for domestic edible oil security make it a critical crop in agronomic research (Chandan et al. 2018; Singh &amp; Debbarma 2022). However, intensive cultivation of mustard using high yielding varieties and conventional heavy reliance on chemical fertilisers has led to declining soil fertility, nutrient imbalances and a widening gap between nutrient removal and supply (Patel et al. 2024).</w:t>
      </w:r>
    </w:p>
    <w:p w:rsidR="00BE3021" w:rsidRP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Integrated Nutrient Management (INM) has emerged as a promising agronomic strategy. INM combines organic manures, bio-fertilisers and chemical fertilisers in a </w:t>
      </w:r>
      <w:r w:rsidRPr="00BE3021">
        <w:rPr>
          <w:rFonts w:ascii="Times New Roman" w:eastAsia="Times New Roman" w:hAnsi="Times New Roman" w:cs="Times New Roman"/>
          <w:sz w:val="24"/>
          <w:szCs w:val="24"/>
          <w:lang w:eastAsia="en-GB"/>
        </w:rPr>
        <w:lastRenderedPageBreak/>
        <w:t xml:space="preserve">synergistic way to optimise crop nutrient supply, enhance soil health and sustain productivity over the long term (Devkota et al. 2020). For mustard, numerous studies have reported that INM improves growth attributes (plant height, branch number), yield components (siliqua number, seeds per siliqua), nutrient uptake and economic returns compared to the exclusive use of chemical fertilisers (Varma et al. 2021; </w:t>
      </w:r>
      <w:proofErr w:type="spellStart"/>
      <w:r w:rsidRPr="00BE3021">
        <w:rPr>
          <w:rFonts w:ascii="Times New Roman" w:eastAsia="Times New Roman" w:hAnsi="Times New Roman" w:cs="Times New Roman"/>
          <w:sz w:val="24"/>
          <w:szCs w:val="24"/>
          <w:lang w:eastAsia="en-GB"/>
        </w:rPr>
        <w:t>Sreerenjiny&amp;Debbarma</w:t>
      </w:r>
      <w:proofErr w:type="spellEnd"/>
      <w:r w:rsidRPr="00BE3021">
        <w:rPr>
          <w:rFonts w:ascii="Times New Roman" w:eastAsia="Times New Roman" w:hAnsi="Times New Roman" w:cs="Times New Roman"/>
          <w:sz w:val="24"/>
          <w:szCs w:val="24"/>
          <w:lang w:eastAsia="en-GB"/>
        </w:rPr>
        <w:t xml:space="preserve"> 2022). For example, Chandan et al. (2018) found that 75 % RDF + vermicompost + Azotobacter/PSB significantly enhanced seed yield and nutrient uptake in </w:t>
      </w:r>
      <w:r w:rsidRPr="00BE3021">
        <w:rPr>
          <w:rFonts w:ascii="Times New Roman" w:eastAsia="Times New Roman" w:hAnsi="Times New Roman" w:cs="Times New Roman"/>
          <w:i/>
          <w:iCs/>
          <w:sz w:val="24"/>
          <w:szCs w:val="24"/>
          <w:lang w:eastAsia="en-GB"/>
        </w:rPr>
        <w:t>B. juncea</w:t>
      </w:r>
      <w:r w:rsidRPr="00BE3021">
        <w:rPr>
          <w:rFonts w:ascii="Times New Roman" w:eastAsia="Times New Roman" w:hAnsi="Times New Roman" w:cs="Times New Roman"/>
          <w:sz w:val="24"/>
          <w:szCs w:val="24"/>
          <w:lang w:eastAsia="en-GB"/>
        </w:rPr>
        <w:t>.</w:t>
      </w:r>
    </w:p>
    <w:p w:rsidR="00BE3021" w:rsidRP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The rationale for employing INM in mustard cropping is supported by multiple mechanisms. Organic manures and vermicompost improve soil physical structure, microbial activity and nutrient release patterns, thus complementing the immediate nutrient supply from chemical fertilisers (Kumar et al. 2022). Bio-fertilisers such as </w:t>
      </w:r>
      <w:proofErr w:type="spellStart"/>
      <w:r w:rsidRPr="00BE3021">
        <w:rPr>
          <w:rFonts w:ascii="Times New Roman" w:eastAsia="Times New Roman" w:hAnsi="Times New Roman" w:cs="Times New Roman"/>
          <w:sz w:val="24"/>
          <w:szCs w:val="24"/>
          <w:lang w:eastAsia="en-GB"/>
        </w:rPr>
        <w:t>Azotobacter</w:t>
      </w:r>
      <w:proofErr w:type="spellEnd"/>
      <w:r w:rsidRPr="00BE3021">
        <w:rPr>
          <w:rFonts w:ascii="Times New Roman" w:eastAsia="Times New Roman" w:hAnsi="Times New Roman" w:cs="Times New Roman"/>
          <w:sz w:val="24"/>
          <w:szCs w:val="24"/>
          <w:lang w:eastAsia="en-GB"/>
        </w:rPr>
        <w:t xml:space="preserve">, </w:t>
      </w:r>
      <w:proofErr w:type="spellStart"/>
      <w:r w:rsidRPr="00BE3021">
        <w:rPr>
          <w:rFonts w:ascii="Times New Roman" w:eastAsia="Times New Roman" w:hAnsi="Times New Roman" w:cs="Times New Roman"/>
          <w:sz w:val="24"/>
          <w:szCs w:val="24"/>
          <w:lang w:eastAsia="en-GB"/>
        </w:rPr>
        <w:t>Azospirillum</w:t>
      </w:r>
      <w:proofErr w:type="spellEnd"/>
      <w:r w:rsidRPr="00BE3021">
        <w:rPr>
          <w:rFonts w:ascii="Times New Roman" w:eastAsia="Times New Roman" w:hAnsi="Times New Roman" w:cs="Times New Roman"/>
          <w:sz w:val="24"/>
          <w:szCs w:val="24"/>
          <w:lang w:eastAsia="en-GB"/>
        </w:rPr>
        <w:t xml:space="preserve"> and phosphorus-solubilising bacteria (PSB) further enhance nutrient availability and uptake efficiency (Mukhi et al. 2024). By integrating these components, INM can reduce dependency on high doses of chemical fertilisers, reduce nutrient losses (leaching, volatilisation), and enhance nutrient use efficiency—yielding both agronomic and environmental benefits.</w:t>
      </w:r>
    </w:p>
    <w:p w:rsidR="00BE3021" w:rsidRP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 xml:space="preserve">From a productivity standpoint, the evidence is growing that INM enhances yield, improves seed quality and strengthens economic viability of mustard cultivation. Studies have reported increases in seed and stover yields, higher oil and protein content, and favourable </w:t>
      </w:r>
      <w:proofErr w:type="spellStart"/>
      <w:r w:rsidRPr="00BE3021">
        <w:rPr>
          <w:rFonts w:ascii="Times New Roman" w:eastAsia="Times New Roman" w:hAnsi="Times New Roman" w:cs="Times New Roman"/>
          <w:sz w:val="24"/>
          <w:szCs w:val="24"/>
          <w:lang w:eastAsia="en-GB"/>
        </w:rPr>
        <w:t>benefit:cost</w:t>
      </w:r>
      <w:proofErr w:type="spellEnd"/>
      <w:r w:rsidRPr="00BE3021">
        <w:rPr>
          <w:rFonts w:ascii="Times New Roman" w:eastAsia="Times New Roman" w:hAnsi="Times New Roman" w:cs="Times New Roman"/>
          <w:sz w:val="24"/>
          <w:szCs w:val="24"/>
          <w:lang w:eastAsia="en-GB"/>
        </w:rPr>
        <w:t xml:space="preserve"> ratios when INM treatments are compared to sole chemical fertiliser treatments. Moreover, INM helps maintain or improve post-harvest soil fertility, thus contributing towards sustainability of the production system</w:t>
      </w:r>
      <w:r w:rsidR="00F26DA5">
        <w:rPr>
          <w:rFonts w:ascii="Times New Roman" w:eastAsia="Times New Roman" w:hAnsi="Times New Roman" w:cs="Times New Roman"/>
          <w:sz w:val="24"/>
          <w:szCs w:val="24"/>
          <w:lang w:eastAsia="en-GB"/>
        </w:rPr>
        <w:t>.</w:t>
      </w:r>
    </w:p>
    <w:p w:rsidR="00BE3021" w:rsidRDefault="00BE302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BE3021">
        <w:rPr>
          <w:rFonts w:ascii="Times New Roman" w:eastAsia="Times New Roman" w:hAnsi="Times New Roman" w:cs="Times New Roman"/>
          <w:sz w:val="24"/>
          <w:szCs w:val="24"/>
          <w:lang w:eastAsia="en-GB"/>
        </w:rPr>
        <w:t>There is variability in results depending on soil type, climate, organic manure source, bio-fertiliser strains and treatment combinations. Further, the interaction effects of macro-nutrients (NPK) with sulphur, zinc and other micro-nutrients in the context of INM for mustard require more systematic investigation (Varma et al. 2021). Additionally, while many studies focus on yield and growth parameters, fewer examine the mechanistic basis of how INM affects physiological traits, root growth, nutrient partitioning and long-term soil health in mustard systems.</w:t>
      </w:r>
    </w:p>
    <w:p w:rsidR="001C3F91" w:rsidRPr="001C3F91" w:rsidRDefault="001C3F91" w:rsidP="001C3F91">
      <w:pPr>
        <w:spacing w:before="100" w:beforeAutospacing="1" w:after="100" w:afterAutospacing="1"/>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t>2. MATERIALS AND METHODS</w:t>
      </w:r>
    </w:p>
    <w:p w:rsidR="001C3F91" w:rsidRPr="001C3F91" w:rsidRDefault="001C3F91" w:rsidP="00444904">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lastRenderedPageBreak/>
        <w:t>2.1 Experimental Site</w:t>
      </w:r>
    </w:p>
    <w:p w:rsidR="001C3F91" w:rsidRPr="001C3F91" w:rsidRDefault="001C3F9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C3F91">
        <w:rPr>
          <w:rFonts w:ascii="Times New Roman" w:eastAsia="Times New Roman" w:hAnsi="Times New Roman" w:cs="Times New Roman"/>
          <w:sz w:val="24"/>
          <w:szCs w:val="24"/>
          <w:lang w:eastAsia="en-GB"/>
        </w:rPr>
        <w:t xml:space="preserve">The present study was conducted during the 2024–25 rabi season at the Experimental Farm ofthe Department of Agronomy, Faculty of Agriculture and Veterinary Sciences, </w:t>
      </w:r>
      <w:proofErr w:type="spellStart"/>
      <w:r w:rsidRPr="001C3F91">
        <w:rPr>
          <w:rFonts w:ascii="Times New Roman" w:eastAsia="Times New Roman" w:hAnsi="Times New Roman" w:cs="Times New Roman"/>
          <w:sz w:val="24"/>
          <w:szCs w:val="24"/>
          <w:lang w:eastAsia="en-GB"/>
        </w:rPr>
        <w:t>MewarUniversity</w:t>
      </w:r>
      <w:proofErr w:type="spellEnd"/>
      <w:r w:rsidRPr="001C3F91">
        <w:rPr>
          <w:rFonts w:ascii="Times New Roman" w:eastAsia="Times New Roman" w:hAnsi="Times New Roman" w:cs="Times New Roman"/>
          <w:sz w:val="24"/>
          <w:szCs w:val="24"/>
          <w:lang w:eastAsia="en-GB"/>
        </w:rPr>
        <w:t xml:space="preserve">, </w:t>
      </w:r>
      <w:proofErr w:type="spellStart"/>
      <w:r w:rsidRPr="001C3F91">
        <w:rPr>
          <w:rFonts w:ascii="Times New Roman" w:eastAsia="Times New Roman" w:hAnsi="Times New Roman" w:cs="Times New Roman"/>
          <w:sz w:val="24"/>
          <w:szCs w:val="24"/>
          <w:lang w:eastAsia="en-GB"/>
        </w:rPr>
        <w:t>Gangrar</w:t>
      </w:r>
      <w:proofErr w:type="spellEnd"/>
      <w:r w:rsidRPr="001C3F91">
        <w:rPr>
          <w:rFonts w:ascii="Times New Roman" w:eastAsia="Times New Roman" w:hAnsi="Times New Roman" w:cs="Times New Roman"/>
          <w:sz w:val="24"/>
          <w:szCs w:val="24"/>
          <w:lang w:eastAsia="en-GB"/>
        </w:rPr>
        <w:t xml:space="preserve">, </w:t>
      </w:r>
      <w:proofErr w:type="spellStart"/>
      <w:r w:rsidRPr="001C3F91">
        <w:rPr>
          <w:rFonts w:ascii="Times New Roman" w:eastAsia="Times New Roman" w:hAnsi="Times New Roman" w:cs="Times New Roman"/>
          <w:sz w:val="24"/>
          <w:szCs w:val="24"/>
          <w:lang w:eastAsia="en-GB"/>
        </w:rPr>
        <w:t>Chittorgarh</w:t>
      </w:r>
      <w:proofErr w:type="spellEnd"/>
      <w:r w:rsidRPr="001C3F91">
        <w:rPr>
          <w:rFonts w:ascii="Times New Roman" w:eastAsia="Times New Roman" w:hAnsi="Times New Roman" w:cs="Times New Roman"/>
          <w:sz w:val="24"/>
          <w:szCs w:val="24"/>
          <w:lang w:eastAsia="en-GB"/>
        </w:rPr>
        <w:t>, Rajasthan.</w:t>
      </w:r>
    </w:p>
    <w:p w:rsidR="001C3F91" w:rsidRPr="001C3F91" w:rsidRDefault="001C3F91" w:rsidP="001C3F91">
      <w:pPr>
        <w:spacing w:before="100" w:beforeAutospacing="1" w:after="100" w:afterAutospacing="1"/>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t>2.2 Climate and Weather Conditions</w:t>
      </w:r>
    </w:p>
    <w:p w:rsidR="001C3F91" w:rsidRDefault="001C3F91"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C3F91">
        <w:rPr>
          <w:rFonts w:ascii="Times New Roman" w:eastAsia="Times New Roman" w:hAnsi="Times New Roman" w:cs="Times New Roman"/>
          <w:sz w:val="24"/>
          <w:szCs w:val="24"/>
          <w:lang w:eastAsia="en-GB"/>
        </w:rPr>
        <w:t>Chittorgarh lies within the subtropical zone of the Vindhyan Plateau and receives an averageannual rainfall ranging from 750 to 1005 mm. The region experiences mean annual maximumand minimum temperatures of 40.2°C and 18.5°C, respectively. During the rabi season of2024–25, the mean weekly maximum temperatures ranged between 19.6°C and 35.2°C, whilethe minimum temperatures varied from 5.6°C to 18.9°C. A total of 17.9 mm of rainfall wasrecorded over 2 rainy days throughout the crop period, indicating that the experiment wasconducted under irrigated conditions.</w:t>
      </w:r>
    </w:p>
    <w:p w:rsidR="00CA501F" w:rsidRPr="00CA501F" w:rsidRDefault="00CA501F" w:rsidP="00CA501F">
      <w:pPr>
        <w:spacing w:before="100" w:beforeAutospacing="1" w:after="100" w:afterAutospacing="1" w:line="360" w:lineRule="auto"/>
        <w:jc w:val="both"/>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 xml:space="preserve">2.3 </w:t>
      </w:r>
      <w:r w:rsidRPr="00CA501F">
        <w:rPr>
          <w:rFonts w:ascii="Times New Roman" w:eastAsia="Times New Roman" w:hAnsi="Times New Roman" w:cs="Times New Roman"/>
          <w:b/>
          <w:bCs/>
          <w:sz w:val="24"/>
          <w:szCs w:val="24"/>
          <w:lang w:eastAsia="en-GB"/>
        </w:rPr>
        <w:t xml:space="preserve">Details of Treatments </w:t>
      </w:r>
    </w:p>
    <w:p w:rsidR="00CA501F" w:rsidRDefault="00CA501F" w:rsidP="00CA501F">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CA501F">
        <w:rPr>
          <w:rFonts w:ascii="Times New Roman" w:eastAsia="Times New Roman" w:hAnsi="Times New Roman" w:cs="Times New Roman"/>
          <w:sz w:val="24"/>
          <w:szCs w:val="24"/>
          <w:lang w:eastAsia="en-GB"/>
        </w:rPr>
        <w:t>The table</w:t>
      </w:r>
      <w:r>
        <w:rPr>
          <w:rFonts w:ascii="Times New Roman" w:eastAsia="Times New Roman" w:hAnsi="Times New Roman" w:cs="Times New Roman"/>
          <w:sz w:val="24"/>
          <w:szCs w:val="24"/>
          <w:lang w:eastAsia="en-GB"/>
        </w:rPr>
        <w:t xml:space="preserve"> 1</w:t>
      </w:r>
      <w:r w:rsidRPr="00CA501F">
        <w:rPr>
          <w:rFonts w:ascii="Times New Roman" w:eastAsia="Times New Roman" w:hAnsi="Times New Roman" w:cs="Times New Roman"/>
          <w:sz w:val="24"/>
          <w:szCs w:val="24"/>
          <w:lang w:eastAsia="en-GB"/>
        </w:rPr>
        <w:t xml:space="preserve"> lists ten nutrient-management treatments combining Recommended Dose of Fertilizer (RDF) with Vermicompost (VC) and Farmyard Manure (FYM). Treatments range from control to integrated nutrient applications at 50%, 75% and 100% RDF levels, enabling comparison of sole and combined organic–inorganic fertilization effects on crop performance.</w:t>
      </w:r>
    </w:p>
    <w:p w:rsidR="004B4014" w:rsidRPr="004B4014" w:rsidRDefault="00294B83" w:rsidP="004B4014">
      <w:pPr>
        <w:pStyle w:val="Heading2"/>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Table.</w:t>
      </w:r>
      <w:proofErr w:type="gramEnd"/>
      <w:r>
        <w:rPr>
          <w:rFonts w:ascii="Times New Roman" w:hAnsi="Times New Roman" w:cs="Times New Roman"/>
          <w:b/>
          <w:bCs/>
          <w:color w:val="000000" w:themeColor="text1"/>
          <w:sz w:val="24"/>
          <w:szCs w:val="24"/>
        </w:rPr>
        <w:t xml:space="preserve"> </w:t>
      </w:r>
      <w:r w:rsidR="004B4014" w:rsidRPr="004B4014">
        <w:rPr>
          <w:rFonts w:ascii="Times New Roman" w:hAnsi="Times New Roman" w:cs="Times New Roman"/>
          <w:b/>
          <w:bCs/>
          <w:color w:val="000000" w:themeColor="text1"/>
          <w:sz w:val="24"/>
          <w:szCs w:val="24"/>
        </w:rPr>
        <w:t>1 Elaboration on the abbreviations used for treatment descriptions</w:t>
      </w:r>
    </w:p>
    <w:tbl>
      <w:tblPr>
        <w:tblW w:w="850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7"/>
        <w:gridCol w:w="1540"/>
        <w:gridCol w:w="5528"/>
      </w:tblGrid>
      <w:tr w:rsidR="004B4014" w:rsidTr="004F79B4">
        <w:trPr>
          <w:trHeight w:val="906"/>
        </w:trPr>
        <w:tc>
          <w:tcPr>
            <w:tcW w:w="1437" w:type="dxa"/>
          </w:tcPr>
          <w:p w:rsidR="004B4014" w:rsidRDefault="004B4014" w:rsidP="004B4014">
            <w:pPr>
              <w:pStyle w:val="TableParagraph"/>
              <w:spacing w:before="246"/>
              <w:ind w:left="105"/>
              <w:jc w:val="center"/>
              <w:rPr>
                <w:b/>
                <w:sz w:val="24"/>
              </w:rPr>
            </w:pPr>
            <w:r>
              <w:rPr>
                <w:b/>
                <w:sz w:val="24"/>
              </w:rPr>
              <w:t>Sr.</w:t>
            </w:r>
            <w:r>
              <w:rPr>
                <w:b/>
                <w:spacing w:val="-5"/>
                <w:sz w:val="24"/>
              </w:rPr>
              <w:t>No.</w:t>
            </w:r>
          </w:p>
        </w:tc>
        <w:tc>
          <w:tcPr>
            <w:tcW w:w="1540" w:type="dxa"/>
          </w:tcPr>
          <w:p w:rsidR="004B4014" w:rsidRDefault="004B4014" w:rsidP="004B4014">
            <w:pPr>
              <w:pStyle w:val="TableParagraph"/>
              <w:spacing w:before="37" w:line="360" w:lineRule="auto"/>
              <w:ind w:left="107"/>
              <w:jc w:val="center"/>
              <w:rPr>
                <w:b/>
                <w:sz w:val="24"/>
              </w:rPr>
            </w:pPr>
            <w:r>
              <w:rPr>
                <w:b/>
                <w:spacing w:val="-2"/>
                <w:sz w:val="24"/>
              </w:rPr>
              <w:t>Treatments symbols</w:t>
            </w:r>
          </w:p>
        </w:tc>
        <w:tc>
          <w:tcPr>
            <w:tcW w:w="5528" w:type="dxa"/>
          </w:tcPr>
          <w:p w:rsidR="004B4014" w:rsidRDefault="004B4014" w:rsidP="004B4014">
            <w:pPr>
              <w:pStyle w:val="TableParagraph"/>
              <w:spacing w:before="246"/>
              <w:ind w:left="107"/>
              <w:jc w:val="center"/>
              <w:rPr>
                <w:b/>
                <w:sz w:val="24"/>
              </w:rPr>
            </w:pPr>
            <w:r>
              <w:rPr>
                <w:b/>
                <w:spacing w:val="-2"/>
                <w:sz w:val="24"/>
              </w:rPr>
              <w:t>Treatments</w:t>
            </w:r>
          </w:p>
        </w:tc>
      </w:tr>
      <w:tr w:rsidR="004B4014" w:rsidTr="004F79B4">
        <w:trPr>
          <w:trHeight w:val="412"/>
        </w:trPr>
        <w:tc>
          <w:tcPr>
            <w:tcW w:w="1437" w:type="dxa"/>
          </w:tcPr>
          <w:p w:rsidR="004B4014" w:rsidRDefault="004B4014" w:rsidP="004B4014">
            <w:pPr>
              <w:pStyle w:val="TableParagraph"/>
              <w:spacing w:line="275" w:lineRule="exact"/>
              <w:ind w:left="105"/>
              <w:jc w:val="center"/>
              <w:rPr>
                <w:b/>
                <w:sz w:val="24"/>
              </w:rPr>
            </w:pPr>
            <w:r>
              <w:rPr>
                <w:b/>
                <w:spacing w:val="-10"/>
                <w:sz w:val="24"/>
              </w:rPr>
              <w:t>1</w:t>
            </w:r>
          </w:p>
        </w:tc>
        <w:tc>
          <w:tcPr>
            <w:tcW w:w="1540" w:type="dxa"/>
          </w:tcPr>
          <w:p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1</w:t>
            </w:r>
          </w:p>
        </w:tc>
        <w:tc>
          <w:tcPr>
            <w:tcW w:w="5528" w:type="dxa"/>
          </w:tcPr>
          <w:p w:rsidR="004B4014" w:rsidRPr="00D32743" w:rsidRDefault="004B4014" w:rsidP="004B4014">
            <w:pPr>
              <w:pStyle w:val="TableParagraph"/>
              <w:spacing w:line="275" w:lineRule="exact"/>
              <w:ind w:left="107"/>
              <w:jc w:val="center"/>
              <w:rPr>
                <w:bCs/>
                <w:sz w:val="24"/>
              </w:rPr>
            </w:pPr>
            <w:r w:rsidRPr="00D32743">
              <w:rPr>
                <w:bCs/>
                <w:spacing w:val="-2"/>
                <w:sz w:val="24"/>
              </w:rPr>
              <w:t>Control</w:t>
            </w:r>
          </w:p>
        </w:tc>
      </w:tr>
      <w:tr w:rsidR="004B4014" w:rsidTr="004F79B4">
        <w:trPr>
          <w:trHeight w:val="414"/>
        </w:trPr>
        <w:tc>
          <w:tcPr>
            <w:tcW w:w="1437" w:type="dxa"/>
          </w:tcPr>
          <w:p w:rsidR="004B4014" w:rsidRDefault="004B4014" w:rsidP="004B4014">
            <w:pPr>
              <w:pStyle w:val="TableParagraph"/>
              <w:spacing w:before="1"/>
              <w:ind w:left="105"/>
              <w:jc w:val="center"/>
              <w:rPr>
                <w:b/>
                <w:sz w:val="24"/>
              </w:rPr>
            </w:pPr>
            <w:r>
              <w:rPr>
                <w:b/>
                <w:spacing w:val="-10"/>
                <w:sz w:val="24"/>
              </w:rPr>
              <w:t>2</w:t>
            </w:r>
          </w:p>
        </w:tc>
        <w:tc>
          <w:tcPr>
            <w:tcW w:w="1540" w:type="dxa"/>
          </w:tcPr>
          <w:p w:rsidR="004B4014" w:rsidRDefault="004B4014" w:rsidP="004B4014">
            <w:pPr>
              <w:pStyle w:val="TableParagraph"/>
              <w:spacing w:before="1"/>
              <w:ind w:left="107"/>
              <w:jc w:val="center"/>
              <w:rPr>
                <w:b/>
                <w:sz w:val="16"/>
              </w:rPr>
            </w:pPr>
            <w:r>
              <w:rPr>
                <w:b/>
                <w:spacing w:val="-5"/>
                <w:position w:val="1"/>
                <w:sz w:val="24"/>
              </w:rPr>
              <w:t>T</w:t>
            </w:r>
            <w:r>
              <w:rPr>
                <w:b/>
                <w:spacing w:val="-5"/>
                <w:sz w:val="16"/>
              </w:rPr>
              <w:t>2</w:t>
            </w:r>
          </w:p>
        </w:tc>
        <w:tc>
          <w:tcPr>
            <w:tcW w:w="5528" w:type="dxa"/>
          </w:tcPr>
          <w:p w:rsidR="004B4014" w:rsidRPr="00D32743" w:rsidRDefault="004B4014" w:rsidP="004B4014">
            <w:pPr>
              <w:pStyle w:val="TableParagraph"/>
              <w:spacing w:before="1"/>
              <w:ind w:left="107"/>
              <w:jc w:val="center"/>
              <w:rPr>
                <w:bCs/>
                <w:sz w:val="24"/>
              </w:rPr>
            </w:pPr>
            <w:r w:rsidRPr="00D32743">
              <w:rPr>
                <w:bCs/>
                <w:sz w:val="24"/>
              </w:rPr>
              <w:t>50%RDF</w:t>
            </w:r>
            <w:r w:rsidRPr="00D32743">
              <w:rPr>
                <w:bCs/>
                <w:spacing w:val="-5"/>
                <w:sz w:val="24"/>
              </w:rPr>
              <w:t>+VC</w:t>
            </w:r>
          </w:p>
        </w:tc>
      </w:tr>
      <w:tr w:rsidR="004B4014" w:rsidTr="004F79B4">
        <w:trPr>
          <w:trHeight w:val="414"/>
        </w:trPr>
        <w:tc>
          <w:tcPr>
            <w:tcW w:w="1437" w:type="dxa"/>
          </w:tcPr>
          <w:p w:rsidR="004B4014" w:rsidRDefault="004B4014" w:rsidP="004B4014">
            <w:pPr>
              <w:pStyle w:val="TableParagraph"/>
              <w:spacing w:line="275" w:lineRule="exact"/>
              <w:ind w:left="105"/>
              <w:jc w:val="center"/>
              <w:rPr>
                <w:b/>
                <w:sz w:val="24"/>
              </w:rPr>
            </w:pPr>
            <w:r>
              <w:rPr>
                <w:b/>
                <w:spacing w:val="-10"/>
                <w:sz w:val="24"/>
              </w:rPr>
              <w:t>3</w:t>
            </w:r>
          </w:p>
        </w:tc>
        <w:tc>
          <w:tcPr>
            <w:tcW w:w="1540" w:type="dxa"/>
          </w:tcPr>
          <w:p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3</w:t>
            </w:r>
          </w:p>
        </w:tc>
        <w:tc>
          <w:tcPr>
            <w:tcW w:w="5528" w:type="dxa"/>
          </w:tcPr>
          <w:p w:rsidR="004B4014" w:rsidRPr="00D32743" w:rsidRDefault="004B4014" w:rsidP="004B4014">
            <w:pPr>
              <w:pStyle w:val="TableParagraph"/>
              <w:spacing w:line="275" w:lineRule="exact"/>
              <w:ind w:left="107"/>
              <w:jc w:val="center"/>
              <w:rPr>
                <w:bCs/>
                <w:sz w:val="24"/>
              </w:rPr>
            </w:pPr>
            <w:r w:rsidRPr="00D32743">
              <w:rPr>
                <w:bCs/>
                <w:sz w:val="24"/>
              </w:rPr>
              <w:t>50%RDF</w:t>
            </w:r>
            <w:r w:rsidRPr="00D32743">
              <w:rPr>
                <w:bCs/>
                <w:spacing w:val="-4"/>
                <w:sz w:val="24"/>
              </w:rPr>
              <w:t>+FYM</w:t>
            </w:r>
          </w:p>
        </w:tc>
      </w:tr>
      <w:tr w:rsidR="004B4014" w:rsidTr="004F79B4">
        <w:trPr>
          <w:trHeight w:val="412"/>
        </w:trPr>
        <w:tc>
          <w:tcPr>
            <w:tcW w:w="1437" w:type="dxa"/>
          </w:tcPr>
          <w:p w:rsidR="004B4014" w:rsidRDefault="004B4014" w:rsidP="004B4014">
            <w:pPr>
              <w:pStyle w:val="TableParagraph"/>
              <w:spacing w:line="275" w:lineRule="exact"/>
              <w:ind w:left="105"/>
              <w:jc w:val="center"/>
              <w:rPr>
                <w:b/>
                <w:sz w:val="24"/>
              </w:rPr>
            </w:pPr>
            <w:r>
              <w:rPr>
                <w:b/>
                <w:spacing w:val="-10"/>
                <w:sz w:val="24"/>
              </w:rPr>
              <w:t>4</w:t>
            </w:r>
          </w:p>
        </w:tc>
        <w:tc>
          <w:tcPr>
            <w:tcW w:w="1540" w:type="dxa"/>
          </w:tcPr>
          <w:p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4</w:t>
            </w:r>
          </w:p>
        </w:tc>
        <w:tc>
          <w:tcPr>
            <w:tcW w:w="5528" w:type="dxa"/>
          </w:tcPr>
          <w:p w:rsidR="004B4014" w:rsidRPr="00D32743" w:rsidRDefault="004B4014" w:rsidP="004B4014">
            <w:pPr>
              <w:pStyle w:val="TableParagraph"/>
              <w:spacing w:line="275" w:lineRule="exact"/>
              <w:ind w:left="107"/>
              <w:jc w:val="center"/>
              <w:rPr>
                <w:bCs/>
                <w:sz w:val="24"/>
              </w:rPr>
            </w:pPr>
            <w:r w:rsidRPr="00D32743">
              <w:rPr>
                <w:bCs/>
                <w:sz w:val="24"/>
              </w:rPr>
              <w:t>50%RDF</w:t>
            </w:r>
            <w:r w:rsidRPr="00D32743">
              <w:rPr>
                <w:bCs/>
                <w:spacing w:val="-2"/>
                <w:sz w:val="24"/>
              </w:rPr>
              <w:t>+VC+FYM</w:t>
            </w:r>
          </w:p>
        </w:tc>
      </w:tr>
      <w:tr w:rsidR="004B4014" w:rsidTr="004F79B4">
        <w:trPr>
          <w:trHeight w:val="414"/>
        </w:trPr>
        <w:tc>
          <w:tcPr>
            <w:tcW w:w="1437" w:type="dxa"/>
          </w:tcPr>
          <w:p w:rsidR="004B4014" w:rsidRDefault="004B4014" w:rsidP="004B4014">
            <w:pPr>
              <w:pStyle w:val="TableParagraph"/>
              <w:spacing w:before="1"/>
              <w:ind w:left="105"/>
              <w:jc w:val="center"/>
              <w:rPr>
                <w:b/>
                <w:sz w:val="24"/>
              </w:rPr>
            </w:pPr>
            <w:r>
              <w:rPr>
                <w:b/>
                <w:spacing w:val="-10"/>
                <w:sz w:val="24"/>
              </w:rPr>
              <w:t>5</w:t>
            </w:r>
          </w:p>
        </w:tc>
        <w:tc>
          <w:tcPr>
            <w:tcW w:w="1540" w:type="dxa"/>
          </w:tcPr>
          <w:p w:rsidR="004B4014" w:rsidRDefault="004B4014" w:rsidP="004B4014">
            <w:pPr>
              <w:pStyle w:val="TableParagraph"/>
              <w:spacing w:before="1"/>
              <w:ind w:left="107"/>
              <w:jc w:val="center"/>
              <w:rPr>
                <w:b/>
                <w:sz w:val="16"/>
              </w:rPr>
            </w:pPr>
            <w:r>
              <w:rPr>
                <w:b/>
                <w:spacing w:val="-5"/>
                <w:position w:val="1"/>
                <w:sz w:val="24"/>
              </w:rPr>
              <w:t>T</w:t>
            </w:r>
            <w:r>
              <w:rPr>
                <w:b/>
                <w:spacing w:val="-5"/>
                <w:sz w:val="16"/>
              </w:rPr>
              <w:t>5</w:t>
            </w:r>
          </w:p>
        </w:tc>
        <w:tc>
          <w:tcPr>
            <w:tcW w:w="5528" w:type="dxa"/>
          </w:tcPr>
          <w:p w:rsidR="004B4014" w:rsidRPr="00D32743" w:rsidRDefault="004B4014" w:rsidP="004B4014">
            <w:pPr>
              <w:pStyle w:val="TableParagraph"/>
              <w:spacing w:before="1"/>
              <w:ind w:left="107"/>
              <w:jc w:val="center"/>
              <w:rPr>
                <w:bCs/>
                <w:sz w:val="24"/>
              </w:rPr>
            </w:pPr>
            <w:r w:rsidRPr="00D32743">
              <w:rPr>
                <w:bCs/>
                <w:sz w:val="24"/>
              </w:rPr>
              <w:t>75%RDF</w:t>
            </w:r>
            <w:r w:rsidRPr="00D32743">
              <w:rPr>
                <w:bCs/>
                <w:spacing w:val="-5"/>
                <w:sz w:val="24"/>
              </w:rPr>
              <w:t>+VC</w:t>
            </w:r>
          </w:p>
        </w:tc>
      </w:tr>
      <w:tr w:rsidR="004B4014" w:rsidTr="004F79B4">
        <w:trPr>
          <w:trHeight w:val="415"/>
        </w:trPr>
        <w:tc>
          <w:tcPr>
            <w:tcW w:w="1437" w:type="dxa"/>
          </w:tcPr>
          <w:p w:rsidR="004B4014" w:rsidRDefault="004B4014" w:rsidP="004B4014">
            <w:pPr>
              <w:pStyle w:val="TableParagraph"/>
              <w:spacing w:line="275" w:lineRule="exact"/>
              <w:ind w:left="105"/>
              <w:jc w:val="center"/>
              <w:rPr>
                <w:b/>
                <w:sz w:val="24"/>
              </w:rPr>
            </w:pPr>
            <w:r>
              <w:rPr>
                <w:b/>
                <w:spacing w:val="-10"/>
                <w:sz w:val="24"/>
              </w:rPr>
              <w:t>6</w:t>
            </w:r>
          </w:p>
        </w:tc>
        <w:tc>
          <w:tcPr>
            <w:tcW w:w="1540" w:type="dxa"/>
          </w:tcPr>
          <w:p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6</w:t>
            </w:r>
          </w:p>
        </w:tc>
        <w:tc>
          <w:tcPr>
            <w:tcW w:w="5528" w:type="dxa"/>
          </w:tcPr>
          <w:p w:rsidR="004B4014" w:rsidRPr="00D32743" w:rsidRDefault="004B4014" w:rsidP="004B4014">
            <w:pPr>
              <w:pStyle w:val="TableParagraph"/>
              <w:spacing w:line="275" w:lineRule="exact"/>
              <w:ind w:left="107"/>
              <w:jc w:val="center"/>
              <w:rPr>
                <w:bCs/>
                <w:sz w:val="24"/>
              </w:rPr>
            </w:pPr>
            <w:r w:rsidRPr="00D32743">
              <w:rPr>
                <w:bCs/>
                <w:sz w:val="24"/>
              </w:rPr>
              <w:t>75%RDF</w:t>
            </w:r>
            <w:r w:rsidRPr="00D32743">
              <w:rPr>
                <w:bCs/>
                <w:spacing w:val="-4"/>
                <w:sz w:val="24"/>
              </w:rPr>
              <w:t>+FYM</w:t>
            </w:r>
          </w:p>
        </w:tc>
      </w:tr>
      <w:tr w:rsidR="004B4014" w:rsidTr="004F79B4">
        <w:trPr>
          <w:trHeight w:val="412"/>
        </w:trPr>
        <w:tc>
          <w:tcPr>
            <w:tcW w:w="1437" w:type="dxa"/>
          </w:tcPr>
          <w:p w:rsidR="004B4014" w:rsidRDefault="004B4014" w:rsidP="004B4014">
            <w:pPr>
              <w:pStyle w:val="TableParagraph"/>
              <w:spacing w:line="275" w:lineRule="exact"/>
              <w:ind w:left="105"/>
              <w:jc w:val="center"/>
              <w:rPr>
                <w:b/>
                <w:sz w:val="24"/>
              </w:rPr>
            </w:pPr>
            <w:r>
              <w:rPr>
                <w:b/>
                <w:spacing w:val="-10"/>
                <w:sz w:val="24"/>
              </w:rPr>
              <w:t>7</w:t>
            </w:r>
          </w:p>
        </w:tc>
        <w:tc>
          <w:tcPr>
            <w:tcW w:w="1540" w:type="dxa"/>
          </w:tcPr>
          <w:p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7</w:t>
            </w:r>
          </w:p>
        </w:tc>
        <w:tc>
          <w:tcPr>
            <w:tcW w:w="5528" w:type="dxa"/>
          </w:tcPr>
          <w:p w:rsidR="004B4014" w:rsidRPr="00D32743" w:rsidRDefault="004B4014" w:rsidP="004B4014">
            <w:pPr>
              <w:pStyle w:val="TableParagraph"/>
              <w:spacing w:line="275" w:lineRule="exact"/>
              <w:ind w:left="107"/>
              <w:jc w:val="center"/>
              <w:rPr>
                <w:bCs/>
                <w:sz w:val="24"/>
              </w:rPr>
            </w:pPr>
            <w:r w:rsidRPr="00D32743">
              <w:rPr>
                <w:bCs/>
                <w:sz w:val="24"/>
              </w:rPr>
              <w:t>75%RDF+VC</w:t>
            </w:r>
            <w:r w:rsidRPr="00D32743">
              <w:rPr>
                <w:bCs/>
                <w:spacing w:val="-4"/>
                <w:sz w:val="24"/>
              </w:rPr>
              <w:t>+FYM</w:t>
            </w:r>
          </w:p>
        </w:tc>
      </w:tr>
      <w:tr w:rsidR="004B4014" w:rsidTr="004F79B4">
        <w:trPr>
          <w:trHeight w:val="414"/>
        </w:trPr>
        <w:tc>
          <w:tcPr>
            <w:tcW w:w="1437" w:type="dxa"/>
          </w:tcPr>
          <w:p w:rsidR="004B4014" w:rsidRDefault="004B4014" w:rsidP="004B4014">
            <w:pPr>
              <w:pStyle w:val="TableParagraph"/>
              <w:spacing w:before="1"/>
              <w:ind w:left="105"/>
              <w:jc w:val="center"/>
              <w:rPr>
                <w:b/>
                <w:sz w:val="24"/>
              </w:rPr>
            </w:pPr>
            <w:r>
              <w:rPr>
                <w:b/>
                <w:spacing w:val="-10"/>
                <w:sz w:val="24"/>
              </w:rPr>
              <w:lastRenderedPageBreak/>
              <w:t>8</w:t>
            </w:r>
          </w:p>
        </w:tc>
        <w:tc>
          <w:tcPr>
            <w:tcW w:w="1540" w:type="dxa"/>
          </w:tcPr>
          <w:p w:rsidR="004B4014" w:rsidRDefault="004B4014" w:rsidP="004B4014">
            <w:pPr>
              <w:pStyle w:val="TableParagraph"/>
              <w:spacing w:before="1"/>
              <w:ind w:left="107"/>
              <w:jc w:val="center"/>
              <w:rPr>
                <w:b/>
                <w:sz w:val="16"/>
              </w:rPr>
            </w:pPr>
            <w:r>
              <w:rPr>
                <w:b/>
                <w:spacing w:val="-5"/>
                <w:position w:val="1"/>
                <w:sz w:val="24"/>
              </w:rPr>
              <w:t>T</w:t>
            </w:r>
            <w:r>
              <w:rPr>
                <w:b/>
                <w:spacing w:val="-5"/>
                <w:sz w:val="16"/>
              </w:rPr>
              <w:t>8</w:t>
            </w:r>
          </w:p>
        </w:tc>
        <w:tc>
          <w:tcPr>
            <w:tcW w:w="5528" w:type="dxa"/>
          </w:tcPr>
          <w:p w:rsidR="004B4014" w:rsidRPr="00D32743" w:rsidRDefault="004B4014" w:rsidP="004B4014">
            <w:pPr>
              <w:pStyle w:val="TableParagraph"/>
              <w:spacing w:before="1"/>
              <w:ind w:left="107"/>
              <w:jc w:val="center"/>
              <w:rPr>
                <w:bCs/>
                <w:sz w:val="24"/>
              </w:rPr>
            </w:pPr>
            <w:r w:rsidRPr="00D32743">
              <w:rPr>
                <w:bCs/>
                <w:sz w:val="24"/>
              </w:rPr>
              <w:t>100%RDF</w:t>
            </w:r>
            <w:r w:rsidRPr="00D32743">
              <w:rPr>
                <w:bCs/>
                <w:spacing w:val="-5"/>
                <w:sz w:val="24"/>
              </w:rPr>
              <w:t>+VC</w:t>
            </w:r>
          </w:p>
        </w:tc>
      </w:tr>
      <w:tr w:rsidR="004B4014" w:rsidTr="004F79B4">
        <w:trPr>
          <w:trHeight w:val="99"/>
        </w:trPr>
        <w:tc>
          <w:tcPr>
            <w:tcW w:w="1437" w:type="dxa"/>
          </w:tcPr>
          <w:p w:rsidR="004B4014" w:rsidRDefault="004B4014" w:rsidP="004B4014">
            <w:pPr>
              <w:pStyle w:val="TableParagraph"/>
              <w:spacing w:line="275" w:lineRule="exact"/>
              <w:ind w:left="105"/>
              <w:jc w:val="center"/>
              <w:rPr>
                <w:b/>
                <w:sz w:val="24"/>
              </w:rPr>
            </w:pPr>
            <w:r>
              <w:rPr>
                <w:b/>
                <w:spacing w:val="-10"/>
                <w:sz w:val="24"/>
              </w:rPr>
              <w:t>9</w:t>
            </w:r>
          </w:p>
        </w:tc>
        <w:tc>
          <w:tcPr>
            <w:tcW w:w="1540" w:type="dxa"/>
          </w:tcPr>
          <w:p w:rsidR="004B4014" w:rsidRDefault="004B4014" w:rsidP="004B4014">
            <w:pPr>
              <w:pStyle w:val="TableParagraph"/>
              <w:spacing w:line="275" w:lineRule="exact"/>
              <w:ind w:left="107"/>
              <w:jc w:val="center"/>
              <w:rPr>
                <w:b/>
                <w:sz w:val="16"/>
              </w:rPr>
            </w:pPr>
            <w:r>
              <w:rPr>
                <w:b/>
                <w:spacing w:val="-5"/>
                <w:position w:val="1"/>
                <w:sz w:val="24"/>
              </w:rPr>
              <w:t>T</w:t>
            </w:r>
            <w:r>
              <w:rPr>
                <w:b/>
                <w:spacing w:val="-5"/>
                <w:sz w:val="16"/>
              </w:rPr>
              <w:t>9</w:t>
            </w:r>
          </w:p>
        </w:tc>
        <w:tc>
          <w:tcPr>
            <w:tcW w:w="5528" w:type="dxa"/>
          </w:tcPr>
          <w:p w:rsidR="004B4014" w:rsidRPr="00D32743" w:rsidRDefault="004B4014" w:rsidP="004B4014">
            <w:pPr>
              <w:pStyle w:val="TableParagraph"/>
              <w:spacing w:line="275" w:lineRule="exact"/>
              <w:ind w:left="107"/>
              <w:jc w:val="center"/>
              <w:rPr>
                <w:bCs/>
                <w:spacing w:val="-4"/>
                <w:sz w:val="24"/>
              </w:rPr>
            </w:pPr>
            <w:r w:rsidRPr="00D32743">
              <w:rPr>
                <w:bCs/>
                <w:sz w:val="24"/>
              </w:rPr>
              <w:t>100%RDF</w:t>
            </w:r>
            <w:r w:rsidRPr="00D32743">
              <w:rPr>
                <w:bCs/>
                <w:spacing w:val="-4"/>
                <w:sz w:val="24"/>
              </w:rPr>
              <w:t>+FYM</w:t>
            </w:r>
          </w:p>
        </w:tc>
      </w:tr>
      <w:tr w:rsidR="004B4014" w:rsidTr="004F79B4">
        <w:trPr>
          <w:trHeight w:val="414"/>
        </w:trPr>
        <w:tc>
          <w:tcPr>
            <w:tcW w:w="1437" w:type="dxa"/>
          </w:tcPr>
          <w:p w:rsidR="004B4014" w:rsidRDefault="004B4014" w:rsidP="004B4014">
            <w:pPr>
              <w:pStyle w:val="TableParagraph"/>
              <w:spacing w:line="275" w:lineRule="exact"/>
              <w:ind w:left="105"/>
              <w:jc w:val="center"/>
              <w:rPr>
                <w:b/>
                <w:spacing w:val="-10"/>
                <w:sz w:val="24"/>
              </w:rPr>
            </w:pPr>
            <w:r>
              <w:rPr>
                <w:b/>
                <w:spacing w:val="-10"/>
                <w:sz w:val="24"/>
              </w:rPr>
              <w:t>10</w:t>
            </w:r>
          </w:p>
        </w:tc>
        <w:tc>
          <w:tcPr>
            <w:tcW w:w="1540" w:type="dxa"/>
          </w:tcPr>
          <w:p w:rsidR="004B4014" w:rsidRDefault="004B4014" w:rsidP="004B4014">
            <w:pPr>
              <w:pStyle w:val="TableParagraph"/>
              <w:spacing w:line="275" w:lineRule="exact"/>
              <w:ind w:left="107"/>
              <w:jc w:val="center"/>
              <w:rPr>
                <w:b/>
                <w:spacing w:val="-5"/>
                <w:position w:val="1"/>
                <w:sz w:val="24"/>
              </w:rPr>
            </w:pPr>
            <w:r>
              <w:rPr>
                <w:b/>
                <w:spacing w:val="-5"/>
                <w:position w:val="1"/>
                <w:sz w:val="24"/>
              </w:rPr>
              <w:t>T</w:t>
            </w:r>
            <w:r>
              <w:rPr>
                <w:b/>
                <w:spacing w:val="-5"/>
                <w:sz w:val="16"/>
              </w:rPr>
              <w:t>10</w:t>
            </w:r>
          </w:p>
        </w:tc>
        <w:tc>
          <w:tcPr>
            <w:tcW w:w="5528" w:type="dxa"/>
          </w:tcPr>
          <w:p w:rsidR="004B4014" w:rsidRPr="00D32743" w:rsidRDefault="004B4014" w:rsidP="004B4014">
            <w:pPr>
              <w:pStyle w:val="TableParagraph"/>
              <w:spacing w:line="275" w:lineRule="exact"/>
              <w:ind w:left="107"/>
              <w:jc w:val="center"/>
              <w:rPr>
                <w:bCs/>
                <w:sz w:val="24"/>
              </w:rPr>
            </w:pPr>
            <w:r w:rsidRPr="00D32743">
              <w:rPr>
                <w:bCs/>
                <w:sz w:val="24"/>
              </w:rPr>
              <w:t>100%RDF</w:t>
            </w:r>
            <w:r w:rsidRPr="00D32743">
              <w:rPr>
                <w:bCs/>
                <w:spacing w:val="-4"/>
                <w:sz w:val="24"/>
              </w:rPr>
              <w:t>+FYM+VC</w:t>
            </w:r>
          </w:p>
        </w:tc>
      </w:tr>
    </w:tbl>
    <w:p w:rsidR="004B4014" w:rsidRDefault="004B4014" w:rsidP="004B4014"/>
    <w:p w:rsidR="001C3F91" w:rsidRPr="001C3F91" w:rsidRDefault="001C3F91" w:rsidP="00444904">
      <w:pPr>
        <w:spacing w:before="100" w:beforeAutospacing="1" w:after="100" w:afterAutospacing="1" w:line="360" w:lineRule="auto"/>
        <w:jc w:val="both"/>
        <w:rPr>
          <w:rFonts w:ascii="Times New Roman" w:eastAsia="Times New Roman" w:hAnsi="Times New Roman" w:cs="Times New Roman"/>
          <w:b/>
          <w:bCs/>
          <w:sz w:val="24"/>
          <w:szCs w:val="24"/>
          <w:lang w:eastAsia="en-GB"/>
        </w:rPr>
      </w:pPr>
      <w:r w:rsidRPr="001C3F91">
        <w:rPr>
          <w:rFonts w:ascii="Times New Roman" w:eastAsia="Times New Roman" w:hAnsi="Times New Roman" w:cs="Times New Roman"/>
          <w:b/>
          <w:bCs/>
          <w:sz w:val="24"/>
          <w:szCs w:val="24"/>
          <w:lang w:eastAsia="en-GB"/>
        </w:rPr>
        <w:t>2.</w:t>
      </w:r>
      <w:r w:rsidR="00CA501F">
        <w:rPr>
          <w:rFonts w:ascii="Times New Roman" w:eastAsia="Times New Roman" w:hAnsi="Times New Roman" w:cs="Times New Roman"/>
          <w:b/>
          <w:bCs/>
          <w:sz w:val="24"/>
          <w:szCs w:val="24"/>
          <w:lang w:eastAsia="en-GB"/>
        </w:rPr>
        <w:t>4</w:t>
      </w:r>
      <w:r w:rsidRPr="001C3F91">
        <w:rPr>
          <w:rFonts w:ascii="Times New Roman" w:eastAsia="Times New Roman" w:hAnsi="Times New Roman" w:cs="Times New Roman"/>
          <w:b/>
          <w:bCs/>
          <w:sz w:val="24"/>
          <w:szCs w:val="24"/>
          <w:lang w:eastAsia="en-GB"/>
        </w:rPr>
        <w:t xml:space="preserve"> Observations Recorded and Data Analysis</w:t>
      </w:r>
    </w:p>
    <w:p w:rsidR="00207C0F" w:rsidRPr="00207C0F" w:rsidRDefault="001C3F91" w:rsidP="00207C0F">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1C3F91">
        <w:rPr>
          <w:rFonts w:ascii="Times New Roman" w:eastAsia="Times New Roman" w:hAnsi="Times New Roman" w:cs="Times New Roman"/>
          <w:sz w:val="24"/>
          <w:szCs w:val="24"/>
          <w:lang w:eastAsia="en-GB"/>
        </w:rPr>
        <w:t xml:space="preserve">Growth attributes such as plant population, plant height, dry matter accumulation, and thenumber of branches per plant were recorded at various Days After Sowing (DAS). Yieldattributes, including the number of siliquae per plant, number of seeds per siliqua, and 1,000-seed weight (test weight), were recorded at harvest, along with yield data for seed and stover.(Nagar and </w:t>
      </w:r>
      <w:proofErr w:type="spellStart"/>
      <w:r w:rsidRPr="001C3F91">
        <w:rPr>
          <w:rFonts w:ascii="Times New Roman" w:eastAsia="Times New Roman" w:hAnsi="Times New Roman" w:cs="Times New Roman"/>
          <w:sz w:val="24"/>
          <w:szCs w:val="24"/>
          <w:lang w:eastAsia="en-GB"/>
        </w:rPr>
        <w:t>Jhakhar</w:t>
      </w:r>
      <w:proofErr w:type="spellEnd"/>
      <w:r w:rsidRPr="001C3F91">
        <w:rPr>
          <w:rFonts w:ascii="Times New Roman" w:eastAsia="Times New Roman" w:hAnsi="Times New Roman" w:cs="Times New Roman"/>
          <w:sz w:val="24"/>
          <w:szCs w:val="24"/>
          <w:lang w:eastAsia="en-GB"/>
        </w:rPr>
        <w:t>, 2025). Economic parameters—including costof cultivation, gross returns, net returns, and the benefit-cost (B:C) ratio—were computed ona per hectare basis. All recorded data were subjected to statistical analysis using Fisher’sAnalysis of Variance (ANOVA), withsignificance tested at the 5% probability level (P = 0.05).</w:t>
      </w:r>
    </w:p>
    <w:p w:rsidR="00207C0F" w:rsidRPr="00207C0F" w:rsidRDefault="00207C0F" w:rsidP="00207C0F">
      <w:pPr>
        <w:pStyle w:val="Heading2"/>
        <w:spacing w:line="360" w:lineRule="auto"/>
        <w:jc w:val="both"/>
        <w:rPr>
          <w:rFonts w:ascii="Times New Roman" w:hAnsi="Times New Roman" w:cs="Times New Roman"/>
          <w:b/>
          <w:bCs/>
          <w:color w:val="000000" w:themeColor="text1"/>
          <w:sz w:val="24"/>
          <w:szCs w:val="24"/>
        </w:rPr>
      </w:pPr>
      <w:r w:rsidRPr="00207C0F">
        <w:rPr>
          <w:rFonts w:ascii="Times New Roman" w:hAnsi="Times New Roman" w:cs="Times New Roman"/>
          <w:b/>
          <w:bCs/>
          <w:color w:val="000000" w:themeColor="text1"/>
          <w:sz w:val="24"/>
          <w:szCs w:val="24"/>
        </w:rPr>
        <w:t>3.1 Results and Discussion</w:t>
      </w:r>
    </w:p>
    <w:p w:rsidR="00207C0F" w:rsidRPr="00207C0F" w:rsidRDefault="00207C0F" w:rsidP="00207C0F">
      <w:pPr>
        <w:pStyle w:val="NormalWeb"/>
        <w:spacing w:line="360" w:lineRule="auto"/>
        <w:ind w:firstLine="720"/>
        <w:jc w:val="both"/>
        <w:rPr>
          <w:color w:val="000000" w:themeColor="text1"/>
        </w:rPr>
      </w:pPr>
      <w:r w:rsidRPr="00207C0F">
        <w:rPr>
          <w:color w:val="000000" w:themeColor="text1"/>
        </w:rPr>
        <w:t>Integrated Nutrient Management (INM) exerted a significant and positive influence on the growth, yield attributes, and overall productivity of Indian mustard. The integration of organic and inorganic nutrient sources resulted in a steady improvement in plant growth parameters, yield components, and biomass accumulation when compared to the control treatment. Among all treatments, higher nutrient combinations, particularly treatment T10, consistently recorded superior performance across all observed growth stages and productivity parameters, whereas the control (T1) showed the lowest values, highlighting the importance of balanced nutrient supply.</w:t>
      </w:r>
    </w:p>
    <w:p w:rsidR="00207C0F" w:rsidRPr="00207C0F" w:rsidRDefault="00207C0F" w:rsidP="00207C0F">
      <w:pPr>
        <w:pStyle w:val="Heading3"/>
        <w:spacing w:line="360" w:lineRule="auto"/>
        <w:jc w:val="both"/>
        <w:rPr>
          <w:rFonts w:ascii="Times New Roman" w:hAnsi="Times New Roman" w:cs="Times New Roman"/>
          <w:b/>
          <w:bCs/>
          <w:color w:val="000000" w:themeColor="text1"/>
          <w:sz w:val="24"/>
          <w:szCs w:val="24"/>
        </w:rPr>
      </w:pPr>
      <w:r w:rsidRPr="00207C0F">
        <w:rPr>
          <w:rFonts w:ascii="Times New Roman" w:hAnsi="Times New Roman" w:cs="Times New Roman"/>
          <w:b/>
          <w:bCs/>
          <w:color w:val="000000" w:themeColor="text1"/>
          <w:sz w:val="24"/>
          <w:szCs w:val="24"/>
        </w:rPr>
        <w:t>Growth Parameters</w:t>
      </w:r>
    </w:p>
    <w:p w:rsidR="00207C0F" w:rsidRPr="00207C0F" w:rsidRDefault="00207C0F" w:rsidP="00207C0F">
      <w:pPr>
        <w:pStyle w:val="NormalWeb"/>
        <w:spacing w:line="360" w:lineRule="auto"/>
        <w:jc w:val="both"/>
        <w:rPr>
          <w:color w:val="000000" w:themeColor="text1"/>
        </w:rPr>
      </w:pPr>
      <w:r w:rsidRPr="00207C0F">
        <w:rPr>
          <w:color w:val="000000" w:themeColor="text1"/>
        </w:rPr>
        <w:t xml:space="preserve">Plant height increased significantly with the progressive application of integrated nutrient sources at all growth stages (Table </w:t>
      </w:r>
      <w:r w:rsidR="00294B83">
        <w:rPr>
          <w:color w:val="000000" w:themeColor="text1"/>
        </w:rPr>
        <w:t>2</w:t>
      </w:r>
      <w:r w:rsidRPr="00207C0F">
        <w:rPr>
          <w:color w:val="000000" w:themeColor="text1"/>
        </w:rPr>
        <w:t xml:space="preserve">). At 30 DAS, plant height ranged from 18.2 cm in T1 to 35.2 cm in T10, while at 60 DAS it increased from 65.80 cm to 89.20 cm, respectively. The pronounced increase in plant height under T10 can be attributed to the combined effect of readily available nutrients from inorganic fertilizers and sustained nutrient release from organic sources, which enhanced cell division, </w:t>
      </w:r>
      <w:r w:rsidRPr="00207C0F">
        <w:rPr>
          <w:color w:val="000000" w:themeColor="text1"/>
        </w:rPr>
        <w:lastRenderedPageBreak/>
        <w:t>elongation, and overall vegetative growth. Similar trends were reported by earlier studies, emphasizing the role of INM in improving nutrient availability and soil physical conditions.</w:t>
      </w:r>
    </w:p>
    <w:p w:rsidR="00207C0F" w:rsidRDefault="00207C0F" w:rsidP="00207C0F">
      <w:pPr>
        <w:pStyle w:val="NormalWeb"/>
        <w:spacing w:line="360" w:lineRule="auto"/>
        <w:jc w:val="both"/>
        <w:rPr>
          <w:color w:val="000000" w:themeColor="text1"/>
        </w:rPr>
      </w:pPr>
      <w:r w:rsidRPr="00207C0F">
        <w:rPr>
          <w:color w:val="000000" w:themeColor="text1"/>
        </w:rPr>
        <w:t xml:space="preserve">Plant population per meter row length also showed significant improvement under integrated nutrient treatments. Treatment T10 recorded the highest plant population at both 30 DAS (9.1 plants/m) and 60 DAS (8.8 plants/m), indicating better germination, establishment, and survival of plants. In contrast, the control treatment recorded the lowest plant population, likely due to inadequate nutrient availability affecting early seedling </w:t>
      </w:r>
      <w:proofErr w:type="spellStart"/>
      <w:r w:rsidRPr="00207C0F">
        <w:rPr>
          <w:color w:val="000000" w:themeColor="text1"/>
        </w:rPr>
        <w:t>vigor</w:t>
      </w:r>
      <w:proofErr w:type="spellEnd"/>
      <w:r w:rsidRPr="00207C0F">
        <w:rPr>
          <w:color w:val="000000" w:themeColor="text1"/>
        </w:rPr>
        <w:t>. Improved soil structure and microbial activity under INM practices may have contributed to enhanced root development and reduced plant mortality.</w:t>
      </w:r>
    </w:p>
    <w:p w:rsidR="00207C0F" w:rsidRDefault="00207C0F" w:rsidP="00207C0F">
      <w:pPr>
        <w:pStyle w:val="NormalWeb"/>
        <w:spacing w:line="360" w:lineRule="auto"/>
        <w:ind w:firstLine="720"/>
        <w:jc w:val="both"/>
      </w:pPr>
      <w:r w:rsidRPr="00207C0F">
        <w:rPr>
          <w:color w:val="000000" w:themeColor="text1"/>
        </w:rPr>
        <w:t>Dry matter accumulation followed a similar trend, reflecting enhanced biomass production under integrated nutrient application. Dry matter accumulation increased from 1.12 g/plant in T1 to 1.97 g/plant in T10 at 30 DAS and from 8.25 g/plant to 15.98 g/plant at 60 DAS. The substantial increase in dry matter under T10 suggests improved photosynthetic efficiency and nutrient uptake, resulting from the synergistic action of organic amendments and inorganic fertilizers. These findings align with earlier reports indicating that INM improves soil fertility, enzymatic activity, and nutrient use efficiency, leading to enhanced vegetative growth in Indian mustard.</w:t>
      </w:r>
      <w:r>
        <w:t xml:space="preserve">These results corroborate the findings of Nagar and Suman (2025), Manoj Kumar et al. (2023), Yadav et al. (2025), Satish et al. (2025), and Dey et al. (2024), who reported that integrating 100% recommended dose of fertilizers with organic amendments such as farmyard manure and vermicompost significantly enhances growth parameter of </w:t>
      </w:r>
      <w:r>
        <w:rPr>
          <w:rStyle w:val="Emphasis"/>
          <w:rFonts w:eastAsiaTheme="majorEastAsia"/>
        </w:rPr>
        <w:t>Brassica juncea</w:t>
      </w:r>
      <w:r>
        <w:t>.</w:t>
      </w:r>
    </w:p>
    <w:p w:rsidR="00207C0F" w:rsidRPr="00207C0F" w:rsidRDefault="00207C0F" w:rsidP="00207C0F">
      <w:pPr>
        <w:pStyle w:val="Heading3"/>
        <w:rPr>
          <w:rFonts w:ascii="Times New Roman" w:hAnsi="Times New Roman" w:cs="Times New Roman"/>
          <w:b/>
          <w:bCs/>
          <w:color w:val="000000" w:themeColor="text1"/>
        </w:rPr>
      </w:pPr>
      <w:r w:rsidRPr="00207C0F">
        <w:rPr>
          <w:rFonts w:ascii="Times New Roman" w:hAnsi="Times New Roman" w:cs="Times New Roman"/>
          <w:b/>
          <w:bCs/>
          <w:color w:val="000000" w:themeColor="text1"/>
        </w:rPr>
        <w:t>Yield Attributes and Yield</w:t>
      </w:r>
    </w:p>
    <w:p w:rsidR="00207C0F" w:rsidRDefault="00207C0F" w:rsidP="00207C0F">
      <w:pPr>
        <w:pStyle w:val="NormalWeb"/>
        <w:spacing w:line="360" w:lineRule="auto"/>
        <w:ind w:firstLine="720"/>
        <w:jc w:val="both"/>
      </w:pPr>
      <w:r>
        <w:t>Yield attributes responded positively to integrated nutrient</w:t>
      </w:r>
      <w:r w:rsidR="00294B83">
        <w:t xml:space="preserve"> management practices (Table 3</w:t>
      </w:r>
      <w:r>
        <w:t>). Siliqua length, number of siliquae per plant, seeds per siliqua, and 1000-seed weight increased significantly with higher nutrient integration levels. Treatment T10 recorded the maximum siliqua length (4.95 cm), number of siliquae per plant (289), seeds per siliqua (14.5), and test weight (4.90 g). These improvements indicate enhanced reproductive development, which may be attributed to improved nutrient translocation from source to sink under balanced fertilization.</w:t>
      </w:r>
    </w:p>
    <w:p w:rsidR="00207C0F" w:rsidRDefault="00207C0F" w:rsidP="00207C0F">
      <w:pPr>
        <w:pStyle w:val="NormalWeb"/>
        <w:spacing w:line="360" w:lineRule="auto"/>
        <w:ind w:firstLine="720"/>
        <w:jc w:val="both"/>
      </w:pPr>
      <w:r>
        <w:lastRenderedPageBreak/>
        <w:t xml:space="preserve">The increase in yield attributes directly translated into higher seed yield. Seed yield varied significantly among treatments, ranging from 1550 kg/ha in the control to 2630 kg/ha in T10. The superior seed yield under T10 may be due to increased photosynthate production, better flower retention, higher seed set, and improved seed filling. These results corroborate the findings of Nagar and Suman (2025), Manoj Kumar et al. (2023), Yadav et al. (2025), Satish et al. (2025), and Dey et al. (2024), who reported that integrating 100% recommended dose of fertilizers with organic amendments such as farmyard manure and vermicompost significantly enhances yield and yield attributes of </w:t>
      </w:r>
      <w:r>
        <w:rPr>
          <w:rStyle w:val="Emphasis"/>
          <w:rFonts w:eastAsiaTheme="majorEastAsia"/>
        </w:rPr>
        <w:t>Brassica juncea</w:t>
      </w:r>
      <w:r>
        <w:t>.</w:t>
      </w:r>
    </w:p>
    <w:p w:rsidR="00207C0F" w:rsidRPr="00207C0F" w:rsidRDefault="00207C0F" w:rsidP="00207C0F">
      <w:pPr>
        <w:pStyle w:val="Heading3"/>
        <w:rPr>
          <w:rFonts w:ascii="Times New Roman" w:hAnsi="Times New Roman" w:cs="Times New Roman"/>
          <w:b/>
          <w:bCs/>
          <w:color w:val="000000" w:themeColor="text1"/>
          <w:sz w:val="24"/>
          <w:szCs w:val="24"/>
        </w:rPr>
      </w:pPr>
      <w:r w:rsidRPr="00207C0F">
        <w:rPr>
          <w:rFonts w:ascii="Times New Roman" w:hAnsi="Times New Roman" w:cs="Times New Roman"/>
          <w:b/>
          <w:bCs/>
          <w:color w:val="000000" w:themeColor="text1"/>
          <w:sz w:val="24"/>
          <w:szCs w:val="24"/>
        </w:rPr>
        <w:t>Productivity Parameters</w:t>
      </w:r>
    </w:p>
    <w:p w:rsidR="00207C0F" w:rsidRDefault="00207C0F" w:rsidP="00207C0F">
      <w:pPr>
        <w:pStyle w:val="NormalWeb"/>
        <w:spacing w:line="360" w:lineRule="auto"/>
        <w:jc w:val="both"/>
      </w:pPr>
      <w:r>
        <w:t>Integrated nutrient management also significantly influenced stover yield, biological yield, harvest index, and leaf area index (LAI). Treatment T10 produced the highest stover yield (4860 kg/ha) and biological yield (7490 kg/ha), indicating greater overall biomass production. The harvest index was also highest under T10 (35.11%), reflecting more efficient partitioning of assimilates towards economic yield. Similarly, LAI increased progressively with INM treatments, reaching a maximum value of 1.78 under T10, which suggests improved canopy development and photosynthetic surface area.</w:t>
      </w:r>
    </w:p>
    <w:p w:rsidR="00207C0F" w:rsidRDefault="00207C0F" w:rsidP="00207C0F">
      <w:pPr>
        <w:pStyle w:val="NormalWeb"/>
        <w:spacing w:line="360" w:lineRule="auto"/>
        <w:jc w:val="both"/>
      </w:pPr>
      <w:r>
        <w:t>The lower values of these parameters under the control treatment further emphasize the necessity of balanced nutrient management. The synergistic effects of organic and inorganic nutrient sources under INM likely improved nutrient availability throughout the crop growth period, enhanced soil moisture retention, and stimulated microbial activity, collectively contributing to higher productivity.</w:t>
      </w:r>
    </w:p>
    <w:p w:rsidR="00207C0F" w:rsidRDefault="00207C0F" w:rsidP="00207C0F">
      <w:pPr>
        <w:pStyle w:val="NormalWeb"/>
        <w:spacing w:line="360" w:lineRule="auto"/>
        <w:ind w:firstLine="720"/>
        <w:jc w:val="both"/>
      </w:pPr>
      <w:r>
        <w:t xml:space="preserve">Overall, the results clearly demonstrate that integrated nutrient management, particularly treatment T10, significantly improves growth, yield attributes, and productivity of Indian mustard. These findings highlight the potential of INM as a sustainable nutrient management strategy for improving crop performance while maintaining soil health and long-term productivity.These results corroborate the findings of Nagar and Suman (2025), Manoj Kumar et al. (2023), Yadav et al. (2025), Satish et al. (2025), and Dey et al. (2024), who reported that integrating 100% recommended dose of fertilizers with organic amendments such as farmyard manure and vermicompost significantly enhances yield and yield attributes of </w:t>
      </w:r>
      <w:r>
        <w:rPr>
          <w:rStyle w:val="Emphasis"/>
          <w:rFonts w:eastAsiaTheme="majorEastAsia"/>
        </w:rPr>
        <w:t>Brassica juncea</w:t>
      </w:r>
      <w:r>
        <w:t>.</w:t>
      </w:r>
    </w:p>
    <w:p w:rsidR="00690CAB" w:rsidRDefault="00690CAB" w:rsidP="00207C0F">
      <w:pPr>
        <w:pStyle w:val="NormalWeb"/>
        <w:spacing w:line="360" w:lineRule="auto"/>
        <w:ind w:firstLine="720"/>
        <w:jc w:val="both"/>
      </w:pPr>
      <w:r>
        <w:lastRenderedPageBreak/>
        <w:t xml:space="preserve">The results of the present study clearly indicate that integrated nutrient management (INM) significantly improved growth and yield attributes of mustard ( </w:t>
      </w:r>
      <w:r>
        <w:rPr>
          <w:rStyle w:val="Emphasis"/>
          <w:rFonts w:eastAsiaTheme="majorEastAsia"/>
        </w:rPr>
        <w:t>Brassica juncea</w:t>
      </w:r>
      <w:r>
        <w:t xml:space="preserve"> L.). The combined application of 100% recommended dose of fertilizers (RDF) with vermicompost resulted in higher plant height, dry matter accumulation, siliquae per plant, seeds per siliqua, and seed yield compared to the sole use of chemical fertilizers. These findings are in close agreement with the observations of Nagar and Suman (2025), who reported that 100% RDF along with vermicompost (5 t ha⁻¹) produced maximum yield and economic returns in Indian mustard. Similar improvements in growth and productivity due to balanced application of organic and inorganic nutrient sources were also reported by Singh et al. (2023), highlighting that INM enhances nutrient availability and uptake, thereby promoting sustainable mustard production.</w:t>
      </w:r>
    </w:p>
    <w:p w:rsidR="003655F4" w:rsidRPr="003655F4" w:rsidRDefault="003655F4" w:rsidP="003655F4">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proofErr w:type="gramStart"/>
      <w:r w:rsidRPr="003655F4">
        <w:rPr>
          <w:rFonts w:ascii="Times New Roman" w:eastAsia="Times New Roman" w:hAnsi="Times New Roman" w:cs="Times New Roman"/>
          <w:b/>
          <w:bCs/>
          <w:sz w:val="24"/>
          <w:szCs w:val="24"/>
          <w:lang w:eastAsia="en-GB"/>
        </w:rPr>
        <w:t xml:space="preserve">Table </w:t>
      </w:r>
      <w:r w:rsidR="00294B83">
        <w:rPr>
          <w:rFonts w:ascii="Times New Roman" w:eastAsia="Times New Roman" w:hAnsi="Times New Roman" w:cs="Times New Roman"/>
          <w:b/>
          <w:bCs/>
          <w:sz w:val="24"/>
          <w:szCs w:val="24"/>
          <w:lang w:eastAsia="en-GB"/>
        </w:rPr>
        <w:t>2</w:t>
      </w:r>
      <w:r w:rsidRPr="003655F4">
        <w:rPr>
          <w:rFonts w:ascii="Times New Roman" w:eastAsia="Times New Roman" w:hAnsi="Times New Roman" w:cs="Times New Roman"/>
          <w:b/>
          <w:bCs/>
          <w:sz w:val="24"/>
          <w:szCs w:val="24"/>
          <w:lang w:eastAsia="en-GB"/>
        </w:rPr>
        <w:t>.</w:t>
      </w:r>
      <w:proofErr w:type="gramEnd"/>
      <w:r w:rsidRPr="003655F4">
        <w:rPr>
          <w:rFonts w:ascii="Times New Roman" w:eastAsia="Times New Roman" w:hAnsi="Times New Roman" w:cs="Times New Roman"/>
          <w:b/>
          <w:bCs/>
          <w:sz w:val="24"/>
          <w:szCs w:val="24"/>
          <w:lang w:eastAsia="en-GB"/>
        </w:rPr>
        <w:t xml:space="preserve"> Effect of Integrated Nutrient Management on Plant Height, Plant Population, and Dry Matter Accumulation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82"/>
        <w:gridCol w:w="989"/>
        <w:gridCol w:w="989"/>
        <w:gridCol w:w="1481"/>
        <w:gridCol w:w="1481"/>
        <w:gridCol w:w="1188"/>
        <w:gridCol w:w="1203"/>
      </w:tblGrid>
      <w:tr w:rsidR="003655F4" w:rsidRPr="003655F4" w:rsidTr="003655F4">
        <w:trPr>
          <w:tblHeade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Treatments</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Height (cm) 30 DAS</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Height (cm) 60 DAS</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Population (plants/m) 30 DAS</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Plant Population (plants/m) 60 DAS</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Dry Matter (g/plant) 30 DAS</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Dry Matter (g/plant) 60 DAS</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18.2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65.80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8.25</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24.6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77.50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10.15</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23.1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75.35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9.34</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78.20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10.95</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81.50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13.74</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26.7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80.80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12.29</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29.3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81.90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1.82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14.21</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33.9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85.80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1.91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15.21</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32.6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83.50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1.85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14.47</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T10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89.20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1.97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15.98</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proofErr w:type="spellStart"/>
            <w:r w:rsidRPr="003655F4">
              <w:rPr>
                <w:rFonts w:ascii="Times New Roman" w:eastAsia="Times New Roman" w:hAnsi="Times New Roman" w:cs="Times New Roman"/>
                <w:b/>
                <w:bCs/>
                <w:sz w:val="24"/>
                <w:szCs w:val="24"/>
                <w:lang w:eastAsia="en-GB"/>
              </w:rPr>
              <w:t>SEm</w:t>
            </w:r>
            <w:proofErr w:type="spellEnd"/>
            <w:r w:rsidRPr="003655F4">
              <w:rPr>
                <w:rFonts w:ascii="Times New Roman" w:eastAsia="Times New Roman" w:hAnsi="Times New Roman" w:cs="Times New Roman"/>
                <w:b/>
                <w:bCs/>
                <w:sz w:val="24"/>
                <w:szCs w:val="24"/>
                <w:lang w:eastAsia="en-GB"/>
              </w:rPr>
              <w:t xml:space="preserve"> ±</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0.18</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CD @ 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10.4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0.24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0.30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0.54</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CV%</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8.3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7.3</w:t>
            </w:r>
          </w:p>
        </w:tc>
      </w:tr>
    </w:tbl>
    <w:p w:rsidR="00EE7813" w:rsidRDefault="00EE7813" w:rsidP="003655F4">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p>
    <w:p w:rsidR="003655F4" w:rsidRPr="003655F4" w:rsidRDefault="00BD2320" w:rsidP="003655F4">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en-GB"/>
        </w:rPr>
      </w:pPr>
      <w:r>
        <w:fldChar w:fldCharType="begin"/>
      </w:r>
      <w:r w:rsidR="00EE7813">
        <w:instrText xml:space="preserve"> INCLUDEPICTURE "https://lh3.googleusercontent.com/gg-dl/ABS2GSkQkoUb2aVjztG9G-Qa5kpLHx3_CjDpYn0mUq5MrIfwkxXDB6PbFR7OI22nxqfAhWOciTAHbU0FI2nBTdvfRvJycxReHMiA3kTIHvcfUw74pyMmLkrIL8NS1aIe1uE4ICGUP3GA_D_mRlFH21Ef_9rxVWUEVokOk9SFfaWJ21AtWnA-=s1024-rj" \* MERGEFORMATINET </w:instrText>
      </w:r>
      <w:r>
        <w:fldChar w:fldCharType="separate"/>
      </w:r>
      <w:r w:rsidRPr="00BD2320">
        <w:rPr>
          <w:noProof/>
        </w:rPr>
      </w:r>
      <w:r>
        <w:rPr>
          <w:noProof/>
        </w:rPr>
        <w:pict>
          <v:rect id="Rectangle 1" o:spid="_x0000_s1026"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filled="f" stroked="f">
            <o:lock v:ext="edit" aspectratio="t"/>
            <w10:wrap type="none"/>
            <w10:anchorlock/>
          </v:rect>
        </w:pict>
      </w:r>
      <w:r>
        <w:fldChar w:fldCharType="end"/>
      </w:r>
      <w:proofErr w:type="gramStart"/>
      <w:r w:rsidR="00294B83">
        <w:rPr>
          <w:rFonts w:ascii="Times New Roman" w:eastAsia="Times New Roman" w:hAnsi="Times New Roman" w:cs="Times New Roman"/>
          <w:b/>
          <w:bCs/>
          <w:kern w:val="36"/>
          <w:sz w:val="24"/>
          <w:szCs w:val="24"/>
          <w:lang w:eastAsia="en-GB"/>
        </w:rPr>
        <w:t>Table 3</w:t>
      </w:r>
      <w:r w:rsidR="003655F4" w:rsidRPr="003655F4">
        <w:rPr>
          <w:rFonts w:ascii="Times New Roman" w:eastAsia="Times New Roman" w:hAnsi="Times New Roman" w:cs="Times New Roman"/>
          <w:b/>
          <w:bCs/>
          <w:kern w:val="36"/>
          <w:sz w:val="24"/>
          <w:szCs w:val="24"/>
          <w:lang w:eastAsia="en-GB"/>
        </w:rPr>
        <w:t>.</w:t>
      </w:r>
      <w:proofErr w:type="gramEnd"/>
      <w:r w:rsidR="003655F4" w:rsidRPr="003655F4">
        <w:rPr>
          <w:rFonts w:ascii="Times New Roman" w:eastAsia="Times New Roman" w:hAnsi="Times New Roman" w:cs="Times New Roman"/>
          <w:b/>
          <w:bCs/>
          <w:kern w:val="36"/>
          <w:sz w:val="24"/>
          <w:szCs w:val="24"/>
          <w:lang w:eastAsia="en-GB"/>
        </w:rPr>
        <w:t xml:space="preserve"> Effect of Integrated Nutrient Management on Yield Attributes and Productivity Parameters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61"/>
        <w:gridCol w:w="838"/>
        <w:gridCol w:w="921"/>
        <w:gridCol w:w="815"/>
        <w:gridCol w:w="854"/>
        <w:gridCol w:w="835"/>
        <w:gridCol w:w="839"/>
        <w:gridCol w:w="1120"/>
        <w:gridCol w:w="915"/>
        <w:gridCol w:w="715"/>
      </w:tblGrid>
      <w:tr w:rsidR="003655F4" w:rsidRPr="003655F4" w:rsidTr="003655F4">
        <w:trPr>
          <w:tblHeade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lastRenderedPageBreak/>
              <w:t xml:space="preserve">Treat- </w:t>
            </w:r>
            <w:proofErr w:type="spellStart"/>
            <w:r w:rsidRPr="003655F4">
              <w:rPr>
                <w:rFonts w:ascii="Times New Roman" w:eastAsia="Times New Roman" w:hAnsi="Times New Roman" w:cs="Times New Roman"/>
                <w:b/>
                <w:bCs/>
                <w:sz w:val="24"/>
                <w:szCs w:val="24"/>
                <w:lang w:eastAsia="en-GB"/>
              </w:rPr>
              <w:t>ments</w:t>
            </w:r>
            <w:proofErr w:type="spellEnd"/>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Siliqua Length (cm)</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Siliquae / Plant</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Seeds / Siliqua</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1000-Seed Weight (g)</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Seed Yield (kg/ha)</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Stover Yield (kg/ha)</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Biological Yield (kg/ha)</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Harvest Index (%)</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b/>
                <w:bCs/>
                <w:sz w:val="24"/>
                <w:szCs w:val="24"/>
                <w:lang w:eastAsia="en-GB"/>
              </w:rPr>
            </w:pPr>
            <w:r w:rsidRPr="003655F4">
              <w:rPr>
                <w:rFonts w:ascii="Times New Roman" w:eastAsia="Times New Roman" w:hAnsi="Times New Roman" w:cs="Times New Roman"/>
                <w:b/>
                <w:bCs/>
                <w:sz w:val="24"/>
                <w:szCs w:val="24"/>
                <w:lang w:eastAsia="en-GB"/>
              </w:rPr>
              <w:t>Leaf Area Index (LAI)</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4.10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4.40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3400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32.67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1.12</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4.45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242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1980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3860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5840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33.90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1.42</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4.38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235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3750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5300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33.87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1.36</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12.8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4.60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2075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3980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6055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34.30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1.48</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270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2320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4380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6700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34.63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1.60</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4.68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261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4.67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2250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4250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6500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34.60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1.55</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275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2405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4500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6905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34.82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1.66</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283</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2575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7355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35.02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1.75</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278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13.9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2520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4700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7220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34.90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1.72</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T10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289</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14.5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4.90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2630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4860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7490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35.11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1.78</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proofErr w:type="spellStart"/>
            <w:r w:rsidRPr="003655F4">
              <w:rPr>
                <w:rFonts w:ascii="Times New Roman" w:eastAsia="Times New Roman" w:hAnsi="Times New Roman" w:cs="Times New Roman"/>
                <w:b/>
                <w:bCs/>
                <w:sz w:val="24"/>
                <w:szCs w:val="24"/>
                <w:lang w:eastAsia="en-GB"/>
              </w:rPr>
              <w:t>SEm</w:t>
            </w:r>
            <w:proofErr w:type="spellEnd"/>
            <w:r w:rsidRPr="003655F4">
              <w:rPr>
                <w:rFonts w:ascii="Times New Roman" w:eastAsia="Times New Roman" w:hAnsi="Times New Roman" w:cs="Times New Roman"/>
                <w:b/>
                <w:bCs/>
                <w:sz w:val="24"/>
                <w:szCs w:val="24"/>
                <w:lang w:eastAsia="en-GB"/>
              </w:rPr>
              <w:t xml:space="preserve"> ±</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7</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68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95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0.28</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0.03</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CD @ 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0.14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115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205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285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0.85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0.08</w:t>
            </w:r>
          </w:p>
        </w:tc>
      </w:tr>
      <w:tr w:rsidR="003655F4" w:rsidRPr="003655F4" w:rsidTr="003655F4">
        <w:trPr>
          <w:tblCellSpacing w:w="15" w:type="dxa"/>
        </w:trPr>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b/>
                <w:bCs/>
                <w:sz w:val="24"/>
                <w:szCs w:val="24"/>
                <w:lang w:eastAsia="en-GB"/>
              </w:rPr>
              <w:t>CV%</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5.4</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3.2</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3.1</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3.6</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sidRPr="003655F4">
              <w:rPr>
                <w:rFonts w:ascii="Times New Roman" w:eastAsia="Times New Roman" w:hAnsi="Times New Roman" w:cs="Times New Roman"/>
                <w:sz w:val="24"/>
                <w:szCs w:val="24"/>
                <w:lang w:eastAsia="en-GB"/>
              </w:rPr>
              <w:t>3.5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2.5</w:t>
            </w:r>
          </w:p>
        </w:tc>
        <w:tc>
          <w:tcPr>
            <w:tcW w:w="0" w:type="auto"/>
            <w:vAlign w:val="center"/>
            <w:hideMark/>
          </w:tcPr>
          <w:p w:rsidR="003655F4" w:rsidRPr="003655F4" w:rsidRDefault="003655F4" w:rsidP="003655F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4.2</w:t>
            </w:r>
          </w:p>
        </w:tc>
      </w:tr>
    </w:tbl>
    <w:p w:rsidR="00480BCF" w:rsidRPr="00444904" w:rsidRDefault="00480BCF" w:rsidP="00F077CB">
      <w:pPr>
        <w:spacing w:before="100" w:beforeAutospacing="1" w:after="100" w:afterAutospacing="1" w:line="360" w:lineRule="auto"/>
        <w:jc w:val="both"/>
        <w:outlineLvl w:val="2"/>
        <w:rPr>
          <w:sz w:val="13"/>
          <w:szCs w:val="13"/>
        </w:rPr>
      </w:pPr>
    </w:p>
    <w:p w:rsidR="00444904" w:rsidRPr="00444904" w:rsidRDefault="00991051" w:rsidP="00444904">
      <w:pPr>
        <w:spacing w:before="100" w:beforeAutospacing="1" w:after="100" w:afterAutospacing="1" w:line="240" w:lineRule="auto"/>
        <w:outlineLvl w:val="0"/>
        <w:rPr>
          <w:rFonts w:ascii="Times New Roman" w:eastAsia="Times New Roman" w:hAnsi="Times New Roman" w:cs="Times New Roman"/>
          <w:b/>
          <w:bCs/>
          <w:kern w:val="36"/>
          <w:sz w:val="24"/>
          <w:szCs w:val="24"/>
          <w:lang w:eastAsia="en-GB"/>
        </w:rPr>
      </w:pPr>
      <w:r>
        <w:rPr>
          <w:rFonts w:ascii="Times New Roman" w:eastAsia="Times New Roman" w:hAnsi="Times New Roman" w:cs="Times New Roman"/>
          <w:b/>
          <w:bCs/>
          <w:kern w:val="36"/>
          <w:sz w:val="24"/>
          <w:szCs w:val="24"/>
          <w:lang w:eastAsia="en-GB"/>
        </w:rPr>
        <w:t xml:space="preserve">4. </w:t>
      </w:r>
      <w:r w:rsidR="00444904" w:rsidRPr="00444904">
        <w:rPr>
          <w:rFonts w:ascii="Times New Roman" w:eastAsia="Times New Roman" w:hAnsi="Times New Roman" w:cs="Times New Roman"/>
          <w:b/>
          <w:bCs/>
          <w:kern w:val="36"/>
          <w:sz w:val="24"/>
          <w:szCs w:val="24"/>
          <w:lang w:eastAsia="en-GB"/>
        </w:rPr>
        <w:t>Conclusion</w:t>
      </w:r>
    </w:p>
    <w:p w:rsidR="00480BCF" w:rsidRDefault="00444904" w:rsidP="00444904">
      <w:pPr>
        <w:spacing w:before="100" w:beforeAutospacing="1" w:after="100" w:afterAutospacing="1" w:line="360" w:lineRule="auto"/>
        <w:ind w:firstLine="720"/>
        <w:jc w:val="both"/>
        <w:rPr>
          <w:rFonts w:ascii="Times New Roman" w:eastAsia="Times New Roman" w:hAnsi="Times New Roman" w:cs="Times New Roman"/>
          <w:sz w:val="24"/>
          <w:szCs w:val="24"/>
          <w:lang w:eastAsia="en-GB"/>
        </w:rPr>
      </w:pPr>
      <w:r w:rsidRPr="00444904">
        <w:rPr>
          <w:rFonts w:ascii="Times New Roman" w:eastAsia="Times New Roman" w:hAnsi="Times New Roman" w:cs="Times New Roman"/>
          <w:sz w:val="24"/>
          <w:szCs w:val="24"/>
          <w:lang w:eastAsia="en-GB"/>
        </w:rPr>
        <w:t>The study clearly demonstrates that integrated nutrient management significantly improves the growth, physiological performance, and yield of Indian mustard. Treatments combining organic amendments with chemical fertilizers, particularly T10, resulted in superior plant height, plant population, dry matter accumulation, and yield-attributing traits. The enhanced seed yield, stover yield, biological yield, and harvest index under INM treatments confirm the benefit of balanced nutrient supply in supporting higher photosynthetic efficiency and assimilate partitioning. These findings align with previous research reporting the positive effects of combining organic and inorganic nutrient sources on soil fertility and crop productivity. Therefore, integrated nutrient management emerges as a sustainable and efficient approach to maximizing mustard yield while maintaining long-term soil health. Adoption of INM practices can significantly enhance mustard-based cropping systems, especially in nutrient-deficient soils.</w:t>
      </w:r>
    </w:p>
    <w:p w:rsidR="008B3CBF" w:rsidRDefault="008B3CBF" w:rsidP="008B3CBF">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8B3CBF" w:rsidRDefault="008B3CBF" w:rsidP="008B3CBF">
      <w:pPr>
        <w:spacing w:before="100" w:beforeAutospacing="1" w:after="100" w:afterAutospacing="1" w:line="360" w:lineRule="auto"/>
        <w:jc w:val="both"/>
        <w:rPr>
          <w:rFonts w:ascii="Times New Roman" w:eastAsia="Times New Roman" w:hAnsi="Times New Roman" w:cs="Times New Roman"/>
          <w:sz w:val="24"/>
          <w:szCs w:val="24"/>
          <w:lang w:eastAsia="en-GB"/>
        </w:rPr>
      </w:pPr>
    </w:p>
    <w:p w:rsidR="008B3CBF" w:rsidRPr="00294B83" w:rsidRDefault="008B3CBF" w:rsidP="008B3CBF">
      <w:pPr>
        <w:spacing w:after="200"/>
        <w:rPr>
          <w:b/>
          <w:kern w:val="2"/>
          <w:highlight w:val="yellow"/>
          <w:lang w:val="en-US"/>
        </w:rPr>
      </w:pPr>
      <w:r w:rsidRPr="00294B83">
        <w:rPr>
          <w:b/>
          <w:kern w:val="2"/>
          <w:highlight w:val="yellow"/>
          <w:lang w:val="en-US"/>
        </w:rPr>
        <w:t>Disclaimer (Artificial intelligence)</w:t>
      </w:r>
    </w:p>
    <w:p w:rsidR="008B3CBF" w:rsidRPr="008B3CBF" w:rsidRDefault="008B3CBF" w:rsidP="008B3CBF">
      <w:pPr>
        <w:spacing w:after="200"/>
        <w:rPr>
          <w:kern w:val="2"/>
          <w:highlight w:val="yellow"/>
          <w:lang w:val="en-US"/>
        </w:rPr>
      </w:pPr>
      <w:r w:rsidRPr="008B3CBF">
        <w:rPr>
          <w:kern w:val="2"/>
          <w:highlight w:val="yellow"/>
          <w:lang w:val="en-US"/>
        </w:rPr>
        <w:t xml:space="preserve">Option 1: </w:t>
      </w:r>
    </w:p>
    <w:p w:rsidR="008B3CBF" w:rsidRPr="008B3CBF" w:rsidRDefault="008B3CBF" w:rsidP="008B3CBF">
      <w:pPr>
        <w:spacing w:after="200"/>
        <w:rPr>
          <w:kern w:val="2"/>
          <w:highlight w:val="yellow"/>
          <w:lang w:val="en-US"/>
        </w:rPr>
      </w:pPr>
      <w:r w:rsidRPr="008B3CBF">
        <w:rPr>
          <w:kern w:val="2"/>
          <w:highlight w:val="yellow"/>
          <w:lang w:val="en-US"/>
        </w:rPr>
        <w:t>Author(s) hereby declare that NO generative AI technologies such as Large Language Models (</w:t>
      </w:r>
      <w:proofErr w:type="spellStart"/>
      <w:r w:rsidRPr="008B3CBF">
        <w:rPr>
          <w:kern w:val="2"/>
          <w:highlight w:val="yellow"/>
          <w:lang w:val="en-US"/>
        </w:rPr>
        <w:t>ChatGPT</w:t>
      </w:r>
      <w:proofErr w:type="spellEnd"/>
      <w:r w:rsidRPr="008B3CBF">
        <w:rPr>
          <w:kern w:val="2"/>
          <w:highlight w:val="yellow"/>
          <w:lang w:val="en-US"/>
        </w:rPr>
        <w:t xml:space="preserve">, COPILOT, etc.) and text-to-image generators have been used during the writing or editing of this manuscript. </w:t>
      </w:r>
    </w:p>
    <w:p w:rsidR="008B3CBF" w:rsidRPr="008B3CBF" w:rsidRDefault="008B3CBF" w:rsidP="008B3CBF">
      <w:pPr>
        <w:spacing w:after="200"/>
        <w:rPr>
          <w:kern w:val="2"/>
          <w:highlight w:val="yellow"/>
          <w:lang w:val="en-US"/>
        </w:rPr>
      </w:pPr>
      <w:r w:rsidRPr="008B3CBF">
        <w:rPr>
          <w:kern w:val="2"/>
          <w:highlight w:val="yellow"/>
          <w:lang w:val="en-US"/>
        </w:rPr>
        <w:t xml:space="preserve">Option 2: </w:t>
      </w:r>
    </w:p>
    <w:p w:rsidR="008B3CBF" w:rsidRPr="008B3CBF" w:rsidRDefault="008B3CBF" w:rsidP="008B3CBF">
      <w:pPr>
        <w:spacing w:after="200"/>
        <w:rPr>
          <w:kern w:val="2"/>
          <w:highlight w:val="yellow"/>
          <w:lang w:val="en-US"/>
        </w:rPr>
      </w:pPr>
      <w:r w:rsidRPr="008B3CBF">
        <w:rPr>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8B3CBF" w:rsidRPr="008B3CBF" w:rsidRDefault="008B3CBF" w:rsidP="008B3CBF">
      <w:pPr>
        <w:spacing w:after="200"/>
        <w:rPr>
          <w:kern w:val="2"/>
          <w:highlight w:val="yellow"/>
          <w:lang w:val="en-US"/>
        </w:rPr>
      </w:pPr>
      <w:r w:rsidRPr="008B3CBF">
        <w:rPr>
          <w:kern w:val="2"/>
          <w:highlight w:val="yellow"/>
          <w:lang w:val="en-US"/>
        </w:rPr>
        <w:t>Details of the AI usage are given below:</w:t>
      </w:r>
    </w:p>
    <w:p w:rsidR="008B3CBF" w:rsidRPr="008B3CBF" w:rsidRDefault="008B3CBF" w:rsidP="008B3CBF">
      <w:pPr>
        <w:spacing w:after="200"/>
        <w:rPr>
          <w:kern w:val="2"/>
          <w:highlight w:val="yellow"/>
          <w:lang w:val="en-US"/>
        </w:rPr>
      </w:pPr>
      <w:r w:rsidRPr="008B3CBF">
        <w:rPr>
          <w:kern w:val="2"/>
          <w:highlight w:val="yellow"/>
          <w:lang w:val="en-US"/>
        </w:rPr>
        <w:t>1.</w:t>
      </w:r>
    </w:p>
    <w:p w:rsidR="008B3CBF" w:rsidRPr="008B3CBF" w:rsidRDefault="008B3CBF" w:rsidP="008B3CBF">
      <w:pPr>
        <w:spacing w:after="200"/>
        <w:rPr>
          <w:kern w:val="2"/>
          <w:highlight w:val="yellow"/>
          <w:lang w:val="en-US"/>
        </w:rPr>
      </w:pPr>
      <w:r w:rsidRPr="008B3CBF">
        <w:rPr>
          <w:kern w:val="2"/>
          <w:highlight w:val="yellow"/>
          <w:lang w:val="en-US"/>
        </w:rPr>
        <w:t>2.</w:t>
      </w:r>
    </w:p>
    <w:p w:rsidR="008B3CBF" w:rsidRPr="008B3CBF" w:rsidRDefault="008B3CBF" w:rsidP="008B3CBF">
      <w:pPr>
        <w:spacing w:after="200"/>
        <w:rPr>
          <w:kern w:val="2"/>
          <w:lang w:val="en-US"/>
        </w:rPr>
      </w:pPr>
      <w:r w:rsidRPr="008B3CBF">
        <w:rPr>
          <w:kern w:val="2"/>
          <w:highlight w:val="yellow"/>
          <w:lang w:val="en-US"/>
        </w:rPr>
        <w:t>3.</w:t>
      </w:r>
    </w:p>
    <w:p w:rsidR="00991051" w:rsidRDefault="00991051" w:rsidP="00BE3021">
      <w:pPr>
        <w:spacing w:before="100" w:beforeAutospacing="1" w:after="100" w:afterAutospacing="1" w:line="240" w:lineRule="auto"/>
        <w:rPr>
          <w:rFonts w:ascii="Times New Roman" w:eastAsia="Times New Roman" w:hAnsi="Times New Roman" w:cs="Times New Roman"/>
          <w:b/>
          <w:bCs/>
          <w:sz w:val="24"/>
          <w:szCs w:val="24"/>
          <w:lang w:eastAsia="en-GB"/>
        </w:rPr>
      </w:pPr>
      <w:bookmarkStart w:id="0" w:name="_GoBack"/>
      <w:bookmarkEnd w:id="0"/>
    </w:p>
    <w:p w:rsidR="00991051" w:rsidRPr="00991051" w:rsidRDefault="00BE3021" w:rsidP="00991051">
      <w:pPr>
        <w:spacing w:before="100" w:beforeAutospacing="1" w:after="100" w:afterAutospacing="1" w:line="240" w:lineRule="auto"/>
        <w:rPr>
          <w:rFonts w:ascii="Times New Roman" w:eastAsia="Times New Roman" w:hAnsi="Times New Roman" w:cs="Times New Roman"/>
          <w:sz w:val="24"/>
          <w:szCs w:val="24"/>
          <w:lang w:eastAsia="en-GB"/>
        </w:rPr>
      </w:pPr>
      <w:r w:rsidRPr="00BE3021">
        <w:rPr>
          <w:rFonts w:ascii="Times New Roman" w:eastAsia="Times New Roman" w:hAnsi="Times New Roman" w:cs="Times New Roman"/>
          <w:b/>
          <w:bCs/>
          <w:sz w:val="24"/>
          <w:szCs w:val="24"/>
          <w:lang w:eastAsia="en-GB"/>
        </w:rPr>
        <w:t>References</w:t>
      </w:r>
    </w:p>
    <w:p w:rsidR="00991051" w:rsidRDefault="00991051" w:rsidP="00CD0A2B">
      <w:pPr>
        <w:pStyle w:val="NormalWeb"/>
        <w:numPr>
          <w:ilvl w:val="0"/>
          <w:numId w:val="4"/>
        </w:numPr>
        <w:spacing w:line="360" w:lineRule="auto"/>
        <w:jc w:val="both"/>
      </w:pPr>
      <w:r w:rsidRPr="00444904">
        <w:t xml:space="preserve">Chandan, S. K., Singh, S. K., Pandey, A., Singh, P. &amp; Prabha, S. (2018). Effect of integrated nutrient management on growth, yield and nutrient uptake by Indian mustard (Brassica juncea L.). </w:t>
      </w:r>
      <w:r w:rsidRPr="00444904">
        <w:rPr>
          <w:i/>
          <w:iCs/>
        </w:rPr>
        <w:t>Annals of Plant and Soil Research</w:t>
      </w:r>
      <w:r w:rsidRPr="00444904">
        <w:t>, 20(1): 31-36. DOI:</w:t>
      </w:r>
      <w:hyperlink r:id="rId5" w:history="1">
        <w:r w:rsidRPr="00444904">
          <w:rPr>
            <w:color w:val="0000FF"/>
            <w:u w:val="single"/>
          </w:rPr>
          <w:t>10.51470/ANNPLANTSOLRES.2018.20.1.31</w:t>
        </w:r>
      </w:hyperlink>
      <w:r w:rsidRPr="00444904">
        <w:br/>
      </w:r>
    </w:p>
    <w:p w:rsidR="00991051" w:rsidRDefault="00991051" w:rsidP="00CD0A2B">
      <w:pPr>
        <w:pStyle w:val="NormalWeb"/>
        <w:numPr>
          <w:ilvl w:val="0"/>
          <w:numId w:val="4"/>
        </w:numPr>
        <w:spacing w:line="360" w:lineRule="auto"/>
        <w:jc w:val="both"/>
      </w:pPr>
      <w:r w:rsidRPr="00444904">
        <w:t xml:space="preserve">Devkota, C., Bhattarai, B.P., Mishra, S.R., et al. (2020). Effect of integrated plant nutrient management on growth, yield and leaf nutrient status of broadleaf mustard (Brassica juncea var. rugosa). </w:t>
      </w:r>
      <w:r w:rsidRPr="00444904">
        <w:rPr>
          <w:i/>
          <w:iCs/>
        </w:rPr>
        <w:t>Horticulture International Journal</w:t>
      </w:r>
      <w:r w:rsidRPr="00444904">
        <w:t xml:space="preserve">, 4(3):78-81. DOI: </w:t>
      </w:r>
      <w:hyperlink r:id="rId6" w:history="1">
        <w:r w:rsidRPr="00444904">
          <w:rPr>
            <w:color w:val="0000FF"/>
            <w:u w:val="single"/>
          </w:rPr>
          <w:t>10.15406/hij.2020.04.00162</w:t>
        </w:r>
      </w:hyperlink>
    </w:p>
    <w:p w:rsidR="00991051" w:rsidRDefault="00991051" w:rsidP="00CD0A2B">
      <w:pPr>
        <w:pStyle w:val="NormalWeb"/>
        <w:numPr>
          <w:ilvl w:val="0"/>
          <w:numId w:val="4"/>
        </w:numPr>
        <w:spacing w:line="360" w:lineRule="auto"/>
        <w:jc w:val="both"/>
      </w:pPr>
      <w:r>
        <w:t xml:space="preserve">Dey, Biplob, Bhatt, </w:t>
      </w:r>
      <w:proofErr w:type="spellStart"/>
      <w:r>
        <w:t>Pallavi</w:t>
      </w:r>
      <w:proofErr w:type="spellEnd"/>
      <w:r>
        <w:t xml:space="preserve">, Sharma, </w:t>
      </w:r>
      <w:proofErr w:type="spellStart"/>
      <w:r>
        <w:t>Roop</w:t>
      </w:r>
      <w:proofErr w:type="spellEnd"/>
      <w:r>
        <w:t xml:space="preserve"> </w:t>
      </w:r>
      <w:proofErr w:type="spellStart"/>
      <w:r>
        <w:t>Kishore</w:t>
      </w:r>
      <w:proofErr w:type="spellEnd"/>
      <w:r>
        <w:t xml:space="preserve">, Sharma, </w:t>
      </w:r>
      <w:proofErr w:type="spellStart"/>
      <w:r>
        <w:t>Debjeet</w:t>
      </w:r>
      <w:proofErr w:type="spellEnd"/>
      <w:r>
        <w:t xml:space="preserve">, &amp; </w:t>
      </w:r>
      <w:proofErr w:type="spellStart"/>
      <w:r>
        <w:t>Mandal</w:t>
      </w:r>
      <w:proofErr w:type="spellEnd"/>
      <w:r>
        <w:t xml:space="preserve">, </w:t>
      </w:r>
      <w:proofErr w:type="spellStart"/>
      <w:r>
        <w:t>Subhrangshu</w:t>
      </w:r>
      <w:proofErr w:type="spellEnd"/>
      <w:r>
        <w:t xml:space="preserve">. (2024). </w:t>
      </w:r>
      <w:r w:rsidRPr="005F3589">
        <w:rPr>
          <w:rStyle w:val="Emphasis"/>
          <w:i w:val="0"/>
          <w:iCs w:val="0"/>
        </w:rPr>
        <w:t>Optimization of Chemical Fertilizer through Integrated Nutrient Management (INM) Approach and Its Effect on Growth and Yield of Mustard</w:t>
      </w:r>
      <w:r>
        <w:rPr>
          <w:rStyle w:val="Emphasis"/>
        </w:rPr>
        <w:t xml:space="preserve"> (Brassica juncea </w:t>
      </w:r>
      <w:r w:rsidRPr="005F3589">
        <w:rPr>
          <w:rStyle w:val="Emphasis"/>
          <w:i w:val="0"/>
          <w:iCs w:val="0"/>
        </w:rPr>
        <w:t>L.)</w:t>
      </w:r>
      <w:r w:rsidRPr="005F3589">
        <w:rPr>
          <w:i/>
          <w:iCs/>
        </w:rPr>
        <w:t>.</w:t>
      </w:r>
      <w:r w:rsidRPr="005F3589">
        <w:rPr>
          <w:rStyle w:val="Strong"/>
          <w:b w:val="0"/>
          <w:bCs w:val="0"/>
          <w:i/>
          <w:iCs/>
        </w:rPr>
        <w:t>Asian Journal of Soil Science and Plant Nutrition, 10</w:t>
      </w:r>
      <w:r>
        <w:t xml:space="preserve">(1), 64–74. </w:t>
      </w:r>
      <w:hyperlink r:id="rId7" w:tgtFrame="_new" w:history="1">
        <w:r>
          <w:rPr>
            <w:rStyle w:val="Hyperlink"/>
            <w:rFonts w:eastAsiaTheme="majorEastAsia"/>
          </w:rPr>
          <w:t>https://doi.org/10.9734/ajsspn/2024/v10i1211</w:t>
        </w:r>
      </w:hyperlink>
    </w:p>
    <w:p w:rsidR="00991051" w:rsidRDefault="00991051" w:rsidP="00CD0A2B">
      <w:pPr>
        <w:pStyle w:val="NormalWeb"/>
        <w:numPr>
          <w:ilvl w:val="0"/>
          <w:numId w:val="4"/>
        </w:numPr>
        <w:spacing w:line="360" w:lineRule="auto"/>
        <w:jc w:val="both"/>
      </w:pPr>
      <w:r w:rsidRPr="00444904">
        <w:lastRenderedPageBreak/>
        <w:t xml:space="preserve">Kumar, A., Rao, A. &amp; Mishra, K.K. (2024). Effect of integrated nutrient management on growth of Indian mustard (Brassica juncea L.). </w:t>
      </w:r>
      <w:r w:rsidRPr="00444904">
        <w:rPr>
          <w:i/>
          <w:iCs/>
        </w:rPr>
        <w:t>Plant Archives</w:t>
      </w:r>
      <w:r w:rsidRPr="00444904">
        <w:t xml:space="preserve">, 24(2):847-850. DOI: </w:t>
      </w:r>
      <w:hyperlink r:id="rId8" w:history="1">
        <w:r w:rsidRPr="00444904">
          <w:rPr>
            <w:color w:val="0000FF"/>
            <w:u w:val="single"/>
          </w:rPr>
          <w:t>10.51470/PLANTARCHIVES.2024.v24.no.2.118</w:t>
        </w:r>
      </w:hyperlink>
    </w:p>
    <w:p w:rsidR="00991051" w:rsidRDefault="00991051" w:rsidP="00CD0A2B">
      <w:pPr>
        <w:pStyle w:val="NormalWeb"/>
        <w:numPr>
          <w:ilvl w:val="0"/>
          <w:numId w:val="4"/>
        </w:numPr>
        <w:spacing w:line="360" w:lineRule="auto"/>
        <w:jc w:val="both"/>
      </w:pPr>
      <w:r>
        <w:t xml:space="preserve">Kumar, </w:t>
      </w:r>
      <w:proofErr w:type="spellStart"/>
      <w:r>
        <w:t>Pradeep</w:t>
      </w:r>
      <w:proofErr w:type="spellEnd"/>
      <w:r>
        <w:t xml:space="preserve">, </w:t>
      </w:r>
      <w:proofErr w:type="spellStart"/>
      <w:r>
        <w:t>Nand</w:t>
      </w:r>
      <w:proofErr w:type="spellEnd"/>
      <w:r>
        <w:t xml:space="preserve">, </w:t>
      </w:r>
      <w:proofErr w:type="spellStart"/>
      <w:r>
        <w:t>Vishuddha</w:t>
      </w:r>
      <w:proofErr w:type="spellEnd"/>
      <w:r>
        <w:t xml:space="preserve">, Kumar, </w:t>
      </w:r>
      <w:proofErr w:type="spellStart"/>
      <w:r>
        <w:t>Dheerendra</w:t>
      </w:r>
      <w:proofErr w:type="spellEnd"/>
      <w:r>
        <w:t xml:space="preserve">, Mishra, Abhishek, Bhan, Suryabhan, Kumar, Sanjiv, &amp; Bagri, Janardan Prasad. (2025). </w:t>
      </w:r>
      <w:r>
        <w:rPr>
          <w:rStyle w:val="Emphasis"/>
        </w:rPr>
        <w:t>Effect of Integrated Nutrient Management on Growth, Yield and Quality of Indian Mustard (Brassica juncea L.)</w:t>
      </w:r>
      <w:r>
        <w:t xml:space="preserve">. </w:t>
      </w:r>
      <w:r w:rsidRPr="00C378E8">
        <w:rPr>
          <w:rStyle w:val="Strong"/>
          <w:b w:val="0"/>
          <w:bCs w:val="0"/>
          <w:i/>
          <w:iCs/>
        </w:rPr>
        <w:t>Plant Archives,</w:t>
      </w:r>
      <w:r w:rsidRPr="00C378E8">
        <w:rPr>
          <w:rStyle w:val="Strong"/>
          <w:b w:val="0"/>
          <w:bCs w:val="0"/>
        </w:rPr>
        <w:t xml:space="preserve"> 25</w:t>
      </w:r>
      <w:r>
        <w:t xml:space="preserve">(Suppl. 1), 1286–1292. </w:t>
      </w:r>
      <w:hyperlink r:id="rId9" w:history="1">
        <w:r w:rsidRPr="00697B28">
          <w:rPr>
            <w:rStyle w:val="Hyperlink"/>
          </w:rPr>
          <w:t>https://doi.org/10.51470/PLANTARCHIVES.2025.v25</w:t>
        </w:r>
      </w:hyperlink>
      <w:r>
        <w:t>.</w:t>
      </w:r>
    </w:p>
    <w:p w:rsidR="00991051" w:rsidRDefault="00991051" w:rsidP="00CD0A2B">
      <w:pPr>
        <w:pStyle w:val="NormalWeb"/>
        <w:numPr>
          <w:ilvl w:val="0"/>
          <w:numId w:val="4"/>
        </w:numPr>
        <w:spacing w:line="360" w:lineRule="auto"/>
        <w:jc w:val="both"/>
        <w:rPr>
          <w:color w:val="0000FF"/>
          <w:u w:val="single"/>
        </w:rPr>
      </w:pPr>
      <w:proofErr w:type="spellStart"/>
      <w:r w:rsidRPr="00444904">
        <w:t>Mukhi</w:t>
      </w:r>
      <w:proofErr w:type="spellEnd"/>
      <w:r w:rsidRPr="00444904">
        <w:t xml:space="preserve">, S.K., </w:t>
      </w:r>
      <w:proofErr w:type="spellStart"/>
      <w:r w:rsidRPr="00444904">
        <w:t>Sardar</w:t>
      </w:r>
      <w:proofErr w:type="spellEnd"/>
      <w:r w:rsidRPr="00444904">
        <w:t xml:space="preserve">, S.S., Bar, N. &amp; Mishra, P.J. (2024). Effect of integrated nutrient management practices on growth, yield, quality and economics of Indian mustard (Brassica juncea L.). </w:t>
      </w:r>
      <w:r w:rsidRPr="00444904">
        <w:rPr>
          <w:i/>
          <w:iCs/>
        </w:rPr>
        <w:t>Journal of Experimental Agriculture International</w:t>
      </w:r>
      <w:r w:rsidRPr="00444904">
        <w:t xml:space="preserve">, 46(11):405-413. DOI: </w:t>
      </w:r>
      <w:hyperlink r:id="rId10" w:history="1">
        <w:r w:rsidRPr="00444904">
          <w:rPr>
            <w:color w:val="0000FF"/>
            <w:u w:val="single"/>
          </w:rPr>
          <w:t>10.9734/</w:t>
        </w:r>
        <w:proofErr w:type="spellStart"/>
        <w:r w:rsidRPr="00444904">
          <w:rPr>
            <w:color w:val="0000FF"/>
            <w:u w:val="single"/>
          </w:rPr>
          <w:t>jeai</w:t>
        </w:r>
        <w:proofErr w:type="spellEnd"/>
        <w:r w:rsidRPr="00444904">
          <w:rPr>
            <w:color w:val="0000FF"/>
            <w:u w:val="single"/>
          </w:rPr>
          <w:t>/2024/v46i113063</w:t>
        </w:r>
      </w:hyperlink>
    </w:p>
    <w:p w:rsidR="00CD0A2B" w:rsidRDefault="00CD0A2B" w:rsidP="00CD0A2B">
      <w:pPr>
        <w:pStyle w:val="NormalWeb"/>
        <w:spacing w:line="360" w:lineRule="auto"/>
        <w:jc w:val="both"/>
      </w:pPr>
    </w:p>
    <w:p w:rsidR="00991051" w:rsidRPr="00CD0A2B" w:rsidRDefault="00991051" w:rsidP="00CD0A2B">
      <w:pPr>
        <w:pStyle w:val="ListParagraph"/>
        <w:numPr>
          <w:ilvl w:val="0"/>
          <w:numId w:val="4"/>
        </w:numPr>
        <w:spacing w:before="100" w:beforeAutospacing="1" w:after="100" w:afterAutospacing="1" w:line="360" w:lineRule="auto"/>
        <w:jc w:val="both"/>
        <w:rPr>
          <w:sz w:val="24"/>
          <w:szCs w:val="24"/>
        </w:rPr>
      </w:pPr>
      <w:r w:rsidRPr="00CD0A2B">
        <w:rPr>
          <w:sz w:val="24"/>
          <w:szCs w:val="24"/>
        </w:rPr>
        <w:t>Nagar, Chetan, and Bhagwan Suman. (2025). Effect of Integrated Nutrient Management on Growth, Yield, Quality, and Economic Viability of Indian Mustard (</w:t>
      </w:r>
      <w:r w:rsidRPr="00CD0A2B">
        <w:rPr>
          <w:i/>
          <w:iCs/>
          <w:sz w:val="24"/>
          <w:szCs w:val="24"/>
        </w:rPr>
        <w:t>Brassica Juncea</w:t>
      </w:r>
      <w:r w:rsidRPr="00CD0A2B">
        <w:rPr>
          <w:sz w:val="24"/>
          <w:szCs w:val="24"/>
        </w:rPr>
        <w:t xml:space="preserve"> L.). </w:t>
      </w:r>
      <w:r w:rsidRPr="00CD0A2B">
        <w:rPr>
          <w:i/>
          <w:iCs/>
          <w:sz w:val="24"/>
          <w:szCs w:val="24"/>
        </w:rPr>
        <w:t>Journal of Experimental Agriculture International</w:t>
      </w:r>
      <w:r w:rsidRPr="00CD0A2B">
        <w:rPr>
          <w:sz w:val="24"/>
          <w:szCs w:val="24"/>
        </w:rPr>
        <w:t xml:space="preserve"> 47 (7):882-90. </w:t>
      </w:r>
      <w:hyperlink r:id="rId11" w:history="1">
        <w:r w:rsidRPr="00CD0A2B">
          <w:rPr>
            <w:rStyle w:val="Hyperlink"/>
            <w:sz w:val="24"/>
            <w:szCs w:val="24"/>
          </w:rPr>
          <w:t>https://doi.org/10.9734/jeai/2025/v47i73630</w:t>
        </w:r>
      </w:hyperlink>
    </w:p>
    <w:p w:rsidR="00CD0A2B" w:rsidRDefault="00991051" w:rsidP="00CD0A2B">
      <w:pPr>
        <w:pStyle w:val="NormalWeb"/>
        <w:numPr>
          <w:ilvl w:val="0"/>
          <w:numId w:val="4"/>
        </w:numPr>
        <w:spacing w:line="360" w:lineRule="auto"/>
        <w:jc w:val="both"/>
      </w:pPr>
      <w:r w:rsidRPr="00444904">
        <w:t xml:space="preserve">Patel, P.R., et al. (2024). Effect of integrated nutrient management on growth, yield and economics of Indian mustard (Brassica juncea L.). </w:t>
      </w:r>
      <w:r w:rsidRPr="00444904">
        <w:rPr>
          <w:i/>
          <w:iCs/>
        </w:rPr>
        <w:t>Research Trend</w:t>
      </w:r>
      <w:r w:rsidRPr="00444904">
        <w:t>, July 15.DOI:</w:t>
      </w:r>
      <w:hyperlink r:id="rId12" w:history="1">
        <w:r w:rsidRPr="00444904">
          <w:rPr>
            <w:color w:val="0000FF"/>
            <w:u w:val="single"/>
          </w:rPr>
          <w:t>10.9734/</w:t>
        </w:r>
        <w:proofErr w:type="spellStart"/>
        <w:r w:rsidRPr="00444904">
          <w:rPr>
            <w:color w:val="0000FF"/>
            <w:u w:val="single"/>
          </w:rPr>
          <w:t>rt</w:t>
        </w:r>
        <w:proofErr w:type="spellEnd"/>
        <w:r w:rsidRPr="00444904">
          <w:rPr>
            <w:color w:val="0000FF"/>
            <w:u w:val="single"/>
          </w:rPr>
          <w:t>/2024/v?/</w:t>
        </w:r>
        <w:proofErr w:type="spellStart"/>
        <w:r w:rsidRPr="00444904">
          <w:rPr>
            <w:color w:val="0000FF"/>
            <w:u w:val="single"/>
          </w:rPr>
          <w:t>i</w:t>
        </w:r>
        <w:proofErr w:type="spellEnd"/>
        <w:r w:rsidRPr="00444904">
          <w:rPr>
            <w:color w:val="0000FF"/>
            <w:u w:val="single"/>
          </w:rPr>
          <w:t>?=147564</w:t>
        </w:r>
      </w:hyperlink>
      <w:r w:rsidRPr="00444904">
        <w:br/>
      </w:r>
    </w:p>
    <w:p w:rsidR="00991051" w:rsidRDefault="00991051" w:rsidP="00CD0A2B">
      <w:pPr>
        <w:pStyle w:val="NormalWeb"/>
        <w:numPr>
          <w:ilvl w:val="0"/>
          <w:numId w:val="4"/>
        </w:numPr>
        <w:spacing w:line="360" w:lineRule="auto"/>
        <w:jc w:val="both"/>
      </w:pPr>
      <w:proofErr w:type="spellStart"/>
      <w:r w:rsidRPr="00444904">
        <w:t>Sreerenjiny</w:t>
      </w:r>
      <w:proofErr w:type="spellEnd"/>
      <w:r w:rsidRPr="00444904">
        <w:t>, S. &amp; Debbarma, V. (2022). Influence of integrated nutrient management on growth and yield of mustard (</w:t>
      </w:r>
      <w:r w:rsidRPr="00C378E8">
        <w:rPr>
          <w:i/>
          <w:iCs/>
        </w:rPr>
        <w:t>Brassica juncea</w:t>
      </w:r>
      <w:r w:rsidRPr="00444904">
        <w:t xml:space="preserve"> L.). </w:t>
      </w:r>
      <w:r w:rsidRPr="00444904">
        <w:rPr>
          <w:i/>
          <w:iCs/>
        </w:rPr>
        <w:t>International Journal of Plant &amp; Soil Science</w:t>
      </w:r>
      <w:r w:rsidRPr="00444904">
        <w:t xml:space="preserve">, 34(21):435-442. DOI: </w:t>
      </w:r>
      <w:hyperlink r:id="rId13" w:history="1">
        <w:r w:rsidRPr="00444904">
          <w:rPr>
            <w:color w:val="0000FF"/>
            <w:u w:val="single"/>
          </w:rPr>
          <w:t>10.9734/</w:t>
        </w:r>
        <w:proofErr w:type="spellStart"/>
        <w:r w:rsidRPr="00444904">
          <w:rPr>
            <w:color w:val="0000FF"/>
            <w:u w:val="single"/>
          </w:rPr>
          <w:t>ijpss</w:t>
        </w:r>
        <w:proofErr w:type="spellEnd"/>
        <w:r w:rsidRPr="00444904">
          <w:rPr>
            <w:color w:val="0000FF"/>
            <w:u w:val="single"/>
          </w:rPr>
          <w:t>/2022/v34i2131281</w:t>
        </w:r>
      </w:hyperlink>
    </w:p>
    <w:p w:rsidR="00991051" w:rsidRPr="00CD0A2B" w:rsidRDefault="00991051" w:rsidP="00CD0A2B">
      <w:pPr>
        <w:pStyle w:val="ListParagraph"/>
        <w:numPr>
          <w:ilvl w:val="0"/>
          <w:numId w:val="4"/>
        </w:numPr>
        <w:spacing w:before="100" w:beforeAutospacing="1" w:after="100" w:afterAutospacing="1" w:line="360" w:lineRule="auto"/>
        <w:jc w:val="both"/>
        <w:rPr>
          <w:sz w:val="24"/>
          <w:szCs w:val="24"/>
        </w:rPr>
      </w:pPr>
      <w:r w:rsidRPr="00CD0A2B">
        <w:rPr>
          <w:sz w:val="24"/>
          <w:szCs w:val="24"/>
        </w:rPr>
        <w:t>Satish Kumar Meena, and Bhagwan Suman. (2025). Assessment of Integrated Nutrient Management (INM) Practices on Growth, Yield, Nutrient Uptake, and Economic Viability of Indian Mustard (</w:t>
      </w:r>
      <w:r w:rsidRPr="00CD0A2B">
        <w:rPr>
          <w:i/>
          <w:iCs/>
          <w:sz w:val="24"/>
          <w:szCs w:val="24"/>
        </w:rPr>
        <w:t>Brassica Juncea</w:t>
      </w:r>
      <w:r w:rsidRPr="00CD0A2B">
        <w:rPr>
          <w:sz w:val="24"/>
          <w:szCs w:val="24"/>
        </w:rPr>
        <w:t xml:space="preserve"> L.). </w:t>
      </w:r>
      <w:r w:rsidRPr="00CD0A2B">
        <w:rPr>
          <w:i/>
          <w:iCs/>
          <w:sz w:val="24"/>
          <w:szCs w:val="24"/>
        </w:rPr>
        <w:t>Journal of Experimental Agriculture International</w:t>
      </w:r>
      <w:r w:rsidRPr="00CD0A2B">
        <w:rPr>
          <w:sz w:val="24"/>
          <w:szCs w:val="24"/>
        </w:rPr>
        <w:t xml:space="preserve"> 47 (8):736–743. </w:t>
      </w:r>
      <w:hyperlink r:id="rId14" w:history="1">
        <w:r w:rsidRPr="00CD0A2B">
          <w:rPr>
            <w:rStyle w:val="Hyperlink"/>
            <w:sz w:val="24"/>
            <w:szCs w:val="24"/>
          </w:rPr>
          <w:t>https://doi.org/10.9734/jeai/2025/v47i83715</w:t>
        </w:r>
      </w:hyperlink>
      <w:r w:rsidRPr="00CD0A2B">
        <w:rPr>
          <w:sz w:val="24"/>
          <w:szCs w:val="24"/>
        </w:rPr>
        <w:t>.</w:t>
      </w:r>
    </w:p>
    <w:p w:rsidR="00991051" w:rsidRDefault="00991051" w:rsidP="00CD0A2B">
      <w:pPr>
        <w:pStyle w:val="NormalWeb"/>
        <w:numPr>
          <w:ilvl w:val="0"/>
          <w:numId w:val="4"/>
        </w:numPr>
        <w:spacing w:line="360" w:lineRule="auto"/>
        <w:jc w:val="both"/>
      </w:pPr>
      <w:r>
        <w:t xml:space="preserve">Singh, Anchal &amp; Singh, Mahendra Pratap, Gupta, </w:t>
      </w:r>
      <w:proofErr w:type="spellStart"/>
      <w:r>
        <w:t>Shweta</w:t>
      </w:r>
      <w:proofErr w:type="spellEnd"/>
      <w:r>
        <w:t xml:space="preserve">, &amp; Singh, </w:t>
      </w:r>
      <w:proofErr w:type="spellStart"/>
      <w:r>
        <w:t>Vyomendra</w:t>
      </w:r>
      <w:proofErr w:type="spellEnd"/>
      <w:r>
        <w:t xml:space="preserve"> Kumar. (2025). </w:t>
      </w:r>
      <w:r w:rsidRPr="00C378E8">
        <w:rPr>
          <w:rStyle w:val="Emphasis"/>
          <w:i w:val="0"/>
          <w:iCs w:val="0"/>
        </w:rPr>
        <w:t xml:space="preserve">Impact of Nutrient Management on Soil Properties in Indian </w:t>
      </w:r>
      <w:r w:rsidRPr="00C378E8">
        <w:rPr>
          <w:rStyle w:val="Emphasis"/>
          <w:i w:val="0"/>
          <w:iCs w:val="0"/>
        </w:rPr>
        <w:lastRenderedPageBreak/>
        <w:t>Mustard</w:t>
      </w:r>
      <w:r>
        <w:rPr>
          <w:rStyle w:val="Emphasis"/>
        </w:rPr>
        <w:t xml:space="preserve"> (Brassica juncea </w:t>
      </w:r>
      <w:r w:rsidRPr="00C378E8">
        <w:rPr>
          <w:rStyle w:val="Emphasis"/>
          <w:i w:val="0"/>
          <w:iCs w:val="0"/>
        </w:rPr>
        <w:t>L.) Cultivation</w:t>
      </w:r>
      <w:r>
        <w:t xml:space="preserve">. </w:t>
      </w:r>
      <w:r w:rsidRPr="00C378E8">
        <w:rPr>
          <w:rStyle w:val="Strong"/>
          <w:b w:val="0"/>
          <w:bCs w:val="0"/>
          <w:i/>
          <w:iCs/>
        </w:rPr>
        <w:t>Journal of Advances in Biology &amp; Biotechnology,</w:t>
      </w:r>
      <w:r w:rsidRPr="00C378E8">
        <w:rPr>
          <w:rStyle w:val="Strong"/>
          <w:b w:val="0"/>
          <w:bCs w:val="0"/>
        </w:rPr>
        <w:t>28</w:t>
      </w:r>
      <w:r>
        <w:t xml:space="preserve">(6), 1556–1563. </w:t>
      </w:r>
      <w:hyperlink r:id="rId15" w:history="1">
        <w:r w:rsidRPr="00697B28">
          <w:rPr>
            <w:rStyle w:val="Hyperlink"/>
          </w:rPr>
          <w:t>https://doi.org/10.9734/jabb/2025/v28i62509</w:t>
        </w:r>
      </w:hyperlink>
    </w:p>
    <w:p w:rsidR="00690CAB" w:rsidRDefault="00991051" w:rsidP="00CD0A2B">
      <w:pPr>
        <w:pStyle w:val="NormalWeb"/>
        <w:numPr>
          <w:ilvl w:val="0"/>
          <w:numId w:val="4"/>
        </w:numPr>
        <w:spacing w:line="360" w:lineRule="auto"/>
        <w:jc w:val="both"/>
      </w:pPr>
      <w:r w:rsidRPr="00444904">
        <w:t xml:space="preserve">Varma, G.R., Satish, P., Hussain, S.A. &amp; Sharma, S.H.K. (2021). Effect of integrated nutrient management on productivity and economics of Indian mustard (Brassica juncea L). </w:t>
      </w:r>
      <w:r w:rsidRPr="00444904">
        <w:rPr>
          <w:i/>
          <w:iCs/>
        </w:rPr>
        <w:t>International Journal of Environment and Climate Change</w:t>
      </w:r>
      <w:r w:rsidRPr="00444904">
        <w:t xml:space="preserve">, 11(6):169-176. DOI: </w:t>
      </w:r>
      <w:hyperlink r:id="rId16" w:history="1">
        <w:r w:rsidRPr="00444904">
          <w:rPr>
            <w:color w:val="0000FF"/>
            <w:u w:val="single"/>
          </w:rPr>
          <w:t>10.9734/</w:t>
        </w:r>
        <w:proofErr w:type="spellStart"/>
        <w:r w:rsidRPr="00444904">
          <w:rPr>
            <w:color w:val="0000FF"/>
            <w:u w:val="single"/>
          </w:rPr>
          <w:t>ijecc</w:t>
        </w:r>
        <w:proofErr w:type="spellEnd"/>
        <w:r w:rsidRPr="00444904">
          <w:rPr>
            <w:color w:val="0000FF"/>
            <w:u w:val="single"/>
          </w:rPr>
          <w:t>/2021/v11i630433</w:t>
        </w:r>
      </w:hyperlink>
    </w:p>
    <w:p w:rsidR="00991051" w:rsidRPr="00444904" w:rsidRDefault="00690CAB" w:rsidP="00CD0A2B">
      <w:pPr>
        <w:pStyle w:val="NormalWeb"/>
        <w:numPr>
          <w:ilvl w:val="0"/>
          <w:numId w:val="4"/>
        </w:numPr>
        <w:spacing w:line="360" w:lineRule="auto"/>
        <w:jc w:val="both"/>
      </w:pPr>
      <w:proofErr w:type="spellStart"/>
      <w:r w:rsidRPr="00690CAB">
        <w:t>Vikram</w:t>
      </w:r>
      <w:proofErr w:type="spellEnd"/>
      <w:r w:rsidRPr="00690CAB">
        <w:t xml:space="preserve"> Singh, </w:t>
      </w:r>
      <w:proofErr w:type="spellStart"/>
      <w:r w:rsidRPr="00690CAB">
        <w:t>Preety</w:t>
      </w:r>
      <w:proofErr w:type="spellEnd"/>
      <w:r w:rsidRPr="00690CAB">
        <w:t xml:space="preserve"> </w:t>
      </w:r>
      <w:proofErr w:type="spellStart"/>
      <w:r w:rsidRPr="00690CAB">
        <w:t>Verma</w:t>
      </w:r>
      <w:proofErr w:type="spellEnd"/>
      <w:r w:rsidRPr="00690CAB">
        <w:t xml:space="preserve">, </w:t>
      </w:r>
      <w:proofErr w:type="spellStart"/>
      <w:r w:rsidRPr="00690CAB">
        <w:t>MamtaKhaiper</w:t>
      </w:r>
      <w:proofErr w:type="spellEnd"/>
      <w:r w:rsidRPr="00690CAB">
        <w:t>, and Karamjeet Kaur. 2023. “Examining the Impact of Integrated Nutrient Management and Vermicompost on Mustard Growth and Nutrient Composition”. </w:t>
      </w:r>
      <w:r w:rsidRPr="00690CAB">
        <w:rPr>
          <w:i/>
          <w:iCs/>
        </w:rPr>
        <w:t>International Journal of Plant &amp; Soil Science</w:t>
      </w:r>
      <w:r w:rsidRPr="00690CAB">
        <w:t> 35 (21):1241–1249.https://doi.org/10.9734/ijpss/2023/v35i214102</w:t>
      </w:r>
      <w:r w:rsidR="00991051" w:rsidRPr="00444904">
        <w:br/>
      </w:r>
    </w:p>
    <w:p w:rsidR="00991051" w:rsidRDefault="00991051" w:rsidP="00CD0A2B">
      <w:pPr>
        <w:pStyle w:val="NormalWeb"/>
        <w:numPr>
          <w:ilvl w:val="0"/>
          <w:numId w:val="4"/>
        </w:numPr>
        <w:spacing w:line="360" w:lineRule="auto"/>
        <w:jc w:val="both"/>
      </w:pPr>
      <w:r>
        <w:t xml:space="preserve">Yadav, Manoj &amp; Yadav, D. D. (2023). </w:t>
      </w:r>
      <w:r w:rsidRPr="00C378E8">
        <w:rPr>
          <w:rStyle w:val="Emphasis"/>
          <w:i w:val="0"/>
          <w:iCs w:val="0"/>
        </w:rPr>
        <w:t>Effect of FYM, Vermicompost, and Fertility Levels on Yield Attributes of Indian Mustard</w:t>
      </w:r>
      <w:r>
        <w:rPr>
          <w:rStyle w:val="Emphasis"/>
        </w:rPr>
        <w:t xml:space="preserve"> (Brassica juncea L.)</w:t>
      </w:r>
      <w:r>
        <w:t xml:space="preserve">. </w:t>
      </w:r>
      <w:r w:rsidRPr="00C378E8">
        <w:rPr>
          <w:rStyle w:val="Strong"/>
          <w:b w:val="0"/>
          <w:bCs w:val="0"/>
          <w:i/>
          <w:iCs/>
        </w:rPr>
        <w:t>International Journal of Plant &amp; Soil Science</w:t>
      </w:r>
      <w:r w:rsidRPr="00C378E8">
        <w:rPr>
          <w:rStyle w:val="Strong"/>
          <w:b w:val="0"/>
          <w:bCs w:val="0"/>
        </w:rPr>
        <w:t>, 35</w:t>
      </w:r>
      <w:r>
        <w:t xml:space="preserve">(21), 604–612. </w:t>
      </w:r>
      <w:hyperlink r:id="rId17" w:tgtFrame="_new" w:history="1">
        <w:r>
          <w:rPr>
            <w:rStyle w:val="Hyperlink"/>
            <w:rFonts w:eastAsiaTheme="majorEastAsia"/>
          </w:rPr>
          <w:t>https://doi.org/10.9734/ijpss/2023/v35i214015</w:t>
        </w:r>
      </w:hyperlink>
    </w:p>
    <w:sectPr w:rsidR="00991051" w:rsidSect="00344F9B">
      <w:pgSz w:w="11906" w:h="16838"/>
      <w:pgMar w:top="1418" w:right="1418" w:bottom="1418"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D3DDB"/>
    <w:multiLevelType w:val="hybridMultilevel"/>
    <w:tmpl w:val="78C2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5F22B0"/>
    <w:multiLevelType w:val="multilevel"/>
    <w:tmpl w:val="DD3E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93AB4"/>
    <w:multiLevelType w:val="hybridMultilevel"/>
    <w:tmpl w:val="B1488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A3F1952"/>
    <w:multiLevelType w:val="hybridMultilevel"/>
    <w:tmpl w:val="28DCC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drawingGridHorizontalSpacing w:val="110"/>
  <w:displayHorizontalDrawingGridEvery w:val="2"/>
  <w:displayVerticalDrawingGridEvery w:val="2"/>
  <w:characterSpacingControl w:val="doNotCompress"/>
  <w:compat/>
  <w:rsids>
    <w:rsidRoot w:val="00BE3021"/>
    <w:rsid w:val="000F3D1E"/>
    <w:rsid w:val="0012634C"/>
    <w:rsid w:val="00192A90"/>
    <w:rsid w:val="001C3F91"/>
    <w:rsid w:val="001D4BC6"/>
    <w:rsid w:val="001D74ED"/>
    <w:rsid w:val="00207C0F"/>
    <w:rsid w:val="00280E0A"/>
    <w:rsid w:val="00294B83"/>
    <w:rsid w:val="003343B3"/>
    <w:rsid w:val="00344F9B"/>
    <w:rsid w:val="003655F4"/>
    <w:rsid w:val="00444904"/>
    <w:rsid w:val="00480BCF"/>
    <w:rsid w:val="00490B29"/>
    <w:rsid w:val="004B4014"/>
    <w:rsid w:val="004B7EC1"/>
    <w:rsid w:val="005223EE"/>
    <w:rsid w:val="0052591B"/>
    <w:rsid w:val="005B0761"/>
    <w:rsid w:val="005F3589"/>
    <w:rsid w:val="00690CAB"/>
    <w:rsid w:val="00692F49"/>
    <w:rsid w:val="007E08CB"/>
    <w:rsid w:val="007E14A3"/>
    <w:rsid w:val="0088202A"/>
    <w:rsid w:val="00886CCE"/>
    <w:rsid w:val="008A76BC"/>
    <w:rsid w:val="008B3CBF"/>
    <w:rsid w:val="00991051"/>
    <w:rsid w:val="009C0051"/>
    <w:rsid w:val="00AE35F7"/>
    <w:rsid w:val="00B31923"/>
    <w:rsid w:val="00B4166D"/>
    <w:rsid w:val="00BD2320"/>
    <w:rsid w:val="00BE3021"/>
    <w:rsid w:val="00BF08DF"/>
    <w:rsid w:val="00C378E8"/>
    <w:rsid w:val="00C82570"/>
    <w:rsid w:val="00CA501F"/>
    <w:rsid w:val="00CD0A2B"/>
    <w:rsid w:val="00CE7782"/>
    <w:rsid w:val="00D62DD6"/>
    <w:rsid w:val="00D850E1"/>
    <w:rsid w:val="00EE7813"/>
    <w:rsid w:val="00F077CB"/>
    <w:rsid w:val="00F26DA5"/>
    <w:rsid w:val="00F6689D"/>
    <w:rsid w:val="00FD09F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qFormat/>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BE3021"/>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E3021"/>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E302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E302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E30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0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0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0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BE302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E302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E302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E302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E30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0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0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021"/>
    <w:rPr>
      <w:rFonts w:eastAsiaTheme="majorEastAsia" w:cstheme="majorBidi"/>
      <w:color w:val="272727" w:themeColor="text1" w:themeTint="D8"/>
    </w:rPr>
  </w:style>
  <w:style w:type="paragraph" w:styleId="Subtitle">
    <w:name w:val="Subtitle"/>
    <w:basedOn w:val="Normal"/>
    <w:next w:val="Normal"/>
    <w:link w:val="SubtitleChar"/>
    <w:uiPriority w:val="11"/>
    <w:qFormat/>
    <w:rsid w:val="00BE302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0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02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3021"/>
    <w:rPr>
      <w:i/>
      <w:iCs/>
      <w:color w:val="404040" w:themeColor="text1" w:themeTint="BF"/>
    </w:rPr>
  </w:style>
  <w:style w:type="character" w:styleId="IntenseEmphasis">
    <w:name w:val="Intense Emphasis"/>
    <w:basedOn w:val="DefaultParagraphFont"/>
    <w:uiPriority w:val="21"/>
    <w:qFormat/>
    <w:rsid w:val="00BE3021"/>
    <w:rPr>
      <w:i/>
      <w:iCs/>
      <w:color w:val="365F91" w:themeColor="accent1" w:themeShade="BF"/>
    </w:rPr>
  </w:style>
  <w:style w:type="paragraph" w:styleId="IntenseQuote">
    <w:name w:val="Intense Quote"/>
    <w:basedOn w:val="Normal"/>
    <w:next w:val="Normal"/>
    <w:link w:val="IntenseQuoteChar"/>
    <w:uiPriority w:val="30"/>
    <w:qFormat/>
    <w:rsid w:val="00BE302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E3021"/>
    <w:rPr>
      <w:i/>
      <w:iCs/>
      <w:color w:val="365F91" w:themeColor="accent1" w:themeShade="BF"/>
    </w:rPr>
  </w:style>
  <w:style w:type="character" w:styleId="IntenseReference">
    <w:name w:val="Intense Reference"/>
    <w:basedOn w:val="DefaultParagraphFont"/>
    <w:uiPriority w:val="32"/>
    <w:qFormat/>
    <w:rsid w:val="00BE3021"/>
    <w:rPr>
      <w:b/>
      <w:bCs/>
      <w:smallCaps/>
      <w:color w:val="365F91" w:themeColor="accent1" w:themeShade="BF"/>
      <w:spacing w:val="5"/>
    </w:rPr>
  </w:style>
  <w:style w:type="paragraph" w:styleId="NormalWeb">
    <w:name w:val="Normal (Web)"/>
    <w:basedOn w:val="Normal"/>
    <w:uiPriority w:val="99"/>
    <w:unhideWhenUsed/>
    <w:rsid w:val="00BE30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E3021"/>
    <w:rPr>
      <w:i/>
      <w:iCs/>
    </w:rPr>
  </w:style>
  <w:style w:type="character" w:styleId="Strong">
    <w:name w:val="Strong"/>
    <w:basedOn w:val="DefaultParagraphFont"/>
    <w:uiPriority w:val="22"/>
    <w:qFormat/>
    <w:rsid w:val="00BE3021"/>
    <w:rPr>
      <w:b/>
      <w:bCs/>
    </w:rPr>
  </w:style>
  <w:style w:type="character" w:styleId="Hyperlink">
    <w:name w:val="Hyperlink"/>
    <w:basedOn w:val="DefaultParagraphFont"/>
    <w:uiPriority w:val="99"/>
    <w:unhideWhenUsed/>
    <w:rsid w:val="00BE3021"/>
    <w:rPr>
      <w:color w:val="0000FF"/>
      <w:u w:val="single"/>
    </w:rPr>
  </w:style>
  <w:style w:type="paragraph" w:styleId="BodyText">
    <w:name w:val="Body Text"/>
    <w:basedOn w:val="Normal"/>
    <w:link w:val="BodyTextChar"/>
    <w:qFormat/>
    <w:rsid w:val="004B4014"/>
    <w:pPr>
      <w:kinsoku w:val="0"/>
      <w:autoSpaceDE w:val="0"/>
      <w:autoSpaceDN w:val="0"/>
      <w:adjustRightInd w:val="0"/>
      <w:snapToGrid w:val="0"/>
      <w:spacing w:after="0" w:line="240" w:lineRule="auto"/>
      <w:textAlignment w:val="baseline"/>
    </w:pPr>
    <w:rPr>
      <w:rFonts w:ascii="Times New Roman" w:eastAsia="Times New Roman" w:hAnsi="Times New Roman" w:cs="Times New Roman"/>
      <w:noProof/>
      <w:snapToGrid w:val="0"/>
      <w:color w:val="000000"/>
      <w:szCs w:val="24"/>
      <w:lang w:eastAsia="en-GB"/>
    </w:rPr>
  </w:style>
  <w:style w:type="character" w:customStyle="1" w:styleId="BodyTextChar">
    <w:name w:val="Body Text Char"/>
    <w:basedOn w:val="DefaultParagraphFont"/>
    <w:link w:val="BodyText"/>
    <w:rsid w:val="004B4014"/>
    <w:rPr>
      <w:rFonts w:ascii="Times New Roman" w:eastAsia="Times New Roman" w:hAnsi="Times New Roman" w:cs="Times New Roman"/>
      <w:noProof/>
      <w:snapToGrid w:val="0"/>
      <w:color w:val="000000"/>
      <w:szCs w:val="24"/>
      <w:lang w:eastAsia="en-GB"/>
    </w:rPr>
  </w:style>
  <w:style w:type="paragraph" w:customStyle="1" w:styleId="TableParagraph">
    <w:name w:val="Table Paragraph"/>
    <w:basedOn w:val="Normal"/>
    <w:uiPriority w:val="1"/>
    <w:qFormat/>
    <w:rsid w:val="004B401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UnresolvedMention">
    <w:name w:val="Unresolved Mention"/>
    <w:basedOn w:val="DefaultParagraphFont"/>
    <w:uiPriority w:val="99"/>
    <w:semiHidden/>
    <w:unhideWhenUsed/>
    <w:rsid w:val="005F3589"/>
    <w:rPr>
      <w:color w:val="605E5C"/>
      <w:shd w:val="clear" w:color="auto" w:fill="E1DFDD"/>
    </w:rPr>
  </w:style>
  <w:style w:type="character" w:customStyle="1" w:styleId="ms-1">
    <w:name w:val="ms-1"/>
    <w:basedOn w:val="DefaultParagraphFont"/>
    <w:rsid w:val="005F3589"/>
  </w:style>
  <w:style w:type="character" w:customStyle="1" w:styleId="max-w-15ch">
    <w:name w:val="max-w-[15ch]"/>
    <w:basedOn w:val="DefaultParagraphFont"/>
    <w:rsid w:val="005F3589"/>
  </w:style>
  <w:style w:type="character" w:customStyle="1" w:styleId="-me-1">
    <w:name w:val="-me-1"/>
    <w:basedOn w:val="DefaultParagraphFont"/>
    <w:rsid w:val="005F358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470/PLANTARCHIVES.2024.v24.no.2.118" TargetMode="External"/><Relationship Id="rId13" Type="http://schemas.openxmlformats.org/officeDocument/2006/relationships/hyperlink" Target="https://doi.org/10.9734/ijpss/2022/v34i213128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9734/ajsspn/2024/v10i1211" TargetMode="External"/><Relationship Id="rId12" Type="http://schemas.openxmlformats.org/officeDocument/2006/relationships/hyperlink" Target="https://doi.org/10.9734/rt/2024/v?/i?=147564" TargetMode="External"/><Relationship Id="rId17" Type="http://schemas.openxmlformats.org/officeDocument/2006/relationships/hyperlink" Target="https://doi.org/10.9734/ijpss/2023/v35i214015" TargetMode="External"/><Relationship Id="rId2" Type="http://schemas.openxmlformats.org/officeDocument/2006/relationships/styles" Target="styles.xml"/><Relationship Id="rId16" Type="http://schemas.openxmlformats.org/officeDocument/2006/relationships/hyperlink" Target="https://doi.org/10.9734/ijecc/2021/v11i630433" TargetMode="External"/><Relationship Id="rId1" Type="http://schemas.openxmlformats.org/officeDocument/2006/relationships/numbering" Target="numbering.xml"/><Relationship Id="rId6" Type="http://schemas.openxmlformats.org/officeDocument/2006/relationships/hyperlink" Target="https://doi.org/10.15406/hij.2020.04.00162" TargetMode="External"/><Relationship Id="rId11" Type="http://schemas.openxmlformats.org/officeDocument/2006/relationships/hyperlink" Target="https://doi.org/10.9734/jeai/2025/v47i73630" TargetMode="External"/><Relationship Id="rId5" Type="http://schemas.openxmlformats.org/officeDocument/2006/relationships/hyperlink" Target="https://doi.org/10.51470/ANNPLANTSOLRES.2018.20.1.31" TargetMode="External"/><Relationship Id="rId15" Type="http://schemas.openxmlformats.org/officeDocument/2006/relationships/hyperlink" Target="https://doi.org/10.9734/jabb/2025/v28i62509" TargetMode="External"/><Relationship Id="rId10" Type="http://schemas.openxmlformats.org/officeDocument/2006/relationships/hyperlink" Target="https://doi.org/10.9734/jeai/2024/v46i11306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1470/PLANTARCHIVES.2025.v25" TargetMode="External"/><Relationship Id="rId14" Type="http://schemas.openxmlformats.org/officeDocument/2006/relationships/hyperlink" Target="https://doi.org/10.9734/jeai/2025/v47i83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3336</Words>
  <Characters>19020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user</cp:lastModifiedBy>
  <cp:revision>11</cp:revision>
  <dcterms:created xsi:type="dcterms:W3CDTF">2025-12-17T09:41:00Z</dcterms:created>
  <dcterms:modified xsi:type="dcterms:W3CDTF">2025-12-22T08:15:00Z</dcterms:modified>
</cp:coreProperties>
</file>