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A3" w:rsidRPr="0059129D" w:rsidRDefault="0059129D" w:rsidP="00636D91">
      <w:pPr>
        <w:jc w:val="center"/>
        <w:rPr>
          <w:rFonts w:ascii="Times New Roman" w:hAnsi="Times New Roman" w:cs="Times New Roman"/>
          <w:b/>
          <w:bCs/>
          <w:sz w:val="32"/>
          <w:szCs w:val="24"/>
        </w:rPr>
      </w:pPr>
      <w:r w:rsidRPr="0059129D">
        <w:rPr>
          <w:rFonts w:ascii="Times New Roman" w:hAnsi="Times New Roman" w:cs="Times New Roman"/>
          <w:b/>
          <w:bCs/>
          <w:sz w:val="32"/>
          <w:szCs w:val="24"/>
        </w:rPr>
        <w:t>Yield and Economic Performance of Finger Millet Genotypes under Varying NPK Fertilizer Doses in Rainfed Conditions</w:t>
      </w:r>
    </w:p>
    <w:p w:rsidR="00497507" w:rsidRPr="00044B47" w:rsidRDefault="00497507" w:rsidP="00636D91">
      <w:pPr>
        <w:jc w:val="center"/>
        <w:rPr>
          <w:rFonts w:ascii="Times New Roman" w:hAnsi="Times New Roman" w:cs="Times New Roman"/>
          <w:b/>
          <w:bCs/>
          <w:sz w:val="24"/>
          <w:szCs w:val="24"/>
        </w:rPr>
      </w:pPr>
    </w:p>
    <w:p w:rsidR="00497507" w:rsidRPr="00044B47" w:rsidRDefault="00497507" w:rsidP="00636D91">
      <w:pPr>
        <w:jc w:val="center"/>
        <w:rPr>
          <w:rFonts w:ascii="Times New Roman" w:hAnsi="Times New Roman" w:cs="Times New Roman"/>
          <w:b/>
          <w:bCs/>
          <w:sz w:val="24"/>
          <w:szCs w:val="24"/>
        </w:rPr>
      </w:pPr>
    </w:p>
    <w:p w:rsidR="0091124E" w:rsidRPr="00043A08" w:rsidRDefault="0091124E" w:rsidP="00636D91">
      <w:pPr>
        <w:jc w:val="center"/>
        <w:rPr>
          <w:rFonts w:ascii="Times New Roman" w:hAnsi="Times New Roman" w:cs="Times New Roman"/>
          <w:b/>
          <w:bCs/>
          <w:sz w:val="24"/>
          <w:szCs w:val="24"/>
        </w:rPr>
      </w:pPr>
    </w:p>
    <w:p w:rsidR="00EA72AD" w:rsidRPr="00EA72AD" w:rsidRDefault="00926D1F" w:rsidP="00EA72AD">
      <w:pPr>
        <w:spacing w:after="200" w:line="276" w:lineRule="auto"/>
        <w:jc w:val="both"/>
        <w:rPr>
          <w:rFonts w:ascii="Times New Roman" w:hAnsi="Times New Roman" w:cs="Times New Roman"/>
          <w:b/>
          <w:bCs/>
          <w:color w:val="FFFFFF"/>
          <w:sz w:val="24"/>
          <w:szCs w:val="24"/>
        </w:rPr>
      </w:pPr>
      <w:r>
        <w:rPr>
          <w:rFonts w:ascii="Times New Roman" w:eastAsia="Times New Roman" w:hAnsi="Times New Roman" w:cs="Times New Roman" w:hint="eastAsia"/>
          <w:b/>
          <w:bCs/>
          <w:sz w:val="24"/>
          <w:szCs w:val="24"/>
          <w:lang/>
        </w:rPr>
        <w:t xml:space="preserve">Abstract </w:t>
      </w:r>
    </w:p>
    <w:p w:rsidR="005F5EC4"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Aims:</w:t>
      </w:r>
      <w:r w:rsidRPr="00EA72AD">
        <w:rPr>
          <w:rFonts w:ascii="Times New Roman" w:hAnsi="Times New Roman" w:cs="Times New Roman"/>
          <w:sz w:val="24"/>
          <w:szCs w:val="24"/>
          <w:lang w:val="en-IN"/>
        </w:rPr>
        <w:br/>
        <w:t>To evaluate the influence of graded NPK fertilizer levels on the growth, yield and profitability of finger millet (</w:t>
      </w:r>
      <w:r w:rsidRPr="00EA72AD">
        <w:rPr>
          <w:rFonts w:ascii="Times New Roman" w:hAnsi="Times New Roman" w:cs="Times New Roman"/>
          <w:i/>
          <w:iCs/>
          <w:sz w:val="24"/>
          <w:szCs w:val="24"/>
          <w:lang w:val="en-IN"/>
        </w:rPr>
        <w:t>Eleusine coracana</w:t>
      </w:r>
      <w:r w:rsidRPr="00EA72AD">
        <w:rPr>
          <w:rFonts w:ascii="Times New Roman" w:hAnsi="Times New Roman" w:cs="Times New Roman"/>
          <w:sz w:val="24"/>
          <w:szCs w:val="24"/>
          <w:lang w:val="en-IN"/>
        </w:rPr>
        <w:t xml:space="preserve"> L</w:t>
      </w:r>
      <w:r w:rsidRPr="000447E6">
        <w:rPr>
          <w:rFonts w:ascii="Times New Roman" w:hAnsi="Times New Roman" w:cs="Times New Roman"/>
          <w:i/>
          <w:iCs/>
          <w:sz w:val="24"/>
          <w:szCs w:val="24"/>
          <w:lang w:val="en-IN"/>
        </w:rPr>
        <w:t>. Gaertn</w:t>
      </w:r>
      <w:r w:rsidRPr="00EA72AD">
        <w:rPr>
          <w:rFonts w:ascii="Times New Roman" w:hAnsi="Times New Roman" w:cs="Times New Roman"/>
          <w:sz w:val="24"/>
          <w:szCs w:val="24"/>
          <w:lang w:val="en-IN"/>
        </w:rPr>
        <w:t>.) genotypes under rainfed conditions, and to identify the most productive and economically viable genotype–fertilizer combination.</w:t>
      </w:r>
    </w:p>
    <w:p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Study Design:</w:t>
      </w:r>
      <w:r w:rsidRPr="00EA72AD">
        <w:rPr>
          <w:rFonts w:ascii="Times New Roman" w:hAnsi="Times New Roman" w:cs="Times New Roman"/>
          <w:sz w:val="24"/>
          <w:szCs w:val="24"/>
          <w:lang w:val="en-IN"/>
        </w:rPr>
        <w:br/>
        <w:t>Split Plot Design (SPD) with three replications.</w:t>
      </w:r>
    </w:p>
    <w:p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Place and Duration of Study:</w:t>
      </w:r>
      <w:r w:rsidRPr="00EA72AD">
        <w:rPr>
          <w:rFonts w:ascii="Times New Roman" w:hAnsi="Times New Roman" w:cs="Times New Roman"/>
          <w:sz w:val="24"/>
          <w:szCs w:val="24"/>
          <w:lang w:val="en-IN"/>
        </w:rPr>
        <w:br/>
        <w:t xml:space="preserve">Agricultural Research Station, Peddapuram, Acharya N. G. Ranga Agricultural University (ANGRAU), Andhra Pradesh, India, during </w:t>
      </w:r>
      <w:r w:rsidRPr="00EA72AD">
        <w:rPr>
          <w:rFonts w:ascii="Times New Roman" w:hAnsi="Times New Roman" w:cs="Times New Roman"/>
          <w:i/>
          <w:iCs/>
          <w:sz w:val="24"/>
          <w:szCs w:val="24"/>
          <w:lang w:val="en-IN"/>
        </w:rPr>
        <w:t>Kharif</w:t>
      </w:r>
      <w:r w:rsidRPr="00EA72AD">
        <w:rPr>
          <w:rFonts w:ascii="Times New Roman" w:hAnsi="Times New Roman" w:cs="Times New Roman"/>
          <w:sz w:val="24"/>
          <w:szCs w:val="24"/>
          <w:lang w:val="en-IN"/>
        </w:rPr>
        <w:t>, 2018.</w:t>
      </w:r>
    </w:p>
    <w:p w:rsid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Methodology:</w:t>
      </w:r>
      <w:r w:rsidRPr="00EA72AD">
        <w:rPr>
          <w:rFonts w:ascii="Times New Roman" w:hAnsi="Times New Roman" w:cs="Times New Roman"/>
          <w:sz w:val="24"/>
          <w:szCs w:val="24"/>
          <w:lang w:val="en-IN"/>
        </w:rPr>
        <w:br/>
        <w:t xml:space="preserve">The experiment comprised three fertilizer levels [75% RDF (37.5:30:18.75 kg N:P₂O₅:K₂O ha⁻¹), 100% RDF (50:40:25 kg N:P₂O₅:K₂O ha⁻¹) and 125% RDF (62.5:50:31.25 kg N:P₂O₅:K₂O ha⁻¹)] and five finger millet genotypes (PR-10-35, KOPN-942, GPU-45, GPU-67 and PR-202). </w:t>
      </w:r>
      <w:r w:rsidR="009B1BE2" w:rsidRPr="009B1BE2">
        <w:rPr>
          <w:rFonts w:ascii="Times New Roman" w:hAnsi="Times New Roman" w:cs="Times New Roman"/>
          <w:sz w:val="24"/>
          <w:szCs w:val="24"/>
        </w:rPr>
        <w:t>Observations were recorded on growth parameters, yield attributes, grain yield and economic indicators</w:t>
      </w:r>
      <w:r w:rsidRPr="00EA72AD">
        <w:rPr>
          <w:rFonts w:ascii="Times New Roman" w:hAnsi="Times New Roman" w:cs="Times New Roman"/>
          <w:sz w:val="24"/>
          <w:szCs w:val="24"/>
          <w:lang w:val="en-IN"/>
        </w:rPr>
        <w:t>including gross returns, net returns and benefit–cost ratio.</w:t>
      </w:r>
    </w:p>
    <w:p w:rsidR="001A24A5" w:rsidRPr="002E0A85" w:rsidRDefault="00EA72AD" w:rsidP="00FA7F31">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Results:</w:t>
      </w:r>
      <w:r w:rsidRPr="00EA72AD">
        <w:rPr>
          <w:rFonts w:ascii="Times New Roman" w:hAnsi="Times New Roman" w:cs="Times New Roman"/>
          <w:sz w:val="24"/>
          <w:szCs w:val="24"/>
          <w:lang w:val="en-IN"/>
        </w:rPr>
        <w:br/>
        <w:t xml:space="preserve">Growth, yield attributes and </w:t>
      </w:r>
      <w:r w:rsidRPr="001A24A5">
        <w:rPr>
          <w:rFonts w:ascii="Times New Roman" w:hAnsi="Times New Roman" w:cs="Times New Roman"/>
          <w:sz w:val="24"/>
          <w:szCs w:val="24"/>
          <w:lang w:val="en-IN"/>
        </w:rPr>
        <w:t xml:space="preserve">grain yield </w:t>
      </w:r>
      <w:r w:rsidR="001A24A5" w:rsidRPr="001A24A5">
        <w:rPr>
          <w:rFonts w:ascii="Times New Roman" w:hAnsi="Times New Roman" w:cs="Times New Roman"/>
          <w:sz w:val="24"/>
          <w:szCs w:val="24"/>
        </w:rPr>
        <w:t xml:space="preserve">consistently </w:t>
      </w:r>
      <w:r w:rsidRPr="001A24A5">
        <w:rPr>
          <w:rFonts w:ascii="Times New Roman" w:hAnsi="Times New Roman" w:cs="Times New Roman"/>
          <w:sz w:val="24"/>
          <w:szCs w:val="24"/>
          <w:lang w:val="en-IN"/>
        </w:rPr>
        <w:t>increased</w:t>
      </w:r>
      <w:r w:rsidRPr="00EA72AD">
        <w:rPr>
          <w:rFonts w:ascii="Times New Roman" w:hAnsi="Times New Roman" w:cs="Times New Roman"/>
          <w:sz w:val="24"/>
          <w:szCs w:val="24"/>
          <w:lang w:val="en-IN"/>
        </w:rPr>
        <w:t xml:space="preserve"> progressively with higher fertilizer levels. Application of 125% RDF produced the highest grain yield (3198.6 kg ha⁻¹). Among genotypes, PR-10-35 recorded the highest grain yield (3260.5 kg ha⁻¹), statistically comparable with PR-202 (3186.4 kg ha⁻¹). </w:t>
      </w:r>
      <w:r w:rsidR="001A24A5" w:rsidRPr="002E0A85">
        <w:rPr>
          <w:rFonts w:ascii="Times New Roman" w:hAnsi="Times New Roman" w:cs="Times New Roman"/>
          <w:sz w:val="24"/>
          <w:szCs w:val="24"/>
        </w:rPr>
        <w:t xml:space="preserve">The PR-10-35 </w:t>
      </w:r>
      <w:r w:rsidR="002E0A85" w:rsidRPr="002E0A85">
        <w:rPr>
          <w:rFonts w:ascii="Times New Roman" w:hAnsi="Times New Roman" w:cs="Times New Roman"/>
          <w:sz w:val="24"/>
          <w:szCs w:val="24"/>
        </w:rPr>
        <w:t xml:space="preserve">at </w:t>
      </w:r>
      <w:r w:rsidR="001A24A5" w:rsidRPr="002E0A85">
        <w:rPr>
          <w:rFonts w:ascii="Times New Roman" w:hAnsi="Times New Roman" w:cs="Times New Roman"/>
          <w:sz w:val="24"/>
          <w:szCs w:val="24"/>
        </w:rPr>
        <w:t>125% RDF combination gave the highest net returns (₹ 50,378 ha⁻¹) and B:C ratio (2.92), demonstrating clear economic superiority.</w:t>
      </w:r>
    </w:p>
    <w:p w:rsidR="00231299" w:rsidRPr="000C2D5F" w:rsidRDefault="00EA72AD" w:rsidP="000C2D5F">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Conclusion:</w:t>
      </w:r>
      <w:r w:rsidRPr="00EA72AD">
        <w:rPr>
          <w:rFonts w:ascii="Times New Roman" w:hAnsi="Times New Roman" w:cs="Times New Roman"/>
          <w:sz w:val="24"/>
          <w:szCs w:val="24"/>
          <w:lang w:val="en-IN"/>
        </w:rPr>
        <w:br/>
        <w:t xml:space="preserve">The genotype PR-10-35 combined with 125% RDF proved most productive and profitable under rainfed conditions of the Godavari Zone of Andhra Pradesh. </w:t>
      </w:r>
      <w:r w:rsidR="000C2D5F" w:rsidRPr="000C2D5F">
        <w:rPr>
          <w:rFonts w:ascii="Times New Roman" w:hAnsi="Times New Roman" w:cs="Times New Roman"/>
          <w:sz w:val="24"/>
          <w:szCs w:val="24"/>
        </w:rPr>
        <w:t>This combination can be recommended to farmers to enhance productivity and economic returns in similar rainfed agro-ecologies.</w:t>
      </w:r>
    </w:p>
    <w:p w:rsidR="00231299" w:rsidRDefault="00231299" w:rsidP="00EA72AD">
      <w:pPr>
        <w:ind w:firstLine="720"/>
        <w:jc w:val="both"/>
        <w:rPr>
          <w:rFonts w:ascii="Times New Roman" w:hAnsi="Times New Roman" w:cs="Times New Roman"/>
          <w:b/>
          <w:bCs/>
          <w:sz w:val="24"/>
          <w:szCs w:val="24"/>
          <w:lang w:val="en-IN"/>
        </w:rPr>
      </w:pPr>
    </w:p>
    <w:p w:rsidR="00EA72AD" w:rsidRPr="00EA72AD" w:rsidRDefault="00EA72AD" w:rsidP="000C2D5F">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Keywords:</w:t>
      </w:r>
      <w:r w:rsidRPr="00EA72AD">
        <w:rPr>
          <w:rFonts w:ascii="Times New Roman" w:hAnsi="Times New Roman" w:cs="Times New Roman"/>
          <w:sz w:val="24"/>
          <w:szCs w:val="24"/>
          <w:lang w:val="en-IN"/>
        </w:rPr>
        <w:t xml:space="preserve"> Fertilizer levels, Finger millet, Grain yield, Economics, Rainfed conditions</w:t>
      </w:r>
    </w:p>
    <w:p w:rsidR="006D507B" w:rsidRDefault="006D507B">
      <w:pPr>
        <w:spacing w:after="200" w:line="276" w:lineRule="auto"/>
        <w:jc w:val="both"/>
        <w:rPr>
          <w:rFonts w:ascii="Times New Roman" w:eastAsia="Times New Roman" w:hAnsi="Times New Roman" w:cs="Times New Roman"/>
          <w:b/>
          <w:bCs/>
          <w:sz w:val="24"/>
          <w:szCs w:val="24"/>
          <w:lang/>
        </w:rPr>
      </w:pPr>
    </w:p>
    <w:p w:rsidR="00B50D1E" w:rsidRDefault="000447E6">
      <w:pPr>
        <w:spacing w:after="200" w:line="276"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rPr>
        <w:t>1.</w:t>
      </w:r>
      <w:r w:rsidR="00926D1F">
        <w:rPr>
          <w:rFonts w:ascii="Times New Roman" w:eastAsia="Times New Roman" w:hAnsi="Times New Roman" w:cs="Times New Roman" w:hint="eastAsia"/>
          <w:b/>
          <w:bCs/>
          <w:sz w:val="24"/>
          <w:szCs w:val="24"/>
          <w:lang/>
        </w:rPr>
        <w:t>Introduction</w:t>
      </w:r>
    </w:p>
    <w:p w:rsidR="00D12CA4" w:rsidRDefault="0061506C" w:rsidP="0061506C">
      <w:pPr>
        <w:spacing w:after="200" w:line="480" w:lineRule="auto"/>
        <w:ind w:firstLine="720"/>
        <w:jc w:val="both"/>
        <w:rPr>
          <w:rFonts w:ascii="Times New Roman" w:hAnsi="Times New Roman" w:cs="Times New Roman"/>
          <w:sz w:val="24"/>
          <w:szCs w:val="24"/>
          <w:lang w:val="en-IN"/>
        </w:rPr>
      </w:pPr>
      <w:r w:rsidRPr="0061506C">
        <w:rPr>
          <w:rFonts w:ascii="Times New Roman" w:hAnsi="Times New Roman" w:cs="Times New Roman"/>
          <w:sz w:val="24"/>
          <w:szCs w:val="24"/>
        </w:rPr>
        <w:t>Finger millet (</w:t>
      </w:r>
      <w:r w:rsidRPr="0061506C">
        <w:rPr>
          <w:rFonts w:ascii="Times New Roman" w:hAnsi="Times New Roman" w:cs="Times New Roman"/>
          <w:i/>
          <w:iCs/>
          <w:sz w:val="24"/>
          <w:szCs w:val="24"/>
        </w:rPr>
        <w:t>Eleusine coracana</w:t>
      </w:r>
      <w:r w:rsidRPr="0061506C">
        <w:rPr>
          <w:rFonts w:ascii="Times New Roman" w:hAnsi="Times New Roman" w:cs="Times New Roman"/>
          <w:sz w:val="24"/>
          <w:szCs w:val="24"/>
        </w:rPr>
        <w:t xml:space="preserve"> L. Gaertn.) is one of the most important small millets cultivated in the arid and semi-arid regions of India.</w:t>
      </w:r>
      <w:r w:rsidR="00D40515" w:rsidRPr="00043A08">
        <w:rPr>
          <w:rFonts w:ascii="Times New Roman" w:hAnsi="Times New Roman" w:cs="Times New Roman"/>
          <w:sz w:val="24"/>
          <w:szCs w:val="24"/>
          <w:lang w:val="en-IN"/>
        </w:rPr>
        <w:t xml:space="preserve"> It is valued for its exceptional resilience to drought, ability to perform under low-input conditions and its capacity to withstand a wide range of climatic stresses. Owing to these characteristics, finger millet plays a crucial role in ensuring </w:t>
      </w:r>
      <w:r w:rsidR="00D40515" w:rsidRPr="00043A08">
        <w:rPr>
          <w:rFonts w:ascii="Times New Roman" w:hAnsi="Times New Roman" w:cs="Times New Roman"/>
          <w:sz w:val="24"/>
          <w:szCs w:val="24"/>
          <w:lang w:val="en-IN"/>
        </w:rPr>
        <w:lastRenderedPageBreak/>
        <w:t>food and nutritional security in marginal farming systems. The crop is nutritionally superior to most cereals, being particularly rich in calcium, dietary fibre, essential amino acids, iron, and various antioxidants. This has led to increasing recognition of finger millet as a “nutrcereal,” with expanding demand for its inclusion in health-based food products.</w:t>
      </w:r>
    </w:p>
    <w:p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 xml:space="preserve">Despite its importance, finger millet productivity in India remains relatively low compared to its potential. The major reasons </w:t>
      </w:r>
      <w:r w:rsidRPr="00D12CA4">
        <w:rPr>
          <w:rFonts w:ascii="Times New Roman" w:hAnsi="Times New Roman" w:cs="Times New Roman"/>
          <w:sz w:val="24"/>
          <w:szCs w:val="24"/>
          <w:lang w:val="en-IN"/>
        </w:rPr>
        <w:t>include cultivation on nutrient depleted soils, suboptimal fertilizer use and predominant reliance on traditional varieties (</w:t>
      </w:r>
      <w:r w:rsidRPr="00D12CA4">
        <w:rPr>
          <w:rFonts w:ascii="Times New Roman" w:hAnsi="Times New Roman" w:cs="Times New Roman"/>
          <w:sz w:val="24"/>
          <w:szCs w:val="24"/>
        </w:rPr>
        <w:t>Ramachandrappa</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xml:space="preserve">., 2014: </w:t>
      </w:r>
      <w:r w:rsidRPr="00D12CA4">
        <w:rPr>
          <w:rFonts w:ascii="Times New Roman" w:hAnsi="Times New Roman" w:cs="Times New Roman"/>
          <w:sz w:val="24"/>
          <w:szCs w:val="24"/>
          <w:lang w:val="en-IN"/>
        </w:rPr>
        <w:t>Hemalatha and Chellamuthu (2013</w:t>
      </w:r>
      <w:r w:rsidRPr="00D12CA4">
        <w:rPr>
          <w:rFonts w:ascii="Times New Roman" w:hAnsi="Times New Roman" w:cs="Times New Roman"/>
          <w:sz w:val="24"/>
          <w:szCs w:val="24"/>
        </w:rPr>
        <w:t>)</w:t>
      </w:r>
      <w:r w:rsidR="0076202E">
        <w:rPr>
          <w:rFonts w:ascii="Times New Roman" w:hAnsi="Times New Roman" w:cs="Times New Roman"/>
          <w:sz w:val="24"/>
          <w:szCs w:val="24"/>
        </w:rPr>
        <w:t xml:space="preserve">: </w:t>
      </w:r>
      <w:r w:rsidR="0076202E" w:rsidRPr="00206EB5">
        <w:rPr>
          <w:rFonts w:ascii="Times New Roman" w:hAnsi="Times New Roman" w:cs="Times New Roman"/>
          <w:sz w:val="24"/>
          <w:szCs w:val="24"/>
        </w:rPr>
        <w:t>Sonawane</w:t>
      </w:r>
      <w:r w:rsidR="0076202E" w:rsidRPr="00D12CA4">
        <w:rPr>
          <w:rFonts w:ascii="Times New Roman" w:hAnsi="Times New Roman" w:cs="Times New Roman"/>
          <w:i/>
          <w:iCs/>
          <w:sz w:val="24"/>
          <w:szCs w:val="24"/>
        </w:rPr>
        <w:t>et al</w:t>
      </w:r>
      <w:r w:rsidR="0076202E" w:rsidRPr="00D12CA4">
        <w:rPr>
          <w:rFonts w:ascii="Times New Roman" w:hAnsi="Times New Roman" w:cs="Times New Roman"/>
          <w:sz w:val="24"/>
          <w:szCs w:val="24"/>
        </w:rPr>
        <w:t>., 20</w:t>
      </w:r>
      <w:r w:rsidR="0076202E">
        <w:rPr>
          <w:rFonts w:ascii="Times New Roman" w:hAnsi="Times New Roman" w:cs="Times New Roman"/>
          <w:sz w:val="24"/>
          <w:szCs w:val="24"/>
        </w:rPr>
        <w:t>24)</w:t>
      </w:r>
      <w:r w:rsidRPr="00D12CA4">
        <w:rPr>
          <w:rFonts w:ascii="Times New Roman" w:hAnsi="Times New Roman" w:cs="Times New Roman"/>
          <w:sz w:val="24"/>
          <w:szCs w:val="24"/>
          <w:lang w:val="en-IN"/>
        </w:rPr>
        <w:t>. The crop is generally grown under rainfed conditions where soil fertility is inherently poor, especially in available</w:t>
      </w:r>
      <w:r w:rsidRPr="00043A08">
        <w:rPr>
          <w:rFonts w:ascii="Times New Roman" w:hAnsi="Times New Roman" w:cs="Times New Roman"/>
          <w:sz w:val="24"/>
          <w:szCs w:val="24"/>
          <w:lang w:val="en-IN"/>
        </w:rPr>
        <w:t xml:space="preserve"> nitrogen, which limits crop growth and yield formation. Improvement in soil fertility and balanced nutrient application have been consistently reported to enhance growth, tillering, ear development and grain filling in finger millet. Studies conducted across various agro-ecologies have demonstrated that finger millet responds positively to adequate and balanced application of nitrogen, phosphorus and potassium, with higher nutrient </w:t>
      </w:r>
      <w:r w:rsidRPr="00D12CA4">
        <w:rPr>
          <w:rFonts w:ascii="Times New Roman" w:hAnsi="Times New Roman" w:cs="Times New Roman"/>
          <w:sz w:val="24"/>
          <w:szCs w:val="24"/>
          <w:lang w:val="en-IN"/>
        </w:rPr>
        <w:t>doses improving dry matter production, yield components and ultimately grain and straw yields (Kumari and Srivastava, 2000.</w:t>
      </w:r>
      <w:r w:rsidRPr="00D12CA4">
        <w:rPr>
          <w:rFonts w:ascii="Times New Roman" w:hAnsi="Times New Roman" w:cs="Times New Roman"/>
          <w:sz w:val="24"/>
          <w:szCs w:val="24"/>
        </w:rPr>
        <w:t xml:space="preserve"> Sunitha </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2006</w:t>
      </w:r>
      <w:r w:rsidR="004317FF">
        <w:rPr>
          <w:rFonts w:ascii="Times New Roman" w:hAnsi="Times New Roman" w:cs="Times New Roman"/>
          <w:sz w:val="24"/>
          <w:szCs w:val="24"/>
        </w:rPr>
        <w:t xml:space="preserve">: </w:t>
      </w:r>
      <w:r w:rsidR="004317FF" w:rsidRPr="00043A08">
        <w:rPr>
          <w:rFonts w:ascii="Times New Roman" w:hAnsi="Times New Roman" w:cs="Times New Roman"/>
          <w:sz w:val="24"/>
          <w:szCs w:val="24"/>
        </w:rPr>
        <w:t xml:space="preserve">Sandhya Rani </w:t>
      </w:r>
      <w:r w:rsidR="004317FF" w:rsidRPr="00043A08">
        <w:rPr>
          <w:rFonts w:ascii="Times New Roman" w:hAnsi="Times New Roman" w:cs="Times New Roman"/>
          <w:i/>
          <w:iCs/>
          <w:sz w:val="24"/>
          <w:szCs w:val="24"/>
        </w:rPr>
        <w:t>et al</w:t>
      </w:r>
      <w:r w:rsidR="004317FF" w:rsidRPr="00043A08">
        <w:rPr>
          <w:rFonts w:ascii="Times New Roman" w:hAnsi="Times New Roman" w:cs="Times New Roman"/>
          <w:sz w:val="24"/>
          <w:szCs w:val="24"/>
        </w:rPr>
        <w:t xml:space="preserve">., </w:t>
      </w:r>
      <w:r w:rsidR="004317FF" w:rsidRPr="003A1ABF">
        <w:rPr>
          <w:rFonts w:ascii="Times New Roman" w:hAnsi="Times New Roman" w:cs="Times New Roman"/>
          <w:sz w:val="24"/>
          <w:szCs w:val="24"/>
        </w:rPr>
        <w:t>2022</w:t>
      </w:r>
      <w:r w:rsidRPr="00D12CA4">
        <w:rPr>
          <w:rFonts w:ascii="Times New Roman" w:hAnsi="Times New Roman" w:cs="Times New Roman"/>
          <w:sz w:val="24"/>
          <w:szCs w:val="24"/>
        </w:rPr>
        <w:t>)</w:t>
      </w:r>
    </w:p>
    <w:p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Genetic variability among finger millet genotypes also influences nutrient uptake and utilization efficiency. Therefore, identifying the optimum fertilizer requirement for each genotype is essential, as blanket recommendations may not ensure maximum productivity. Research has shown that the interaction between genotype and fertilizer dose plays a significant role in determining yield stability and economic returns in millets.</w:t>
      </w:r>
      <w:r>
        <w:rPr>
          <w:rFonts w:ascii="Times New Roman" w:hAnsi="Times New Roman" w:cs="Times New Roman"/>
          <w:sz w:val="24"/>
          <w:szCs w:val="24"/>
          <w:lang w:val="en-IN"/>
        </w:rPr>
        <w:t xml:space="preserve">( </w:t>
      </w:r>
      <w:r w:rsidRPr="00043A08">
        <w:rPr>
          <w:rFonts w:ascii="Times New Roman" w:hAnsi="Times New Roman" w:cs="Times New Roman"/>
          <w:sz w:val="24"/>
          <w:szCs w:val="24"/>
        </w:rPr>
        <w:t xml:space="preserve">Sandhya Rani </w:t>
      </w:r>
      <w:r w:rsidRPr="00043A08">
        <w:rPr>
          <w:rFonts w:ascii="Times New Roman" w:hAnsi="Times New Roman" w:cs="Times New Roman"/>
          <w:i/>
          <w:iCs/>
          <w:sz w:val="24"/>
          <w:szCs w:val="24"/>
        </w:rPr>
        <w:t>et al</w:t>
      </w:r>
      <w:r w:rsidRPr="00043A08">
        <w:rPr>
          <w:rFonts w:ascii="Times New Roman" w:hAnsi="Times New Roman" w:cs="Times New Roman"/>
          <w:sz w:val="24"/>
          <w:szCs w:val="24"/>
        </w:rPr>
        <w:t xml:space="preserve">., </w:t>
      </w:r>
      <w:r w:rsidRPr="003A1ABF">
        <w:rPr>
          <w:rFonts w:ascii="Times New Roman" w:hAnsi="Times New Roman" w:cs="Times New Roman"/>
          <w:sz w:val="24"/>
          <w:szCs w:val="24"/>
        </w:rPr>
        <w:t xml:space="preserve">2022 &amp; Sankar </w:t>
      </w:r>
      <w:r w:rsidRPr="003A1ABF">
        <w:rPr>
          <w:rFonts w:ascii="Times New Roman" w:hAnsi="Times New Roman" w:cs="Times New Roman"/>
          <w:i/>
          <w:iCs/>
          <w:sz w:val="24"/>
          <w:szCs w:val="24"/>
        </w:rPr>
        <w:t>et al</w:t>
      </w:r>
      <w:r w:rsidRPr="003A1ABF">
        <w:rPr>
          <w:rFonts w:ascii="Times New Roman" w:hAnsi="Times New Roman" w:cs="Times New Roman"/>
          <w:sz w:val="24"/>
          <w:szCs w:val="24"/>
        </w:rPr>
        <w:t>., 2011)</w:t>
      </w:r>
      <w:r w:rsidRPr="003A1ABF">
        <w:rPr>
          <w:rFonts w:ascii="Times New Roman" w:hAnsi="Times New Roman" w:cs="Times New Roman"/>
          <w:lang w:val="en-IN"/>
        </w:rPr>
        <w:t>.</w:t>
      </w:r>
    </w:p>
    <w:p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rPr>
        <w:lastRenderedPageBreak/>
        <w:t>Soil fertility limitations and irregular rainfall often restrict finger millet productivity under rainfed conditions. Evaluating the response of varieties to different NPK levels under such environments helps identify their nutrient requirements and fertilizer-use efficiency. This information is essential for refining fertilizer recommendations and selecting suitable variety–fertilizer combinations for achieving better yields in the region.</w:t>
      </w:r>
    </w:p>
    <w:p w:rsidR="00D40515" w:rsidRP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Therefore, the present investigation was undertaken to study the response of pre-release finger millet genotypes to graded NPK fertilizer levels under rainfed conditions. The study aims to generate location-specific information on growth, yield components, grain yield and economic viability, which will aid in refining fertilizer recommendations and in identifying high-yielding, nutrient-efficient genotypes suitable for this region.</w:t>
      </w:r>
    </w:p>
    <w:p w:rsidR="000B231F" w:rsidRDefault="000447E6" w:rsidP="000B231F">
      <w:pPr>
        <w:spacing w:after="200"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2.</w:t>
      </w:r>
      <w:r w:rsidR="00926D1F">
        <w:rPr>
          <w:rFonts w:ascii="Times New Roman" w:eastAsia="Times New Roman" w:hAnsi="Times New Roman" w:cs="Times New Roman" w:hint="eastAsia"/>
          <w:b/>
          <w:bCs/>
          <w:sz w:val="24"/>
          <w:szCs w:val="24"/>
          <w:lang/>
        </w:rPr>
        <w:t xml:space="preserve">Material and </w:t>
      </w:r>
      <w:r w:rsidR="00CB0551">
        <w:rPr>
          <w:rFonts w:ascii="Times New Roman" w:eastAsia="Times New Roman" w:hAnsi="Times New Roman" w:cs="Times New Roman"/>
          <w:b/>
          <w:bCs/>
          <w:sz w:val="24"/>
          <w:szCs w:val="24"/>
          <w:lang/>
        </w:rPr>
        <w:t>m</w:t>
      </w:r>
      <w:r w:rsidR="00926D1F">
        <w:rPr>
          <w:rFonts w:ascii="Times New Roman" w:eastAsia="Times New Roman" w:hAnsi="Times New Roman" w:cs="Times New Roman" w:hint="eastAsia"/>
          <w:b/>
          <w:bCs/>
          <w:sz w:val="24"/>
          <w:szCs w:val="24"/>
          <w:lang/>
        </w:rPr>
        <w:t>ethods</w:t>
      </w:r>
    </w:p>
    <w:p w:rsidR="000B231F" w:rsidRDefault="000447E6" w:rsidP="000B231F">
      <w:pPr>
        <w:spacing w:after="200" w:line="480" w:lineRule="auto"/>
        <w:jc w:val="both"/>
        <w:rPr>
          <w:rFonts w:ascii="Times New Roman" w:eastAsia="Times New Roman" w:hAnsi="Times New Roman" w:cs="Times New Roman"/>
          <w:b/>
          <w:bCs/>
          <w:sz w:val="24"/>
          <w:szCs w:val="24"/>
          <w:lang/>
        </w:rPr>
      </w:pPr>
      <w:r>
        <w:rPr>
          <w:rFonts w:ascii="Times New Roman" w:hAnsi="Times New Roman" w:cs="Times New Roman"/>
          <w:b/>
          <w:bCs/>
          <w:sz w:val="24"/>
          <w:szCs w:val="24"/>
        </w:rPr>
        <w:t>2.1</w:t>
      </w:r>
      <w:r w:rsidR="000B231F" w:rsidRPr="00043A08">
        <w:rPr>
          <w:rFonts w:ascii="Times New Roman" w:hAnsi="Times New Roman" w:cs="Times New Roman"/>
          <w:b/>
          <w:bCs/>
          <w:sz w:val="24"/>
          <w:szCs w:val="24"/>
        </w:rPr>
        <w:t>Site description and soil properties</w:t>
      </w:r>
    </w:p>
    <w:p w:rsidR="000B231F" w:rsidRDefault="000B231F" w:rsidP="000B231F">
      <w:pPr>
        <w:spacing w:after="200" w:line="480" w:lineRule="auto"/>
        <w:jc w:val="both"/>
        <w:rPr>
          <w:rFonts w:ascii="Times New Roman" w:eastAsia="Times New Roman" w:hAnsi="Times New Roman" w:cs="Times New Roman"/>
          <w:b/>
          <w:bCs/>
          <w:sz w:val="24"/>
          <w:szCs w:val="24"/>
          <w:lang/>
        </w:rPr>
      </w:pPr>
      <w:r w:rsidRPr="00043A08">
        <w:rPr>
          <w:rFonts w:ascii="Times New Roman" w:hAnsi="Times New Roman" w:cs="Times New Roman"/>
          <w:sz w:val="24"/>
          <w:szCs w:val="24"/>
        </w:rPr>
        <w:t xml:space="preserve">The field experiment was conducted during </w:t>
      </w:r>
      <w:r w:rsidRPr="00043A08">
        <w:rPr>
          <w:rFonts w:ascii="Times New Roman" w:hAnsi="Times New Roman" w:cs="Times New Roman"/>
          <w:i/>
          <w:iCs/>
          <w:sz w:val="24"/>
          <w:szCs w:val="24"/>
        </w:rPr>
        <w:t>kharif,</w:t>
      </w:r>
      <w:r w:rsidRPr="00043A08">
        <w:rPr>
          <w:rFonts w:ascii="Times New Roman" w:hAnsi="Times New Roman" w:cs="Times New Roman"/>
          <w:sz w:val="24"/>
          <w:szCs w:val="24"/>
        </w:rPr>
        <w:t xml:space="preserve"> 2018 at the Agricultural ResearchStation (ARS), Peddapuram, Andhra Pradesh, India (17.08°N latitude, 82.13°E longitude, 35 m above mean sea level). The experimental </w:t>
      </w:r>
      <w:r>
        <w:rPr>
          <w:rFonts w:ascii="Times New Roman" w:hAnsi="Times New Roman" w:cs="Times New Roman"/>
          <w:sz w:val="24"/>
          <w:szCs w:val="24"/>
        </w:rPr>
        <w:t>soil was</w:t>
      </w:r>
      <w:r w:rsidRPr="00043A08">
        <w:rPr>
          <w:rFonts w:ascii="Times New Roman" w:hAnsi="Times New Roman" w:cs="Times New Roman"/>
          <w:sz w:val="24"/>
          <w:szCs w:val="24"/>
        </w:rPr>
        <w:t xml:space="preserve"> sandy loam soils, slightly acidic in reaction (pH 6.92), with an electrical conductivity of 0.12 dS m⁻¹ and an organic carbon content of 0.46%. Initial soil analysis indicated that the soil was low in available nitrogen (211 kg ha⁻¹) and potassium (115 kg K₂O ha⁻¹), whereas the available phosphorus </w:t>
      </w:r>
      <w:r w:rsidRPr="00D32614">
        <w:rPr>
          <w:rFonts w:ascii="Times New Roman" w:hAnsi="Times New Roman" w:cs="Times New Roman"/>
          <w:sz w:val="24"/>
          <w:szCs w:val="24"/>
        </w:rPr>
        <w:t>(35 kg P₂O₅ ha⁻¹) was in the medium range.These properties indicate a nutrient-deficient soil, typical of rainfed regions, requiring balanced fertilizer application for optimum productivity</w:t>
      </w:r>
      <w:r w:rsidRPr="009956E8">
        <w:rPr>
          <w:rFonts w:ascii="Times New Roman" w:hAnsi="Times New Roman" w:cs="Times New Roman"/>
          <w:sz w:val="24"/>
          <w:szCs w:val="24"/>
        </w:rPr>
        <w:t>.</w:t>
      </w:r>
    </w:p>
    <w:p w:rsidR="000B231F" w:rsidRDefault="000447E6" w:rsidP="000B231F">
      <w:pPr>
        <w:spacing w:after="200" w:line="480" w:lineRule="auto"/>
        <w:jc w:val="both"/>
        <w:rPr>
          <w:rFonts w:ascii="Times New Roman" w:eastAsia="Times New Roman" w:hAnsi="Times New Roman" w:cs="Times New Roman"/>
          <w:b/>
          <w:bCs/>
          <w:sz w:val="24"/>
          <w:szCs w:val="24"/>
          <w:lang/>
        </w:rPr>
      </w:pPr>
      <w:r>
        <w:rPr>
          <w:rFonts w:ascii="Times New Roman" w:hAnsi="Times New Roman" w:cs="Times New Roman"/>
          <w:b/>
          <w:bCs/>
          <w:sz w:val="24"/>
          <w:szCs w:val="24"/>
          <w:lang w:val="en-IN"/>
        </w:rPr>
        <w:t>2.2</w:t>
      </w:r>
      <w:r w:rsidR="000B231F" w:rsidRPr="00043A08">
        <w:rPr>
          <w:rFonts w:ascii="Times New Roman" w:hAnsi="Times New Roman" w:cs="Times New Roman"/>
          <w:b/>
          <w:bCs/>
          <w:sz w:val="24"/>
          <w:szCs w:val="24"/>
          <w:lang w:val="en-IN"/>
        </w:rPr>
        <w:t>Weather during the crop season</w:t>
      </w:r>
    </w:p>
    <w:p w:rsidR="000B231F" w:rsidRDefault="000B231F" w:rsidP="000B231F">
      <w:pPr>
        <w:spacing w:after="200" w:line="480" w:lineRule="auto"/>
        <w:jc w:val="both"/>
        <w:rPr>
          <w:rFonts w:ascii="Times New Roman" w:eastAsia="Times New Roman" w:hAnsi="Times New Roman" w:cs="Times New Roman"/>
          <w:b/>
          <w:bCs/>
          <w:sz w:val="24"/>
          <w:szCs w:val="24"/>
          <w:lang/>
        </w:rPr>
      </w:pPr>
      <w:r w:rsidRPr="000B231F">
        <w:rPr>
          <w:rFonts w:ascii="Times New Roman" w:hAnsi="Times New Roman" w:cs="Times New Roman"/>
          <w:sz w:val="24"/>
          <w:szCs w:val="24"/>
          <w:lang w:val="en-IN"/>
        </w:rPr>
        <w:lastRenderedPageBreak/>
        <w:t>Meteorological data ( Table 1) recorded at the ARS observatory indicated that the total rainfall received during the crop period was around 711 mm, spread across several rainy days. The mean maximum and minimum temperatures during the season ranged from 31.6°C to 32.5°C and 23.0°C to 24.0°C, respectively, with relative humidity generally remaining high, averaging between 63% and 91%. The rainfall distribution was uneven, a typical feature of the region, which can influence nutrient availability, crop establishment, and yield expression in finger millet.</w:t>
      </w:r>
    </w:p>
    <w:p w:rsidR="000B231F" w:rsidRPr="000B231F" w:rsidRDefault="000B231F" w:rsidP="000B231F">
      <w:pPr>
        <w:spacing w:after="200" w:line="480" w:lineRule="auto"/>
        <w:jc w:val="both"/>
        <w:rPr>
          <w:rFonts w:ascii="Times New Roman" w:eastAsia="Times New Roman" w:hAnsi="Times New Roman" w:cs="Times New Roman"/>
          <w:b/>
          <w:bCs/>
          <w:sz w:val="24"/>
          <w:szCs w:val="24"/>
          <w:lang/>
        </w:rPr>
      </w:pPr>
      <w:r w:rsidRPr="00043A08">
        <w:rPr>
          <w:rFonts w:ascii="Times New Roman" w:hAnsi="Times New Roman" w:cs="Times New Roman"/>
          <w:b/>
          <w:bCs/>
          <w:sz w:val="24"/>
          <w:szCs w:val="24"/>
          <w:lang w:val="en-IN"/>
        </w:rPr>
        <w:t>Table 1. Weather parameters recorded during the crop season (June–October, 2018) at ARS, Peddapuram</w:t>
      </w:r>
    </w:p>
    <w:tbl>
      <w:tblPr>
        <w:tblW w:w="5180" w:type="pct"/>
        <w:tblInd w:w="-318" w:type="dxa"/>
        <w:tblLook w:val="04A0"/>
      </w:tblPr>
      <w:tblGrid>
        <w:gridCol w:w="1931"/>
        <w:gridCol w:w="1798"/>
        <w:gridCol w:w="1468"/>
        <w:gridCol w:w="1222"/>
        <w:gridCol w:w="1119"/>
        <w:gridCol w:w="1246"/>
        <w:gridCol w:w="1137"/>
      </w:tblGrid>
      <w:tr w:rsidR="000B231F" w:rsidRPr="00043A08" w:rsidTr="00CB562D">
        <w:trPr>
          <w:trHeight w:val="634"/>
        </w:trPr>
        <w:tc>
          <w:tcPr>
            <w:tcW w:w="973" w:type="pct"/>
            <w:vMerge w:val="restart"/>
            <w:tcBorders>
              <w:top w:val="single" w:sz="4" w:space="0" w:color="auto"/>
              <w:left w:val="single" w:sz="4" w:space="0" w:color="auto"/>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Month</w:t>
            </w:r>
          </w:p>
        </w:tc>
        <w:tc>
          <w:tcPr>
            <w:tcW w:w="906" w:type="pct"/>
            <w:vMerge w:val="restart"/>
            <w:tcBorders>
              <w:top w:val="single" w:sz="4" w:space="0" w:color="auto"/>
              <w:left w:val="single" w:sz="4" w:space="0" w:color="auto"/>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Rainfall</w:t>
            </w:r>
          </w:p>
          <w:p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(mm)</w:t>
            </w:r>
          </w:p>
        </w:tc>
        <w:tc>
          <w:tcPr>
            <w:tcW w:w="740" w:type="pct"/>
            <w:vMerge w:val="restart"/>
            <w:tcBorders>
              <w:top w:val="single" w:sz="4" w:space="0" w:color="auto"/>
              <w:left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w:t>
            </w:r>
          </w:p>
          <w:p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Rainy days</w:t>
            </w:r>
          </w:p>
        </w:tc>
        <w:tc>
          <w:tcPr>
            <w:tcW w:w="1180" w:type="pct"/>
            <w:gridSpan w:val="2"/>
            <w:tcBorders>
              <w:top w:val="single" w:sz="4" w:space="0" w:color="auto"/>
              <w:left w:val="single" w:sz="4" w:space="0" w:color="auto"/>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Temperature (°C)</w:t>
            </w:r>
          </w:p>
        </w:tc>
        <w:tc>
          <w:tcPr>
            <w:tcW w:w="1201" w:type="pct"/>
            <w:gridSpan w:val="2"/>
            <w:tcBorders>
              <w:top w:val="single" w:sz="4" w:space="0" w:color="auto"/>
              <w:left w:val="nil"/>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Relative humidity</w:t>
            </w:r>
          </w:p>
          <w:p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w:t>
            </w:r>
          </w:p>
        </w:tc>
      </w:tr>
      <w:tr w:rsidR="000B231F" w:rsidRPr="00043A08" w:rsidTr="00CB562D">
        <w:trPr>
          <w:trHeight w:val="312"/>
        </w:trPr>
        <w:tc>
          <w:tcPr>
            <w:tcW w:w="973" w:type="pct"/>
            <w:vMerge/>
            <w:tcBorders>
              <w:top w:val="single" w:sz="4" w:space="0" w:color="auto"/>
              <w:left w:val="single" w:sz="4" w:space="0" w:color="auto"/>
              <w:bottom w:val="single" w:sz="4" w:space="0" w:color="auto"/>
              <w:right w:val="single" w:sz="4" w:space="0" w:color="auto"/>
            </w:tcBorders>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740" w:type="pct"/>
            <w:vMerge/>
            <w:tcBorders>
              <w:left w:val="single" w:sz="4" w:space="0" w:color="auto"/>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r>
      <w:tr w:rsidR="000B231F" w:rsidRPr="00043A08"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June,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117.5</w:t>
            </w:r>
          </w:p>
        </w:tc>
        <w:tc>
          <w:tcPr>
            <w:tcW w:w="740"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35.8</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26.9</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86.3</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58</w:t>
            </w:r>
          </w:p>
        </w:tc>
      </w:tr>
      <w:tr w:rsidR="000B231F" w:rsidRPr="00043A08"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July,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309.5</w:t>
            </w:r>
          </w:p>
        </w:tc>
        <w:tc>
          <w:tcPr>
            <w:tcW w:w="740"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16</w:t>
            </w: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32.4</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25.5</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89.2</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69.9</w:t>
            </w:r>
          </w:p>
        </w:tc>
      </w:tr>
      <w:tr w:rsidR="000B231F" w:rsidRPr="00043A08"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August,</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101</w:t>
            </w:r>
          </w:p>
        </w:tc>
        <w:tc>
          <w:tcPr>
            <w:tcW w:w="740"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31.2</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25.4</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91.2</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74.6</w:t>
            </w:r>
          </w:p>
        </w:tc>
      </w:tr>
      <w:tr w:rsidR="000B231F" w:rsidRPr="00043A08"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September,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110</w:t>
            </w:r>
          </w:p>
        </w:tc>
        <w:tc>
          <w:tcPr>
            <w:tcW w:w="740"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w:t>
            </w: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34.1</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26.1</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92</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73</w:t>
            </w:r>
          </w:p>
        </w:tc>
      </w:tr>
      <w:tr w:rsidR="000B231F" w:rsidRPr="00043A08"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October,</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740"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616"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33.6</w:t>
            </w:r>
          </w:p>
        </w:tc>
        <w:tc>
          <w:tcPr>
            <w:tcW w:w="564"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23.6</w:t>
            </w:r>
          </w:p>
        </w:tc>
        <w:tc>
          <w:tcPr>
            <w:tcW w:w="628"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90.3</w:t>
            </w:r>
          </w:p>
        </w:tc>
        <w:tc>
          <w:tcPr>
            <w:tcW w:w="573" w:type="pct"/>
            <w:tcBorders>
              <w:top w:val="nil"/>
              <w:left w:val="nil"/>
              <w:bottom w:val="single" w:sz="4" w:space="0" w:color="auto"/>
              <w:right w:val="single" w:sz="4" w:space="0" w:color="auto"/>
            </w:tcBorders>
            <w:noWrap/>
            <w:vAlign w:val="center"/>
            <w:hideMark/>
          </w:tcPr>
          <w:p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57.2</w:t>
            </w:r>
          </w:p>
        </w:tc>
      </w:tr>
    </w:tbl>
    <w:p w:rsidR="006D32EF" w:rsidRDefault="006D32EF" w:rsidP="000B231F">
      <w:pPr>
        <w:jc w:val="both"/>
        <w:rPr>
          <w:rFonts w:ascii="Times New Roman" w:hAnsi="Times New Roman" w:cs="Times New Roman"/>
          <w:b/>
          <w:bCs/>
          <w:sz w:val="24"/>
          <w:szCs w:val="24"/>
        </w:rPr>
      </w:pPr>
    </w:p>
    <w:p w:rsidR="000B231F" w:rsidRDefault="000447E6" w:rsidP="000B231F">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B231F" w:rsidRPr="00043A08">
        <w:rPr>
          <w:rFonts w:ascii="Times New Roman" w:hAnsi="Times New Roman" w:cs="Times New Roman"/>
          <w:b/>
          <w:bCs/>
          <w:sz w:val="24"/>
          <w:szCs w:val="24"/>
        </w:rPr>
        <w:t>Experimental design and treatments</w:t>
      </w:r>
    </w:p>
    <w:p w:rsidR="006D32EF" w:rsidRDefault="006D32EF" w:rsidP="000B231F">
      <w:pPr>
        <w:jc w:val="both"/>
        <w:rPr>
          <w:rFonts w:ascii="Times New Roman" w:hAnsi="Times New Roman" w:cs="Times New Roman"/>
          <w:b/>
          <w:bCs/>
          <w:sz w:val="24"/>
          <w:szCs w:val="24"/>
          <w:lang w:val="en-IN"/>
        </w:rPr>
      </w:pPr>
    </w:p>
    <w:p w:rsidR="006D32EF" w:rsidRDefault="000B231F" w:rsidP="006D32EF">
      <w:pPr>
        <w:spacing w:after="200" w:line="480" w:lineRule="auto"/>
        <w:jc w:val="both"/>
        <w:rPr>
          <w:rFonts w:ascii="Times New Roman" w:eastAsia="Times New Roman" w:hAnsi="Times New Roman" w:cs="Times New Roman"/>
          <w:b/>
          <w:bCs/>
          <w:sz w:val="24"/>
          <w:szCs w:val="24"/>
          <w:lang/>
        </w:rPr>
      </w:pPr>
      <w:r w:rsidRPr="00043A08">
        <w:rPr>
          <w:rFonts w:ascii="Times New Roman" w:hAnsi="Times New Roman" w:cs="Times New Roman"/>
          <w:sz w:val="24"/>
          <w:szCs w:val="24"/>
          <w:lang w:val="en-IN"/>
        </w:rPr>
        <w:t>The experiment was conducted in a Split Plot Design (SPD) with three replications. The main plots consisted of three fertilizer levels, viz., 75% RDF (37.5-30-18.75 kg N-P₂O₅-K₂O ha⁻¹), 100% RDF (50-40-25 kg N-P₂O₅-K₂O ha⁻¹) and 125% RDF (62.5-50-31.25 kg N-P₂O₅-K₂O ha⁻¹). The subplots were allotted to five finger millet varieties, namely PR-10-</w:t>
      </w:r>
      <w:r w:rsidR="000413E6">
        <w:rPr>
          <w:rFonts w:ascii="Times New Roman" w:hAnsi="Times New Roman" w:cs="Times New Roman"/>
          <w:sz w:val="24"/>
          <w:szCs w:val="24"/>
          <w:lang w:val="en-IN"/>
        </w:rPr>
        <w:t>3</w:t>
      </w:r>
      <w:r w:rsidRPr="000413E6">
        <w:rPr>
          <w:rFonts w:ascii="Times New Roman" w:hAnsi="Times New Roman" w:cs="Times New Roman"/>
          <w:sz w:val="24"/>
          <w:szCs w:val="24"/>
          <w:lang w:val="en-IN"/>
        </w:rPr>
        <w:t>5</w:t>
      </w:r>
      <w:r w:rsidRPr="00043A08">
        <w:rPr>
          <w:rFonts w:ascii="Times New Roman" w:hAnsi="Times New Roman" w:cs="Times New Roman"/>
          <w:sz w:val="24"/>
          <w:szCs w:val="24"/>
          <w:lang w:val="en-IN"/>
        </w:rPr>
        <w:t>, KOPN-942, GPU-45, GPU-67 and PR-202. The crop was sown at a spacing of 30 cm × 7.5 cm, maintaining uniform plant population across treatments.</w:t>
      </w:r>
    </w:p>
    <w:p w:rsidR="006D32EF" w:rsidRDefault="000447E6" w:rsidP="006D32EF">
      <w:pPr>
        <w:spacing w:after="200" w:line="480" w:lineRule="auto"/>
        <w:jc w:val="both"/>
        <w:rPr>
          <w:rFonts w:ascii="Times New Roman" w:eastAsia="Times New Roman" w:hAnsi="Times New Roman" w:cs="Times New Roman"/>
          <w:b/>
          <w:bCs/>
          <w:sz w:val="24"/>
          <w:szCs w:val="24"/>
          <w:lang/>
        </w:rPr>
      </w:pPr>
      <w:r>
        <w:rPr>
          <w:rFonts w:ascii="Times New Roman" w:hAnsi="Times New Roman" w:cs="Times New Roman"/>
          <w:b/>
          <w:bCs/>
          <w:sz w:val="24"/>
          <w:szCs w:val="24"/>
          <w:lang w:val="en-IN"/>
        </w:rPr>
        <w:t xml:space="preserve">2.4 </w:t>
      </w:r>
      <w:r w:rsidR="000B231F" w:rsidRPr="00043A08">
        <w:rPr>
          <w:rFonts w:ascii="Times New Roman" w:hAnsi="Times New Roman" w:cs="Times New Roman"/>
          <w:b/>
          <w:bCs/>
          <w:sz w:val="24"/>
          <w:szCs w:val="24"/>
          <w:lang w:val="en-IN"/>
        </w:rPr>
        <w:t>Crop management practices and data collection</w:t>
      </w:r>
    </w:p>
    <w:p w:rsidR="006D32EF" w:rsidRDefault="000B231F" w:rsidP="006D32EF">
      <w:pPr>
        <w:spacing w:after="200" w:line="480" w:lineRule="auto"/>
        <w:jc w:val="both"/>
        <w:rPr>
          <w:rFonts w:ascii="Times New Roman" w:eastAsia="Times New Roman" w:hAnsi="Times New Roman" w:cs="Times New Roman"/>
          <w:b/>
          <w:bCs/>
          <w:sz w:val="24"/>
          <w:szCs w:val="24"/>
          <w:lang/>
        </w:rPr>
      </w:pPr>
      <w:r w:rsidRPr="00043A08">
        <w:rPr>
          <w:rFonts w:ascii="Times New Roman" w:hAnsi="Times New Roman" w:cs="Times New Roman"/>
          <w:sz w:val="24"/>
          <w:szCs w:val="24"/>
          <w:lang w:val="en-IN"/>
        </w:rPr>
        <w:lastRenderedPageBreak/>
        <w:t xml:space="preserve">Fertilizers were applied as per the treatment schedule. The entire dose of phosphorus, potassium along with half of nitrogen was applied as basal at sowing through urea, single superphosphate (SSP) and muriate of potash (MOP). The remaining nitrogen was top-dressed at 30 days after Transplanting (DAT).A pre-emergence application of pendimethalin @ </w:t>
      </w:r>
      <w:r w:rsidR="00D1338D">
        <w:rPr>
          <w:rFonts w:ascii="Times New Roman" w:hAnsi="Times New Roman" w:cs="Times New Roman"/>
          <w:sz w:val="24"/>
          <w:szCs w:val="24"/>
        </w:rPr>
        <w:t>0.75</w:t>
      </w:r>
      <w:r w:rsidR="00F7698A" w:rsidRPr="00F7698A">
        <w:rPr>
          <w:rFonts w:ascii="Times New Roman" w:hAnsi="Times New Roman" w:cs="Times New Roman"/>
          <w:sz w:val="24"/>
          <w:szCs w:val="24"/>
        </w:rPr>
        <w:t xml:space="preserve"> kg a.i. ha⁻¹</w:t>
      </w:r>
      <w:r w:rsidRPr="00043A08">
        <w:rPr>
          <w:rFonts w:ascii="Times New Roman" w:hAnsi="Times New Roman" w:cs="Times New Roman"/>
          <w:sz w:val="24"/>
          <w:szCs w:val="24"/>
          <w:lang w:val="en-IN"/>
        </w:rPr>
        <w:t>was given immediately after sowing to control early weeds. One intercultivation and hand weeding was performed at 30 DAS to maintain a weed-free environment. Need-based plant protection strategies were implemented to safeguard the crop from pests and diseases.</w:t>
      </w:r>
    </w:p>
    <w:p w:rsidR="006D32EF" w:rsidRDefault="000B231F" w:rsidP="006D32EF">
      <w:pPr>
        <w:spacing w:after="200" w:line="480" w:lineRule="auto"/>
        <w:ind w:firstLine="720"/>
        <w:jc w:val="both"/>
        <w:rPr>
          <w:rFonts w:ascii="Times New Roman" w:eastAsia="Times New Roman" w:hAnsi="Times New Roman" w:cs="Times New Roman"/>
          <w:b/>
          <w:bCs/>
          <w:sz w:val="24"/>
          <w:szCs w:val="24"/>
          <w:lang/>
        </w:rPr>
      </w:pPr>
      <w:r w:rsidRPr="00043A08">
        <w:rPr>
          <w:rFonts w:ascii="Times New Roman" w:hAnsi="Times New Roman" w:cs="Times New Roman"/>
          <w:sz w:val="24"/>
          <w:szCs w:val="24"/>
          <w:lang w:val="en-IN"/>
        </w:rPr>
        <w:t>Five plants per plot were selected at random and tagged for recording growth parameters (plant height, productive tillers, dry matter accumulation), yield components (ear head length, number of fingers per ear, test weight) and phenological observations. Grain and straw yields from the net plot area were recorded and expressed on a per hectare basis.An economic analysis was performed by considering the cost of cultivation, gross returns, net returns and benefit–cost ratio based on prevailing input and produce prices.</w:t>
      </w:r>
    </w:p>
    <w:p w:rsidR="006D32EF" w:rsidRDefault="000447E6" w:rsidP="006D32EF">
      <w:pPr>
        <w:spacing w:after="200" w:line="480" w:lineRule="auto"/>
        <w:jc w:val="both"/>
        <w:rPr>
          <w:rFonts w:ascii="Times New Roman" w:eastAsia="Times New Roman" w:hAnsi="Times New Roman" w:cs="Times New Roman"/>
          <w:b/>
          <w:bCs/>
          <w:sz w:val="24"/>
          <w:szCs w:val="24"/>
          <w:lang/>
        </w:rPr>
      </w:pPr>
      <w:r>
        <w:rPr>
          <w:rFonts w:ascii="Times New Roman" w:hAnsi="Times New Roman" w:cs="Times New Roman"/>
          <w:b/>
          <w:bCs/>
          <w:sz w:val="24"/>
          <w:szCs w:val="24"/>
          <w:lang w:val="en-IN"/>
        </w:rPr>
        <w:t xml:space="preserve">2.5 </w:t>
      </w:r>
      <w:r w:rsidR="000B231F" w:rsidRPr="00043A08">
        <w:rPr>
          <w:rFonts w:ascii="Times New Roman" w:hAnsi="Times New Roman" w:cs="Times New Roman"/>
          <w:b/>
          <w:bCs/>
          <w:sz w:val="24"/>
          <w:szCs w:val="24"/>
          <w:lang w:val="en-IN"/>
        </w:rPr>
        <w:t>Statistical analysis</w:t>
      </w:r>
    </w:p>
    <w:p w:rsidR="000B231F" w:rsidRPr="006D32EF" w:rsidRDefault="000B231F" w:rsidP="006D32EF">
      <w:pPr>
        <w:spacing w:after="200" w:line="480" w:lineRule="auto"/>
        <w:jc w:val="both"/>
        <w:rPr>
          <w:rFonts w:ascii="Times New Roman" w:eastAsia="Times New Roman" w:hAnsi="Times New Roman" w:cs="Times New Roman"/>
          <w:b/>
          <w:bCs/>
          <w:sz w:val="24"/>
          <w:szCs w:val="24"/>
          <w:lang/>
        </w:rPr>
      </w:pPr>
      <w:r w:rsidRPr="00043A08">
        <w:rPr>
          <w:rFonts w:ascii="Times New Roman" w:hAnsi="Times New Roman" w:cs="Times New Roman"/>
          <w:sz w:val="24"/>
          <w:szCs w:val="24"/>
          <w:lang w:val="en-IN"/>
        </w:rPr>
        <w:t>The recorded data were subjected to statistical analysis appropriate for a Split Plot Design, following the procedures described by Gomez and Gomez (1984). Treatment means were compared using the critical difference (CD) at 5% level of significance.</w:t>
      </w:r>
    </w:p>
    <w:p w:rsidR="002927BD" w:rsidRPr="008E5AD1" w:rsidRDefault="000447E6" w:rsidP="008E5AD1">
      <w:pPr>
        <w:autoSpaceDE w:val="0"/>
        <w:autoSpaceDN w:val="0"/>
        <w:adjustRightInd w:val="0"/>
        <w:jc w:val="both"/>
        <w:rPr>
          <w:rFonts w:ascii="Times New Roman" w:hAnsi="Times New Roman" w:cs="Times New Roman"/>
          <w:b/>
          <w:bCs/>
          <w:sz w:val="24"/>
          <w:szCs w:val="24"/>
        </w:rPr>
      </w:pPr>
      <w:r>
        <w:rPr>
          <w:rFonts w:ascii="Times New Roman" w:eastAsia="Times New Roman" w:hAnsi="Times New Roman" w:cs="Times New Roman"/>
          <w:b/>
          <w:bCs/>
          <w:sz w:val="24"/>
          <w:szCs w:val="24"/>
          <w:lang/>
        </w:rPr>
        <w:t>3.</w:t>
      </w:r>
      <w:r w:rsidR="00926D1F">
        <w:rPr>
          <w:rFonts w:ascii="Times New Roman" w:eastAsia="Times New Roman" w:hAnsi="Times New Roman" w:cs="Times New Roman" w:hint="eastAsia"/>
          <w:b/>
          <w:bCs/>
          <w:sz w:val="24"/>
          <w:szCs w:val="24"/>
          <w:lang/>
        </w:rPr>
        <w:t>Result</w:t>
      </w:r>
      <w:r w:rsidR="00881E10">
        <w:rPr>
          <w:rFonts w:ascii="Times New Roman" w:eastAsia="Times New Roman" w:hAnsi="Times New Roman" w:cs="Times New Roman"/>
          <w:b/>
          <w:bCs/>
          <w:sz w:val="24"/>
          <w:szCs w:val="24"/>
          <w:lang/>
        </w:rPr>
        <w:t>s</w:t>
      </w:r>
      <w:r w:rsidR="00926D1F">
        <w:rPr>
          <w:rFonts w:ascii="Times New Roman" w:eastAsia="Times New Roman" w:hAnsi="Times New Roman" w:cs="Times New Roman" w:hint="eastAsia"/>
          <w:b/>
          <w:bCs/>
          <w:sz w:val="24"/>
          <w:szCs w:val="24"/>
          <w:lang/>
        </w:rPr>
        <w:t xml:space="preserve"> and </w:t>
      </w:r>
      <w:r w:rsidR="00CB0551">
        <w:rPr>
          <w:rFonts w:ascii="Times New Roman" w:eastAsia="Times New Roman" w:hAnsi="Times New Roman" w:cs="Times New Roman"/>
          <w:b/>
          <w:bCs/>
          <w:sz w:val="24"/>
          <w:szCs w:val="24"/>
          <w:lang/>
        </w:rPr>
        <w:t>d</w:t>
      </w:r>
      <w:r w:rsidR="00926D1F">
        <w:rPr>
          <w:rFonts w:ascii="Times New Roman" w:eastAsia="Times New Roman" w:hAnsi="Times New Roman" w:cs="Times New Roman" w:hint="eastAsia"/>
          <w:b/>
          <w:bCs/>
          <w:sz w:val="24"/>
          <w:szCs w:val="24"/>
          <w:lang/>
        </w:rPr>
        <w:t>iscussion</w:t>
      </w:r>
      <w:r w:rsidR="00881E10">
        <w:rPr>
          <w:rFonts w:ascii="Times New Roman" w:eastAsia="Times New Roman" w:hAnsi="Times New Roman" w:cs="Times New Roman"/>
          <w:b/>
          <w:bCs/>
          <w:sz w:val="24"/>
          <w:szCs w:val="24"/>
          <w:lang/>
        </w:rPr>
        <w:t>s</w:t>
      </w:r>
    </w:p>
    <w:p w:rsidR="004D0099" w:rsidRPr="004D0099" w:rsidRDefault="000447E6"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Pr>
          <w:rFonts w:ascii="Times New Roman" w:hAnsi="Times New Roman" w:cs="Times New Roman"/>
          <w:i/>
          <w:iCs/>
          <w:sz w:val="24"/>
          <w:szCs w:val="24"/>
          <w:lang w:val="en-IN"/>
        </w:rPr>
        <w:t>3.1</w:t>
      </w:r>
      <w:r w:rsidR="004D0099" w:rsidRPr="004D0099">
        <w:rPr>
          <w:rFonts w:ascii="Times New Roman" w:hAnsi="Times New Roman" w:cs="Times New Roman"/>
          <w:i/>
          <w:iCs/>
          <w:sz w:val="24"/>
          <w:szCs w:val="24"/>
          <w:lang w:val="en-IN"/>
        </w:rPr>
        <w:t>Growth and phenology</w:t>
      </w:r>
    </w:p>
    <w:p w:rsidR="004D0099" w:rsidRPr="00DA5649" w:rsidRDefault="004D0099" w:rsidP="00DA5649">
      <w:pPr>
        <w:autoSpaceDE w:val="0"/>
        <w:autoSpaceDN w:val="0"/>
        <w:adjustRightInd w:val="0"/>
        <w:spacing w:line="480" w:lineRule="auto"/>
        <w:ind w:firstLine="720"/>
        <w:jc w:val="both"/>
        <w:rPr>
          <w:rFonts w:ascii="Times New Roman" w:hAnsi="Times New Roman" w:cs="Times New Roman"/>
          <w:sz w:val="24"/>
          <w:szCs w:val="24"/>
          <w:lang w:val="en-IN"/>
        </w:rPr>
      </w:pPr>
      <w:r w:rsidRPr="00A46A8D">
        <w:rPr>
          <w:rFonts w:ascii="Times New Roman" w:hAnsi="Times New Roman" w:cs="Times New Roman"/>
          <w:sz w:val="24"/>
          <w:szCs w:val="24"/>
        </w:rPr>
        <w:t>Increasing fertilizer levels exerted a noticeable effect on the growth and phenology of finger millet (Table 2)</w:t>
      </w:r>
      <w:r w:rsidRPr="00A46A8D">
        <w:rPr>
          <w:rFonts w:ascii="Times New Roman" w:hAnsi="Times New Roman" w:cs="Times New Roman"/>
          <w:sz w:val="24"/>
          <w:szCs w:val="24"/>
          <w:lang w:val="en-IN"/>
        </w:rPr>
        <w:t>. Increasing the fertilizer dose from 75% RDF to 125% RDF</w:t>
      </w:r>
      <w:r w:rsidRPr="00043A08">
        <w:rPr>
          <w:rFonts w:ascii="Times New Roman" w:hAnsi="Times New Roman" w:cs="Times New Roman"/>
          <w:sz w:val="24"/>
          <w:szCs w:val="24"/>
          <w:lang w:val="en-IN"/>
        </w:rPr>
        <w:t xml:space="preserve"> resulted in a slight delay of 1–3 days in flowering and physiological maturity. This mild extension of crop duration at higher nutrient levels may be attributed to enhanced nitrogen availability, which </w:t>
      </w:r>
      <w:r w:rsidRPr="00043A08">
        <w:rPr>
          <w:rFonts w:ascii="Times New Roman" w:hAnsi="Times New Roman" w:cs="Times New Roman"/>
          <w:sz w:val="24"/>
          <w:szCs w:val="24"/>
          <w:lang w:val="en-IN"/>
        </w:rPr>
        <w:lastRenderedPageBreak/>
        <w:t>promotes vegetative growth before shifting to the reproductive stage</w:t>
      </w:r>
      <w:r w:rsidRPr="00DA5649">
        <w:rPr>
          <w:rFonts w:ascii="Times New Roman" w:hAnsi="Times New Roman" w:cs="Times New Roman"/>
          <w:sz w:val="24"/>
          <w:szCs w:val="24"/>
          <w:lang w:val="en-IN"/>
        </w:rPr>
        <w:t xml:space="preserve">. </w:t>
      </w:r>
      <w:r w:rsidR="00DA5649" w:rsidRPr="00DA5649">
        <w:rPr>
          <w:rFonts w:ascii="Times New Roman" w:hAnsi="Times New Roman" w:cs="Times New Roman"/>
          <w:sz w:val="24"/>
          <w:szCs w:val="24"/>
          <w:lang w:val="en-IN"/>
        </w:rPr>
        <w:t>H</w:t>
      </w:r>
      <w:r w:rsidR="00DA5649" w:rsidRPr="00DA5649">
        <w:rPr>
          <w:rFonts w:ascii="Times New Roman" w:hAnsi="Times New Roman" w:cs="Times New Roman"/>
          <w:sz w:val="24"/>
          <w:szCs w:val="24"/>
        </w:rPr>
        <w:t>igher nitrogen supply is known to delay senescence and prolong the vegetative phase, thereby slightly extending flowering and maturity.</w:t>
      </w:r>
      <w:r w:rsidRPr="00DA5649">
        <w:rPr>
          <w:rFonts w:ascii="Times New Roman" w:hAnsi="Times New Roman" w:cs="Times New Roman"/>
          <w:sz w:val="24"/>
          <w:szCs w:val="24"/>
          <w:lang w:val="en-IN"/>
        </w:rPr>
        <w:t>Similar observations have been reported i</w:t>
      </w:r>
      <w:r w:rsidRPr="00043A08">
        <w:rPr>
          <w:rFonts w:ascii="Times New Roman" w:hAnsi="Times New Roman" w:cs="Times New Roman"/>
          <w:sz w:val="24"/>
          <w:szCs w:val="24"/>
          <w:lang w:val="en-IN"/>
        </w:rPr>
        <w:t xml:space="preserve">n finger millet </w:t>
      </w:r>
      <w:r w:rsidRPr="004D0099">
        <w:rPr>
          <w:rFonts w:ascii="Times New Roman" w:hAnsi="Times New Roman" w:cs="Times New Roman"/>
          <w:sz w:val="24"/>
          <w:szCs w:val="24"/>
          <w:lang w:val="en-IN"/>
        </w:rPr>
        <w:t xml:space="preserve">where increased nutrient supply prolongs the vegetative phase. </w:t>
      </w:r>
      <w:r w:rsidRPr="004D0099">
        <w:rPr>
          <w:rFonts w:ascii="Times New Roman" w:hAnsi="Times New Roman" w:cs="Times New Roman"/>
          <w:sz w:val="24"/>
          <w:szCs w:val="24"/>
        </w:rPr>
        <w:t xml:space="preserve">These findings agree with the earlier reports of Patil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(2019) and Maitra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(2001) who observed delayed phenology under higher nutrient supply in finger millet. </w:t>
      </w:r>
      <w:r w:rsidRPr="004D0099">
        <w:rPr>
          <w:rFonts w:ascii="Times New Roman" w:hAnsi="Times New Roman" w:cs="Times New Roman"/>
          <w:sz w:val="24"/>
          <w:szCs w:val="24"/>
          <w:lang w:val="en-IN"/>
        </w:rPr>
        <w:t xml:space="preserve"> Significant varietal differences</w:t>
      </w:r>
      <w:r w:rsidRPr="00043A08">
        <w:rPr>
          <w:rFonts w:ascii="Times New Roman" w:hAnsi="Times New Roman" w:cs="Times New Roman"/>
          <w:sz w:val="24"/>
          <w:szCs w:val="24"/>
          <w:lang w:val="en-IN"/>
        </w:rPr>
        <w:t xml:space="preserve"> were observed for phenological stages. 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5 exhibited relatively early flowering and maturity, whereas KOPN-942 required a longer duration for both stages, indicating genetic variation among genotypes.</w:t>
      </w:r>
    </w:p>
    <w:p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rPr>
      </w:pPr>
      <w:r w:rsidRPr="00043A08">
        <w:rPr>
          <w:rFonts w:ascii="Times New Roman" w:hAnsi="Times New Roman" w:cs="Times New Roman"/>
          <w:sz w:val="24"/>
          <w:szCs w:val="24"/>
          <w:lang w:val="en-IN"/>
        </w:rPr>
        <w:t xml:space="preserve">Growth parameters responded positively to increased fertilizer levels. 125% RDF recorded the tallest plants (104.0 cm) and the highest number of productive tillers (3.7 tillers/plant), followed by 100% RDF, while 75% RDF resulted in comparatively lower values. </w:t>
      </w:r>
      <w:r w:rsidRPr="00A608E6">
        <w:rPr>
          <w:rFonts w:ascii="Times New Roman" w:hAnsi="Times New Roman" w:cs="Times New Roman"/>
          <w:sz w:val="24"/>
          <w:szCs w:val="24"/>
        </w:rPr>
        <w:t>The increase in vegetative growth with higher nitrogen is due to its role in protoplasm formation, chlorophyll synthesis and enhanced leaf area expansion, resulting in improved photosynthetic efficiency. This observation is supported by Havlin et al. (2014) and is</w:t>
      </w:r>
      <w:r w:rsidRPr="0049193D">
        <w:rPr>
          <w:rFonts w:ascii="Times New Roman" w:hAnsi="Times New Roman" w:cs="Times New Roman"/>
          <w:sz w:val="24"/>
          <w:szCs w:val="24"/>
        </w:rPr>
        <w:t xml:space="preserve"> consistent with the findings </w:t>
      </w:r>
      <w:r w:rsidRPr="00A608E6">
        <w:rPr>
          <w:rFonts w:ascii="Times New Roman" w:hAnsi="Times New Roman" w:cs="Times New Roman"/>
          <w:sz w:val="24"/>
          <w:szCs w:val="24"/>
        </w:rPr>
        <w:t>of Nigade and More (2013), who reported increased plant growth with higher NPK fertilization.</w:t>
      </w:r>
    </w:p>
    <w:p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rPr>
      </w:pPr>
      <w:r w:rsidRPr="00043A08">
        <w:rPr>
          <w:rFonts w:ascii="Times New Roman" w:hAnsi="Times New Roman" w:cs="Times New Roman"/>
          <w:sz w:val="24"/>
          <w:szCs w:val="24"/>
          <w:lang w:val="en-IN"/>
        </w:rPr>
        <w:t xml:space="preserve">Among the varieties, KOPN-942 </w:t>
      </w:r>
      <w:r w:rsidRPr="00852E63">
        <w:rPr>
          <w:rFonts w:ascii="Times New Roman" w:hAnsi="Times New Roman" w:cs="Times New Roman"/>
          <w:sz w:val="24"/>
          <w:szCs w:val="24"/>
        </w:rPr>
        <w:t xml:space="preserve">recorded the maximum plant height </w:t>
      </w:r>
      <w:r w:rsidRPr="00852E63">
        <w:rPr>
          <w:rFonts w:ascii="Times New Roman" w:hAnsi="Times New Roman" w:cs="Times New Roman"/>
          <w:sz w:val="24"/>
          <w:szCs w:val="24"/>
          <w:lang w:val="en-IN"/>
        </w:rPr>
        <w:t>(109</w:t>
      </w:r>
      <w:r w:rsidRPr="00043A08">
        <w:rPr>
          <w:rFonts w:ascii="Times New Roman" w:hAnsi="Times New Roman" w:cs="Times New Roman"/>
          <w:sz w:val="24"/>
          <w:szCs w:val="24"/>
          <w:lang w:val="en-IN"/>
        </w:rPr>
        <w:t xml:space="preserve">.1 cm), whereas GPU-67 produced the shortest plants. </w:t>
      </w:r>
      <w:r w:rsidRPr="00852E63">
        <w:rPr>
          <w:rFonts w:ascii="Times New Roman" w:hAnsi="Times New Roman" w:cs="Times New Roman"/>
          <w:sz w:val="24"/>
          <w:szCs w:val="24"/>
        </w:rPr>
        <w:t xml:space="preserve">The genotype </w:t>
      </w:r>
      <w:r w:rsidRPr="00043A08">
        <w:rPr>
          <w:rFonts w:ascii="Times New Roman" w:hAnsi="Times New Roman" w:cs="Times New Roman"/>
          <w:sz w:val="24"/>
          <w:szCs w:val="24"/>
          <w:lang w:val="en-IN"/>
        </w:rPr>
        <w:t>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 xml:space="preserve">5 </w:t>
      </w:r>
      <w:r w:rsidRPr="00852E63">
        <w:rPr>
          <w:rFonts w:ascii="Times New Roman" w:hAnsi="Times New Roman" w:cs="Times New Roman"/>
          <w:sz w:val="24"/>
          <w:szCs w:val="24"/>
        </w:rPr>
        <w:t>produced the</w:t>
      </w:r>
      <w:r w:rsidRPr="00043A08">
        <w:rPr>
          <w:rFonts w:ascii="Times New Roman" w:hAnsi="Times New Roman" w:cs="Times New Roman"/>
          <w:sz w:val="24"/>
          <w:szCs w:val="24"/>
          <w:lang w:val="en-IN"/>
        </w:rPr>
        <w:t xml:space="preserve">highest productive tillers, </w:t>
      </w:r>
      <w:r w:rsidRPr="00852E63">
        <w:rPr>
          <w:rFonts w:ascii="Times New Roman" w:hAnsi="Times New Roman" w:cs="Times New Roman"/>
          <w:sz w:val="24"/>
          <w:szCs w:val="24"/>
        </w:rPr>
        <w:t>reflecting its superior tillering capacity and better adaptability under varied nutrient levels.</w:t>
      </w:r>
    </w:p>
    <w:p w:rsidR="004D0099" w:rsidRDefault="000447E6"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Pr>
          <w:rFonts w:ascii="Times New Roman" w:hAnsi="Times New Roman" w:cs="Times New Roman"/>
          <w:i/>
          <w:iCs/>
          <w:sz w:val="24"/>
          <w:szCs w:val="24"/>
          <w:lang w:val="en-IN"/>
        </w:rPr>
        <w:t>3.2</w:t>
      </w:r>
      <w:r w:rsidR="004D0099" w:rsidRPr="004D0099">
        <w:rPr>
          <w:rFonts w:ascii="Times New Roman" w:hAnsi="Times New Roman" w:cs="Times New Roman"/>
          <w:i/>
          <w:iCs/>
          <w:sz w:val="24"/>
          <w:szCs w:val="24"/>
          <w:lang w:val="en-IN"/>
        </w:rPr>
        <w:t>Yield attributes and yield</w:t>
      </w:r>
    </w:p>
    <w:p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sidRPr="00043A08">
        <w:rPr>
          <w:rFonts w:ascii="Times New Roman" w:hAnsi="Times New Roman" w:cs="Times New Roman"/>
          <w:sz w:val="24"/>
          <w:szCs w:val="24"/>
          <w:lang w:val="en-IN"/>
        </w:rPr>
        <w:t xml:space="preserve">Fertilizer levels significantly influenced the yield attributes of finger millet. Higher nutrient supply through 100% and 125% RDF improved productive tillers, ear head length, number of </w:t>
      </w:r>
      <w:r w:rsidRPr="00043A08">
        <w:rPr>
          <w:rFonts w:ascii="Times New Roman" w:hAnsi="Times New Roman" w:cs="Times New Roman"/>
          <w:sz w:val="24"/>
          <w:szCs w:val="24"/>
          <w:lang w:val="en-IN"/>
        </w:rPr>
        <w:lastRenderedPageBreak/>
        <w:t>fingers per ear, and test weight compared to 75% RDF. However, the increase beyond 100% RDF was moderate for traits like ear head length and fingers per ear, suggesting that these traits are more genotype-driven than nutrient-sensitive.</w:t>
      </w:r>
    </w:p>
    <w:p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sidRPr="00043A08">
        <w:rPr>
          <w:rFonts w:ascii="Times New Roman" w:hAnsi="Times New Roman" w:cs="Times New Roman"/>
          <w:sz w:val="24"/>
          <w:szCs w:val="24"/>
          <w:lang w:val="en-IN"/>
        </w:rPr>
        <w:t>Significant variation among varieties was observed for all yield attributes. PR-10-</w:t>
      </w:r>
      <w:r w:rsidR="000413E6">
        <w:rPr>
          <w:rFonts w:ascii="Times New Roman" w:hAnsi="Times New Roman" w:cs="Times New Roman"/>
          <w:sz w:val="24"/>
          <w:szCs w:val="24"/>
          <w:lang w:val="en-IN"/>
        </w:rPr>
        <w:t>35</w:t>
      </w:r>
      <w:r w:rsidRPr="00043A08">
        <w:rPr>
          <w:rFonts w:ascii="Times New Roman" w:hAnsi="Times New Roman" w:cs="Times New Roman"/>
          <w:sz w:val="24"/>
          <w:szCs w:val="24"/>
          <w:lang w:val="en-IN"/>
        </w:rPr>
        <w:t xml:space="preserve"> recorded superior values—including more productive tillers, longer ear heads, and the highest test weightfollowed by PR-202. In contrast, GPU-45 recorded lower values across most traits. These differences indicate variability in panicle architecture, sink capacity, and grain-filling efficiency among </w:t>
      </w:r>
      <w:r w:rsidRPr="004D0099">
        <w:rPr>
          <w:rFonts w:ascii="Times New Roman" w:hAnsi="Times New Roman" w:cs="Times New Roman"/>
          <w:sz w:val="24"/>
          <w:szCs w:val="24"/>
          <w:lang w:val="en-IN"/>
        </w:rPr>
        <w:t xml:space="preserve">genotypes. </w:t>
      </w:r>
      <w:r w:rsidRPr="004D0099">
        <w:rPr>
          <w:rFonts w:ascii="Times New Roman" w:hAnsi="Times New Roman" w:cs="Times New Roman"/>
          <w:sz w:val="24"/>
          <w:szCs w:val="24"/>
        </w:rPr>
        <w:t>Similar</w:t>
      </w:r>
      <w:r w:rsidRPr="00012B81">
        <w:rPr>
          <w:rFonts w:ascii="Times New Roman" w:hAnsi="Times New Roman" w:cs="Times New Roman"/>
          <w:sz w:val="24"/>
          <w:szCs w:val="24"/>
        </w:rPr>
        <w:t xml:space="preserve"> results were reported by </w:t>
      </w:r>
      <w:r w:rsidRPr="00D04FE5">
        <w:rPr>
          <w:rFonts w:ascii="Times New Roman" w:hAnsi="Times New Roman" w:cs="Times New Roman"/>
          <w:sz w:val="24"/>
          <w:szCs w:val="24"/>
        </w:rPr>
        <w:t>Lemessa (2016), Rashid and Khan (2008) and Prasad et al. (2014) under</w:t>
      </w:r>
      <w:r w:rsidRPr="00012B81">
        <w:rPr>
          <w:rFonts w:ascii="Times New Roman" w:hAnsi="Times New Roman" w:cs="Times New Roman"/>
          <w:sz w:val="24"/>
          <w:szCs w:val="24"/>
        </w:rPr>
        <w:t xml:space="preserve"> different nutrient management regimes.</w:t>
      </w:r>
    </w:p>
    <w:p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sidRPr="00043A08">
        <w:rPr>
          <w:rFonts w:ascii="Times New Roman" w:hAnsi="Times New Roman" w:cs="Times New Roman"/>
          <w:sz w:val="24"/>
          <w:szCs w:val="24"/>
          <w:lang w:val="en-IN"/>
        </w:rPr>
        <w:t xml:space="preserve">Grain yield increased progressively with higher fertilizer levels. The lowest grain yield (2774 kg ha⁻¹) was obtained under 75% RDF, which increased to 2985 kg ha⁻¹ under 100% RDF, and further to 3198 kg ha⁻¹ with 125% RDF. The substantial yield improvement at higher nutrient levels is mainly attributed to increased </w:t>
      </w:r>
      <w:r w:rsidRPr="004D0099">
        <w:rPr>
          <w:rFonts w:ascii="Times New Roman" w:hAnsi="Times New Roman" w:cs="Times New Roman"/>
          <w:sz w:val="24"/>
          <w:szCs w:val="24"/>
          <w:lang w:val="en-IN"/>
        </w:rPr>
        <w:t xml:space="preserve">productive tillers and better assimilate partitioning. </w:t>
      </w:r>
      <w:r w:rsidRPr="004D0099">
        <w:rPr>
          <w:rFonts w:ascii="Times New Roman" w:hAnsi="Times New Roman" w:cs="Times New Roman"/>
          <w:sz w:val="24"/>
          <w:szCs w:val="24"/>
        </w:rPr>
        <w:t xml:space="preserve">These results are in agreement with the findings of Divyashree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(2018) in little millet &amp; Chandrakala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2017 in finger millet.</w:t>
      </w:r>
    </w:p>
    <w:p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sidRPr="00476554">
        <w:rPr>
          <w:rFonts w:ascii="Times New Roman" w:hAnsi="Times New Roman" w:cs="Times New Roman"/>
          <w:sz w:val="24"/>
          <w:szCs w:val="24"/>
        </w:rPr>
        <w:t xml:space="preserve">Among genotypes, </w:t>
      </w:r>
      <w:r w:rsidRPr="00476554">
        <w:rPr>
          <w:rFonts w:ascii="Times New Roman" w:hAnsi="Times New Roman" w:cs="Times New Roman"/>
          <w:sz w:val="24"/>
          <w:szCs w:val="24"/>
          <w:lang w:val="en-IN"/>
        </w:rPr>
        <w:t>PR-10-</w:t>
      </w:r>
      <w:r w:rsidR="000413E6">
        <w:rPr>
          <w:rFonts w:ascii="Times New Roman" w:hAnsi="Times New Roman" w:cs="Times New Roman"/>
          <w:sz w:val="24"/>
          <w:szCs w:val="24"/>
          <w:lang w:val="en-IN"/>
        </w:rPr>
        <w:t>3</w:t>
      </w:r>
      <w:r w:rsidRPr="00476554">
        <w:rPr>
          <w:rFonts w:ascii="Times New Roman" w:hAnsi="Times New Roman" w:cs="Times New Roman"/>
          <w:sz w:val="24"/>
          <w:szCs w:val="24"/>
          <w:lang w:val="en-IN"/>
        </w:rPr>
        <w:t>5 recorded the highest grain yield (3260 kg ha⁻¹), followed by PR-202 (3186 kg ha⁻¹). The lowest grain yield was recorded by GPU-45 (2644 kg ha⁻¹). The superiority of PR-10-</w:t>
      </w:r>
      <w:r w:rsidR="00C44FB5">
        <w:rPr>
          <w:rFonts w:ascii="Times New Roman" w:hAnsi="Times New Roman" w:cs="Times New Roman"/>
          <w:sz w:val="24"/>
          <w:szCs w:val="24"/>
          <w:lang w:val="en-IN"/>
        </w:rPr>
        <w:t>3</w:t>
      </w:r>
      <w:r w:rsidRPr="00476554">
        <w:rPr>
          <w:rFonts w:ascii="Times New Roman" w:hAnsi="Times New Roman" w:cs="Times New Roman"/>
          <w:sz w:val="24"/>
          <w:szCs w:val="24"/>
          <w:lang w:val="en-IN"/>
        </w:rPr>
        <w:t xml:space="preserve">5 is </w:t>
      </w:r>
      <w:r w:rsidRPr="004D0099">
        <w:rPr>
          <w:rFonts w:ascii="Times New Roman" w:hAnsi="Times New Roman" w:cs="Times New Roman"/>
          <w:sz w:val="24"/>
          <w:szCs w:val="24"/>
          <w:lang w:val="en-IN"/>
        </w:rPr>
        <w:t xml:space="preserve">attributed to its enhanced tillering, favourable yield components and </w:t>
      </w:r>
      <w:r w:rsidRPr="004D0099">
        <w:rPr>
          <w:rFonts w:ascii="Times New Roman" w:hAnsi="Times New Roman" w:cs="Times New Roman"/>
          <w:sz w:val="24"/>
          <w:szCs w:val="24"/>
        </w:rPr>
        <w:t>superior yield potential</w:t>
      </w:r>
      <w:r w:rsidRPr="004D0099">
        <w:rPr>
          <w:rFonts w:ascii="Times New Roman" w:hAnsi="Times New Roman" w:cs="Times New Roman"/>
          <w:sz w:val="24"/>
          <w:szCs w:val="24"/>
          <w:lang w:val="en-IN"/>
        </w:rPr>
        <w:t xml:space="preserve">. Similar findings were reported by Sarawale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(2016) &amp;</w:t>
      </w:r>
      <w:r w:rsidRPr="004D0099">
        <w:rPr>
          <w:rFonts w:ascii="Times New Roman" w:hAnsi="Times New Roman" w:cs="Times New Roman"/>
          <w:sz w:val="24"/>
          <w:szCs w:val="24"/>
          <w:lang w:val="en-IN"/>
        </w:rPr>
        <w:t xml:space="preserve">Singh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(2017).</w:t>
      </w:r>
      <w:r w:rsidRPr="00043A08">
        <w:rPr>
          <w:rFonts w:ascii="Times New Roman" w:hAnsi="Times New Roman" w:cs="Times New Roman"/>
          <w:sz w:val="24"/>
          <w:szCs w:val="24"/>
          <w:lang w:val="en-IN"/>
        </w:rPr>
        <w:t xml:space="preserve">Straw yield followed a similar trend, with higher </w:t>
      </w:r>
      <w:r w:rsidRPr="00837D20">
        <w:rPr>
          <w:rFonts w:ascii="Times New Roman" w:hAnsi="Times New Roman" w:cs="Times New Roman"/>
          <w:sz w:val="24"/>
          <w:szCs w:val="24"/>
        </w:rPr>
        <w:t>fertilizer</w:t>
      </w:r>
      <w:r w:rsidRPr="00043A08">
        <w:rPr>
          <w:rFonts w:ascii="Times New Roman" w:hAnsi="Times New Roman" w:cs="Times New Roman"/>
          <w:sz w:val="24"/>
          <w:szCs w:val="24"/>
          <w:lang w:val="en-IN"/>
        </w:rPr>
        <w:t xml:space="preserve"> levels promoting greater biomass accumulation. Varieties with taller stature, such as KOPN-942, recorded higher straw yield irrespective of grain yield performance. </w:t>
      </w:r>
      <w:r w:rsidRPr="00837D20">
        <w:rPr>
          <w:rFonts w:ascii="Times New Roman" w:hAnsi="Times New Roman" w:cs="Times New Roman"/>
          <w:sz w:val="24"/>
          <w:szCs w:val="24"/>
        </w:rPr>
        <w:t xml:space="preserve">This observation aligns with the </w:t>
      </w:r>
      <w:r w:rsidRPr="000D6776">
        <w:rPr>
          <w:rFonts w:ascii="Times New Roman" w:hAnsi="Times New Roman" w:cs="Times New Roman"/>
          <w:sz w:val="24"/>
          <w:szCs w:val="24"/>
        </w:rPr>
        <w:t xml:space="preserve">results of Prakasha </w:t>
      </w:r>
      <w:r w:rsidRPr="000D6776">
        <w:rPr>
          <w:rFonts w:ascii="Times New Roman" w:hAnsi="Times New Roman" w:cs="Times New Roman"/>
          <w:i/>
          <w:iCs/>
          <w:sz w:val="24"/>
          <w:szCs w:val="24"/>
        </w:rPr>
        <w:t>et al.</w:t>
      </w:r>
      <w:r w:rsidRPr="000D6776">
        <w:rPr>
          <w:rFonts w:ascii="Times New Roman" w:hAnsi="Times New Roman" w:cs="Times New Roman"/>
          <w:sz w:val="24"/>
          <w:szCs w:val="24"/>
        </w:rPr>
        <w:t xml:space="preserve"> (2018).The interaction between fertilizer levels and genotypes for most growth and yield </w:t>
      </w:r>
      <w:r w:rsidRPr="000D6776">
        <w:rPr>
          <w:rFonts w:ascii="Times New Roman" w:hAnsi="Times New Roman" w:cs="Times New Roman"/>
          <w:sz w:val="24"/>
          <w:szCs w:val="24"/>
        </w:rPr>
        <w:lastRenderedPageBreak/>
        <w:t>parameters was non-significant, suggesting that all varieties responded similarly to the nutrient levels.</w:t>
      </w:r>
    </w:p>
    <w:p w:rsidR="004D0099" w:rsidRPr="004D0099" w:rsidRDefault="000447E6" w:rsidP="004D0099">
      <w:pPr>
        <w:autoSpaceDE w:val="0"/>
        <w:autoSpaceDN w:val="0"/>
        <w:adjustRightInd w:val="0"/>
        <w:spacing w:line="480" w:lineRule="auto"/>
        <w:jc w:val="both"/>
        <w:rPr>
          <w:rFonts w:ascii="Times New Roman" w:eastAsia="Times New Roman" w:hAnsi="Times New Roman" w:cs="Times New Roman"/>
          <w:i/>
          <w:iCs/>
          <w:sz w:val="24"/>
          <w:szCs w:val="24"/>
          <w:lang/>
        </w:rPr>
      </w:pPr>
      <w:r>
        <w:rPr>
          <w:rFonts w:ascii="Times New Roman" w:hAnsi="Times New Roman" w:cs="Times New Roman"/>
          <w:i/>
          <w:iCs/>
          <w:sz w:val="24"/>
          <w:szCs w:val="24"/>
          <w:lang w:val="en-IN"/>
        </w:rPr>
        <w:t>3.3</w:t>
      </w:r>
      <w:r w:rsidR="004D0099" w:rsidRPr="004D0099">
        <w:rPr>
          <w:rFonts w:ascii="Times New Roman" w:hAnsi="Times New Roman" w:cs="Times New Roman"/>
          <w:i/>
          <w:iCs/>
          <w:sz w:val="24"/>
          <w:szCs w:val="24"/>
          <w:lang w:val="en-IN"/>
        </w:rPr>
        <w:t>Economics</w:t>
      </w:r>
    </w:p>
    <w:p w:rsidR="004D0099" w:rsidRDefault="004D0099" w:rsidP="004D0099">
      <w:pPr>
        <w:autoSpaceDE w:val="0"/>
        <w:autoSpaceDN w:val="0"/>
        <w:adjustRightInd w:val="0"/>
        <w:spacing w:line="480" w:lineRule="auto"/>
        <w:jc w:val="both"/>
        <w:rPr>
          <w:rFonts w:ascii="Times New Roman" w:eastAsia="Times New Roman" w:hAnsi="Times New Roman" w:cs="Times New Roman"/>
          <w:sz w:val="24"/>
          <w:szCs w:val="24"/>
          <w:lang/>
        </w:rPr>
      </w:pPr>
      <w:r w:rsidRPr="00EA6C41">
        <w:rPr>
          <w:rFonts w:ascii="Times New Roman" w:hAnsi="Times New Roman" w:cs="Times New Roman"/>
          <w:sz w:val="24"/>
          <w:szCs w:val="24"/>
          <w:lang w:val="en-IN"/>
        </w:rPr>
        <w:t>Economic evaluation clearly demonstrated that higher fertilizer levels enhanced profitability. The highest net returns and benefit–cost ratio were recorded with 125% RDF, owing to substantial improvements in grain and straw yield compared to lower fertilizer levels</w:t>
      </w:r>
      <w:r w:rsidRPr="006E18DD">
        <w:rPr>
          <w:rFonts w:ascii="Times New Roman" w:hAnsi="Times New Roman" w:cs="Times New Roman"/>
          <w:sz w:val="24"/>
          <w:szCs w:val="24"/>
          <w:lang w:val="en-IN"/>
        </w:rPr>
        <w:t xml:space="preserve">. </w:t>
      </w:r>
      <w:r w:rsidRPr="006E18DD">
        <w:rPr>
          <w:rFonts w:ascii="Times New Roman" w:hAnsi="Times New Roman" w:cs="Times New Roman"/>
          <w:sz w:val="24"/>
          <w:szCs w:val="24"/>
        </w:rPr>
        <w:t>Under 125% RDF, the genotype PR-10-</w:t>
      </w:r>
      <w:r w:rsidR="000413E6">
        <w:rPr>
          <w:rFonts w:ascii="Times New Roman" w:hAnsi="Times New Roman" w:cs="Times New Roman"/>
          <w:sz w:val="24"/>
          <w:szCs w:val="24"/>
        </w:rPr>
        <w:t>3</w:t>
      </w:r>
      <w:r w:rsidRPr="006E18DD">
        <w:rPr>
          <w:rFonts w:ascii="Times New Roman" w:hAnsi="Times New Roman" w:cs="Times New Roman"/>
          <w:sz w:val="24"/>
          <w:szCs w:val="24"/>
        </w:rPr>
        <w:t>5 (F₃V₁) achieved the maximum net returns of ₹50,378 ha⁻¹ and the highest B:C ratio of 2.92, followed by PR-202 (₹48,099 ha⁻¹; B:C 2.84).</w:t>
      </w:r>
      <w:r w:rsidRPr="00EA6C41">
        <w:rPr>
          <w:rFonts w:ascii="Times New Roman" w:hAnsi="Times New Roman" w:cs="Times New Roman"/>
          <w:sz w:val="24"/>
          <w:szCs w:val="24"/>
          <w:lang w:val="en-IN"/>
        </w:rPr>
        <w:t xml:space="preserve">Although the cost of fertilizers increased with higher application rates, the additional returns far exceeded the added cost, making 125% RDF economically </w:t>
      </w:r>
      <w:r w:rsidRPr="004D0099">
        <w:rPr>
          <w:rFonts w:ascii="Times New Roman" w:hAnsi="Times New Roman" w:cs="Times New Roman"/>
          <w:sz w:val="24"/>
          <w:szCs w:val="24"/>
          <w:lang w:val="en-IN"/>
        </w:rPr>
        <w:t xml:space="preserve">advantageous. </w:t>
      </w:r>
      <w:r w:rsidRPr="004D0099">
        <w:rPr>
          <w:rFonts w:ascii="Times New Roman" w:hAnsi="Times New Roman" w:cs="Times New Roman"/>
          <w:sz w:val="24"/>
          <w:szCs w:val="24"/>
        </w:rPr>
        <w:t>These findings agree with Sundaresh and Basavaraja (2017) &amp;Jogarao</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(2019).</w:t>
      </w:r>
    </w:p>
    <w:p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sz w:val="24"/>
          <w:szCs w:val="24"/>
          <w:lang/>
        </w:rPr>
      </w:pPr>
      <w:r w:rsidRPr="00D932FE">
        <w:rPr>
          <w:rFonts w:ascii="Times New Roman" w:hAnsi="Times New Roman" w:cs="Times New Roman"/>
          <w:sz w:val="24"/>
          <w:szCs w:val="24"/>
        </w:rPr>
        <w:t>Among genotypes, PR-10-</w:t>
      </w:r>
      <w:r w:rsidR="000413E6">
        <w:rPr>
          <w:rFonts w:ascii="Times New Roman" w:hAnsi="Times New Roman" w:cs="Times New Roman"/>
          <w:sz w:val="24"/>
          <w:szCs w:val="24"/>
        </w:rPr>
        <w:t>3</w:t>
      </w:r>
      <w:r w:rsidRPr="00D932FE">
        <w:rPr>
          <w:rFonts w:ascii="Times New Roman" w:hAnsi="Times New Roman" w:cs="Times New Roman"/>
          <w:sz w:val="24"/>
          <w:szCs w:val="24"/>
        </w:rPr>
        <w:t>5 achieved the maximum net returns and B:C ratio across all fertilizer levels. Under 125% RDF (F₃V₁), PR-10-</w:t>
      </w:r>
      <w:r w:rsidR="00C44FB5">
        <w:rPr>
          <w:rFonts w:ascii="Times New Roman" w:hAnsi="Times New Roman" w:cs="Times New Roman"/>
          <w:sz w:val="24"/>
          <w:szCs w:val="24"/>
        </w:rPr>
        <w:t>3</w:t>
      </w:r>
      <w:r w:rsidRPr="00D932FE">
        <w:rPr>
          <w:rFonts w:ascii="Times New Roman" w:hAnsi="Times New Roman" w:cs="Times New Roman"/>
          <w:sz w:val="24"/>
          <w:szCs w:val="24"/>
        </w:rPr>
        <w:t>5 recorded the highest net returns of ₹50,378 ha⁻¹ and a B:C ratio of 2.92, making it the most profitable genotype in the study. Even under 100% RDF (F₂V₁), it maintained high profitability with ₹46,067 ha⁻¹ net returns and a B:C ratio of 2.80.In contrast, GPU-45 under 75% RDF (F₁V₃) recorded the lowest net returns of only ₹28,208 ha⁻¹ and a B:C ratio of 2.12, indicating poor profitability due to its lower yield performance.</w:t>
      </w:r>
    </w:p>
    <w:p w:rsidR="00B5127F" w:rsidRDefault="000447E6" w:rsidP="00B5127F">
      <w:pPr>
        <w:spacing w:after="200" w:line="480" w:lineRule="auto"/>
        <w:jc w:val="both"/>
        <w:rPr>
          <w:rFonts w:ascii="Times New Roman" w:eastAsia="Times New Roman" w:hAnsi="Times New Roman" w:cs="Times New Roman"/>
          <w:b/>
          <w:bCs/>
          <w:color w:val="222222"/>
          <w:sz w:val="24"/>
          <w:szCs w:val="24"/>
          <w:shd w:val="clear" w:color="auto" w:fill="FFFFFF"/>
          <w:lang/>
        </w:rPr>
      </w:pPr>
      <w:r>
        <w:rPr>
          <w:rFonts w:ascii="Times New Roman" w:eastAsia="Times New Roman" w:hAnsi="Times New Roman" w:cs="Times New Roman"/>
          <w:b/>
          <w:bCs/>
          <w:color w:val="222222"/>
          <w:sz w:val="24"/>
          <w:szCs w:val="24"/>
          <w:shd w:val="clear" w:color="auto" w:fill="FFFFFF"/>
          <w:lang/>
        </w:rPr>
        <w:t xml:space="preserve">4. </w:t>
      </w:r>
      <w:r w:rsidR="00B5127F">
        <w:rPr>
          <w:rFonts w:ascii="Times New Roman" w:eastAsia="Times New Roman" w:hAnsi="Times New Roman" w:cs="Times New Roman"/>
          <w:b/>
          <w:bCs/>
          <w:color w:val="222222"/>
          <w:sz w:val="24"/>
          <w:szCs w:val="24"/>
          <w:shd w:val="clear" w:color="auto" w:fill="FFFFFF"/>
          <w:lang/>
        </w:rPr>
        <w:t xml:space="preserve">CONCLUSION </w:t>
      </w:r>
    </w:p>
    <w:p w:rsidR="004D0099" w:rsidRDefault="00B5127F">
      <w:pPr>
        <w:spacing w:after="200" w:line="480" w:lineRule="auto"/>
        <w:jc w:val="both"/>
        <w:rPr>
          <w:rFonts w:ascii="Times New Roman" w:hAnsi="Times New Roman" w:cs="Times New Roman"/>
          <w:sz w:val="24"/>
          <w:szCs w:val="24"/>
        </w:rPr>
      </w:pPr>
      <w:r w:rsidRPr="00043A08">
        <w:rPr>
          <w:rFonts w:ascii="Times New Roman" w:hAnsi="Times New Roman" w:cs="Times New Roman"/>
          <w:sz w:val="24"/>
          <w:szCs w:val="24"/>
        </w:rPr>
        <w:t>The study demonstrated that finger millet genotypes responded favourably to increased fertilizer levels under rainfed conditions. Application of 125% RDF consistently enhanced growth, yield attributes, grain yield and economic returns compared to lower nutrient levels. Among the varieties, PR-10-</w:t>
      </w:r>
      <w:r w:rsidR="000413E6">
        <w:rPr>
          <w:rFonts w:ascii="Times New Roman" w:hAnsi="Times New Roman" w:cs="Times New Roman"/>
          <w:sz w:val="24"/>
          <w:szCs w:val="24"/>
        </w:rPr>
        <w:t>3</w:t>
      </w:r>
      <w:r w:rsidRPr="00043A08">
        <w:rPr>
          <w:rFonts w:ascii="Times New Roman" w:hAnsi="Times New Roman" w:cs="Times New Roman"/>
          <w:sz w:val="24"/>
          <w:szCs w:val="24"/>
        </w:rPr>
        <w:t xml:space="preserve">5 recorded the highest productivity and profitability, indicating superior </w:t>
      </w:r>
      <w:r w:rsidRPr="00043A08">
        <w:rPr>
          <w:rFonts w:ascii="Times New Roman" w:hAnsi="Times New Roman" w:cs="Times New Roman"/>
          <w:sz w:val="24"/>
          <w:szCs w:val="24"/>
        </w:rPr>
        <w:lastRenderedPageBreak/>
        <w:t>nutrient-use efficiency and yield potential. Based on the overall performance, the combination of PR-10-</w:t>
      </w:r>
      <w:r w:rsidR="00C44FB5">
        <w:rPr>
          <w:rFonts w:ascii="Times New Roman" w:hAnsi="Times New Roman" w:cs="Times New Roman"/>
          <w:sz w:val="24"/>
          <w:szCs w:val="24"/>
        </w:rPr>
        <w:t>3</w:t>
      </w:r>
      <w:r w:rsidRPr="00043A08">
        <w:rPr>
          <w:rFonts w:ascii="Times New Roman" w:hAnsi="Times New Roman" w:cs="Times New Roman"/>
          <w:sz w:val="24"/>
          <w:szCs w:val="24"/>
        </w:rPr>
        <w:t>5 with 125% RDF may be recommended for improving finger millet productivity in the Godavari Zone of Andhra Pradesh.</w:t>
      </w:r>
    </w:p>
    <w:p w:rsidR="006D15B9" w:rsidRPr="006D15B9" w:rsidRDefault="006D15B9" w:rsidP="006D15B9">
      <w:pPr>
        <w:spacing w:after="200" w:line="276" w:lineRule="auto"/>
        <w:jc w:val="both"/>
        <w:outlineLvl w:val="0"/>
        <w:rPr>
          <w:rFonts w:ascii="Arial" w:eastAsia="Times New Roman" w:hAnsi="Arial" w:cs="Arial"/>
          <w:sz w:val="22"/>
          <w:szCs w:val="22"/>
          <w:lang w:val="en-GB" w:eastAsia="en-GB"/>
        </w:rPr>
      </w:pPr>
      <w:r w:rsidRPr="006D15B9">
        <w:rPr>
          <w:rFonts w:ascii="Arial" w:eastAsia="Times New Roman" w:hAnsi="Arial" w:cs="Arial"/>
          <w:b/>
          <w:bCs/>
          <w:sz w:val="22"/>
          <w:szCs w:val="22"/>
          <w:lang w:val="en-GB" w:eastAsia="en-GB"/>
        </w:rPr>
        <w:t>COMPETING INTERESTS DISCLAIMER:</w:t>
      </w:r>
    </w:p>
    <w:p w:rsidR="006D15B9" w:rsidRPr="000447E6" w:rsidRDefault="006D15B9" w:rsidP="006D15B9">
      <w:pPr>
        <w:spacing w:after="200" w:line="276" w:lineRule="auto"/>
        <w:rPr>
          <w:rFonts w:ascii="Times New Roman" w:eastAsia="Times New Roman" w:hAnsi="Times New Roman" w:cs="Times New Roman"/>
          <w:sz w:val="24"/>
          <w:szCs w:val="24"/>
          <w:lang w:val="en-GB" w:eastAsia="en-GB"/>
        </w:rPr>
      </w:pPr>
      <w:r w:rsidRPr="000447E6">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rsidR="00CD0FF9" w:rsidRPr="000447E6" w:rsidRDefault="00CD0FF9" w:rsidP="000447E6">
      <w:pPr>
        <w:jc w:val="both"/>
        <w:rPr>
          <w:rFonts w:ascii="Times New Roman" w:hAnsi="Times New Roman" w:cs="Times New Roman"/>
          <w:b/>
          <w:bCs/>
          <w:sz w:val="24"/>
          <w:szCs w:val="24"/>
        </w:rPr>
      </w:pPr>
      <w:r w:rsidRPr="000447E6">
        <w:rPr>
          <w:rFonts w:ascii="Times New Roman" w:hAnsi="Times New Roman" w:cs="Times New Roman"/>
          <w:b/>
          <w:bCs/>
          <w:sz w:val="24"/>
          <w:szCs w:val="24"/>
        </w:rPr>
        <w:t>Disclaimer (Artificial intelligence)</w:t>
      </w:r>
    </w:p>
    <w:p w:rsidR="000447E6" w:rsidRPr="000447E6" w:rsidRDefault="000447E6" w:rsidP="000447E6">
      <w:pPr>
        <w:jc w:val="both"/>
        <w:rPr>
          <w:rFonts w:ascii="Times New Roman" w:hAnsi="Times New Roman" w:cs="Times New Roman"/>
          <w:sz w:val="24"/>
          <w:szCs w:val="24"/>
        </w:rPr>
      </w:pPr>
    </w:p>
    <w:p w:rsidR="00CD0FF9" w:rsidRDefault="00CD0FF9" w:rsidP="000447E6">
      <w:pPr>
        <w:jc w:val="both"/>
        <w:rPr>
          <w:rFonts w:ascii="Times New Roman" w:hAnsi="Times New Roman" w:cs="Times New Roman"/>
          <w:sz w:val="24"/>
          <w:szCs w:val="24"/>
        </w:rPr>
      </w:pPr>
      <w:r w:rsidRPr="000447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E25C72" w:rsidRPr="00E25C72" w:rsidRDefault="00E25C72" w:rsidP="000447E6">
      <w:pPr>
        <w:jc w:val="both"/>
        <w:rPr>
          <w:rFonts w:ascii="Times New Roman" w:hAnsi="Times New Roman" w:cs="Times New Roman"/>
          <w:b/>
          <w:sz w:val="24"/>
          <w:szCs w:val="24"/>
        </w:rPr>
      </w:pPr>
    </w:p>
    <w:p w:rsidR="00E25C72" w:rsidRPr="00E25C72" w:rsidRDefault="00E25C72" w:rsidP="00E25C72">
      <w:pPr>
        <w:jc w:val="both"/>
        <w:rPr>
          <w:rFonts w:ascii="Times New Roman" w:hAnsi="Times New Roman" w:cs="Times New Roman"/>
          <w:b/>
          <w:sz w:val="24"/>
          <w:szCs w:val="24"/>
        </w:rPr>
      </w:pPr>
      <w:r w:rsidRPr="00E25C72">
        <w:rPr>
          <w:rFonts w:ascii="Times New Roman" w:hAnsi="Times New Roman" w:cs="Times New Roman"/>
          <w:b/>
          <w:sz w:val="24"/>
          <w:szCs w:val="24"/>
        </w:rPr>
        <w:t>Abbreviations</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RDF – Recommended Dose of Fertilizer</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N – Nitrogen</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P – Phosphorus</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K – Potassium</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DAS – Days After Sowing</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B:C – Benefit–Cost Ratio</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kg ha⁻¹ – Kilograms per hectare</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 ha⁻¹ – Rupees per hectare</w:t>
      </w:r>
    </w:p>
    <w:p w:rsidR="00E25C72" w:rsidRPr="00E25C72"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cm – Centimeter</w:t>
      </w:r>
    </w:p>
    <w:p w:rsidR="00E25C72" w:rsidRPr="000447E6" w:rsidRDefault="00E25C72" w:rsidP="00E25C72">
      <w:pPr>
        <w:jc w:val="both"/>
        <w:rPr>
          <w:rFonts w:ascii="Times New Roman" w:hAnsi="Times New Roman" w:cs="Times New Roman"/>
          <w:sz w:val="24"/>
          <w:szCs w:val="24"/>
        </w:rPr>
      </w:pPr>
      <w:r w:rsidRPr="00E25C72">
        <w:rPr>
          <w:rFonts w:ascii="Times New Roman" w:hAnsi="Times New Roman" w:cs="Times New Roman"/>
          <w:sz w:val="24"/>
          <w:szCs w:val="24"/>
        </w:rPr>
        <w:t>mm – Millimeter</w:t>
      </w:r>
    </w:p>
    <w:p w:rsidR="000447E6" w:rsidRDefault="000447E6" w:rsidP="005E08BD">
      <w:pPr>
        <w:spacing w:after="200" w:line="276" w:lineRule="auto"/>
        <w:jc w:val="both"/>
        <w:rPr>
          <w:rFonts w:ascii="Times New Roman" w:hAnsi="Times New Roman" w:cs="Times New Roman"/>
          <w:sz w:val="24"/>
          <w:szCs w:val="24"/>
        </w:rPr>
      </w:pPr>
    </w:p>
    <w:p w:rsidR="005E08BD" w:rsidRPr="00C1445A" w:rsidRDefault="00B5127F" w:rsidP="005E08BD">
      <w:pPr>
        <w:spacing w:after="200" w:line="276" w:lineRule="auto"/>
        <w:jc w:val="both"/>
        <w:rPr>
          <w:rFonts w:ascii="Times New Roman" w:eastAsia="Times New Roman" w:hAnsi="Times New Roman" w:cs="Times New Roman"/>
          <w:b/>
          <w:bCs/>
          <w:sz w:val="24"/>
          <w:szCs w:val="24"/>
          <w:lang w:val="pt-BR"/>
        </w:rPr>
      </w:pPr>
      <w:r w:rsidRPr="00C1445A">
        <w:rPr>
          <w:rFonts w:ascii="Times New Roman" w:eastAsia="Times New Roman" w:hAnsi="Times New Roman" w:cs="Times New Roman"/>
          <w:b/>
          <w:bCs/>
          <w:sz w:val="24"/>
          <w:szCs w:val="24"/>
          <w:lang w:val="pt-BR"/>
        </w:rPr>
        <w:t>REFERENCES</w:t>
      </w:r>
    </w:p>
    <w:p w:rsidR="00C62FA7" w:rsidRPr="00C1445A" w:rsidRDefault="00C1445A" w:rsidP="00C62FA7">
      <w:pPr>
        <w:pStyle w:val="NormalWeb"/>
        <w:spacing w:line="480" w:lineRule="auto"/>
        <w:ind w:left="720" w:right="-241" w:hanging="720"/>
        <w:jc w:val="both"/>
        <w:rPr>
          <w:highlight w:val="yellow"/>
        </w:rPr>
      </w:pPr>
      <w:r w:rsidRPr="00C1445A">
        <w:rPr>
          <w:lang w:val="pt-BR"/>
        </w:rPr>
        <w:t xml:space="preserve">Chandrakala, M., Srinivasamurthy, C. A., Kumar, S., &amp; Naveen, D. V. (2017). </w:t>
      </w:r>
      <w:r w:rsidRPr="00C1445A">
        <w:t>Effect of application of graded level of phosphorus to finger millet–maize cropping system in soils of different P fertility. International Journal of Current Microbiology and Applied Sciences, 6(11), 265–280. https://doi.org/10.20546/ijcmas.2017.611.032</w:t>
      </w:r>
    </w:p>
    <w:p w:rsidR="00C62FA7" w:rsidRPr="00C1445A" w:rsidRDefault="00C62FA7" w:rsidP="00C62FA7">
      <w:pPr>
        <w:pStyle w:val="NormalWeb"/>
        <w:spacing w:line="480" w:lineRule="auto"/>
        <w:ind w:left="720" w:right="-241" w:hanging="720"/>
        <w:jc w:val="both"/>
        <w:rPr>
          <w:lang w:val="en-IN"/>
        </w:rPr>
      </w:pPr>
      <w:r w:rsidRPr="00C1445A">
        <w:rPr>
          <w:lang w:val="en-IN"/>
        </w:rPr>
        <w:lastRenderedPageBreak/>
        <w:t>Divyashree, U., Kumar, M. D., &amp; Ganapathi. (2018). Effect of different fertilizer levels on nutrient uptake and yield of little millet (</w:t>
      </w:r>
      <w:r w:rsidRPr="00C1445A">
        <w:rPr>
          <w:i/>
          <w:iCs/>
          <w:lang w:val="en-IN"/>
        </w:rPr>
        <w:t>Panicum sumatrense</w:t>
      </w:r>
      <w:r w:rsidRPr="00C1445A">
        <w:rPr>
          <w:lang w:val="en-IN"/>
        </w:rPr>
        <w:t xml:space="preserve"> Roth ex Roem. &amp; Schult). </w:t>
      </w:r>
      <w:r w:rsidRPr="00C1445A">
        <w:rPr>
          <w:i/>
          <w:iCs/>
          <w:lang w:val="en-IN"/>
        </w:rPr>
        <w:t>International Journal of Science and Nature</w:t>
      </w:r>
      <w:r w:rsidRPr="00C1445A">
        <w:rPr>
          <w:lang w:val="en-IN"/>
        </w:rPr>
        <w:t>, 9(2), 201–205.</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Erenoglu, E. B., Kutman, U. B., Ceylan, Y., Yildiz, B., &amp; Cakmak, I. (2011). Improved nitrogen nutrition enhances root uptake and remobilization of zinc in wheat. New Phytologist, 189(2), 438–448. https://doi.org/10.1111/j.1469-8137.2010.03488.x</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Gomez, K. A., &amp; Gomez, A. A. (1984). Statistical procedures for agricultural research. John Wiley &amp; Sons. https://www.wiley.com/en-us/Statistical+Procedures+for+Agricultural+Research%2C+2nd+Edition-p-9780471879312</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Havlin, J. L., Beaton, J. D., Tisdale, S. L., &amp; Nelson, W. L. (1998). Soil fertility and fertilizers: An introduction to nutrient management (6th ed.). Prentice Hall.</w:t>
      </w:r>
    </w:p>
    <w:p w:rsidR="00C62FA7" w:rsidRPr="00C1445A" w:rsidRDefault="00C62FA7" w:rsidP="00C62FA7">
      <w:pPr>
        <w:pStyle w:val="NormalWeb"/>
        <w:spacing w:line="480" w:lineRule="auto"/>
        <w:ind w:left="720" w:right="-241" w:hanging="720"/>
        <w:jc w:val="both"/>
        <w:rPr>
          <w:lang w:val="en-IN"/>
        </w:rPr>
      </w:pPr>
      <w:r w:rsidRPr="00C1445A">
        <w:rPr>
          <w:lang w:val="en-IN"/>
        </w:rPr>
        <w:t xml:space="preserve">Hemalatha, S., &amp; Chellamuthu, S. (2013). Impacts of long-term fertilization on soil nutritional quality under finger millet–maize cropping sequence. </w:t>
      </w:r>
      <w:r w:rsidRPr="00C1445A">
        <w:rPr>
          <w:i/>
          <w:iCs/>
          <w:lang w:val="en-IN"/>
        </w:rPr>
        <w:t>Journal of Environmental Research and Development</w:t>
      </w:r>
      <w:r w:rsidRPr="00C1445A">
        <w:rPr>
          <w:lang w:val="en-IN"/>
        </w:rPr>
        <w:t>, 7(4A), 1571–1576.</w:t>
      </w:r>
    </w:p>
    <w:p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Jogarao, P., Triveni, U., Patro, T. S. S. K., &amp; Anuradha, N. (2019). </w:t>
      </w:r>
      <w:r w:rsidRPr="00C1445A">
        <w:rPr>
          <w:lang w:val="en-IN"/>
        </w:rPr>
        <w:t>Effect of different levels of fertilizers on growth and yield of finger millet under zero tillage conditions in rice fallows. International Journal of Chemical Studies, 7(5), 146–148. https://www.chemijournal.com/vol7issue5/7-5-1-10.pdf</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lastRenderedPageBreak/>
        <w:t>Kumari, S., &amp; Srivastava, S. (2000). Nutritive value of malted flours of finger millet genotypes and their use in the preparation of burfi. Journal of Food Science and Technology, 37(4), 419–422. http://www.springerlink.com/content/0022-1155/</w:t>
      </w:r>
    </w:p>
    <w:p w:rsidR="00C62FA7" w:rsidRPr="00C1445A" w:rsidRDefault="00C62FA7" w:rsidP="00C62FA7">
      <w:pPr>
        <w:pStyle w:val="NormalWeb"/>
        <w:spacing w:line="480" w:lineRule="auto"/>
        <w:ind w:left="720" w:right="-241" w:hanging="720"/>
        <w:jc w:val="both"/>
        <w:rPr>
          <w:lang w:val="en-IN"/>
        </w:rPr>
      </w:pPr>
      <w:r w:rsidRPr="00C1445A">
        <w:rPr>
          <w:lang w:val="en-IN"/>
        </w:rPr>
        <w:t>Lemessa, A. (2016). Effect of NP fertilizer rates on yield and yield components of finger millet (</w:t>
      </w:r>
      <w:r w:rsidRPr="00C1445A">
        <w:rPr>
          <w:i/>
          <w:iCs/>
          <w:lang w:val="en-IN"/>
        </w:rPr>
        <w:t>Eleusine coracana</w:t>
      </w:r>
      <w:r w:rsidRPr="00C1445A">
        <w:rPr>
          <w:lang w:val="en-IN"/>
        </w:rPr>
        <w:t>) varieties at Gilgel Beles, North West Ethiopia. MSc Thesis, Haramaya University, Haramaya.</w:t>
      </w:r>
    </w:p>
    <w:p w:rsidR="00C62FA7" w:rsidRPr="00C62FA7" w:rsidRDefault="00C1445A" w:rsidP="00C62FA7">
      <w:pPr>
        <w:pStyle w:val="NormalWeb"/>
        <w:spacing w:line="480" w:lineRule="auto"/>
        <w:ind w:left="720" w:right="-241" w:hanging="720"/>
        <w:jc w:val="both"/>
        <w:rPr>
          <w:lang w:val="en-IN"/>
        </w:rPr>
      </w:pPr>
      <w:r w:rsidRPr="00C1445A">
        <w:rPr>
          <w:lang w:val="en-IN"/>
        </w:rPr>
        <w:t>Maitra, S., Ghosh, D. C., Sounda, G., &amp; Jana, P. K. (2001). Performance of intercropping legumes in fingermillet (Eleusine coracana) at varying fertility levels. Indian Journal of Agronomy, 46(1), 38–44. https://doi.org/10.59797/ija.v46i1.3216</w:t>
      </w:r>
    </w:p>
    <w:p w:rsidR="00C62FA7" w:rsidRPr="00C1445A" w:rsidRDefault="00C62FA7" w:rsidP="00C62FA7">
      <w:pPr>
        <w:pStyle w:val="NormalWeb"/>
        <w:spacing w:line="480" w:lineRule="auto"/>
        <w:ind w:left="720" w:right="-241" w:hanging="720"/>
        <w:jc w:val="both"/>
        <w:rPr>
          <w:lang w:val="en-IN"/>
        </w:rPr>
      </w:pPr>
      <w:r w:rsidRPr="00C1445A">
        <w:rPr>
          <w:lang w:val="en-IN"/>
        </w:rPr>
        <w:t xml:space="preserve">Nigade, R. D., &amp; More, S. M. (2013). Performance of finger millet varieties to different levels of fertilizer on yield and soil properties in sub-montane zone of Maharashtra. </w:t>
      </w:r>
      <w:r w:rsidRPr="00C1445A">
        <w:rPr>
          <w:i/>
          <w:iCs/>
          <w:lang w:val="en-IN"/>
        </w:rPr>
        <w:t>Indian Journal of Agricultural Sciences</w:t>
      </w:r>
      <w:r w:rsidRPr="00C1445A">
        <w:rPr>
          <w:lang w:val="en-IN"/>
        </w:rPr>
        <w:t>, 9(1), 256–259.</w:t>
      </w:r>
    </w:p>
    <w:p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Patil, H. E., Patel, B. K., &amp; Pali, V. (2019). </w:t>
      </w:r>
      <w:r w:rsidRPr="00C1445A">
        <w:rPr>
          <w:lang w:val="en-IN"/>
        </w:rPr>
        <w:t>Nutritive evaluation of finger millet [Eleusine coracana (L.) Gaertn.] genotypes for quality improvement. International Journal of Chemical Studies, 7(4), 642–646. https://doi.org/10.22271/chemi.2019.v7.i4a.903</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Prakasha, G., Murthy, K. N. K., Prathima, A. S., &amp; Meti, R. N. (2018). Effect of Spacing and Nutrient Levels on Growth Attributes and Yield of Finger Millet (Eleusine coracana L. Gaertn) Cultivated under Guni Planting Method in Red Sandy Loamy Soil of Karnataka. International Journal of Current Microbiology and Applied Sciences, 7(5), 1337–1343. https://doi.org/10.20546/ijcmas.2018.705.160</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lastRenderedPageBreak/>
        <w:t>Prasad, S. K., Singh, M. K., &amp; Singh, R. (2014). Effect of nitrogen and zinc fertilizer on pearl millet (Pennisetum glaucum) under agri-horti system of eastern Uttar Pradesh. The Bioscan, 9(1), 163–166. https://thebioscan.com/index.php/pub/article/view/665</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Ramachandrappa, B. K., Sathish, A., Dhanapal, G. N., &amp; Babu, P. N. (2014). Nutrient management strategies for enhancing productivity of dryland crops in Alfisols. Indian Journal of Dryland Agricultural Research and Development, 29(2), 49–55. https://doi.org/10.5958/2231-6701.2014.01215.9</w:t>
      </w:r>
    </w:p>
    <w:p w:rsidR="00C62FA7" w:rsidRPr="00C1445A" w:rsidRDefault="00C62FA7" w:rsidP="00C62FA7">
      <w:pPr>
        <w:pStyle w:val="NormalWeb"/>
        <w:spacing w:line="480" w:lineRule="auto"/>
        <w:ind w:left="720" w:right="-241" w:hanging="720"/>
        <w:jc w:val="both"/>
        <w:rPr>
          <w:highlight w:val="yellow"/>
          <w:lang w:val="en-IN"/>
        </w:rPr>
      </w:pPr>
      <w:r w:rsidRPr="00C1445A">
        <w:rPr>
          <w:lang w:val="en-IN"/>
        </w:rPr>
        <w:t>Rashid, A., &amp; Khan, R. U. (2008). Comparative effect of varieties and fertilizer levels on barley (</w:t>
      </w:r>
      <w:r w:rsidRPr="00C1445A">
        <w:rPr>
          <w:i/>
          <w:iCs/>
          <w:lang w:val="en-IN"/>
        </w:rPr>
        <w:t>Hordeum vulgare</w:t>
      </w:r>
      <w:r w:rsidRPr="00C1445A">
        <w:rPr>
          <w:lang w:val="en-IN"/>
        </w:rPr>
        <w:t xml:space="preserve"> L.). </w:t>
      </w:r>
      <w:r w:rsidRPr="00C1445A">
        <w:rPr>
          <w:i/>
          <w:iCs/>
          <w:lang w:val="en-IN"/>
        </w:rPr>
        <w:t>International Journal of Agriculture and Biology</w:t>
      </w:r>
      <w:r w:rsidRPr="00C1445A">
        <w:rPr>
          <w:lang w:val="en-IN"/>
        </w:rPr>
        <w:t>, 10, 124–126.</w:t>
      </w:r>
    </w:p>
    <w:p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Sandhya Rani, Y., Jamuna, P., Triveni, U., &amp; Patro, T. S. S. K. (2022). </w:t>
      </w:r>
      <w:r w:rsidRPr="00C1445A">
        <w:rPr>
          <w:lang w:val="en-IN"/>
        </w:rPr>
        <w:t>Agronomic fortification in finger millet (Eleusine coracana) for yield and quality improvement in red sandy loam soils. Indian Journal of Agricultural Sciences, 92(2), 217–221. https://doi.org/10.56093/ijas.v92i2.122224</w:t>
      </w:r>
    </w:p>
    <w:p w:rsidR="00C62FA7" w:rsidRPr="00C1445A" w:rsidRDefault="00C1445A" w:rsidP="00C62FA7">
      <w:pPr>
        <w:pStyle w:val="NormalWeb"/>
        <w:spacing w:line="480" w:lineRule="auto"/>
        <w:ind w:left="720" w:right="-241" w:hanging="720"/>
        <w:jc w:val="both"/>
        <w:rPr>
          <w:highlight w:val="yellow"/>
          <w:lang w:val="en-IN"/>
        </w:rPr>
      </w:pPr>
      <w:r w:rsidRPr="00C1445A">
        <w:rPr>
          <w:lang w:val="en-IN"/>
        </w:rPr>
        <w:t>Sankar, G. R. M., Sharma, K. L., Dhanapal, G. N., Shankar, M. A., Mishra, P. K., Venkateswarlu, B., &amp; Grace, J. K. (2011). Influence of soil and fertilizer nutrients on sustainability of rainfed finger millet yield and soil fertility in semi-arid Alfisols. Communications in Soil Science and Plant Analysis, 42(12), 1462–1483. https://doi.org/10.1080/00103624.2011.577863</w:t>
      </w:r>
    </w:p>
    <w:p w:rsidR="00C62FA7" w:rsidRPr="00C1445A" w:rsidRDefault="00C1445A" w:rsidP="00C62FA7">
      <w:pPr>
        <w:pStyle w:val="NormalWeb"/>
        <w:spacing w:line="480" w:lineRule="auto"/>
        <w:ind w:left="720" w:right="-241" w:hanging="720"/>
        <w:jc w:val="both"/>
        <w:rPr>
          <w:highlight w:val="yellow"/>
        </w:rPr>
      </w:pPr>
      <w:r w:rsidRPr="00C1445A">
        <w:rPr>
          <w:lang w:val="nb-NO"/>
        </w:rPr>
        <w:t xml:space="preserve">Sarawale, P. P., Rajemahadik, V. A., Shendage, G. B., &amp; Mane, S. V. (2016). </w:t>
      </w:r>
      <w:r w:rsidRPr="00C1445A">
        <w:t xml:space="preserve">Effect of different varieties and establishment methods on growth and yield of finger millet [Eleusine coracana (L.) Gaertn.] under Konkan Condition. Journal of the Indian Society of Coastal Agricultural </w:t>
      </w:r>
      <w:r w:rsidRPr="00C1445A">
        <w:lastRenderedPageBreak/>
        <w:t>Research, 34(2), 22–26. https://epubs.icar.org.in/ejournal/index.php/JISCAR/article/view/64070</w:t>
      </w:r>
    </w:p>
    <w:p w:rsidR="00C62FA7" w:rsidRPr="00C62FA7" w:rsidRDefault="00C1445A" w:rsidP="00C62FA7">
      <w:pPr>
        <w:pStyle w:val="NormalWeb"/>
        <w:spacing w:line="480" w:lineRule="auto"/>
        <w:ind w:left="720" w:right="-241" w:hanging="720"/>
        <w:jc w:val="both"/>
        <w:rPr>
          <w:lang w:val="en-IN"/>
        </w:rPr>
      </w:pPr>
      <w:r w:rsidRPr="00C1445A">
        <w:rPr>
          <w:lang w:val="en-IN"/>
        </w:rPr>
        <w:t>Singh, M. K., Kumar, V., &amp; Prasad, S. (2017). Evaluation of finger millet varieties under rainfed condition of Eastern India. Journal of AgriSearch, 4(3), 179–183. https://doi.org/10.21921/jas.v4i03.9018</w:t>
      </w:r>
    </w:p>
    <w:p w:rsidR="00C62FA7" w:rsidRPr="00C1445A" w:rsidRDefault="004258AE" w:rsidP="00C62FA7">
      <w:pPr>
        <w:pStyle w:val="NormalWeb"/>
        <w:spacing w:line="480" w:lineRule="auto"/>
        <w:ind w:left="720" w:right="-241" w:hanging="720"/>
        <w:jc w:val="both"/>
        <w:rPr>
          <w:highlight w:val="yellow"/>
          <w:lang w:val="en-IN"/>
        </w:rPr>
      </w:pPr>
      <w:r w:rsidRPr="004258AE">
        <w:rPr>
          <w:lang w:val="en-IN"/>
        </w:rPr>
        <w:t>Sundaresh, R., &amp;Basavaraja, P. K. (2017). Influence of different levels of phosphorus and potassium on growth, yield attributes and economics of finger millet in low phosphorus and potassium soils of eastern dry zone of Karnataka, India. International Journal of Current Microbiology and Applied Sciences, 6(11), 3559–3566. https://doi.org/10.20546/ijcmas.2017.611.417</w:t>
      </w:r>
    </w:p>
    <w:p w:rsidR="00206EB5" w:rsidRDefault="00C62FA7" w:rsidP="00206EB5">
      <w:pPr>
        <w:pStyle w:val="NormalWeb"/>
        <w:spacing w:line="480" w:lineRule="auto"/>
        <w:ind w:left="720" w:right="-241" w:hanging="720"/>
        <w:jc w:val="both"/>
        <w:rPr>
          <w:lang w:val="en-IN"/>
        </w:rPr>
      </w:pPr>
      <w:r w:rsidRPr="004258AE">
        <w:rPr>
          <w:lang w:val="en-IN"/>
        </w:rPr>
        <w:t xml:space="preserve">Sunitha, N., Ravi, V., &amp;Reddappa Reddy. (2006). Nitrogen economy in finger millet through conjunctive use of organic manures and bio-fertilizers. </w:t>
      </w:r>
      <w:r w:rsidRPr="004258AE">
        <w:rPr>
          <w:i/>
          <w:iCs/>
          <w:lang w:val="en-IN"/>
        </w:rPr>
        <w:t>Indian Journal of Agronomy</w:t>
      </w:r>
      <w:r w:rsidRPr="004258AE">
        <w:rPr>
          <w:lang w:val="en-IN"/>
        </w:rPr>
        <w:t>, 21(2), 96–98.</w:t>
      </w:r>
    </w:p>
    <w:p w:rsidR="00206EB5" w:rsidRPr="00206EB5" w:rsidRDefault="00206EB5" w:rsidP="00206EB5">
      <w:pPr>
        <w:pStyle w:val="NormalWeb"/>
        <w:spacing w:line="480" w:lineRule="auto"/>
        <w:ind w:left="720" w:right="-241" w:hanging="720"/>
        <w:jc w:val="both"/>
        <w:rPr>
          <w:lang w:val="en-IN"/>
        </w:rPr>
      </w:pPr>
      <w:r w:rsidRPr="00206EB5">
        <w:t>Sonawane,A.P.,Shinde,R.H.,&amp;Gajbhiye,P.N.(2024).Effectofnutrientsourcesandorganicamendments</w:t>
      </w:r>
      <w:r w:rsidRPr="00206EB5">
        <w:rPr>
          <w:spacing w:val="-5"/>
        </w:rPr>
        <w:t xml:space="preserve"> on</w:t>
      </w:r>
      <w:r w:rsidRPr="00206EB5">
        <w:t xml:space="preserve"> yieldandnutrientuptakebyfingermillet(</w:t>
      </w:r>
      <w:r w:rsidRPr="00206EB5">
        <w:rPr>
          <w:i/>
        </w:rPr>
        <w:t>Eleusinecoracana</w:t>
      </w:r>
      <w:r w:rsidRPr="00206EB5">
        <w:t xml:space="preserve">L.).InternationalJournalofResearchinAgronomy 2024; 7(2): 90-92. </w:t>
      </w:r>
      <w:hyperlink r:id="rId7">
        <w:r w:rsidRPr="00206EB5">
          <w:rPr>
            <w:color w:val="0000FF"/>
            <w:u w:val="single" w:color="0000FF"/>
          </w:rPr>
          <w:t>https://doi.org/10.33545/2618060X.2024.v7.i2b.290</w:t>
        </w:r>
      </w:hyperlink>
    </w:p>
    <w:p w:rsidR="00206EB5" w:rsidRPr="00206EB5" w:rsidRDefault="00206EB5" w:rsidP="00C62FA7">
      <w:pPr>
        <w:pStyle w:val="NormalWeb"/>
        <w:spacing w:line="480" w:lineRule="auto"/>
        <w:ind w:left="720" w:right="-241" w:hanging="720"/>
        <w:jc w:val="both"/>
        <w:rPr>
          <w:lang w:val="en-IN"/>
        </w:rPr>
      </w:pPr>
    </w:p>
    <w:p w:rsidR="0067300E" w:rsidRPr="00043A08" w:rsidRDefault="0067300E" w:rsidP="0067300E">
      <w:pPr>
        <w:rPr>
          <w:rFonts w:ascii="Times New Roman" w:hAnsi="Times New Roman" w:cs="Times New Roman"/>
          <w:sz w:val="24"/>
          <w:szCs w:val="24"/>
        </w:rPr>
      </w:pPr>
      <w:r w:rsidRPr="00043A08">
        <w:rPr>
          <w:rFonts w:ascii="Times New Roman" w:hAnsi="Times New Roman" w:cs="Times New Roman"/>
          <w:noProof/>
          <w:lang w:eastAsia="en-US"/>
        </w:rPr>
        <w:lastRenderedPageBreak/>
        <w:drawing>
          <wp:inline distT="0" distB="0" distL="0" distR="0">
            <wp:extent cx="6111240" cy="3253740"/>
            <wp:effectExtent l="0" t="0" r="3810" b="3810"/>
            <wp:docPr id="116863120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181415E-0A83-2E8A-380B-05ACF7709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300E" w:rsidRPr="0067300E" w:rsidRDefault="0067300E" w:rsidP="0067300E">
      <w:pPr>
        <w:spacing w:line="480" w:lineRule="auto"/>
        <w:jc w:val="center"/>
        <w:rPr>
          <w:rFonts w:ascii="Times New Roman" w:hAnsi="Times New Roman" w:cs="Times New Roman"/>
          <w:b/>
          <w:bCs/>
          <w:sz w:val="24"/>
          <w:szCs w:val="24"/>
        </w:rPr>
      </w:pPr>
      <w:r w:rsidRPr="0067300E">
        <w:rPr>
          <w:rFonts w:ascii="Times New Roman" w:hAnsi="Times New Roman" w:cs="Times New Roman"/>
          <w:b/>
          <w:bCs/>
          <w:sz w:val="24"/>
          <w:szCs w:val="24"/>
        </w:rPr>
        <w:t>Fig 1. Finger millet  yield as affected by fertility  levelsdurimg</w:t>
      </w:r>
      <w:r w:rsidRPr="0067300E">
        <w:rPr>
          <w:rFonts w:ascii="Times New Roman" w:hAnsi="Times New Roman" w:cs="Times New Roman"/>
          <w:b/>
          <w:bCs/>
          <w:i/>
          <w:iCs/>
          <w:sz w:val="24"/>
          <w:szCs w:val="24"/>
        </w:rPr>
        <w:t>Kharif</w:t>
      </w:r>
      <w:r w:rsidRPr="0067300E">
        <w:rPr>
          <w:rFonts w:ascii="Times New Roman" w:hAnsi="Times New Roman" w:cs="Times New Roman"/>
          <w:b/>
          <w:bCs/>
          <w:sz w:val="24"/>
          <w:szCs w:val="24"/>
        </w:rPr>
        <w:t>, 2018</w:t>
      </w:r>
    </w:p>
    <w:p w:rsidR="00811178" w:rsidRDefault="00811178" w:rsidP="0067300E">
      <w:pPr>
        <w:contextualSpacing/>
        <w:rPr>
          <w:rFonts w:ascii="Times New Roman" w:hAnsi="Times New Roman" w:cs="Times New Roman"/>
          <w:b/>
          <w:bCs/>
          <w:sz w:val="24"/>
          <w:szCs w:val="24"/>
        </w:rPr>
      </w:pPr>
    </w:p>
    <w:p w:rsidR="0067300E" w:rsidRDefault="0067300E" w:rsidP="0067300E">
      <w:pPr>
        <w:contextualSpacing/>
        <w:rPr>
          <w:rFonts w:ascii="Times New Roman" w:hAnsi="Times New Roman" w:cs="Times New Roman"/>
          <w:iCs/>
          <w:sz w:val="24"/>
          <w:szCs w:val="24"/>
        </w:rPr>
      </w:pPr>
      <w:r w:rsidRPr="00043A08">
        <w:rPr>
          <w:rFonts w:ascii="Times New Roman" w:hAnsi="Times New Roman" w:cs="Times New Roman"/>
          <w:b/>
          <w:bCs/>
          <w:sz w:val="24"/>
          <w:szCs w:val="24"/>
        </w:rPr>
        <w:t>TABLE 2</w:t>
      </w:r>
      <w:r w:rsidRPr="00043A08">
        <w:rPr>
          <w:rFonts w:ascii="Times New Roman" w:hAnsi="Times New Roman" w:cs="Times New Roman"/>
          <w:b/>
          <w:bCs/>
          <w:i/>
          <w:sz w:val="24"/>
          <w:szCs w:val="24"/>
        </w:rPr>
        <w:t xml:space="preserve">: </w:t>
      </w:r>
      <w:r w:rsidRPr="00043A08">
        <w:rPr>
          <w:rFonts w:ascii="Times New Roman" w:hAnsi="Times New Roman" w:cs="Times New Roman"/>
          <w:bCs/>
          <w:iCs/>
          <w:sz w:val="24"/>
          <w:szCs w:val="24"/>
        </w:rPr>
        <w:t xml:space="preserve">Growth and yield of  finger millet  genotypes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rsidR="0067300E" w:rsidRPr="00043A08" w:rsidRDefault="0067300E" w:rsidP="0067300E">
      <w:pPr>
        <w:rPr>
          <w:rFonts w:ascii="Times New Roman" w:hAnsi="Times New Roman" w:cs="Times New Roman"/>
          <w:b/>
          <w:u w:val="single"/>
        </w:rPr>
      </w:pPr>
    </w:p>
    <w:tbl>
      <w:tblPr>
        <w:tblW w:w="9180" w:type="dxa"/>
        <w:tblLayout w:type="fixed"/>
        <w:tblCellMar>
          <w:left w:w="0" w:type="dxa"/>
          <w:right w:w="0" w:type="dxa"/>
        </w:tblCellMar>
        <w:tblLook w:val="04A0"/>
      </w:tblPr>
      <w:tblGrid>
        <w:gridCol w:w="1951"/>
        <w:gridCol w:w="1418"/>
        <w:gridCol w:w="1559"/>
        <w:gridCol w:w="1417"/>
        <w:gridCol w:w="1276"/>
        <w:gridCol w:w="1559"/>
      </w:tblGrid>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Treatments  </w:t>
            </w:r>
          </w:p>
        </w:tc>
        <w:tc>
          <w:tcPr>
            <w:tcW w:w="141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height (cm)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Productive </w:t>
            </w:r>
          </w:p>
          <w:p w:rsidR="0067300E" w:rsidRPr="00043A08" w:rsidRDefault="0067300E" w:rsidP="00CB562D">
            <w:pPr>
              <w:rPr>
                <w:rFonts w:ascii="Times New Roman" w:hAnsi="Times New Roman" w:cs="Times New Roman"/>
              </w:rPr>
            </w:pPr>
            <w:r w:rsidRPr="00043A08">
              <w:rPr>
                <w:rFonts w:ascii="Times New Roman" w:hAnsi="Times New Roman" w:cs="Times New Roman"/>
                <w:bCs/>
              </w:rPr>
              <w:t>tillers/</w:t>
            </w:r>
          </w:p>
          <w:p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1000 seed weight (g)</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Days to maturity</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Grain yield (Kg/ha)</w:t>
            </w:r>
          </w:p>
        </w:tc>
      </w:tr>
      <w:tr w:rsidR="0067300E" w:rsidRPr="00043A08"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b/>
                <w:bCs/>
              </w:rPr>
              <w:t xml:space="preserve">Main plots :Fertilizer levels (F) </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1</w:t>
            </w:r>
            <w:r w:rsidRPr="00043A08">
              <w:rPr>
                <w:rFonts w:ascii="Times New Roman" w:hAnsi="Times New Roman" w:cs="Times New Roman"/>
              </w:rPr>
              <w:t>: 75 % RDF</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98.4</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3.3</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3.13</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126</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2774.3</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2</w:t>
            </w:r>
            <w:r w:rsidRPr="00043A08">
              <w:rPr>
                <w:rFonts w:ascii="Times New Roman" w:hAnsi="Times New Roman" w:cs="Times New Roman"/>
              </w:rPr>
              <w:t>: 100%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127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2985.4</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3</w:t>
            </w:r>
            <w:r w:rsidRPr="00043A08">
              <w:rPr>
                <w:rFonts w:ascii="Times New Roman" w:hAnsi="Times New Roman" w:cs="Times New Roman"/>
              </w:rPr>
              <w:t>: 125%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104.0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128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3198.6</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67300E">
            <w:pPr>
              <w:jc w:val="right"/>
              <w:rPr>
                <w:rFonts w:ascii="Times New Roman" w:hAnsi="Times New Roman" w:cs="Times New Roman"/>
              </w:rPr>
            </w:pPr>
            <w:r w:rsidRPr="00043A08">
              <w:rPr>
                <w:rFonts w:ascii="Times New Roman" w:hAnsi="Times New Roman" w:cs="Times New Roman"/>
              </w:rPr>
              <w:t>SEm</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1.24</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0.04</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47.1</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0.18</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0.12</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185.1</w:t>
            </w:r>
          </w:p>
        </w:tc>
      </w:tr>
      <w:tr w:rsidR="0067300E" w:rsidRPr="00043A08"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hideMark/>
          </w:tcPr>
          <w:p w:rsidR="0067300E" w:rsidRPr="00043A08" w:rsidRDefault="0067300E" w:rsidP="00CB562D">
            <w:pPr>
              <w:rPr>
                <w:rFonts w:ascii="Times New Roman" w:hAnsi="Times New Roman" w:cs="Times New Roman"/>
              </w:rPr>
            </w:pPr>
            <w:r w:rsidRPr="00043A08">
              <w:rPr>
                <w:rFonts w:ascii="Times New Roman" w:hAnsi="Times New Roman" w:cs="Times New Roman"/>
                <w:b/>
                <w:bCs/>
              </w:rPr>
              <w:t>Subplots: Pre release varieties (V)</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1</w:t>
            </w:r>
            <w:r w:rsidRPr="00043A08">
              <w:rPr>
                <w:rFonts w:ascii="Times New Roman" w:hAnsi="Times New Roman" w:cs="Times New Roman"/>
              </w:rPr>
              <w:t xml:space="preserve"> – PR-10-</w:t>
            </w:r>
            <w:r w:rsidR="000413E6">
              <w:rPr>
                <w:rFonts w:ascii="Times New Roman" w:hAnsi="Times New Roman" w:cs="Times New Roman"/>
              </w:rPr>
              <w:t>3</w:t>
            </w:r>
            <w:r w:rsidRPr="00043A08">
              <w:rPr>
                <w:rFonts w:ascii="Times New Roman" w:hAnsi="Times New Roman" w:cs="Times New Roman"/>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100.4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3.41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123.0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3260.5</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2</w:t>
            </w:r>
            <w:r w:rsidRPr="00043A08">
              <w:rPr>
                <w:rFonts w:ascii="Times New Roman" w:hAnsi="Times New Roman" w:cs="Times New Roman"/>
              </w:rPr>
              <w:t xml:space="preserve"> – KOPN-942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109.1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135.0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2781.3</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3</w:t>
            </w:r>
            <w:r w:rsidRPr="00043A08">
              <w:rPr>
                <w:rFonts w:ascii="Times New Roman" w:hAnsi="Times New Roman" w:cs="Times New Roman"/>
              </w:rPr>
              <w:t xml:space="preserve"> – GPU 45*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2.9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121.0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2643.6</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 xml:space="preserve">4 </w:t>
            </w:r>
            <w:r w:rsidRPr="00043A08">
              <w:rPr>
                <w:rFonts w:ascii="Times New Roman" w:hAnsi="Times New Roman" w:cs="Times New Roman"/>
              </w:rPr>
              <w:t>- GPU 67*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94.3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130.0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3058.7</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lastRenderedPageBreak/>
              <w:t>V</w:t>
            </w:r>
            <w:r w:rsidRPr="00043A08">
              <w:rPr>
                <w:rFonts w:ascii="Times New Roman" w:hAnsi="Times New Roman" w:cs="Times New Roman"/>
                <w:vertAlign w:val="subscript"/>
              </w:rPr>
              <w:t>5</w:t>
            </w:r>
            <w:r w:rsidRPr="00043A08">
              <w:rPr>
                <w:rFonts w:ascii="Times New Roman" w:hAnsi="Times New Roman" w:cs="Times New Roman"/>
              </w:rPr>
              <w:t xml:space="preserve"> – PR 202*</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3.7</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3.37</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125.0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rsidR="0067300E" w:rsidRPr="00043A08" w:rsidRDefault="0067300E" w:rsidP="00CB562D">
            <w:pPr>
              <w:rPr>
                <w:rFonts w:ascii="Times New Roman" w:hAnsi="Times New Roman" w:cs="Times New Roman"/>
                <w:bCs/>
              </w:rPr>
            </w:pPr>
            <w:r w:rsidRPr="00043A08">
              <w:rPr>
                <w:rFonts w:ascii="Times New Roman" w:hAnsi="Times New Roman" w:cs="Times New Roman"/>
                <w:bCs/>
              </w:rPr>
              <w:t>3186.4</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67300E">
            <w:pPr>
              <w:jc w:val="right"/>
              <w:rPr>
                <w:rFonts w:ascii="Times New Roman" w:hAnsi="Times New Roman" w:cs="Times New Roman"/>
              </w:rPr>
            </w:pPr>
            <w:r w:rsidRPr="00043A08">
              <w:rPr>
                <w:rFonts w:ascii="Times New Roman" w:hAnsi="Times New Roman" w:cs="Times New Roman"/>
              </w:rPr>
              <w:t>SEm</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1.58</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0.09</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67.6</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4.6</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0.26</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0.11</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197.4</w:t>
            </w:r>
          </w:p>
        </w:tc>
      </w:tr>
      <w:tr w:rsidR="0067300E" w:rsidRPr="00043A08"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Interaction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 xml:space="preserve">NS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r>
    </w:tbl>
    <w:p w:rsidR="0067300E" w:rsidRPr="00043A08" w:rsidRDefault="0067300E" w:rsidP="0067300E">
      <w:pPr>
        <w:rPr>
          <w:rFonts w:ascii="Times New Roman" w:hAnsi="Times New Roman" w:cs="Times New Roman"/>
        </w:rPr>
      </w:pPr>
    </w:p>
    <w:p w:rsidR="0067300E" w:rsidRPr="00043A08" w:rsidRDefault="0067300E" w:rsidP="0067300E">
      <w:pPr>
        <w:rPr>
          <w:rFonts w:ascii="Times New Roman" w:hAnsi="Times New Roman" w:cs="Times New Roman"/>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465A69" w:rsidRDefault="00465A69" w:rsidP="0067300E">
      <w:pPr>
        <w:contextualSpacing/>
        <w:rPr>
          <w:rFonts w:ascii="Times New Roman" w:hAnsi="Times New Roman" w:cs="Times New Roman"/>
          <w:b/>
          <w:bCs/>
          <w:sz w:val="24"/>
          <w:szCs w:val="24"/>
        </w:rPr>
      </w:pPr>
    </w:p>
    <w:p w:rsidR="0067300E" w:rsidRPr="00043A08" w:rsidRDefault="0067300E" w:rsidP="0067300E">
      <w:pPr>
        <w:contextualSpacing/>
        <w:rPr>
          <w:rFonts w:ascii="Times New Roman" w:hAnsi="Times New Roman" w:cs="Times New Roman"/>
          <w:i/>
          <w:sz w:val="24"/>
          <w:szCs w:val="24"/>
        </w:rPr>
      </w:pPr>
      <w:r w:rsidRPr="00043A0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43A08">
        <w:rPr>
          <w:rFonts w:ascii="Times New Roman" w:hAnsi="Times New Roman" w:cs="Times New Roman"/>
          <w:b/>
          <w:bCs/>
          <w:i/>
          <w:sz w:val="24"/>
          <w:szCs w:val="24"/>
        </w:rPr>
        <w:t xml:space="preserve">: </w:t>
      </w:r>
      <w:r w:rsidRPr="00043A08">
        <w:rPr>
          <w:rFonts w:ascii="Times New Roman" w:hAnsi="Times New Roman" w:cs="Times New Roman"/>
          <w:bCs/>
          <w:iCs/>
          <w:sz w:val="24"/>
          <w:szCs w:val="24"/>
        </w:rPr>
        <w:t xml:space="preserve">Economics  of  finger millet genotypes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rsidR="0067300E" w:rsidRPr="00043A08" w:rsidRDefault="0067300E" w:rsidP="0067300E">
      <w:pPr>
        <w:rPr>
          <w:rFonts w:ascii="Times New Roman" w:hAnsi="Times New Roman" w:cs="Times New Roman"/>
        </w:rPr>
      </w:pPr>
    </w:p>
    <w:tbl>
      <w:tblPr>
        <w:tblStyle w:val="TableGrid"/>
        <w:tblW w:w="0" w:type="auto"/>
        <w:tblLook w:val="04A0"/>
      </w:tblPr>
      <w:tblGrid>
        <w:gridCol w:w="1915"/>
        <w:gridCol w:w="1915"/>
        <w:gridCol w:w="1915"/>
        <w:gridCol w:w="1915"/>
        <w:gridCol w:w="1916"/>
      </w:tblGrid>
      <w:tr w:rsidR="0067300E" w:rsidRPr="00043A08" w:rsidTr="0067300E">
        <w:trPr>
          <w:trHeight w:val="528"/>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00E" w:rsidRPr="00043A08" w:rsidRDefault="0067300E" w:rsidP="00CB562D">
            <w:pPr>
              <w:spacing w:after="160" w:line="259" w:lineRule="auto"/>
              <w:rPr>
                <w:rFonts w:ascii="Times New Roman" w:hAnsi="Times New Roman" w:cs="Times New Roman"/>
                <w:b/>
              </w:rPr>
            </w:pPr>
            <w:r w:rsidRPr="00043A08">
              <w:rPr>
                <w:rFonts w:ascii="Times New Roman" w:hAnsi="Times New Roman" w:cs="Times New Roman"/>
                <w:b/>
              </w:rPr>
              <w:t xml:space="preserve">Treatments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Gross returns</w:t>
            </w:r>
          </w:p>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Rs./ha)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Net Returns</w:t>
            </w:r>
          </w:p>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Rs./ha)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Cost of cultivation          (Rs./ha)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B:C</w:t>
            </w:r>
          </w:p>
          <w:p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xml:space="preserve"> ratio</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66882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41777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2.66</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56637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31532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2.26</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53313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28208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2.12</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62443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37338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2.49</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65894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40789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71724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46067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2.80</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61162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35505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2.38</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58150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32493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2.27</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67258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41601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70099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44442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2.73</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76586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50378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2.92</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65765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39557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63017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36809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2.40</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lastRenderedPageBreak/>
              <w:t>F3V4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72171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45963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2.75</w:t>
            </w:r>
          </w:p>
        </w:tc>
      </w:tr>
      <w:tr w:rsidR="0067300E" w:rsidRPr="00043A08"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74307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48099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2.84</w:t>
            </w:r>
          </w:p>
        </w:tc>
      </w:tr>
    </w:tbl>
    <w:p w:rsidR="0067300E" w:rsidRPr="00043A08" w:rsidRDefault="0067300E" w:rsidP="0067300E">
      <w:pPr>
        <w:rPr>
          <w:rFonts w:ascii="Times New Roman" w:hAnsi="Times New Roman" w:cs="Times New Roman"/>
        </w:rPr>
      </w:pPr>
    </w:p>
    <w:p w:rsidR="0067300E" w:rsidRPr="00043A08" w:rsidRDefault="0067300E" w:rsidP="0067300E">
      <w:pPr>
        <w:rPr>
          <w:rFonts w:ascii="Times New Roman" w:hAnsi="Times New Roman" w:cs="Times New Roman"/>
        </w:rPr>
      </w:pPr>
    </w:p>
    <w:p w:rsidR="0067300E" w:rsidRPr="00043A08" w:rsidRDefault="0067300E" w:rsidP="0067300E">
      <w:pPr>
        <w:rPr>
          <w:rFonts w:ascii="Times New Roman" w:hAnsi="Times New Roman" w:cs="Times New Roman"/>
        </w:rPr>
      </w:pPr>
    </w:p>
    <w:p w:rsidR="0067300E" w:rsidRPr="00043A08" w:rsidRDefault="0067300E" w:rsidP="0067300E">
      <w:pPr>
        <w:rPr>
          <w:rFonts w:ascii="Times New Roman" w:hAnsi="Times New Roman" w:cs="Times New Roman"/>
        </w:rPr>
      </w:pPr>
    </w:p>
    <w:p w:rsidR="0067300E" w:rsidRPr="00043A08" w:rsidRDefault="0067300E" w:rsidP="0067300E">
      <w:pPr>
        <w:rPr>
          <w:rFonts w:ascii="Times New Roman" w:hAnsi="Times New Roman" w:cs="Times New Roman"/>
          <w:sz w:val="24"/>
          <w:szCs w:val="24"/>
        </w:rPr>
      </w:pPr>
    </w:p>
    <w:p w:rsidR="00872189" w:rsidRDefault="00872189">
      <w:pPr>
        <w:autoSpaceDE w:val="0"/>
        <w:autoSpaceDN w:val="0"/>
        <w:adjustRightInd w:val="0"/>
        <w:jc w:val="both"/>
        <w:rPr>
          <w:rFonts w:ascii="Times New Roman" w:eastAsia="Times New Roman" w:hAnsi="Times New Roman" w:cs="Times New Roman"/>
          <w:sz w:val="22"/>
          <w:szCs w:val="22"/>
          <w:lang w:val="en-IN"/>
        </w:rPr>
      </w:pPr>
    </w:p>
    <w:sectPr w:rsidR="00872189" w:rsidSect="00506D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D8C" w:rsidRDefault="009E3D8C" w:rsidP="0091124E">
      <w:r>
        <w:separator/>
      </w:r>
    </w:p>
  </w:endnote>
  <w:endnote w:type="continuationSeparator" w:id="1">
    <w:p w:rsidR="009E3D8C" w:rsidRDefault="009E3D8C" w:rsidP="009112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9112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9112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911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D8C" w:rsidRDefault="009E3D8C" w:rsidP="0091124E">
      <w:r>
        <w:separator/>
      </w:r>
    </w:p>
  </w:footnote>
  <w:footnote w:type="continuationSeparator" w:id="1">
    <w:p w:rsidR="009E3D8C" w:rsidRDefault="009E3D8C" w:rsidP="00911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506D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506D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4E" w:rsidRDefault="00506D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C7872"/>
    <w:multiLevelType w:val="multilevel"/>
    <w:tmpl w:val="DB32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rawingGridVerticalSpacing w:val="156"/>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spaceForUL/>
    <w:doNotLeaveBackslashAlone/>
    <w:ulTrailSpace/>
    <w:doNotExpandShiftReturn/>
    <w:adjustLineHeightInTable/>
  </w:compat>
  <w:docVars>
    <w:docVar w:name="__Grammarly_42____i" w:val="H4sIAAAAAAAEAKtWckksSQxILCpxzi/NK1GyMqwFAAEhoTITAAAA"/>
    <w:docVar w:name="__Grammarly_42___1" w:val="H4sIAAAAAAAEAKtWcslP9kxRslIyNDYxMDQ3NzczNDExtzAxNDVS0lEKTi0uzszPAykwrAUARa47gCwAAAA="/>
  </w:docVars>
  <w:rsids>
    <w:rsidRoot w:val="00B50D1E"/>
    <w:rsid w:val="00002BE9"/>
    <w:rsid w:val="00005E93"/>
    <w:rsid w:val="000161C4"/>
    <w:rsid w:val="0001781A"/>
    <w:rsid w:val="00031320"/>
    <w:rsid w:val="0003291F"/>
    <w:rsid w:val="00033854"/>
    <w:rsid w:val="000413E6"/>
    <w:rsid w:val="000447E6"/>
    <w:rsid w:val="00044B47"/>
    <w:rsid w:val="000460E8"/>
    <w:rsid w:val="00052392"/>
    <w:rsid w:val="000537A7"/>
    <w:rsid w:val="00056B0A"/>
    <w:rsid w:val="00070F6E"/>
    <w:rsid w:val="00071684"/>
    <w:rsid w:val="000727FF"/>
    <w:rsid w:val="000752EA"/>
    <w:rsid w:val="00075D07"/>
    <w:rsid w:val="000916F7"/>
    <w:rsid w:val="00092E5A"/>
    <w:rsid w:val="000B231F"/>
    <w:rsid w:val="000C2623"/>
    <w:rsid w:val="000C2D5F"/>
    <w:rsid w:val="00107193"/>
    <w:rsid w:val="00113F3E"/>
    <w:rsid w:val="0013079F"/>
    <w:rsid w:val="0014225D"/>
    <w:rsid w:val="00146CF3"/>
    <w:rsid w:val="00147F3B"/>
    <w:rsid w:val="00151015"/>
    <w:rsid w:val="00152E76"/>
    <w:rsid w:val="00165E14"/>
    <w:rsid w:val="001669B3"/>
    <w:rsid w:val="001726B5"/>
    <w:rsid w:val="0017405A"/>
    <w:rsid w:val="001749F7"/>
    <w:rsid w:val="00196DDB"/>
    <w:rsid w:val="001A24A5"/>
    <w:rsid w:val="001A72B0"/>
    <w:rsid w:val="001B2CA7"/>
    <w:rsid w:val="001C0CCC"/>
    <w:rsid w:val="001D55B5"/>
    <w:rsid w:val="002036DB"/>
    <w:rsid w:val="00206EB5"/>
    <w:rsid w:val="00214DEA"/>
    <w:rsid w:val="00231299"/>
    <w:rsid w:val="00266ABF"/>
    <w:rsid w:val="00266F66"/>
    <w:rsid w:val="00277953"/>
    <w:rsid w:val="00283E73"/>
    <w:rsid w:val="0028548B"/>
    <w:rsid w:val="002927BD"/>
    <w:rsid w:val="002961C3"/>
    <w:rsid w:val="002C2238"/>
    <w:rsid w:val="002D0B29"/>
    <w:rsid w:val="002D1F3D"/>
    <w:rsid w:val="002E0A85"/>
    <w:rsid w:val="002E1A11"/>
    <w:rsid w:val="002F24E2"/>
    <w:rsid w:val="002F48FF"/>
    <w:rsid w:val="003078B6"/>
    <w:rsid w:val="00312410"/>
    <w:rsid w:val="0033038C"/>
    <w:rsid w:val="00337634"/>
    <w:rsid w:val="00346DE3"/>
    <w:rsid w:val="00347135"/>
    <w:rsid w:val="0035165F"/>
    <w:rsid w:val="00352B84"/>
    <w:rsid w:val="00360E88"/>
    <w:rsid w:val="00363B34"/>
    <w:rsid w:val="00376924"/>
    <w:rsid w:val="003A01A5"/>
    <w:rsid w:val="003B3591"/>
    <w:rsid w:val="003C17AD"/>
    <w:rsid w:val="003E413D"/>
    <w:rsid w:val="003F41FA"/>
    <w:rsid w:val="00402E05"/>
    <w:rsid w:val="0040474A"/>
    <w:rsid w:val="00413DD2"/>
    <w:rsid w:val="00415FEB"/>
    <w:rsid w:val="004258AE"/>
    <w:rsid w:val="004317FF"/>
    <w:rsid w:val="00436035"/>
    <w:rsid w:val="00436F7C"/>
    <w:rsid w:val="004372C4"/>
    <w:rsid w:val="00442D79"/>
    <w:rsid w:val="004450CF"/>
    <w:rsid w:val="0045439F"/>
    <w:rsid w:val="004576CC"/>
    <w:rsid w:val="004608F2"/>
    <w:rsid w:val="004656D4"/>
    <w:rsid w:val="00465A69"/>
    <w:rsid w:val="00481235"/>
    <w:rsid w:val="00482BAD"/>
    <w:rsid w:val="00485CC7"/>
    <w:rsid w:val="004862C2"/>
    <w:rsid w:val="00497507"/>
    <w:rsid w:val="004A0333"/>
    <w:rsid w:val="004A50BE"/>
    <w:rsid w:val="004B2C93"/>
    <w:rsid w:val="004C0CDD"/>
    <w:rsid w:val="004C1E9B"/>
    <w:rsid w:val="004C50BE"/>
    <w:rsid w:val="004D0099"/>
    <w:rsid w:val="004D2CAF"/>
    <w:rsid w:val="004E5C4F"/>
    <w:rsid w:val="004F0DB4"/>
    <w:rsid w:val="00506D9A"/>
    <w:rsid w:val="00511CD2"/>
    <w:rsid w:val="00515CA7"/>
    <w:rsid w:val="00521D84"/>
    <w:rsid w:val="00542849"/>
    <w:rsid w:val="005612A1"/>
    <w:rsid w:val="00564697"/>
    <w:rsid w:val="005748A4"/>
    <w:rsid w:val="00590FAD"/>
    <w:rsid w:val="0059129D"/>
    <w:rsid w:val="005A491B"/>
    <w:rsid w:val="005A6362"/>
    <w:rsid w:val="005B76C3"/>
    <w:rsid w:val="005B7C09"/>
    <w:rsid w:val="005C0872"/>
    <w:rsid w:val="005C0B23"/>
    <w:rsid w:val="005E08BD"/>
    <w:rsid w:val="005E2FD6"/>
    <w:rsid w:val="005F1FE9"/>
    <w:rsid w:val="005F2DC9"/>
    <w:rsid w:val="005F32BC"/>
    <w:rsid w:val="005F5EC4"/>
    <w:rsid w:val="0061506C"/>
    <w:rsid w:val="006239AB"/>
    <w:rsid w:val="006269E3"/>
    <w:rsid w:val="00631530"/>
    <w:rsid w:val="006321C1"/>
    <w:rsid w:val="00636D91"/>
    <w:rsid w:val="00665142"/>
    <w:rsid w:val="00671A80"/>
    <w:rsid w:val="0067300E"/>
    <w:rsid w:val="00691FFD"/>
    <w:rsid w:val="006A14C5"/>
    <w:rsid w:val="006C6602"/>
    <w:rsid w:val="006D15B9"/>
    <w:rsid w:val="006D2437"/>
    <w:rsid w:val="006D32EF"/>
    <w:rsid w:val="006D507B"/>
    <w:rsid w:val="007028C3"/>
    <w:rsid w:val="0070362B"/>
    <w:rsid w:val="00704053"/>
    <w:rsid w:val="007268B0"/>
    <w:rsid w:val="00732329"/>
    <w:rsid w:val="007333DE"/>
    <w:rsid w:val="00740DFF"/>
    <w:rsid w:val="00743DD7"/>
    <w:rsid w:val="007453F6"/>
    <w:rsid w:val="007473CA"/>
    <w:rsid w:val="0076202E"/>
    <w:rsid w:val="007631DF"/>
    <w:rsid w:val="0079059F"/>
    <w:rsid w:val="007A2360"/>
    <w:rsid w:val="007A4873"/>
    <w:rsid w:val="007B658E"/>
    <w:rsid w:val="007C1D58"/>
    <w:rsid w:val="007D6993"/>
    <w:rsid w:val="007D7C52"/>
    <w:rsid w:val="007E5454"/>
    <w:rsid w:val="007F7DA4"/>
    <w:rsid w:val="00800561"/>
    <w:rsid w:val="00811178"/>
    <w:rsid w:val="008451B1"/>
    <w:rsid w:val="008513F7"/>
    <w:rsid w:val="00852E01"/>
    <w:rsid w:val="008656DA"/>
    <w:rsid w:val="00871C96"/>
    <w:rsid w:val="00872189"/>
    <w:rsid w:val="00873EFE"/>
    <w:rsid w:val="008778D6"/>
    <w:rsid w:val="00881E10"/>
    <w:rsid w:val="00892E6D"/>
    <w:rsid w:val="008A12B7"/>
    <w:rsid w:val="008C1890"/>
    <w:rsid w:val="008D5AA9"/>
    <w:rsid w:val="008D785E"/>
    <w:rsid w:val="008E5AD1"/>
    <w:rsid w:val="00901B45"/>
    <w:rsid w:val="00905A32"/>
    <w:rsid w:val="0091124E"/>
    <w:rsid w:val="00926638"/>
    <w:rsid w:val="00926D1F"/>
    <w:rsid w:val="00935526"/>
    <w:rsid w:val="009532B7"/>
    <w:rsid w:val="00956DCA"/>
    <w:rsid w:val="009615C2"/>
    <w:rsid w:val="009634A3"/>
    <w:rsid w:val="0099769B"/>
    <w:rsid w:val="009A02E9"/>
    <w:rsid w:val="009A186F"/>
    <w:rsid w:val="009B0B77"/>
    <w:rsid w:val="009B1BE2"/>
    <w:rsid w:val="009B7A3E"/>
    <w:rsid w:val="009D2D13"/>
    <w:rsid w:val="009E3D8C"/>
    <w:rsid w:val="009F5A1D"/>
    <w:rsid w:val="00A15475"/>
    <w:rsid w:val="00A41C18"/>
    <w:rsid w:val="00A42048"/>
    <w:rsid w:val="00A45B85"/>
    <w:rsid w:val="00A525A0"/>
    <w:rsid w:val="00A552A8"/>
    <w:rsid w:val="00A66201"/>
    <w:rsid w:val="00A72C4E"/>
    <w:rsid w:val="00AA4D92"/>
    <w:rsid w:val="00AA771F"/>
    <w:rsid w:val="00AA7835"/>
    <w:rsid w:val="00AC360C"/>
    <w:rsid w:val="00AE14AF"/>
    <w:rsid w:val="00B23A87"/>
    <w:rsid w:val="00B3344B"/>
    <w:rsid w:val="00B337F0"/>
    <w:rsid w:val="00B508F8"/>
    <w:rsid w:val="00B50D1E"/>
    <w:rsid w:val="00B5127F"/>
    <w:rsid w:val="00B5783A"/>
    <w:rsid w:val="00B62465"/>
    <w:rsid w:val="00B64DF9"/>
    <w:rsid w:val="00B77BE8"/>
    <w:rsid w:val="00BA01EA"/>
    <w:rsid w:val="00BA12E7"/>
    <w:rsid w:val="00BA2E0D"/>
    <w:rsid w:val="00BB7A74"/>
    <w:rsid w:val="00BB7AAC"/>
    <w:rsid w:val="00BC7A59"/>
    <w:rsid w:val="00BE1685"/>
    <w:rsid w:val="00BF20FE"/>
    <w:rsid w:val="00BF3D50"/>
    <w:rsid w:val="00BF5F0C"/>
    <w:rsid w:val="00C1377F"/>
    <w:rsid w:val="00C1445A"/>
    <w:rsid w:val="00C149D4"/>
    <w:rsid w:val="00C25858"/>
    <w:rsid w:val="00C44FB5"/>
    <w:rsid w:val="00C5083F"/>
    <w:rsid w:val="00C50AAC"/>
    <w:rsid w:val="00C56858"/>
    <w:rsid w:val="00C61296"/>
    <w:rsid w:val="00C62FA7"/>
    <w:rsid w:val="00C63CE4"/>
    <w:rsid w:val="00C70F4B"/>
    <w:rsid w:val="00C722D6"/>
    <w:rsid w:val="00C86923"/>
    <w:rsid w:val="00CA7BAD"/>
    <w:rsid w:val="00CB0551"/>
    <w:rsid w:val="00CB0AE7"/>
    <w:rsid w:val="00CB249D"/>
    <w:rsid w:val="00CB35F0"/>
    <w:rsid w:val="00CB457D"/>
    <w:rsid w:val="00CC7FA1"/>
    <w:rsid w:val="00CD0559"/>
    <w:rsid w:val="00CD0FF9"/>
    <w:rsid w:val="00CE6E07"/>
    <w:rsid w:val="00CF2711"/>
    <w:rsid w:val="00D00C88"/>
    <w:rsid w:val="00D033B2"/>
    <w:rsid w:val="00D07085"/>
    <w:rsid w:val="00D12CA4"/>
    <w:rsid w:val="00D1338D"/>
    <w:rsid w:val="00D3061E"/>
    <w:rsid w:val="00D30C25"/>
    <w:rsid w:val="00D31D63"/>
    <w:rsid w:val="00D40515"/>
    <w:rsid w:val="00D556A5"/>
    <w:rsid w:val="00D80CAF"/>
    <w:rsid w:val="00D846EB"/>
    <w:rsid w:val="00D93B84"/>
    <w:rsid w:val="00D95384"/>
    <w:rsid w:val="00D979A3"/>
    <w:rsid w:val="00DA5649"/>
    <w:rsid w:val="00DA7CDB"/>
    <w:rsid w:val="00DB6861"/>
    <w:rsid w:val="00DB69CE"/>
    <w:rsid w:val="00DC17A0"/>
    <w:rsid w:val="00DE6A9D"/>
    <w:rsid w:val="00DF3B89"/>
    <w:rsid w:val="00E17E6C"/>
    <w:rsid w:val="00E25C72"/>
    <w:rsid w:val="00E601D4"/>
    <w:rsid w:val="00E64856"/>
    <w:rsid w:val="00E8619F"/>
    <w:rsid w:val="00EA1AD7"/>
    <w:rsid w:val="00EA6BA6"/>
    <w:rsid w:val="00EA72AD"/>
    <w:rsid w:val="00EC135A"/>
    <w:rsid w:val="00EC216C"/>
    <w:rsid w:val="00ED7C52"/>
    <w:rsid w:val="00EF0429"/>
    <w:rsid w:val="00EF3C3A"/>
    <w:rsid w:val="00F21348"/>
    <w:rsid w:val="00F24A05"/>
    <w:rsid w:val="00F30120"/>
    <w:rsid w:val="00F35173"/>
    <w:rsid w:val="00F3531B"/>
    <w:rsid w:val="00F72883"/>
    <w:rsid w:val="00F7698A"/>
    <w:rsid w:val="00F80E9B"/>
    <w:rsid w:val="00F81EC0"/>
    <w:rsid w:val="00FA7F31"/>
    <w:rsid w:val="00FC1AF6"/>
    <w:rsid w:val="00FD323A"/>
    <w:rsid w:val="00FE1558"/>
    <w:rsid w:val="05BD6BD7"/>
    <w:rsid w:val="091031EE"/>
    <w:rsid w:val="0BA9184F"/>
    <w:rsid w:val="0BAB1E8A"/>
    <w:rsid w:val="0D55096F"/>
    <w:rsid w:val="0DCF6FB4"/>
    <w:rsid w:val="183A204C"/>
    <w:rsid w:val="1E7B2C44"/>
    <w:rsid w:val="268D352D"/>
    <w:rsid w:val="281C3B5F"/>
    <w:rsid w:val="284E23A8"/>
    <w:rsid w:val="31340870"/>
    <w:rsid w:val="335C1405"/>
    <w:rsid w:val="3DDF200B"/>
    <w:rsid w:val="3FF339CA"/>
    <w:rsid w:val="4EF162ED"/>
    <w:rsid w:val="5B3222B3"/>
    <w:rsid w:val="5C890A5F"/>
    <w:rsid w:val="5E4D3BC3"/>
    <w:rsid w:val="64455012"/>
    <w:rsid w:val="70753F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D9A"/>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6D9A"/>
    <w:rPr>
      <w:i/>
      <w:iCs/>
    </w:rPr>
  </w:style>
  <w:style w:type="character" w:styleId="FollowedHyperlink">
    <w:name w:val="FollowedHyperlink"/>
    <w:rsid w:val="00506D9A"/>
    <w:rPr>
      <w:color w:val="800080"/>
      <w:u w:val="single"/>
    </w:rPr>
  </w:style>
  <w:style w:type="character" w:styleId="Hyperlink">
    <w:name w:val="Hyperlink"/>
    <w:uiPriority w:val="99"/>
    <w:rsid w:val="00506D9A"/>
    <w:rPr>
      <w:color w:val="0000FF"/>
      <w:u w:val="single"/>
    </w:rPr>
  </w:style>
  <w:style w:type="paragraph" w:styleId="NormalWeb">
    <w:name w:val="Normal (Web)"/>
    <w:basedOn w:val="Normal"/>
    <w:uiPriority w:val="99"/>
    <w:unhideWhenUsed/>
    <w:qFormat/>
    <w:rsid w:val="00506D9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qFormat/>
    <w:rsid w:val="00506D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unhideWhenUsed/>
    <w:rsid w:val="00F81EC0"/>
    <w:rPr>
      <w:rFonts w:asciiTheme="minorHAnsi" w:eastAsiaTheme="minorEastAsia" w:hAnsiTheme="minorHAnsi" w:cstheme="minorBidi"/>
      <w:lang w:val="en-US" w:eastAsia="zh-CN"/>
    </w:rPr>
  </w:style>
  <w:style w:type="character" w:styleId="CommentReference">
    <w:name w:val="annotation reference"/>
    <w:basedOn w:val="DefaultParagraphFont"/>
    <w:rsid w:val="00F81EC0"/>
    <w:rPr>
      <w:sz w:val="16"/>
      <w:szCs w:val="16"/>
    </w:rPr>
  </w:style>
  <w:style w:type="paragraph" w:styleId="CommentText">
    <w:name w:val="annotation text"/>
    <w:basedOn w:val="Normal"/>
    <w:link w:val="CommentTextChar"/>
    <w:rsid w:val="00F81EC0"/>
  </w:style>
  <w:style w:type="character" w:customStyle="1" w:styleId="CommentTextChar">
    <w:name w:val="Comment Text Char"/>
    <w:basedOn w:val="DefaultParagraphFont"/>
    <w:link w:val="CommentText"/>
    <w:rsid w:val="00F81EC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F81EC0"/>
    <w:rPr>
      <w:b/>
      <w:bCs/>
    </w:rPr>
  </w:style>
  <w:style w:type="character" w:customStyle="1" w:styleId="CommentSubjectChar">
    <w:name w:val="Comment Subject Char"/>
    <w:basedOn w:val="CommentTextChar"/>
    <w:link w:val="CommentSubject"/>
    <w:rsid w:val="00F81EC0"/>
    <w:rPr>
      <w:rFonts w:asciiTheme="minorHAnsi" w:eastAsiaTheme="minorEastAsia" w:hAnsiTheme="minorHAnsi" w:cstheme="minorBidi"/>
      <w:b/>
      <w:bCs/>
      <w:lang w:val="en-US" w:eastAsia="zh-CN"/>
    </w:rPr>
  </w:style>
  <w:style w:type="character" w:customStyle="1" w:styleId="UnresolvedMention">
    <w:name w:val="Unresolved Mention"/>
    <w:basedOn w:val="DefaultParagraphFont"/>
    <w:uiPriority w:val="99"/>
    <w:semiHidden/>
    <w:unhideWhenUsed/>
    <w:rsid w:val="00D979A3"/>
    <w:rPr>
      <w:color w:val="605E5C"/>
      <w:shd w:val="clear" w:color="auto" w:fill="E1DFDD"/>
    </w:rPr>
  </w:style>
  <w:style w:type="paragraph" w:styleId="Header">
    <w:name w:val="header"/>
    <w:basedOn w:val="Normal"/>
    <w:link w:val="HeaderChar"/>
    <w:rsid w:val="0091124E"/>
    <w:pPr>
      <w:tabs>
        <w:tab w:val="center" w:pos="4680"/>
        <w:tab w:val="right" w:pos="9360"/>
      </w:tabs>
    </w:pPr>
  </w:style>
  <w:style w:type="character" w:customStyle="1" w:styleId="HeaderChar">
    <w:name w:val="Header Char"/>
    <w:basedOn w:val="DefaultParagraphFont"/>
    <w:link w:val="Header"/>
    <w:rsid w:val="0091124E"/>
    <w:rPr>
      <w:rFonts w:asciiTheme="minorHAnsi" w:eastAsiaTheme="minorEastAsia" w:hAnsiTheme="minorHAnsi" w:cstheme="minorBidi"/>
      <w:lang w:val="en-US" w:eastAsia="zh-CN"/>
    </w:rPr>
  </w:style>
  <w:style w:type="paragraph" w:styleId="Footer">
    <w:name w:val="footer"/>
    <w:basedOn w:val="Normal"/>
    <w:link w:val="FooterChar"/>
    <w:rsid w:val="0091124E"/>
    <w:pPr>
      <w:tabs>
        <w:tab w:val="center" w:pos="4680"/>
        <w:tab w:val="right" w:pos="9360"/>
      </w:tabs>
    </w:pPr>
  </w:style>
  <w:style w:type="character" w:customStyle="1" w:styleId="FooterChar">
    <w:name w:val="Footer Char"/>
    <w:basedOn w:val="DefaultParagraphFont"/>
    <w:link w:val="Footer"/>
    <w:rsid w:val="0091124E"/>
    <w:rPr>
      <w:rFonts w:asciiTheme="minorHAnsi" w:eastAsiaTheme="minorEastAsia" w:hAnsiTheme="minorHAnsi" w:cstheme="minorBidi"/>
      <w:lang w:val="en-US" w:eastAsia="zh-CN"/>
    </w:rPr>
  </w:style>
  <w:style w:type="paragraph" w:styleId="BalloonText">
    <w:name w:val="Balloon Text"/>
    <w:basedOn w:val="Normal"/>
    <w:link w:val="BalloonTextChar"/>
    <w:rsid w:val="00E25C72"/>
    <w:rPr>
      <w:rFonts w:ascii="Tahoma" w:hAnsi="Tahoma" w:cs="Tahoma"/>
      <w:sz w:val="16"/>
      <w:szCs w:val="16"/>
    </w:rPr>
  </w:style>
  <w:style w:type="character" w:customStyle="1" w:styleId="BalloonTextChar">
    <w:name w:val="Balloon Text Char"/>
    <w:basedOn w:val="DefaultParagraphFont"/>
    <w:link w:val="BalloonText"/>
    <w:rsid w:val="00E25C72"/>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69743564">
      <w:bodyDiv w:val="1"/>
      <w:marLeft w:val="0"/>
      <w:marRight w:val="0"/>
      <w:marTop w:val="0"/>
      <w:marBottom w:val="0"/>
      <w:divBdr>
        <w:top w:val="none" w:sz="0" w:space="0" w:color="auto"/>
        <w:left w:val="none" w:sz="0" w:space="0" w:color="auto"/>
        <w:bottom w:val="none" w:sz="0" w:space="0" w:color="auto"/>
        <w:right w:val="none" w:sz="0" w:space="0" w:color="auto"/>
      </w:divBdr>
    </w:div>
    <w:div w:id="309945179">
      <w:bodyDiv w:val="1"/>
      <w:marLeft w:val="0"/>
      <w:marRight w:val="0"/>
      <w:marTop w:val="0"/>
      <w:marBottom w:val="0"/>
      <w:divBdr>
        <w:top w:val="none" w:sz="0" w:space="0" w:color="auto"/>
        <w:left w:val="none" w:sz="0" w:space="0" w:color="auto"/>
        <w:bottom w:val="none" w:sz="0" w:space="0" w:color="auto"/>
        <w:right w:val="none" w:sz="0" w:space="0" w:color="auto"/>
      </w:divBdr>
    </w:div>
    <w:div w:id="494106087">
      <w:bodyDiv w:val="1"/>
      <w:marLeft w:val="0"/>
      <w:marRight w:val="0"/>
      <w:marTop w:val="0"/>
      <w:marBottom w:val="0"/>
      <w:divBdr>
        <w:top w:val="none" w:sz="0" w:space="0" w:color="auto"/>
        <w:left w:val="none" w:sz="0" w:space="0" w:color="auto"/>
        <w:bottom w:val="none" w:sz="0" w:space="0" w:color="auto"/>
        <w:right w:val="none" w:sz="0" w:space="0" w:color="auto"/>
      </w:divBdr>
    </w:div>
    <w:div w:id="624390039">
      <w:bodyDiv w:val="1"/>
      <w:marLeft w:val="0"/>
      <w:marRight w:val="0"/>
      <w:marTop w:val="0"/>
      <w:marBottom w:val="0"/>
      <w:divBdr>
        <w:top w:val="none" w:sz="0" w:space="0" w:color="auto"/>
        <w:left w:val="none" w:sz="0" w:space="0" w:color="auto"/>
        <w:bottom w:val="none" w:sz="0" w:space="0" w:color="auto"/>
        <w:right w:val="none" w:sz="0" w:space="0" w:color="auto"/>
      </w:divBdr>
    </w:div>
    <w:div w:id="777334849">
      <w:bodyDiv w:val="1"/>
      <w:marLeft w:val="0"/>
      <w:marRight w:val="0"/>
      <w:marTop w:val="0"/>
      <w:marBottom w:val="0"/>
      <w:divBdr>
        <w:top w:val="none" w:sz="0" w:space="0" w:color="auto"/>
        <w:left w:val="none" w:sz="0" w:space="0" w:color="auto"/>
        <w:bottom w:val="none" w:sz="0" w:space="0" w:color="auto"/>
        <w:right w:val="none" w:sz="0" w:space="0" w:color="auto"/>
      </w:divBdr>
    </w:div>
    <w:div w:id="1043748909">
      <w:bodyDiv w:val="1"/>
      <w:marLeft w:val="0"/>
      <w:marRight w:val="0"/>
      <w:marTop w:val="0"/>
      <w:marBottom w:val="0"/>
      <w:divBdr>
        <w:top w:val="none" w:sz="0" w:space="0" w:color="auto"/>
        <w:left w:val="none" w:sz="0" w:space="0" w:color="auto"/>
        <w:bottom w:val="none" w:sz="0" w:space="0" w:color="auto"/>
        <w:right w:val="none" w:sz="0" w:space="0" w:color="auto"/>
      </w:divBdr>
    </w:div>
    <w:div w:id="1060664672">
      <w:bodyDiv w:val="1"/>
      <w:marLeft w:val="0"/>
      <w:marRight w:val="0"/>
      <w:marTop w:val="0"/>
      <w:marBottom w:val="0"/>
      <w:divBdr>
        <w:top w:val="none" w:sz="0" w:space="0" w:color="auto"/>
        <w:left w:val="none" w:sz="0" w:space="0" w:color="auto"/>
        <w:bottom w:val="none" w:sz="0" w:space="0" w:color="auto"/>
        <w:right w:val="none" w:sz="0" w:space="0" w:color="auto"/>
      </w:divBdr>
    </w:div>
    <w:div w:id="1157499522">
      <w:bodyDiv w:val="1"/>
      <w:marLeft w:val="0"/>
      <w:marRight w:val="0"/>
      <w:marTop w:val="0"/>
      <w:marBottom w:val="0"/>
      <w:divBdr>
        <w:top w:val="none" w:sz="0" w:space="0" w:color="auto"/>
        <w:left w:val="none" w:sz="0" w:space="0" w:color="auto"/>
        <w:bottom w:val="none" w:sz="0" w:space="0" w:color="auto"/>
        <w:right w:val="none" w:sz="0" w:space="0" w:color="auto"/>
      </w:divBdr>
    </w:div>
    <w:div w:id="1290355516">
      <w:bodyDiv w:val="1"/>
      <w:marLeft w:val="0"/>
      <w:marRight w:val="0"/>
      <w:marTop w:val="0"/>
      <w:marBottom w:val="0"/>
      <w:divBdr>
        <w:top w:val="none" w:sz="0" w:space="0" w:color="auto"/>
        <w:left w:val="none" w:sz="0" w:space="0" w:color="auto"/>
        <w:bottom w:val="none" w:sz="0" w:space="0" w:color="auto"/>
        <w:right w:val="none" w:sz="0" w:space="0" w:color="auto"/>
      </w:divBdr>
    </w:div>
    <w:div w:id="1499611926">
      <w:bodyDiv w:val="1"/>
      <w:marLeft w:val="0"/>
      <w:marRight w:val="0"/>
      <w:marTop w:val="0"/>
      <w:marBottom w:val="0"/>
      <w:divBdr>
        <w:top w:val="none" w:sz="0" w:space="0" w:color="auto"/>
        <w:left w:val="none" w:sz="0" w:space="0" w:color="auto"/>
        <w:bottom w:val="none" w:sz="0" w:space="0" w:color="auto"/>
        <w:right w:val="none" w:sz="0" w:space="0" w:color="auto"/>
      </w:divBdr>
    </w:div>
    <w:div w:id="1575313006">
      <w:bodyDiv w:val="1"/>
      <w:marLeft w:val="0"/>
      <w:marRight w:val="0"/>
      <w:marTop w:val="0"/>
      <w:marBottom w:val="0"/>
      <w:divBdr>
        <w:top w:val="none" w:sz="0" w:space="0" w:color="auto"/>
        <w:left w:val="none" w:sz="0" w:space="0" w:color="auto"/>
        <w:bottom w:val="none" w:sz="0" w:space="0" w:color="auto"/>
        <w:right w:val="none" w:sz="0" w:space="0" w:color="auto"/>
      </w:divBdr>
    </w:div>
    <w:div w:id="1745181574">
      <w:bodyDiv w:val="1"/>
      <w:marLeft w:val="0"/>
      <w:marRight w:val="0"/>
      <w:marTop w:val="0"/>
      <w:marBottom w:val="0"/>
      <w:divBdr>
        <w:top w:val="none" w:sz="0" w:space="0" w:color="auto"/>
        <w:left w:val="none" w:sz="0" w:space="0" w:color="auto"/>
        <w:bottom w:val="none" w:sz="0" w:space="0" w:color="auto"/>
        <w:right w:val="none" w:sz="0" w:space="0" w:color="auto"/>
      </w:divBdr>
    </w:div>
    <w:div w:id="1771311680">
      <w:bodyDiv w:val="1"/>
      <w:marLeft w:val="0"/>
      <w:marRight w:val="0"/>
      <w:marTop w:val="0"/>
      <w:marBottom w:val="0"/>
      <w:divBdr>
        <w:top w:val="none" w:sz="0" w:space="0" w:color="auto"/>
        <w:left w:val="none" w:sz="0" w:space="0" w:color="auto"/>
        <w:bottom w:val="none" w:sz="0" w:space="0" w:color="auto"/>
        <w:right w:val="none" w:sz="0" w:space="0" w:color="auto"/>
      </w:divBdr>
    </w:div>
    <w:div w:id="1805154689">
      <w:bodyDiv w:val="1"/>
      <w:marLeft w:val="0"/>
      <w:marRight w:val="0"/>
      <w:marTop w:val="0"/>
      <w:marBottom w:val="0"/>
      <w:divBdr>
        <w:top w:val="none" w:sz="0" w:space="0" w:color="auto"/>
        <w:left w:val="none" w:sz="0" w:space="0" w:color="auto"/>
        <w:bottom w:val="none" w:sz="0" w:space="0" w:color="auto"/>
        <w:right w:val="none" w:sz="0" w:space="0" w:color="auto"/>
      </w:divBdr>
    </w:div>
    <w:div w:id="2021665013">
      <w:bodyDiv w:val="1"/>
      <w:marLeft w:val="0"/>
      <w:marRight w:val="0"/>
      <w:marTop w:val="0"/>
      <w:marBottom w:val="0"/>
      <w:divBdr>
        <w:top w:val="none" w:sz="0" w:space="0" w:color="auto"/>
        <w:left w:val="none" w:sz="0" w:space="0" w:color="auto"/>
        <w:bottom w:val="none" w:sz="0" w:space="0" w:color="auto"/>
        <w:right w:val="none" w:sz="0" w:space="0" w:color="auto"/>
      </w:divBdr>
    </w:div>
    <w:div w:id="2040809767">
      <w:bodyDiv w:val="1"/>
      <w:marLeft w:val="0"/>
      <w:marRight w:val="0"/>
      <w:marTop w:val="0"/>
      <w:marBottom w:val="0"/>
      <w:divBdr>
        <w:top w:val="none" w:sz="0" w:space="0" w:color="auto"/>
        <w:left w:val="none" w:sz="0" w:space="0" w:color="auto"/>
        <w:bottom w:val="none" w:sz="0" w:space="0" w:color="auto"/>
        <w:right w:val="none" w:sz="0" w:space="0" w:color="auto"/>
      </w:divBdr>
    </w:div>
    <w:div w:id="2094007540">
      <w:bodyDiv w:val="1"/>
      <w:marLeft w:val="0"/>
      <w:marRight w:val="0"/>
      <w:marTop w:val="0"/>
      <w:marBottom w:val="0"/>
      <w:divBdr>
        <w:top w:val="none" w:sz="0" w:space="0" w:color="auto"/>
        <w:left w:val="none" w:sz="0" w:space="0" w:color="auto"/>
        <w:bottom w:val="none" w:sz="0" w:space="0" w:color="auto"/>
        <w:right w:val="none" w:sz="0" w:space="0" w:color="auto"/>
      </w:divBdr>
    </w:div>
    <w:div w:id="210083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545/2618060X.2024.v7.i2b.29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3d8d6f2469b0adbe/Desktop/MN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Sheet8!$E$4:$E$6</c:f>
              <c:strCache>
                <c:ptCount val="3"/>
                <c:pt idx="0">
                  <c:v>Grain yield (Kg/ha)</c:v>
                </c:pt>
              </c:strCache>
            </c:strRef>
          </c:tx>
          <c:spPr>
            <a:solidFill>
              <a:schemeClr val="accent1"/>
            </a:solidFill>
            <a:ln>
              <a:noFill/>
            </a:ln>
            <a:effectLst/>
            <a:sp3d/>
          </c:spPr>
          <c:cat>
            <c:strRef>
              <c:f>Sheet8!$D$7:$D$16</c:f>
              <c:strCache>
                <c:ptCount val="10"/>
                <c:pt idx="1">
                  <c:v> 75 % RDF</c:v>
                </c:pt>
                <c:pt idx="2">
                  <c:v>100% RDF</c:v>
                </c:pt>
                <c:pt idx="3">
                  <c:v>125% RDF</c:v>
                </c:pt>
                <c:pt idx="5">
                  <c:v> PR-10-45</c:v>
                </c:pt>
                <c:pt idx="6">
                  <c:v> KOPN-942</c:v>
                </c:pt>
                <c:pt idx="7">
                  <c:v>GPU 45*</c:v>
                </c:pt>
                <c:pt idx="8">
                  <c:v>GPU 67*</c:v>
                </c:pt>
                <c:pt idx="9">
                  <c:v>PR 202*</c:v>
                </c:pt>
              </c:strCache>
            </c:strRef>
          </c:cat>
          <c:val>
            <c:numRef>
              <c:f>Sheet8!$E$7:$E$16</c:f>
              <c:numCache>
                <c:formatCode>General</c:formatCode>
                <c:ptCount val="10"/>
                <c:pt idx="1">
                  <c:v>2774.3</c:v>
                </c:pt>
                <c:pt idx="2">
                  <c:v>2985.4</c:v>
                </c:pt>
                <c:pt idx="3">
                  <c:v>3198.6</c:v>
                </c:pt>
                <c:pt idx="5">
                  <c:v>3260.5</c:v>
                </c:pt>
                <c:pt idx="6">
                  <c:v>2781.3</c:v>
                </c:pt>
                <c:pt idx="7">
                  <c:v>2643.6</c:v>
                </c:pt>
                <c:pt idx="8">
                  <c:v>3058.7</c:v>
                </c:pt>
                <c:pt idx="9">
                  <c:v>3186.4</c:v>
                </c:pt>
              </c:numCache>
            </c:numRef>
          </c:val>
          <c:extLst xmlns:c16r2="http://schemas.microsoft.com/office/drawing/2015/06/chart">
            <c:ext xmlns:c16="http://schemas.microsoft.com/office/drawing/2014/chart" uri="{C3380CC4-5D6E-409C-BE32-E72D297353CC}">
              <c16:uniqueId val="{00000000-354E-40DF-9D34-D426236DBF56}"/>
            </c:ext>
          </c:extLst>
        </c:ser>
        <c:shape val="box"/>
        <c:axId val="157541888"/>
        <c:axId val="157543808"/>
        <c:axId val="0"/>
      </c:bar3DChart>
      <c:catAx>
        <c:axId val="15754188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43808"/>
        <c:crosses val="autoZero"/>
        <c:auto val="1"/>
        <c:lblAlgn val="ctr"/>
        <c:lblOffset val="100"/>
      </c:catAx>
      <c:valAx>
        <c:axId val="1575438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Grain yield (Kg/ha)</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4188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0.43258</cdr:x>
      <cdr:y>0.33333</cdr:y>
    </cdr:from>
    <cdr:to>
      <cdr:x>0.56742</cdr:x>
      <cdr:y>0.66667</cdr:y>
    </cdr:to>
    <cdr:sp macro="" textlink="">
      <cdr:nvSpPr>
        <cdr:cNvPr id="2" name="TextBox 1">
          <a:extLst xmlns:a="http://schemas.openxmlformats.org/drawingml/2006/main">
            <a:ext uri="{FF2B5EF4-FFF2-40B4-BE49-F238E27FC236}">
              <a16:creationId xmlns="" xmlns:a16="http://schemas.microsoft.com/office/drawing/2014/main" id="{896D6A61-9328-85F7-0A0C-6CC6B7B2EF42}"/>
            </a:ext>
          </a:extLst>
        </cdr:cNvPr>
        <cdr:cNvSpPr txBox="1"/>
      </cdr:nvSpPr>
      <cdr:spPr>
        <a:xfrm xmlns:a="http://schemas.openxmlformats.org/drawingml/2006/main">
          <a:off x="2933700" y="914400"/>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0.22472</cdr:x>
      <cdr:y>0.86528</cdr:y>
    </cdr:from>
    <cdr:to>
      <cdr:x>0.45169</cdr:x>
      <cdr:y>0.95694</cdr:y>
    </cdr:to>
    <cdr:sp macro="" textlink="">
      <cdr:nvSpPr>
        <cdr:cNvPr id="3" name="TextBox 2">
          <a:extLst xmlns:a="http://schemas.openxmlformats.org/drawingml/2006/main">
            <a:ext uri="{FF2B5EF4-FFF2-40B4-BE49-F238E27FC236}">
              <a16:creationId xmlns="" xmlns:a16="http://schemas.microsoft.com/office/drawing/2014/main" id="{79AAA3E5-22EF-EB49-38E0-8F1CD97686DA}"/>
            </a:ext>
          </a:extLst>
        </cdr:cNvPr>
        <cdr:cNvSpPr txBox="1"/>
      </cdr:nvSpPr>
      <cdr:spPr>
        <a:xfrm xmlns:a="http://schemas.openxmlformats.org/drawingml/2006/main">
          <a:off x="1524000" y="2373630"/>
          <a:ext cx="1539240" cy="251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0.2534</cdr:x>
      <cdr:y>0.88882</cdr:y>
    </cdr:from>
    <cdr:to>
      <cdr:x>0.47437</cdr:x>
      <cdr:y>0.97892</cdr:y>
    </cdr:to>
    <cdr:sp macro="" textlink="">
      <cdr:nvSpPr>
        <cdr:cNvPr id="4" name="TextBox 3">
          <a:extLst xmlns:a="http://schemas.openxmlformats.org/drawingml/2006/main">
            <a:ext uri="{FF2B5EF4-FFF2-40B4-BE49-F238E27FC236}">
              <a16:creationId xmlns="" xmlns:a16="http://schemas.microsoft.com/office/drawing/2014/main" id="{0D2F7018-F162-77B8-181E-CA98A63FDC0B}"/>
            </a:ext>
          </a:extLst>
        </cdr:cNvPr>
        <cdr:cNvSpPr txBox="1"/>
      </cdr:nvSpPr>
      <cdr:spPr>
        <a:xfrm xmlns:a="http://schemas.openxmlformats.org/drawingml/2006/main">
          <a:off x="1548559" y="2891998"/>
          <a:ext cx="1350401" cy="293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1" kern="1200">
              <a:solidFill>
                <a:srgbClr val="EE0000"/>
              </a:solidFill>
              <a:latin typeface="Times New Roman" panose="02020603050405020304" pitchFamily="18" charset="0"/>
              <a:cs typeface="Times New Roman" panose="02020603050405020304" pitchFamily="18" charset="0"/>
            </a:rPr>
            <a:t>Fertilizer levels </a:t>
          </a:r>
        </a:p>
      </cdr:txBody>
    </cdr:sp>
  </cdr:relSizeAnchor>
  <cdr:relSizeAnchor xmlns:cdr="http://schemas.openxmlformats.org/drawingml/2006/chartDrawing">
    <cdr:from>
      <cdr:x>0.62166</cdr:x>
      <cdr:y>0.87626</cdr:y>
    </cdr:from>
    <cdr:to>
      <cdr:x>0.9601</cdr:x>
      <cdr:y>0.97892</cdr:y>
    </cdr:to>
    <cdr:sp macro="" textlink="">
      <cdr:nvSpPr>
        <cdr:cNvPr id="5" name="TextBox 4">
          <a:extLst xmlns:a="http://schemas.openxmlformats.org/drawingml/2006/main">
            <a:ext uri="{FF2B5EF4-FFF2-40B4-BE49-F238E27FC236}">
              <a16:creationId xmlns="" xmlns:a16="http://schemas.microsoft.com/office/drawing/2014/main" id="{776DCF76-C85E-B644-0F25-0352196B1EBE}"/>
            </a:ext>
          </a:extLst>
        </cdr:cNvPr>
        <cdr:cNvSpPr txBox="1"/>
      </cdr:nvSpPr>
      <cdr:spPr>
        <a:xfrm xmlns:a="http://schemas.openxmlformats.org/drawingml/2006/main">
          <a:off x="3799142" y="2851111"/>
          <a:ext cx="2068258" cy="334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kern="1200">
              <a:solidFill>
                <a:srgbClr val="EE0000"/>
              </a:solidFill>
              <a:latin typeface="Times New Roman" panose="02020603050405020304" pitchFamily="18" charset="0"/>
              <a:cs typeface="Times New Roman" panose="02020603050405020304" pitchFamily="18" charset="0"/>
            </a:rPr>
            <a:t>Finger millet arieties</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16</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144</cp:revision>
  <cp:lastPrinted>2025-04-20T08:31:00Z</cp:lastPrinted>
  <dcterms:created xsi:type="dcterms:W3CDTF">2025-07-18T03:35:00Z</dcterms:created>
  <dcterms:modified xsi:type="dcterms:W3CDTF">2025-12-12T07:22:00Z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DD5AAB3007234CAAA38302D85C14F03B_12</vt:lpwstr>
  </property>
</Properties>
</file>