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5C9C" w14:textId="77777777" w:rsidR="001E6AD7" w:rsidRPr="001E6AD7" w:rsidRDefault="001E6AD7" w:rsidP="001E6AD7">
      <w:pPr>
        <w:spacing w:line="360" w:lineRule="auto"/>
        <w:jc w:val="both"/>
        <w:rPr>
          <w:rFonts w:ascii="Times New Roman" w:hAnsi="Times New Roman" w:cs="Times New Roman"/>
          <w:b/>
          <w:bCs/>
          <w:i/>
          <w:iCs/>
          <w:sz w:val="24"/>
          <w:szCs w:val="24"/>
          <w:u w:val="single"/>
          <w:lang w:val="en-US"/>
        </w:rPr>
      </w:pPr>
      <w:r w:rsidRPr="001E6AD7">
        <w:rPr>
          <w:rFonts w:ascii="Times New Roman" w:hAnsi="Times New Roman" w:cs="Times New Roman"/>
          <w:b/>
          <w:bCs/>
          <w:i/>
          <w:iCs/>
          <w:sz w:val="24"/>
          <w:szCs w:val="24"/>
          <w:u w:val="single"/>
          <w:lang w:val="en-US"/>
        </w:rPr>
        <w:t>Review Article</w:t>
      </w:r>
    </w:p>
    <w:p w14:paraId="0B84BBF7" w14:textId="6127ADDF" w:rsidR="00CC669A" w:rsidRPr="008E4D8E" w:rsidRDefault="00BB3EED" w:rsidP="00273F7E">
      <w:pPr>
        <w:spacing w:line="360" w:lineRule="auto"/>
        <w:jc w:val="both"/>
        <w:rPr>
          <w:rFonts w:ascii="Times New Roman" w:hAnsi="Times New Roman" w:cs="Times New Roman"/>
          <w:b/>
          <w:bCs/>
          <w:sz w:val="24"/>
          <w:szCs w:val="24"/>
        </w:rPr>
      </w:pPr>
      <w:bookmarkStart w:id="0" w:name="_Hlk214617791"/>
      <w:r w:rsidRPr="008E4D8E">
        <w:rPr>
          <w:rFonts w:ascii="Times New Roman" w:hAnsi="Times New Roman" w:cs="Times New Roman"/>
          <w:b/>
          <w:bCs/>
          <w:sz w:val="24"/>
          <w:szCs w:val="24"/>
        </w:rPr>
        <w:t xml:space="preserve">Soil Health: Exploring Components, Indicators, and Sustainable Management Strategies </w:t>
      </w:r>
      <w:r w:rsidR="00715A0A" w:rsidRPr="008E4D8E">
        <w:rPr>
          <w:rFonts w:ascii="Times New Roman" w:hAnsi="Times New Roman" w:cs="Times New Roman"/>
          <w:b/>
          <w:bCs/>
          <w:sz w:val="24"/>
          <w:szCs w:val="24"/>
        </w:rPr>
        <w:t>for Ensured Food and Nutritional Security</w:t>
      </w:r>
    </w:p>
    <w:bookmarkEnd w:id="0"/>
    <w:p w14:paraId="26B18650" w14:textId="77777777" w:rsidR="004A348D" w:rsidRDefault="004A348D" w:rsidP="00965149">
      <w:pPr>
        <w:spacing w:line="240" w:lineRule="auto"/>
        <w:jc w:val="both"/>
        <w:rPr>
          <w:rFonts w:ascii="Arial" w:hAnsi="Arial" w:cs="Arial"/>
          <w:b/>
        </w:rPr>
      </w:pPr>
    </w:p>
    <w:p w14:paraId="7E2B9B6A" w14:textId="6EED7515" w:rsidR="00CC669A" w:rsidRPr="00965149" w:rsidRDefault="00FB25E3" w:rsidP="00965149">
      <w:pPr>
        <w:spacing w:line="240" w:lineRule="auto"/>
        <w:jc w:val="both"/>
        <w:rPr>
          <w:rFonts w:ascii="Arial" w:hAnsi="Arial" w:cs="Arial"/>
          <w:b/>
        </w:rPr>
      </w:pPr>
      <w:r w:rsidRPr="00965149">
        <w:rPr>
          <w:rFonts w:ascii="Arial" w:hAnsi="Arial" w:cs="Arial"/>
          <w:b/>
        </w:rPr>
        <w:t>A</w:t>
      </w:r>
      <w:r w:rsidR="00965149" w:rsidRPr="00965149">
        <w:rPr>
          <w:rFonts w:ascii="Arial" w:hAnsi="Arial" w:cs="Arial"/>
          <w:b/>
        </w:rPr>
        <w:t>BSTRACT</w:t>
      </w:r>
    </w:p>
    <w:p w14:paraId="69F6238C" w14:textId="55392E10" w:rsidR="00725966" w:rsidRPr="00965149" w:rsidRDefault="00715A0A" w:rsidP="00965149">
      <w:pPr>
        <w:pStyle w:val="NormalWeb"/>
        <w:spacing w:before="0" w:beforeAutospacing="0" w:after="300" w:afterAutospacing="0"/>
        <w:ind w:firstLine="720"/>
        <w:jc w:val="both"/>
        <w:rPr>
          <w:rFonts w:ascii="Arial" w:hAnsi="Arial" w:cs="Arial"/>
          <w:sz w:val="20"/>
          <w:szCs w:val="20"/>
        </w:rPr>
      </w:pPr>
      <w:r w:rsidRPr="00965149">
        <w:rPr>
          <w:rFonts w:ascii="Arial" w:hAnsi="Arial" w:cs="Arial"/>
          <w:sz w:val="20"/>
          <w:szCs w:val="20"/>
        </w:rPr>
        <w:t xml:space="preserve">Soil and water are the two critical natural resource components that support healthy agricultural systems. </w:t>
      </w:r>
      <w:r w:rsidR="00E104FA" w:rsidRPr="00965149">
        <w:rPr>
          <w:rFonts w:ascii="Arial" w:hAnsi="Arial" w:cs="Arial"/>
          <w:sz w:val="20"/>
          <w:szCs w:val="20"/>
        </w:rPr>
        <w:t xml:space="preserve">In a period marked by a growing global population, the link between soil health and food security becomes crucial for sustainable development and building resilient agricultural systems. </w:t>
      </w:r>
      <w:r w:rsidR="0075423E" w:rsidRPr="00965149">
        <w:rPr>
          <w:rFonts w:ascii="Arial" w:hAnsi="Arial" w:cs="Arial"/>
          <w:sz w:val="20"/>
          <w:szCs w:val="20"/>
        </w:rPr>
        <w:t xml:space="preserve">Soil, a vital natural resource, </w:t>
      </w:r>
      <w:r w:rsidR="00D10F76" w:rsidRPr="00965149">
        <w:rPr>
          <w:rFonts w:ascii="Arial" w:hAnsi="Arial" w:cs="Arial"/>
          <w:sz w:val="20"/>
          <w:szCs w:val="20"/>
        </w:rPr>
        <w:t>is pivotal</w:t>
      </w:r>
      <w:r w:rsidR="0075423E" w:rsidRPr="00965149">
        <w:rPr>
          <w:rFonts w:ascii="Arial" w:hAnsi="Arial" w:cs="Arial"/>
          <w:sz w:val="20"/>
          <w:szCs w:val="20"/>
        </w:rPr>
        <w:t xml:space="preserve"> in supporting plant growth by supplying essential nutrients and offering mechanical support. It encompasses the physical, chemical, and biological attributes that collectively dictate the </w:t>
      </w:r>
      <w:r w:rsidRPr="00965149">
        <w:rPr>
          <w:rFonts w:ascii="Arial" w:hAnsi="Arial" w:cs="Arial"/>
          <w:sz w:val="20"/>
          <w:szCs w:val="20"/>
        </w:rPr>
        <w:t xml:space="preserve">effective and </w:t>
      </w:r>
      <w:r w:rsidR="0075423E" w:rsidRPr="00965149">
        <w:rPr>
          <w:rFonts w:ascii="Arial" w:hAnsi="Arial" w:cs="Arial"/>
          <w:sz w:val="20"/>
          <w:szCs w:val="20"/>
        </w:rPr>
        <w:t xml:space="preserve">efficient functioning of </w:t>
      </w:r>
      <w:r w:rsidRPr="00965149">
        <w:rPr>
          <w:rFonts w:ascii="Arial" w:hAnsi="Arial" w:cs="Arial"/>
          <w:sz w:val="20"/>
          <w:szCs w:val="20"/>
        </w:rPr>
        <w:t xml:space="preserve">the </w:t>
      </w:r>
      <w:r w:rsidR="0075423E" w:rsidRPr="00965149">
        <w:rPr>
          <w:rFonts w:ascii="Arial" w:hAnsi="Arial" w:cs="Arial"/>
          <w:sz w:val="20"/>
          <w:szCs w:val="20"/>
        </w:rPr>
        <w:t xml:space="preserve">soil. </w:t>
      </w:r>
      <w:r w:rsidR="00003436" w:rsidRPr="00965149">
        <w:rPr>
          <w:rFonts w:ascii="Arial" w:hAnsi="Arial" w:cs="Arial"/>
          <w:sz w:val="20"/>
          <w:szCs w:val="20"/>
        </w:rPr>
        <w:t xml:space="preserve"> </w:t>
      </w:r>
      <w:r w:rsidR="0075423E" w:rsidRPr="00965149">
        <w:rPr>
          <w:rFonts w:ascii="Arial" w:hAnsi="Arial" w:cs="Arial"/>
          <w:sz w:val="20"/>
          <w:szCs w:val="20"/>
        </w:rPr>
        <w:t xml:space="preserve">Within agroecosystems, soil undergoes manipulation through processes like input addition, nutrient extraction, alterations in water balance, and microbial activity, influencing various properties. </w:t>
      </w:r>
      <w:r w:rsidRPr="00965149">
        <w:rPr>
          <w:rFonts w:ascii="Arial" w:hAnsi="Arial" w:cs="Arial"/>
          <w:sz w:val="20"/>
          <w:szCs w:val="20"/>
        </w:rPr>
        <w:t xml:space="preserve">However, in recent decades, severe deterioration in soil health has been reported across global agricultural production systems. </w:t>
      </w:r>
      <w:r w:rsidR="00706AF7" w:rsidRPr="00965149">
        <w:rPr>
          <w:rFonts w:ascii="Arial" w:hAnsi="Arial" w:cs="Arial"/>
          <w:sz w:val="20"/>
          <w:szCs w:val="20"/>
        </w:rPr>
        <w:t xml:space="preserve">The adoption </w:t>
      </w:r>
      <w:r w:rsidRPr="00965149">
        <w:rPr>
          <w:rFonts w:ascii="Arial" w:hAnsi="Arial" w:cs="Arial"/>
          <w:sz w:val="20"/>
          <w:szCs w:val="20"/>
        </w:rPr>
        <w:t xml:space="preserve">of high-input </w:t>
      </w:r>
      <w:r w:rsidR="00706AF7" w:rsidRPr="00965149">
        <w:rPr>
          <w:rFonts w:ascii="Arial" w:hAnsi="Arial" w:cs="Arial"/>
          <w:sz w:val="20"/>
          <w:szCs w:val="20"/>
        </w:rPr>
        <w:t>responsive high</w:t>
      </w:r>
      <w:r w:rsidR="00C93438" w:rsidRPr="00965149">
        <w:rPr>
          <w:rFonts w:ascii="Arial" w:hAnsi="Arial" w:cs="Arial"/>
          <w:sz w:val="20"/>
          <w:szCs w:val="20"/>
        </w:rPr>
        <w:t>-yielding</w:t>
      </w:r>
      <w:r w:rsidRPr="00965149">
        <w:rPr>
          <w:rFonts w:ascii="Arial" w:hAnsi="Arial" w:cs="Arial"/>
          <w:sz w:val="20"/>
          <w:szCs w:val="20"/>
        </w:rPr>
        <w:t xml:space="preserve"> crop varieties coupled with subsidized chemical inputs to meet growing global food security challenges has resulted in </w:t>
      </w:r>
      <w:r w:rsidR="00346008" w:rsidRPr="00965149">
        <w:rPr>
          <w:rFonts w:ascii="Arial" w:hAnsi="Arial" w:cs="Arial"/>
          <w:sz w:val="20"/>
          <w:szCs w:val="20"/>
        </w:rPr>
        <w:t xml:space="preserve">the </w:t>
      </w:r>
      <w:r w:rsidRPr="00965149">
        <w:rPr>
          <w:rFonts w:ascii="Arial" w:hAnsi="Arial" w:cs="Arial"/>
          <w:sz w:val="20"/>
          <w:szCs w:val="20"/>
        </w:rPr>
        <w:t>misuse and abuse of these inputs thereby damaging physical, chemical</w:t>
      </w:r>
      <w:r w:rsidR="00C93438" w:rsidRPr="00965149">
        <w:rPr>
          <w:rFonts w:ascii="Arial" w:hAnsi="Arial" w:cs="Arial"/>
          <w:sz w:val="20"/>
          <w:szCs w:val="20"/>
        </w:rPr>
        <w:t>,</w:t>
      </w:r>
      <w:r w:rsidRPr="00965149">
        <w:rPr>
          <w:rFonts w:ascii="Arial" w:hAnsi="Arial" w:cs="Arial"/>
          <w:sz w:val="20"/>
          <w:szCs w:val="20"/>
        </w:rPr>
        <w:t xml:space="preserve"> and biological soil health.</w:t>
      </w:r>
      <w:r w:rsidR="006D6ABC" w:rsidRPr="00965149">
        <w:rPr>
          <w:rFonts w:ascii="Arial" w:hAnsi="Arial" w:cs="Arial"/>
          <w:sz w:val="20"/>
          <w:szCs w:val="20"/>
        </w:rPr>
        <w:t xml:space="preserve"> As per the surveys conducted across India, most of the soils are reported to be deficient in essential micronutrients.</w:t>
      </w:r>
      <w:r w:rsidR="002E4CDD" w:rsidRPr="00965149">
        <w:rPr>
          <w:rFonts w:ascii="Arial" w:hAnsi="Arial" w:cs="Arial"/>
          <w:sz w:val="20"/>
          <w:szCs w:val="20"/>
        </w:rPr>
        <w:t xml:space="preserve"> </w:t>
      </w:r>
      <w:r w:rsidR="0075423E" w:rsidRPr="00965149">
        <w:rPr>
          <w:rFonts w:ascii="Arial" w:hAnsi="Arial" w:cs="Arial"/>
          <w:sz w:val="20"/>
          <w:szCs w:val="20"/>
        </w:rPr>
        <w:t xml:space="preserve">Recognizing the global implications of soil health on food security underscores the necessity for international collaboration, informed policies, research, and technology investments. </w:t>
      </w:r>
      <w:r w:rsidR="00725966" w:rsidRPr="00965149">
        <w:rPr>
          <w:rFonts w:ascii="Arial" w:hAnsi="Arial" w:cs="Arial"/>
          <w:sz w:val="20"/>
          <w:szCs w:val="20"/>
        </w:rPr>
        <w:t xml:space="preserve">This </w:t>
      </w:r>
      <w:r w:rsidR="00C07291" w:rsidRPr="00965149">
        <w:rPr>
          <w:rFonts w:ascii="Arial" w:hAnsi="Arial" w:cs="Arial"/>
          <w:sz w:val="20"/>
          <w:szCs w:val="20"/>
        </w:rPr>
        <w:t>article</w:t>
      </w:r>
      <w:r w:rsidR="00725966" w:rsidRPr="00965149">
        <w:rPr>
          <w:rFonts w:ascii="Arial" w:hAnsi="Arial" w:cs="Arial"/>
          <w:sz w:val="20"/>
          <w:szCs w:val="20"/>
        </w:rPr>
        <w:t xml:space="preserve"> </w:t>
      </w:r>
      <w:r w:rsidR="00346008" w:rsidRPr="00965149">
        <w:rPr>
          <w:rFonts w:ascii="Arial" w:hAnsi="Arial" w:cs="Arial"/>
          <w:sz w:val="20"/>
          <w:szCs w:val="20"/>
        </w:rPr>
        <w:t>covers</w:t>
      </w:r>
      <w:r w:rsidR="00725966" w:rsidRPr="00965149">
        <w:rPr>
          <w:rFonts w:ascii="Arial" w:hAnsi="Arial" w:cs="Arial"/>
          <w:sz w:val="20"/>
          <w:szCs w:val="20"/>
        </w:rPr>
        <w:t xml:space="preserve"> the components, indicators, </w:t>
      </w:r>
      <w:r w:rsidR="00C93438" w:rsidRPr="00965149">
        <w:rPr>
          <w:rFonts w:ascii="Arial" w:hAnsi="Arial" w:cs="Arial"/>
          <w:sz w:val="20"/>
          <w:szCs w:val="20"/>
        </w:rPr>
        <w:t xml:space="preserve">and </w:t>
      </w:r>
      <w:r w:rsidR="00725966" w:rsidRPr="00965149">
        <w:rPr>
          <w:rFonts w:ascii="Arial" w:hAnsi="Arial" w:cs="Arial"/>
          <w:sz w:val="20"/>
          <w:szCs w:val="20"/>
        </w:rPr>
        <w:t xml:space="preserve">sustainable soil </w:t>
      </w:r>
      <w:r w:rsidR="006D6ABC" w:rsidRPr="00965149">
        <w:rPr>
          <w:rFonts w:ascii="Arial" w:hAnsi="Arial" w:cs="Arial"/>
          <w:sz w:val="20"/>
          <w:szCs w:val="20"/>
        </w:rPr>
        <w:t xml:space="preserve">health </w:t>
      </w:r>
      <w:r w:rsidR="00725966" w:rsidRPr="00965149">
        <w:rPr>
          <w:rFonts w:ascii="Arial" w:hAnsi="Arial" w:cs="Arial"/>
          <w:sz w:val="20"/>
          <w:szCs w:val="20"/>
        </w:rPr>
        <w:t>management strategies</w:t>
      </w:r>
      <w:r w:rsidR="00652854" w:rsidRPr="00965149">
        <w:rPr>
          <w:rFonts w:ascii="Arial" w:hAnsi="Arial" w:cs="Arial"/>
          <w:sz w:val="20"/>
          <w:szCs w:val="20"/>
        </w:rPr>
        <w:t>.</w:t>
      </w:r>
      <w:r w:rsidR="00725966" w:rsidRPr="00965149">
        <w:rPr>
          <w:rFonts w:ascii="Arial" w:hAnsi="Arial" w:cs="Arial"/>
          <w:sz w:val="20"/>
          <w:szCs w:val="20"/>
        </w:rPr>
        <w:t xml:space="preserve"> The objective is to enhance soil health, ultimately contributing to </w:t>
      </w:r>
      <w:r w:rsidR="006D6ABC" w:rsidRPr="00965149">
        <w:rPr>
          <w:rFonts w:ascii="Arial" w:hAnsi="Arial" w:cs="Arial"/>
          <w:sz w:val="20"/>
          <w:szCs w:val="20"/>
        </w:rPr>
        <w:t xml:space="preserve">sustainable </w:t>
      </w:r>
      <w:r w:rsidR="00725966" w:rsidRPr="00965149">
        <w:rPr>
          <w:rFonts w:ascii="Arial" w:hAnsi="Arial" w:cs="Arial"/>
          <w:sz w:val="20"/>
          <w:szCs w:val="20"/>
        </w:rPr>
        <w:t>global food security by ensuring the productivity and resilience of agricultural systems. The comprehensive exploration of these aspects underscores the need for a holistic approach to address the challenges associated with soil health on a global scale.</w:t>
      </w:r>
      <w:r w:rsidR="006D6ABC" w:rsidRPr="00965149">
        <w:rPr>
          <w:rFonts w:ascii="Arial" w:hAnsi="Arial" w:cs="Arial"/>
          <w:sz w:val="20"/>
          <w:szCs w:val="20"/>
        </w:rPr>
        <w:t xml:space="preserve"> </w:t>
      </w:r>
    </w:p>
    <w:p w14:paraId="4737D024" w14:textId="741CEAE6" w:rsidR="00FB25E3" w:rsidRPr="00A26B6D" w:rsidRDefault="00FB25E3" w:rsidP="00965149">
      <w:pPr>
        <w:pStyle w:val="NormalWeb"/>
        <w:spacing w:before="0" w:beforeAutospacing="0" w:after="300" w:afterAutospacing="0"/>
        <w:jc w:val="both"/>
      </w:pPr>
      <w:r w:rsidRPr="00A26B6D">
        <w:rPr>
          <w:b/>
        </w:rPr>
        <w:t>Keywords</w:t>
      </w:r>
      <w:r w:rsidRPr="00A26B6D">
        <w:t>: Food security, soil health, soil properties, sustainable agriculture</w:t>
      </w:r>
    </w:p>
    <w:p w14:paraId="146C64C8" w14:textId="733DC24B" w:rsidR="00BD681E" w:rsidRPr="00965149" w:rsidRDefault="006071B0" w:rsidP="00965149">
      <w:pPr>
        <w:pStyle w:val="NormalWeb"/>
        <w:spacing w:before="0" w:beforeAutospacing="0" w:after="300" w:afterAutospacing="0"/>
        <w:jc w:val="both"/>
        <w:rPr>
          <w:rFonts w:ascii="Arial" w:hAnsi="Arial" w:cs="Arial"/>
          <w:b/>
          <w:sz w:val="20"/>
          <w:szCs w:val="20"/>
        </w:rPr>
      </w:pPr>
      <w:r w:rsidRPr="00965149">
        <w:rPr>
          <w:rFonts w:ascii="Arial" w:hAnsi="Arial" w:cs="Arial"/>
          <w:b/>
          <w:sz w:val="20"/>
          <w:szCs w:val="20"/>
        </w:rPr>
        <w:t>I</w:t>
      </w:r>
      <w:r w:rsidR="00965149" w:rsidRPr="00965149">
        <w:rPr>
          <w:rFonts w:ascii="Arial" w:hAnsi="Arial" w:cs="Arial"/>
          <w:b/>
          <w:sz w:val="20"/>
          <w:szCs w:val="20"/>
        </w:rPr>
        <w:t>NTRODUCTION</w:t>
      </w:r>
      <w:r w:rsidRPr="00965149">
        <w:rPr>
          <w:rFonts w:ascii="Arial" w:hAnsi="Arial" w:cs="Arial"/>
          <w:b/>
          <w:sz w:val="20"/>
          <w:szCs w:val="20"/>
        </w:rPr>
        <w:t>:</w:t>
      </w:r>
    </w:p>
    <w:p w14:paraId="40D6BBB5" w14:textId="77777777" w:rsidR="00966C8C" w:rsidRDefault="006A3868" w:rsidP="006A3868">
      <w:pPr>
        <w:pStyle w:val="NormalWeb"/>
        <w:spacing w:after="300"/>
        <w:ind w:firstLine="720"/>
        <w:jc w:val="both"/>
        <w:rPr>
          <w:rFonts w:ascii="Arial" w:hAnsi="Arial" w:cs="Arial"/>
          <w:sz w:val="20"/>
          <w:szCs w:val="20"/>
        </w:rPr>
      </w:pPr>
      <w:r w:rsidRPr="006A3868">
        <w:rPr>
          <w:rFonts w:ascii="Arial" w:hAnsi="Arial" w:cs="Arial"/>
          <w:sz w:val="20"/>
          <w:szCs w:val="20"/>
          <w:highlight w:val="yellow"/>
        </w:rPr>
        <w:t>Soil health and soil security are closely linked to food and nutrition security. Strengthening them is essential for the proper functioning of terrestrial ecosystems, as it supports higher biodiversity, enhances crop productivity, and contributes to improved human livelihoods (</w:t>
      </w:r>
      <w:r w:rsidRPr="006A3868">
        <w:rPr>
          <w:sz w:val="20"/>
          <w:szCs w:val="20"/>
          <w:highlight w:val="yellow"/>
          <w:lang w:val="en-GB"/>
        </w:rPr>
        <w:t xml:space="preserve">Tripathi, </w:t>
      </w:r>
      <w:r w:rsidRPr="006A3868">
        <w:rPr>
          <w:i/>
          <w:sz w:val="20"/>
          <w:szCs w:val="20"/>
          <w:highlight w:val="yellow"/>
          <w:lang w:val="en-GB"/>
        </w:rPr>
        <w:t>et. al.</w:t>
      </w:r>
      <w:r w:rsidRPr="006A3868">
        <w:rPr>
          <w:sz w:val="20"/>
          <w:szCs w:val="20"/>
          <w:highlight w:val="yellow"/>
          <w:lang w:val="en-GB"/>
        </w:rPr>
        <w:t xml:space="preserve"> 2022</w:t>
      </w:r>
      <w:r w:rsidRPr="006A3868">
        <w:rPr>
          <w:rFonts w:ascii="Arial" w:hAnsi="Arial" w:cs="Arial"/>
          <w:sz w:val="20"/>
          <w:szCs w:val="20"/>
          <w:highlight w:val="yellow"/>
        </w:rPr>
        <w:t>).</w:t>
      </w:r>
      <w:r>
        <w:rPr>
          <w:rFonts w:ascii="Arial" w:hAnsi="Arial" w:cs="Arial"/>
          <w:sz w:val="20"/>
          <w:szCs w:val="20"/>
        </w:rPr>
        <w:t xml:space="preserve"> </w:t>
      </w:r>
      <w:r w:rsidR="006071B0" w:rsidRPr="00965149">
        <w:rPr>
          <w:rFonts w:ascii="Arial" w:hAnsi="Arial" w:cs="Arial"/>
          <w:sz w:val="20"/>
          <w:szCs w:val="20"/>
        </w:rPr>
        <w:t>The rapid rise in the global population, projected to reach 8.9 billion by 2050, is expected to result in increased demands for agricultural produc</w:t>
      </w:r>
      <w:r w:rsidR="00492382" w:rsidRPr="00965149">
        <w:rPr>
          <w:rFonts w:ascii="Arial" w:hAnsi="Arial" w:cs="Arial"/>
          <w:sz w:val="20"/>
          <w:szCs w:val="20"/>
        </w:rPr>
        <w:t>e to feed the growing population</w:t>
      </w:r>
      <w:r w:rsidR="006071B0" w:rsidRPr="00965149">
        <w:rPr>
          <w:rFonts w:ascii="Arial" w:hAnsi="Arial" w:cs="Arial"/>
          <w:sz w:val="20"/>
          <w:szCs w:val="20"/>
        </w:rPr>
        <w:t>.</w:t>
      </w:r>
      <w:r w:rsidR="00136583" w:rsidRPr="00965149">
        <w:rPr>
          <w:rFonts w:ascii="Arial" w:hAnsi="Arial" w:cs="Arial"/>
          <w:sz w:val="20"/>
          <w:szCs w:val="20"/>
        </w:rPr>
        <w:t xml:space="preserve"> </w:t>
      </w:r>
      <w:r w:rsidR="00492382" w:rsidRPr="00965149">
        <w:rPr>
          <w:rFonts w:ascii="Arial" w:hAnsi="Arial" w:cs="Arial"/>
          <w:sz w:val="20"/>
          <w:szCs w:val="20"/>
        </w:rPr>
        <w:t xml:space="preserve">The average land holding is likely to </w:t>
      </w:r>
      <w:r w:rsidR="00FF05B7" w:rsidRPr="00965149">
        <w:rPr>
          <w:rFonts w:ascii="Arial" w:hAnsi="Arial" w:cs="Arial"/>
          <w:sz w:val="20"/>
          <w:szCs w:val="20"/>
        </w:rPr>
        <w:t>decrease</w:t>
      </w:r>
      <w:r w:rsidR="00706AF7" w:rsidRPr="00965149">
        <w:rPr>
          <w:rFonts w:ascii="Arial" w:hAnsi="Arial" w:cs="Arial"/>
          <w:sz w:val="20"/>
          <w:szCs w:val="20"/>
        </w:rPr>
        <w:t xml:space="preserve"> </w:t>
      </w:r>
      <w:r w:rsidR="00492382" w:rsidRPr="00965149">
        <w:rPr>
          <w:rFonts w:ascii="Arial" w:hAnsi="Arial" w:cs="Arial"/>
          <w:sz w:val="20"/>
          <w:szCs w:val="20"/>
        </w:rPr>
        <w:t xml:space="preserve">from 0.15 ha to 0.08 ha, which would be uneconomical for farming. Crop production is also influenced by various limitations such as low fertility, insufficient soil moisture, low organic matter content, </w:t>
      </w:r>
      <w:r w:rsidR="005355AF" w:rsidRPr="00965149">
        <w:rPr>
          <w:rFonts w:ascii="Arial" w:hAnsi="Arial" w:cs="Arial"/>
          <w:sz w:val="20"/>
          <w:szCs w:val="20"/>
        </w:rPr>
        <w:t>soil erosion</w:t>
      </w:r>
      <w:r w:rsidR="00C93438" w:rsidRPr="00965149">
        <w:rPr>
          <w:rFonts w:ascii="Arial" w:hAnsi="Arial" w:cs="Arial"/>
          <w:sz w:val="20"/>
          <w:szCs w:val="20"/>
        </w:rPr>
        <w:t>,</w:t>
      </w:r>
      <w:r w:rsidR="00492382" w:rsidRPr="00965149">
        <w:rPr>
          <w:rFonts w:ascii="Arial" w:hAnsi="Arial" w:cs="Arial"/>
          <w:sz w:val="20"/>
          <w:szCs w:val="20"/>
        </w:rPr>
        <w:t xml:space="preserve"> and soil degradation.</w:t>
      </w:r>
      <w:r w:rsidR="005355AF" w:rsidRPr="00965149">
        <w:rPr>
          <w:rFonts w:ascii="Arial" w:hAnsi="Arial" w:cs="Arial"/>
          <w:sz w:val="20"/>
          <w:szCs w:val="20"/>
        </w:rPr>
        <w:t xml:space="preserve"> The condition of the soil health directly affects the growth, development, and overall productivity of crops. </w:t>
      </w:r>
      <w:r w:rsidR="000B777E" w:rsidRPr="00965149">
        <w:rPr>
          <w:rFonts w:ascii="Arial" w:hAnsi="Arial" w:cs="Arial"/>
          <w:sz w:val="20"/>
          <w:szCs w:val="20"/>
        </w:rPr>
        <w:t xml:space="preserve">Soil health can be described as the ability of soil to operate within the boundaries of an ecosystem, sustaining biological productivity, preserving environmental quality, and promoting the well-being of plants and animals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{"citationItems":[{"id":"ITEM-1","itemData":{"DOI":"10.1016/S0929-1393(00)00067-6","ISSN":"09291393","author":[{"dropping-particle":"","family":"Doran","given":"John W.","non-dropping-particle":"","parse-names":false,"suffix":""},{"dropping-particle":"","family":"Zeiss","given":"Michael R.","non-dropping-particle":"","parse-names":false,"suffix":""}],"container-title":"Applied Soil Ecology","id":"ITEM-1","issue":"1","issued":{"date-parts":[["2000","8"]]},"page":"3-11","title":"Soil health and sustainability: managing the biotic component of soil quality","type":"article-journal","volume":"15"},"uris":["http://www.mendeley.com/documents/?uuid=91b1c6b7-1600-3581-8cec-e44c1e44bcfd"]}],"mendeley":{"formattedCitation":"(Doran &amp; Zeiss, 2000)","plainTextFormattedCitation":"(Doran &amp; Zeiss, 2000)","previouslyFormattedCitation":"(Doran &amp; Zeiss, 2000)"},"properties":{"noteIndex":0},"schema":"https://github.com/citation-style-language/schema/raw/master/csl-citation.json"}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(Doran &amp; Zeiss, 2000)</w:t>
      </w:r>
      <w:r w:rsidR="00D8628C" w:rsidRPr="00965149">
        <w:rPr>
          <w:rFonts w:ascii="Arial" w:hAnsi="Arial" w:cs="Arial"/>
          <w:sz w:val="20"/>
          <w:szCs w:val="20"/>
        </w:rPr>
        <w:fldChar w:fldCharType="end"/>
      </w:r>
      <w:r w:rsidR="000B777E" w:rsidRPr="00965149">
        <w:rPr>
          <w:rFonts w:ascii="Arial" w:hAnsi="Arial" w:cs="Arial"/>
          <w:sz w:val="20"/>
          <w:szCs w:val="20"/>
        </w:rPr>
        <w:t xml:space="preserve">. Goswami </w:t>
      </w:r>
      <w:r w:rsidR="00346008" w:rsidRPr="00965149">
        <w:rPr>
          <w:rFonts w:ascii="Arial" w:hAnsi="Arial" w:cs="Arial"/>
          <w:sz w:val="20"/>
          <w:szCs w:val="20"/>
        </w:rPr>
        <w:t xml:space="preserve">&amp; </w:t>
      </w:r>
      <w:r w:rsidR="000B777E" w:rsidRPr="00965149">
        <w:rPr>
          <w:rFonts w:ascii="Arial" w:hAnsi="Arial" w:cs="Arial"/>
          <w:sz w:val="20"/>
          <w:szCs w:val="20"/>
        </w:rPr>
        <w:t>Rattan (1992) outlined soil health as a dynamic equilibrium state between flora and fauna and their surrounding soil environment, where all metabolic activities of the former proceed optimally without hindrance, stress, or impedance from the latter.</w:t>
      </w:r>
      <w:r w:rsidR="00AC7158" w:rsidRPr="00965149">
        <w:rPr>
          <w:rFonts w:ascii="Arial" w:hAnsi="Arial" w:cs="Arial"/>
          <w:sz w:val="20"/>
          <w:szCs w:val="20"/>
        </w:rPr>
        <w:t xml:space="preserve"> Soil health denotes the capacity of soil to deliver ecosystem services. The condition of soil mirrors its effectiveness in fulfilling environmental functions. A soil is deemed "healthy" when it offers ecosystem services at a level equal to or exceeding undisturbed reference soils of the same type in the corresponding region. Conversely, if a soil falls short </w:t>
      </w:r>
      <w:r w:rsidR="00C93438" w:rsidRPr="00965149">
        <w:rPr>
          <w:rFonts w:ascii="Arial" w:hAnsi="Arial" w:cs="Arial"/>
          <w:sz w:val="20"/>
          <w:szCs w:val="20"/>
        </w:rPr>
        <w:t xml:space="preserve">of </w:t>
      </w:r>
      <w:r w:rsidR="00AC7158" w:rsidRPr="00965149">
        <w:rPr>
          <w:rFonts w:ascii="Arial" w:hAnsi="Arial" w:cs="Arial"/>
          <w:sz w:val="20"/>
          <w:szCs w:val="20"/>
        </w:rPr>
        <w:t>providing the standard environmental functions observed in similar soils within its inherent ecosystem, it is considered unhealthy</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{"citationItems":[{"id":"ITEM-1","itemData":{"DOI":"10.3390/soilsystems5040061","ISSN":"2571-8789","abstract":"&lt;p&gt;In the past decade soil health has been intensively studied as a science and practiced as a means to help improve the global social, environmental, and economic sustainability. This paper reviews the recent advances of the scientific soil health system. The current understanding and interpretation of soil health from the perspectives of soil functions, processes, and properties is summarized. Multi-tier soil health indicators were selected from relevant soil physical, chemical, and biological parameters. A suite of soil health assessment methods have been developed, such as soil health card, Solvita soil health tests, Haney soil health test, and comprehensive assessment of soil health. An array of soil health management practices have been recommended, including proper land use, crop rotation, cover crops, conservation tillage, soil organic amendment, crop-range-livestock integration, and rotational grazing. Overall, the recommended soil health indicators and assessment methods need further validation and improvement in relevance, scientific validity, practicality, and local adaptation. Continuous research, education, and outreach efforts are warranted to promote localized development, adoption, and implementation of soil health assessment and management.&lt;/p&gt;","author":[{"dropping-particle":"","family":"Guo","given":"Mingxin","non-dropping-particle":"","parse-names":false,"suffix":""}],"container-title":"Soil Systems","id":"ITEM-1","issue":"4","issued":{"date-parts":[["2021","10","3"]]},"page":"61","title":"Soil Health Assessment and Management: Recent Development in Science and Practices","type":"article-journal","volume":"5"},"uris":["http://www.mendeley.com/documents/?uuid=4bf611c6-5202-3379-b480-2eda7880ef47"]}],"mendeley":{"formattedCitation":"(Guo, 2021)","plainTextFormattedCitation":"(Guo, 2021)","previouslyFormattedCitation":"(Guo,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(Guo, 2021)</w:t>
      </w:r>
      <w:r w:rsidR="00346008" w:rsidRPr="00965149">
        <w:rPr>
          <w:rFonts w:ascii="Arial" w:hAnsi="Arial" w:cs="Arial"/>
          <w:sz w:val="20"/>
          <w:szCs w:val="20"/>
        </w:rPr>
        <w:fldChar w:fldCharType="end"/>
      </w:r>
      <w:r w:rsidR="00346008" w:rsidRPr="00965149">
        <w:rPr>
          <w:rFonts w:ascii="Arial" w:hAnsi="Arial" w:cs="Arial"/>
          <w:sz w:val="20"/>
          <w:szCs w:val="20"/>
        </w:rPr>
        <w:t>.</w:t>
      </w:r>
      <w:r w:rsidR="00374E2B" w:rsidRPr="00965149">
        <w:rPr>
          <w:rFonts w:ascii="Arial" w:hAnsi="Arial" w:cs="Arial"/>
          <w:sz w:val="20"/>
          <w:szCs w:val="20"/>
        </w:rPr>
        <w:t xml:space="preserve"> </w:t>
      </w:r>
    </w:p>
    <w:p w14:paraId="77E318DE" w14:textId="77777777" w:rsidR="00966C8C" w:rsidRDefault="00374E2B" w:rsidP="006A3868">
      <w:pPr>
        <w:pStyle w:val="NormalWeb"/>
        <w:spacing w:after="300"/>
        <w:ind w:firstLine="720"/>
        <w:jc w:val="both"/>
        <w:rPr>
          <w:rFonts w:ascii="Arial" w:hAnsi="Arial" w:cs="Arial"/>
          <w:sz w:val="20"/>
          <w:szCs w:val="20"/>
        </w:rPr>
      </w:pPr>
      <w:r w:rsidRPr="00965149">
        <w:rPr>
          <w:rFonts w:ascii="Arial" w:hAnsi="Arial" w:cs="Arial"/>
          <w:sz w:val="20"/>
          <w:szCs w:val="20"/>
        </w:rPr>
        <w:t xml:space="preserve">Soil health is considered as the state of soil at a particular time equivalent to the dynamic soil properties that change in the short term while soil quality may be considered as soil usefulness for a particular purpose over a long time scale, equivalent to </w:t>
      </w:r>
      <w:r w:rsidR="00FF05B7" w:rsidRPr="00965149">
        <w:rPr>
          <w:rFonts w:ascii="Arial" w:hAnsi="Arial" w:cs="Arial"/>
          <w:sz w:val="20"/>
          <w:szCs w:val="20"/>
        </w:rPr>
        <w:t>intrinsic</w:t>
      </w:r>
      <w:r w:rsidRPr="00965149">
        <w:rPr>
          <w:rFonts w:ascii="Arial" w:hAnsi="Arial" w:cs="Arial"/>
          <w:sz w:val="20"/>
          <w:szCs w:val="20"/>
        </w:rPr>
        <w:t xml:space="preserve"> or static so</w:t>
      </w:r>
      <w:r w:rsidR="002046A3" w:rsidRPr="00965149">
        <w:rPr>
          <w:rFonts w:ascii="Arial" w:hAnsi="Arial" w:cs="Arial"/>
          <w:sz w:val="20"/>
          <w:szCs w:val="20"/>
        </w:rPr>
        <w:t>il quality</w:t>
      </w:r>
      <w:r w:rsidRPr="00965149">
        <w:rPr>
          <w:rFonts w:ascii="Arial" w:hAnsi="Arial" w:cs="Arial"/>
          <w:sz w:val="20"/>
          <w:szCs w:val="20"/>
        </w:rPr>
        <w:t xml:space="preserve">. In recent years, </w:t>
      </w:r>
      <w:r w:rsidRPr="00965149">
        <w:rPr>
          <w:rFonts w:ascii="Arial" w:hAnsi="Arial" w:cs="Arial"/>
          <w:sz w:val="20"/>
          <w:szCs w:val="20"/>
        </w:rPr>
        <w:lastRenderedPageBreak/>
        <w:t>the importance of soil health has gained significant recognition due to its pivotal role in supporting food production, water quality, and biodiversity</w:t>
      </w:r>
      <w:r w:rsidR="00D8628C"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{"citationItems":[{"id":"ITEM-1","itemData":{"DOI":"10.1016/j.soisec.2022.100071","ISSN":"26670062","author":[{"dropping-particle":"","family":"Das","given":"Bhabani S.","non-dropping-particle":"","parse-names":false,"suffix":""},{"dropping-particle":"","family":"Wani","given":"Suhas P.","non-dropping-particle":"","parse-names":false,"suffix":""},{"dropping-particle":"","family":"Benbi","given":"Dinesh K.","non-dropping-particle":"","parse-names":false,"suffix":""},{"dropping-particle":"","family":"Muddu","given":"Sekhar","non-dropping-particle":"","parse-names":false,"suffix":""},{"dropping-particle":"","family":"Bhattacharyya","given":"Tapas","non-dropping-particle":"","parse-names":false,"suffix":""},{"dropping-particle":"","family":"Mandal","given":"Biswapati","non-dropping-particle":"","parse-names":false,"suffix":""},{"dropping-particle":"","family":"Santra","given":"Priyabrata","non-dropping-particle":"","parse-names":false,"suffix":""},{"dropping-particle":"","family":"Chakraborty","given":"Debashis","non-dropping-particle":"","parse-names":false,"suffix":""},{"dropping-particle":"","family":"Bhattacharyya","given":"Ranjan","non-dropping-particle":"","parse-names":false,"suffix":""},{"dropping-particle":"","family":"Basak","given":"Nirmalendu","non-dropping-particle":"","parse-names":false,"suffix":""},{"dropping-particle":"","family":"Reddy","given":"Nagarjuna N.","non-dropping-particle":"","parse-names":false,"suffix":""}],"container-title":"Soil Security","id":"ITEM-1","issued":{"date-parts":[["2022","9"]]},"page":"100071","title":"Soil health and its relationship with food security and human health to meet the sustainable development goals in India","type":"article-journal","volume":"8"},"uris":["http://www.mendeley.com/documents/?uuid=fb4e8f9a-a4c7-3b47-a996-210d98abb7fa"]}],"mendeley":{"formattedCitation":"(Das et al., 2022)","plainTextFormattedCitation":"(Das et al., 2022)","previouslyFormattedCitation":"(Das et al., 2022)"},"properties":{"noteIndex":0},"schema":"https://github.com/citation-style-language/schema/raw/master/csl-citation.json"}</w:instrText>
      </w:r>
      <w:r w:rsidR="00D8628C" w:rsidRPr="00965149">
        <w:rPr>
          <w:rFonts w:ascii="Arial" w:hAnsi="Arial" w:cs="Arial"/>
          <w:sz w:val="20"/>
          <w:szCs w:val="20"/>
        </w:rPr>
        <w:fldChar w:fldCharType="separate"/>
      </w:r>
      <w:r w:rsidR="00D8628C" w:rsidRPr="00966C8C">
        <w:rPr>
          <w:rFonts w:ascii="Arial" w:hAnsi="Arial" w:cs="Arial"/>
          <w:i/>
          <w:noProof/>
          <w:sz w:val="20"/>
          <w:szCs w:val="20"/>
        </w:rPr>
        <w:t>(Das et al.,</w:t>
      </w:r>
      <w:r w:rsidR="00D8628C" w:rsidRPr="00965149">
        <w:rPr>
          <w:rFonts w:ascii="Arial" w:hAnsi="Arial" w:cs="Arial"/>
          <w:noProof/>
          <w:sz w:val="20"/>
          <w:szCs w:val="20"/>
        </w:rPr>
        <w:t xml:space="preserve"> 2022)</w:t>
      </w:r>
      <w:r w:rsidR="00D8628C" w:rsidRPr="00965149">
        <w:rPr>
          <w:rFonts w:ascii="Arial" w:hAnsi="Arial" w:cs="Arial"/>
          <w:sz w:val="20"/>
          <w:szCs w:val="20"/>
        </w:rPr>
        <w:fldChar w:fldCharType="end"/>
      </w:r>
      <w:r w:rsidRPr="00965149">
        <w:rPr>
          <w:rFonts w:ascii="Arial" w:hAnsi="Arial" w:cs="Arial"/>
          <w:sz w:val="20"/>
          <w:szCs w:val="20"/>
        </w:rPr>
        <w:t>.</w:t>
      </w:r>
      <w:r w:rsidR="00FD780D" w:rsidRPr="00965149">
        <w:rPr>
          <w:rFonts w:ascii="Arial" w:hAnsi="Arial" w:cs="Arial"/>
          <w:sz w:val="20"/>
          <w:szCs w:val="20"/>
        </w:rPr>
        <w:t xml:space="preserve"> </w:t>
      </w:r>
    </w:p>
    <w:p w14:paraId="17327B45" w14:textId="362656F7" w:rsidR="002D177B" w:rsidRPr="00965149" w:rsidRDefault="002D177B" w:rsidP="006A3868">
      <w:pPr>
        <w:pStyle w:val="NormalWeb"/>
        <w:spacing w:after="300"/>
        <w:ind w:firstLine="720"/>
        <w:jc w:val="both"/>
        <w:rPr>
          <w:rFonts w:ascii="Arial" w:hAnsi="Arial" w:cs="Arial"/>
          <w:sz w:val="20"/>
          <w:szCs w:val="20"/>
        </w:rPr>
      </w:pPr>
      <w:r w:rsidRPr="00965149">
        <w:rPr>
          <w:rFonts w:ascii="Arial" w:hAnsi="Arial" w:cs="Arial"/>
          <w:sz w:val="20"/>
          <w:szCs w:val="20"/>
        </w:rPr>
        <w:t>Soil health represents the enduring ability of soil to function as a vital living ecosystem, supporting plants, animals, and humans. It acts as a connection point between agricultural and soil science, weaving together considerations of policy, stakeholder needs, and principles of sustainable supply chain management. While historically focused on crop production, soil assessments have progressed to address broader aspects, including the influence of soil on water quality, climate change, and human health</w:t>
      </w:r>
      <w:r w:rsidR="00FD780D"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10.1038/s43017-020-0080-8","ISSN":"2662-138X","author":[{"dropping-particle":"","family":"Lehmann","given":"Johannes","non-dropping-particle":"","parse-names":false,"suffix":""},{"dropping-particle":"","family":"Bossio","given":"Deborah A.","non-dropping-particle":"","parse-names":false,"suffix":""},{"dropping-particle":"","family":"Kögel-Knabner","given":"Ingrid","non-dropping-particle":"","parse-names":false,"suffix":""},{"dropping-particle":"","family":"Rillig","given":"Matthias C.","non-dropping-particle":"","parse-names":false,"suffix":""}],"container-title":"Nature Reviews Earth &amp; Environment","id":"ITEM-1","issue":"10","issued":{"date-parts":[["2020","8","25"]]},"page":"544-553","title":"The concept and future prospects of soil health","type":"article-journal","volume":"1"},"uris":["http://www.mendeley.com/documents/?uuid=00d3a5e1-18e3-3c77-8ef0-1f1f397f963b"]}],"mendeley":{"formattedCitation":"(Lehmann et al., 2020)","plainTextFormattedCitation":"(Lehmann et al., 2020)","previouslyFormattedCitation":"(Lehmann et al., 2020)"},"properties":{"noteIndex":0},"schema":"https://github.com/citation-style-language/schema/raw/master/csl-citation.json"}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(Lehmann et al., 2020)</w:t>
      </w:r>
      <w:r w:rsidR="00D8628C" w:rsidRPr="00965149">
        <w:rPr>
          <w:rFonts w:ascii="Arial" w:hAnsi="Arial" w:cs="Arial"/>
          <w:sz w:val="20"/>
          <w:szCs w:val="20"/>
        </w:rPr>
        <w:fldChar w:fldCharType="end"/>
      </w:r>
      <w:r w:rsidRPr="00965149">
        <w:rPr>
          <w:rFonts w:ascii="Arial" w:hAnsi="Arial" w:cs="Arial"/>
          <w:sz w:val="20"/>
          <w:szCs w:val="20"/>
        </w:rPr>
        <w:t>. Despite this broader perspective, the evaluation of soil health is still largely dependent on chemical indicators, underscoring a continued lack of comprehensive knowledge and effective methods for assessing soil biodiversity</w:t>
      </w:r>
      <w:r w:rsidR="00FB02D1"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{"citationItems":[{"id":"ITEM-1","itemData":{"DOI":"10.1071/SR19067","ISSN":"1838-675X","abstract":"&lt;p&gt;A complex combination of environmental, biological, chemical, and physical properties and processes determine soil biodiversity and its relationship to biogeochemical functions and ecosystem services. Vegetation, land-use, and land management, in turn, influence diversity and function in the soil ecosystem. The objective of this review was to assess how different land-use systems (crop production, animal production, and planted forest) affect soil biodiversity, and how consequent changes in soil biodiversity influence energy (carbon) and nutrient dynamics. Deficiencies in understanding relationships between soil biodiversity and biogeochemical function in managed ecosystems are highlighted, along with the need to investigate how diversity influences specific processes across different functional groups and trophic levels. The continued development and application of molecular techniques and data informatics with descriptive approaches will contribute to advancing our understanding of soil biodiversity and function in managed agricultural and forest ecosystems.&lt;/p&gt;","author":[{"dropping-particle":"","family":"Chen","given":"X. D.","non-dropping-particle":"","parse-names":false,"suffix":""},{"dropping-particle":"","family":"Dunfield","given":"K. E.","non-dropping-particle":"","parse-names":false,"suffix":""},{"dropping-particle":"","family":"Fraser","given":"T. D.","non-dropping-particle":"","parse-names":false,"suffix":""},{"dropping-particle":"","family":"Wakelin","given":"S. A.","non-dropping-particle":"","parse-names":false,"suffix":""},{"dropping-particle":"","family":"Richardson","given":"A. E.","non-dropping-particle":"","parse-names":false,"suffix":""},{"dropping-particle":"","family":"Condron","given":"L. M.","non-dropping-particle":"","parse-names":false,"suffix":""}],"container-title":"Soil Research","id":"ITEM-1","issue":"1","issued":{"date-parts":[["2020"]]},"page":"1","title":"Soil biodiversity and biogeochemical function in managed ecosystems","type":"article-journal","volume":"58"},"uris":["http://www.mendeley.com/documents/?uuid=ac6fa3e5-eaa8-38c4-9736-edbe78ee07a7"]}],"mendeley":{"formattedCitation":"(Chen et al., 2020)","plainTextFormattedCitation":"(Chen et al., 2020)","previouslyFormattedCitation":"(Chen et al., 2020)"},"properties":{"noteIndex":0},"schema":"https://github.com/citation-style-language/schema/raw/master/csl-citation.json"}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(Chen et al., 2020)</w:t>
      </w:r>
      <w:r w:rsidR="00FB02D1" w:rsidRPr="00965149">
        <w:rPr>
          <w:rFonts w:ascii="Arial" w:hAnsi="Arial" w:cs="Arial"/>
          <w:sz w:val="20"/>
          <w:szCs w:val="20"/>
        </w:rPr>
        <w:fldChar w:fldCharType="end"/>
      </w:r>
    </w:p>
    <w:p w14:paraId="53576D74" w14:textId="77777777" w:rsidR="002046A3" w:rsidRPr="00965149" w:rsidRDefault="002046A3" w:rsidP="00965149">
      <w:pPr>
        <w:spacing w:line="240" w:lineRule="auto"/>
        <w:jc w:val="both"/>
        <w:rPr>
          <w:rFonts w:ascii="Arial" w:hAnsi="Arial" w:cs="Arial"/>
        </w:rPr>
      </w:pPr>
      <w:r w:rsidRPr="00965149">
        <w:rPr>
          <w:rFonts w:ascii="Arial" w:hAnsi="Arial" w:cs="Arial"/>
          <w:b/>
          <w:bCs/>
        </w:rPr>
        <w:t>Components of Soil Health:</w:t>
      </w:r>
    </w:p>
    <w:p w14:paraId="5C0ECF95" w14:textId="77777777" w:rsidR="002046A3" w:rsidRPr="00965149" w:rsidRDefault="002046A3" w:rsidP="00965149">
      <w:pPr>
        <w:spacing w:line="240" w:lineRule="auto"/>
        <w:jc w:val="both"/>
        <w:rPr>
          <w:rFonts w:ascii="Arial" w:hAnsi="Arial" w:cs="Arial"/>
          <w:i/>
          <w:iCs/>
          <w:sz w:val="20"/>
          <w:szCs w:val="20"/>
        </w:rPr>
      </w:pPr>
      <w:r w:rsidRPr="00965149">
        <w:rPr>
          <w:rFonts w:ascii="Arial" w:hAnsi="Arial" w:cs="Arial"/>
          <w:i/>
          <w:iCs/>
          <w:sz w:val="20"/>
          <w:szCs w:val="20"/>
        </w:rPr>
        <w:t>1. Physical Health:</w:t>
      </w:r>
    </w:p>
    <w:p w14:paraId="3F3E7C2B" w14:textId="4F0E631C"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 xml:space="preserve"> Physical properties of soil include texture, structure, and porosity, which collectively influence water retention, drainage, and aeration. A healthy soil structure promotes root growth, allowing plants to access nutrients and water efficiently. Compaction and erosion are indicators of poor physical health, adversely affecting agricultural productivity. Understanding the physical properties of soil is crucial for defining and enhancing soil health to achieve optimal productivity under various soil and climatic conditions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{"citationItems":[{"id":"ITEM-1","itemData":{"DOI":"10.18520/cs/v110/i3/320-328","ISSN":"0011-3891","author":[{"dropping-particle":"","family":"Indoria","given":"A. K.","non-dropping-particle":"","parse-names":false,"suffix":""},{"dropping-particle":"","family":"Sharma","given":"K. L.","non-dropping-particle":"","parse-names":false,"suffix":""},{"dropping-particle":"","family":"Sammi Reddy","given":"K.","non-dropping-particle":"","parse-names":false,"suffix":""},{"dropping-particle":"","family":"Srinivasa Rao","given":"Ch.","non-dropping-particle":"","parse-names":false,"suffix":""}],"container-title":"Current Science","id":"ITEM-1","issue":"3","issued":{"date-parts":[["2016","2","1"]]},"page":"320","title":"Role of Soil Physical Properties in Soil Health Management and Crop Productivity in Rainfed Systems-II Management Technologies and Crop Productivity","type":"article-journal","volume":"110"},"uris":["http://www.mendeley.com/documents/?uuid=961a65d6-ed7d-3ecf-985f-81efc7f62af7"]}],"mendeley":{"formattedCitation":"(Indoria et al., 2016)","plainTextFormattedCitation":"(Indoria et al., 2016)","previouslyFormattedCitation":"(Indoria et 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(Indoria et al., 2016)</w:t>
      </w:r>
      <w:r w:rsidR="00346008" w:rsidRPr="00965149">
        <w:rPr>
          <w:rFonts w:ascii="Arial" w:hAnsi="Arial" w:cs="Arial"/>
          <w:sz w:val="20"/>
          <w:szCs w:val="20"/>
        </w:rPr>
        <w:fldChar w:fldCharType="end"/>
      </w:r>
      <w:r w:rsidR="00346008" w:rsidRPr="00965149">
        <w:rPr>
          <w:rFonts w:ascii="Arial" w:hAnsi="Arial" w:cs="Arial"/>
          <w:sz w:val="20"/>
          <w:szCs w:val="20"/>
        </w:rPr>
        <w:t>.</w:t>
      </w:r>
      <w:r w:rsidRPr="00965149">
        <w:rPr>
          <w:rFonts w:ascii="Arial" w:hAnsi="Arial" w:cs="Arial"/>
          <w:sz w:val="20"/>
          <w:szCs w:val="20"/>
        </w:rPr>
        <w:t xml:space="preserve"> The field-based physical characterization of soil is highly influenced by its spatial and temporal variability. </w:t>
      </w:r>
    </w:p>
    <w:p w14:paraId="5B2E4CD2"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2. Chemical Health:</w:t>
      </w:r>
      <w:r w:rsidRPr="00965149">
        <w:rPr>
          <w:rFonts w:ascii="Arial" w:hAnsi="Arial" w:cs="Arial"/>
          <w:sz w:val="20"/>
          <w:szCs w:val="20"/>
        </w:rPr>
        <w:t xml:space="preserve"> </w:t>
      </w:r>
    </w:p>
    <w:p w14:paraId="1A45EDE8" w14:textId="0B77D4DD"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Chemical aspects refer to the nutrient content and pH levels in the soil. Essential nutrients such as nitrogen, phosphorus, and potassium are vital for plant growth. Soil pH influences nutrient availability; an optimal range is crucial for microbial activity and nutrient uptake by plants. Imbalances can lead to deficiencies or toxicities, impacting the overall health of the soil.</w:t>
      </w:r>
      <w:r w:rsidRPr="00965149">
        <w:rPr>
          <w:rFonts w:ascii="Arial" w:eastAsia="Times New Roman" w:hAnsi="Arial" w:cs="Arial"/>
          <w:sz w:val="20"/>
          <w:szCs w:val="20"/>
          <w:lang w:eastAsia="en-IN"/>
        </w:rPr>
        <w:t xml:space="preserve"> </w:t>
      </w:r>
      <w:r w:rsidRPr="00965149">
        <w:rPr>
          <w:rFonts w:ascii="Arial" w:hAnsi="Arial" w:cs="Arial"/>
          <w:sz w:val="20"/>
          <w:szCs w:val="20"/>
        </w:rPr>
        <w:t xml:space="preserve">Soil chemical health gets more attention from both researchers and stakeholders because of its most direct and significant influence on agricultural productivity, </w:t>
      </w:r>
      <w:r w:rsidR="00FF05B7" w:rsidRPr="00965149">
        <w:rPr>
          <w:rFonts w:ascii="Arial" w:hAnsi="Arial" w:cs="Arial"/>
          <w:sz w:val="20"/>
          <w:szCs w:val="20"/>
        </w:rPr>
        <w:t xml:space="preserve">the </w:t>
      </w:r>
      <w:r w:rsidRPr="00965149">
        <w:rPr>
          <w:rFonts w:ascii="Arial" w:hAnsi="Arial" w:cs="Arial"/>
          <w:sz w:val="20"/>
          <w:szCs w:val="20"/>
        </w:rPr>
        <w:t xml:space="preserve">growing need for external addition of amendments and nutrient sources, and the profound influence of soil chemical properties on </w:t>
      </w:r>
      <w:r w:rsidR="00FF05B7" w:rsidRPr="00965149">
        <w:rPr>
          <w:rFonts w:ascii="Arial" w:hAnsi="Arial" w:cs="Arial"/>
          <w:sz w:val="20"/>
          <w:szCs w:val="20"/>
        </w:rPr>
        <w:t xml:space="preserve">the </w:t>
      </w:r>
      <w:r w:rsidRPr="00965149">
        <w:rPr>
          <w:rFonts w:ascii="Arial" w:hAnsi="Arial" w:cs="Arial"/>
          <w:sz w:val="20"/>
          <w:szCs w:val="20"/>
        </w:rPr>
        <w:t xml:space="preserve">modification of soil biological and physical health. The chemical degradation of soil is through the reduction in soil carbon, changes in soil reaction (acidification and </w:t>
      </w:r>
      <w:proofErr w:type="spellStart"/>
      <w:r w:rsidRPr="00965149">
        <w:rPr>
          <w:rFonts w:ascii="Arial" w:hAnsi="Arial" w:cs="Arial"/>
          <w:sz w:val="20"/>
          <w:szCs w:val="20"/>
        </w:rPr>
        <w:t>sodification</w:t>
      </w:r>
      <w:proofErr w:type="spellEnd"/>
      <w:r w:rsidRPr="00965149">
        <w:rPr>
          <w:rFonts w:ascii="Arial" w:hAnsi="Arial" w:cs="Arial"/>
          <w:sz w:val="20"/>
          <w:szCs w:val="20"/>
        </w:rPr>
        <w:t>), modification of soil mineral nutrient status (nutrient imbalance, multi-nutrient deficiency) accumulation of toxic compound (agrochemicals)</w:t>
      </w:r>
      <w:r w:rsidR="005C08BD" w:rsidRPr="00965149">
        <w:rPr>
          <w:rFonts w:ascii="Arial" w:hAnsi="Arial" w:cs="Arial"/>
          <w:sz w:val="20"/>
          <w:szCs w:val="20"/>
        </w:rPr>
        <w:t>,</w:t>
      </w:r>
      <w:r w:rsidRPr="00965149">
        <w:rPr>
          <w:rFonts w:ascii="Arial" w:hAnsi="Arial" w:cs="Arial"/>
          <w:sz w:val="20"/>
          <w:szCs w:val="20"/>
        </w:rPr>
        <w:t xml:space="preserve"> and Soil pollution.</w:t>
      </w:r>
    </w:p>
    <w:p w14:paraId="5A911B70" w14:textId="2431E91F" w:rsidR="0062608D"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 xml:space="preserve">At the global scale, soil serves as a crucial carbon reservoir, containing 1,895–2,530 Pg of carbon. This amount is twice that found in the atmosphere and three times greater than the carbon stored in biotic pools. Within the total soil carbon content, 695–930 Pg is inorganic, while 1,200–1,600 Pg is organic </w:t>
      </w:r>
      <w:r w:rsidR="00FB02D1"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{"citationItems":[{"id":"ITEM-1","itemData":{"DOI":"10.1371/journal.pone.0219969","ISSN":"1932-6203","author":[{"dropping-particle":"","family":"Sahoo","given":"Uttam Kumar","non-dropping-particle":"","parse-names":false,"suffix":""},{"dropping-particle":"","family":"Singh","given":"Soibam Lanabir","non-dropping-particle":"","parse-names":false,"suffix":""},{"dropping-particle":"","family":"Gogoi","given":"Anudip","non-dropping-particle":"","parse-names":false,"suffix":""},{"dropping-particle":"","family":"Kenye","given":"Alice","non-dropping-particle":"","parse-names":false,"suffix":""},{"dropping-particle":"","family":"Sahoo","given":"Snehasudha S.","non-dropping-particle":"","parse-names":false,"suffix":""}],"container-title":"PLOS ONE","id":"ITEM-1","issue":"7","issued":{"date-parts":[["2019","7","30"]]},"page":"e0219969","title":"Active and passive soil organic carbon pools as affected by different land use types in Mizoram, Northeast India","type":"article-journal","volume":"14"},"uris":["http://www.mendeley.com/documents/?uuid=1f1bec6a-67d8-38bc-af51-4e1a1a12a1f0"]}],"mendeley":{"formattedCitation":"(Sahoo et al., 2019)","plainTextFormattedCitation":"(Sahoo et al., 2019)","previouslyFormattedCitation":"(Sahoo et al., 2019)"},"properties":{"noteIndex":0},"schema":"https://github.com/citation-style-language/schema/raw/master/csl-citation.json"}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 xml:space="preserve">(Sahoo </w:t>
      </w:r>
      <w:r w:rsidR="00FB02D1" w:rsidRPr="00966C8C">
        <w:rPr>
          <w:rFonts w:ascii="Arial" w:hAnsi="Arial" w:cs="Arial"/>
          <w:i/>
          <w:noProof/>
          <w:sz w:val="20"/>
          <w:szCs w:val="20"/>
        </w:rPr>
        <w:t>et al.,</w:t>
      </w:r>
      <w:r w:rsidR="00FB02D1" w:rsidRPr="00965149">
        <w:rPr>
          <w:rFonts w:ascii="Arial" w:hAnsi="Arial" w:cs="Arial"/>
          <w:noProof/>
          <w:sz w:val="20"/>
          <w:szCs w:val="20"/>
        </w:rPr>
        <w:t xml:space="preserve"> 2019)</w:t>
      </w:r>
      <w:r w:rsidR="00FB02D1" w:rsidRPr="00965149">
        <w:rPr>
          <w:rFonts w:ascii="Arial" w:hAnsi="Arial" w:cs="Arial"/>
          <w:sz w:val="20"/>
          <w:szCs w:val="20"/>
        </w:rPr>
        <w:fldChar w:fldCharType="end"/>
      </w:r>
      <w:r w:rsidRPr="00965149">
        <w:rPr>
          <w:rFonts w:ascii="Arial" w:hAnsi="Arial" w:cs="Arial"/>
          <w:sz w:val="20"/>
          <w:szCs w:val="20"/>
        </w:rPr>
        <w:t>. Of these fractions, organic carbon holds greater significance for soil health. Given the substantial decline in soil organic carbon observed in Indian soil (Reddy, 201</w:t>
      </w:r>
      <w:r w:rsidR="00EC22C3" w:rsidRPr="00965149">
        <w:rPr>
          <w:rFonts w:ascii="Arial" w:hAnsi="Arial" w:cs="Arial"/>
          <w:sz w:val="20"/>
          <w:szCs w:val="20"/>
        </w:rPr>
        <w:t>8</w:t>
      </w:r>
      <w:r w:rsidRPr="00965149">
        <w:rPr>
          <w:rFonts w:ascii="Arial" w:hAnsi="Arial" w:cs="Arial"/>
          <w:sz w:val="20"/>
          <w:szCs w:val="20"/>
        </w:rPr>
        <w:t>) and worldwide agricultural production systems.</w:t>
      </w:r>
    </w:p>
    <w:p w14:paraId="07C49A0D" w14:textId="31B7169A" w:rsidR="002046A3"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An approximately neutral pH in the soil is generally ideal for crop cultivation and various soil properties. Any deviation from this neutral pH can impact the chemical health of the soil. Changes in soil pH resulting from human-induced alterations in soil, water, and plant dynamics occur gradually, given the soil's buffering capacity and the predominant influence of soil mineral components, which occupy 45% of the total soil volume, in determining soil reactions.</w:t>
      </w:r>
    </w:p>
    <w:p w14:paraId="2B9FFFAF" w14:textId="371B45B9" w:rsidR="00432BEC" w:rsidRPr="00965149" w:rsidRDefault="00432BEC" w:rsidP="00965149">
      <w:pPr>
        <w:spacing w:line="240" w:lineRule="auto"/>
        <w:ind w:firstLine="720"/>
        <w:jc w:val="both"/>
        <w:rPr>
          <w:rFonts w:ascii="Arial" w:hAnsi="Arial" w:cs="Arial"/>
          <w:sz w:val="20"/>
          <w:szCs w:val="20"/>
        </w:rPr>
      </w:pPr>
      <w:r w:rsidRPr="00965149">
        <w:rPr>
          <w:rFonts w:ascii="Arial" w:hAnsi="Arial" w:cs="Arial"/>
          <w:sz w:val="20"/>
          <w:szCs w:val="20"/>
        </w:rPr>
        <w:t xml:space="preserve">In contemporary agriculture, nutrient application stands out as a crucial input, driven by the heightened responsiveness of crops to such applications. This emphasis on nutrient addition is primarily a response to the increased demand for food production resulting from crop and/or cropping system intensification, aimed at meeting the needs of a growing population, coupled with a decline in soil nutrient levels. The alteration in soil nutritional status manifests predominantly as nutrient imbalance, multi-nutritional deficiency, and nutrient mining. Nutrient imbalance occurs due to disparities in nutrient uptake and fertility addition, leading to a mismatch with the plant's actual nutrient uptake. The current prevalence of multi-nutritional deficiency arises from the exclusive application of primary nutrients, particularly nitrogen (N) and phosphorus (P), with a complete reliance on soil nutrient reserves for other essential nutrients. Nutrient mining, on the other hand, refers to the negative balance between nutrient addition and the nutrients removed by crops. In the present scenario, Indian soils exhibit a negative balance of 8 to 10 million tons per year (NAAS, 2018), reflecting a depletion in nutrient levels. This </w:t>
      </w:r>
      <w:r w:rsidRPr="00965149">
        <w:rPr>
          <w:rFonts w:ascii="Arial" w:hAnsi="Arial" w:cs="Arial"/>
          <w:sz w:val="20"/>
          <w:szCs w:val="20"/>
        </w:rPr>
        <w:lastRenderedPageBreak/>
        <w:t xml:space="preserve">phenomenon is not unique to India, as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{"citationItems":[{"id":"ITEM-1","itemData":{"DOI":"10.1111/1365-2664.12089","ISSN":"0021-8901","abstract":"&lt;p&gt; &lt;list&gt; &lt;list-item&gt; &lt;p&gt;The Green Revolution successfully increased food production but in doing so created a legacy of inherently leaky and unsustainable agricultural systems. Central to this are the problems of excessive nutrient mining. If agriculture is to balance the needs of food security with the delivery of other ecosystem services, then current rates of soil nutrient stripping must be reduced and the use of synthetic fertilisers made more efficient.&lt;/p&gt; &lt;/list-item&gt; &lt;list-item&gt; &lt;p&gt;We explore the global extent of the problem, with specific emphasis on the failure of macronutrient management (e.g. nitrogen, phosphorus) to deliver continued improvements in yield and the failure of agriculture to recognise the seriousness of micronutrient depletion (e.g. copper, zinc, selenium).&lt;/p&gt; &lt;/list-item&gt; &lt;list-item&gt; &lt;p&gt; Nutrient removals associated with the relatively immature,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rich soils of the &lt;styled-content style=\"fixed-case\"&gt;UK&lt;/styled-content&gt; are contrasted with the 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poor soils of India gaining insight into the emerging issue of nutrient stripping and the long</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term implications for human health and soil quality. Whilst nutrient deficiencies are rare in developed countries, micronutrient deficiencies are commonly increasing in less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developed countries. Increasing rates of micronutrient depletion are being inadvertently accomplished through increasing crop yield potential and nitrogen fertiliser applications. &lt;/p&gt; &lt;/list-item&gt; &lt;list-item&gt; &lt;p&gt;Amongst other factors, the spatial disconnects caused by the segregation and industrialisation of livestock systems, between rural areas (where food is produced) and urban areas (where food is consumed and human waste treated) are identified as a major constraint to sustainable nutrient recycling.&lt;/p&gt; &lt;/list-item&gt; &lt;list-item&gt; &lt;p&gt; &lt;italic&gt;Synthesis and applications&lt;/italic&gt; . This study advocates that agricultural sustainability can only be accomplished using a whole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systems approach that thoroughly considers nutrient stocks, removals, exports and recycling. Society needs to socially and environmentally re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engineer agricultural systems at all scales. It is suggested that this will be best realised by national</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scale initiatives. Failure to do so will lead to an inevitable and rapid decline in the delivery of provisioning services within agricultural systems. &lt;/p&gt; &lt;/list-item&gt; &lt;/list&gt; &lt;/p&gt;","author":[{"dropping-particle":"","family":"Jones","given":"Davey L.","non-dropping-particle":"","parse-names":false,"suffix":""},{"dropping-particle":"","family":"Cross","given":"Paul","non-dropping-particle":"","parse-names":false,"suffix":""},{"dropping-particle":"","family":"Withers","given":"Paul J. A.","non-dropping-particle":"","parse-names":false,"suffix":""},{"dropping-particle":"","family":"DeLuca","given":"Thomas H.","non-dropping-particle":"","parse-names":false,"suffix":""},{"dropping-particle":"","family":"Robinson","given":"David A.","non-dropping-particle":"","parse-names":false,"suffix":""},{"dropping-particle":"","family":"Quilliam","given":"Richard S.","non-dropping-particle":"","parse-names":false,"suffix":""},{"dropping-particle":"","family":"Harris","given":"Ian M.","non-dropping-particle":"","parse-names":false,"suffix":""},{"dropping-particle":"","family":"Chadwick","given":"David R.","non-dropping-particle":"","parse-names":false,"suffix":""},{"dropping-particle":"","family":"Edwards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Jones","given":"Gareth","non-dropping-particle":"","parse-names":false,"suffix":""}],"container-title":"Journal of Applied Ecology","id":"ITEM-1","issue":"4","issued":{"date-parts":[["2013","8","8"]]},"page":"851-862","title":"REVIEW: Nutrient stripping: the global disparity between food security and soil nutrient stocks","type":"article-journal","volume":"50"},"uris":["http://www.mendeley.com/documents/?uuid=67c26aa4-a7a5-3b3d-82c0-91458be1e3e3"]}],"mendeley":{"formattedCitation":"(Jones et al., 2013)","plainTextFormattedCitation":"(Jones et al., 2013)","previouslyFormattedCitation":"(Jones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 xml:space="preserve">(Jones </w:t>
      </w:r>
      <w:r w:rsidR="001E4A7B" w:rsidRPr="00966C8C">
        <w:rPr>
          <w:rFonts w:ascii="Arial" w:hAnsi="Arial" w:cs="Arial"/>
          <w:i/>
          <w:noProof/>
          <w:sz w:val="20"/>
          <w:szCs w:val="20"/>
        </w:rPr>
        <w:t>et al.,</w:t>
      </w:r>
      <w:r w:rsidR="001E4A7B" w:rsidRPr="00965149">
        <w:rPr>
          <w:rFonts w:ascii="Arial" w:hAnsi="Arial" w:cs="Arial"/>
          <w:noProof/>
          <w:sz w:val="20"/>
          <w:szCs w:val="20"/>
        </w:rPr>
        <w:t xml:space="preserve">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Pr="00965149">
        <w:rPr>
          <w:rFonts w:ascii="Arial" w:hAnsi="Arial" w:cs="Arial"/>
          <w:sz w:val="20"/>
          <w:szCs w:val="20"/>
        </w:rPr>
        <w:t xml:space="preserve">and </w:t>
      </w:r>
      <w:proofErr w:type="spellStart"/>
      <w:r w:rsidRPr="00965149">
        <w:rPr>
          <w:rFonts w:ascii="Arial" w:hAnsi="Arial" w:cs="Arial"/>
          <w:sz w:val="20"/>
          <w:szCs w:val="20"/>
        </w:rPr>
        <w:t>Henao</w:t>
      </w:r>
      <w:proofErr w:type="spellEnd"/>
      <w:r w:rsidRPr="00965149">
        <w:rPr>
          <w:rFonts w:ascii="Arial" w:hAnsi="Arial" w:cs="Arial"/>
          <w:sz w:val="20"/>
          <w:szCs w:val="20"/>
        </w:rPr>
        <w:t xml:space="preserve"> and </w:t>
      </w:r>
      <w:proofErr w:type="spellStart"/>
      <w:r w:rsidRPr="00965149">
        <w:rPr>
          <w:rFonts w:ascii="Arial" w:hAnsi="Arial" w:cs="Arial"/>
          <w:sz w:val="20"/>
          <w:szCs w:val="20"/>
        </w:rPr>
        <w:t>Baanante</w:t>
      </w:r>
      <w:proofErr w:type="spellEnd"/>
      <w:r w:rsidRPr="00965149">
        <w:rPr>
          <w:rFonts w:ascii="Arial" w:hAnsi="Arial" w:cs="Arial"/>
          <w:sz w:val="20"/>
          <w:szCs w:val="20"/>
        </w:rPr>
        <w:t xml:space="preserve"> (2006) have reported similar nutrient mining practices at the global level.</w:t>
      </w:r>
    </w:p>
    <w:p w14:paraId="1C72C914" w14:textId="745288F2" w:rsidR="00D06EFC" w:rsidRPr="00965149" w:rsidRDefault="00D06EFC" w:rsidP="00965149">
      <w:pPr>
        <w:spacing w:line="240" w:lineRule="auto"/>
        <w:ind w:firstLine="720"/>
        <w:jc w:val="both"/>
        <w:rPr>
          <w:rFonts w:ascii="Arial" w:hAnsi="Arial" w:cs="Arial"/>
          <w:sz w:val="20"/>
          <w:szCs w:val="20"/>
        </w:rPr>
      </w:pPr>
      <w:r w:rsidRPr="00965149">
        <w:rPr>
          <w:rFonts w:ascii="Arial" w:hAnsi="Arial" w:cs="Arial"/>
          <w:sz w:val="20"/>
          <w:szCs w:val="20"/>
        </w:rPr>
        <w:t>The emergence of soil po</w:t>
      </w:r>
      <w:r w:rsidR="00CA76A0" w:rsidRPr="00965149">
        <w:rPr>
          <w:rFonts w:ascii="Arial" w:hAnsi="Arial" w:cs="Arial"/>
          <w:sz w:val="20"/>
          <w:szCs w:val="20"/>
        </w:rPr>
        <w:t xml:space="preserve">llution in cultivated fields is </w:t>
      </w:r>
      <w:r w:rsidRPr="00965149">
        <w:rPr>
          <w:rFonts w:ascii="Arial" w:hAnsi="Arial" w:cs="Arial"/>
          <w:sz w:val="20"/>
          <w:szCs w:val="20"/>
        </w:rPr>
        <w:t>increasingly recognized as a significant consequence of contemporary agrochemical-dependent agriculture and the absence of proper assessment of the environmental impact of agricultural activities.</w:t>
      </w:r>
    </w:p>
    <w:p w14:paraId="1C56A41D"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3. Biological Health:</w:t>
      </w:r>
      <w:r w:rsidRPr="00965149">
        <w:rPr>
          <w:rFonts w:ascii="Arial" w:hAnsi="Arial" w:cs="Arial"/>
          <w:sz w:val="20"/>
          <w:szCs w:val="20"/>
        </w:rPr>
        <w:t xml:space="preserve"> </w:t>
      </w:r>
    </w:p>
    <w:p w14:paraId="566EA23D" w14:textId="6A5CFCBE" w:rsidR="004D7D92" w:rsidRDefault="004D7D92" w:rsidP="00965149">
      <w:pPr>
        <w:spacing w:line="240" w:lineRule="auto"/>
        <w:jc w:val="both"/>
        <w:rPr>
          <w:rFonts w:ascii="Arial" w:hAnsi="Arial" w:cs="Arial"/>
          <w:sz w:val="20"/>
          <w:szCs w:val="20"/>
        </w:rPr>
      </w:pPr>
      <w:r w:rsidRPr="004D7D92">
        <w:rPr>
          <w:rFonts w:ascii="Arial" w:hAnsi="Arial" w:cs="Arial"/>
          <w:sz w:val="20"/>
          <w:szCs w:val="20"/>
        </w:rPr>
        <w:t>Microbial activity in the soil fosters the formation of soil aggregates, which improves soil structure, increases aeration and water retention, and ultimately benefits crop growth. </w:t>
      </w:r>
      <w:hyperlink r:id="rId11" w:tooltip="Learn more about Biofertilizers from ScienceDirect's AI-generated Topic Pages" w:history="1">
        <w:r w:rsidRPr="004D7D92">
          <w:rPr>
            <w:rStyle w:val="Hyperlink"/>
            <w:rFonts w:ascii="Arial" w:hAnsi="Arial" w:cs="Arial"/>
            <w:color w:val="auto"/>
            <w:sz w:val="20"/>
            <w:szCs w:val="20"/>
          </w:rPr>
          <w:t>Biofertilizers</w:t>
        </w:r>
      </w:hyperlink>
      <w:r w:rsidRPr="004D7D92">
        <w:rPr>
          <w:rFonts w:ascii="Arial" w:hAnsi="Arial" w:cs="Arial"/>
          <w:sz w:val="20"/>
          <w:szCs w:val="20"/>
        </w:rPr>
        <w:t xml:space="preserve"> comprise a diverse array of beneficial microorganisms, including nitrogen-fixing bacteria, phosphate-solubilizing fungi, and </w:t>
      </w:r>
      <w:r w:rsidR="000A7F70">
        <w:rPr>
          <w:rFonts w:ascii="Arial" w:hAnsi="Arial" w:cs="Arial"/>
          <w:sz w:val="20"/>
          <w:szCs w:val="20"/>
        </w:rPr>
        <w:t>potassium-solubilizing bacteria</w:t>
      </w:r>
      <w:r w:rsidR="000A7F70" w:rsidRPr="000A7F70">
        <w:rPr>
          <w:rFonts w:ascii="Arial" w:hAnsi="Arial" w:cs="Arial"/>
          <w:sz w:val="20"/>
          <w:szCs w:val="20"/>
        </w:rPr>
        <w:t xml:space="preserve"> </w:t>
      </w:r>
      <w:r w:rsidR="000A7F70">
        <w:rPr>
          <w:rFonts w:ascii="Arial" w:hAnsi="Arial" w:cs="Arial"/>
          <w:sz w:val="20"/>
          <w:szCs w:val="20"/>
        </w:rPr>
        <w:t>(</w:t>
      </w:r>
      <w:r w:rsidR="000A7F70" w:rsidRPr="000A7F70">
        <w:rPr>
          <w:rFonts w:ascii="Arial" w:hAnsi="Arial" w:cs="Arial"/>
          <w:sz w:val="20"/>
          <w:szCs w:val="20"/>
        </w:rPr>
        <w:t xml:space="preserve">Xing, </w:t>
      </w:r>
      <w:r w:rsidR="000A7F70" w:rsidRPr="000A7F70">
        <w:rPr>
          <w:rFonts w:ascii="Arial" w:hAnsi="Arial" w:cs="Arial"/>
          <w:i/>
          <w:sz w:val="20"/>
          <w:szCs w:val="20"/>
        </w:rPr>
        <w:t>et al.,</w:t>
      </w:r>
      <w:r w:rsidR="000A7F70" w:rsidRPr="000A7F70">
        <w:rPr>
          <w:rFonts w:ascii="Arial" w:hAnsi="Arial" w:cs="Arial"/>
          <w:sz w:val="20"/>
          <w:szCs w:val="20"/>
        </w:rPr>
        <w:t xml:space="preserve"> 2025</w:t>
      </w:r>
      <w:r w:rsidR="000A7F70">
        <w:rPr>
          <w:rFonts w:ascii="Arial" w:hAnsi="Arial" w:cs="Arial"/>
          <w:sz w:val="20"/>
          <w:szCs w:val="20"/>
        </w:rPr>
        <w:t>).</w:t>
      </w:r>
    </w:p>
    <w:p w14:paraId="42E2B9A3" w14:textId="1C2BC699"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Biological components of soil health involve a diverse community of microorganisms, including bacteria, fungi, and other microbes. These organisms play a crucial role in nutrient cycling, organic matter decomposition, and disease suppression. A thriving microbial community enhances soil fertility and resilience. The changes in soil biological properties can significantly impact the entire soil environment, whether through an increase or decrease in the concentration, availability, or decomposition of specific elements. These alterations, whether direct or indirect, have profound effects on both the physical and chemical properties of the soil. Soil microbes are responsible for facilitating nutrient cycling processes, transporting elements from one soil layer to another, from the lower surface to the upper surface, or even between different environmental contexts.</w:t>
      </w:r>
      <w:r w:rsidR="00C9747A" w:rsidRPr="00965149">
        <w:rPr>
          <w:rFonts w:ascii="Arial" w:hAnsi="Arial" w:cs="Arial"/>
          <w:sz w:val="20"/>
          <w:szCs w:val="20"/>
        </w:rPr>
        <w:t xml:space="preserve"> Soil biological degradation is characterized by the decline or removal of crucial microorganism populations in the soil, leading to consequential alterations in biochemical processes within the connected ecosystem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{"citationItems":[{"id":"ITEM-1","itemData":{"DOI":"10.1007/978-1-4612-3322-0_8","author":[{"dropping-particle":"","family":"Sims","given":"G. K.","non-dropping-particle":"","parse-names":false,"suffix":""}],"id":"ITEM-1","issued":{"date-parts":[["1990"]]},"page":"289-330","title":"Biological Degradation of Soil","type":"chapter"},"uris":["http://www.mendeley.com/documents/?uuid=b202faf1-73b2-3d0b-9c2d-68b367fe1934"]}],"mendeley":{"formattedCitation":"(Sims, 1990)","plainTextFormattedCitation":"(Sims, 1990)","previouslyFormattedCitation":"(Sims, 1990)"},"properties":{"noteIndex":0},"schema":"https://github.com/citation-style-language/schema/raw/master/csl-citation.json"}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(Sims, 1990)</w:t>
      </w:r>
      <w:r w:rsidR="001E4A7B" w:rsidRPr="00965149">
        <w:rPr>
          <w:rFonts w:ascii="Arial" w:hAnsi="Arial" w:cs="Arial"/>
          <w:sz w:val="20"/>
          <w:szCs w:val="20"/>
        </w:rPr>
        <w:fldChar w:fldCharType="end"/>
      </w:r>
      <w:r w:rsidR="00C9747A" w:rsidRPr="00965149">
        <w:rPr>
          <w:rFonts w:ascii="Arial" w:hAnsi="Arial" w:cs="Arial"/>
          <w:sz w:val="20"/>
          <w:szCs w:val="20"/>
        </w:rPr>
        <w:t xml:space="preserve">. Currently, acknowledging their pivotal involvement in various soil processes and functional activities, the study of soil microbial properties extends to examining rhizosphere dynamics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{"citationItems":[{"id":"ITEM-1","itemData":{"DOI":"10.1007/s40011-012-0059-4","ISSN":"0369-8211","author":[{"dropping-particle":"","family":"Kumar","given":"Dinesh","non-dropping-particle":"","parse-names":false,"suffix":""},{"dropping-particle":"","family":"Shivay","given":"Y. S.","non-dropping-particle":"","parse-names":false,"suffix":""},{"dropping-particle":"","family":"Dhar","given":"Shiva","non-dropping-particle":"","parse-names":false,"suffix":""},{"dropping-particle":"","family":"Kumar","given":"Chitranjan","non-dropping-particle":"","parse-names":false,"suffix":""},{"dropping-particle":"","family":"Prasad","given":"Rajendra","non-dropping-particle":"","parse-names":false,"suffix":""}],"container-title":"Proceedings of the National Academy of Sciences, India Section B: Biological Sciences","id":"ITEM-1","issue":"1","issued":{"date-parts":[["2013","3","29"]]},"page":"1-14","title":"Rhizospheric Flora and the Influence of Agronomic Practices on Them: A Review","type":"article-journal","volume":"83"},"uris":["http://www.mendeley.com/documents/?uuid=f28bee46-c00d-3f4a-8a53-51a7c2fe7cfd"]}],"mendeley":{"formattedCitation":"(Kumar et al., 2013)","plainTextFormattedCitation":"(Kumar et al., 2013)","previouslyFormattedCitation":"(Kumar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 xml:space="preserve">(Kumar </w:t>
      </w:r>
      <w:r w:rsidR="001E4A7B" w:rsidRPr="00966C8C">
        <w:rPr>
          <w:rFonts w:ascii="Arial" w:hAnsi="Arial" w:cs="Arial"/>
          <w:i/>
          <w:noProof/>
          <w:sz w:val="20"/>
          <w:szCs w:val="20"/>
        </w:rPr>
        <w:t>et al.,</w:t>
      </w:r>
      <w:r w:rsidR="001E4A7B" w:rsidRPr="00965149">
        <w:rPr>
          <w:rFonts w:ascii="Arial" w:hAnsi="Arial" w:cs="Arial"/>
          <w:noProof/>
          <w:sz w:val="20"/>
          <w:szCs w:val="20"/>
        </w:rPr>
        <w:t xml:space="preserve">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00C9747A" w:rsidRPr="00965149">
        <w:rPr>
          <w:rFonts w:ascii="Arial" w:hAnsi="Arial" w:cs="Arial"/>
          <w:sz w:val="20"/>
          <w:szCs w:val="20"/>
        </w:rPr>
        <w:t>and soil genomics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10.1016/j.cpb.2021.100210","ISSN":"22146628","author":[{"dropping-particle":"","family":"Mahmud","given":"Kishan","non-dropping-particle":"","parse-names":false,"suffix":""},{"dropping-particle":"","family":"Missaoui","given":"Ali","non-dropping-particle":"","parse-names":false,"suffix":""},{"dropping-particle":"","family":"Lee","given":"Kendall","non-dropping-particle":"","parse-names":false,"suffix":""},{"dropping-particle":"","family":"Ghimire","given":"Bhawana","non-dropping-particle":"","parse-names":false,"suffix":""},{"dropping-particle":"","family":"Presley","given":"Holly W.","non-dropping-particle":"","parse-names":false,"suffix":""},{"dropping-particle":"","family":"Makaju","given":"Shiva","non-dropping-particle":"","parse-names":false,"suffix":""}],"container-title":"Current Plant Biology","id":"ITEM-1","issued":{"date-parts":[["2021","9"]]},"page":"100210","title":"Rhizosphere microbiome manipulation for sustainable crop production","type":"article-journal","volume":"27"},"uris":["http://www.mendeley.com/documents/?uuid=f16b47f7-4ec6-3642-a184-0e75b7a2f708"]}],"mendeley":{"formattedCitation":"(Mahmud et al., 2021)","plainTextFormattedCitation":"(Mahmud et al., 2021)","previouslyFormattedCitation":"(Mahmud et al.,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 xml:space="preserve">(Mahmud </w:t>
      </w:r>
      <w:r w:rsidR="00346008" w:rsidRPr="00966C8C">
        <w:rPr>
          <w:rFonts w:ascii="Arial" w:hAnsi="Arial" w:cs="Arial"/>
          <w:i/>
          <w:noProof/>
          <w:sz w:val="20"/>
          <w:szCs w:val="20"/>
        </w:rPr>
        <w:t>et al.</w:t>
      </w:r>
      <w:r w:rsidR="00346008" w:rsidRPr="00965149">
        <w:rPr>
          <w:rFonts w:ascii="Arial" w:hAnsi="Arial" w:cs="Arial"/>
          <w:noProof/>
          <w:sz w:val="20"/>
          <w:szCs w:val="20"/>
        </w:rPr>
        <w:t>, 2021)</w:t>
      </w:r>
      <w:r w:rsidR="00346008" w:rsidRPr="00965149">
        <w:rPr>
          <w:rFonts w:ascii="Arial" w:hAnsi="Arial" w:cs="Arial"/>
          <w:sz w:val="20"/>
          <w:szCs w:val="20"/>
        </w:rPr>
        <w:fldChar w:fldCharType="end"/>
      </w:r>
      <w:r w:rsidR="00346008" w:rsidRPr="00965149">
        <w:rPr>
          <w:rFonts w:ascii="Arial" w:hAnsi="Arial" w:cs="Arial"/>
          <w:sz w:val="20"/>
          <w:szCs w:val="20"/>
        </w:rPr>
        <w:t>.</w:t>
      </w:r>
      <w:r w:rsidR="001E4A7B" w:rsidRPr="00965149">
        <w:rPr>
          <w:rFonts w:ascii="Arial" w:hAnsi="Arial" w:cs="Arial"/>
          <w:sz w:val="20"/>
          <w:szCs w:val="20"/>
        </w:rPr>
        <w:t xml:space="preserve"> </w:t>
      </w:r>
      <w:r w:rsidR="00CD6009" w:rsidRPr="00965149">
        <w:rPr>
          <w:rFonts w:ascii="Arial" w:hAnsi="Arial" w:cs="Arial"/>
          <w:sz w:val="20"/>
          <w:szCs w:val="20"/>
        </w:rPr>
        <w:t xml:space="preserve"> </w:t>
      </w:r>
    </w:p>
    <w:p w14:paraId="3D1B97CB" w14:textId="731699B5" w:rsidR="00080E79" w:rsidRPr="00965149" w:rsidRDefault="00526512" w:rsidP="00965149">
      <w:pPr>
        <w:pStyle w:val="NormalWeb"/>
        <w:jc w:val="both"/>
        <w:rPr>
          <w:rFonts w:ascii="Arial" w:hAnsi="Arial" w:cs="Arial"/>
          <w:b/>
          <w:sz w:val="22"/>
          <w:szCs w:val="22"/>
        </w:rPr>
      </w:pPr>
      <w:r w:rsidRPr="00965149">
        <w:rPr>
          <w:rFonts w:ascii="Arial" w:hAnsi="Arial" w:cs="Arial"/>
          <w:b/>
          <w:sz w:val="22"/>
          <w:szCs w:val="22"/>
        </w:rPr>
        <w:t xml:space="preserve">Issues related </w:t>
      </w:r>
      <w:r w:rsidR="005C08BD" w:rsidRPr="00965149">
        <w:rPr>
          <w:rFonts w:ascii="Arial" w:hAnsi="Arial" w:cs="Arial"/>
          <w:b/>
          <w:sz w:val="22"/>
          <w:szCs w:val="22"/>
        </w:rPr>
        <w:t xml:space="preserve">to </w:t>
      </w:r>
      <w:r w:rsidRPr="00965149">
        <w:rPr>
          <w:rFonts w:ascii="Arial" w:hAnsi="Arial" w:cs="Arial"/>
          <w:b/>
          <w:sz w:val="22"/>
          <w:szCs w:val="22"/>
        </w:rPr>
        <w:t>Soil health</w:t>
      </w:r>
    </w:p>
    <w:p w14:paraId="03DFCF72" w14:textId="38AF6DFF" w:rsidR="00080E79" w:rsidRPr="00965149" w:rsidRDefault="00080E79" w:rsidP="00965149">
      <w:pPr>
        <w:pStyle w:val="NormalWeb"/>
        <w:jc w:val="both"/>
        <w:rPr>
          <w:rFonts w:ascii="Arial" w:hAnsi="Arial" w:cs="Arial"/>
          <w:sz w:val="20"/>
          <w:szCs w:val="20"/>
        </w:rPr>
      </w:pPr>
      <w:r w:rsidRPr="00965149">
        <w:rPr>
          <w:rFonts w:ascii="Arial" w:hAnsi="Arial" w:cs="Arial"/>
          <w:sz w:val="20"/>
          <w:szCs w:val="20"/>
        </w:rPr>
        <w:t>Factors leading to the deviation from healthy soil are associated with soil health, and their impact on soil health determines their level of significance, making them a matter of concern. The study of these factors is crucial for several reasons:</w:t>
      </w:r>
    </w:p>
    <w:p w14:paraId="3C25E7BC" w14:textId="1F8AD2C2"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Soil health directly influences the sustainability of </w:t>
      </w:r>
      <w:r w:rsidR="005C08BD" w:rsidRPr="00965149">
        <w:rPr>
          <w:rFonts w:ascii="Arial" w:hAnsi="Arial" w:cs="Arial"/>
          <w:sz w:val="20"/>
          <w:szCs w:val="20"/>
        </w:rPr>
        <w:t>agro</w:t>
      </w:r>
      <w:r w:rsidR="00706AF7" w:rsidRPr="00965149">
        <w:rPr>
          <w:rFonts w:ascii="Arial" w:hAnsi="Arial" w:cs="Arial"/>
          <w:sz w:val="20"/>
          <w:szCs w:val="20"/>
        </w:rPr>
        <w:t>-</w:t>
      </w:r>
      <w:r w:rsidR="005C08BD" w:rsidRPr="00965149">
        <w:rPr>
          <w:rFonts w:ascii="Arial" w:hAnsi="Arial" w:cs="Arial"/>
          <w:sz w:val="20"/>
          <w:szCs w:val="20"/>
        </w:rPr>
        <w:t>ecosystems</w:t>
      </w:r>
      <w:r w:rsidRPr="00965149">
        <w:rPr>
          <w:rFonts w:ascii="Arial" w:hAnsi="Arial" w:cs="Arial"/>
          <w:sz w:val="20"/>
          <w:szCs w:val="20"/>
        </w:rPr>
        <w:t>, serving as a nourishing substrate for all types of vegetation.</w:t>
      </w:r>
    </w:p>
    <w:p w14:paraId="1537EE4B" w14:textId="162B56A6"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Resilience to extreme weather phenomena, such as droughts and floods, is higher in healthy soil. Given the expected increase in the frequency of these events due to climate change</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10.1007/978-3-031-15703-5_27","author":[{"dropping-particle":"","family":"Mirzabaev","given":"Alisher","non-dropping-particle":"","parse-names":false,"suffix":""},{"dropping-particle":"","family":"Olsson","given":"Lennart","non-dropping-particle":"","parse-names":false,"suffix":""},{"dropping-particle":"","family":"Kerr","given":"Rachel Bezner","non-dropping-particle":"","parse-names":false,"suffix":""},{"dropping-particle":"","family":"Pradhan","given":"Prajal","non-dropping-particle":"","parse-names":false,"suffix":""},{"dropping-particle":"","family":"Ferre","given":"Marta Guadalupe Rivera","non-dropping-particle":"","parse-names":false,"suffix":""},{"dropping-particle":"","family":"Lotze-Campen","given":"Hermann","non-dropping-particle":"","parse-names":false,"suffix":""}],"container-title":"Science and Innovations for Food Systems Transformation","id":"ITEM-1","issued":{"date-parts":[["2023"]]},"page":"511-529","publisher":"Springer International Publishing","publisher-place":"Cham","title":"Climate Change and Food Systems","type":"chapter"},"uris":["http://www.mendeley.com/documents/?uuid=c88fc448-69f8-3bf0-ae86-48d43d96ccda"]}],"mendeley":{"formattedCitation":"(Mirzabaev et al., 2023)","manualFormatting":"(Mirzabaev et al., 2023","plainTextFormattedCitation":"(Mirzabaev et al., 2023)","previouslyFormattedCitation":"(Mirzabaev et al., 2023)"},"properties":{"noteIndex":0},"schema":"https://github.com/citation-style-language/schema/raw/master/csl-citation.json"}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(Mirzabaev et al., 2023</w:t>
      </w:r>
      <w:r w:rsidR="00346008" w:rsidRPr="00965149">
        <w:rPr>
          <w:rFonts w:ascii="Arial" w:hAnsi="Arial" w:cs="Arial"/>
          <w:sz w:val="20"/>
          <w:szCs w:val="20"/>
        </w:rPr>
        <w:fldChar w:fldCharType="end"/>
      </w:r>
      <w:r w:rsidRPr="00965149">
        <w:rPr>
          <w:rFonts w:ascii="Arial" w:hAnsi="Arial" w:cs="Arial"/>
          <w:sz w:val="20"/>
          <w:szCs w:val="20"/>
        </w:rPr>
        <w:t>; Olsson et al., 2019), maintaining soil health becomes imperative.</w:t>
      </w:r>
    </w:p>
    <w:p w14:paraId="1DBD624E" w14:textId="6C7D69ED"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Healthy soil contributes to enhanced ecosystem services, including biogeochemical nutrient cycling, a thriving microbial population</w:t>
      </w:r>
      <w:r w:rsidR="00A77D19" w:rsidRPr="00965149">
        <w:rPr>
          <w:rFonts w:ascii="Arial" w:hAnsi="Arial" w:cs="Arial"/>
          <w:sz w:val="20"/>
          <w:szCs w:val="20"/>
        </w:rPr>
        <w:t xml:space="preserve">, and biodiversity </w:t>
      </w:r>
      <w:r w:rsidR="00CD6009" w:rsidRPr="00965149">
        <w:rPr>
          <w:rFonts w:ascii="Arial" w:hAnsi="Arial" w:cs="Arial"/>
          <w:sz w:val="20"/>
          <w:szCs w:val="20"/>
        </w:rPr>
        <w:fldChar w:fldCharType="begin" w:fldLock="1"/>
      </w:r>
      <w:r w:rsidR="00A77D19" w:rsidRPr="00965149">
        <w:rPr>
          <w:rFonts w:ascii="Arial" w:hAnsi="Arial" w:cs="Arial"/>
          <w:sz w:val="20"/>
          <w:szCs w:val="20"/>
        </w:rPr>
        <w:instrText>ADDIN CSL_CITATION {"citationItems":[{"id":"ITEM-1","itemData":{"DOI":"10.1038/387253a0","ISSN":"0028-0836","author":[{"dropping-particle":"","family":"Costanza","given":"Robert","non-dropping-particle":"","parse-names":false,"suffix":""},{"dropping-particle":"","family":"d'Arge","given":"Ralph","non-dropping-particle":"","parse-names":false,"suffix":""},{"dropping-particle":"","family":"Groot","given":"Rudolf","non-dropping-particle":"de","parse-names":false,"suffix":""},{"dropping-particle":"","family":"Farber","given":"Stephen","non-dropping-particle":"","parse-names":false,"suffix":""},{"dropping-particle":"","family":"Grasso","given":"Monica","non-dropping-particle":"","parse-names":false,"suffix":""},{"dropping-particle":"","family":"Hannon","given":"Bruce","non-dropping-particle":"","parse-names":false,"suffix":""},{"dropping-particle":"","family":"Limburg","given":"Karin","non-dropping-particle":"","parse-names":false,"suffix":""},{"dropping-particle":"","family":"Naeem","given":"Shahid","non-dropping-particle":"","parse-names":false,"suffix":""},{"dropping-particle":"V.","family":"O'Neill","given":"Robert","non-dropping-particle":"","parse-names":false,"suffix":""},{"dropping-particle":"","family":"Paruelo","given":"Jose","non-dropping-particle":"","parse-names":false,"suffix":""},{"dropping-particle":"","family":"Raskin","given":"Robert G.","non-dropping-particle":"","parse-names":false,"suffix":""},{"dropping-particle":"","family":"Sutton","given":"Paul","non-dropping-particle":"","parse-names":false,"suffix":""},{"dropping-particle":"","family":"Belt","given":"Marjan","non-dropping-particle":"van den","parse-names":false,"suffix":""}],"container-title":"Nature","id":"ITEM-1","issue":"6630","issued":{"date-parts":[["1997","5"]]},"page":"253-260","title":"The value of the world's ecosystem services and natural capital","type":"article-journal","volume":"387"},"uris":["http://www.mendeley.com/documents/?uuid=4c696010-766b-3b9b-afd5-e4bfbff8934c"]}],"mendeley":{"formattedCitation":"(Costanza et al., 1997)","manualFormatting":"(Costanza et al., 1997","plainTextFormattedCitation":"(Costanza et al., 1997)","previouslyFormattedCitation":"(Costanza et al., 1997)"},"properties":{"noteIndex":0},"schema":"https://github.com/citation-style-language/schema/raw/master/csl-citation.json"}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(Costanza et al., 1997</w:t>
      </w:r>
      <w:r w:rsidR="00CD6009" w:rsidRPr="00965149">
        <w:rPr>
          <w:rFonts w:ascii="Arial" w:hAnsi="Arial" w:cs="Arial"/>
          <w:sz w:val="20"/>
          <w:szCs w:val="20"/>
        </w:rPr>
        <w:fldChar w:fldCharType="end"/>
      </w:r>
      <w:r w:rsidR="00CD6009" w:rsidRPr="00965149">
        <w:rPr>
          <w:rFonts w:ascii="Arial" w:hAnsi="Arial" w:cs="Arial"/>
          <w:sz w:val="20"/>
          <w:szCs w:val="20"/>
        </w:rPr>
        <w:t xml:space="preserve">; </w:t>
      </w:r>
      <w:r w:rsidR="00CD6009"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{"citationItems":[{"id":"ITEM-1","itemData":{"DOI":"10.3389/fenvs.2016.00041","ISSN":"2296-665X","author":[{"dropping-particle":"","family":"Baveye","given":"Philippe C.","non-dropping-particle":"","parse-names":false,"suffix":""},{"dropping-particle":"","family":"Baveye","given":"Jacques","non-dropping-particle":"","parse-names":false,"suffix":""},{"dropping-particle":"","family":"Gowdy","given":"John","non-dropping-particle":"","parse-names":false,"suffix":""}],"container-title":"Frontiers in Environmental Science","id":"ITEM-1","issued":{"date-parts":[["2016","6","7"]]},"title":"Soil “Ecosystem” Services and Natural Capital: Critical Appraisal of Research on Uncertain Ground","type":"article-journal","volume":"4"},"uris":["http://www.mendeley.com/documents/?uuid=ca14714e-d35c-3598-b6e5-20224c1b2669"]}],"mendeley":{"formattedCitation":"(Baveye et al., 2016)","manualFormatting":"Baveye et al., 2016)","plainTextFormattedCitation":"(Baveye et al., 2016)","previouslyFormattedCitation":"(Baveye et al., 2016)"},"properties":{"noteIndex":0},"schema":"https://github.com/citation-style-language/schema/raw/master/csl-citation.json"}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Baveye et al., 2016)</w:t>
      </w:r>
      <w:r w:rsidR="00CD6009" w:rsidRPr="00965149">
        <w:rPr>
          <w:rFonts w:ascii="Arial" w:hAnsi="Arial" w:cs="Arial"/>
          <w:sz w:val="20"/>
          <w:szCs w:val="20"/>
        </w:rPr>
        <w:fldChar w:fldCharType="end"/>
      </w:r>
    </w:p>
    <w:p w14:paraId="05710083" w14:textId="5F34A9B3"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Preserving soil health aligns with the United Nations' sustainable development goals, addressing issues like poverty alleviation, hunger reduction, improved health, and economic development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{"citationItems":[{"id":"ITEM-1","itemData":{"DOI":"10.1002/fes3.96","ISSN":"2048-3694","abstract":"&lt;p&gt; Soil, a natural four</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dimensional body at the atmosphere–lithosphere interface, is organic</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carbon</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(Lal, 2016)</w:t>
      </w:r>
      <w:r w:rsidR="0027733F" w:rsidRPr="00965149">
        <w:rPr>
          <w:rFonts w:ascii="Arial" w:hAnsi="Arial" w:cs="Arial"/>
          <w:sz w:val="20"/>
          <w:szCs w:val="20"/>
        </w:rPr>
        <w:fldChar w:fldCharType="end"/>
      </w:r>
      <w:r w:rsidR="0027733F" w:rsidRPr="00965149">
        <w:rPr>
          <w:rFonts w:ascii="Arial" w:hAnsi="Arial" w:cs="Arial"/>
          <w:sz w:val="20"/>
          <w:szCs w:val="20"/>
        </w:rPr>
        <w:t>.</w:t>
      </w:r>
    </w:p>
    <w:p w14:paraId="5B2D6194" w14:textId="1BDB72DC"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In the context of modern agricultural challenges, maintaining soil health is crucial for crop productivity due to multi-nutritional deficiencies, increased soil degradation, and the accumulation of harmful pesticide residues affecting soil microorganisms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su7043528","ISSN":"2071-1050","author":[{"dropping-particle":"","family":"Bhattacharyya","given":"Ranjan","non-dropping-particle":"","parse-names":false,"suffix":""},{"dropping-particle":"","family":"Ghosh","given":"Birendra","non-dropping-particle":"","parse-names":false,"suffix":""},{"dropping-particle":"","family":"Mishra","given":"Prasanta","non-dropping-particle":"","parse-names":false,"suffix":""},{"dropping-particle":"","family":"Mandal","given":"Biswapati","non-dropping-particle":"","parse-names":false,"suffix":""},{"dropping-particle":"","family":"Rao","given":"Cherukumalli","non-dropping-particle":"","parse-names":false,"suffix":""},{"dropping-particle":"","family":"Sarkar","given":"Dibyendu","non-dropping-particle":"","parse-names":false,"suffix":""},{"dropping-particle":"","family":"Das","given":"Krishnendu","non-dropping-particle":"","parse-names":false,"suffix":""},{"dropping-particle":"","family":"Anil","given":"Kokkuvayil","non-dropping-particle":"","parse-names":false,"suffix":""},{"dropping-particle":"","family":"Lalitha","given":"Manickam","non-dropping-particle":"","parse-names":false,"suffix":""},{"dropping-particle":"","family":"Hati","given":"Kuntal","non-dropping-particle":"","parse-names":false,"suffix":""},{"dropping-particle":"","family":"Franzluebbers","given":"Alan","non-dropping-particle":"","parse-names":false,"suffix":""}],"container-title":"Sustainability","id":"ITEM-1","issue":"4","issued":{"date-parts":[["2015","3","25"]]},"page":"3528-3570","title":"Soil Degradation in India: Challenges and Potential Solutions","type":"article-journal","volume":"7"},"uris":["http://www.mendeley.com/documents/?uuid=2ccde7d1-595c-3504-a63e-561f9a315c35"]}],"mendeley":{"formattedCitation":"(Bhattacharyya et al., 2015)","manualFormatting":"Bhattacharyya et al., 2015","plainTextFormattedCitation":"(Bhattacharyya et al., 2015)","previouslyFormattedCitation":"(Bhattacharyya et al., 2015)"},"properties":{"noteIndex":0},"schema":"https://github.com/citation-style-language/schema/raw/master/csl-citation.json"}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Bhattacharyya et al., 2015</w:t>
      </w:r>
      <w:r w:rsidR="0027733F" w:rsidRPr="00965149">
        <w:rPr>
          <w:rFonts w:ascii="Arial" w:hAnsi="Arial" w:cs="Arial"/>
          <w:sz w:val="20"/>
          <w:szCs w:val="20"/>
        </w:rPr>
        <w:fldChar w:fldCharType="end"/>
      </w:r>
      <w:r w:rsidRPr="00965149">
        <w:rPr>
          <w:rFonts w:ascii="Arial" w:hAnsi="Arial" w:cs="Arial"/>
          <w:sz w:val="20"/>
          <w:szCs w:val="20"/>
        </w:rPr>
        <w:t>;</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{"citationItems":[{"id":"ITEM-1","itemData":{"DOI":"10.3390/land9020034","ISSN":"2073-445X","abstract":"&lt;p&gt;The World Health Organization (WHO) states that in developing nations, there are three million cases of agrochemical poisoning. The prolonged intensive and indiscriminate use of agrochemicals adversely affected the soil biodiversity, agricultural sustainability, and food safety, bringing in long-term harmful effects on nutritional security, human and animal health. Most of the agrochemicals negatively affect soil microbial functions and biochemical processes. The alteration in diversity and composition of the beneficial microbial community can be unfavorable to plant growth and development either by reducing nutrient availability or by increasing disease incidence. Currently, there is a need for qualitative, innovative, and demand-driven research in soil science, especially in developing countries for facilitating of high-quality eco-friendly research by creating a conducive and trustworthy work atmosphere, thereby rewarding productivity and merits. Hence, we reviewed (1) the impact of various agrochemicals on the soil microbial diversity and environment; (2) the importance of smallholder farmers for sustainable crop protection and enhancement solutions, and (3) management strategies that serve the scientific community, policymakers, and land managers in integrating soil enhancement and sustainability practices in smallholder farming households. The current review provides an improved understanding of agricultural soil management for food and nutritional security.&lt;/p&gt;","author":[{"dropping-particle":"","family":"Meena","given":"Ram","non-dropping-particle":"","parse-names":false,"suffix":""},{"dropping-particle":"","family":"Kumar","given":"Sandeep","non-dropping-particle":"","parse-names":false,"suffix":""},{"dropping-particle":"","family":"Datta","given":"Rahul","non-dropping-particle":"","parse-names":false,"suffix":""},{"dropping-particle":"","family":"Lal","given":"Rattan","non-dropping-particle":"","parse-names":false,"suffix":""},{"dropping-particle":"","family":"Vijayakumar","given":"Vinod","non-dropping-particle":"","parse-names":false,"suffix":""},{"dropping-particle":"","family":"Brtnicky","given":"Martin","non-dropping-particle":"","parse-names":false,"suffix":""},{"dropping-particle":"","family":"Sharma","given":"Mahaveer","non-dropping-particle":"","parse-names":false,"suffix":""},{"dropping-particle":"","family":"Yadav","given":"Gulab","non-dropping-particle":"","parse-names":false,"suffix":""},{"dropping-particle":"","family":"Jhariya","given":"Manoj","non-dropping-particle":"","parse-names":false,"suffix":""},{"dropping-particle":"","family":"Jangir","given":"Chetan","non-dropping-particle":"","parse-names":false,"suffix":""},{"dropping-particle":"","family":"Pathan","given":"Shamina","non-dropping-particle":"","parse-names":false,"suffix":""},{"dropping-particle":"","family":"Dokulilova","given":"Tereza","non-dropping-particle":"","parse-names":false,"suffix":""},{"dropping-particle":"","family":"Pecina","given":"Vaclav","non-dropping-particle":"","parse-names":false,"suffix":""},{"dropping-particle":"","family":"Marfo","given":"Theodore","non-dropping-particle":"","parse-names":false,"suffix":""}],"container-title":"Land","id":"ITEM-1","issue":"2","issued":{"date-parts":[["2020","1","23"]]},"page":"34","title":"Impact of Agrochemicals on Soil Microbiota and Management: A Review","type":"article-journal","volume":"9"},"uris":["http://www.mendeley.com/documents/?uuid=0ec74398-a2cf-3e51-953b-a9a3af998764"]}],"mendeley":{"formattedCitation":"(Meena et al., 2020)","manualFormatting":" Meena et al., 2020)","plainTextFormattedCitation":"(Meena et al., 2020)","previouslyFormattedCitation":"(Meena et al., 2020)"},"properties":{"noteIndex":0},"schema":"https://github.com/citation-style-language/schema/raw/master/csl-citation.json"}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 xml:space="preserve"> Meena et al., 2020)</w:t>
      </w:r>
      <w:r w:rsidR="0027733F" w:rsidRPr="00965149">
        <w:rPr>
          <w:rFonts w:ascii="Arial" w:hAnsi="Arial" w:cs="Arial"/>
          <w:sz w:val="20"/>
          <w:szCs w:val="20"/>
        </w:rPr>
        <w:fldChar w:fldCharType="end"/>
      </w:r>
      <w:r w:rsidRPr="00965149">
        <w:rPr>
          <w:rFonts w:ascii="Arial" w:hAnsi="Arial" w:cs="Arial"/>
          <w:sz w:val="20"/>
          <w:szCs w:val="20"/>
        </w:rPr>
        <w:t>.</w:t>
      </w:r>
    </w:p>
    <w:p w14:paraId="7705493F" w14:textId="1DEB030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Soil health maintenance also plays a role in carbon sequestration, with soil organic carbon being a critical criterion for evaluating soil health</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20732E" w:rsidRPr="00965149">
        <w:rPr>
          <w:rFonts w:ascii="Arial" w:hAnsi="Arial" w:cs="Arial"/>
          <w:sz w:val="20"/>
          <w:szCs w:val="20"/>
        </w:rPr>
        <w:instrText>ADDIN CSL_CITATION {"citationItems":[{"id":"ITEM-1","itemData":{"DOI":"10.1002/fes3.96","ISSN":"2048-3694","abstract":"&lt;p&gt; Soil, a natural four</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dimensional body at the atmosphere–lithosphere interface, is organic</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carbon</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(Lal, 2016)</w:t>
      </w:r>
      <w:r w:rsidR="00346008" w:rsidRPr="00965149">
        <w:rPr>
          <w:rFonts w:ascii="Arial" w:hAnsi="Arial" w:cs="Arial"/>
          <w:sz w:val="20"/>
          <w:szCs w:val="20"/>
        </w:rPr>
        <w:fldChar w:fldCharType="end"/>
      </w:r>
      <w:r w:rsidR="00346008" w:rsidRPr="00965149">
        <w:rPr>
          <w:rFonts w:ascii="Arial" w:hAnsi="Arial" w:cs="Arial"/>
          <w:sz w:val="20"/>
          <w:szCs w:val="20"/>
        </w:rPr>
        <w:t>.</w:t>
      </w:r>
    </w:p>
    <w:p w14:paraId="20D7F7F7" w14:textId="7777777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Agriculture intensification with imbalances in artificial resource use and insufficient attention to natural resources adversely affects soil health.</w:t>
      </w:r>
    </w:p>
    <w:p w14:paraId="79DAA0CA" w14:textId="66C4D533" w:rsidR="002046A3" w:rsidRPr="00965149" w:rsidRDefault="00D25207"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Key soil indicators for soil quality assessment</w:t>
      </w:r>
    </w:p>
    <w:p w14:paraId="623C4C54" w14:textId="577C0491" w:rsidR="00880507" w:rsidRPr="00965149" w:rsidRDefault="007A3BFF"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Continuous evaluation of soil quality is imperative due to its intricate and dynamic nature within the Earth's biosphere. The soil undergoes constant changes, influenced by both natural processes and human activities. Any disruptions to the soil lead to alterations in its physical aspects (such as soil texture and bulk density), chemical characteristics (including pH, salinity, and organic carbon content), </w:t>
      </w:r>
      <w:r w:rsidRPr="00965149">
        <w:rPr>
          <w:rFonts w:ascii="Arial" w:hAnsi="Arial" w:cs="Arial"/>
          <w:sz w:val="20"/>
          <w:szCs w:val="20"/>
        </w:rPr>
        <w:lastRenderedPageBreak/>
        <w:t>and biological components (involving microbes and enzymes).</w:t>
      </w:r>
      <w:r w:rsidR="002F4818" w:rsidRPr="00965149">
        <w:rPr>
          <w:rFonts w:ascii="Arial" w:hAnsi="Arial" w:cs="Arial"/>
          <w:sz w:val="20"/>
          <w:szCs w:val="20"/>
        </w:rPr>
        <w:t xml:space="preserve"> </w:t>
      </w:r>
      <w:r w:rsidRPr="00965149">
        <w:rPr>
          <w:rFonts w:ascii="Arial" w:hAnsi="Arial" w:cs="Arial"/>
          <w:sz w:val="20"/>
          <w:szCs w:val="20"/>
        </w:rPr>
        <w:t xml:space="preserve">These physical, chemical, and biological parameters collectively function as indicators for assessing soil quality. It is crucial to recognize that a comprehensive understanding of soil quality cannot be achieved by solely examining one of these parameters—be it physical, chemical, or biological. Hence, there is a growing imperative to establish a minimum dataset (MDS) encompassing physical, chemical, and biological parameters to effectively evaluate the quality of a given soil. </w:t>
      </w:r>
    </w:p>
    <w:p w14:paraId="6F58DA0B" w14:textId="3CDCF1ED" w:rsidR="00880507" w:rsidRPr="00965149" w:rsidRDefault="00880507" w:rsidP="00965149">
      <w:pPr>
        <w:pStyle w:val="NormalWeb"/>
        <w:jc w:val="both"/>
        <w:rPr>
          <w:rFonts w:ascii="Arial" w:hAnsi="Arial" w:cs="Arial"/>
          <w:sz w:val="20"/>
          <w:szCs w:val="20"/>
        </w:rPr>
      </w:pPr>
      <w:r w:rsidRPr="00965149">
        <w:rPr>
          <w:rFonts w:ascii="Arial" w:hAnsi="Arial" w:cs="Arial"/>
          <w:sz w:val="20"/>
          <w:szCs w:val="20"/>
        </w:rPr>
        <w:t>Soil comprises physical, chemical, and biological elements, and to effectively gauge soil health, it is crucial to identify specific measurements aligned with the intended use of the soil across these aspects. This optimal set of measurements, known as the minimum data set</w:t>
      </w:r>
      <w:r w:rsidR="0027733F" w:rsidRPr="00965149">
        <w:rPr>
          <w:rFonts w:ascii="Arial" w:hAnsi="Arial" w:cs="Arial"/>
          <w:sz w:val="20"/>
          <w:szCs w:val="20"/>
        </w:rPr>
        <w:t xml:space="preserve"> </w:t>
      </w:r>
      <w:r w:rsidR="0027733F"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{"citationItems":[{"id":"ITEM-1","itemData":{"DOI":"10.1016/j.geoderma.2006.03.021","ISSN":"00167061","author":[{"dropping-particle":"","family":"Rezaei","given":"Seyed Ata","non-dropping-particle":"","parse-names":false,"suffix":""},{"dropping-particle":"","family":"Gilkes","given":"Robert J.","non-dropping-particle":"","parse-names":false,"suffix":""},{"dropping-particle":"","family":"Andrews","given":"Susan S.","non-dropping-particle":"","parse-names":false,"suffix":""}],"container-title":"Geoderma","id":"ITEM-1","issue":"1-2","issued":{"date-parts":[["2006","12"]]},"page":"229-234","title":"A minimum data set for assessing soil quality in rangelands","type":"article-journal","volume":"136"},"uris":["http://www.mendeley.com/documents/?uuid=7bbc72b6-0b4f-37b4-ac93-2f8baefca3f8"]}],"mendeley":{"formattedCitation":"(Rezaei et al., 2006)","plainTextFormattedCitation":"(Rezaei et al., 2006)","previouslyFormattedCitation":"(Rezaei et al., 2006)"},"properties":{"noteIndex":0},"schema":"https://github.com/citation-style-language/schema/raw/master/csl-citation.json"}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(Rezaei et al., 2006)</w:t>
      </w:r>
      <w:r w:rsidR="0027733F" w:rsidRPr="00965149">
        <w:rPr>
          <w:rFonts w:ascii="Arial" w:hAnsi="Arial" w:cs="Arial"/>
          <w:sz w:val="20"/>
          <w:szCs w:val="20"/>
        </w:rPr>
        <w:fldChar w:fldCharType="end"/>
      </w:r>
      <w:r w:rsidRPr="00965149">
        <w:rPr>
          <w:rFonts w:ascii="Arial" w:hAnsi="Arial" w:cs="Arial"/>
          <w:sz w:val="20"/>
          <w:szCs w:val="20"/>
        </w:rPr>
        <w:t>, constitutes soil quality indicators or soil health indicators. The initial step in soil health assessment involves the identification of suitable indicators through years of experimentation and sample analyses under various production systems. This process helps determine which measurements are most responsive to changes in management practices.</w:t>
      </w:r>
    </w:p>
    <w:p w14:paraId="4361C0A8" w14:textId="44F86156" w:rsidR="00880507" w:rsidRPr="00965149" w:rsidRDefault="00880507" w:rsidP="00965149">
      <w:pPr>
        <w:pStyle w:val="NormalWeb"/>
        <w:spacing w:before="0"/>
        <w:jc w:val="both"/>
        <w:rPr>
          <w:rFonts w:ascii="Arial" w:hAnsi="Arial" w:cs="Arial"/>
          <w:sz w:val="20"/>
          <w:szCs w:val="20"/>
        </w:rPr>
      </w:pPr>
      <w:r w:rsidRPr="00965149">
        <w:rPr>
          <w:rFonts w:ascii="Arial" w:hAnsi="Arial" w:cs="Arial"/>
          <w:sz w:val="20"/>
          <w:szCs w:val="20"/>
        </w:rPr>
        <w:t>Selecting the required minimum data set is a complex undertaking, necessitating a comprehensive understanding derived from extensive experimentation across diverse soil conditions. Soil health assessment aims to provide farmers, ranchers, or land managers with insights into the direction of soil health changes—whether positive or negative. Armed with this knowledge, specific management practices can be implemented to counteract degradation or sustain positive trends. Without awareness of directional changes in soil health, effective planning and implementation of improved management practices become challenging.</w:t>
      </w:r>
      <w:r w:rsidR="002F4818" w:rsidRPr="00965149">
        <w:rPr>
          <w:rFonts w:ascii="Arial" w:hAnsi="Arial" w:cs="Arial"/>
          <w:sz w:val="20"/>
          <w:szCs w:val="20"/>
        </w:rPr>
        <w:t xml:space="preserve"> </w:t>
      </w:r>
      <w:r w:rsidRPr="00965149">
        <w:rPr>
          <w:rFonts w:ascii="Arial" w:hAnsi="Arial" w:cs="Arial"/>
          <w:sz w:val="20"/>
          <w:szCs w:val="20"/>
        </w:rPr>
        <w:t>The choice of soil health indicators varies depending on the intended use of the soil. For instance, soil measurements suitable for assessing sustainable rangeland may differ from those used in sustainable crop production. Consequently, there are no universal soil health indicators applicable to all systems, and research often focuses on identifying indicators tailored to different agroecosystems.</w:t>
      </w:r>
    </w:p>
    <w:p w14:paraId="1828CC31" w14:textId="0C1663F7" w:rsidR="00880507" w:rsidRPr="00965149" w:rsidRDefault="00880507" w:rsidP="00965149">
      <w:pPr>
        <w:pStyle w:val="NormalWeb"/>
        <w:spacing w:before="0" w:after="300"/>
        <w:jc w:val="both"/>
        <w:rPr>
          <w:rFonts w:ascii="Arial" w:hAnsi="Arial" w:cs="Arial"/>
          <w:sz w:val="20"/>
          <w:szCs w:val="20"/>
        </w:rPr>
      </w:pPr>
      <w:r w:rsidRPr="00965149">
        <w:rPr>
          <w:rFonts w:ascii="Arial" w:hAnsi="Arial" w:cs="Arial"/>
          <w:sz w:val="20"/>
          <w:szCs w:val="20"/>
        </w:rPr>
        <w:t>Numerous soil health assessment protocols exist, but it's important to note that a protocol developed for one region may not be suitable for another. Optimal soil health assessment protocols are those specifically tailored to the agroecosystems of a given region. Protocols developed in a humid, temperate region, may not perform effectively in arid and semi-arid agroecosystems.</w:t>
      </w:r>
    </w:p>
    <w:p w14:paraId="5BF2EF4D" w14:textId="4CD21360" w:rsidR="007A3BFF" w:rsidRPr="00965149" w:rsidRDefault="005C08BD" w:rsidP="00965149">
      <w:pPr>
        <w:pStyle w:val="NormalWeb"/>
        <w:spacing w:before="0" w:after="300"/>
        <w:jc w:val="both"/>
        <w:rPr>
          <w:rFonts w:ascii="Arial" w:hAnsi="Arial" w:cs="Arial"/>
          <w:sz w:val="20"/>
          <w:szCs w:val="20"/>
        </w:rPr>
      </w:pPr>
      <w:r w:rsidRPr="00965149">
        <w:rPr>
          <w:rFonts w:ascii="Arial" w:hAnsi="Arial" w:cs="Arial"/>
          <w:sz w:val="20"/>
          <w:szCs w:val="20"/>
        </w:rPr>
        <w:t>Some</w:t>
      </w:r>
      <w:r w:rsidR="007A3BFF" w:rsidRPr="00965149">
        <w:rPr>
          <w:rFonts w:ascii="Arial" w:hAnsi="Arial" w:cs="Arial"/>
          <w:sz w:val="20"/>
          <w:szCs w:val="20"/>
        </w:rPr>
        <w:t xml:space="preserve"> soil indicators for soil quality assessment are given in Table 1.</w:t>
      </w:r>
    </w:p>
    <w:p w14:paraId="2FA3A6E7" w14:textId="5B3444CA" w:rsidR="00A85AD1" w:rsidRPr="00965149" w:rsidRDefault="00A85AD1" w:rsidP="00965149">
      <w:pPr>
        <w:pStyle w:val="NormalWeb"/>
        <w:spacing w:before="0" w:beforeAutospacing="0" w:after="300" w:afterAutospacing="0"/>
        <w:jc w:val="both"/>
        <w:rPr>
          <w:rFonts w:ascii="Arial" w:hAnsi="Arial" w:cs="Arial"/>
          <w:b/>
          <w:sz w:val="20"/>
          <w:szCs w:val="20"/>
        </w:rPr>
      </w:pPr>
      <w:r w:rsidRPr="00965149">
        <w:rPr>
          <w:rFonts w:ascii="Arial" w:hAnsi="Arial" w:cs="Arial"/>
          <w:b/>
          <w:sz w:val="20"/>
          <w:szCs w:val="20"/>
        </w:rPr>
        <w:t xml:space="preserve">Table 1. Key soil indicators for soil quality assessment </w:t>
      </w:r>
    </w:p>
    <w:tbl>
      <w:tblPr>
        <w:tblStyle w:val="TableGrid"/>
        <w:tblW w:w="5000" w:type="pct"/>
        <w:tblLook w:val="04A0" w:firstRow="1" w:lastRow="0" w:firstColumn="1" w:lastColumn="0" w:noHBand="0" w:noVBand="1"/>
      </w:tblPr>
      <w:tblGrid>
        <w:gridCol w:w="1986"/>
        <w:gridCol w:w="1985"/>
        <w:gridCol w:w="5045"/>
      </w:tblGrid>
      <w:tr w:rsidR="008E4D8E" w:rsidRPr="00965149" w14:paraId="61CD52CF" w14:textId="77777777" w:rsidTr="007A3BFF">
        <w:trPr>
          <w:trHeight w:val="553"/>
        </w:trPr>
        <w:tc>
          <w:tcPr>
            <w:tcW w:w="1101" w:type="pct"/>
          </w:tcPr>
          <w:p w14:paraId="3CC930B6" w14:textId="77777777" w:rsidR="007A3BFF" w:rsidRPr="00965149" w:rsidRDefault="007A3BFF" w:rsidP="00965149">
            <w:pPr>
              <w:pStyle w:val="NormalWeb"/>
              <w:spacing w:before="0" w:beforeAutospacing="0" w:after="0" w:afterAutospacing="0"/>
              <w:jc w:val="both"/>
              <w:rPr>
                <w:rFonts w:ascii="Arial" w:hAnsi="Arial" w:cs="Arial"/>
                <w:b/>
                <w:sz w:val="20"/>
                <w:szCs w:val="20"/>
              </w:rPr>
            </w:pPr>
          </w:p>
        </w:tc>
        <w:tc>
          <w:tcPr>
            <w:tcW w:w="1101" w:type="pct"/>
          </w:tcPr>
          <w:p w14:paraId="59E0B3F6" w14:textId="7AF24EE2"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Selected indicator</w:t>
            </w:r>
          </w:p>
        </w:tc>
        <w:tc>
          <w:tcPr>
            <w:tcW w:w="2798" w:type="pct"/>
          </w:tcPr>
          <w:p w14:paraId="1C64CB05" w14:textId="2A4DFBDA"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Rationale for selection</w:t>
            </w:r>
          </w:p>
        </w:tc>
      </w:tr>
      <w:tr w:rsidR="008E4D8E" w:rsidRPr="00965149" w14:paraId="1DAAC711" w14:textId="77777777" w:rsidTr="007A3BFF">
        <w:trPr>
          <w:trHeight w:val="832"/>
        </w:trPr>
        <w:tc>
          <w:tcPr>
            <w:tcW w:w="1101" w:type="pct"/>
            <w:vMerge w:val="restart"/>
          </w:tcPr>
          <w:p w14:paraId="7C27E551" w14:textId="1F4FBDB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Physical indicators</w:t>
            </w:r>
          </w:p>
        </w:tc>
        <w:tc>
          <w:tcPr>
            <w:tcW w:w="1101" w:type="pct"/>
          </w:tcPr>
          <w:p w14:paraId="1CEEC0CB" w14:textId="406C4A9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Topsoil-depth</w:t>
            </w:r>
          </w:p>
        </w:tc>
        <w:tc>
          <w:tcPr>
            <w:tcW w:w="2798" w:type="pct"/>
          </w:tcPr>
          <w:p w14:paraId="0E66ED50" w14:textId="157680F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Estimate rooting volume for crop production and erosion</w:t>
            </w:r>
          </w:p>
        </w:tc>
      </w:tr>
      <w:tr w:rsidR="008E4D8E" w:rsidRPr="00965149" w14:paraId="7FDEA49A" w14:textId="77777777" w:rsidTr="007A3BFF">
        <w:tc>
          <w:tcPr>
            <w:tcW w:w="1101" w:type="pct"/>
            <w:vMerge/>
          </w:tcPr>
          <w:p w14:paraId="766F922B"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BA3A913" w14:textId="7E3E2BBD"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Aggregation</w:t>
            </w:r>
          </w:p>
        </w:tc>
        <w:tc>
          <w:tcPr>
            <w:tcW w:w="2798" w:type="pct"/>
          </w:tcPr>
          <w:p w14:paraId="109A05D6" w14:textId="18DE4E5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structure, water and wind erosion resistance, crop emergence an early indicator of soil management</w:t>
            </w:r>
          </w:p>
        </w:tc>
      </w:tr>
      <w:tr w:rsidR="008E4D8E" w:rsidRPr="00965149" w14:paraId="244BD15E" w14:textId="77777777" w:rsidTr="00993542">
        <w:trPr>
          <w:trHeight w:val="452"/>
        </w:trPr>
        <w:tc>
          <w:tcPr>
            <w:tcW w:w="1101" w:type="pct"/>
            <w:vMerge/>
          </w:tcPr>
          <w:p w14:paraId="1ACB68FE"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1B5D9B30" w14:textId="34E5BD4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Texture</w:t>
            </w:r>
          </w:p>
        </w:tc>
        <w:tc>
          <w:tcPr>
            <w:tcW w:w="2798" w:type="pct"/>
          </w:tcPr>
          <w:p w14:paraId="711741FF" w14:textId="77C409E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Retention and transport of nutrients and water</w:t>
            </w:r>
          </w:p>
        </w:tc>
      </w:tr>
      <w:tr w:rsidR="008E4D8E" w:rsidRPr="00965149" w14:paraId="6713D3E3" w14:textId="77777777" w:rsidTr="007A3BFF">
        <w:tc>
          <w:tcPr>
            <w:tcW w:w="1101" w:type="pct"/>
          </w:tcPr>
          <w:p w14:paraId="5214C16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0BABD533" w14:textId="2A9B666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Bulk density</w:t>
            </w:r>
          </w:p>
        </w:tc>
        <w:tc>
          <w:tcPr>
            <w:tcW w:w="2798" w:type="pct"/>
          </w:tcPr>
          <w:p w14:paraId="5A1EB508" w14:textId="1B43902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Plant root penetration and porosity</w:t>
            </w:r>
          </w:p>
        </w:tc>
      </w:tr>
      <w:tr w:rsidR="008E4D8E" w:rsidRPr="00965149" w14:paraId="692C2908" w14:textId="77777777" w:rsidTr="007A3BFF">
        <w:tc>
          <w:tcPr>
            <w:tcW w:w="1101" w:type="pct"/>
          </w:tcPr>
          <w:p w14:paraId="7CEA551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EB49F73" w14:textId="6E875C0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Infiltration</w:t>
            </w:r>
          </w:p>
        </w:tc>
        <w:tc>
          <w:tcPr>
            <w:tcW w:w="2798" w:type="pct"/>
          </w:tcPr>
          <w:p w14:paraId="725605DF" w14:textId="1347058F"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Nutrient l</w:t>
            </w:r>
            <w:r w:rsidR="007B74BA" w:rsidRPr="00965149">
              <w:rPr>
                <w:rFonts w:ascii="Arial" w:hAnsi="Arial" w:cs="Arial"/>
                <w:sz w:val="20"/>
                <w:szCs w:val="20"/>
              </w:rPr>
              <w:t>eaching</w:t>
            </w:r>
            <w:r w:rsidRPr="00965149">
              <w:rPr>
                <w:rFonts w:ascii="Arial" w:hAnsi="Arial" w:cs="Arial"/>
                <w:sz w:val="20"/>
                <w:szCs w:val="20"/>
              </w:rPr>
              <w:t>,</w:t>
            </w:r>
            <w:r w:rsidR="007B74BA" w:rsidRPr="00965149">
              <w:rPr>
                <w:rFonts w:ascii="Arial" w:hAnsi="Arial" w:cs="Arial"/>
                <w:sz w:val="20"/>
                <w:szCs w:val="20"/>
              </w:rPr>
              <w:t xml:space="preserve"> </w:t>
            </w:r>
            <w:r w:rsidRPr="00965149">
              <w:rPr>
                <w:rFonts w:ascii="Arial" w:hAnsi="Arial" w:cs="Arial"/>
                <w:sz w:val="20"/>
                <w:szCs w:val="20"/>
              </w:rPr>
              <w:t xml:space="preserve">Runoff </w:t>
            </w:r>
            <w:r w:rsidR="007B74BA" w:rsidRPr="00965149">
              <w:rPr>
                <w:rFonts w:ascii="Arial" w:hAnsi="Arial" w:cs="Arial"/>
                <w:sz w:val="20"/>
                <w:szCs w:val="20"/>
              </w:rPr>
              <w:t>and erosion potential</w:t>
            </w:r>
          </w:p>
        </w:tc>
      </w:tr>
      <w:tr w:rsidR="008E4D8E" w:rsidRPr="00965149" w14:paraId="4A6096A8" w14:textId="77777777" w:rsidTr="007A3BFF">
        <w:tc>
          <w:tcPr>
            <w:tcW w:w="1101" w:type="pct"/>
            <w:vMerge w:val="restart"/>
          </w:tcPr>
          <w:p w14:paraId="00052A40" w14:textId="1F5F6BB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Chemical indicators</w:t>
            </w:r>
          </w:p>
        </w:tc>
        <w:tc>
          <w:tcPr>
            <w:tcW w:w="1101" w:type="pct"/>
          </w:tcPr>
          <w:p w14:paraId="5E2EFCD5" w14:textId="7FBF36D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pH</w:t>
            </w:r>
          </w:p>
        </w:tc>
        <w:tc>
          <w:tcPr>
            <w:tcW w:w="2798" w:type="pct"/>
          </w:tcPr>
          <w:p w14:paraId="4BA66AEB" w14:textId="092AC87D"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Availability of nutrients</w:t>
            </w:r>
            <w:r w:rsidR="007B74BA" w:rsidRPr="00965149">
              <w:rPr>
                <w:rFonts w:ascii="Arial" w:hAnsi="Arial" w:cs="Arial"/>
                <w:sz w:val="20"/>
                <w:szCs w:val="20"/>
              </w:rPr>
              <w:t>, absorpt</w:t>
            </w:r>
            <w:r w:rsidRPr="00965149">
              <w:rPr>
                <w:rFonts w:ascii="Arial" w:hAnsi="Arial" w:cs="Arial"/>
                <w:sz w:val="20"/>
                <w:szCs w:val="20"/>
              </w:rPr>
              <w:t>ion</w:t>
            </w:r>
            <w:r w:rsidR="005C08BD" w:rsidRPr="00965149">
              <w:rPr>
                <w:rFonts w:ascii="Arial" w:hAnsi="Arial" w:cs="Arial"/>
                <w:sz w:val="20"/>
                <w:szCs w:val="20"/>
              </w:rPr>
              <w:t>,</w:t>
            </w:r>
            <w:r w:rsidRPr="00965149">
              <w:rPr>
                <w:rFonts w:ascii="Arial" w:hAnsi="Arial" w:cs="Arial"/>
                <w:sz w:val="20"/>
                <w:szCs w:val="20"/>
              </w:rPr>
              <w:t xml:space="preserve"> and mobility of pesticide, soil acidity</w:t>
            </w:r>
            <w:r w:rsidR="005C08BD" w:rsidRPr="00965149">
              <w:rPr>
                <w:rFonts w:ascii="Arial" w:hAnsi="Arial" w:cs="Arial"/>
                <w:sz w:val="20"/>
                <w:szCs w:val="20"/>
              </w:rPr>
              <w:t>,</w:t>
            </w:r>
            <w:r w:rsidRPr="00965149">
              <w:rPr>
                <w:rFonts w:ascii="Arial" w:hAnsi="Arial" w:cs="Arial"/>
                <w:sz w:val="20"/>
                <w:szCs w:val="20"/>
              </w:rPr>
              <w:t xml:space="preserve"> and alkalinity</w:t>
            </w:r>
          </w:p>
        </w:tc>
      </w:tr>
      <w:tr w:rsidR="008E4D8E" w:rsidRPr="00965149" w14:paraId="324AB50F" w14:textId="77777777" w:rsidTr="007A3BFF">
        <w:tc>
          <w:tcPr>
            <w:tcW w:w="1101" w:type="pct"/>
            <w:vMerge/>
          </w:tcPr>
          <w:p w14:paraId="6B562CD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6808A56" w14:textId="71C172DC"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Electrical conductivity</w:t>
            </w:r>
          </w:p>
        </w:tc>
        <w:tc>
          <w:tcPr>
            <w:tcW w:w="2798" w:type="pct"/>
          </w:tcPr>
          <w:p w14:paraId="3C48073E" w14:textId="05BF9C4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Defines crop growth, </w:t>
            </w:r>
            <w:r w:rsidR="00993542" w:rsidRPr="00965149">
              <w:rPr>
                <w:rFonts w:ascii="Arial" w:hAnsi="Arial" w:cs="Arial"/>
                <w:sz w:val="20"/>
                <w:szCs w:val="20"/>
              </w:rPr>
              <w:t xml:space="preserve">soil salinity, </w:t>
            </w:r>
            <w:r w:rsidRPr="00965149">
              <w:rPr>
                <w:rFonts w:ascii="Arial" w:hAnsi="Arial" w:cs="Arial"/>
                <w:sz w:val="20"/>
                <w:szCs w:val="20"/>
              </w:rPr>
              <w:t>soil</w:t>
            </w:r>
            <w:r w:rsidR="00993542" w:rsidRPr="00965149">
              <w:rPr>
                <w:rFonts w:ascii="Arial" w:hAnsi="Arial" w:cs="Arial"/>
                <w:sz w:val="20"/>
                <w:szCs w:val="20"/>
              </w:rPr>
              <w:t xml:space="preserve"> structure, water infiltration</w:t>
            </w:r>
          </w:p>
        </w:tc>
      </w:tr>
      <w:tr w:rsidR="008E4D8E" w:rsidRPr="00965149" w14:paraId="3D39F4A5" w14:textId="77777777" w:rsidTr="007A3BFF">
        <w:tc>
          <w:tcPr>
            <w:tcW w:w="1101" w:type="pct"/>
            <w:vMerge/>
          </w:tcPr>
          <w:p w14:paraId="7B6203F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21520B2B" w14:textId="7AA779B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Forms of N</w:t>
            </w:r>
          </w:p>
        </w:tc>
        <w:tc>
          <w:tcPr>
            <w:tcW w:w="2798" w:type="pct"/>
          </w:tcPr>
          <w:p w14:paraId="63833FF8" w14:textId="495A1C4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Availability of crops, leaching potential, mineralization/ immobilization </w:t>
            </w:r>
            <w:r w:rsidR="00993542" w:rsidRPr="00965149">
              <w:rPr>
                <w:rFonts w:ascii="Arial" w:hAnsi="Arial" w:cs="Arial"/>
                <w:sz w:val="20"/>
                <w:szCs w:val="20"/>
              </w:rPr>
              <w:t>process</w:t>
            </w:r>
            <w:r w:rsidR="005C08BD" w:rsidRPr="00965149">
              <w:rPr>
                <w:rFonts w:ascii="Arial" w:hAnsi="Arial" w:cs="Arial"/>
                <w:sz w:val="20"/>
                <w:szCs w:val="20"/>
              </w:rPr>
              <w:t>,</w:t>
            </w:r>
            <w:r w:rsidR="00993542" w:rsidRPr="00965149">
              <w:rPr>
                <w:rFonts w:ascii="Arial" w:hAnsi="Arial" w:cs="Arial"/>
                <w:sz w:val="20"/>
                <w:szCs w:val="20"/>
              </w:rPr>
              <w:t xml:space="preserve"> and rates.</w:t>
            </w:r>
            <w:r w:rsidRPr="00965149">
              <w:rPr>
                <w:rFonts w:ascii="Arial" w:hAnsi="Arial" w:cs="Arial"/>
                <w:sz w:val="20"/>
                <w:szCs w:val="20"/>
              </w:rPr>
              <w:t xml:space="preserve"> </w:t>
            </w:r>
          </w:p>
        </w:tc>
      </w:tr>
      <w:tr w:rsidR="008E4D8E" w:rsidRPr="00965149" w14:paraId="3AD0D3DB" w14:textId="77777777" w:rsidTr="007A3BFF">
        <w:tc>
          <w:tcPr>
            <w:tcW w:w="1101" w:type="pct"/>
            <w:vMerge/>
          </w:tcPr>
          <w:p w14:paraId="028BFD53"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5555DD74" w14:textId="20FBCAD4"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Extractable N, P</w:t>
            </w:r>
            <w:r w:rsidR="005C08BD" w:rsidRPr="00965149">
              <w:rPr>
                <w:rFonts w:ascii="Arial" w:hAnsi="Arial" w:cs="Arial"/>
                <w:sz w:val="20"/>
                <w:szCs w:val="20"/>
              </w:rPr>
              <w:t>,</w:t>
            </w:r>
            <w:r w:rsidRPr="00965149">
              <w:rPr>
                <w:rFonts w:ascii="Arial" w:hAnsi="Arial" w:cs="Arial"/>
                <w:sz w:val="20"/>
                <w:szCs w:val="20"/>
              </w:rPr>
              <w:t xml:space="preserve"> and K</w:t>
            </w:r>
          </w:p>
        </w:tc>
        <w:tc>
          <w:tcPr>
            <w:tcW w:w="2798" w:type="pct"/>
          </w:tcPr>
          <w:p w14:paraId="5A1D8DAC" w14:textId="699EBA2F"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Capacity to support plant growth, environmental quality indicator</w:t>
            </w:r>
          </w:p>
        </w:tc>
      </w:tr>
      <w:tr w:rsidR="008E4D8E" w:rsidRPr="00965149" w14:paraId="2BFCE732" w14:textId="77777777" w:rsidTr="007A3BFF">
        <w:tc>
          <w:tcPr>
            <w:tcW w:w="1101" w:type="pct"/>
            <w:vMerge w:val="restart"/>
          </w:tcPr>
          <w:p w14:paraId="5494605A" w14:textId="7514D34A"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Biological indicators</w:t>
            </w:r>
          </w:p>
        </w:tc>
        <w:tc>
          <w:tcPr>
            <w:tcW w:w="1101" w:type="pct"/>
          </w:tcPr>
          <w:p w14:paraId="70B92186" w14:textId="280F45B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Organic matter</w:t>
            </w:r>
          </w:p>
        </w:tc>
        <w:tc>
          <w:tcPr>
            <w:tcW w:w="2798" w:type="pct"/>
          </w:tcPr>
          <w:p w14:paraId="09480BE4" w14:textId="6A58236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Defines soil fertility and soil structure, pesticide and water retention</w:t>
            </w:r>
          </w:p>
        </w:tc>
      </w:tr>
      <w:tr w:rsidR="008E4D8E" w:rsidRPr="00965149" w14:paraId="6CAD3F98" w14:textId="77777777" w:rsidTr="007A3BFF">
        <w:tc>
          <w:tcPr>
            <w:tcW w:w="1101" w:type="pct"/>
            <w:vMerge/>
          </w:tcPr>
          <w:p w14:paraId="6E7A2716"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5EB7AAD" w14:textId="7FA367E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respiration</w:t>
            </w:r>
          </w:p>
        </w:tc>
        <w:tc>
          <w:tcPr>
            <w:tcW w:w="2798" w:type="pct"/>
          </w:tcPr>
          <w:p w14:paraId="25CE0BF3" w14:textId="3AD5F9D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Biological activity, process </w:t>
            </w:r>
            <w:proofErr w:type="spellStart"/>
            <w:r w:rsidRPr="00965149">
              <w:rPr>
                <w:rFonts w:ascii="Arial" w:hAnsi="Arial" w:cs="Arial"/>
                <w:sz w:val="20"/>
                <w:szCs w:val="20"/>
              </w:rPr>
              <w:t>modeling</w:t>
            </w:r>
            <w:proofErr w:type="spellEnd"/>
            <w:r w:rsidRPr="00965149">
              <w:rPr>
                <w:rFonts w:ascii="Arial" w:hAnsi="Arial" w:cs="Arial"/>
                <w:sz w:val="20"/>
                <w:szCs w:val="20"/>
              </w:rPr>
              <w:t>; estimate of biomass activity, early warning of management effect on organic matter</w:t>
            </w:r>
          </w:p>
        </w:tc>
      </w:tr>
    </w:tbl>
    <w:p w14:paraId="46D8E338" w14:textId="39E21AE0" w:rsidR="0023670F" w:rsidRPr="00965149" w:rsidRDefault="0023670F" w:rsidP="00965149">
      <w:pPr>
        <w:pStyle w:val="NormalWeb"/>
        <w:spacing w:before="0" w:beforeAutospacing="0" w:after="300" w:afterAutospacing="0"/>
        <w:jc w:val="both"/>
        <w:rPr>
          <w:rFonts w:ascii="Arial" w:hAnsi="Arial" w:cs="Arial"/>
          <w:sz w:val="20"/>
          <w:szCs w:val="20"/>
        </w:rPr>
      </w:pPr>
    </w:p>
    <w:p w14:paraId="6A516BA2" w14:textId="77777777" w:rsidR="00F108A8" w:rsidRPr="00965149" w:rsidRDefault="00F108A8" w:rsidP="00965149">
      <w:pPr>
        <w:spacing w:line="240" w:lineRule="auto"/>
        <w:jc w:val="both"/>
        <w:rPr>
          <w:rFonts w:ascii="Arial" w:hAnsi="Arial" w:cs="Arial"/>
          <w:b/>
        </w:rPr>
      </w:pPr>
      <w:r w:rsidRPr="00965149">
        <w:rPr>
          <w:rFonts w:ascii="Arial" w:hAnsi="Arial" w:cs="Arial"/>
          <w:b/>
        </w:rPr>
        <w:t>Sustainable soil management practices</w:t>
      </w:r>
    </w:p>
    <w:p w14:paraId="509B08E8" w14:textId="77777777" w:rsidR="00F108A8" w:rsidRPr="00965149" w:rsidRDefault="00F108A8" w:rsidP="00965149">
      <w:pPr>
        <w:spacing w:line="240" w:lineRule="auto"/>
        <w:jc w:val="both"/>
        <w:rPr>
          <w:rFonts w:ascii="Arial" w:hAnsi="Arial" w:cs="Arial"/>
          <w:sz w:val="20"/>
          <w:szCs w:val="20"/>
        </w:rPr>
      </w:pPr>
      <w:r w:rsidRPr="00965149">
        <w:rPr>
          <w:rFonts w:ascii="Arial" w:hAnsi="Arial" w:cs="Arial"/>
          <w:sz w:val="20"/>
          <w:szCs w:val="20"/>
        </w:rPr>
        <w:t>Sustainable soil management practices play a crucial role in maintaining and enhancing soil health, productivity, and ecosystem services. These practices are essential for mitigating environmental degradation, promoting long-term agricultural sustainability, and ensuring food security. The most suitable sustainable soil management practices encompass a range of techniques that aim to improve soil structure, fertility, and biodiversity while minimizing negative impacts on the environment.</w:t>
      </w:r>
    </w:p>
    <w:p w14:paraId="66B18B1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Organic farming</w:t>
      </w:r>
    </w:p>
    <w:p w14:paraId="4430DC6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One of the fundamental practices in sustainable soil management is organic farming. This approach emphasizes the use of organic inputs such as compost, cover crops, and crop residues to enhance soil fertility and structure. Organic farming reduces reliance on synthetic fertilizers and pesticides, promoting a more balanced and resilient soil ecosystem. Moreover, it helps sequester carbon in the soil, mitigating climate change by enhancing carbon storage.</w:t>
      </w:r>
    </w:p>
    <w:p w14:paraId="21840B0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Cover cropping</w:t>
      </w:r>
    </w:p>
    <w:p w14:paraId="61A6BF9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Cover cropping is another effective sustainable soil management technique. Planting cover crops during fallow periods or between cash crops helps prevent soil erosion, suppress weeds, and improve soil structure. These cover crops, such as legumes, also contribute to nitrogen fixation, reducing the need for external nitrogen fertilizers. The practice of cover cropping not only conserves soil moisture but also enhances nutrient cycling and promotes biodiversity, fostering a healthier soil environment.</w:t>
      </w:r>
    </w:p>
    <w:p w14:paraId="5510CD5C"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Conservation tillage</w:t>
      </w:r>
    </w:p>
    <w:p w14:paraId="00A32388" w14:textId="66B2D8DC"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The conservation tillage system is based on three major principles, </w:t>
      </w:r>
      <w:r w:rsidRPr="00965149">
        <w:rPr>
          <w:rFonts w:ascii="Arial" w:hAnsi="Arial" w:cs="Arial"/>
          <w:i/>
          <w:iCs/>
          <w:sz w:val="20"/>
          <w:szCs w:val="20"/>
        </w:rPr>
        <w:t>viz</w:t>
      </w:r>
      <w:r w:rsidRPr="00965149">
        <w:rPr>
          <w:rFonts w:ascii="Arial" w:hAnsi="Arial" w:cs="Arial"/>
          <w:sz w:val="20"/>
          <w:szCs w:val="20"/>
        </w:rPr>
        <w:t>. continuous or minimal mechanical soil disturbance, maintenance of a permanent biomass soil mulch cover on the ground surface, and diversification of crop species</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10.1080/00207233.2018.1494927","ISSN":"0020-7233","author":[{"dropping-particle":"","family":"Kassam","given":"A.","non-dropping-particle":"","parse-names":false,"suffix":""},{"dropping-particle":"","family":"Friedrich","given":"T.","non-dropping-particle":"","parse-names":false,"suffix":""},{"dropping-particle":"","family":"Derpsch","given":"R.","non-dropping-particle":"","parse-names":false,"suffix":""}],"container-title":"International Journal of Environmental Studies","id":"ITEM-1","issue":"1","issued":{"date-parts":[["2019","1","2"]]},"page":"29-51","title":"Global spread of Conservation Agriculture","type":"article-journal","volume":"76"},"uris":["http://www.mendeley.com/documents/?uuid=d0cdf7e6-e10f-3c73-bce8-197763e221d3"]}],"mendeley":{"formattedCitation":"(Kassam et al., 2019)","plainTextFormattedCitation":"(Kassam et al., 2019)","previouslyFormattedCitation":"(Kassam et al., 2019)"},"properties":{"noteIndex":0},"schema":"https://github.com/citation-style-language/schema/raw/master/csl-citation.json"}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(Kassam et al., 2019)</w:t>
      </w:r>
      <w:r w:rsidR="00F80C00" w:rsidRPr="00965149">
        <w:rPr>
          <w:rFonts w:ascii="Arial" w:hAnsi="Arial" w:cs="Arial"/>
          <w:sz w:val="20"/>
          <w:szCs w:val="20"/>
        </w:rPr>
        <w:fldChar w:fldCharType="end"/>
      </w:r>
      <w:r w:rsidRPr="00965149">
        <w:rPr>
          <w:rFonts w:ascii="Arial" w:hAnsi="Arial" w:cs="Arial"/>
          <w:sz w:val="20"/>
          <w:szCs w:val="20"/>
        </w:rPr>
        <w:t>. It consists of different forms such as zero tillage, minimum tillage, and stubble mulch tillage. Conservation tillage is a critical component of sustainable soil management, aiming to minimize soil disturbance during cultivation. Unlike conventional tillage, conservation tillage techniques, such as no-till or reduced tillage, help preserve soil structure and organic matter. Reduced soil disturbance prevents erosion, retains water, and promotes beneficial microbial activity. As a result, conservation tillage reduces the carbon footprint of agriculture, conserving energy and promoting soil health.</w:t>
      </w:r>
    </w:p>
    <w:p w14:paraId="0D96DB78"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Crop rotation</w:t>
      </w:r>
    </w:p>
    <w:p w14:paraId="589E896E" w14:textId="77777777" w:rsidR="00AB24FB"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Crop rotation is a time-tested strategy in sustainable soil management. By alternating crops in a planned sequence, farmers can break pest and disease cycles, reduce the depletion of specific nutrients, and enhance overall soil fertility. Diverse crop rotations also promote biodiversity above and below the ground, fostering a more resilient and adaptable agroecosystem.</w:t>
      </w:r>
      <w:r w:rsidR="00AB24FB" w:rsidRPr="00965149">
        <w:rPr>
          <w:rFonts w:ascii="Arial" w:hAnsi="Arial" w:cs="Arial"/>
          <w:sz w:val="20"/>
          <w:szCs w:val="20"/>
        </w:rPr>
        <w:t xml:space="preserve"> Crop rotation offers numerous advantages to any farming system, with a key benefit being its capacity to disrupt the disease cycle within a specific field. Continuous cultivation of the same crop in a particular soil often results in the accumulation of disease-causing pathogens. Without the implementation of rotations, these pathogens can proliferate, surpassing the threshold population that triggers plant diseases. The introduction of rotations, involving the cultivation of a plant from a different family, disrupts the pathogen cycle. As the new crop cannot serve as a host for the existing pathogen, the pathogen population diminishes rapidly in the soil.</w:t>
      </w:r>
    </w:p>
    <w:p w14:paraId="550B3001" w14:textId="4FF98B58" w:rsidR="00AB24FB" w:rsidRPr="00965149" w:rsidRDefault="00AB24FB" w:rsidP="00965149">
      <w:pPr>
        <w:spacing w:line="240" w:lineRule="auto"/>
        <w:ind w:firstLine="720"/>
        <w:jc w:val="both"/>
        <w:rPr>
          <w:rFonts w:ascii="Arial" w:hAnsi="Arial" w:cs="Arial"/>
          <w:sz w:val="20"/>
          <w:szCs w:val="20"/>
        </w:rPr>
      </w:pPr>
      <w:r w:rsidRPr="00965149">
        <w:rPr>
          <w:rFonts w:ascii="Arial" w:hAnsi="Arial" w:cs="Arial"/>
          <w:sz w:val="20"/>
          <w:szCs w:val="20"/>
        </w:rPr>
        <w:t xml:space="preserve">Furthermore, the cultivation of diverse crops enhances the microbial population and diversity in the soil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10.1007/s13593-016-0385-7","ISSN":"1774-0746","author":[{"dropping-particle":"","family":"Vukicevich","given":"Eric","non-dropping-particle":"","parse-names":false,"suffix":""},{"dropping-particle":"","family":"Lowery","given":"Tom","non-dropping-particle":"","parse-names":false,"suffix":""},{"dropping-particle":"","family":"Bowen","given":"Pat","non-dropping-particle":"","parse-names":false,"suffix":""},{"dropping-particle":"","family":"Úrbez-Torres","given":"José Ramon","non-dropping-particle":"","parse-names":false,"suffix":""},{"dropping-particle":"","family":"Hart","given":"Miranda","non-dropping-particle":"","parse-names":false,"suffix":""}],"container-title":"Agronomy for Sustainable Development","id":"ITEM-1","issue":"3","issued":{"date-parts":[["2016","9","5"]]},"page":"48","title":"Cover crops to increase soil microbial diversity and mitigate decline in perennial agriculture. A review","type":"article-journal","volume":"36"},"uris":["http://www.mendeley.com/documents/?uuid=0224c619-7124-3cdb-9703-a23112737d4b"]}],"mendeley":{"formattedCitation":"(Vukicevich et al., 2016)","plainTextFormattedCitation":"(Vukicevich et al., 2016)","previouslyFormattedCitation":"(Vukicevich et al., 2016)"},"properties":{"noteIndex":0},"schema":"https://github.com/citation-style-language/schema/raw/master/csl-citation.json"}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(Vukicevich et al., 2016)</w:t>
      </w:r>
      <w:r w:rsidR="00F80C00" w:rsidRPr="00965149">
        <w:rPr>
          <w:rFonts w:ascii="Arial" w:hAnsi="Arial" w:cs="Arial"/>
          <w:sz w:val="20"/>
          <w:szCs w:val="20"/>
        </w:rPr>
        <w:fldChar w:fldCharType="end"/>
      </w:r>
      <w:r w:rsidRPr="00965149">
        <w:rPr>
          <w:rFonts w:ascii="Arial" w:hAnsi="Arial" w:cs="Arial"/>
          <w:sz w:val="20"/>
          <w:szCs w:val="20"/>
        </w:rPr>
        <w:t xml:space="preserve">. Different crops are associated with distinct microbial communities that interact with their respective plant roots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{"citationItems":[{"id":"ITEM-1","itemData":{"DOI":"10.1016/j.tplants.2012.04.001","ISSN":"13601385","author":[{"dropping-particle":"","family":"Berendsen","given":"Roeland L.","non-dropping-particle":"","parse-names":false,"suffix":""},{"dropping-particle":"","family":"Pieterse","given":"Corné M.J.","non-dropping-particle":"","parse-names":false,"suffix":""},{"dropping-particle":"","family":"Bakker","given":"Peter A.H.M.","non-dropping-particle":"","parse-names":false,"suffix":""}],"container-title":"Trends in Plant Science","id":"ITEM-1","issue":"8","issued":{"date-parts":[["2012","8"]]},"page":"478-486","title":"The rhizosphere microbiome and plant health","type":"article-journal","volume":"17"},"uris":["http://www.mendeley.com/documents/?uuid=af659ba2-7eb1-3751-adfc-c26776ff2b41"]}],"mendeley":{"formattedCitation":"(Berendsen et al., 2012)","plainTextFormattedCitation":"(Berendsen et al., 2012)","previouslyFormattedCitation":"(Berendsen et al., 2012)"},"properties":{"noteIndex":0},"schema":"https://github.com/citation-style-language/schema/raw/master/csl-citation.json"}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(Berendsen et al., 2012)</w:t>
      </w:r>
      <w:r w:rsidR="00F80C00" w:rsidRPr="00965149">
        <w:rPr>
          <w:rFonts w:ascii="Arial" w:hAnsi="Arial" w:cs="Arial"/>
          <w:sz w:val="20"/>
          <w:szCs w:val="20"/>
        </w:rPr>
        <w:fldChar w:fldCharType="end"/>
      </w:r>
      <w:r w:rsidRPr="00965149">
        <w:rPr>
          <w:rFonts w:ascii="Arial" w:hAnsi="Arial" w:cs="Arial"/>
          <w:sz w:val="20"/>
          <w:szCs w:val="20"/>
        </w:rPr>
        <w:t>. The greater the diversity of crops cultivated on a piece of land, the more diverse the soil microbiomes become, contributing to improved overall soil health.</w:t>
      </w:r>
    </w:p>
    <w:p w14:paraId="76949013" w14:textId="323E1F38" w:rsidR="00F108A8" w:rsidRPr="00965149" w:rsidRDefault="005C08BD" w:rsidP="00965149">
      <w:pPr>
        <w:spacing w:line="240" w:lineRule="auto"/>
        <w:jc w:val="both"/>
        <w:rPr>
          <w:rFonts w:ascii="Arial" w:hAnsi="Arial" w:cs="Arial"/>
          <w:i/>
          <w:sz w:val="20"/>
          <w:szCs w:val="20"/>
        </w:rPr>
      </w:pPr>
      <w:r w:rsidRPr="00965149">
        <w:rPr>
          <w:rFonts w:ascii="Arial" w:hAnsi="Arial" w:cs="Arial"/>
          <w:i/>
          <w:sz w:val="20"/>
          <w:szCs w:val="20"/>
        </w:rPr>
        <w:t>Agroforestry</w:t>
      </w:r>
    </w:p>
    <w:p w14:paraId="3C682D73" w14:textId="35AE9852"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lastRenderedPageBreak/>
        <w:t>Agroforestry integrates trees and shrubs into agricultural systems, providing a myriad of benefits for soil management. The roots of trees help stabilize soil, preventing erosion, and enhancing water retention. The organic matter from fallen leaves contributes to soil fertility, and the trees themselves provide additional resources such as timber, fruits, or nuts. Agroforestry systems are a sustainable and multifunctional approach to land use, combining the advantages of both agriculture and forestry.</w:t>
      </w:r>
    </w:p>
    <w:p w14:paraId="061654D0" w14:textId="050E066A" w:rsidR="00136248" w:rsidRPr="00965149" w:rsidRDefault="00136248" w:rsidP="00965149">
      <w:pPr>
        <w:spacing w:line="240" w:lineRule="auto"/>
        <w:jc w:val="both"/>
        <w:rPr>
          <w:rFonts w:ascii="Arial" w:hAnsi="Arial" w:cs="Arial"/>
          <w:i/>
          <w:sz w:val="20"/>
          <w:szCs w:val="20"/>
        </w:rPr>
      </w:pPr>
      <w:r w:rsidRPr="00965149">
        <w:rPr>
          <w:rFonts w:ascii="Arial" w:hAnsi="Arial" w:cs="Arial"/>
          <w:i/>
          <w:sz w:val="20"/>
          <w:szCs w:val="20"/>
        </w:rPr>
        <w:t xml:space="preserve">Integrate </w:t>
      </w:r>
      <w:r w:rsidR="00BC082C" w:rsidRPr="00965149">
        <w:rPr>
          <w:rFonts w:ascii="Arial" w:hAnsi="Arial" w:cs="Arial"/>
          <w:i/>
          <w:sz w:val="20"/>
          <w:szCs w:val="20"/>
        </w:rPr>
        <w:t>livestock into cropping systems</w:t>
      </w:r>
    </w:p>
    <w:p w14:paraId="0903FB66" w14:textId="0FC53A8A"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In integrated systems combining crops, ranges, and livestock, cattle, goats, and sheep are commonly utilized to graze on crop residues and stubble during the winter season, while crops are cultivated from spring through fall. Livestock is often relocated to rangelands when cash crops are actively growing in the crop production fields. The integration of livestock into the cropping system through winter grazing offers advantages to producers by enhancing farm resource utilization efficiency, reducing the dependence on synthetic fertilizers and pesticides, and fostering improved soil health</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36010C" w:rsidRPr="00965149">
        <w:rPr>
          <w:rFonts w:ascii="Arial" w:hAnsi="Arial" w:cs="Arial"/>
          <w:sz w:val="20"/>
          <w:szCs w:val="20"/>
        </w:rPr>
        <w:instrText>ADDIN CSL_CITATION {"citationItems":[{"id":"ITEM-1","itemData":{"DOI":"10.1017/S1742170512000208","ISSN":"1742-1705","abstract":"&lt;p&gt;In recent decades, there has been growing interest among farming and scientific communities toward integrated crop–range–livestock farming because of evidence of increased crop production, soil health, environmental services and resilience to increased climatic variability. This paper reviews studies on existing cropping systems and integrated crop–range–livestock systems across the USA which are relevant in the context of summarizing opportunities and challenges associated with implementing long-term crop–range–livestock systems research in the highly variable environment of the central High Plains. With precipitation ranging from 305 to 484mm and uncertain irrigation water supply, this region is especially vulnerable to changing moisture and temperature patterns. The results of our review indicate that diverse crop rotations, reduced soil disturbance and integrated crop–livestock systems could increase economic returns and agroecosystem resilience. Integrating agricultural system components to acquire unique benefits from small- to medium-sized operations, however, is a challenging task. This is because assessment and identification of suitable farming systems, selection of the most efficient integration scheme, and pinpointing the best management practices are crucial for successful integration of components. Effective integration requires development of evaluation criteria that incorporate the efficiency of approaches under consideration and their interactions. Therefore, establishing the basis for more sustainable farming systems in the central High Plains relies on both long-term agricultural systems research and evaluation of short-term dynamics of individual components.&lt;/p&gt;","author":[{"dropping-particle":"","family":"Ghimire","given":"Rajan","non-dropping-particle":"","parse-names":false,"suffix":""},{"dropping-particle":"","family":"Norton","given":"Jay B.","non-dropping-particle":"","parse-names":false,"suffix":""},{"dropping-particle":"","family":"Norton","given":"Urszula","non-dropping-particle":"","parse-names":false,"suffix":""},{"dropping-particle":"","family":"Ritten","given":"John P.","non-dropping-particle":"","parse-names":false,"suffix":""},{"dropping-particle":"","family":"Stahl","given":"Peter D.","non-dropping-particle":"","parse-names":false,"suffix":""},{"dropping-particle":"","family":"Krall","given":"James M.","non-dropping-particle":"","parse-names":false,"suffix":""}],"container-title":"Renewable Agriculture and Food Systems","id":"ITEM-1","issue":"2","issued":{"date-parts":[["2013","6","14"]]},"page":"183-193","title":"Long-term farming systems research in the central High Plains","type":"article-journal","volume":"28"},"uris":["http://www.mendeley.com/documents/?uuid=f832d176-abbb-37d2-b681-fd1fd69fe192"]}],"mendeley":{"formattedCitation":"(Ghimire et al., 2013)","plainTextFormattedCitation":"(Ghimire et al., 2013)","previouslyFormattedCitation":"(Ghimire et al., 2013)"},"properties":{"noteIndex":0},"schema":"https://github.com/citation-style-language/schema/raw/master/csl-citation.json"}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(Ghimire et al., 2013)</w:t>
      </w:r>
      <w:r w:rsidR="00F80C00" w:rsidRPr="00965149">
        <w:rPr>
          <w:rFonts w:ascii="Arial" w:hAnsi="Arial" w:cs="Arial"/>
          <w:sz w:val="20"/>
          <w:szCs w:val="20"/>
        </w:rPr>
        <w:fldChar w:fldCharType="end"/>
      </w:r>
      <w:r w:rsidRPr="00965149">
        <w:rPr>
          <w:rFonts w:ascii="Arial" w:hAnsi="Arial" w:cs="Arial"/>
          <w:sz w:val="20"/>
          <w:szCs w:val="20"/>
        </w:rPr>
        <w:t>.</w:t>
      </w:r>
    </w:p>
    <w:p w14:paraId="78D03AD0" w14:textId="77777777"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 xml:space="preserve">Livestock-integrated systems play a pivotal role in supporting the development of diverse microbial communities, contributing to the accumulation of soil organic matter and the cultivation of healthy soils. Grazing activities expedite the decomposition of residual plant materials, thereby increasing the availability of essential nutrients like nitrogen, phosphorus, and </w:t>
      </w:r>
      <w:proofErr w:type="spellStart"/>
      <w:r w:rsidRPr="00965149">
        <w:rPr>
          <w:rFonts w:ascii="Arial" w:hAnsi="Arial" w:cs="Arial"/>
          <w:sz w:val="20"/>
          <w:szCs w:val="20"/>
        </w:rPr>
        <w:t>sulfur</w:t>
      </w:r>
      <w:proofErr w:type="spellEnd"/>
      <w:r w:rsidRPr="00965149">
        <w:rPr>
          <w:rFonts w:ascii="Arial" w:hAnsi="Arial" w:cs="Arial"/>
          <w:sz w:val="20"/>
          <w:szCs w:val="20"/>
        </w:rPr>
        <w:t>. The actions of animal hooves bring more residue into contact with the soil, and the saliva of grazing animals aids the growth of microbial decomposers, facilitating better soil organic matter formation and nutrient release.</w:t>
      </w:r>
    </w:p>
    <w:p w14:paraId="2949D2CA" w14:textId="187B5AC2" w:rsidR="00136248" w:rsidRPr="00965149" w:rsidRDefault="00F35ECA" w:rsidP="00965149">
      <w:pPr>
        <w:spacing w:line="240" w:lineRule="auto"/>
        <w:jc w:val="both"/>
        <w:rPr>
          <w:rFonts w:ascii="Arial" w:hAnsi="Arial" w:cs="Arial"/>
          <w:b/>
        </w:rPr>
      </w:pPr>
      <w:r w:rsidRPr="00965149">
        <w:rPr>
          <w:rFonts w:ascii="Arial" w:hAnsi="Arial" w:cs="Arial"/>
          <w:b/>
        </w:rPr>
        <w:t>Coordinated Projects Related to Soil Health</w:t>
      </w:r>
    </w:p>
    <w:p w14:paraId="60E91EDA" w14:textId="466F1379" w:rsidR="00F108A8" w:rsidRPr="00965149" w:rsidRDefault="00F35ECA" w:rsidP="00965149">
      <w:pPr>
        <w:pStyle w:val="NormalWeb"/>
        <w:spacing w:before="0" w:beforeAutospacing="0" w:after="300" w:afterAutospacing="0"/>
        <w:ind w:firstLine="72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Several </w:t>
      </w:r>
      <w:r w:rsidR="005C08BD" w:rsidRPr="00965149">
        <w:rPr>
          <w:rFonts w:ascii="Arial" w:eastAsiaTheme="minorHAnsi" w:hAnsi="Arial" w:cs="Arial"/>
          <w:sz w:val="20"/>
          <w:szCs w:val="20"/>
          <w:lang w:eastAsia="en-US"/>
        </w:rPr>
        <w:t>All-India</w:t>
      </w:r>
      <w:r w:rsidRPr="00965149">
        <w:rPr>
          <w:rFonts w:ascii="Arial" w:eastAsiaTheme="minorHAnsi" w:hAnsi="Arial" w:cs="Arial"/>
          <w:sz w:val="20"/>
          <w:szCs w:val="20"/>
          <w:lang w:eastAsia="en-US"/>
        </w:rPr>
        <w:t xml:space="preserve"> Coordinated Research Projects (AICRPs) were established in </w:t>
      </w:r>
      <w:r w:rsidR="005C08BD" w:rsidRPr="00965149">
        <w:rPr>
          <w:rFonts w:ascii="Arial" w:eastAsiaTheme="minorHAnsi" w:hAnsi="Arial" w:cs="Arial"/>
          <w:sz w:val="20"/>
          <w:szCs w:val="20"/>
          <w:lang w:eastAsia="en-US"/>
        </w:rPr>
        <w:t>post-independence</w:t>
      </w:r>
      <w:r w:rsidRPr="00965149">
        <w:rPr>
          <w:rFonts w:ascii="Arial" w:eastAsiaTheme="minorHAnsi" w:hAnsi="Arial" w:cs="Arial"/>
          <w:sz w:val="20"/>
          <w:szCs w:val="20"/>
          <w:lang w:eastAsia="en-US"/>
        </w:rPr>
        <w:t xml:space="preserve"> India to </w:t>
      </w:r>
      <w:proofErr w:type="spellStart"/>
      <w:r w:rsidRPr="00965149">
        <w:rPr>
          <w:rFonts w:ascii="Arial" w:eastAsiaTheme="minorHAnsi" w:hAnsi="Arial" w:cs="Arial"/>
          <w:sz w:val="20"/>
          <w:szCs w:val="20"/>
          <w:lang w:eastAsia="en-US"/>
        </w:rPr>
        <w:t>catalyze</w:t>
      </w:r>
      <w:proofErr w:type="spellEnd"/>
      <w:r w:rsidRPr="00965149">
        <w:rPr>
          <w:rFonts w:ascii="Arial" w:eastAsiaTheme="minorHAnsi" w:hAnsi="Arial" w:cs="Arial"/>
          <w:sz w:val="20"/>
          <w:szCs w:val="20"/>
          <w:lang w:eastAsia="en-US"/>
        </w:rPr>
        <w:t xml:space="preserve"> agricultural research and development in the country. Table 1 provides a chronological overview of these projects, which formed the foundational framework for the advancement of soil health management. Stewart</w:t>
      </w:r>
      <w:r w:rsidR="0020732E" w:rsidRPr="00965149">
        <w:rPr>
          <w:rFonts w:ascii="Arial" w:eastAsiaTheme="minorHAnsi" w:hAnsi="Arial" w:cs="Arial"/>
          <w:sz w:val="20"/>
          <w:szCs w:val="20"/>
          <w:lang w:eastAsia="en-US"/>
        </w:rPr>
        <w:t xml:space="preserve">, </w:t>
      </w:r>
      <w:r w:rsidRPr="00965149">
        <w:rPr>
          <w:rFonts w:ascii="Arial" w:eastAsiaTheme="minorHAnsi" w:hAnsi="Arial" w:cs="Arial"/>
          <w:sz w:val="20"/>
          <w:szCs w:val="20"/>
          <w:lang w:eastAsia="en-US"/>
        </w:rPr>
        <w:t xml:space="preserve">1947 played a crucial role in establishing the conceptual framework for coordinated and multidisciplinary agronomic research. He initiated simple fertilizer trials (SFTs) on cultivators' fields and advised the government on launching model agronomic experiments to formulate a package of practices, particularly focusing on fertilizer use in diverse agro-climatic and soil-crop scenarios. Since the late sixties/early seventies, these </w:t>
      </w:r>
      <w:r w:rsidR="0020732E" w:rsidRPr="00965149">
        <w:rPr>
          <w:rFonts w:ascii="Arial" w:eastAsiaTheme="minorHAnsi" w:hAnsi="Arial" w:cs="Arial"/>
          <w:sz w:val="20"/>
          <w:szCs w:val="20"/>
          <w:lang w:eastAsia="en-US"/>
        </w:rPr>
        <w:t>endeavours</w:t>
      </w:r>
      <w:r w:rsidRPr="00965149">
        <w:rPr>
          <w:rFonts w:ascii="Arial" w:eastAsiaTheme="minorHAnsi" w:hAnsi="Arial" w:cs="Arial"/>
          <w:sz w:val="20"/>
          <w:szCs w:val="20"/>
          <w:lang w:eastAsia="en-US"/>
        </w:rPr>
        <w:t xml:space="preserve"> have been systematically addressed through AICRPs, including those focused on Soil Test Crop Response (STCR), Micronutrients, Secondary and Pollutant Elements, Long-Term Fertilizer Experiments (LTFEs), and Biological Nitrogen Fixation (BNF).</w:t>
      </w:r>
    </w:p>
    <w:p w14:paraId="0BBE3120" w14:textId="1E0EB755" w:rsidR="00F35ECA" w:rsidRPr="00965149" w:rsidRDefault="00F35ECA" w:rsidP="00965149">
      <w:pPr>
        <w:pStyle w:val="NormalWeb"/>
        <w:spacing w:before="0" w:beforeAutospacing="0" w:after="300" w:afterAutospacing="0"/>
        <w:jc w:val="both"/>
        <w:rPr>
          <w:rFonts w:ascii="Arial" w:eastAsiaTheme="minorHAnsi" w:hAnsi="Arial" w:cs="Arial"/>
          <w:b/>
          <w:bCs/>
          <w:sz w:val="20"/>
          <w:szCs w:val="20"/>
          <w:lang w:eastAsia="en-US"/>
        </w:rPr>
      </w:pPr>
      <w:r w:rsidRPr="00965149">
        <w:rPr>
          <w:rFonts w:ascii="Arial" w:eastAsiaTheme="minorHAnsi" w:hAnsi="Arial" w:cs="Arial"/>
          <w:b/>
          <w:bCs/>
          <w:sz w:val="20"/>
          <w:szCs w:val="20"/>
          <w:lang w:eastAsia="en-US"/>
        </w:rPr>
        <w:t xml:space="preserve">Table </w:t>
      </w:r>
      <w:r w:rsidR="00202D50">
        <w:rPr>
          <w:rFonts w:ascii="Arial" w:eastAsiaTheme="minorHAnsi" w:hAnsi="Arial" w:cs="Arial"/>
          <w:b/>
          <w:bCs/>
          <w:sz w:val="20"/>
          <w:szCs w:val="20"/>
          <w:lang w:eastAsia="en-US"/>
        </w:rPr>
        <w:t>2</w:t>
      </w:r>
      <w:r w:rsidRPr="00965149">
        <w:rPr>
          <w:rFonts w:ascii="Arial" w:eastAsiaTheme="minorHAnsi" w:hAnsi="Arial" w:cs="Arial"/>
          <w:b/>
          <w:bCs/>
          <w:sz w:val="20"/>
          <w:szCs w:val="20"/>
          <w:lang w:eastAsia="en-US"/>
        </w:rPr>
        <w:t>.</w:t>
      </w:r>
      <w:r w:rsidR="00273F7E" w:rsidRPr="00965149">
        <w:rPr>
          <w:rFonts w:ascii="Arial" w:eastAsiaTheme="minorHAnsi" w:hAnsi="Arial" w:cs="Arial"/>
          <w:b/>
          <w:bCs/>
          <w:sz w:val="20"/>
          <w:szCs w:val="20"/>
          <w:lang w:eastAsia="en-US"/>
        </w:rPr>
        <w:t xml:space="preserve"> </w:t>
      </w:r>
      <w:r w:rsidRPr="00965149">
        <w:rPr>
          <w:rFonts w:ascii="Arial" w:eastAsiaTheme="minorHAnsi" w:hAnsi="Arial" w:cs="Arial"/>
          <w:b/>
          <w:bCs/>
          <w:sz w:val="20"/>
          <w:szCs w:val="20"/>
          <w:lang w:eastAsia="en-US"/>
        </w:rPr>
        <w:t xml:space="preserve">ICAR-All India Coordinated Research Projects (AICRPs) launched by </w:t>
      </w:r>
      <w:r w:rsidR="00F94D46" w:rsidRPr="00965149">
        <w:rPr>
          <w:rFonts w:ascii="Arial" w:eastAsiaTheme="minorHAnsi" w:hAnsi="Arial" w:cs="Arial"/>
          <w:b/>
          <w:bCs/>
          <w:sz w:val="20"/>
          <w:szCs w:val="20"/>
          <w:lang w:eastAsia="en-US"/>
        </w:rPr>
        <w:t>Indian Council of Agricultural Research (</w:t>
      </w:r>
      <w:r w:rsidRPr="00965149">
        <w:rPr>
          <w:rFonts w:ascii="Arial" w:eastAsiaTheme="minorHAnsi" w:hAnsi="Arial" w:cs="Arial"/>
          <w:b/>
          <w:bCs/>
          <w:sz w:val="20"/>
          <w:szCs w:val="20"/>
          <w:lang w:eastAsia="en-US"/>
        </w:rPr>
        <w:t>ICAR</w:t>
      </w:r>
      <w:r w:rsidR="00F94D46" w:rsidRPr="00965149">
        <w:rPr>
          <w:rFonts w:ascii="Arial" w:eastAsiaTheme="minorHAnsi" w:hAnsi="Arial" w:cs="Arial"/>
          <w:b/>
          <w:bCs/>
          <w:sz w:val="20"/>
          <w:szCs w:val="20"/>
          <w:lang w:eastAsia="en-US"/>
        </w:rPr>
        <w:t>)</w:t>
      </w:r>
      <w:r w:rsidRPr="00965149">
        <w:rPr>
          <w:rFonts w:ascii="Arial" w:eastAsiaTheme="minorHAnsi" w:hAnsi="Arial" w:cs="Arial"/>
          <w:b/>
          <w:bCs/>
          <w:sz w:val="20"/>
          <w:szCs w:val="20"/>
          <w:lang w:eastAsia="en-US"/>
        </w:rPr>
        <w:t xml:space="preserve"> with </w:t>
      </w:r>
      <w:r w:rsidR="005C08BD" w:rsidRPr="00965149">
        <w:rPr>
          <w:rFonts w:ascii="Arial" w:eastAsiaTheme="minorHAnsi" w:hAnsi="Arial" w:cs="Arial"/>
          <w:b/>
          <w:bCs/>
          <w:sz w:val="20"/>
          <w:szCs w:val="20"/>
          <w:lang w:eastAsia="en-US"/>
        </w:rPr>
        <w:t xml:space="preserve">the </w:t>
      </w:r>
      <w:r w:rsidRPr="00965149">
        <w:rPr>
          <w:rFonts w:ascii="Arial" w:eastAsiaTheme="minorHAnsi" w:hAnsi="Arial" w:cs="Arial"/>
          <w:b/>
          <w:bCs/>
          <w:sz w:val="20"/>
          <w:szCs w:val="20"/>
          <w:lang w:eastAsia="en-US"/>
        </w:rPr>
        <w:t>mandate of working on different aspects of soil health management.</w:t>
      </w:r>
    </w:p>
    <w:tbl>
      <w:tblPr>
        <w:tblStyle w:val="TableGrid"/>
        <w:tblW w:w="0" w:type="auto"/>
        <w:tblLook w:val="04A0" w:firstRow="1" w:lastRow="0" w:firstColumn="1" w:lastColumn="0" w:noHBand="0" w:noVBand="1"/>
      </w:tblPr>
      <w:tblGrid>
        <w:gridCol w:w="1129"/>
        <w:gridCol w:w="4881"/>
        <w:gridCol w:w="3006"/>
      </w:tblGrid>
      <w:tr w:rsidR="008E4D8E" w:rsidRPr="00965149" w14:paraId="1F4244B8" w14:textId="77777777" w:rsidTr="00F35ECA">
        <w:tc>
          <w:tcPr>
            <w:tcW w:w="1129" w:type="dxa"/>
          </w:tcPr>
          <w:p w14:paraId="68643E58" w14:textId="6E379C0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Sr. No.</w:t>
            </w:r>
          </w:p>
        </w:tc>
        <w:tc>
          <w:tcPr>
            <w:tcW w:w="4881" w:type="dxa"/>
          </w:tcPr>
          <w:p w14:paraId="68B8987F" w14:textId="3FFA4BE2"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details</w:t>
            </w:r>
          </w:p>
        </w:tc>
        <w:tc>
          <w:tcPr>
            <w:tcW w:w="3006" w:type="dxa"/>
          </w:tcPr>
          <w:p w14:paraId="0CBF3ADF" w14:textId="580B0F7F"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Year of establishment</w:t>
            </w:r>
          </w:p>
        </w:tc>
      </w:tr>
      <w:tr w:rsidR="008E4D8E" w:rsidRPr="00965149" w14:paraId="4AA35561" w14:textId="77777777" w:rsidTr="00F35ECA">
        <w:tc>
          <w:tcPr>
            <w:tcW w:w="1129" w:type="dxa"/>
          </w:tcPr>
          <w:p w14:paraId="4C531A2A" w14:textId="184475CA"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w:t>
            </w:r>
          </w:p>
        </w:tc>
        <w:tc>
          <w:tcPr>
            <w:tcW w:w="4881" w:type="dxa"/>
          </w:tcPr>
          <w:p w14:paraId="2B1F9680" w14:textId="0C0EA08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Soil Test with Crop Response, Bhopal</w:t>
            </w:r>
          </w:p>
        </w:tc>
        <w:tc>
          <w:tcPr>
            <w:tcW w:w="3006" w:type="dxa"/>
          </w:tcPr>
          <w:p w14:paraId="75DD6CC9" w14:textId="550325C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1967-68</w:t>
            </w:r>
          </w:p>
        </w:tc>
      </w:tr>
      <w:tr w:rsidR="008E4D8E" w:rsidRPr="00965149" w14:paraId="235068A8" w14:textId="77777777" w:rsidTr="00F35ECA">
        <w:trPr>
          <w:trHeight w:val="805"/>
        </w:trPr>
        <w:tc>
          <w:tcPr>
            <w:tcW w:w="1129" w:type="dxa"/>
          </w:tcPr>
          <w:p w14:paraId="770F358A" w14:textId="15677BA9"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2</w:t>
            </w:r>
          </w:p>
        </w:tc>
        <w:tc>
          <w:tcPr>
            <w:tcW w:w="4881" w:type="dxa"/>
          </w:tcPr>
          <w:p w14:paraId="1D85DE07" w14:textId="6649B1E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in Micro Secondary &amp; Pollutant Elements in Soils and Plants, Bhopa</w:t>
            </w:r>
            <w:r w:rsidR="005C08BD" w:rsidRPr="00965149">
              <w:rPr>
                <w:rFonts w:ascii="Arial" w:eastAsiaTheme="minorHAnsi" w:hAnsi="Arial" w:cs="Arial"/>
                <w:sz w:val="20"/>
                <w:szCs w:val="20"/>
                <w:lang w:eastAsia="en-US"/>
              </w:rPr>
              <w:t>l</w:t>
            </w:r>
          </w:p>
        </w:tc>
        <w:tc>
          <w:tcPr>
            <w:tcW w:w="3006" w:type="dxa"/>
          </w:tcPr>
          <w:p w14:paraId="33A385CA" w14:textId="145761F4"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w:t>
            </w:r>
          </w:p>
        </w:tc>
      </w:tr>
      <w:tr w:rsidR="008E4D8E" w:rsidRPr="00965149" w14:paraId="3051E3F7" w14:textId="77777777" w:rsidTr="00F35ECA">
        <w:tc>
          <w:tcPr>
            <w:tcW w:w="1129" w:type="dxa"/>
          </w:tcPr>
          <w:p w14:paraId="5ECBB970" w14:textId="3DFFBB7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3</w:t>
            </w:r>
          </w:p>
        </w:tc>
        <w:tc>
          <w:tcPr>
            <w:tcW w:w="4881" w:type="dxa"/>
          </w:tcPr>
          <w:p w14:paraId="4895F7AC" w14:textId="2BD9C11D"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long-term fertilizer experiments, Bhopal</w:t>
            </w:r>
          </w:p>
        </w:tc>
        <w:tc>
          <w:tcPr>
            <w:tcW w:w="3006" w:type="dxa"/>
          </w:tcPr>
          <w:p w14:paraId="3C4B503C" w14:textId="0A96E407"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1970</w:t>
            </w:r>
          </w:p>
        </w:tc>
      </w:tr>
      <w:tr w:rsidR="008E4D8E" w:rsidRPr="00965149" w14:paraId="507BC6B1" w14:textId="77777777" w:rsidTr="00F35ECA">
        <w:tc>
          <w:tcPr>
            <w:tcW w:w="1129" w:type="dxa"/>
          </w:tcPr>
          <w:p w14:paraId="50A35039" w14:textId="16C893F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4</w:t>
            </w:r>
          </w:p>
        </w:tc>
        <w:tc>
          <w:tcPr>
            <w:tcW w:w="4881" w:type="dxa"/>
          </w:tcPr>
          <w:p w14:paraId="24497E37" w14:textId="1B3D1A0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AICRP on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 xml:space="preserve">management of salt-affected soils and use of saline water in </w:t>
            </w:r>
            <w:r w:rsidR="00FF05B7" w:rsidRPr="00965149">
              <w:rPr>
                <w:rFonts w:ascii="Arial" w:eastAsiaTheme="minorHAnsi" w:hAnsi="Arial" w:cs="Arial"/>
                <w:sz w:val="20"/>
                <w:szCs w:val="20"/>
                <w:lang w:eastAsia="en-US"/>
              </w:rPr>
              <w:t xml:space="preserve"> </w:t>
            </w:r>
            <w:r w:rsidR="005C08BD" w:rsidRPr="00965149">
              <w:rPr>
                <w:rFonts w:ascii="Arial" w:eastAsiaTheme="minorHAnsi" w:hAnsi="Arial" w:cs="Arial"/>
                <w:sz w:val="20"/>
                <w:szCs w:val="20"/>
                <w:lang w:eastAsia="en-US"/>
              </w:rPr>
              <w:t>agriculture</w:t>
            </w:r>
            <w:r w:rsidRPr="00965149">
              <w:rPr>
                <w:rFonts w:ascii="Arial" w:eastAsiaTheme="minorHAnsi" w:hAnsi="Arial" w:cs="Arial"/>
                <w:sz w:val="20"/>
                <w:szCs w:val="20"/>
                <w:lang w:eastAsia="en-US"/>
              </w:rPr>
              <w:t>, Karnal</w:t>
            </w:r>
          </w:p>
        </w:tc>
        <w:tc>
          <w:tcPr>
            <w:tcW w:w="3006" w:type="dxa"/>
          </w:tcPr>
          <w:p w14:paraId="327BBFD9" w14:textId="375D2FF5"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During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IV five year plan</w:t>
            </w:r>
          </w:p>
        </w:tc>
      </w:tr>
      <w:tr w:rsidR="008E4D8E" w:rsidRPr="00965149" w14:paraId="07E1FDD9" w14:textId="77777777" w:rsidTr="00F35ECA">
        <w:tc>
          <w:tcPr>
            <w:tcW w:w="1129" w:type="dxa"/>
          </w:tcPr>
          <w:p w14:paraId="37824C7E" w14:textId="1090813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5</w:t>
            </w:r>
          </w:p>
        </w:tc>
        <w:tc>
          <w:tcPr>
            <w:tcW w:w="4881" w:type="dxa"/>
          </w:tcPr>
          <w:p w14:paraId="1CBD4F99" w14:textId="790F237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biological nitrogen fixation, Bhopal</w:t>
            </w:r>
          </w:p>
        </w:tc>
        <w:tc>
          <w:tcPr>
            <w:tcW w:w="3006" w:type="dxa"/>
          </w:tcPr>
          <w:p w14:paraId="25A3618C" w14:textId="3E710318"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1976</w:t>
            </w:r>
          </w:p>
        </w:tc>
      </w:tr>
    </w:tbl>
    <w:p w14:paraId="24BB91CE" w14:textId="77777777" w:rsidR="00564606" w:rsidRPr="00A26B6D" w:rsidRDefault="00564606" w:rsidP="00965149">
      <w:pPr>
        <w:pStyle w:val="NormalWeb"/>
        <w:spacing w:before="0" w:beforeAutospacing="0" w:after="0" w:afterAutospacing="0"/>
        <w:jc w:val="both"/>
        <w:rPr>
          <w:b/>
        </w:rPr>
      </w:pPr>
    </w:p>
    <w:p w14:paraId="25FF7052" w14:textId="4DAD2DCE" w:rsidR="002859BD" w:rsidRPr="00965149" w:rsidRDefault="00965149"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CONCLUSIONS:</w:t>
      </w:r>
    </w:p>
    <w:p w14:paraId="63C57D8C" w14:textId="14751968" w:rsidR="00E34183" w:rsidRPr="00965149" w:rsidRDefault="00E34183"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In </w:t>
      </w:r>
      <w:r w:rsidR="005C08BD" w:rsidRPr="00965149">
        <w:rPr>
          <w:rFonts w:ascii="Arial" w:hAnsi="Arial" w:cs="Arial"/>
          <w:sz w:val="20"/>
          <w:szCs w:val="20"/>
        </w:rPr>
        <w:t>conclusion</w:t>
      </w:r>
      <w:r w:rsidRPr="00965149">
        <w:rPr>
          <w:rFonts w:ascii="Arial" w:hAnsi="Arial" w:cs="Arial"/>
          <w:sz w:val="20"/>
          <w:szCs w:val="20"/>
        </w:rPr>
        <w:t xml:space="preserve">, the article emphasized </w:t>
      </w:r>
      <w:r w:rsidR="005C08BD" w:rsidRPr="00965149">
        <w:rPr>
          <w:rFonts w:ascii="Arial" w:hAnsi="Arial" w:cs="Arial"/>
          <w:sz w:val="20"/>
          <w:szCs w:val="20"/>
        </w:rPr>
        <w:t xml:space="preserve">the </w:t>
      </w:r>
      <w:r w:rsidRPr="00965149">
        <w:rPr>
          <w:rFonts w:ascii="Arial" w:hAnsi="Arial" w:cs="Arial"/>
          <w:sz w:val="20"/>
          <w:szCs w:val="20"/>
        </w:rPr>
        <w:t xml:space="preserve">pressing global issue of a rapidly increasing population, projected to reach 8.9 billion by 2050, and the subsequent rise in demands for agricultural produce. The reduction in average land holding and various limitations such as low fertility, soil erosion, and degradation pose significant challenges to meeting these demands. The role of soil health in addressing these challenges and emphasizing its impact on food production, water quality, biodiversity, and overall ecosystem services.  </w:t>
      </w:r>
      <w:r w:rsidR="00FF05B7" w:rsidRPr="00965149">
        <w:rPr>
          <w:rFonts w:ascii="Arial" w:hAnsi="Arial" w:cs="Arial"/>
          <w:sz w:val="20"/>
          <w:szCs w:val="20"/>
        </w:rPr>
        <w:t>Soil</w:t>
      </w:r>
      <w:r w:rsidRPr="00965149">
        <w:rPr>
          <w:rFonts w:ascii="Arial" w:hAnsi="Arial" w:cs="Arial"/>
          <w:sz w:val="20"/>
          <w:szCs w:val="20"/>
        </w:rPr>
        <w:t xml:space="preserve"> characteristics such as physical, chemical, and biological properties </w:t>
      </w:r>
      <w:r w:rsidR="005C08BD" w:rsidRPr="00965149">
        <w:rPr>
          <w:rFonts w:ascii="Arial" w:hAnsi="Arial" w:cs="Arial"/>
          <w:sz w:val="20"/>
          <w:szCs w:val="20"/>
        </w:rPr>
        <w:t xml:space="preserve">influence </w:t>
      </w:r>
      <w:r w:rsidRPr="00965149">
        <w:rPr>
          <w:rFonts w:ascii="Arial" w:hAnsi="Arial" w:cs="Arial"/>
          <w:sz w:val="20"/>
          <w:szCs w:val="20"/>
        </w:rPr>
        <w:t xml:space="preserve">soil health.   Physical health involves properties like texture and structure, chemical health </w:t>
      </w:r>
      <w:r w:rsidRPr="00965149">
        <w:rPr>
          <w:rFonts w:ascii="Arial" w:hAnsi="Arial" w:cs="Arial"/>
          <w:sz w:val="20"/>
          <w:szCs w:val="20"/>
        </w:rPr>
        <w:lastRenderedPageBreak/>
        <w:t xml:space="preserve">encompasses nutrient content and pH levels, while biological health involves microorganisms. The deterioration of soil health, attributed to factors such as nutrient imbalances, soil degradation, and pollution, </w:t>
      </w:r>
      <w:r w:rsidR="005C08BD" w:rsidRPr="00965149">
        <w:rPr>
          <w:rFonts w:ascii="Arial" w:hAnsi="Arial" w:cs="Arial"/>
          <w:sz w:val="20"/>
          <w:szCs w:val="20"/>
        </w:rPr>
        <w:t xml:space="preserve">is </w:t>
      </w:r>
      <w:r w:rsidRPr="00965149">
        <w:rPr>
          <w:rFonts w:ascii="Arial" w:hAnsi="Arial" w:cs="Arial"/>
          <w:sz w:val="20"/>
          <w:szCs w:val="20"/>
        </w:rPr>
        <w:t xml:space="preserve">considered a major concern. The importance of soil health is underscored in the context of sustainable development goals, climate change resilience, and carbon sequestration. </w:t>
      </w:r>
      <w:r w:rsidR="00FF05B7" w:rsidRPr="00965149">
        <w:rPr>
          <w:rFonts w:ascii="Arial" w:hAnsi="Arial" w:cs="Arial"/>
          <w:sz w:val="20"/>
          <w:szCs w:val="20"/>
        </w:rPr>
        <w:t xml:space="preserve"> </w:t>
      </w:r>
      <w:r w:rsidR="005C08BD" w:rsidRPr="00965149">
        <w:rPr>
          <w:rFonts w:ascii="Arial" w:hAnsi="Arial" w:cs="Arial"/>
          <w:sz w:val="20"/>
          <w:szCs w:val="20"/>
        </w:rPr>
        <w:t>Sustainable</w:t>
      </w:r>
      <w:r w:rsidRPr="00965149">
        <w:rPr>
          <w:rFonts w:ascii="Arial" w:hAnsi="Arial" w:cs="Arial"/>
          <w:sz w:val="20"/>
          <w:szCs w:val="20"/>
        </w:rPr>
        <w:t xml:space="preserve"> soil management practices, such as organic farming, cover cropping, conservation tillage, crop rotation, agroforestry, and livestock integration are identified as crucial for maintaining and enhancing soil health, productivity, and ecosystem services, thereby mitigating environmental degradation and ensuring food security. </w:t>
      </w:r>
    </w:p>
    <w:p w14:paraId="6F5A9A63" w14:textId="77777777" w:rsidR="00093A11" w:rsidRPr="00A26B6D" w:rsidRDefault="00093A11" w:rsidP="00A26B6D">
      <w:pPr>
        <w:pStyle w:val="NormalWeb"/>
        <w:spacing w:after="300" w:line="276" w:lineRule="auto"/>
        <w:jc w:val="both"/>
        <w:rPr>
          <w:b/>
        </w:rPr>
      </w:pPr>
    </w:p>
    <w:p w14:paraId="7356F677" w14:textId="77777777" w:rsidR="00202D50" w:rsidRPr="00A26B6D" w:rsidRDefault="00202D50" w:rsidP="00202D50">
      <w:pPr>
        <w:spacing w:after="0" w:line="276" w:lineRule="auto"/>
        <w:jc w:val="both"/>
        <w:rPr>
          <w:rFonts w:ascii="Times New Roman" w:hAnsi="Times New Roman" w:cs="Times New Roman"/>
          <w:b/>
          <w:sz w:val="20"/>
          <w:szCs w:val="20"/>
        </w:rPr>
      </w:pPr>
      <w:r w:rsidRPr="00A26B6D">
        <w:rPr>
          <w:rFonts w:ascii="Times New Roman" w:hAnsi="Times New Roman" w:cs="Times New Roman"/>
          <w:b/>
          <w:sz w:val="20"/>
          <w:szCs w:val="20"/>
        </w:rPr>
        <w:t xml:space="preserve">Compliance with ethical standards </w:t>
      </w:r>
    </w:p>
    <w:p w14:paraId="6A3A2040"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Conflict of interest:</w:t>
      </w:r>
      <w:r w:rsidRPr="00A26B6D">
        <w:rPr>
          <w:rFonts w:ascii="Times New Roman" w:hAnsi="Times New Roman" w:cs="Times New Roman"/>
          <w:sz w:val="20"/>
          <w:szCs w:val="20"/>
        </w:rPr>
        <w:t xml:space="preserve"> Authors do not have any conflict of interests to declare. </w:t>
      </w:r>
    </w:p>
    <w:p w14:paraId="52F41C2D"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Ethical issues:</w:t>
      </w:r>
      <w:r w:rsidRPr="00A26B6D">
        <w:rPr>
          <w:rFonts w:ascii="Times New Roman" w:hAnsi="Times New Roman" w:cs="Times New Roman"/>
          <w:sz w:val="20"/>
          <w:szCs w:val="20"/>
        </w:rPr>
        <w:t xml:space="preserve"> None.</w:t>
      </w:r>
    </w:p>
    <w:p w14:paraId="1BF22AC1"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Availability of data and material (Data transparency)</w:t>
      </w:r>
    </w:p>
    <w:p w14:paraId="345EE722"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The data that support the findings of this study are available from the corresponding author upon reasonable request.</w:t>
      </w:r>
    </w:p>
    <w:p w14:paraId="37D5E5F5"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Code availability (Software application or custom code)</w:t>
      </w:r>
    </w:p>
    <w:p w14:paraId="23E3C35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 custom code or software was used in this study.</w:t>
      </w:r>
    </w:p>
    <w:p w14:paraId="73C9CA8D"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Ethics approval (include appropriate approvals or waivers)</w:t>
      </w:r>
    </w:p>
    <w:p w14:paraId="1F6C7D4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This article does not contain any studies with human participants or animals performed by any of the authors.</w:t>
      </w:r>
    </w:p>
    <w:p w14:paraId="200F08F4"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to participate</w:t>
      </w:r>
    </w:p>
    <w:p w14:paraId="7BD72B4A"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08A4ADFF"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for publication</w:t>
      </w:r>
    </w:p>
    <w:p w14:paraId="30B3C9B5"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4217BBCB" w14:textId="28E0E0FC" w:rsidR="00093A11" w:rsidRDefault="00093A11" w:rsidP="00A26B6D">
      <w:pPr>
        <w:pStyle w:val="NormalWeb"/>
        <w:spacing w:after="300" w:line="276" w:lineRule="auto"/>
        <w:jc w:val="both"/>
        <w:rPr>
          <w:b/>
          <w:sz w:val="20"/>
          <w:szCs w:val="20"/>
        </w:rPr>
      </w:pPr>
    </w:p>
    <w:p w14:paraId="6A99C4CD" w14:textId="77777777" w:rsidR="00765FBE" w:rsidRPr="00740879" w:rsidRDefault="00765FBE" w:rsidP="00765FBE">
      <w:pPr>
        <w:rPr>
          <w:highlight w:val="yellow"/>
        </w:rPr>
      </w:pPr>
      <w:r w:rsidRPr="00740879">
        <w:rPr>
          <w:highlight w:val="yellow"/>
        </w:rPr>
        <w:t>Disclaimer (Artificial intelligence)</w:t>
      </w:r>
    </w:p>
    <w:p w14:paraId="281FE69C" w14:textId="77777777" w:rsidR="00765FBE" w:rsidRPr="00740879" w:rsidRDefault="00765FBE" w:rsidP="00765FBE">
      <w:pPr>
        <w:rPr>
          <w:highlight w:val="yellow"/>
        </w:rPr>
      </w:pPr>
      <w:r w:rsidRPr="00740879">
        <w:rPr>
          <w:highlight w:val="yellow"/>
        </w:rPr>
        <w:t xml:space="preserve">Option 1: </w:t>
      </w:r>
    </w:p>
    <w:p w14:paraId="6ADEA4FE" w14:textId="77777777" w:rsidR="00765FBE" w:rsidRPr="00740879" w:rsidRDefault="00765FBE" w:rsidP="00765FB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6C988F" w14:textId="77777777" w:rsidR="00765FBE" w:rsidRPr="00740879" w:rsidRDefault="00765FBE" w:rsidP="00765FBE">
      <w:pPr>
        <w:rPr>
          <w:highlight w:val="yellow"/>
        </w:rPr>
      </w:pPr>
      <w:r w:rsidRPr="00740879">
        <w:rPr>
          <w:highlight w:val="yellow"/>
        </w:rPr>
        <w:t xml:space="preserve">Option 2: </w:t>
      </w:r>
    </w:p>
    <w:p w14:paraId="3325A28E" w14:textId="77777777" w:rsidR="00765FBE" w:rsidRPr="00740879" w:rsidRDefault="00765FBE" w:rsidP="00765FB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D9FE1F" w14:textId="77777777" w:rsidR="00765FBE" w:rsidRPr="00740879" w:rsidRDefault="00765FBE" w:rsidP="00765FBE">
      <w:pPr>
        <w:rPr>
          <w:highlight w:val="yellow"/>
        </w:rPr>
      </w:pPr>
      <w:r w:rsidRPr="00740879">
        <w:rPr>
          <w:highlight w:val="yellow"/>
        </w:rPr>
        <w:t>Details of the AI usage are given below:</w:t>
      </w:r>
    </w:p>
    <w:p w14:paraId="56F6D19D" w14:textId="77777777" w:rsidR="00765FBE" w:rsidRPr="00740879" w:rsidRDefault="00765FBE" w:rsidP="00765FBE">
      <w:pPr>
        <w:rPr>
          <w:highlight w:val="yellow"/>
        </w:rPr>
      </w:pPr>
      <w:r w:rsidRPr="00740879">
        <w:rPr>
          <w:highlight w:val="yellow"/>
        </w:rPr>
        <w:t>1.</w:t>
      </w:r>
    </w:p>
    <w:p w14:paraId="55D45285" w14:textId="77777777" w:rsidR="00765FBE" w:rsidRPr="00740879" w:rsidRDefault="00765FBE" w:rsidP="00765FBE">
      <w:pPr>
        <w:rPr>
          <w:highlight w:val="yellow"/>
        </w:rPr>
      </w:pPr>
      <w:r w:rsidRPr="00740879">
        <w:rPr>
          <w:highlight w:val="yellow"/>
        </w:rPr>
        <w:t>2.</w:t>
      </w:r>
    </w:p>
    <w:p w14:paraId="4D6E9407" w14:textId="77777777" w:rsidR="00765FBE" w:rsidRPr="00D047BB" w:rsidRDefault="00765FBE" w:rsidP="00765FBE">
      <w:r w:rsidRPr="00740879">
        <w:rPr>
          <w:highlight w:val="yellow"/>
        </w:rPr>
        <w:t>3.</w:t>
      </w:r>
    </w:p>
    <w:p w14:paraId="5623E63B" w14:textId="304E6357" w:rsidR="00A26B6D" w:rsidRDefault="00A26B6D" w:rsidP="00A26B6D">
      <w:pPr>
        <w:pStyle w:val="NormalWeb"/>
        <w:spacing w:after="300" w:line="276" w:lineRule="auto"/>
        <w:jc w:val="both"/>
        <w:rPr>
          <w:b/>
          <w:sz w:val="20"/>
          <w:szCs w:val="20"/>
        </w:rPr>
      </w:pPr>
    </w:p>
    <w:p w14:paraId="4A45D580" w14:textId="61103CB5" w:rsidR="00A26B6D" w:rsidRDefault="00A26B6D" w:rsidP="00A26B6D">
      <w:pPr>
        <w:pStyle w:val="NormalWeb"/>
        <w:spacing w:after="300" w:line="276" w:lineRule="auto"/>
        <w:jc w:val="both"/>
        <w:rPr>
          <w:b/>
          <w:sz w:val="20"/>
          <w:szCs w:val="20"/>
        </w:rPr>
      </w:pPr>
    </w:p>
    <w:p w14:paraId="46F5D208" w14:textId="6761E291" w:rsidR="00A26B6D" w:rsidRDefault="00A26B6D" w:rsidP="00A26B6D">
      <w:pPr>
        <w:pStyle w:val="NormalWeb"/>
        <w:spacing w:after="300" w:line="276" w:lineRule="auto"/>
        <w:jc w:val="both"/>
        <w:rPr>
          <w:b/>
          <w:sz w:val="20"/>
          <w:szCs w:val="20"/>
        </w:rPr>
      </w:pPr>
    </w:p>
    <w:p w14:paraId="313DB350" w14:textId="45C00591" w:rsidR="00A26B6D" w:rsidRDefault="00A26B6D" w:rsidP="00A26B6D">
      <w:pPr>
        <w:pStyle w:val="NormalWeb"/>
        <w:spacing w:after="300" w:line="276" w:lineRule="auto"/>
        <w:jc w:val="both"/>
        <w:rPr>
          <w:b/>
          <w:sz w:val="20"/>
          <w:szCs w:val="20"/>
        </w:rPr>
      </w:pPr>
    </w:p>
    <w:p w14:paraId="72A25434" w14:textId="5C9CAE53" w:rsidR="00A26B6D" w:rsidRDefault="00A26B6D" w:rsidP="00A26B6D">
      <w:pPr>
        <w:pStyle w:val="NormalWeb"/>
        <w:spacing w:after="300" w:line="276" w:lineRule="auto"/>
        <w:jc w:val="both"/>
        <w:rPr>
          <w:b/>
          <w:sz w:val="20"/>
          <w:szCs w:val="20"/>
        </w:rPr>
      </w:pPr>
    </w:p>
    <w:p w14:paraId="01D89221" w14:textId="6AFF08BF" w:rsidR="00A26B6D" w:rsidRDefault="00A26B6D" w:rsidP="00A26B6D">
      <w:pPr>
        <w:pStyle w:val="NormalWeb"/>
        <w:spacing w:after="300" w:line="276" w:lineRule="auto"/>
        <w:jc w:val="both"/>
        <w:rPr>
          <w:b/>
          <w:sz w:val="20"/>
          <w:szCs w:val="20"/>
        </w:rPr>
      </w:pPr>
    </w:p>
    <w:p w14:paraId="54FF77A1" w14:textId="7BE7F94C" w:rsidR="00A26B6D" w:rsidRDefault="00A26B6D" w:rsidP="00A26B6D">
      <w:pPr>
        <w:pStyle w:val="NormalWeb"/>
        <w:spacing w:after="300" w:line="276" w:lineRule="auto"/>
        <w:jc w:val="both"/>
        <w:rPr>
          <w:b/>
          <w:sz w:val="20"/>
          <w:szCs w:val="20"/>
        </w:rPr>
      </w:pPr>
    </w:p>
    <w:p w14:paraId="0D53C82E" w14:textId="06D0EEBB" w:rsidR="00A26B6D" w:rsidRDefault="00A26B6D" w:rsidP="00A26B6D">
      <w:pPr>
        <w:pStyle w:val="NormalWeb"/>
        <w:spacing w:after="300" w:line="276" w:lineRule="auto"/>
        <w:jc w:val="both"/>
        <w:rPr>
          <w:b/>
          <w:sz w:val="20"/>
          <w:szCs w:val="20"/>
        </w:rPr>
      </w:pPr>
    </w:p>
    <w:p w14:paraId="1863310F" w14:textId="23A42210" w:rsidR="00A26B6D" w:rsidRDefault="00A26B6D" w:rsidP="00A26B6D">
      <w:pPr>
        <w:pStyle w:val="NormalWeb"/>
        <w:spacing w:after="300" w:line="276" w:lineRule="auto"/>
        <w:jc w:val="both"/>
        <w:rPr>
          <w:b/>
          <w:sz w:val="20"/>
          <w:szCs w:val="20"/>
        </w:rPr>
      </w:pPr>
    </w:p>
    <w:p w14:paraId="6ABB8019" w14:textId="3FA3E8BF" w:rsidR="00965149" w:rsidRDefault="00965149" w:rsidP="00A26B6D">
      <w:pPr>
        <w:pStyle w:val="NormalWeb"/>
        <w:spacing w:after="300" w:line="276" w:lineRule="auto"/>
        <w:jc w:val="both"/>
        <w:rPr>
          <w:b/>
          <w:sz w:val="20"/>
          <w:szCs w:val="20"/>
        </w:rPr>
      </w:pPr>
    </w:p>
    <w:p w14:paraId="0E24C01B" w14:textId="27F336FD" w:rsidR="00965149" w:rsidRDefault="00965149" w:rsidP="00A26B6D">
      <w:pPr>
        <w:pStyle w:val="NormalWeb"/>
        <w:spacing w:after="300" w:line="276" w:lineRule="auto"/>
        <w:jc w:val="both"/>
        <w:rPr>
          <w:b/>
          <w:sz w:val="20"/>
          <w:szCs w:val="20"/>
        </w:rPr>
      </w:pPr>
    </w:p>
    <w:p w14:paraId="38914846" w14:textId="1E8409D8" w:rsidR="00965149" w:rsidRDefault="00965149" w:rsidP="00A26B6D">
      <w:pPr>
        <w:pStyle w:val="NormalWeb"/>
        <w:spacing w:after="300" w:line="276" w:lineRule="auto"/>
        <w:jc w:val="both"/>
        <w:rPr>
          <w:b/>
          <w:sz w:val="20"/>
          <w:szCs w:val="20"/>
        </w:rPr>
      </w:pPr>
    </w:p>
    <w:p w14:paraId="4A7A7703" w14:textId="720C5454" w:rsidR="00965149" w:rsidRDefault="00965149" w:rsidP="00A26B6D">
      <w:pPr>
        <w:pStyle w:val="NormalWeb"/>
        <w:spacing w:after="300" w:line="276" w:lineRule="auto"/>
        <w:jc w:val="both"/>
        <w:rPr>
          <w:b/>
          <w:sz w:val="20"/>
          <w:szCs w:val="20"/>
        </w:rPr>
      </w:pPr>
    </w:p>
    <w:p w14:paraId="0689089C" w14:textId="0014AC6A" w:rsidR="0036010C" w:rsidRPr="00A26B6D" w:rsidRDefault="00532900" w:rsidP="00A26B6D">
      <w:pPr>
        <w:pStyle w:val="NormalWeb"/>
        <w:spacing w:after="300" w:line="276" w:lineRule="auto"/>
        <w:jc w:val="both"/>
        <w:rPr>
          <w:rFonts w:eastAsiaTheme="minorHAnsi"/>
          <w:sz w:val="20"/>
          <w:szCs w:val="20"/>
          <w:lang w:eastAsia="en-US"/>
        </w:rPr>
      </w:pPr>
      <w:r w:rsidRPr="00A26B6D">
        <w:rPr>
          <w:b/>
          <w:sz w:val="20"/>
          <w:szCs w:val="20"/>
        </w:rPr>
        <w:t>R</w:t>
      </w:r>
      <w:r w:rsidR="0020732E" w:rsidRPr="00A26B6D">
        <w:rPr>
          <w:b/>
          <w:sz w:val="20"/>
          <w:szCs w:val="20"/>
        </w:rPr>
        <w:t xml:space="preserve">eferences  </w:t>
      </w:r>
      <w:r w:rsidR="0020732E" w:rsidRPr="00A26B6D">
        <w:rPr>
          <w:rFonts w:eastAsiaTheme="minorHAnsi"/>
          <w:sz w:val="20"/>
          <w:szCs w:val="20"/>
          <w:lang w:eastAsia="en-US"/>
        </w:rPr>
        <w:t xml:space="preserve"> </w:t>
      </w:r>
    </w:p>
    <w:p w14:paraId="6C89EDD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bookmarkStart w:id="1" w:name="_GoBack"/>
      <w:proofErr w:type="spellStart"/>
      <w:r w:rsidRPr="000E6643">
        <w:rPr>
          <w:rFonts w:ascii="Times New Roman" w:hAnsi="Times New Roman" w:cs="Times New Roman"/>
          <w:sz w:val="20"/>
          <w:szCs w:val="20"/>
        </w:rPr>
        <w:t>Baveye</w:t>
      </w:r>
      <w:proofErr w:type="spellEnd"/>
      <w:r w:rsidRPr="000E6643">
        <w:rPr>
          <w:rFonts w:ascii="Times New Roman" w:hAnsi="Times New Roman" w:cs="Times New Roman"/>
          <w:sz w:val="20"/>
          <w:szCs w:val="20"/>
        </w:rPr>
        <w:t xml:space="preserve">, P. C., </w:t>
      </w:r>
      <w:proofErr w:type="spellStart"/>
      <w:r w:rsidRPr="000E6643">
        <w:rPr>
          <w:rFonts w:ascii="Times New Roman" w:hAnsi="Times New Roman" w:cs="Times New Roman"/>
          <w:sz w:val="20"/>
          <w:szCs w:val="20"/>
        </w:rPr>
        <w:t>Baveye</w:t>
      </w:r>
      <w:proofErr w:type="spellEnd"/>
      <w:r w:rsidRPr="000E6643">
        <w:rPr>
          <w:rFonts w:ascii="Times New Roman" w:hAnsi="Times New Roman" w:cs="Times New Roman"/>
          <w:sz w:val="20"/>
          <w:szCs w:val="20"/>
        </w:rPr>
        <w:t xml:space="preserve">, J., &amp; Gowdy, J. (2016). Soil “ecosystem” services and natural capital: Critical appraisal of research on uncertain ground. </w:t>
      </w:r>
      <w:r w:rsidRPr="000E6643">
        <w:rPr>
          <w:rStyle w:val="Emphasis"/>
          <w:rFonts w:ascii="Times New Roman" w:hAnsi="Times New Roman" w:cs="Times New Roman"/>
          <w:sz w:val="20"/>
          <w:szCs w:val="20"/>
        </w:rPr>
        <w:t>Frontiers in Environmental Science</w:t>
      </w:r>
      <w:r w:rsidRPr="000E6643">
        <w:rPr>
          <w:rFonts w:ascii="Times New Roman" w:hAnsi="Times New Roman" w:cs="Times New Roman"/>
          <w:sz w:val="20"/>
          <w:szCs w:val="20"/>
        </w:rPr>
        <w:t xml:space="preserve">, 4, 41. </w:t>
      </w:r>
      <w:hyperlink r:id="rId12" w:tgtFrame="_new" w:history="1">
        <w:r w:rsidRPr="000E6643">
          <w:rPr>
            <w:rStyle w:val="Hyperlink"/>
            <w:rFonts w:ascii="Times New Roman" w:hAnsi="Times New Roman" w:cs="Times New Roman"/>
            <w:color w:val="auto"/>
            <w:sz w:val="20"/>
            <w:szCs w:val="20"/>
            <w:u w:val="none"/>
          </w:rPr>
          <w:t>https://doi.org/10.3389/fenvs.2016.00041</w:t>
        </w:r>
      </w:hyperlink>
    </w:p>
    <w:p w14:paraId="02753ACE"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Berendsen, R. L., Pieterse, C. M. J., &amp; Bakker, P. A. H. M. (2012). The rhizosphere microbiome and plant health. </w:t>
      </w:r>
      <w:r w:rsidRPr="000E6643">
        <w:rPr>
          <w:rStyle w:val="Emphasis"/>
          <w:rFonts w:ascii="Times New Roman" w:hAnsi="Times New Roman" w:cs="Times New Roman"/>
          <w:sz w:val="20"/>
          <w:szCs w:val="20"/>
        </w:rPr>
        <w:t>Trends in Plant Science</w:t>
      </w:r>
      <w:r w:rsidRPr="000E6643">
        <w:rPr>
          <w:rFonts w:ascii="Times New Roman" w:hAnsi="Times New Roman" w:cs="Times New Roman"/>
          <w:sz w:val="20"/>
          <w:szCs w:val="20"/>
        </w:rPr>
        <w:t xml:space="preserve">, 17(8), 478–486. </w:t>
      </w:r>
      <w:hyperlink r:id="rId13" w:tgtFrame="_new" w:history="1">
        <w:r w:rsidRPr="000E6643">
          <w:rPr>
            <w:rStyle w:val="Hyperlink"/>
            <w:rFonts w:ascii="Times New Roman" w:hAnsi="Times New Roman" w:cs="Times New Roman"/>
            <w:color w:val="auto"/>
            <w:sz w:val="20"/>
            <w:szCs w:val="20"/>
            <w:u w:val="none"/>
          </w:rPr>
          <w:t>https://doi.org/10.1016/j.tplants.2012.04.001</w:t>
        </w:r>
      </w:hyperlink>
    </w:p>
    <w:p w14:paraId="665D9639"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Bhattacharyya, R., Ghosh, B., Mishra, P., Mandal, B., Rao, C., Sarkar, D., Das, K., Anil, K., Lalitha, M., Hati, K., &amp; </w:t>
      </w:r>
      <w:proofErr w:type="spellStart"/>
      <w:r w:rsidRPr="000E6643">
        <w:rPr>
          <w:rFonts w:ascii="Times New Roman" w:hAnsi="Times New Roman" w:cs="Times New Roman"/>
          <w:sz w:val="20"/>
          <w:szCs w:val="20"/>
        </w:rPr>
        <w:t>Franzluebbers</w:t>
      </w:r>
      <w:proofErr w:type="spellEnd"/>
      <w:r w:rsidRPr="000E6643">
        <w:rPr>
          <w:rFonts w:ascii="Times New Roman" w:hAnsi="Times New Roman" w:cs="Times New Roman"/>
          <w:sz w:val="20"/>
          <w:szCs w:val="20"/>
        </w:rPr>
        <w:t xml:space="preserve">, A. (2015). Soil degradation in India: Challenges and potential solutions. </w:t>
      </w:r>
      <w:r w:rsidRPr="000E6643">
        <w:rPr>
          <w:rStyle w:val="Emphasis"/>
          <w:rFonts w:ascii="Times New Roman" w:hAnsi="Times New Roman" w:cs="Times New Roman"/>
          <w:sz w:val="20"/>
          <w:szCs w:val="20"/>
        </w:rPr>
        <w:t>Sustainability</w:t>
      </w:r>
      <w:r w:rsidRPr="000E6643">
        <w:rPr>
          <w:rFonts w:ascii="Times New Roman" w:hAnsi="Times New Roman" w:cs="Times New Roman"/>
          <w:sz w:val="20"/>
          <w:szCs w:val="20"/>
        </w:rPr>
        <w:t xml:space="preserve">, 7(4), 3528–3570. </w:t>
      </w:r>
      <w:hyperlink r:id="rId14" w:tgtFrame="_new" w:history="1">
        <w:r w:rsidRPr="000E6643">
          <w:rPr>
            <w:rStyle w:val="Hyperlink"/>
            <w:rFonts w:ascii="Times New Roman" w:hAnsi="Times New Roman" w:cs="Times New Roman"/>
            <w:color w:val="auto"/>
            <w:sz w:val="20"/>
            <w:szCs w:val="20"/>
            <w:u w:val="none"/>
          </w:rPr>
          <w:t>https://doi.org/10.3390/su7043528</w:t>
        </w:r>
      </w:hyperlink>
    </w:p>
    <w:p w14:paraId="2F58FB0D"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Chen, X. D., Dunfield, K. E., Fraser, T. D., Wakelin, S. A., Richardson, A. E., &amp; Condron, L. M. (2020). Soil biodiversity and biogeochemical function in managed ecosystems. </w:t>
      </w:r>
      <w:r w:rsidRPr="000E6643">
        <w:rPr>
          <w:rStyle w:val="Emphasis"/>
          <w:rFonts w:ascii="Times New Roman" w:hAnsi="Times New Roman" w:cs="Times New Roman"/>
          <w:sz w:val="20"/>
          <w:szCs w:val="20"/>
        </w:rPr>
        <w:t>Soil Research</w:t>
      </w:r>
      <w:r w:rsidRPr="000E6643">
        <w:rPr>
          <w:rFonts w:ascii="Times New Roman" w:hAnsi="Times New Roman" w:cs="Times New Roman"/>
          <w:sz w:val="20"/>
          <w:szCs w:val="20"/>
        </w:rPr>
        <w:t xml:space="preserve">, 58(1), 1. </w:t>
      </w:r>
      <w:hyperlink r:id="rId15" w:tgtFrame="_new" w:history="1">
        <w:r w:rsidRPr="000E6643">
          <w:rPr>
            <w:rStyle w:val="Hyperlink"/>
            <w:rFonts w:ascii="Times New Roman" w:hAnsi="Times New Roman" w:cs="Times New Roman"/>
            <w:color w:val="auto"/>
            <w:sz w:val="20"/>
            <w:szCs w:val="20"/>
            <w:u w:val="none"/>
          </w:rPr>
          <w:t>https://doi.org/10.1071/SR19067</w:t>
        </w:r>
      </w:hyperlink>
    </w:p>
    <w:p w14:paraId="03A3F34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Costanza, R., </w:t>
      </w:r>
      <w:proofErr w:type="spellStart"/>
      <w:r w:rsidRPr="000E6643">
        <w:rPr>
          <w:rFonts w:ascii="Times New Roman" w:hAnsi="Times New Roman" w:cs="Times New Roman"/>
          <w:sz w:val="20"/>
          <w:szCs w:val="20"/>
        </w:rPr>
        <w:t>d’Arge</w:t>
      </w:r>
      <w:proofErr w:type="spellEnd"/>
      <w:r w:rsidRPr="000E6643">
        <w:rPr>
          <w:rFonts w:ascii="Times New Roman" w:hAnsi="Times New Roman" w:cs="Times New Roman"/>
          <w:sz w:val="20"/>
          <w:szCs w:val="20"/>
        </w:rPr>
        <w:t xml:space="preserve">, R., de Groot, R., Farber, S., Grasso, M., Hannon, B., Limburg, K., Naeem, S., O’Neill, R. V., Paruelo, J., Raskin, R. G., Sutton, P., &amp; van den Belt, M. (1997). The value of the world’s ecosystem services and natural capital. </w:t>
      </w:r>
      <w:r w:rsidRPr="000E6643">
        <w:rPr>
          <w:rStyle w:val="Emphasis"/>
          <w:rFonts w:ascii="Times New Roman" w:hAnsi="Times New Roman" w:cs="Times New Roman"/>
          <w:sz w:val="20"/>
          <w:szCs w:val="20"/>
        </w:rPr>
        <w:t>Nature</w:t>
      </w:r>
      <w:r w:rsidRPr="000E6643">
        <w:rPr>
          <w:rFonts w:ascii="Times New Roman" w:hAnsi="Times New Roman" w:cs="Times New Roman"/>
          <w:sz w:val="20"/>
          <w:szCs w:val="20"/>
        </w:rPr>
        <w:t xml:space="preserve">, 387(6630), 253–260. </w:t>
      </w:r>
      <w:hyperlink r:id="rId16" w:tgtFrame="_new" w:history="1">
        <w:r w:rsidRPr="000E6643">
          <w:rPr>
            <w:rStyle w:val="Hyperlink"/>
            <w:rFonts w:ascii="Times New Roman" w:hAnsi="Times New Roman" w:cs="Times New Roman"/>
            <w:color w:val="auto"/>
            <w:sz w:val="20"/>
            <w:szCs w:val="20"/>
            <w:u w:val="none"/>
          </w:rPr>
          <w:t>https://doi.org/10.1038/387253a0</w:t>
        </w:r>
      </w:hyperlink>
    </w:p>
    <w:p w14:paraId="43B78357"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Das, B. S., Wani, S. P., </w:t>
      </w:r>
      <w:proofErr w:type="spellStart"/>
      <w:r w:rsidRPr="000E6643">
        <w:rPr>
          <w:rFonts w:ascii="Times New Roman" w:hAnsi="Times New Roman" w:cs="Times New Roman"/>
          <w:sz w:val="20"/>
          <w:szCs w:val="20"/>
        </w:rPr>
        <w:t>Benbi</w:t>
      </w:r>
      <w:proofErr w:type="spellEnd"/>
      <w:r w:rsidRPr="000E6643">
        <w:rPr>
          <w:rFonts w:ascii="Times New Roman" w:hAnsi="Times New Roman" w:cs="Times New Roman"/>
          <w:sz w:val="20"/>
          <w:szCs w:val="20"/>
        </w:rPr>
        <w:t xml:space="preserve">, D. K., </w:t>
      </w:r>
      <w:proofErr w:type="spellStart"/>
      <w:r w:rsidRPr="000E6643">
        <w:rPr>
          <w:rFonts w:ascii="Times New Roman" w:hAnsi="Times New Roman" w:cs="Times New Roman"/>
          <w:sz w:val="20"/>
          <w:szCs w:val="20"/>
        </w:rPr>
        <w:t>Muddu</w:t>
      </w:r>
      <w:proofErr w:type="spellEnd"/>
      <w:r w:rsidRPr="000E6643">
        <w:rPr>
          <w:rFonts w:ascii="Times New Roman" w:hAnsi="Times New Roman" w:cs="Times New Roman"/>
          <w:sz w:val="20"/>
          <w:szCs w:val="20"/>
        </w:rPr>
        <w:t xml:space="preserve">, S., Bhattacharyya, T., Mandal, B., Santra, P., Chakraborty, D., Bhattacharyya, R., Basak, N., &amp; Reddy, N. N. (2022). Soil health and its relationship with food security and human health to meet the sustainable development goals in India. </w:t>
      </w:r>
      <w:r w:rsidRPr="000E6643">
        <w:rPr>
          <w:rStyle w:val="Emphasis"/>
          <w:rFonts w:ascii="Times New Roman" w:hAnsi="Times New Roman" w:cs="Times New Roman"/>
          <w:sz w:val="20"/>
          <w:szCs w:val="20"/>
        </w:rPr>
        <w:t>Soil Security</w:t>
      </w:r>
      <w:r w:rsidRPr="000E6643">
        <w:rPr>
          <w:rFonts w:ascii="Times New Roman" w:hAnsi="Times New Roman" w:cs="Times New Roman"/>
          <w:sz w:val="20"/>
          <w:szCs w:val="20"/>
        </w:rPr>
        <w:t xml:space="preserve">, 8, 100071. </w:t>
      </w:r>
      <w:hyperlink r:id="rId17" w:tgtFrame="_new" w:history="1">
        <w:r w:rsidRPr="000E6643">
          <w:rPr>
            <w:rStyle w:val="Hyperlink"/>
            <w:rFonts w:ascii="Times New Roman" w:hAnsi="Times New Roman" w:cs="Times New Roman"/>
            <w:color w:val="auto"/>
            <w:sz w:val="20"/>
            <w:szCs w:val="20"/>
            <w:u w:val="none"/>
          </w:rPr>
          <w:t>https://doi.org/10.1016/j.soisec.2022.100071</w:t>
        </w:r>
      </w:hyperlink>
    </w:p>
    <w:p w14:paraId="72367712"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Doran, J. W., &amp; Zeiss, M. R. (2000). Soil health and sustainability: Managing the biotic component of soil quality. </w:t>
      </w:r>
      <w:r w:rsidRPr="000E6643">
        <w:rPr>
          <w:rStyle w:val="Emphasis"/>
          <w:rFonts w:ascii="Times New Roman" w:hAnsi="Times New Roman" w:cs="Times New Roman"/>
          <w:sz w:val="20"/>
          <w:szCs w:val="20"/>
        </w:rPr>
        <w:t>Applied Soil Ecology</w:t>
      </w:r>
      <w:r w:rsidRPr="000E6643">
        <w:rPr>
          <w:rFonts w:ascii="Times New Roman" w:hAnsi="Times New Roman" w:cs="Times New Roman"/>
          <w:sz w:val="20"/>
          <w:szCs w:val="20"/>
        </w:rPr>
        <w:t xml:space="preserve">, 15(1), 3–11. </w:t>
      </w:r>
      <w:hyperlink r:id="rId18" w:tgtFrame="_new" w:history="1">
        <w:r w:rsidRPr="000E6643">
          <w:rPr>
            <w:rStyle w:val="Hyperlink"/>
            <w:rFonts w:ascii="Times New Roman" w:hAnsi="Times New Roman" w:cs="Times New Roman"/>
            <w:color w:val="auto"/>
            <w:sz w:val="20"/>
            <w:szCs w:val="20"/>
            <w:u w:val="none"/>
          </w:rPr>
          <w:t>https://doi.org/10.1016/S0929-1393(00)00067-6</w:t>
        </w:r>
      </w:hyperlink>
    </w:p>
    <w:p w14:paraId="2E82DEE8"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Ghimire, R., Norton, J. B., Norton, U., Ritten, J. P., Stahl, P. D., &amp; Krall, J. M. (2013). Long-term farming systems research in the Central High Plains. </w:t>
      </w:r>
      <w:r w:rsidRPr="000E6643">
        <w:rPr>
          <w:rStyle w:val="Emphasis"/>
          <w:rFonts w:ascii="Times New Roman" w:hAnsi="Times New Roman" w:cs="Times New Roman"/>
          <w:sz w:val="20"/>
          <w:szCs w:val="20"/>
        </w:rPr>
        <w:t>Renewable Agriculture and Food Systems</w:t>
      </w:r>
      <w:r w:rsidRPr="000E6643">
        <w:rPr>
          <w:rFonts w:ascii="Times New Roman" w:hAnsi="Times New Roman" w:cs="Times New Roman"/>
          <w:sz w:val="20"/>
          <w:szCs w:val="20"/>
        </w:rPr>
        <w:t xml:space="preserve">, 28(2), 183–193. </w:t>
      </w:r>
      <w:hyperlink r:id="rId19" w:tgtFrame="_new" w:history="1">
        <w:r w:rsidRPr="000E6643">
          <w:rPr>
            <w:rStyle w:val="Hyperlink"/>
            <w:rFonts w:ascii="Times New Roman" w:hAnsi="Times New Roman" w:cs="Times New Roman"/>
            <w:color w:val="auto"/>
            <w:sz w:val="20"/>
            <w:szCs w:val="20"/>
            <w:u w:val="none"/>
          </w:rPr>
          <w:t>https://doi.org/10.1017/S1742170512000208</w:t>
        </w:r>
      </w:hyperlink>
    </w:p>
    <w:p w14:paraId="6DAE3D6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Goswami, N. N., &amp; Rattan, R. K. (1992). Soil health - Key to sustained agricultural productivity. </w:t>
      </w:r>
      <w:r w:rsidRPr="000E6643">
        <w:rPr>
          <w:rStyle w:val="Emphasis"/>
          <w:rFonts w:ascii="Times New Roman" w:hAnsi="Times New Roman" w:cs="Times New Roman"/>
          <w:sz w:val="20"/>
          <w:szCs w:val="20"/>
        </w:rPr>
        <w:t>Fertilizer News</w:t>
      </w:r>
      <w:r w:rsidRPr="000E6643">
        <w:rPr>
          <w:rFonts w:ascii="Times New Roman" w:hAnsi="Times New Roman" w:cs="Times New Roman"/>
          <w:sz w:val="20"/>
          <w:szCs w:val="20"/>
        </w:rPr>
        <w:t>, 37(10), 53–60.</w:t>
      </w:r>
    </w:p>
    <w:p w14:paraId="50757692"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Guo, M. (2021). Soil health assessment and management: Recent development in science and practices. </w:t>
      </w:r>
      <w:r w:rsidRPr="000E6643">
        <w:rPr>
          <w:rStyle w:val="Emphasis"/>
          <w:rFonts w:ascii="Times New Roman" w:hAnsi="Times New Roman" w:cs="Times New Roman"/>
          <w:sz w:val="20"/>
          <w:szCs w:val="20"/>
        </w:rPr>
        <w:t>Soil Systems</w:t>
      </w:r>
      <w:r w:rsidRPr="000E6643">
        <w:rPr>
          <w:rFonts w:ascii="Times New Roman" w:hAnsi="Times New Roman" w:cs="Times New Roman"/>
          <w:sz w:val="20"/>
          <w:szCs w:val="20"/>
        </w:rPr>
        <w:t xml:space="preserve">, 5(4), 61. </w:t>
      </w:r>
      <w:hyperlink r:id="rId20" w:tgtFrame="_new" w:history="1">
        <w:r w:rsidRPr="000E6643">
          <w:rPr>
            <w:rStyle w:val="Hyperlink"/>
            <w:rFonts w:ascii="Times New Roman" w:hAnsi="Times New Roman" w:cs="Times New Roman"/>
            <w:color w:val="auto"/>
            <w:sz w:val="20"/>
            <w:szCs w:val="20"/>
            <w:u w:val="none"/>
          </w:rPr>
          <w:t>https://doi.org/10.3390/soilsystems5040061</w:t>
        </w:r>
      </w:hyperlink>
    </w:p>
    <w:bookmarkEnd w:id="1"/>
    <w:p w14:paraId="4552B20E"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lastRenderedPageBreak/>
        <w:t xml:space="preserve">Henao, J., &amp; </w:t>
      </w:r>
      <w:proofErr w:type="spellStart"/>
      <w:r w:rsidRPr="000E6643">
        <w:rPr>
          <w:rFonts w:ascii="Times New Roman" w:hAnsi="Times New Roman" w:cs="Times New Roman"/>
          <w:sz w:val="20"/>
          <w:szCs w:val="20"/>
        </w:rPr>
        <w:t>Baanante</w:t>
      </w:r>
      <w:proofErr w:type="spellEnd"/>
      <w:r w:rsidRPr="000E6643">
        <w:rPr>
          <w:rFonts w:ascii="Times New Roman" w:hAnsi="Times New Roman" w:cs="Times New Roman"/>
          <w:sz w:val="20"/>
          <w:szCs w:val="20"/>
        </w:rPr>
        <w:t xml:space="preserve">, C. (2006). Agricultural production and soil nutrient mining in Africa: Implications for resource conservation and policy development. </w:t>
      </w:r>
      <w:r w:rsidRPr="000E6643">
        <w:rPr>
          <w:rStyle w:val="Emphasis"/>
          <w:rFonts w:ascii="Times New Roman" w:hAnsi="Times New Roman" w:cs="Times New Roman"/>
          <w:sz w:val="20"/>
          <w:szCs w:val="20"/>
        </w:rPr>
        <w:t>Africa Fertilizer Summit</w:t>
      </w:r>
      <w:r w:rsidRPr="000E6643">
        <w:rPr>
          <w:rFonts w:ascii="Times New Roman" w:hAnsi="Times New Roman" w:cs="Times New Roman"/>
          <w:sz w:val="20"/>
          <w:szCs w:val="20"/>
        </w:rPr>
        <w:t>, Abuja, Nigeria, pp. 95.</w:t>
      </w:r>
    </w:p>
    <w:p w14:paraId="108595F6"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Indoria, A. K., Sharma, K. L., Sammi Reddy, K., &amp; Srinivasa Rao, C. (2016). Role of soil physical properties in soil health management and crop productivity in rainfed systems-II: Management technologies and crop productivity. </w:t>
      </w:r>
      <w:r w:rsidRPr="000E6643">
        <w:rPr>
          <w:rStyle w:val="Emphasis"/>
          <w:rFonts w:ascii="Times New Roman" w:hAnsi="Times New Roman" w:cs="Times New Roman"/>
          <w:sz w:val="20"/>
          <w:szCs w:val="20"/>
        </w:rPr>
        <w:t>Current Science</w:t>
      </w:r>
      <w:r w:rsidRPr="000E6643">
        <w:rPr>
          <w:rFonts w:ascii="Times New Roman" w:hAnsi="Times New Roman" w:cs="Times New Roman"/>
          <w:sz w:val="20"/>
          <w:szCs w:val="20"/>
        </w:rPr>
        <w:t xml:space="preserve">, 110(3), 320. </w:t>
      </w:r>
      <w:hyperlink r:id="rId21" w:tgtFrame="_new" w:history="1">
        <w:r w:rsidRPr="000E6643">
          <w:rPr>
            <w:rStyle w:val="Hyperlink"/>
            <w:rFonts w:ascii="Times New Roman" w:hAnsi="Times New Roman" w:cs="Times New Roman"/>
            <w:color w:val="auto"/>
            <w:sz w:val="20"/>
            <w:szCs w:val="20"/>
            <w:u w:val="none"/>
          </w:rPr>
          <w:t>https://doi.org/10.18520/cs/v110/i3/320-328</w:t>
        </w:r>
      </w:hyperlink>
    </w:p>
    <w:p w14:paraId="6FD6ADCB"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Jones, D. L., Cross, P., Withers, P. J. A., DeLuca, T. H., Robinson, D. A., Quilliam, R. S., Harris, I. M., Chadwick, D. R., &amp; Edwards-Jones, G. (2013). REVIEW: Nutrient stripping: The global disparity between food security and soil nutrient stocks. </w:t>
      </w:r>
      <w:r w:rsidRPr="000E6643">
        <w:rPr>
          <w:rStyle w:val="Emphasis"/>
          <w:rFonts w:ascii="Times New Roman" w:hAnsi="Times New Roman" w:cs="Times New Roman"/>
          <w:sz w:val="20"/>
          <w:szCs w:val="20"/>
        </w:rPr>
        <w:t>Journal of Applied Ecology</w:t>
      </w:r>
      <w:r w:rsidRPr="000E6643">
        <w:rPr>
          <w:rFonts w:ascii="Times New Roman" w:hAnsi="Times New Roman" w:cs="Times New Roman"/>
          <w:sz w:val="20"/>
          <w:szCs w:val="20"/>
        </w:rPr>
        <w:t xml:space="preserve">, 50(4), 851–862. </w:t>
      </w:r>
      <w:hyperlink r:id="rId22" w:tgtFrame="_new" w:history="1">
        <w:r w:rsidRPr="000E6643">
          <w:rPr>
            <w:rStyle w:val="Hyperlink"/>
            <w:rFonts w:ascii="Times New Roman" w:hAnsi="Times New Roman" w:cs="Times New Roman"/>
            <w:color w:val="auto"/>
            <w:sz w:val="20"/>
            <w:szCs w:val="20"/>
            <w:u w:val="none"/>
          </w:rPr>
          <w:t>https://doi.org/10.1111/1365-2664.12089</w:t>
        </w:r>
      </w:hyperlink>
    </w:p>
    <w:p w14:paraId="19D6442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Kassam, A., Friedrich, T., &amp; Derpsch, R. (2019). Global spread of conservation agriculture. </w:t>
      </w:r>
      <w:r w:rsidRPr="000E6643">
        <w:rPr>
          <w:rStyle w:val="Emphasis"/>
          <w:rFonts w:ascii="Times New Roman" w:hAnsi="Times New Roman" w:cs="Times New Roman"/>
          <w:sz w:val="20"/>
          <w:szCs w:val="20"/>
        </w:rPr>
        <w:t>International Journal of Environmental Studies</w:t>
      </w:r>
      <w:r w:rsidRPr="000E6643">
        <w:rPr>
          <w:rFonts w:ascii="Times New Roman" w:hAnsi="Times New Roman" w:cs="Times New Roman"/>
          <w:sz w:val="20"/>
          <w:szCs w:val="20"/>
        </w:rPr>
        <w:t xml:space="preserve">, 76(1), 29–51. </w:t>
      </w:r>
      <w:hyperlink r:id="rId23" w:tgtFrame="_new" w:history="1">
        <w:r w:rsidRPr="000E6643">
          <w:rPr>
            <w:rStyle w:val="Hyperlink"/>
            <w:rFonts w:ascii="Times New Roman" w:hAnsi="Times New Roman" w:cs="Times New Roman"/>
            <w:color w:val="auto"/>
            <w:sz w:val="20"/>
            <w:szCs w:val="20"/>
            <w:u w:val="none"/>
          </w:rPr>
          <w:t>https://doi.org/10.1080/00207233.2018.1494927</w:t>
        </w:r>
      </w:hyperlink>
    </w:p>
    <w:p w14:paraId="4C00515F"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Kumar, D., Shivay, Y. S., Dhar, S., Kumar, C., &amp; Prasad, R. (2013). </w:t>
      </w:r>
      <w:proofErr w:type="spellStart"/>
      <w:r w:rsidRPr="000E6643">
        <w:rPr>
          <w:rFonts w:ascii="Times New Roman" w:hAnsi="Times New Roman" w:cs="Times New Roman"/>
          <w:sz w:val="20"/>
          <w:szCs w:val="20"/>
        </w:rPr>
        <w:t>Rhizospheric</w:t>
      </w:r>
      <w:proofErr w:type="spellEnd"/>
      <w:r w:rsidRPr="000E6643">
        <w:rPr>
          <w:rFonts w:ascii="Times New Roman" w:hAnsi="Times New Roman" w:cs="Times New Roman"/>
          <w:sz w:val="20"/>
          <w:szCs w:val="20"/>
        </w:rPr>
        <w:t xml:space="preserve"> flora and the influence of agronomic practices on them: A review. </w:t>
      </w:r>
      <w:r w:rsidRPr="000E6643">
        <w:rPr>
          <w:rStyle w:val="Emphasis"/>
          <w:rFonts w:ascii="Times New Roman" w:hAnsi="Times New Roman" w:cs="Times New Roman"/>
          <w:sz w:val="20"/>
          <w:szCs w:val="20"/>
        </w:rPr>
        <w:t>Proceedings of the National Academy of Sciences, India Section B: Biological Sciences</w:t>
      </w:r>
      <w:r w:rsidRPr="000E6643">
        <w:rPr>
          <w:rFonts w:ascii="Times New Roman" w:hAnsi="Times New Roman" w:cs="Times New Roman"/>
          <w:sz w:val="20"/>
          <w:szCs w:val="20"/>
        </w:rPr>
        <w:t xml:space="preserve">, 83(1), 1–14. </w:t>
      </w:r>
      <w:hyperlink r:id="rId24" w:tgtFrame="_new" w:history="1">
        <w:r w:rsidRPr="000E6643">
          <w:rPr>
            <w:rStyle w:val="Hyperlink"/>
            <w:rFonts w:ascii="Times New Roman" w:hAnsi="Times New Roman" w:cs="Times New Roman"/>
            <w:color w:val="auto"/>
            <w:sz w:val="20"/>
            <w:szCs w:val="20"/>
            <w:u w:val="none"/>
          </w:rPr>
          <w:t>https://doi.org/10.1007/s40011-012-0059-4</w:t>
        </w:r>
      </w:hyperlink>
    </w:p>
    <w:p w14:paraId="433E89DF"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Lal, R. (2016). Soil health and carbon management. </w:t>
      </w:r>
      <w:r w:rsidRPr="000E6643">
        <w:rPr>
          <w:rStyle w:val="Emphasis"/>
          <w:rFonts w:ascii="Times New Roman" w:hAnsi="Times New Roman" w:cs="Times New Roman"/>
          <w:sz w:val="20"/>
          <w:szCs w:val="20"/>
        </w:rPr>
        <w:t>Food and Energy Security</w:t>
      </w:r>
      <w:r w:rsidRPr="000E6643">
        <w:rPr>
          <w:rFonts w:ascii="Times New Roman" w:hAnsi="Times New Roman" w:cs="Times New Roman"/>
          <w:sz w:val="20"/>
          <w:szCs w:val="20"/>
        </w:rPr>
        <w:t xml:space="preserve">, 5(4), 212–222. </w:t>
      </w:r>
      <w:hyperlink r:id="rId25" w:tgtFrame="_new" w:history="1">
        <w:r w:rsidRPr="000E6643">
          <w:rPr>
            <w:rStyle w:val="Hyperlink"/>
            <w:rFonts w:ascii="Times New Roman" w:hAnsi="Times New Roman" w:cs="Times New Roman"/>
            <w:color w:val="auto"/>
            <w:sz w:val="20"/>
            <w:szCs w:val="20"/>
            <w:u w:val="none"/>
          </w:rPr>
          <w:t>https://doi.org/10.1002/fes3.96</w:t>
        </w:r>
      </w:hyperlink>
    </w:p>
    <w:p w14:paraId="513BFA1D"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Lehmann, J., Bossio, D. A., </w:t>
      </w:r>
      <w:proofErr w:type="spellStart"/>
      <w:r w:rsidRPr="000E6643">
        <w:rPr>
          <w:rFonts w:ascii="Times New Roman" w:hAnsi="Times New Roman" w:cs="Times New Roman"/>
          <w:sz w:val="20"/>
          <w:szCs w:val="20"/>
        </w:rPr>
        <w:t>Kögel-Knabner</w:t>
      </w:r>
      <w:proofErr w:type="spellEnd"/>
      <w:r w:rsidRPr="000E6643">
        <w:rPr>
          <w:rFonts w:ascii="Times New Roman" w:hAnsi="Times New Roman" w:cs="Times New Roman"/>
          <w:sz w:val="20"/>
          <w:szCs w:val="20"/>
        </w:rPr>
        <w:t xml:space="preserve">, I., &amp; </w:t>
      </w:r>
      <w:proofErr w:type="spellStart"/>
      <w:r w:rsidRPr="000E6643">
        <w:rPr>
          <w:rFonts w:ascii="Times New Roman" w:hAnsi="Times New Roman" w:cs="Times New Roman"/>
          <w:sz w:val="20"/>
          <w:szCs w:val="20"/>
        </w:rPr>
        <w:t>Rillig</w:t>
      </w:r>
      <w:proofErr w:type="spellEnd"/>
      <w:r w:rsidRPr="000E6643">
        <w:rPr>
          <w:rFonts w:ascii="Times New Roman" w:hAnsi="Times New Roman" w:cs="Times New Roman"/>
          <w:sz w:val="20"/>
          <w:szCs w:val="20"/>
        </w:rPr>
        <w:t xml:space="preserve">, M. C. (2020). The concept and future prospects of soil health. </w:t>
      </w:r>
      <w:r w:rsidRPr="000E6643">
        <w:rPr>
          <w:rStyle w:val="Emphasis"/>
          <w:rFonts w:ascii="Times New Roman" w:hAnsi="Times New Roman" w:cs="Times New Roman"/>
          <w:sz w:val="20"/>
          <w:szCs w:val="20"/>
        </w:rPr>
        <w:t>Nature Reviews Earth &amp; Environment</w:t>
      </w:r>
      <w:r w:rsidRPr="000E6643">
        <w:rPr>
          <w:rFonts w:ascii="Times New Roman" w:hAnsi="Times New Roman" w:cs="Times New Roman"/>
          <w:sz w:val="20"/>
          <w:szCs w:val="20"/>
        </w:rPr>
        <w:t xml:space="preserve">, 1(10), 544–553. </w:t>
      </w:r>
      <w:hyperlink r:id="rId26" w:tgtFrame="_new" w:history="1">
        <w:r w:rsidRPr="000E6643">
          <w:rPr>
            <w:rStyle w:val="Hyperlink"/>
            <w:rFonts w:ascii="Times New Roman" w:hAnsi="Times New Roman" w:cs="Times New Roman"/>
            <w:color w:val="auto"/>
            <w:sz w:val="20"/>
            <w:szCs w:val="20"/>
            <w:u w:val="none"/>
          </w:rPr>
          <w:t>https://doi.org/10.1038/s43017-020-0080-8</w:t>
        </w:r>
      </w:hyperlink>
    </w:p>
    <w:p w14:paraId="04F71D08"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Mahmud, K., Missaoui, A., Lee, K., Ghimire, B., Presley, H. W., &amp; </w:t>
      </w:r>
      <w:proofErr w:type="spellStart"/>
      <w:r w:rsidRPr="000E6643">
        <w:rPr>
          <w:rFonts w:ascii="Times New Roman" w:hAnsi="Times New Roman" w:cs="Times New Roman"/>
          <w:sz w:val="20"/>
          <w:szCs w:val="20"/>
        </w:rPr>
        <w:t>Makaju</w:t>
      </w:r>
      <w:proofErr w:type="spellEnd"/>
      <w:r w:rsidRPr="000E6643">
        <w:rPr>
          <w:rFonts w:ascii="Times New Roman" w:hAnsi="Times New Roman" w:cs="Times New Roman"/>
          <w:sz w:val="20"/>
          <w:szCs w:val="20"/>
        </w:rPr>
        <w:t xml:space="preserve">, S. (2021). Rhizosphere microbiome manipulation for sustainable crop production. </w:t>
      </w:r>
      <w:r w:rsidRPr="000E6643">
        <w:rPr>
          <w:rStyle w:val="Emphasis"/>
          <w:rFonts w:ascii="Times New Roman" w:hAnsi="Times New Roman" w:cs="Times New Roman"/>
          <w:sz w:val="20"/>
          <w:szCs w:val="20"/>
        </w:rPr>
        <w:t>Current Plant Biology</w:t>
      </w:r>
      <w:r w:rsidRPr="000E6643">
        <w:rPr>
          <w:rFonts w:ascii="Times New Roman" w:hAnsi="Times New Roman" w:cs="Times New Roman"/>
          <w:sz w:val="20"/>
          <w:szCs w:val="20"/>
        </w:rPr>
        <w:t xml:space="preserve">, 27, 100210. </w:t>
      </w:r>
      <w:hyperlink r:id="rId27" w:tgtFrame="_new" w:history="1">
        <w:r w:rsidRPr="000E6643">
          <w:rPr>
            <w:rStyle w:val="Hyperlink"/>
            <w:rFonts w:ascii="Times New Roman" w:hAnsi="Times New Roman" w:cs="Times New Roman"/>
            <w:color w:val="auto"/>
            <w:sz w:val="20"/>
            <w:szCs w:val="20"/>
            <w:u w:val="none"/>
          </w:rPr>
          <w:t>https://doi.org/10.1016/j.cpb.2021.100210</w:t>
        </w:r>
      </w:hyperlink>
    </w:p>
    <w:p w14:paraId="17215E0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Meena, R., Kumar, S., Datta, R., Lal, R., Vijayakumar, V., Brtnicky, M., Sharma, M., Yadav, G., </w:t>
      </w:r>
      <w:proofErr w:type="spellStart"/>
      <w:r w:rsidRPr="000E6643">
        <w:rPr>
          <w:rFonts w:ascii="Times New Roman" w:hAnsi="Times New Roman" w:cs="Times New Roman"/>
          <w:sz w:val="20"/>
          <w:szCs w:val="20"/>
        </w:rPr>
        <w:t>Jhariya</w:t>
      </w:r>
      <w:proofErr w:type="spellEnd"/>
      <w:r w:rsidRPr="000E6643">
        <w:rPr>
          <w:rFonts w:ascii="Times New Roman" w:hAnsi="Times New Roman" w:cs="Times New Roman"/>
          <w:sz w:val="20"/>
          <w:szCs w:val="20"/>
        </w:rPr>
        <w:t xml:space="preserve">, M., Jangir, C., Pathan, S., </w:t>
      </w:r>
      <w:proofErr w:type="spellStart"/>
      <w:r w:rsidRPr="000E6643">
        <w:rPr>
          <w:rFonts w:ascii="Times New Roman" w:hAnsi="Times New Roman" w:cs="Times New Roman"/>
          <w:sz w:val="20"/>
          <w:szCs w:val="20"/>
        </w:rPr>
        <w:t>Dokulilova</w:t>
      </w:r>
      <w:proofErr w:type="spellEnd"/>
      <w:r w:rsidRPr="000E6643">
        <w:rPr>
          <w:rFonts w:ascii="Times New Roman" w:hAnsi="Times New Roman" w:cs="Times New Roman"/>
          <w:sz w:val="20"/>
          <w:szCs w:val="20"/>
        </w:rPr>
        <w:t xml:space="preserve">, T., Pecina, V., &amp; Marfo, T. (2020). Impact of agrochemicals on soil microbiota and management: A review. </w:t>
      </w:r>
      <w:r w:rsidRPr="000E6643">
        <w:rPr>
          <w:rStyle w:val="Emphasis"/>
          <w:rFonts w:ascii="Times New Roman" w:hAnsi="Times New Roman" w:cs="Times New Roman"/>
          <w:sz w:val="20"/>
          <w:szCs w:val="20"/>
        </w:rPr>
        <w:t>Land</w:t>
      </w:r>
      <w:r w:rsidRPr="000E6643">
        <w:rPr>
          <w:rFonts w:ascii="Times New Roman" w:hAnsi="Times New Roman" w:cs="Times New Roman"/>
          <w:sz w:val="20"/>
          <w:szCs w:val="20"/>
        </w:rPr>
        <w:t xml:space="preserve">, 9(2), 34. </w:t>
      </w:r>
      <w:hyperlink r:id="rId28" w:tgtFrame="_new" w:history="1">
        <w:r w:rsidRPr="000E6643">
          <w:rPr>
            <w:rStyle w:val="Hyperlink"/>
            <w:rFonts w:ascii="Times New Roman" w:hAnsi="Times New Roman" w:cs="Times New Roman"/>
            <w:color w:val="auto"/>
            <w:sz w:val="20"/>
            <w:szCs w:val="20"/>
            <w:u w:val="none"/>
          </w:rPr>
          <w:t>https://doi.org/10.3390/land9020034</w:t>
        </w:r>
      </w:hyperlink>
    </w:p>
    <w:p w14:paraId="761FF246"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proofErr w:type="spellStart"/>
      <w:r w:rsidRPr="000E6643">
        <w:rPr>
          <w:rFonts w:ascii="Times New Roman" w:hAnsi="Times New Roman" w:cs="Times New Roman"/>
          <w:sz w:val="20"/>
          <w:szCs w:val="20"/>
        </w:rPr>
        <w:t>Mirzabaev</w:t>
      </w:r>
      <w:proofErr w:type="spellEnd"/>
      <w:r w:rsidRPr="000E6643">
        <w:rPr>
          <w:rFonts w:ascii="Times New Roman" w:hAnsi="Times New Roman" w:cs="Times New Roman"/>
          <w:sz w:val="20"/>
          <w:szCs w:val="20"/>
        </w:rPr>
        <w:t xml:space="preserve">, A., Olsson, L., Kerr, R. B., Pradhan, P., Ferre, M. G. R., &amp; Lotze-Campen, H. (2023). Climate change and food systems. In </w:t>
      </w:r>
      <w:r w:rsidRPr="000E6643">
        <w:rPr>
          <w:rStyle w:val="Emphasis"/>
          <w:rFonts w:ascii="Times New Roman" w:hAnsi="Times New Roman" w:cs="Times New Roman"/>
          <w:sz w:val="20"/>
          <w:szCs w:val="20"/>
        </w:rPr>
        <w:t>Science and Innovations for Food Systems Transformation</w:t>
      </w:r>
      <w:r w:rsidRPr="000E6643">
        <w:rPr>
          <w:rFonts w:ascii="Times New Roman" w:hAnsi="Times New Roman" w:cs="Times New Roman"/>
          <w:sz w:val="20"/>
          <w:szCs w:val="20"/>
        </w:rPr>
        <w:t xml:space="preserve"> (pp. 511–529). Springer International Publishing. </w:t>
      </w:r>
      <w:hyperlink r:id="rId29" w:tgtFrame="_new" w:history="1">
        <w:r w:rsidRPr="000E6643">
          <w:rPr>
            <w:rStyle w:val="Hyperlink"/>
            <w:rFonts w:ascii="Times New Roman" w:hAnsi="Times New Roman" w:cs="Times New Roman"/>
            <w:color w:val="auto"/>
            <w:sz w:val="20"/>
            <w:szCs w:val="20"/>
            <w:u w:val="none"/>
          </w:rPr>
          <w:t>https://doi.org/10.1007/978-3-031-15703-5_27</w:t>
        </w:r>
      </w:hyperlink>
    </w:p>
    <w:p w14:paraId="429E642F"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NAAS. (2018). </w:t>
      </w:r>
      <w:r w:rsidRPr="000E6643">
        <w:rPr>
          <w:rStyle w:val="Emphasis"/>
          <w:rFonts w:ascii="Times New Roman" w:hAnsi="Times New Roman" w:cs="Times New Roman"/>
          <w:sz w:val="20"/>
          <w:szCs w:val="20"/>
        </w:rPr>
        <w:t>Soil health: New policy initiatives for farmers welfare</w:t>
      </w:r>
      <w:r w:rsidRPr="000E6643">
        <w:rPr>
          <w:rFonts w:ascii="Times New Roman" w:hAnsi="Times New Roman" w:cs="Times New Roman"/>
          <w:sz w:val="20"/>
          <w:szCs w:val="20"/>
        </w:rPr>
        <w:t>. Policy Brief No. 3. New Delhi: National Academy of Agricultural Sciences.</w:t>
      </w:r>
    </w:p>
    <w:p w14:paraId="5176498C"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Olsson, L., Barbosa, H., </w:t>
      </w:r>
      <w:proofErr w:type="spellStart"/>
      <w:r w:rsidRPr="000E6643">
        <w:rPr>
          <w:rFonts w:ascii="Times New Roman" w:hAnsi="Times New Roman" w:cs="Times New Roman"/>
          <w:sz w:val="20"/>
          <w:szCs w:val="20"/>
        </w:rPr>
        <w:t>Bhadwal</w:t>
      </w:r>
      <w:proofErr w:type="spellEnd"/>
      <w:r w:rsidRPr="000E6643">
        <w:rPr>
          <w:rFonts w:ascii="Times New Roman" w:hAnsi="Times New Roman" w:cs="Times New Roman"/>
          <w:sz w:val="20"/>
          <w:szCs w:val="20"/>
        </w:rPr>
        <w:t xml:space="preserve">, S., Cowie, A., </w:t>
      </w:r>
      <w:proofErr w:type="spellStart"/>
      <w:r w:rsidRPr="000E6643">
        <w:rPr>
          <w:rFonts w:ascii="Times New Roman" w:hAnsi="Times New Roman" w:cs="Times New Roman"/>
          <w:sz w:val="20"/>
          <w:szCs w:val="20"/>
        </w:rPr>
        <w:t>Delusca</w:t>
      </w:r>
      <w:proofErr w:type="spellEnd"/>
      <w:r w:rsidRPr="000E6643">
        <w:rPr>
          <w:rFonts w:ascii="Times New Roman" w:hAnsi="Times New Roman" w:cs="Times New Roman"/>
          <w:sz w:val="20"/>
          <w:szCs w:val="20"/>
        </w:rPr>
        <w:t xml:space="preserve">, K., Flores-Renteria, D., Hermans, K., Jobbagy, E., Kurz, W., Li, D., </w:t>
      </w:r>
      <w:proofErr w:type="spellStart"/>
      <w:r w:rsidRPr="000E6643">
        <w:rPr>
          <w:rFonts w:ascii="Times New Roman" w:hAnsi="Times New Roman" w:cs="Times New Roman"/>
          <w:sz w:val="20"/>
          <w:szCs w:val="20"/>
        </w:rPr>
        <w:t>Sonwa</w:t>
      </w:r>
      <w:proofErr w:type="spellEnd"/>
      <w:r w:rsidRPr="000E6643">
        <w:rPr>
          <w:rFonts w:ascii="Times New Roman" w:hAnsi="Times New Roman" w:cs="Times New Roman"/>
          <w:sz w:val="20"/>
          <w:szCs w:val="20"/>
        </w:rPr>
        <w:t xml:space="preserve">, D. J., &amp; Stringer, L. (2019). Land degradation. In: </w:t>
      </w:r>
      <w:r w:rsidRPr="000E6643">
        <w:rPr>
          <w:rStyle w:val="Emphasis"/>
          <w:rFonts w:ascii="Times New Roman" w:hAnsi="Times New Roman" w:cs="Times New Roman"/>
          <w:sz w:val="20"/>
          <w:szCs w:val="20"/>
        </w:rPr>
        <w:t>Climate Change and Land: An IPCC Special Report...</w:t>
      </w:r>
      <w:r w:rsidRPr="000E6643">
        <w:rPr>
          <w:rFonts w:ascii="Times New Roman" w:hAnsi="Times New Roman" w:cs="Times New Roman"/>
          <w:sz w:val="20"/>
          <w:szCs w:val="20"/>
        </w:rPr>
        <w:t xml:space="preserve"> Lund University Centre for Sustainability Studies.</w:t>
      </w:r>
    </w:p>
    <w:p w14:paraId="41F05DF8"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Rezaei, S. A., Gilkes, R. J., &amp; Andrews, S. S. (2006). A minimum data set for assessing soil quality in rangelands. </w:t>
      </w:r>
      <w:proofErr w:type="spellStart"/>
      <w:r w:rsidRPr="000E6643">
        <w:rPr>
          <w:rStyle w:val="Emphasis"/>
          <w:rFonts w:ascii="Times New Roman" w:hAnsi="Times New Roman" w:cs="Times New Roman"/>
          <w:sz w:val="20"/>
          <w:szCs w:val="20"/>
        </w:rPr>
        <w:t>Geoderma</w:t>
      </w:r>
      <w:proofErr w:type="spellEnd"/>
      <w:r w:rsidRPr="000E6643">
        <w:rPr>
          <w:rFonts w:ascii="Times New Roman" w:hAnsi="Times New Roman" w:cs="Times New Roman"/>
          <w:sz w:val="20"/>
          <w:szCs w:val="20"/>
        </w:rPr>
        <w:t xml:space="preserve">, 136(1–2), 229–234. </w:t>
      </w:r>
      <w:hyperlink r:id="rId30" w:tgtFrame="_new" w:history="1">
        <w:r w:rsidRPr="000E6643">
          <w:rPr>
            <w:rStyle w:val="Hyperlink"/>
            <w:rFonts w:ascii="Times New Roman" w:hAnsi="Times New Roman" w:cs="Times New Roman"/>
            <w:color w:val="auto"/>
            <w:sz w:val="20"/>
            <w:szCs w:val="20"/>
            <w:u w:val="none"/>
          </w:rPr>
          <w:t>https://doi.org/10.1016/j.geoderma.2006.03.021</w:t>
        </w:r>
      </w:hyperlink>
    </w:p>
    <w:p w14:paraId="3D51D254"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Sahoo, U. K., Singh, S. L., Gogoi, A., Kenye, A., &amp; Sahoo, S. S. (2019). Active and passive soil organic carbon pools as affected by different land use types in Mizoram, Northeast India. </w:t>
      </w:r>
      <w:r w:rsidRPr="000E6643">
        <w:rPr>
          <w:rStyle w:val="Emphasis"/>
          <w:rFonts w:ascii="Times New Roman" w:hAnsi="Times New Roman" w:cs="Times New Roman"/>
          <w:sz w:val="20"/>
          <w:szCs w:val="20"/>
        </w:rPr>
        <w:t>PLOS ONE</w:t>
      </w:r>
      <w:r w:rsidRPr="000E6643">
        <w:rPr>
          <w:rFonts w:ascii="Times New Roman" w:hAnsi="Times New Roman" w:cs="Times New Roman"/>
          <w:sz w:val="20"/>
          <w:szCs w:val="20"/>
        </w:rPr>
        <w:t xml:space="preserve">, 14(7), e0219969. </w:t>
      </w:r>
      <w:hyperlink r:id="rId31" w:tgtFrame="_new" w:history="1">
        <w:r w:rsidRPr="000E6643">
          <w:rPr>
            <w:rStyle w:val="Hyperlink"/>
            <w:rFonts w:ascii="Times New Roman" w:hAnsi="Times New Roman" w:cs="Times New Roman"/>
            <w:color w:val="auto"/>
            <w:sz w:val="20"/>
            <w:szCs w:val="20"/>
            <w:u w:val="none"/>
          </w:rPr>
          <w:t>https://doi.org/10.1371/journal.pone.0219969</w:t>
        </w:r>
      </w:hyperlink>
    </w:p>
    <w:p w14:paraId="06FEB530" w14:textId="77777777"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Sims, G. K. (1990). Biological degradation of soil. In </w:t>
      </w:r>
      <w:r w:rsidRPr="000E6643">
        <w:rPr>
          <w:rStyle w:val="Emphasis"/>
          <w:rFonts w:ascii="Times New Roman" w:hAnsi="Times New Roman" w:cs="Times New Roman"/>
          <w:sz w:val="20"/>
          <w:szCs w:val="20"/>
        </w:rPr>
        <w:t>Microbial Ecology of the Terrestrial Environment</w:t>
      </w:r>
      <w:r w:rsidRPr="000E6643">
        <w:rPr>
          <w:rFonts w:ascii="Times New Roman" w:hAnsi="Times New Roman" w:cs="Times New Roman"/>
          <w:sz w:val="20"/>
          <w:szCs w:val="20"/>
        </w:rPr>
        <w:t xml:space="preserve"> (pp. 289–330). </w:t>
      </w:r>
      <w:hyperlink r:id="rId32" w:tgtFrame="_new" w:history="1">
        <w:r w:rsidRPr="000E6643">
          <w:rPr>
            <w:rStyle w:val="Hyperlink"/>
            <w:rFonts w:ascii="Times New Roman" w:hAnsi="Times New Roman" w:cs="Times New Roman"/>
            <w:color w:val="auto"/>
            <w:sz w:val="20"/>
            <w:szCs w:val="20"/>
            <w:u w:val="none"/>
          </w:rPr>
          <w:t>https://doi.org/10.1007/978-1-4612-3322-0_8</w:t>
        </w:r>
      </w:hyperlink>
    </w:p>
    <w:p w14:paraId="7479AFA7" w14:textId="6A23CF16" w:rsidR="00093A11" w:rsidRPr="000E6643" w:rsidRDefault="00093A11" w:rsidP="000E6643">
      <w:pPr>
        <w:pStyle w:val="ListParagraph"/>
        <w:numPr>
          <w:ilvl w:val="0"/>
          <w:numId w:val="21"/>
        </w:numPr>
        <w:spacing w:after="0" w:line="276" w:lineRule="auto"/>
        <w:jc w:val="both"/>
        <w:rPr>
          <w:rFonts w:ascii="Times New Roman" w:hAnsi="Times New Roman" w:cs="Times New Roman"/>
          <w:sz w:val="20"/>
          <w:szCs w:val="20"/>
        </w:rPr>
      </w:pPr>
      <w:r w:rsidRPr="000E6643">
        <w:rPr>
          <w:rFonts w:ascii="Times New Roman" w:hAnsi="Times New Roman" w:cs="Times New Roman"/>
          <w:sz w:val="20"/>
          <w:szCs w:val="20"/>
        </w:rPr>
        <w:t xml:space="preserve">Stewart, A. B. (1947). </w:t>
      </w:r>
      <w:r w:rsidRPr="000E6643">
        <w:rPr>
          <w:rStyle w:val="Emphasis"/>
          <w:rFonts w:ascii="Times New Roman" w:hAnsi="Times New Roman" w:cs="Times New Roman"/>
          <w:sz w:val="20"/>
          <w:szCs w:val="20"/>
        </w:rPr>
        <w:t>Report on soil fertility investigations in India with special reference to manuring</w:t>
      </w:r>
      <w:r w:rsidRPr="000E6643">
        <w:rPr>
          <w:rFonts w:ascii="Times New Roman" w:hAnsi="Times New Roman" w:cs="Times New Roman"/>
          <w:sz w:val="20"/>
          <w:szCs w:val="20"/>
        </w:rPr>
        <w:t>. Army Press, New Delhi.</w:t>
      </w:r>
    </w:p>
    <w:p w14:paraId="63C4E1D7" w14:textId="77777777" w:rsidR="00541284" w:rsidRPr="000E6643" w:rsidRDefault="00541284" w:rsidP="000E6643">
      <w:pPr>
        <w:pStyle w:val="ListParagraph"/>
        <w:numPr>
          <w:ilvl w:val="0"/>
          <w:numId w:val="21"/>
        </w:numPr>
        <w:spacing w:after="0" w:line="276" w:lineRule="auto"/>
        <w:jc w:val="both"/>
        <w:rPr>
          <w:rFonts w:ascii="Times New Roman" w:hAnsi="Times New Roman" w:cs="Times New Roman"/>
          <w:sz w:val="20"/>
          <w:szCs w:val="20"/>
          <w:lang w:val="en-GB"/>
        </w:rPr>
      </w:pPr>
      <w:r w:rsidRPr="000E6643">
        <w:rPr>
          <w:rFonts w:ascii="Times New Roman" w:hAnsi="Times New Roman" w:cs="Times New Roman"/>
          <w:sz w:val="20"/>
          <w:szCs w:val="20"/>
          <w:highlight w:val="yellow"/>
          <w:lang w:val="en-GB"/>
        </w:rPr>
        <w:t xml:space="preserve">Tripathi, B. P., </w:t>
      </w:r>
      <w:proofErr w:type="spellStart"/>
      <w:r w:rsidRPr="000E6643">
        <w:rPr>
          <w:rFonts w:ascii="Times New Roman" w:hAnsi="Times New Roman" w:cs="Times New Roman"/>
          <w:sz w:val="20"/>
          <w:szCs w:val="20"/>
          <w:highlight w:val="yellow"/>
          <w:lang w:val="en-GB"/>
        </w:rPr>
        <w:t>Timsina</w:t>
      </w:r>
      <w:proofErr w:type="spellEnd"/>
      <w:r w:rsidRPr="000E6643">
        <w:rPr>
          <w:rFonts w:ascii="Times New Roman" w:hAnsi="Times New Roman" w:cs="Times New Roman"/>
          <w:sz w:val="20"/>
          <w:szCs w:val="20"/>
          <w:highlight w:val="yellow"/>
          <w:lang w:val="en-GB"/>
        </w:rPr>
        <w:t xml:space="preserve">, J., Vista, S. P., </w:t>
      </w:r>
      <w:proofErr w:type="spellStart"/>
      <w:r w:rsidRPr="000E6643">
        <w:rPr>
          <w:rFonts w:ascii="Times New Roman" w:hAnsi="Times New Roman" w:cs="Times New Roman"/>
          <w:sz w:val="20"/>
          <w:szCs w:val="20"/>
          <w:highlight w:val="yellow"/>
          <w:lang w:val="en-GB"/>
        </w:rPr>
        <w:t>Gaihre</w:t>
      </w:r>
      <w:proofErr w:type="spellEnd"/>
      <w:r w:rsidRPr="000E6643">
        <w:rPr>
          <w:rFonts w:ascii="Times New Roman" w:hAnsi="Times New Roman" w:cs="Times New Roman"/>
          <w:sz w:val="20"/>
          <w:szCs w:val="20"/>
          <w:highlight w:val="yellow"/>
          <w:lang w:val="en-GB"/>
        </w:rPr>
        <w:t>, Y. K., &amp; Sapkota, B. R. (2022). Improving soil health and soil security for food and nutrition security in Nepal. Agriculture, Natural Resources and Food Security: Lessons from Nepal, 121-143.</w:t>
      </w:r>
      <w:r w:rsidRPr="000E6643">
        <w:rPr>
          <w:rFonts w:ascii="Times New Roman" w:hAnsi="Times New Roman" w:cs="Times New Roman"/>
          <w:sz w:val="20"/>
          <w:szCs w:val="20"/>
          <w:lang w:val="en-GB"/>
        </w:rPr>
        <w:t xml:space="preserve"> </w:t>
      </w:r>
    </w:p>
    <w:p w14:paraId="7ACC5F46" w14:textId="1318F3F6" w:rsidR="00541284" w:rsidRPr="000E6643" w:rsidRDefault="00032F82" w:rsidP="000E6643">
      <w:pPr>
        <w:pStyle w:val="ListParagraph"/>
        <w:numPr>
          <w:ilvl w:val="1"/>
          <w:numId w:val="21"/>
        </w:numPr>
        <w:spacing w:after="0" w:line="276" w:lineRule="auto"/>
        <w:jc w:val="both"/>
        <w:rPr>
          <w:rFonts w:ascii="Times New Roman" w:hAnsi="Times New Roman" w:cs="Times New Roman"/>
          <w:sz w:val="20"/>
          <w:szCs w:val="20"/>
        </w:rPr>
      </w:pPr>
      <w:hyperlink r:id="rId33" w:history="1">
        <w:r w:rsidR="00541284" w:rsidRPr="000E6643">
          <w:rPr>
            <w:rStyle w:val="Hyperlink"/>
            <w:rFonts w:ascii="Times New Roman" w:hAnsi="Times New Roman" w:cs="Times New Roman"/>
            <w:sz w:val="20"/>
            <w:szCs w:val="20"/>
            <w:lang w:val="en-GB"/>
          </w:rPr>
          <w:t>https://link.springer.com/chapter/10.1007/978-3-031-09555-9_8</w:t>
        </w:r>
      </w:hyperlink>
    </w:p>
    <w:p w14:paraId="7B5482DD" w14:textId="106CB263" w:rsidR="00093A11" w:rsidRPr="000E6643" w:rsidRDefault="00093A11" w:rsidP="000E6643">
      <w:pPr>
        <w:pStyle w:val="ListParagraph"/>
        <w:numPr>
          <w:ilvl w:val="0"/>
          <w:numId w:val="21"/>
        </w:numPr>
        <w:spacing w:after="0" w:line="276" w:lineRule="auto"/>
        <w:jc w:val="both"/>
        <w:rPr>
          <w:rStyle w:val="Hyperlink"/>
          <w:rFonts w:ascii="Times New Roman" w:hAnsi="Times New Roman" w:cs="Times New Roman"/>
          <w:color w:val="auto"/>
          <w:sz w:val="20"/>
          <w:szCs w:val="20"/>
          <w:u w:val="none"/>
        </w:rPr>
      </w:pPr>
      <w:proofErr w:type="spellStart"/>
      <w:r w:rsidRPr="000E6643">
        <w:rPr>
          <w:rFonts w:ascii="Times New Roman" w:hAnsi="Times New Roman" w:cs="Times New Roman"/>
          <w:sz w:val="20"/>
          <w:szCs w:val="20"/>
        </w:rPr>
        <w:t>Vukicevich</w:t>
      </w:r>
      <w:proofErr w:type="spellEnd"/>
      <w:r w:rsidRPr="000E6643">
        <w:rPr>
          <w:rFonts w:ascii="Times New Roman" w:hAnsi="Times New Roman" w:cs="Times New Roman"/>
          <w:sz w:val="20"/>
          <w:szCs w:val="20"/>
        </w:rPr>
        <w:t xml:space="preserve">, E., Lowery, T., Bowen, P., Úrbez-Torres, J. R., &amp; Hart, M. (2016). Cover crops to increase soil microbial diversity and mitigate decline in perennial agriculture: A review. </w:t>
      </w:r>
      <w:r w:rsidRPr="000E6643">
        <w:rPr>
          <w:rStyle w:val="Emphasis"/>
          <w:rFonts w:ascii="Times New Roman" w:hAnsi="Times New Roman" w:cs="Times New Roman"/>
          <w:sz w:val="20"/>
          <w:szCs w:val="20"/>
        </w:rPr>
        <w:t>Agronomy for Sustainable Development</w:t>
      </w:r>
      <w:r w:rsidRPr="000E6643">
        <w:rPr>
          <w:rFonts w:ascii="Times New Roman" w:hAnsi="Times New Roman" w:cs="Times New Roman"/>
          <w:sz w:val="20"/>
          <w:szCs w:val="20"/>
        </w:rPr>
        <w:t xml:space="preserve">, 36(3), 48. </w:t>
      </w:r>
      <w:hyperlink r:id="rId34" w:tgtFrame="_new" w:history="1">
        <w:r w:rsidRPr="000E6643">
          <w:rPr>
            <w:rStyle w:val="Hyperlink"/>
            <w:rFonts w:ascii="Times New Roman" w:hAnsi="Times New Roman" w:cs="Times New Roman"/>
            <w:color w:val="auto"/>
            <w:sz w:val="20"/>
            <w:szCs w:val="20"/>
            <w:u w:val="none"/>
          </w:rPr>
          <w:t>https://doi.org/10.1007/s13593-016-0385-7</w:t>
        </w:r>
      </w:hyperlink>
      <w:r w:rsidR="000A7F70" w:rsidRPr="000E6643">
        <w:rPr>
          <w:rStyle w:val="Hyperlink"/>
          <w:rFonts w:ascii="Times New Roman" w:hAnsi="Times New Roman" w:cs="Times New Roman"/>
          <w:color w:val="auto"/>
          <w:sz w:val="20"/>
          <w:szCs w:val="20"/>
          <w:u w:val="none"/>
        </w:rPr>
        <w:t>.</w:t>
      </w:r>
    </w:p>
    <w:p w14:paraId="35044ABF" w14:textId="4005CC8E" w:rsidR="000A7F70" w:rsidRPr="000E6643" w:rsidRDefault="000A7F70" w:rsidP="000E6643">
      <w:pPr>
        <w:pStyle w:val="ListParagraph"/>
        <w:numPr>
          <w:ilvl w:val="0"/>
          <w:numId w:val="21"/>
        </w:numPr>
        <w:rPr>
          <w:rFonts w:ascii="Times New Roman" w:hAnsi="Times New Roman" w:cs="Times New Roman"/>
        </w:rPr>
      </w:pPr>
      <w:r w:rsidRPr="000E6643">
        <w:rPr>
          <w:rFonts w:ascii="Times New Roman" w:hAnsi="Times New Roman" w:cs="Times New Roman"/>
          <w:sz w:val="20"/>
          <w:szCs w:val="20"/>
          <w:highlight w:val="yellow"/>
        </w:rPr>
        <w:lastRenderedPageBreak/>
        <w:t>Xing, Y., Wang, X., &amp; Mustafa, A. (2025). Exploring the link between soil health and crop productivity. Ecotoxicology and environmental safety, 289, 117703.</w:t>
      </w:r>
      <w:r w:rsidRPr="000E6643">
        <w:rPr>
          <w:sz w:val="20"/>
          <w:szCs w:val="20"/>
          <w:highlight w:val="yellow"/>
          <w:lang w:val="en-GB"/>
        </w:rPr>
        <w:t xml:space="preserve"> </w:t>
      </w:r>
      <w:hyperlink r:id="rId35" w:history="1">
        <w:r w:rsidRPr="000E6643">
          <w:rPr>
            <w:rFonts w:ascii="Times New Roman" w:hAnsi="Times New Roman" w:cs="Times New Roman"/>
            <w:sz w:val="20"/>
            <w:szCs w:val="20"/>
            <w:highlight w:val="yellow"/>
          </w:rPr>
          <w:t>https://www.sciencedirect.com/science/article/pii/S0147651325000399</w:t>
        </w:r>
      </w:hyperlink>
    </w:p>
    <w:p w14:paraId="3471BD73" w14:textId="77777777" w:rsidR="00A45248" w:rsidRPr="00A26B6D" w:rsidRDefault="00A45248" w:rsidP="00A26B6D">
      <w:pPr>
        <w:spacing w:after="0" w:line="276" w:lineRule="auto"/>
        <w:ind w:left="720" w:hanging="720"/>
        <w:jc w:val="both"/>
        <w:rPr>
          <w:rFonts w:ascii="Times New Roman" w:hAnsi="Times New Roman" w:cs="Times New Roman"/>
          <w:sz w:val="20"/>
          <w:szCs w:val="20"/>
        </w:rPr>
      </w:pPr>
    </w:p>
    <w:p w14:paraId="2E57436E" w14:textId="77777777" w:rsidR="00CE3ED6" w:rsidRPr="00A26B6D" w:rsidRDefault="00CE3ED6" w:rsidP="00A26B6D">
      <w:pPr>
        <w:spacing w:after="0" w:line="276" w:lineRule="auto"/>
        <w:jc w:val="both"/>
        <w:rPr>
          <w:rFonts w:ascii="Times New Roman" w:hAnsi="Times New Roman" w:cs="Times New Roman"/>
          <w:sz w:val="20"/>
          <w:szCs w:val="20"/>
        </w:rPr>
      </w:pPr>
    </w:p>
    <w:sectPr w:rsidR="00CE3ED6" w:rsidRPr="00A26B6D" w:rsidSect="004A348D">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3BE8" w14:textId="77777777" w:rsidR="00032F82" w:rsidRDefault="00032F82" w:rsidP="003D7492">
      <w:pPr>
        <w:spacing w:after="0" w:line="240" w:lineRule="auto"/>
      </w:pPr>
      <w:r>
        <w:separator/>
      </w:r>
    </w:p>
  </w:endnote>
  <w:endnote w:type="continuationSeparator" w:id="0">
    <w:p w14:paraId="20299DE3" w14:textId="77777777" w:rsidR="00032F82" w:rsidRDefault="00032F82" w:rsidP="003D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AE2EB" w14:textId="77777777" w:rsidR="004A348D" w:rsidRDefault="004A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935752"/>
      <w:docPartObj>
        <w:docPartGallery w:val="Page Numbers (Bottom of Page)"/>
        <w:docPartUnique/>
      </w:docPartObj>
    </w:sdtPr>
    <w:sdtEndPr>
      <w:rPr>
        <w:noProof/>
      </w:rPr>
    </w:sdtEndPr>
    <w:sdtContent>
      <w:p w14:paraId="0F3ED078" w14:textId="71DC6B62" w:rsidR="003D7492" w:rsidRDefault="003D7492">
        <w:pPr>
          <w:pStyle w:val="Footer"/>
          <w:jc w:val="right"/>
        </w:pPr>
        <w:r>
          <w:fldChar w:fldCharType="begin"/>
        </w:r>
        <w:r>
          <w:instrText xml:space="preserve"> PAGE   \* MERGEFORMAT </w:instrText>
        </w:r>
        <w:r>
          <w:fldChar w:fldCharType="separate"/>
        </w:r>
        <w:r w:rsidR="00966C8C">
          <w:rPr>
            <w:noProof/>
          </w:rPr>
          <w:t>10</w:t>
        </w:r>
        <w:r>
          <w:rPr>
            <w:noProof/>
          </w:rPr>
          <w:fldChar w:fldCharType="end"/>
        </w:r>
      </w:p>
    </w:sdtContent>
  </w:sdt>
  <w:p w14:paraId="3D612B00" w14:textId="77777777" w:rsidR="003D7492" w:rsidRDefault="003D7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CF15" w14:textId="77777777" w:rsidR="004A348D" w:rsidRDefault="004A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8E0D9" w14:textId="77777777" w:rsidR="00032F82" w:rsidRDefault="00032F82" w:rsidP="003D7492">
      <w:pPr>
        <w:spacing w:after="0" w:line="240" w:lineRule="auto"/>
      </w:pPr>
      <w:r>
        <w:separator/>
      </w:r>
    </w:p>
  </w:footnote>
  <w:footnote w:type="continuationSeparator" w:id="0">
    <w:p w14:paraId="42389B1C" w14:textId="77777777" w:rsidR="00032F82" w:rsidRDefault="00032F82" w:rsidP="003D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2670" w14:textId="518F52D5" w:rsidR="004A348D" w:rsidRDefault="00032F82">
    <w:pPr>
      <w:pStyle w:val="Header"/>
    </w:pPr>
    <w:r>
      <w:rPr>
        <w:noProof/>
      </w:rPr>
      <w:pict w14:anchorId="2851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67A7" w14:textId="1DD2B70F" w:rsidR="004A348D" w:rsidRDefault="00032F82">
    <w:pPr>
      <w:pStyle w:val="Header"/>
    </w:pPr>
    <w:r>
      <w:rPr>
        <w:noProof/>
      </w:rPr>
      <w:pict w14:anchorId="56C6A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810B" w14:textId="5F6363B8" w:rsidR="004A348D" w:rsidRDefault="00032F82">
    <w:pPr>
      <w:pStyle w:val="Header"/>
    </w:pPr>
    <w:r>
      <w:rPr>
        <w:noProof/>
      </w:rPr>
      <w:pict w14:anchorId="3914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BF7"/>
    <w:multiLevelType w:val="hybridMultilevel"/>
    <w:tmpl w:val="4300B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038D"/>
    <w:multiLevelType w:val="multilevel"/>
    <w:tmpl w:val="E1FE6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83A29"/>
    <w:multiLevelType w:val="multilevel"/>
    <w:tmpl w:val="D2D0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41BE8"/>
    <w:multiLevelType w:val="multilevel"/>
    <w:tmpl w:val="86C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24068"/>
    <w:multiLevelType w:val="multilevel"/>
    <w:tmpl w:val="322AE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A61D9"/>
    <w:multiLevelType w:val="multilevel"/>
    <w:tmpl w:val="1B5E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7638C"/>
    <w:multiLevelType w:val="multilevel"/>
    <w:tmpl w:val="77A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1796A"/>
    <w:multiLevelType w:val="multilevel"/>
    <w:tmpl w:val="6E34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F457A"/>
    <w:multiLevelType w:val="multilevel"/>
    <w:tmpl w:val="362E0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93515"/>
    <w:multiLevelType w:val="multilevel"/>
    <w:tmpl w:val="5650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D158C"/>
    <w:multiLevelType w:val="multilevel"/>
    <w:tmpl w:val="BCD02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545D7"/>
    <w:multiLevelType w:val="hybridMultilevel"/>
    <w:tmpl w:val="F4029732"/>
    <w:lvl w:ilvl="0" w:tplc="96CCB67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8002BC"/>
    <w:multiLevelType w:val="multilevel"/>
    <w:tmpl w:val="356C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70B71"/>
    <w:multiLevelType w:val="multilevel"/>
    <w:tmpl w:val="41B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503FA"/>
    <w:multiLevelType w:val="multilevel"/>
    <w:tmpl w:val="5A084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8B6AFB"/>
    <w:multiLevelType w:val="multilevel"/>
    <w:tmpl w:val="E98C5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02F22"/>
    <w:multiLevelType w:val="multilevel"/>
    <w:tmpl w:val="E466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B74BE"/>
    <w:multiLevelType w:val="multilevel"/>
    <w:tmpl w:val="B81EF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A71B6"/>
    <w:multiLevelType w:val="multilevel"/>
    <w:tmpl w:val="217C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343209"/>
    <w:multiLevelType w:val="multilevel"/>
    <w:tmpl w:val="60284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42535D"/>
    <w:multiLevelType w:val="multilevel"/>
    <w:tmpl w:val="A7143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4"/>
  </w:num>
  <w:num w:numId="4">
    <w:abstractNumId w:val="17"/>
  </w:num>
  <w:num w:numId="5">
    <w:abstractNumId w:val="20"/>
  </w:num>
  <w:num w:numId="6">
    <w:abstractNumId w:val="9"/>
  </w:num>
  <w:num w:numId="7">
    <w:abstractNumId w:val="19"/>
  </w:num>
  <w:num w:numId="8">
    <w:abstractNumId w:val="5"/>
  </w:num>
  <w:num w:numId="9">
    <w:abstractNumId w:val="15"/>
  </w:num>
  <w:num w:numId="10">
    <w:abstractNumId w:val="8"/>
  </w:num>
  <w:num w:numId="11">
    <w:abstractNumId w:val="7"/>
  </w:num>
  <w:num w:numId="12">
    <w:abstractNumId w:val="10"/>
  </w:num>
  <w:num w:numId="13">
    <w:abstractNumId w:val="4"/>
  </w:num>
  <w:num w:numId="14">
    <w:abstractNumId w:val="2"/>
  </w:num>
  <w:num w:numId="15">
    <w:abstractNumId w:val="3"/>
  </w:num>
  <w:num w:numId="16">
    <w:abstractNumId w:val="6"/>
  </w:num>
  <w:num w:numId="17">
    <w:abstractNumId w:val="18"/>
  </w:num>
  <w:num w:numId="18">
    <w:abstractNumId w:val="1"/>
  </w:num>
  <w:num w:numId="19">
    <w:abstractNumId w:val="16"/>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25"/>
    <w:rsid w:val="00003436"/>
    <w:rsid w:val="00006C3B"/>
    <w:rsid w:val="00006E25"/>
    <w:rsid w:val="00031110"/>
    <w:rsid w:val="00032F82"/>
    <w:rsid w:val="00034FA3"/>
    <w:rsid w:val="00042526"/>
    <w:rsid w:val="00080E79"/>
    <w:rsid w:val="00093A11"/>
    <w:rsid w:val="000A7F70"/>
    <w:rsid w:val="000B777E"/>
    <w:rsid w:val="000D49C5"/>
    <w:rsid w:val="000E2BEE"/>
    <w:rsid w:val="000E52F1"/>
    <w:rsid w:val="000E6643"/>
    <w:rsid w:val="00136248"/>
    <w:rsid w:val="00136583"/>
    <w:rsid w:val="00144C29"/>
    <w:rsid w:val="00195293"/>
    <w:rsid w:val="00195B24"/>
    <w:rsid w:val="001C6577"/>
    <w:rsid w:val="001E4A7B"/>
    <w:rsid w:val="001E6AD7"/>
    <w:rsid w:val="001F145B"/>
    <w:rsid w:val="00202D50"/>
    <w:rsid w:val="002046A3"/>
    <w:rsid w:val="0020732E"/>
    <w:rsid w:val="00223AD4"/>
    <w:rsid w:val="00230231"/>
    <w:rsid w:val="0023670F"/>
    <w:rsid w:val="00241684"/>
    <w:rsid w:val="00243BE0"/>
    <w:rsid w:val="00273F7E"/>
    <w:rsid w:val="0027733F"/>
    <w:rsid w:val="002859BD"/>
    <w:rsid w:val="002A0513"/>
    <w:rsid w:val="002C6402"/>
    <w:rsid w:val="002D177B"/>
    <w:rsid w:val="002D5132"/>
    <w:rsid w:val="002E4CDD"/>
    <w:rsid w:val="002F4818"/>
    <w:rsid w:val="00300954"/>
    <w:rsid w:val="0030459D"/>
    <w:rsid w:val="0034523B"/>
    <w:rsid w:val="00346008"/>
    <w:rsid w:val="00352792"/>
    <w:rsid w:val="0036010C"/>
    <w:rsid w:val="00374E2B"/>
    <w:rsid w:val="003A662D"/>
    <w:rsid w:val="003D7492"/>
    <w:rsid w:val="003E2240"/>
    <w:rsid w:val="00427480"/>
    <w:rsid w:val="00432BEC"/>
    <w:rsid w:val="00443E3C"/>
    <w:rsid w:val="00487B9A"/>
    <w:rsid w:val="00492382"/>
    <w:rsid w:val="004950E8"/>
    <w:rsid w:val="004A348D"/>
    <w:rsid w:val="004A59FE"/>
    <w:rsid w:val="004B2D91"/>
    <w:rsid w:val="004B5BAD"/>
    <w:rsid w:val="004B5C8A"/>
    <w:rsid w:val="004C6791"/>
    <w:rsid w:val="004D7D92"/>
    <w:rsid w:val="004E364A"/>
    <w:rsid w:val="00526512"/>
    <w:rsid w:val="00532900"/>
    <w:rsid w:val="005355AF"/>
    <w:rsid w:val="00535DFE"/>
    <w:rsid w:val="00541284"/>
    <w:rsid w:val="00564606"/>
    <w:rsid w:val="005860DF"/>
    <w:rsid w:val="005A0E21"/>
    <w:rsid w:val="005A387E"/>
    <w:rsid w:val="005A7A09"/>
    <w:rsid w:val="005B7857"/>
    <w:rsid w:val="005C08BD"/>
    <w:rsid w:val="006071B0"/>
    <w:rsid w:val="00622B79"/>
    <w:rsid w:val="0062608D"/>
    <w:rsid w:val="00643CE5"/>
    <w:rsid w:val="00644B72"/>
    <w:rsid w:val="00652854"/>
    <w:rsid w:val="00667CB0"/>
    <w:rsid w:val="00686CA0"/>
    <w:rsid w:val="006A3868"/>
    <w:rsid w:val="006A3C54"/>
    <w:rsid w:val="006D6ABC"/>
    <w:rsid w:val="006E465D"/>
    <w:rsid w:val="00706AF7"/>
    <w:rsid w:val="00715A0A"/>
    <w:rsid w:val="00717E7B"/>
    <w:rsid w:val="00725966"/>
    <w:rsid w:val="007438C9"/>
    <w:rsid w:val="00743972"/>
    <w:rsid w:val="007510D7"/>
    <w:rsid w:val="0075423E"/>
    <w:rsid w:val="00761C5E"/>
    <w:rsid w:val="00765FBE"/>
    <w:rsid w:val="00786870"/>
    <w:rsid w:val="007975D9"/>
    <w:rsid w:val="007A3BFF"/>
    <w:rsid w:val="007B74BA"/>
    <w:rsid w:val="00805F5E"/>
    <w:rsid w:val="00814F43"/>
    <w:rsid w:val="0083220A"/>
    <w:rsid w:val="008514F1"/>
    <w:rsid w:val="0086381A"/>
    <w:rsid w:val="008705A4"/>
    <w:rsid w:val="00880373"/>
    <w:rsid w:val="00880507"/>
    <w:rsid w:val="0089284E"/>
    <w:rsid w:val="008B155E"/>
    <w:rsid w:val="008D257F"/>
    <w:rsid w:val="008E4D8E"/>
    <w:rsid w:val="009546F6"/>
    <w:rsid w:val="00965149"/>
    <w:rsid w:val="00966C8C"/>
    <w:rsid w:val="00970FD6"/>
    <w:rsid w:val="00987C6E"/>
    <w:rsid w:val="00993542"/>
    <w:rsid w:val="009C6A1E"/>
    <w:rsid w:val="00A26B6D"/>
    <w:rsid w:val="00A37948"/>
    <w:rsid w:val="00A45248"/>
    <w:rsid w:val="00A77D19"/>
    <w:rsid w:val="00A85AD1"/>
    <w:rsid w:val="00A91F81"/>
    <w:rsid w:val="00A978F0"/>
    <w:rsid w:val="00AB24FB"/>
    <w:rsid w:val="00AB3CB4"/>
    <w:rsid w:val="00AC7158"/>
    <w:rsid w:val="00AC7BEA"/>
    <w:rsid w:val="00B26A02"/>
    <w:rsid w:val="00B34544"/>
    <w:rsid w:val="00B40B76"/>
    <w:rsid w:val="00B55028"/>
    <w:rsid w:val="00B701B7"/>
    <w:rsid w:val="00BB3EED"/>
    <w:rsid w:val="00BC082C"/>
    <w:rsid w:val="00BD2BCE"/>
    <w:rsid w:val="00BD681E"/>
    <w:rsid w:val="00C05F5B"/>
    <w:rsid w:val="00C07291"/>
    <w:rsid w:val="00C5598D"/>
    <w:rsid w:val="00C7287F"/>
    <w:rsid w:val="00C7618E"/>
    <w:rsid w:val="00C93438"/>
    <w:rsid w:val="00C9747A"/>
    <w:rsid w:val="00CA76A0"/>
    <w:rsid w:val="00CB23BC"/>
    <w:rsid w:val="00CB2BE5"/>
    <w:rsid w:val="00CC669A"/>
    <w:rsid w:val="00CD6009"/>
    <w:rsid w:val="00CE3ED6"/>
    <w:rsid w:val="00CF767D"/>
    <w:rsid w:val="00D06EFC"/>
    <w:rsid w:val="00D10F76"/>
    <w:rsid w:val="00D174F8"/>
    <w:rsid w:val="00D25207"/>
    <w:rsid w:val="00D3010E"/>
    <w:rsid w:val="00D30127"/>
    <w:rsid w:val="00D8628C"/>
    <w:rsid w:val="00D907FF"/>
    <w:rsid w:val="00D924DE"/>
    <w:rsid w:val="00DB42A1"/>
    <w:rsid w:val="00DD4D13"/>
    <w:rsid w:val="00E0067D"/>
    <w:rsid w:val="00E104FA"/>
    <w:rsid w:val="00E14D97"/>
    <w:rsid w:val="00E34183"/>
    <w:rsid w:val="00E40581"/>
    <w:rsid w:val="00E51858"/>
    <w:rsid w:val="00E6033C"/>
    <w:rsid w:val="00EB7102"/>
    <w:rsid w:val="00EC22C3"/>
    <w:rsid w:val="00EF481B"/>
    <w:rsid w:val="00F108A8"/>
    <w:rsid w:val="00F148C5"/>
    <w:rsid w:val="00F35ECA"/>
    <w:rsid w:val="00F47CD8"/>
    <w:rsid w:val="00F80C00"/>
    <w:rsid w:val="00F86672"/>
    <w:rsid w:val="00F90D53"/>
    <w:rsid w:val="00F94D46"/>
    <w:rsid w:val="00FB02D1"/>
    <w:rsid w:val="00FB25E3"/>
    <w:rsid w:val="00FD780D"/>
    <w:rsid w:val="00FE41F2"/>
    <w:rsid w:val="00FE5B56"/>
    <w:rsid w:val="00FF05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EBDDD"/>
  <w15:chartTrackingRefBased/>
  <w15:docId w15:val="{4B01AF5D-5E6D-40C6-8A33-CE82E102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4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4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81"/>
    <w:rPr>
      <w:color w:val="0563C1" w:themeColor="hyperlink"/>
      <w:u w:val="single"/>
    </w:rPr>
  </w:style>
  <w:style w:type="paragraph" w:styleId="NormalWeb">
    <w:name w:val="Normal (Web)"/>
    <w:basedOn w:val="Normal"/>
    <w:uiPriority w:val="99"/>
    <w:unhideWhenUsed/>
    <w:rsid w:val="0075423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067D"/>
    <w:rPr>
      <w:b/>
      <w:bCs/>
    </w:rPr>
  </w:style>
  <w:style w:type="character" w:customStyle="1" w:styleId="Heading1Char">
    <w:name w:val="Heading 1 Char"/>
    <w:basedOn w:val="DefaultParagraphFont"/>
    <w:link w:val="Heading1"/>
    <w:uiPriority w:val="9"/>
    <w:rsid w:val="00E14D97"/>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A8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4B5C8A"/>
  </w:style>
  <w:style w:type="character" w:customStyle="1" w:styleId="ref-journal">
    <w:name w:val="ref-journal"/>
    <w:basedOn w:val="DefaultParagraphFont"/>
    <w:rsid w:val="004B5C8A"/>
  </w:style>
  <w:style w:type="character" w:customStyle="1" w:styleId="ref-vol">
    <w:name w:val="ref-vol"/>
    <w:basedOn w:val="DefaultParagraphFont"/>
    <w:rsid w:val="004B5C8A"/>
  </w:style>
  <w:style w:type="character" w:customStyle="1" w:styleId="nowrap">
    <w:name w:val="nowrap"/>
    <w:basedOn w:val="DefaultParagraphFont"/>
    <w:rsid w:val="004B5C8A"/>
  </w:style>
  <w:style w:type="paragraph" w:styleId="BalloonText">
    <w:name w:val="Balloon Text"/>
    <w:basedOn w:val="Normal"/>
    <w:link w:val="BalloonTextChar"/>
    <w:uiPriority w:val="99"/>
    <w:semiHidden/>
    <w:unhideWhenUsed/>
    <w:rsid w:val="005C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BD"/>
    <w:rPr>
      <w:rFonts w:ascii="Segoe UI" w:hAnsi="Segoe UI" w:cs="Segoe UI"/>
      <w:sz w:val="18"/>
      <w:szCs w:val="18"/>
    </w:rPr>
  </w:style>
  <w:style w:type="paragraph" w:styleId="Header">
    <w:name w:val="header"/>
    <w:basedOn w:val="Normal"/>
    <w:link w:val="HeaderChar"/>
    <w:uiPriority w:val="99"/>
    <w:unhideWhenUsed/>
    <w:rsid w:val="003D7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92"/>
  </w:style>
  <w:style w:type="paragraph" w:styleId="Footer">
    <w:name w:val="footer"/>
    <w:basedOn w:val="Normal"/>
    <w:link w:val="FooterChar"/>
    <w:uiPriority w:val="99"/>
    <w:unhideWhenUsed/>
    <w:rsid w:val="003D7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92"/>
  </w:style>
  <w:style w:type="character" w:styleId="LineNumber">
    <w:name w:val="line number"/>
    <w:basedOn w:val="DefaultParagraphFont"/>
    <w:uiPriority w:val="99"/>
    <w:semiHidden/>
    <w:unhideWhenUsed/>
    <w:rsid w:val="00CE3ED6"/>
  </w:style>
  <w:style w:type="character" w:customStyle="1" w:styleId="Heading3Char">
    <w:name w:val="Heading 3 Char"/>
    <w:basedOn w:val="DefaultParagraphFont"/>
    <w:link w:val="Heading3"/>
    <w:uiPriority w:val="9"/>
    <w:semiHidden/>
    <w:rsid w:val="005646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93A11"/>
    <w:rPr>
      <w:i/>
      <w:iCs/>
    </w:rPr>
  </w:style>
  <w:style w:type="character" w:customStyle="1" w:styleId="UnresolvedMention1">
    <w:name w:val="Unresolved Mention1"/>
    <w:basedOn w:val="DefaultParagraphFont"/>
    <w:uiPriority w:val="99"/>
    <w:semiHidden/>
    <w:unhideWhenUsed/>
    <w:rsid w:val="004B5BAD"/>
    <w:rPr>
      <w:color w:val="605E5C"/>
      <w:shd w:val="clear" w:color="auto" w:fill="E1DFDD"/>
    </w:rPr>
  </w:style>
  <w:style w:type="paragraph" w:styleId="ListParagraph">
    <w:name w:val="List Paragraph"/>
    <w:basedOn w:val="Normal"/>
    <w:uiPriority w:val="34"/>
    <w:qFormat/>
    <w:rsid w:val="0020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8202">
      <w:bodyDiv w:val="1"/>
      <w:marLeft w:val="0"/>
      <w:marRight w:val="0"/>
      <w:marTop w:val="0"/>
      <w:marBottom w:val="0"/>
      <w:divBdr>
        <w:top w:val="none" w:sz="0" w:space="0" w:color="auto"/>
        <w:left w:val="none" w:sz="0" w:space="0" w:color="auto"/>
        <w:bottom w:val="none" w:sz="0" w:space="0" w:color="auto"/>
        <w:right w:val="none" w:sz="0" w:space="0" w:color="auto"/>
      </w:divBdr>
    </w:div>
    <w:div w:id="53241071">
      <w:bodyDiv w:val="1"/>
      <w:marLeft w:val="0"/>
      <w:marRight w:val="0"/>
      <w:marTop w:val="0"/>
      <w:marBottom w:val="0"/>
      <w:divBdr>
        <w:top w:val="none" w:sz="0" w:space="0" w:color="auto"/>
        <w:left w:val="none" w:sz="0" w:space="0" w:color="auto"/>
        <w:bottom w:val="none" w:sz="0" w:space="0" w:color="auto"/>
        <w:right w:val="none" w:sz="0" w:space="0" w:color="auto"/>
      </w:divBdr>
    </w:div>
    <w:div w:id="107166380">
      <w:bodyDiv w:val="1"/>
      <w:marLeft w:val="0"/>
      <w:marRight w:val="0"/>
      <w:marTop w:val="0"/>
      <w:marBottom w:val="0"/>
      <w:divBdr>
        <w:top w:val="none" w:sz="0" w:space="0" w:color="auto"/>
        <w:left w:val="none" w:sz="0" w:space="0" w:color="auto"/>
        <w:bottom w:val="none" w:sz="0" w:space="0" w:color="auto"/>
        <w:right w:val="none" w:sz="0" w:space="0" w:color="auto"/>
      </w:divBdr>
    </w:div>
    <w:div w:id="129633282">
      <w:bodyDiv w:val="1"/>
      <w:marLeft w:val="0"/>
      <w:marRight w:val="0"/>
      <w:marTop w:val="0"/>
      <w:marBottom w:val="0"/>
      <w:divBdr>
        <w:top w:val="none" w:sz="0" w:space="0" w:color="auto"/>
        <w:left w:val="none" w:sz="0" w:space="0" w:color="auto"/>
        <w:bottom w:val="none" w:sz="0" w:space="0" w:color="auto"/>
        <w:right w:val="none" w:sz="0" w:space="0" w:color="auto"/>
      </w:divBdr>
    </w:div>
    <w:div w:id="132069023">
      <w:bodyDiv w:val="1"/>
      <w:marLeft w:val="0"/>
      <w:marRight w:val="0"/>
      <w:marTop w:val="0"/>
      <w:marBottom w:val="0"/>
      <w:divBdr>
        <w:top w:val="none" w:sz="0" w:space="0" w:color="auto"/>
        <w:left w:val="none" w:sz="0" w:space="0" w:color="auto"/>
        <w:bottom w:val="none" w:sz="0" w:space="0" w:color="auto"/>
        <w:right w:val="none" w:sz="0" w:space="0" w:color="auto"/>
      </w:divBdr>
    </w:div>
    <w:div w:id="139230850">
      <w:bodyDiv w:val="1"/>
      <w:marLeft w:val="0"/>
      <w:marRight w:val="0"/>
      <w:marTop w:val="0"/>
      <w:marBottom w:val="0"/>
      <w:divBdr>
        <w:top w:val="none" w:sz="0" w:space="0" w:color="auto"/>
        <w:left w:val="none" w:sz="0" w:space="0" w:color="auto"/>
        <w:bottom w:val="none" w:sz="0" w:space="0" w:color="auto"/>
        <w:right w:val="none" w:sz="0" w:space="0" w:color="auto"/>
      </w:divBdr>
    </w:div>
    <w:div w:id="144855198">
      <w:bodyDiv w:val="1"/>
      <w:marLeft w:val="0"/>
      <w:marRight w:val="0"/>
      <w:marTop w:val="0"/>
      <w:marBottom w:val="0"/>
      <w:divBdr>
        <w:top w:val="none" w:sz="0" w:space="0" w:color="auto"/>
        <w:left w:val="none" w:sz="0" w:space="0" w:color="auto"/>
        <w:bottom w:val="none" w:sz="0" w:space="0" w:color="auto"/>
        <w:right w:val="none" w:sz="0" w:space="0" w:color="auto"/>
      </w:divBdr>
    </w:div>
    <w:div w:id="163936376">
      <w:bodyDiv w:val="1"/>
      <w:marLeft w:val="0"/>
      <w:marRight w:val="0"/>
      <w:marTop w:val="0"/>
      <w:marBottom w:val="0"/>
      <w:divBdr>
        <w:top w:val="none" w:sz="0" w:space="0" w:color="auto"/>
        <w:left w:val="none" w:sz="0" w:space="0" w:color="auto"/>
        <w:bottom w:val="none" w:sz="0" w:space="0" w:color="auto"/>
        <w:right w:val="none" w:sz="0" w:space="0" w:color="auto"/>
      </w:divBdr>
    </w:div>
    <w:div w:id="194345191">
      <w:bodyDiv w:val="1"/>
      <w:marLeft w:val="0"/>
      <w:marRight w:val="0"/>
      <w:marTop w:val="0"/>
      <w:marBottom w:val="0"/>
      <w:divBdr>
        <w:top w:val="none" w:sz="0" w:space="0" w:color="auto"/>
        <w:left w:val="none" w:sz="0" w:space="0" w:color="auto"/>
        <w:bottom w:val="none" w:sz="0" w:space="0" w:color="auto"/>
        <w:right w:val="none" w:sz="0" w:space="0" w:color="auto"/>
      </w:divBdr>
    </w:div>
    <w:div w:id="246161834">
      <w:bodyDiv w:val="1"/>
      <w:marLeft w:val="0"/>
      <w:marRight w:val="0"/>
      <w:marTop w:val="0"/>
      <w:marBottom w:val="0"/>
      <w:divBdr>
        <w:top w:val="none" w:sz="0" w:space="0" w:color="auto"/>
        <w:left w:val="none" w:sz="0" w:space="0" w:color="auto"/>
        <w:bottom w:val="none" w:sz="0" w:space="0" w:color="auto"/>
        <w:right w:val="none" w:sz="0" w:space="0" w:color="auto"/>
      </w:divBdr>
    </w:div>
    <w:div w:id="259801549">
      <w:bodyDiv w:val="1"/>
      <w:marLeft w:val="0"/>
      <w:marRight w:val="0"/>
      <w:marTop w:val="0"/>
      <w:marBottom w:val="0"/>
      <w:divBdr>
        <w:top w:val="none" w:sz="0" w:space="0" w:color="auto"/>
        <w:left w:val="none" w:sz="0" w:space="0" w:color="auto"/>
        <w:bottom w:val="none" w:sz="0" w:space="0" w:color="auto"/>
        <w:right w:val="none" w:sz="0" w:space="0" w:color="auto"/>
      </w:divBdr>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288586318">
      <w:bodyDiv w:val="1"/>
      <w:marLeft w:val="0"/>
      <w:marRight w:val="0"/>
      <w:marTop w:val="0"/>
      <w:marBottom w:val="0"/>
      <w:divBdr>
        <w:top w:val="none" w:sz="0" w:space="0" w:color="auto"/>
        <w:left w:val="none" w:sz="0" w:space="0" w:color="auto"/>
        <w:bottom w:val="none" w:sz="0" w:space="0" w:color="auto"/>
        <w:right w:val="none" w:sz="0" w:space="0" w:color="auto"/>
      </w:divBdr>
    </w:div>
    <w:div w:id="319889809">
      <w:bodyDiv w:val="1"/>
      <w:marLeft w:val="0"/>
      <w:marRight w:val="0"/>
      <w:marTop w:val="0"/>
      <w:marBottom w:val="0"/>
      <w:divBdr>
        <w:top w:val="none" w:sz="0" w:space="0" w:color="auto"/>
        <w:left w:val="none" w:sz="0" w:space="0" w:color="auto"/>
        <w:bottom w:val="none" w:sz="0" w:space="0" w:color="auto"/>
        <w:right w:val="none" w:sz="0" w:space="0" w:color="auto"/>
      </w:divBdr>
    </w:div>
    <w:div w:id="324282220">
      <w:bodyDiv w:val="1"/>
      <w:marLeft w:val="0"/>
      <w:marRight w:val="0"/>
      <w:marTop w:val="0"/>
      <w:marBottom w:val="0"/>
      <w:divBdr>
        <w:top w:val="none" w:sz="0" w:space="0" w:color="auto"/>
        <w:left w:val="none" w:sz="0" w:space="0" w:color="auto"/>
        <w:bottom w:val="none" w:sz="0" w:space="0" w:color="auto"/>
        <w:right w:val="none" w:sz="0" w:space="0" w:color="auto"/>
      </w:divBdr>
    </w:div>
    <w:div w:id="326709524">
      <w:bodyDiv w:val="1"/>
      <w:marLeft w:val="0"/>
      <w:marRight w:val="0"/>
      <w:marTop w:val="0"/>
      <w:marBottom w:val="0"/>
      <w:divBdr>
        <w:top w:val="none" w:sz="0" w:space="0" w:color="auto"/>
        <w:left w:val="none" w:sz="0" w:space="0" w:color="auto"/>
        <w:bottom w:val="none" w:sz="0" w:space="0" w:color="auto"/>
        <w:right w:val="none" w:sz="0" w:space="0" w:color="auto"/>
      </w:divBdr>
    </w:div>
    <w:div w:id="330135656">
      <w:bodyDiv w:val="1"/>
      <w:marLeft w:val="0"/>
      <w:marRight w:val="0"/>
      <w:marTop w:val="0"/>
      <w:marBottom w:val="0"/>
      <w:divBdr>
        <w:top w:val="none" w:sz="0" w:space="0" w:color="auto"/>
        <w:left w:val="none" w:sz="0" w:space="0" w:color="auto"/>
        <w:bottom w:val="none" w:sz="0" w:space="0" w:color="auto"/>
        <w:right w:val="none" w:sz="0" w:space="0" w:color="auto"/>
      </w:divBdr>
    </w:div>
    <w:div w:id="346369858">
      <w:bodyDiv w:val="1"/>
      <w:marLeft w:val="0"/>
      <w:marRight w:val="0"/>
      <w:marTop w:val="0"/>
      <w:marBottom w:val="0"/>
      <w:divBdr>
        <w:top w:val="none" w:sz="0" w:space="0" w:color="auto"/>
        <w:left w:val="none" w:sz="0" w:space="0" w:color="auto"/>
        <w:bottom w:val="none" w:sz="0" w:space="0" w:color="auto"/>
        <w:right w:val="none" w:sz="0" w:space="0" w:color="auto"/>
      </w:divBdr>
    </w:div>
    <w:div w:id="362051689">
      <w:bodyDiv w:val="1"/>
      <w:marLeft w:val="0"/>
      <w:marRight w:val="0"/>
      <w:marTop w:val="0"/>
      <w:marBottom w:val="0"/>
      <w:divBdr>
        <w:top w:val="none" w:sz="0" w:space="0" w:color="auto"/>
        <w:left w:val="none" w:sz="0" w:space="0" w:color="auto"/>
        <w:bottom w:val="none" w:sz="0" w:space="0" w:color="auto"/>
        <w:right w:val="none" w:sz="0" w:space="0" w:color="auto"/>
      </w:divBdr>
    </w:div>
    <w:div w:id="401098863">
      <w:bodyDiv w:val="1"/>
      <w:marLeft w:val="0"/>
      <w:marRight w:val="0"/>
      <w:marTop w:val="0"/>
      <w:marBottom w:val="0"/>
      <w:divBdr>
        <w:top w:val="none" w:sz="0" w:space="0" w:color="auto"/>
        <w:left w:val="none" w:sz="0" w:space="0" w:color="auto"/>
        <w:bottom w:val="none" w:sz="0" w:space="0" w:color="auto"/>
        <w:right w:val="none" w:sz="0" w:space="0" w:color="auto"/>
      </w:divBdr>
    </w:div>
    <w:div w:id="508327440">
      <w:bodyDiv w:val="1"/>
      <w:marLeft w:val="0"/>
      <w:marRight w:val="0"/>
      <w:marTop w:val="0"/>
      <w:marBottom w:val="0"/>
      <w:divBdr>
        <w:top w:val="none" w:sz="0" w:space="0" w:color="auto"/>
        <w:left w:val="none" w:sz="0" w:space="0" w:color="auto"/>
        <w:bottom w:val="none" w:sz="0" w:space="0" w:color="auto"/>
        <w:right w:val="none" w:sz="0" w:space="0" w:color="auto"/>
      </w:divBdr>
    </w:div>
    <w:div w:id="597368071">
      <w:bodyDiv w:val="1"/>
      <w:marLeft w:val="0"/>
      <w:marRight w:val="0"/>
      <w:marTop w:val="0"/>
      <w:marBottom w:val="0"/>
      <w:divBdr>
        <w:top w:val="none" w:sz="0" w:space="0" w:color="auto"/>
        <w:left w:val="none" w:sz="0" w:space="0" w:color="auto"/>
        <w:bottom w:val="none" w:sz="0" w:space="0" w:color="auto"/>
        <w:right w:val="none" w:sz="0" w:space="0" w:color="auto"/>
      </w:divBdr>
    </w:div>
    <w:div w:id="605649313">
      <w:bodyDiv w:val="1"/>
      <w:marLeft w:val="0"/>
      <w:marRight w:val="0"/>
      <w:marTop w:val="0"/>
      <w:marBottom w:val="0"/>
      <w:divBdr>
        <w:top w:val="none" w:sz="0" w:space="0" w:color="auto"/>
        <w:left w:val="none" w:sz="0" w:space="0" w:color="auto"/>
        <w:bottom w:val="none" w:sz="0" w:space="0" w:color="auto"/>
        <w:right w:val="none" w:sz="0" w:space="0" w:color="auto"/>
      </w:divBdr>
    </w:div>
    <w:div w:id="706299818">
      <w:bodyDiv w:val="1"/>
      <w:marLeft w:val="0"/>
      <w:marRight w:val="0"/>
      <w:marTop w:val="0"/>
      <w:marBottom w:val="0"/>
      <w:divBdr>
        <w:top w:val="none" w:sz="0" w:space="0" w:color="auto"/>
        <w:left w:val="none" w:sz="0" w:space="0" w:color="auto"/>
        <w:bottom w:val="none" w:sz="0" w:space="0" w:color="auto"/>
        <w:right w:val="none" w:sz="0" w:space="0" w:color="auto"/>
      </w:divBdr>
    </w:div>
    <w:div w:id="750782697">
      <w:bodyDiv w:val="1"/>
      <w:marLeft w:val="0"/>
      <w:marRight w:val="0"/>
      <w:marTop w:val="0"/>
      <w:marBottom w:val="0"/>
      <w:divBdr>
        <w:top w:val="none" w:sz="0" w:space="0" w:color="auto"/>
        <w:left w:val="none" w:sz="0" w:space="0" w:color="auto"/>
        <w:bottom w:val="none" w:sz="0" w:space="0" w:color="auto"/>
        <w:right w:val="none" w:sz="0" w:space="0" w:color="auto"/>
      </w:divBdr>
    </w:div>
    <w:div w:id="773406635">
      <w:bodyDiv w:val="1"/>
      <w:marLeft w:val="0"/>
      <w:marRight w:val="0"/>
      <w:marTop w:val="0"/>
      <w:marBottom w:val="0"/>
      <w:divBdr>
        <w:top w:val="none" w:sz="0" w:space="0" w:color="auto"/>
        <w:left w:val="none" w:sz="0" w:space="0" w:color="auto"/>
        <w:bottom w:val="none" w:sz="0" w:space="0" w:color="auto"/>
        <w:right w:val="none" w:sz="0" w:space="0" w:color="auto"/>
      </w:divBdr>
    </w:div>
    <w:div w:id="793444945">
      <w:bodyDiv w:val="1"/>
      <w:marLeft w:val="0"/>
      <w:marRight w:val="0"/>
      <w:marTop w:val="0"/>
      <w:marBottom w:val="0"/>
      <w:divBdr>
        <w:top w:val="none" w:sz="0" w:space="0" w:color="auto"/>
        <w:left w:val="none" w:sz="0" w:space="0" w:color="auto"/>
        <w:bottom w:val="none" w:sz="0" w:space="0" w:color="auto"/>
        <w:right w:val="none" w:sz="0" w:space="0" w:color="auto"/>
      </w:divBdr>
    </w:div>
    <w:div w:id="860709153">
      <w:bodyDiv w:val="1"/>
      <w:marLeft w:val="0"/>
      <w:marRight w:val="0"/>
      <w:marTop w:val="0"/>
      <w:marBottom w:val="0"/>
      <w:divBdr>
        <w:top w:val="none" w:sz="0" w:space="0" w:color="auto"/>
        <w:left w:val="none" w:sz="0" w:space="0" w:color="auto"/>
        <w:bottom w:val="none" w:sz="0" w:space="0" w:color="auto"/>
        <w:right w:val="none" w:sz="0" w:space="0" w:color="auto"/>
      </w:divBdr>
    </w:div>
    <w:div w:id="926773120">
      <w:bodyDiv w:val="1"/>
      <w:marLeft w:val="0"/>
      <w:marRight w:val="0"/>
      <w:marTop w:val="0"/>
      <w:marBottom w:val="0"/>
      <w:divBdr>
        <w:top w:val="none" w:sz="0" w:space="0" w:color="auto"/>
        <w:left w:val="none" w:sz="0" w:space="0" w:color="auto"/>
        <w:bottom w:val="none" w:sz="0" w:space="0" w:color="auto"/>
        <w:right w:val="none" w:sz="0" w:space="0" w:color="auto"/>
      </w:divBdr>
    </w:div>
    <w:div w:id="956134317">
      <w:bodyDiv w:val="1"/>
      <w:marLeft w:val="0"/>
      <w:marRight w:val="0"/>
      <w:marTop w:val="0"/>
      <w:marBottom w:val="0"/>
      <w:divBdr>
        <w:top w:val="none" w:sz="0" w:space="0" w:color="auto"/>
        <w:left w:val="none" w:sz="0" w:space="0" w:color="auto"/>
        <w:bottom w:val="none" w:sz="0" w:space="0" w:color="auto"/>
        <w:right w:val="none" w:sz="0" w:space="0" w:color="auto"/>
      </w:divBdr>
    </w:div>
    <w:div w:id="996879616">
      <w:bodyDiv w:val="1"/>
      <w:marLeft w:val="0"/>
      <w:marRight w:val="0"/>
      <w:marTop w:val="0"/>
      <w:marBottom w:val="0"/>
      <w:divBdr>
        <w:top w:val="none" w:sz="0" w:space="0" w:color="auto"/>
        <w:left w:val="none" w:sz="0" w:space="0" w:color="auto"/>
        <w:bottom w:val="none" w:sz="0" w:space="0" w:color="auto"/>
        <w:right w:val="none" w:sz="0" w:space="0" w:color="auto"/>
      </w:divBdr>
    </w:div>
    <w:div w:id="1188250895">
      <w:bodyDiv w:val="1"/>
      <w:marLeft w:val="0"/>
      <w:marRight w:val="0"/>
      <w:marTop w:val="0"/>
      <w:marBottom w:val="0"/>
      <w:divBdr>
        <w:top w:val="none" w:sz="0" w:space="0" w:color="auto"/>
        <w:left w:val="none" w:sz="0" w:space="0" w:color="auto"/>
        <w:bottom w:val="none" w:sz="0" w:space="0" w:color="auto"/>
        <w:right w:val="none" w:sz="0" w:space="0" w:color="auto"/>
      </w:divBdr>
    </w:div>
    <w:div w:id="1248928897">
      <w:bodyDiv w:val="1"/>
      <w:marLeft w:val="0"/>
      <w:marRight w:val="0"/>
      <w:marTop w:val="0"/>
      <w:marBottom w:val="0"/>
      <w:divBdr>
        <w:top w:val="none" w:sz="0" w:space="0" w:color="auto"/>
        <w:left w:val="none" w:sz="0" w:space="0" w:color="auto"/>
        <w:bottom w:val="none" w:sz="0" w:space="0" w:color="auto"/>
        <w:right w:val="none" w:sz="0" w:space="0" w:color="auto"/>
      </w:divBdr>
    </w:div>
    <w:div w:id="1249080344">
      <w:bodyDiv w:val="1"/>
      <w:marLeft w:val="0"/>
      <w:marRight w:val="0"/>
      <w:marTop w:val="0"/>
      <w:marBottom w:val="0"/>
      <w:divBdr>
        <w:top w:val="none" w:sz="0" w:space="0" w:color="auto"/>
        <w:left w:val="none" w:sz="0" w:space="0" w:color="auto"/>
        <w:bottom w:val="none" w:sz="0" w:space="0" w:color="auto"/>
        <w:right w:val="none" w:sz="0" w:space="0" w:color="auto"/>
      </w:divBdr>
    </w:div>
    <w:div w:id="1267158940">
      <w:bodyDiv w:val="1"/>
      <w:marLeft w:val="0"/>
      <w:marRight w:val="0"/>
      <w:marTop w:val="0"/>
      <w:marBottom w:val="0"/>
      <w:divBdr>
        <w:top w:val="none" w:sz="0" w:space="0" w:color="auto"/>
        <w:left w:val="none" w:sz="0" w:space="0" w:color="auto"/>
        <w:bottom w:val="none" w:sz="0" w:space="0" w:color="auto"/>
        <w:right w:val="none" w:sz="0" w:space="0" w:color="auto"/>
      </w:divBdr>
    </w:div>
    <w:div w:id="1305113167">
      <w:bodyDiv w:val="1"/>
      <w:marLeft w:val="0"/>
      <w:marRight w:val="0"/>
      <w:marTop w:val="0"/>
      <w:marBottom w:val="0"/>
      <w:divBdr>
        <w:top w:val="none" w:sz="0" w:space="0" w:color="auto"/>
        <w:left w:val="none" w:sz="0" w:space="0" w:color="auto"/>
        <w:bottom w:val="none" w:sz="0" w:space="0" w:color="auto"/>
        <w:right w:val="none" w:sz="0" w:space="0" w:color="auto"/>
      </w:divBdr>
    </w:div>
    <w:div w:id="1356274985">
      <w:bodyDiv w:val="1"/>
      <w:marLeft w:val="0"/>
      <w:marRight w:val="0"/>
      <w:marTop w:val="0"/>
      <w:marBottom w:val="0"/>
      <w:divBdr>
        <w:top w:val="none" w:sz="0" w:space="0" w:color="auto"/>
        <w:left w:val="none" w:sz="0" w:space="0" w:color="auto"/>
        <w:bottom w:val="none" w:sz="0" w:space="0" w:color="auto"/>
        <w:right w:val="none" w:sz="0" w:space="0" w:color="auto"/>
      </w:divBdr>
    </w:div>
    <w:div w:id="1421022732">
      <w:bodyDiv w:val="1"/>
      <w:marLeft w:val="0"/>
      <w:marRight w:val="0"/>
      <w:marTop w:val="0"/>
      <w:marBottom w:val="0"/>
      <w:divBdr>
        <w:top w:val="none" w:sz="0" w:space="0" w:color="auto"/>
        <w:left w:val="none" w:sz="0" w:space="0" w:color="auto"/>
        <w:bottom w:val="none" w:sz="0" w:space="0" w:color="auto"/>
        <w:right w:val="none" w:sz="0" w:space="0" w:color="auto"/>
      </w:divBdr>
    </w:div>
    <w:div w:id="1567767481">
      <w:bodyDiv w:val="1"/>
      <w:marLeft w:val="0"/>
      <w:marRight w:val="0"/>
      <w:marTop w:val="0"/>
      <w:marBottom w:val="0"/>
      <w:divBdr>
        <w:top w:val="none" w:sz="0" w:space="0" w:color="auto"/>
        <w:left w:val="none" w:sz="0" w:space="0" w:color="auto"/>
        <w:bottom w:val="none" w:sz="0" w:space="0" w:color="auto"/>
        <w:right w:val="none" w:sz="0" w:space="0" w:color="auto"/>
      </w:divBdr>
    </w:div>
    <w:div w:id="1576358318">
      <w:bodyDiv w:val="1"/>
      <w:marLeft w:val="0"/>
      <w:marRight w:val="0"/>
      <w:marTop w:val="0"/>
      <w:marBottom w:val="0"/>
      <w:divBdr>
        <w:top w:val="none" w:sz="0" w:space="0" w:color="auto"/>
        <w:left w:val="none" w:sz="0" w:space="0" w:color="auto"/>
        <w:bottom w:val="none" w:sz="0" w:space="0" w:color="auto"/>
        <w:right w:val="none" w:sz="0" w:space="0" w:color="auto"/>
      </w:divBdr>
    </w:div>
    <w:div w:id="1802259183">
      <w:bodyDiv w:val="1"/>
      <w:marLeft w:val="0"/>
      <w:marRight w:val="0"/>
      <w:marTop w:val="0"/>
      <w:marBottom w:val="0"/>
      <w:divBdr>
        <w:top w:val="none" w:sz="0" w:space="0" w:color="auto"/>
        <w:left w:val="none" w:sz="0" w:space="0" w:color="auto"/>
        <w:bottom w:val="none" w:sz="0" w:space="0" w:color="auto"/>
        <w:right w:val="none" w:sz="0" w:space="0" w:color="auto"/>
      </w:divBdr>
    </w:div>
    <w:div w:id="1822041829">
      <w:bodyDiv w:val="1"/>
      <w:marLeft w:val="0"/>
      <w:marRight w:val="0"/>
      <w:marTop w:val="0"/>
      <w:marBottom w:val="0"/>
      <w:divBdr>
        <w:top w:val="none" w:sz="0" w:space="0" w:color="auto"/>
        <w:left w:val="none" w:sz="0" w:space="0" w:color="auto"/>
        <w:bottom w:val="none" w:sz="0" w:space="0" w:color="auto"/>
        <w:right w:val="none" w:sz="0" w:space="0" w:color="auto"/>
      </w:divBdr>
    </w:div>
    <w:div w:id="1916013941">
      <w:bodyDiv w:val="1"/>
      <w:marLeft w:val="0"/>
      <w:marRight w:val="0"/>
      <w:marTop w:val="0"/>
      <w:marBottom w:val="0"/>
      <w:divBdr>
        <w:top w:val="none" w:sz="0" w:space="0" w:color="auto"/>
        <w:left w:val="none" w:sz="0" w:space="0" w:color="auto"/>
        <w:bottom w:val="none" w:sz="0" w:space="0" w:color="auto"/>
        <w:right w:val="none" w:sz="0" w:space="0" w:color="auto"/>
      </w:divBdr>
    </w:div>
    <w:div w:id="1928418567">
      <w:bodyDiv w:val="1"/>
      <w:marLeft w:val="0"/>
      <w:marRight w:val="0"/>
      <w:marTop w:val="0"/>
      <w:marBottom w:val="0"/>
      <w:divBdr>
        <w:top w:val="none" w:sz="0" w:space="0" w:color="auto"/>
        <w:left w:val="none" w:sz="0" w:space="0" w:color="auto"/>
        <w:bottom w:val="none" w:sz="0" w:space="0" w:color="auto"/>
        <w:right w:val="none" w:sz="0" w:space="0" w:color="auto"/>
      </w:divBdr>
    </w:div>
    <w:div w:id="1930233481">
      <w:bodyDiv w:val="1"/>
      <w:marLeft w:val="0"/>
      <w:marRight w:val="0"/>
      <w:marTop w:val="0"/>
      <w:marBottom w:val="0"/>
      <w:divBdr>
        <w:top w:val="none" w:sz="0" w:space="0" w:color="auto"/>
        <w:left w:val="none" w:sz="0" w:space="0" w:color="auto"/>
        <w:bottom w:val="none" w:sz="0" w:space="0" w:color="auto"/>
        <w:right w:val="none" w:sz="0" w:space="0" w:color="auto"/>
      </w:divBdr>
    </w:div>
    <w:div w:id="2084721257">
      <w:bodyDiv w:val="1"/>
      <w:marLeft w:val="0"/>
      <w:marRight w:val="0"/>
      <w:marTop w:val="0"/>
      <w:marBottom w:val="0"/>
      <w:divBdr>
        <w:top w:val="none" w:sz="0" w:space="0" w:color="auto"/>
        <w:left w:val="none" w:sz="0" w:space="0" w:color="auto"/>
        <w:bottom w:val="none" w:sz="0" w:space="0" w:color="auto"/>
        <w:right w:val="none" w:sz="0" w:space="0" w:color="auto"/>
      </w:divBdr>
    </w:div>
    <w:div w:id="21448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plants.2012.04.001" TargetMode="External"/><Relationship Id="rId18" Type="http://schemas.openxmlformats.org/officeDocument/2006/relationships/hyperlink" Target="https://doi.org/10.1016/S0929-1393(00)00067-6" TargetMode="External"/><Relationship Id="rId26" Type="http://schemas.openxmlformats.org/officeDocument/2006/relationships/hyperlink" Target="https://doi.org/10.1038/s43017-020-0080-8" TargetMode="External"/><Relationship Id="rId39" Type="http://schemas.openxmlformats.org/officeDocument/2006/relationships/footer" Target="footer2.xml"/><Relationship Id="rId21" Type="http://schemas.openxmlformats.org/officeDocument/2006/relationships/hyperlink" Target="https://doi.org/10.18520/cs/v110/i3/320-328" TargetMode="External"/><Relationship Id="rId34" Type="http://schemas.openxmlformats.org/officeDocument/2006/relationships/hyperlink" Target="https://doi.org/10.1007/s13593-016-0385-7"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38/387253a0" TargetMode="External"/><Relationship Id="rId20" Type="http://schemas.openxmlformats.org/officeDocument/2006/relationships/hyperlink" Target="https://doi.org/10.3390/soilsystems5040061" TargetMode="External"/><Relationship Id="rId29" Type="http://schemas.openxmlformats.org/officeDocument/2006/relationships/hyperlink" Target="https://doi.org/10.1007/978-3-031-15703-5_2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topics/agricultural-and-biological-sciences/biofertilizer" TargetMode="External"/><Relationship Id="rId24" Type="http://schemas.openxmlformats.org/officeDocument/2006/relationships/hyperlink" Target="https://doi.org/10.1007/s40011-012-0059-4" TargetMode="External"/><Relationship Id="rId32" Type="http://schemas.openxmlformats.org/officeDocument/2006/relationships/hyperlink" Target="https://doi.org/10.1007/978-1-4612-3322-0_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71/SR19067" TargetMode="External"/><Relationship Id="rId23" Type="http://schemas.openxmlformats.org/officeDocument/2006/relationships/hyperlink" Target="https://doi.org/10.1080/00207233.2018.1494927" TargetMode="External"/><Relationship Id="rId28" Type="http://schemas.openxmlformats.org/officeDocument/2006/relationships/hyperlink" Target="https://doi.org/10.3390/land902003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17/S1742170512000208" TargetMode="External"/><Relationship Id="rId31" Type="http://schemas.openxmlformats.org/officeDocument/2006/relationships/hyperlink" Target="https://doi.org/10.1371/journal.pone.0219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su7043528" TargetMode="External"/><Relationship Id="rId22" Type="http://schemas.openxmlformats.org/officeDocument/2006/relationships/hyperlink" Target="https://doi.org/10.1111/1365-2664.12089" TargetMode="External"/><Relationship Id="rId27" Type="http://schemas.openxmlformats.org/officeDocument/2006/relationships/hyperlink" Target="https://doi.org/10.1016/j.cpb.2021.100210" TargetMode="External"/><Relationship Id="rId30" Type="http://schemas.openxmlformats.org/officeDocument/2006/relationships/hyperlink" Target="https://doi.org/10.1016/j.geoderma.2006.03.021" TargetMode="External"/><Relationship Id="rId35" Type="http://schemas.openxmlformats.org/officeDocument/2006/relationships/hyperlink" Target="https://www.sciencedirect.com/science/article/pii/S0147651325000399"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3389/fenvs.2016.00041" TargetMode="External"/><Relationship Id="rId17" Type="http://schemas.openxmlformats.org/officeDocument/2006/relationships/hyperlink" Target="https://doi.org/10.1016/j.soisec.2022.100071" TargetMode="External"/><Relationship Id="rId25" Type="http://schemas.openxmlformats.org/officeDocument/2006/relationships/hyperlink" Target="https://doi.org/10.1002/fes3.96" TargetMode="External"/><Relationship Id="rId33" Type="http://schemas.openxmlformats.org/officeDocument/2006/relationships/hyperlink" Target="https://link.springer.com/chapter/10.1007/978-3-031-09555-9_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58d2dc-fa73-4a98-b259-e7998c6df5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E678030ECBC49843409D11FAE718E" ma:contentTypeVersion="11" ma:contentTypeDescription="Create a new document." ma:contentTypeScope="" ma:versionID="533f74c7e83ebd4fe1ebb2ebc012f835">
  <xsd:schema xmlns:xsd="http://www.w3.org/2001/XMLSchema" xmlns:xs="http://www.w3.org/2001/XMLSchema" xmlns:p="http://schemas.microsoft.com/office/2006/metadata/properties" xmlns:ns3="4758d2dc-fa73-4a98-b259-e7998c6df55f" targetNamespace="http://schemas.microsoft.com/office/2006/metadata/properties" ma:root="true" ma:fieldsID="780f5c4d55722b2b84a7048874d9629e" ns3:_="">
    <xsd:import namespace="4758d2dc-fa73-4a98-b259-e7998c6df5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d2dc-fa73-4a98-b259-e7998c6d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6A97-FB36-4CD2-8645-D14C7426DCEE}">
  <ds:schemaRefs>
    <ds:schemaRef ds:uri="http://schemas.microsoft.com/office/2006/metadata/properties"/>
    <ds:schemaRef ds:uri="http://schemas.microsoft.com/office/infopath/2007/PartnerControls"/>
    <ds:schemaRef ds:uri="4758d2dc-fa73-4a98-b259-e7998c6df55f"/>
  </ds:schemaRefs>
</ds:datastoreItem>
</file>

<file path=customXml/itemProps2.xml><?xml version="1.0" encoding="utf-8"?>
<ds:datastoreItem xmlns:ds="http://schemas.openxmlformats.org/officeDocument/2006/customXml" ds:itemID="{BB32C6A0-79C0-4FCD-A3E6-9993D92E4191}">
  <ds:schemaRefs>
    <ds:schemaRef ds:uri="http://schemas.microsoft.com/sharepoint/v3/contenttype/forms"/>
  </ds:schemaRefs>
</ds:datastoreItem>
</file>

<file path=customXml/itemProps3.xml><?xml version="1.0" encoding="utf-8"?>
<ds:datastoreItem xmlns:ds="http://schemas.openxmlformats.org/officeDocument/2006/customXml" ds:itemID="{BD45213D-328A-4199-ACBC-9360F325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d2dc-fa73-4a98-b259-e7998c6d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176C3-2E6E-4D7B-97C8-98315131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12172</Words>
  <Characters>69382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Misal (Dr.)</dc:creator>
  <cp:keywords/>
  <dc:description/>
  <cp:lastModifiedBy>Editor-11</cp:lastModifiedBy>
  <cp:revision>36</cp:revision>
  <dcterms:created xsi:type="dcterms:W3CDTF">2024-01-28T02:53:00Z</dcterms:created>
  <dcterms:modified xsi:type="dcterms:W3CDTF">2025-12-03T11:13:00Z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0x010100D7EE678030ECBC49843409D11FAE718E</vt:lpwstr>
  </property>
  <property fmtid="{D5CDD505-2E9C-101B-9397-08002B2CF9AE}" pid="3" name="GrammarlyDocumentId">
    <vt:lpwstr>c5bd2c3422ab07e3ee3d1eb4afb63e36009fda119a50b81c59ed56a55a7531fe</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6ea3a3d2-e308-3526-a80f-3da48d43cc9a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http://www.zotero.org/styles/nature</vt:lpwstr>
  </property>
  <property fmtid="{D5CDD505-2E9C-101B-9397-08002B2CF9AE}" pid="22" name="Mendeley Recent Style Name 7_1">
    <vt:lpwstr>Nature</vt:lpwstr>
  </property>
  <property fmtid="{D5CDD505-2E9C-101B-9397-08002B2CF9AE}" pid="23" name="Mendeley Recent Style Id 8_1">
    <vt:lpwstr>http://www.zotero.org/styles/springer-basic-author-date</vt:lpwstr>
  </property>
  <property fmtid="{D5CDD505-2E9C-101B-9397-08002B2CF9AE}" pid="24" name="Mendeley Recent Style Name 8_1">
    <vt:lpwstr>Springer - Basic (author-date)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